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Garamond" w:hAnsi="Garamond" w:cs="Times New Roman"/>
          <w:sz w:val="24"/>
          <w:szCs w:val="24"/>
        </w:rPr>
        <w:id w:val="1316607382"/>
        <w:docPartObj>
          <w:docPartGallery w:val="Cover Pages"/>
          <w:docPartUnique/>
        </w:docPartObj>
      </w:sdtPr>
      <w:sdtEndPr/>
      <w:sdtContent>
        <w:p w14:paraId="286CD6F7" w14:textId="77777777" w:rsidR="000A2254" w:rsidRPr="00B31292" w:rsidRDefault="000A2254" w:rsidP="000A2254">
          <w:pPr>
            <w:spacing w:after="0" w:line="240" w:lineRule="auto"/>
            <w:ind w:firstLine="284"/>
            <w:jc w:val="center"/>
            <w:rPr>
              <w:rFonts w:ascii="Garamond" w:hAnsi="Garamond" w:cs="Times New Roman"/>
              <w:b/>
              <w:sz w:val="24"/>
              <w:szCs w:val="24"/>
            </w:rPr>
          </w:pPr>
          <w:r w:rsidRPr="00B31292">
            <w:rPr>
              <w:rFonts w:ascii="Garamond" w:hAnsi="Garamond" w:cs="Times New Roman"/>
              <w:b/>
              <w:sz w:val="24"/>
              <w:szCs w:val="24"/>
            </w:rPr>
            <w:t xml:space="preserve">VENDIM </w:t>
          </w:r>
        </w:p>
        <w:p w14:paraId="727F7D72" w14:textId="77777777" w:rsidR="000A2254" w:rsidRPr="00B31292" w:rsidRDefault="000A2254" w:rsidP="000A2254">
          <w:pPr>
            <w:spacing w:after="0" w:line="240" w:lineRule="auto"/>
            <w:ind w:firstLine="284"/>
            <w:jc w:val="center"/>
            <w:rPr>
              <w:rFonts w:ascii="Garamond" w:hAnsi="Garamond" w:cs="Times New Roman"/>
              <w:b/>
              <w:sz w:val="24"/>
              <w:szCs w:val="24"/>
            </w:rPr>
          </w:pPr>
          <w:r w:rsidRPr="00B31292">
            <w:rPr>
              <w:rFonts w:ascii="Garamond" w:hAnsi="Garamond" w:cs="Times New Roman"/>
              <w:b/>
              <w:sz w:val="24"/>
              <w:szCs w:val="24"/>
            </w:rPr>
            <w:t>Nr. 29/2025</w:t>
          </w:r>
        </w:p>
        <w:p w14:paraId="1FFC75B4" w14:textId="77777777" w:rsidR="000A2254" w:rsidRPr="00B31292" w:rsidRDefault="000A2254" w:rsidP="000A2254">
          <w:pPr>
            <w:spacing w:after="0" w:line="240" w:lineRule="auto"/>
            <w:ind w:firstLine="284"/>
            <w:jc w:val="center"/>
            <w:rPr>
              <w:rFonts w:ascii="Garamond" w:hAnsi="Garamond" w:cs="Times New Roman"/>
              <w:b/>
              <w:sz w:val="24"/>
              <w:szCs w:val="24"/>
            </w:rPr>
          </w:pPr>
        </w:p>
        <w:p w14:paraId="333C3476" w14:textId="77777777" w:rsidR="000A2254" w:rsidRPr="00B31292" w:rsidRDefault="000A2254" w:rsidP="000A2254">
          <w:pPr>
            <w:spacing w:after="0" w:line="240" w:lineRule="auto"/>
            <w:ind w:firstLine="284"/>
            <w:jc w:val="center"/>
            <w:rPr>
              <w:rFonts w:ascii="Garamond" w:hAnsi="Garamond" w:cs="Times New Roman"/>
              <w:b/>
              <w:sz w:val="24"/>
              <w:szCs w:val="24"/>
            </w:rPr>
          </w:pPr>
          <w:r w:rsidRPr="00B31292">
            <w:rPr>
              <w:rFonts w:ascii="Garamond" w:hAnsi="Garamond" w:cs="Times New Roman"/>
              <w:b/>
              <w:sz w:val="24"/>
              <w:szCs w:val="24"/>
            </w:rPr>
            <w:t xml:space="preserve">PËR MIRATIMIN E PLANIT VJETOR 2025 PËR ZBATIMIN E PROGRAMIT </w:t>
          </w:r>
        </w:p>
        <w:p w14:paraId="27B563F1" w14:textId="61D4B17C" w:rsidR="000A2254" w:rsidRPr="00B31292" w:rsidRDefault="000A2254" w:rsidP="000A2254">
          <w:pPr>
            <w:spacing w:after="0" w:line="240" w:lineRule="auto"/>
            <w:ind w:firstLine="284"/>
            <w:jc w:val="center"/>
            <w:rPr>
              <w:rFonts w:ascii="Garamond" w:hAnsi="Garamond" w:cs="Times New Roman"/>
              <w:b/>
              <w:sz w:val="24"/>
              <w:szCs w:val="24"/>
            </w:rPr>
          </w:pPr>
          <w:r w:rsidRPr="00B31292">
            <w:rPr>
              <w:rFonts w:ascii="Garamond" w:hAnsi="Garamond" w:cs="Times New Roman"/>
              <w:b/>
              <w:sz w:val="24"/>
              <w:szCs w:val="24"/>
            </w:rPr>
            <w:t>TË STATISTIKAVE ZYRTARE 2022</w:t>
          </w:r>
          <w:r w:rsidR="0098462E" w:rsidRPr="00B31292">
            <w:rPr>
              <w:rFonts w:ascii="Garamond" w:hAnsi="Garamond" w:cs="Times New Roman"/>
              <w:b/>
              <w:sz w:val="24"/>
              <w:szCs w:val="24"/>
            </w:rPr>
            <w:t>–</w:t>
          </w:r>
          <w:r w:rsidRPr="00B31292">
            <w:rPr>
              <w:rFonts w:ascii="Garamond" w:hAnsi="Garamond" w:cs="Times New Roman"/>
              <w:b/>
              <w:sz w:val="24"/>
              <w:szCs w:val="24"/>
            </w:rPr>
            <w:t>2026</w:t>
          </w:r>
        </w:p>
        <w:p w14:paraId="74C7DC8E" w14:textId="77777777" w:rsidR="000A2254" w:rsidRPr="00B31292" w:rsidRDefault="000A2254" w:rsidP="000A2254">
          <w:pPr>
            <w:spacing w:after="0" w:line="240" w:lineRule="auto"/>
            <w:ind w:firstLine="284"/>
            <w:jc w:val="both"/>
            <w:rPr>
              <w:rFonts w:ascii="Garamond" w:hAnsi="Garamond" w:cs="Times New Roman"/>
              <w:sz w:val="24"/>
              <w:szCs w:val="24"/>
            </w:rPr>
          </w:pPr>
        </w:p>
        <w:p w14:paraId="326522C8" w14:textId="512BA0F3" w:rsidR="000A2254" w:rsidRPr="00B31292" w:rsidRDefault="000A2254" w:rsidP="000A2254">
          <w:pPr>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Në mbështetje të nenit 78 të Kushtetutës, nenit 9, pika 5, të ligjit nr. 17/2018</w:t>
          </w:r>
          <w:r w:rsidR="002277EC" w:rsidRPr="00B31292">
            <w:rPr>
              <w:rFonts w:ascii="Garamond" w:hAnsi="Garamond" w:cs="Times New Roman"/>
              <w:sz w:val="24"/>
              <w:szCs w:val="24"/>
            </w:rPr>
            <w:t>,</w:t>
          </w:r>
          <w:r w:rsidRPr="00B31292">
            <w:rPr>
              <w:rFonts w:ascii="Garamond" w:hAnsi="Garamond" w:cs="Times New Roman"/>
              <w:sz w:val="24"/>
              <w:szCs w:val="24"/>
            </w:rPr>
            <w:t xml:space="preserve"> </w:t>
          </w:r>
          <w:r w:rsidR="00BA12C3" w:rsidRPr="00B31292">
            <w:rPr>
              <w:rFonts w:ascii="Garamond" w:hAnsi="Garamond" w:cs="Times New Roman"/>
              <w:sz w:val="24"/>
              <w:szCs w:val="24"/>
            </w:rPr>
            <w:t>“</w:t>
          </w:r>
          <w:r w:rsidRPr="00B31292">
            <w:rPr>
              <w:rFonts w:ascii="Garamond" w:hAnsi="Garamond" w:cs="Times New Roman"/>
              <w:sz w:val="24"/>
              <w:szCs w:val="24"/>
            </w:rPr>
            <w:t>Për statistikat zyrtare</w:t>
          </w:r>
          <w:r w:rsidR="00BA12C3" w:rsidRPr="00B31292">
            <w:rPr>
              <w:rFonts w:ascii="Garamond" w:hAnsi="Garamond" w:cs="Times New Roman"/>
              <w:sz w:val="24"/>
              <w:szCs w:val="24"/>
            </w:rPr>
            <w:t>”</w:t>
          </w:r>
          <w:r w:rsidRPr="00B31292">
            <w:rPr>
              <w:rFonts w:ascii="Garamond" w:hAnsi="Garamond" w:cs="Times New Roman"/>
              <w:sz w:val="24"/>
              <w:szCs w:val="24"/>
            </w:rPr>
            <w:t>, i ndryshuar, dhe nenit 55 të Rregullores së Kuvendit, me propozimin e Këshillit të Ministrave,</w:t>
          </w:r>
        </w:p>
        <w:p w14:paraId="6CF41B69" w14:textId="77777777" w:rsidR="000A2254" w:rsidRPr="00B31292" w:rsidRDefault="000A2254" w:rsidP="000A2254">
          <w:pPr>
            <w:spacing w:after="0" w:line="240" w:lineRule="auto"/>
            <w:ind w:firstLine="284"/>
            <w:jc w:val="both"/>
            <w:rPr>
              <w:rFonts w:ascii="Garamond" w:hAnsi="Garamond" w:cs="Times New Roman"/>
              <w:sz w:val="24"/>
              <w:szCs w:val="24"/>
            </w:rPr>
          </w:pPr>
        </w:p>
        <w:p w14:paraId="6BCC734B" w14:textId="77777777" w:rsidR="000A2254" w:rsidRPr="00B31292" w:rsidRDefault="000A2254" w:rsidP="000A2254">
          <w:pPr>
            <w:spacing w:after="0" w:line="240" w:lineRule="auto"/>
            <w:ind w:firstLine="284"/>
            <w:jc w:val="center"/>
            <w:rPr>
              <w:rFonts w:ascii="Garamond" w:hAnsi="Garamond" w:cs="Times New Roman"/>
              <w:sz w:val="24"/>
              <w:szCs w:val="24"/>
            </w:rPr>
          </w:pPr>
          <w:r w:rsidRPr="00B31292">
            <w:rPr>
              <w:rFonts w:ascii="Garamond" w:hAnsi="Garamond" w:cs="Times New Roman"/>
              <w:sz w:val="24"/>
              <w:szCs w:val="24"/>
            </w:rPr>
            <w:t>KUVENDI</w:t>
          </w:r>
        </w:p>
        <w:p w14:paraId="1D6FF0AB" w14:textId="77777777" w:rsidR="000A2254" w:rsidRPr="00B31292" w:rsidRDefault="000A2254" w:rsidP="000A2254">
          <w:pPr>
            <w:spacing w:after="0" w:line="240" w:lineRule="auto"/>
            <w:ind w:firstLine="284"/>
            <w:jc w:val="center"/>
            <w:rPr>
              <w:rFonts w:ascii="Garamond" w:hAnsi="Garamond" w:cs="Times New Roman"/>
              <w:sz w:val="24"/>
              <w:szCs w:val="24"/>
            </w:rPr>
          </w:pPr>
          <w:r w:rsidRPr="00B31292">
            <w:rPr>
              <w:rFonts w:ascii="Garamond" w:hAnsi="Garamond" w:cs="Times New Roman"/>
              <w:sz w:val="24"/>
              <w:szCs w:val="24"/>
            </w:rPr>
            <w:t>I REPUBLIKËS SË SHQIPËRISË</w:t>
          </w:r>
        </w:p>
        <w:p w14:paraId="6A70A3AA" w14:textId="77777777" w:rsidR="000A2254" w:rsidRPr="00B31292" w:rsidRDefault="000A2254" w:rsidP="000A2254">
          <w:pPr>
            <w:spacing w:after="0" w:line="240" w:lineRule="auto"/>
            <w:ind w:firstLine="284"/>
            <w:jc w:val="center"/>
            <w:rPr>
              <w:rFonts w:ascii="Garamond" w:hAnsi="Garamond" w:cs="Times New Roman"/>
              <w:sz w:val="24"/>
              <w:szCs w:val="24"/>
            </w:rPr>
          </w:pPr>
        </w:p>
        <w:p w14:paraId="7E439EE6" w14:textId="77777777" w:rsidR="000A2254" w:rsidRPr="00B31292" w:rsidRDefault="000A2254" w:rsidP="000A2254">
          <w:pPr>
            <w:spacing w:after="0" w:line="240" w:lineRule="auto"/>
            <w:ind w:firstLine="284"/>
            <w:jc w:val="center"/>
            <w:rPr>
              <w:rFonts w:ascii="Garamond" w:hAnsi="Garamond" w:cs="Times New Roman"/>
              <w:sz w:val="24"/>
              <w:szCs w:val="24"/>
            </w:rPr>
          </w:pPr>
          <w:r w:rsidRPr="00B31292">
            <w:rPr>
              <w:rFonts w:ascii="Garamond" w:hAnsi="Garamond" w:cs="Times New Roman"/>
              <w:sz w:val="24"/>
              <w:szCs w:val="24"/>
            </w:rPr>
            <w:t>VENDOSI:</w:t>
          </w:r>
        </w:p>
        <w:p w14:paraId="0333DE36" w14:textId="77777777" w:rsidR="000A2254" w:rsidRPr="00B31292" w:rsidRDefault="000A2254" w:rsidP="000A2254">
          <w:pPr>
            <w:spacing w:after="0" w:line="240" w:lineRule="auto"/>
            <w:ind w:firstLine="284"/>
            <w:jc w:val="both"/>
            <w:rPr>
              <w:rFonts w:ascii="Garamond" w:hAnsi="Garamond" w:cs="Times New Roman"/>
              <w:sz w:val="24"/>
              <w:szCs w:val="24"/>
            </w:rPr>
          </w:pPr>
        </w:p>
        <w:p w14:paraId="77E06C72" w14:textId="6A9BC3A9" w:rsidR="000A2254" w:rsidRPr="00B31292" w:rsidRDefault="000A2254" w:rsidP="000A2254">
          <w:pPr>
            <w:pStyle w:val="ListParagraph"/>
            <w:spacing w:after="0" w:line="240" w:lineRule="auto"/>
            <w:ind w:left="0" w:firstLine="284"/>
            <w:jc w:val="both"/>
            <w:rPr>
              <w:rFonts w:ascii="Garamond" w:hAnsi="Garamond" w:cs="Times New Roman"/>
              <w:sz w:val="24"/>
              <w:szCs w:val="24"/>
            </w:rPr>
          </w:pPr>
          <w:r w:rsidRPr="00B31292">
            <w:rPr>
              <w:rFonts w:ascii="Garamond" w:hAnsi="Garamond" w:cs="Times New Roman"/>
              <w:sz w:val="24"/>
              <w:szCs w:val="24"/>
            </w:rPr>
            <w:t>I. Miratohet Plani Vjetor 2025 për zbatimin e Programit të Statistikave Zyrtare 2022</w:t>
          </w:r>
          <w:r w:rsidR="002277EC" w:rsidRPr="00B31292">
            <w:rPr>
              <w:rFonts w:ascii="Garamond" w:hAnsi="Garamond" w:cs="Times New Roman"/>
              <w:sz w:val="24"/>
              <w:szCs w:val="24"/>
            </w:rPr>
            <w:t>–</w:t>
          </w:r>
          <w:r w:rsidRPr="00B31292">
            <w:rPr>
              <w:rFonts w:ascii="Garamond" w:hAnsi="Garamond" w:cs="Times New Roman"/>
              <w:sz w:val="24"/>
              <w:szCs w:val="24"/>
            </w:rPr>
            <w:t xml:space="preserve">2026. </w:t>
          </w:r>
        </w:p>
        <w:p w14:paraId="77AD3F68" w14:textId="74AE1C48" w:rsidR="000A2254" w:rsidRPr="00B31292" w:rsidRDefault="000A2254" w:rsidP="000A2254">
          <w:pPr>
            <w:pStyle w:val="ListParagraph"/>
            <w:spacing w:after="0" w:line="240" w:lineRule="auto"/>
            <w:ind w:left="0" w:firstLine="284"/>
            <w:jc w:val="both"/>
            <w:rPr>
              <w:rFonts w:ascii="Garamond" w:hAnsi="Garamond" w:cs="Times New Roman"/>
              <w:sz w:val="24"/>
              <w:szCs w:val="24"/>
            </w:rPr>
          </w:pPr>
          <w:r w:rsidRPr="00B31292">
            <w:rPr>
              <w:rFonts w:ascii="Garamond" w:hAnsi="Garamond" w:cs="Times New Roman"/>
              <w:sz w:val="24"/>
              <w:szCs w:val="24"/>
            </w:rPr>
            <w:t>II. Plani Vjetor 2025 botohet në Fletoren Zyrtare.</w:t>
          </w:r>
        </w:p>
        <w:p w14:paraId="4C668293" w14:textId="06A4F2F7" w:rsidR="000A2254" w:rsidRPr="00B31292" w:rsidRDefault="000A2254" w:rsidP="000A2254">
          <w:pPr>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III. Ky vendim hyn në fuqi menjëherë.</w:t>
          </w:r>
        </w:p>
        <w:p w14:paraId="13AC1CBE" w14:textId="77777777" w:rsidR="000A2254" w:rsidRPr="00B31292" w:rsidRDefault="000A2254" w:rsidP="000A2254">
          <w:pPr>
            <w:spacing w:after="0" w:line="240" w:lineRule="auto"/>
            <w:ind w:firstLine="284"/>
            <w:jc w:val="both"/>
            <w:rPr>
              <w:rFonts w:ascii="Garamond" w:hAnsi="Garamond" w:cs="Times New Roman"/>
              <w:sz w:val="24"/>
              <w:szCs w:val="24"/>
            </w:rPr>
          </w:pPr>
        </w:p>
        <w:p w14:paraId="4CD7689C" w14:textId="77777777" w:rsidR="000A2254" w:rsidRPr="00B31292" w:rsidRDefault="000A2254" w:rsidP="000A2254">
          <w:pPr>
            <w:spacing w:after="0" w:line="240" w:lineRule="auto"/>
            <w:ind w:firstLine="284"/>
            <w:jc w:val="right"/>
            <w:rPr>
              <w:rFonts w:ascii="Garamond" w:hAnsi="Garamond" w:cs="Times New Roman"/>
              <w:bCs/>
              <w:color w:val="000000" w:themeColor="text1"/>
              <w:sz w:val="24"/>
              <w:szCs w:val="24"/>
            </w:rPr>
          </w:pPr>
          <w:r w:rsidRPr="00B31292">
            <w:rPr>
              <w:rFonts w:ascii="Garamond" w:hAnsi="Garamond" w:cs="Times New Roman"/>
              <w:bCs/>
              <w:color w:val="000000" w:themeColor="text1"/>
              <w:sz w:val="24"/>
              <w:szCs w:val="24"/>
            </w:rPr>
            <w:t>KRYETARE</w:t>
          </w:r>
        </w:p>
        <w:p w14:paraId="7ED4FC5D" w14:textId="77777777" w:rsidR="000A2254" w:rsidRPr="00B31292" w:rsidRDefault="000A2254" w:rsidP="000A2254">
          <w:pPr>
            <w:spacing w:after="0" w:line="240" w:lineRule="auto"/>
            <w:ind w:firstLine="284"/>
            <w:jc w:val="right"/>
            <w:rPr>
              <w:rFonts w:ascii="Garamond" w:hAnsi="Garamond" w:cs="Times New Roman"/>
              <w:b/>
              <w:bCs/>
              <w:color w:val="000000" w:themeColor="text1"/>
              <w:sz w:val="24"/>
              <w:szCs w:val="24"/>
            </w:rPr>
          </w:pPr>
          <w:r w:rsidRPr="00B31292">
            <w:rPr>
              <w:rFonts w:ascii="Garamond" w:hAnsi="Garamond" w:cs="Times New Roman"/>
              <w:b/>
              <w:bCs/>
              <w:color w:val="000000" w:themeColor="text1"/>
              <w:sz w:val="24"/>
              <w:szCs w:val="24"/>
            </w:rPr>
            <w:t>Elisa Spiropali</w:t>
          </w:r>
        </w:p>
        <w:p w14:paraId="4BE277DE" w14:textId="77777777" w:rsidR="000A2254" w:rsidRPr="00B31292" w:rsidRDefault="000A2254" w:rsidP="000A2254">
          <w:pPr>
            <w:spacing w:after="0" w:line="240" w:lineRule="auto"/>
            <w:ind w:firstLine="284"/>
            <w:jc w:val="both"/>
            <w:rPr>
              <w:rFonts w:ascii="Garamond" w:hAnsi="Garamond" w:cs="Times New Roman"/>
              <w:bCs/>
              <w:sz w:val="24"/>
              <w:szCs w:val="24"/>
            </w:rPr>
          </w:pPr>
        </w:p>
        <w:p w14:paraId="4A1D51B2" w14:textId="0109A1BC" w:rsidR="000A2254" w:rsidRPr="00B31292" w:rsidRDefault="000A2254" w:rsidP="000A2254">
          <w:pPr>
            <w:spacing w:after="0" w:line="240" w:lineRule="auto"/>
            <w:ind w:firstLine="284"/>
            <w:jc w:val="both"/>
            <w:rPr>
              <w:rFonts w:ascii="Garamond" w:hAnsi="Garamond" w:cs="Times New Roman"/>
              <w:bCs/>
              <w:sz w:val="24"/>
              <w:szCs w:val="24"/>
            </w:rPr>
          </w:pPr>
          <w:r w:rsidRPr="00B31292">
            <w:rPr>
              <w:rFonts w:ascii="Garamond" w:hAnsi="Garamond" w:cs="Times New Roman"/>
              <w:bCs/>
              <w:sz w:val="24"/>
              <w:szCs w:val="24"/>
            </w:rPr>
            <w:t>Miratuar në datën 17.3.2025</w:t>
          </w:r>
          <w:r w:rsidR="002277EC" w:rsidRPr="00B31292">
            <w:rPr>
              <w:rFonts w:ascii="Garamond" w:hAnsi="Garamond" w:cs="Times New Roman"/>
              <w:bCs/>
              <w:sz w:val="24"/>
              <w:szCs w:val="24"/>
            </w:rPr>
            <w:t>.</w:t>
          </w:r>
        </w:p>
        <w:p w14:paraId="61D3EF88" w14:textId="77777777" w:rsidR="000A2254" w:rsidRPr="00B31292" w:rsidRDefault="000A2254" w:rsidP="000A2254">
          <w:pPr>
            <w:spacing w:after="0" w:line="240" w:lineRule="auto"/>
            <w:ind w:firstLine="284"/>
            <w:rPr>
              <w:rFonts w:ascii="Garamond" w:eastAsia="Times New Roman" w:hAnsi="Garamond" w:cs="Times New Roman"/>
              <w:sz w:val="20"/>
              <w:szCs w:val="20"/>
            </w:rPr>
          </w:pPr>
        </w:p>
        <w:p w14:paraId="2DF8D9D8" w14:textId="4D90BBCA" w:rsidR="00024A60" w:rsidRPr="00B31292" w:rsidRDefault="00D87FF8" w:rsidP="003A4DBA">
          <w:pPr>
            <w:shd w:val="clear" w:color="auto" w:fill="FFFFFF" w:themeFill="background1"/>
            <w:spacing w:after="0" w:line="240" w:lineRule="auto"/>
            <w:ind w:firstLine="284"/>
            <w:rPr>
              <w:rFonts w:ascii="Garamond" w:hAnsi="Garamond" w:cs="Times New Roman"/>
              <w:sz w:val="24"/>
              <w:szCs w:val="24"/>
            </w:rPr>
          </w:pPr>
          <w:r w:rsidRPr="00B31292">
            <w:rPr>
              <w:rFonts w:ascii="Garamond" w:hAnsi="Garamond" w:cs="Times New Roman"/>
              <w:sz w:val="24"/>
              <w:szCs w:val="24"/>
            </w:rPr>
            <w:t>SISTEMI KOMBËTAR STATISTIKOR</w:t>
          </w:r>
        </w:p>
        <w:p w14:paraId="3ECA000C" w14:textId="77777777" w:rsidR="00024A60" w:rsidRPr="00B31292" w:rsidRDefault="00024A60" w:rsidP="003A4DBA">
          <w:pPr>
            <w:shd w:val="clear" w:color="auto" w:fill="FFFFFF" w:themeFill="background1"/>
            <w:spacing w:after="0" w:line="240" w:lineRule="auto"/>
            <w:ind w:firstLine="284"/>
            <w:rPr>
              <w:rFonts w:ascii="Garamond" w:hAnsi="Garamond" w:cs="Times New Roman"/>
              <w:sz w:val="24"/>
              <w:szCs w:val="24"/>
            </w:rPr>
          </w:pPr>
        </w:p>
        <w:p w14:paraId="48EB32F4" w14:textId="280C8010" w:rsidR="004F35E8" w:rsidRPr="00B31292" w:rsidRDefault="00D87FF8" w:rsidP="00E5404A">
          <w:pPr>
            <w:shd w:val="clear" w:color="auto" w:fill="FFFFFF" w:themeFill="background1"/>
            <w:spacing w:after="0" w:line="240" w:lineRule="auto"/>
            <w:ind w:firstLine="284"/>
            <w:jc w:val="center"/>
            <w:rPr>
              <w:rFonts w:ascii="Garamond" w:hAnsi="Garamond" w:cs="Times New Roman"/>
              <w:sz w:val="24"/>
              <w:szCs w:val="24"/>
            </w:rPr>
          </w:pPr>
          <w:r w:rsidRPr="00B31292">
            <w:rPr>
              <w:rFonts w:ascii="Garamond" w:hAnsi="Garamond" w:cs="Times New Roman"/>
              <w:caps/>
              <w:sz w:val="24"/>
              <w:szCs w:val="24"/>
            </w:rPr>
            <w:t>PLANI VJETOR 2025</w:t>
          </w:r>
        </w:p>
        <w:p w14:paraId="66709842" w14:textId="4F903CB0" w:rsidR="00024A60" w:rsidRPr="00B31292" w:rsidRDefault="00D87FF8" w:rsidP="00CA65A7">
          <w:pPr>
            <w:shd w:val="clear" w:color="auto" w:fill="FFFFFF" w:themeFill="background1"/>
            <w:spacing w:after="0" w:line="240" w:lineRule="auto"/>
            <w:ind w:firstLine="284"/>
            <w:jc w:val="center"/>
            <w:rPr>
              <w:rFonts w:ascii="Garamond" w:hAnsi="Garamond" w:cs="Times New Roman"/>
              <w:b/>
              <w:bCs/>
              <w:sz w:val="24"/>
              <w:szCs w:val="24"/>
            </w:rPr>
          </w:pPr>
          <w:r w:rsidRPr="00B31292">
            <w:rPr>
              <w:rFonts w:ascii="Garamond" w:hAnsi="Garamond" w:cs="Times New Roman"/>
              <w:b/>
              <w:bCs/>
              <w:sz w:val="24"/>
              <w:szCs w:val="24"/>
            </w:rPr>
            <w:t xml:space="preserve">Për zbatimin e Programit të Statistikave Zyrtare </w:t>
          </w:r>
          <w:r w:rsidR="002277EC" w:rsidRPr="00B31292">
            <w:rPr>
              <w:rFonts w:ascii="Garamond" w:hAnsi="Garamond" w:cs="Times New Roman"/>
              <w:b/>
              <w:bCs/>
              <w:sz w:val="24"/>
              <w:szCs w:val="24"/>
            </w:rPr>
            <w:t>2022–2026</w:t>
          </w:r>
        </w:p>
        <w:p w14:paraId="088E1C42" w14:textId="77777777" w:rsidR="00024A60" w:rsidRPr="00B31292" w:rsidRDefault="00024A60" w:rsidP="00CA65A7">
          <w:pPr>
            <w:shd w:val="clear" w:color="auto" w:fill="FFFFFF" w:themeFill="background1"/>
            <w:spacing w:after="0" w:line="240" w:lineRule="auto"/>
            <w:ind w:firstLine="284"/>
            <w:jc w:val="center"/>
            <w:rPr>
              <w:rFonts w:ascii="Garamond" w:hAnsi="Garamond" w:cs="Times New Roman"/>
              <w:b/>
              <w:bCs/>
              <w:sz w:val="24"/>
              <w:szCs w:val="24"/>
            </w:rPr>
          </w:pPr>
        </w:p>
        <w:p w14:paraId="19EDA88B" w14:textId="04403471" w:rsidR="00D87FF8" w:rsidRPr="00B31292" w:rsidRDefault="00D87FF8" w:rsidP="003A4DBA">
          <w:pPr>
            <w:spacing w:after="0" w:line="240" w:lineRule="auto"/>
            <w:ind w:firstLine="284"/>
            <w:rPr>
              <w:rFonts w:ascii="Garamond" w:hAnsi="Garamond" w:cs="Times New Roman"/>
              <w:sz w:val="24"/>
              <w:szCs w:val="24"/>
            </w:rPr>
          </w:pPr>
          <w:r w:rsidRPr="00B31292">
            <w:rPr>
              <w:rFonts w:ascii="Garamond" w:hAnsi="Garamond" w:cs="Cambria"/>
              <w:sz w:val="24"/>
              <w:szCs w:val="24"/>
            </w:rPr>
            <w:t xml:space="preserve">I. Lista e </w:t>
          </w:r>
          <w:r w:rsidR="002277EC" w:rsidRPr="00B31292">
            <w:rPr>
              <w:rFonts w:ascii="Garamond" w:hAnsi="Garamond" w:cs="Cambria"/>
              <w:sz w:val="24"/>
              <w:szCs w:val="24"/>
            </w:rPr>
            <w:t>shkurtimeve</w:t>
          </w:r>
        </w:p>
        <w:p w14:paraId="4D67A7A6" w14:textId="77777777" w:rsidR="00D87FF8" w:rsidRPr="00B31292" w:rsidRDefault="00D87FF8" w:rsidP="003A4DBA">
          <w:pPr>
            <w:spacing w:after="0" w:line="240" w:lineRule="auto"/>
            <w:ind w:firstLine="284"/>
            <w:rPr>
              <w:rFonts w:ascii="Garamond" w:hAnsi="Garamond" w:cs="Times New Roman"/>
              <w:sz w:val="24"/>
              <w:szCs w:val="24"/>
            </w:rPr>
          </w:pPr>
          <w:r w:rsidRPr="00B31292">
            <w:rPr>
              <w:rFonts w:ascii="Garamond" w:hAnsi="Garamond" w:cs="Cambria"/>
              <w:sz w:val="24"/>
              <w:szCs w:val="24"/>
            </w:rPr>
            <w:t>II. Hyrje</w:t>
          </w:r>
        </w:p>
        <w:p w14:paraId="1C976C44" w14:textId="3DB32456" w:rsidR="00D87FF8" w:rsidRPr="00B31292" w:rsidRDefault="00D87FF8" w:rsidP="003A4DBA">
          <w:pPr>
            <w:pStyle w:val="TOC1"/>
            <w:spacing w:after="0" w:line="240" w:lineRule="auto"/>
            <w:ind w:firstLine="284"/>
            <w:rPr>
              <w:rFonts w:ascii="Garamond" w:hAnsi="Garamond"/>
              <w:sz w:val="24"/>
              <w:szCs w:val="24"/>
              <w:lang w:val="sq-AL"/>
            </w:rPr>
          </w:pPr>
          <w:r w:rsidRPr="00B31292">
            <w:rPr>
              <w:rFonts w:ascii="Garamond" w:hAnsi="Garamond"/>
              <w:sz w:val="24"/>
              <w:szCs w:val="24"/>
              <w:lang w:val="sq-AL"/>
            </w:rPr>
            <w:t xml:space="preserve">III. Objektivat </w:t>
          </w:r>
          <w:r w:rsidR="002277EC" w:rsidRPr="00B31292">
            <w:rPr>
              <w:rFonts w:ascii="Garamond" w:hAnsi="Garamond"/>
              <w:sz w:val="24"/>
              <w:szCs w:val="24"/>
              <w:lang w:val="sq-AL"/>
            </w:rPr>
            <w:t>zhvillimorë</w:t>
          </w:r>
        </w:p>
        <w:p w14:paraId="782121D3" w14:textId="0D185E40" w:rsidR="00D87FF8" w:rsidRPr="00B31292" w:rsidRDefault="00D87FF8" w:rsidP="003A4DBA">
          <w:pPr>
            <w:spacing w:after="0" w:line="240" w:lineRule="auto"/>
            <w:ind w:firstLine="284"/>
            <w:rPr>
              <w:rFonts w:ascii="Garamond" w:hAnsi="Garamond" w:cs="Times New Roman"/>
              <w:sz w:val="24"/>
              <w:szCs w:val="24"/>
            </w:rPr>
          </w:pPr>
          <w:r w:rsidRPr="00B31292">
            <w:rPr>
              <w:rFonts w:ascii="Garamond" w:hAnsi="Garamond" w:cs="Times New Roman"/>
              <w:sz w:val="24"/>
              <w:szCs w:val="24"/>
            </w:rPr>
            <w:t xml:space="preserve">IV. Aktivitetet </w:t>
          </w:r>
          <w:r w:rsidR="002277EC" w:rsidRPr="00B31292">
            <w:rPr>
              <w:rFonts w:ascii="Garamond" w:hAnsi="Garamond" w:cs="Times New Roman"/>
              <w:sz w:val="24"/>
              <w:szCs w:val="24"/>
            </w:rPr>
            <w:t>statistikore</w:t>
          </w:r>
        </w:p>
        <w:p w14:paraId="2A1B938A" w14:textId="41C077BF" w:rsidR="00D87FF8" w:rsidRPr="00B31292" w:rsidRDefault="00D87FF8" w:rsidP="003A4DBA">
          <w:pPr>
            <w:spacing w:after="0" w:line="240" w:lineRule="auto"/>
            <w:ind w:firstLine="284"/>
            <w:rPr>
              <w:rFonts w:ascii="Garamond" w:hAnsi="Garamond" w:cs="Times New Roman"/>
              <w:sz w:val="24"/>
              <w:szCs w:val="24"/>
            </w:rPr>
          </w:pPr>
          <w:r w:rsidRPr="00B31292">
            <w:rPr>
              <w:rFonts w:ascii="Garamond" w:hAnsi="Garamond" w:cs="Times New Roman"/>
              <w:sz w:val="24"/>
              <w:szCs w:val="24"/>
            </w:rPr>
            <w:t xml:space="preserve">Fusha 1 </w:t>
          </w:r>
          <w:r w:rsidR="00BA12C3" w:rsidRPr="00B31292">
            <w:rPr>
              <w:rFonts w:ascii="Garamond" w:hAnsi="Garamond" w:cs="Times New Roman"/>
              <w:sz w:val="24"/>
              <w:szCs w:val="24"/>
            </w:rPr>
            <w:t>“</w:t>
          </w:r>
          <w:r w:rsidRPr="00B31292">
            <w:rPr>
              <w:rFonts w:ascii="Garamond" w:hAnsi="Garamond" w:cs="Times New Roman"/>
              <w:sz w:val="24"/>
              <w:szCs w:val="24"/>
            </w:rPr>
            <w:t>Statistikat demografike dhe sociale</w:t>
          </w:r>
          <w:r w:rsidR="00BA12C3" w:rsidRPr="00B31292">
            <w:rPr>
              <w:rFonts w:ascii="Garamond" w:hAnsi="Garamond" w:cs="Times New Roman"/>
              <w:sz w:val="24"/>
              <w:szCs w:val="24"/>
            </w:rPr>
            <w:t>”</w:t>
          </w:r>
        </w:p>
        <w:p w14:paraId="7EF7E095" w14:textId="7836BACB" w:rsidR="00D87FF8" w:rsidRPr="00B31292" w:rsidRDefault="00D87FF8" w:rsidP="003A4DBA">
          <w:pPr>
            <w:spacing w:after="0" w:line="240" w:lineRule="auto"/>
            <w:ind w:firstLine="284"/>
            <w:rPr>
              <w:rFonts w:ascii="Garamond" w:hAnsi="Garamond" w:cs="Times New Roman"/>
              <w:sz w:val="24"/>
              <w:szCs w:val="24"/>
            </w:rPr>
          </w:pPr>
          <w:r w:rsidRPr="00B31292">
            <w:rPr>
              <w:rFonts w:ascii="Garamond" w:hAnsi="Garamond" w:cs="Times New Roman"/>
              <w:sz w:val="24"/>
              <w:szCs w:val="24"/>
            </w:rPr>
            <w:t xml:space="preserve">Fusha 2 </w:t>
          </w:r>
          <w:r w:rsidR="00BA12C3" w:rsidRPr="00B31292">
            <w:rPr>
              <w:rFonts w:ascii="Garamond" w:hAnsi="Garamond" w:cs="Times New Roman"/>
              <w:sz w:val="24"/>
              <w:szCs w:val="24"/>
            </w:rPr>
            <w:t>“</w:t>
          </w:r>
          <w:r w:rsidRPr="00B31292">
            <w:rPr>
              <w:rFonts w:ascii="Garamond" w:hAnsi="Garamond" w:cs="Times New Roman"/>
              <w:sz w:val="24"/>
              <w:szCs w:val="24"/>
            </w:rPr>
            <w:t xml:space="preserve">Statistikat </w:t>
          </w:r>
          <w:r w:rsidR="002277EC" w:rsidRPr="00B31292">
            <w:rPr>
              <w:rFonts w:ascii="Garamond" w:hAnsi="Garamond" w:cs="Times New Roman"/>
              <w:sz w:val="24"/>
              <w:szCs w:val="24"/>
            </w:rPr>
            <w:t>ekonomike</w:t>
          </w:r>
          <w:r w:rsidR="00BA12C3" w:rsidRPr="00B31292">
            <w:rPr>
              <w:rFonts w:ascii="Garamond" w:hAnsi="Garamond" w:cs="Times New Roman"/>
              <w:sz w:val="24"/>
              <w:szCs w:val="24"/>
            </w:rPr>
            <w:t>”</w:t>
          </w:r>
        </w:p>
        <w:p w14:paraId="066FB0F7" w14:textId="255A2B34" w:rsidR="00D87FF8" w:rsidRPr="00B31292" w:rsidRDefault="00D87FF8" w:rsidP="003A4DBA">
          <w:pPr>
            <w:spacing w:after="0" w:line="240" w:lineRule="auto"/>
            <w:ind w:firstLine="284"/>
            <w:rPr>
              <w:rFonts w:ascii="Garamond" w:hAnsi="Garamond" w:cs="Times New Roman"/>
              <w:sz w:val="24"/>
              <w:szCs w:val="24"/>
            </w:rPr>
          </w:pPr>
          <w:r w:rsidRPr="00B31292">
            <w:rPr>
              <w:rFonts w:ascii="Garamond" w:hAnsi="Garamond" w:cs="Times New Roman"/>
              <w:sz w:val="24"/>
              <w:szCs w:val="24"/>
            </w:rPr>
            <w:t xml:space="preserve">Fusha 3 </w:t>
          </w:r>
          <w:r w:rsidR="00BA12C3" w:rsidRPr="00B31292">
            <w:rPr>
              <w:rFonts w:ascii="Garamond" w:hAnsi="Garamond" w:cs="Times New Roman"/>
              <w:sz w:val="24"/>
              <w:szCs w:val="24"/>
            </w:rPr>
            <w:t>“</w:t>
          </w:r>
          <w:r w:rsidRPr="00B31292">
            <w:rPr>
              <w:rFonts w:ascii="Garamond" w:hAnsi="Garamond" w:cs="Times New Roman"/>
              <w:sz w:val="24"/>
              <w:szCs w:val="24"/>
            </w:rPr>
            <w:t xml:space="preserve">Statistikat </w:t>
          </w:r>
          <w:r w:rsidR="002277EC" w:rsidRPr="00B31292">
            <w:rPr>
              <w:rFonts w:ascii="Garamond" w:hAnsi="Garamond" w:cs="Times New Roman"/>
              <w:sz w:val="24"/>
              <w:szCs w:val="24"/>
            </w:rPr>
            <w:t>sektoriale</w:t>
          </w:r>
          <w:r w:rsidR="00BA12C3" w:rsidRPr="00B31292">
            <w:rPr>
              <w:rFonts w:ascii="Garamond" w:hAnsi="Garamond" w:cs="Times New Roman"/>
              <w:sz w:val="24"/>
              <w:szCs w:val="24"/>
            </w:rPr>
            <w:t>”</w:t>
          </w:r>
          <w:r w:rsidR="00EE716C" w:rsidRPr="00B31292">
            <w:rPr>
              <w:rFonts w:ascii="Garamond" w:hAnsi="Garamond" w:cs="Times New Roman"/>
              <w:sz w:val="24"/>
              <w:szCs w:val="24"/>
            </w:rPr>
            <w:t xml:space="preserve"> </w:t>
          </w:r>
        </w:p>
        <w:p w14:paraId="05E49886" w14:textId="1766AD80" w:rsidR="00D87FF8" w:rsidRPr="00B31292" w:rsidRDefault="00D87FF8" w:rsidP="003A4DBA">
          <w:pPr>
            <w:spacing w:after="0" w:line="240" w:lineRule="auto"/>
            <w:ind w:firstLine="284"/>
            <w:rPr>
              <w:rFonts w:ascii="Garamond" w:hAnsi="Garamond" w:cs="Times New Roman"/>
              <w:sz w:val="24"/>
              <w:szCs w:val="24"/>
            </w:rPr>
          </w:pPr>
          <w:r w:rsidRPr="00B31292">
            <w:rPr>
              <w:rFonts w:ascii="Garamond" w:hAnsi="Garamond" w:cs="Times New Roman"/>
              <w:sz w:val="24"/>
              <w:szCs w:val="24"/>
            </w:rPr>
            <w:t xml:space="preserve">Fusha 4 </w:t>
          </w:r>
          <w:r w:rsidR="00BA12C3" w:rsidRPr="00B31292">
            <w:rPr>
              <w:rFonts w:ascii="Garamond" w:hAnsi="Garamond" w:cs="Times New Roman"/>
              <w:sz w:val="24"/>
              <w:szCs w:val="24"/>
            </w:rPr>
            <w:t>“</w:t>
          </w:r>
          <w:r w:rsidRPr="00B31292">
            <w:rPr>
              <w:rFonts w:ascii="Garamond" w:hAnsi="Garamond" w:cs="Times New Roman"/>
              <w:sz w:val="24"/>
              <w:szCs w:val="24"/>
            </w:rPr>
            <w:t xml:space="preserve">Statistikat e </w:t>
          </w:r>
          <w:r w:rsidR="002277EC" w:rsidRPr="00B31292">
            <w:rPr>
              <w:rFonts w:ascii="Garamond" w:hAnsi="Garamond" w:cs="Times New Roman"/>
              <w:sz w:val="24"/>
              <w:szCs w:val="24"/>
            </w:rPr>
            <w:t xml:space="preserve">mjedisit </w:t>
          </w:r>
          <w:r w:rsidRPr="00B31292">
            <w:rPr>
              <w:rFonts w:ascii="Garamond" w:hAnsi="Garamond" w:cs="Times New Roman"/>
              <w:sz w:val="24"/>
              <w:szCs w:val="24"/>
            </w:rPr>
            <w:t xml:space="preserve">dhe </w:t>
          </w:r>
          <w:r w:rsidR="002277EC" w:rsidRPr="00B31292">
            <w:rPr>
              <w:rFonts w:ascii="Garamond" w:hAnsi="Garamond" w:cs="Times New Roman"/>
              <w:sz w:val="24"/>
              <w:szCs w:val="24"/>
            </w:rPr>
            <w:t>multidomain</w:t>
          </w:r>
          <w:r w:rsidR="00BA12C3" w:rsidRPr="00B31292">
            <w:rPr>
              <w:rFonts w:ascii="Garamond" w:hAnsi="Garamond" w:cs="Times New Roman"/>
              <w:sz w:val="24"/>
              <w:szCs w:val="24"/>
            </w:rPr>
            <w:t>”</w:t>
          </w:r>
        </w:p>
        <w:p w14:paraId="2DBC0746" w14:textId="77777777" w:rsidR="00D87FF8" w:rsidRPr="00B31292" w:rsidRDefault="00D87FF8" w:rsidP="003A4DBA">
          <w:pPr>
            <w:spacing w:after="0" w:line="240" w:lineRule="auto"/>
            <w:ind w:firstLine="284"/>
            <w:rPr>
              <w:rFonts w:ascii="Garamond" w:hAnsi="Garamond" w:cs="Times New Roman"/>
              <w:sz w:val="24"/>
              <w:szCs w:val="24"/>
            </w:rPr>
          </w:pPr>
          <w:r w:rsidRPr="00B31292">
            <w:rPr>
              <w:rFonts w:ascii="Garamond" w:hAnsi="Garamond" w:cs="Times New Roman"/>
              <w:sz w:val="24"/>
              <w:szCs w:val="24"/>
            </w:rPr>
            <w:t>Botime përmbledhëse</w:t>
          </w:r>
        </w:p>
        <w:p w14:paraId="216FE3EB" w14:textId="773C3681" w:rsidR="00D87FF8" w:rsidRPr="00B31292" w:rsidRDefault="00CA65A7" w:rsidP="003A4DBA">
          <w:pPr>
            <w:pStyle w:val="TOC3"/>
            <w:spacing w:after="0" w:line="240" w:lineRule="auto"/>
            <w:ind w:left="0" w:firstLine="284"/>
            <w:rPr>
              <w:rFonts w:ascii="Garamond" w:hAnsi="Garamond"/>
              <w:sz w:val="24"/>
              <w:szCs w:val="24"/>
            </w:rPr>
          </w:pPr>
          <w:r w:rsidRPr="00B31292">
            <w:rPr>
              <w:rFonts w:ascii="Garamond" w:hAnsi="Garamond" w:cs="Calibri"/>
              <w:sz w:val="24"/>
              <w:szCs w:val="24"/>
            </w:rPr>
            <w:t>Censet</w:t>
          </w:r>
          <w:r w:rsidRPr="00B31292">
            <w:rPr>
              <w:rFonts w:ascii="Garamond" w:hAnsi="Garamond"/>
              <w:sz w:val="24"/>
              <w:szCs w:val="24"/>
            </w:rPr>
            <w:t xml:space="preserve"> </w:t>
          </w:r>
        </w:p>
        <w:p w14:paraId="5C877FE4" w14:textId="77777777" w:rsidR="00D87FF8" w:rsidRPr="00B31292" w:rsidRDefault="00D87FF8" w:rsidP="003A4DBA">
          <w:pPr>
            <w:spacing w:after="0" w:line="240" w:lineRule="auto"/>
            <w:ind w:firstLine="284"/>
            <w:rPr>
              <w:rFonts w:ascii="Garamond" w:hAnsi="Garamond" w:cs="Times New Roman"/>
              <w:sz w:val="24"/>
              <w:szCs w:val="24"/>
            </w:rPr>
          </w:pPr>
          <w:r w:rsidRPr="00B31292">
            <w:rPr>
              <w:rFonts w:ascii="Garamond" w:hAnsi="Garamond" w:cs="Times New Roman"/>
              <w:sz w:val="24"/>
              <w:szCs w:val="24"/>
            </w:rPr>
            <w:t>V. Sistemi i menaxhimit të cilësisë</w:t>
          </w:r>
        </w:p>
        <w:p w14:paraId="55423FA5" w14:textId="77777777" w:rsidR="00D87FF8" w:rsidRPr="00B31292" w:rsidRDefault="00D87FF8" w:rsidP="003A4DBA">
          <w:pPr>
            <w:spacing w:after="0" w:line="240" w:lineRule="auto"/>
            <w:ind w:firstLine="284"/>
            <w:rPr>
              <w:rFonts w:ascii="Garamond" w:hAnsi="Garamond" w:cs="Times New Roman"/>
              <w:sz w:val="24"/>
              <w:szCs w:val="24"/>
            </w:rPr>
          </w:pPr>
          <w:r w:rsidRPr="00B31292">
            <w:rPr>
              <w:rFonts w:ascii="Garamond" w:hAnsi="Garamond" w:cs="Times New Roman"/>
              <w:sz w:val="24"/>
              <w:szCs w:val="24"/>
            </w:rPr>
            <w:t>VI. Integrimi evropian dhe bashkëpunimet ndërkombëtare</w:t>
          </w:r>
        </w:p>
        <w:p w14:paraId="69907368" w14:textId="77777777" w:rsidR="00D87FF8" w:rsidRPr="00B31292" w:rsidRDefault="00D87FF8" w:rsidP="003A4DBA">
          <w:pPr>
            <w:spacing w:after="0" w:line="240" w:lineRule="auto"/>
            <w:ind w:firstLine="284"/>
            <w:rPr>
              <w:rFonts w:ascii="Garamond" w:hAnsi="Garamond" w:cs="Times New Roman"/>
              <w:sz w:val="24"/>
              <w:szCs w:val="24"/>
            </w:rPr>
          </w:pPr>
          <w:r w:rsidRPr="00B31292">
            <w:rPr>
              <w:rFonts w:ascii="Garamond" w:hAnsi="Garamond" w:cs="Times New Roman"/>
              <w:sz w:val="24"/>
              <w:szCs w:val="24"/>
            </w:rPr>
            <w:t>VII. Objektivat e Zhvillimit të Qëndrueshëm (SDG)</w:t>
          </w:r>
        </w:p>
        <w:p w14:paraId="65A84E25" w14:textId="04E629BB" w:rsidR="00D87FF8" w:rsidRPr="00B31292" w:rsidRDefault="00D87FF8" w:rsidP="003A4DBA">
          <w:pPr>
            <w:spacing w:after="0" w:line="240" w:lineRule="auto"/>
            <w:ind w:firstLine="284"/>
            <w:rPr>
              <w:rFonts w:ascii="Garamond" w:hAnsi="Garamond" w:cs="Times New Roman"/>
              <w:sz w:val="24"/>
              <w:szCs w:val="24"/>
            </w:rPr>
          </w:pPr>
          <w:r w:rsidRPr="00B31292">
            <w:rPr>
              <w:rFonts w:ascii="Garamond" w:hAnsi="Garamond" w:cs="Times New Roman"/>
              <w:sz w:val="24"/>
              <w:szCs w:val="24"/>
            </w:rPr>
            <w:t>VII</w:t>
          </w:r>
          <w:r w:rsidR="00B31292" w:rsidRPr="00B31292">
            <w:rPr>
              <w:rFonts w:ascii="Garamond" w:hAnsi="Garamond" w:cs="Times New Roman"/>
              <w:sz w:val="24"/>
              <w:szCs w:val="24"/>
            </w:rPr>
            <w:t>I</w:t>
          </w:r>
          <w:r w:rsidRPr="00B31292">
            <w:rPr>
              <w:rFonts w:ascii="Garamond" w:hAnsi="Garamond" w:cs="Times New Roman"/>
              <w:sz w:val="24"/>
              <w:szCs w:val="24"/>
            </w:rPr>
            <w:t>. Burimet financiare dhe njerëzore</w:t>
          </w:r>
        </w:p>
        <w:p w14:paraId="04CADAD4" w14:textId="185BAED2" w:rsidR="00D87FF8" w:rsidRPr="00B31292" w:rsidRDefault="00B31292" w:rsidP="003A4DBA">
          <w:pPr>
            <w:spacing w:after="0" w:line="240" w:lineRule="auto"/>
            <w:ind w:firstLine="284"/>
            <w:rPr>
              <w:rFonts w:ascii="Garamond" w:hAnsi="Garamond" w:cs="Times New Roman"/>
              <w:sz w:val="24"/>
              <w:szCs w:val="24"/>
            </w:rPr>
          </w:pPr>
          <w:r w:rsidRPr="00B31292">
            <w:rPr>
              <w:rFonts w:ascii="Garamond" w:hAnsi="Garamond" w:cs="Times New Roman"/>
              <w:sz w:val="24"/>
              <w:szCs w:val="24"/>
            </w:rPr>
            <w:t>IX</w:t>
          </w:r>
          <w:r w:rsidR="00D87FF8" w:rsidRPr="00B31292">
            <w:rPr>
              <w:rFonts w:ascii="Garamond" w:hAnsi="Garamond" w:cs="Times New Roman"/>
              <w:sz w:val="24"/>
              <w:szCs w:val="24"/>
            </w:rPr>
            <w:t>. Analiza SWOT</w:t>
          </w:r>
        </w:p>
        <w:p w14:paraId="7539B461" w14:textId="2A17CD3B" w:rsidR="00D87FF8" w:rsidRPr="00B31292" w:rsidRDefault="00B31292" w:rsidP="003A4DBA">
          <w:pPr>
            <w:spacing w:after="0" w:line="240" w:lineRule="auto"/>
            <w:ind w:firstLine="284"/>
            <w:rPr>
              <w:rFonts w:ascii="Garamond" w:hAnsi="Garamond" w:cs="Times New Roman"/>
              <w:sz w:val="24"/>
              <w:szCs w:val="24"/>
            </w:rPr>
          </w:pPr>
          <w:r w:rsidRPr="00B31292">
            <w:rPr>
              <w:rFonts w:ascii="Garamond" w:hAnsi="Garamond" w:cs="Times New Roman"/>
              <w:sz w:val="24"/>
              <w:szCs w:val="24"/>
            </w:rPr>
            <w:t>X</w:t>
          </w:r>
          <w:r w:rsidR="00D87FF8" w:rsidRPr="00B31292">
            <w:rPr>
              <w:rFonts w:ascii="Garamond" w:hAnsi="Garamond" w:cs="Times New Roman"/>
              <w:sz w:val="24"/>
              <w:szCs w:val="24"/>
            </w:rPr>
            <w:t>. Analiza e risqeve dhe problemet e pritshme për kryerjen e aktiviteteve</w:t>
          </w:r>
        </w:p>
        <w:p w14:paraId="41C9E460" w14:textId="26F295DD" w:rsidR="00D87FF8" w:rsidRPr="00B31292" w:rsidRDefault="00B31292" w:rsidP="003A4DBA">
          <w:pPr>
            <w:spacing w:after="0" w:line="240" w:lineRule="auto"/>
            <w:ind w:firstLine="284"/>
            <w:rPr>
              <w:rFonts w:ascii="Garamond" w:hAnsi="Garamond" w:cs="Times New Roman"/>
              <w:sz w:val="24"/>
              <w:szCs w:val="24"/>
            </w:rPr>
          </w:pPr>
          <w:r w:rsidRPr="00B31292">
            <w:rPr>
              <w:rFonts w:ascii="Garamond" w:hAnsi="Garamond" w:cs="Times New Roman"/>
              <w:sz w:val="24"/>
              <w:szCs w:val="24"/>
            </w:rPr>
            <w:t>XI</w:t>
          </w:r>
          <w:r w:rsidR="00D87FF8" w:rsidRPr="00B31292">
            <w:rPr>
              <w:rFonts w:ascii="Garamond" w:hAnsi="Garamond" w:cs="Times New Roman"/>
              <w:sz w:val="24"/>
              <w:szCs w:val="24"/>
            </w:rPr>
            <w:t xml:space="preserve">. Notë shpjeguese për përdorimin e </w:t>
          </w:r>
          <w:r w:rsidR="002277EC" w:rsidRPr="00B31292">
            <w:rPr>
              <w:rFonts w:ascii="Garamond" w:hAnsi="Garamond" w:cs="Times New Roman"/>
              <w:sz w:val="24"/>
              <w:szCs w:val="24"/>
            </w:rPr>
            <w:t>aneksit</w:t>
          </w:r>
        </w:p>
        <w:p w14:paraId="794B0985" w14:textId="21245F4E" w:rsidR="00D87FF8" w:rsidRPr="00B31292" w:rsidRDefault="00D87FF8" w:rsidP="003A4DBA">
          <w:pPr>
            <w:spacing w:after="0" w:line="240" w:lineRule="auto"/>
            <w:ind w:firstLine="284"/>
            <w:rPr>
              <w:rFonts w:ascii="Garamond" w:hAnsi="Garamond"/>
              <w:sz w:val="24"/>
              <w:szCs w:val="24"/>
            </w:rPr>
          </w:pPr>
          <w:r w:rsidRPr="00B31292">
            <w:rPr>
              <w:rFonts w:ascii="Garamond" w:hAnsi="Garamond"/>
              <w:sz w:val="24"/>
              <w:szCs w:val="24"/>
            </w:rPr>
            <w:t>X</w:t>
          </w:r>
          <w:r w:rsidR="00B31292" w:rsidRPr="00B31292">
            <w:rPr>
              <w:rFonts w:ascii="Garamond" w:hAnsi="Garamond"/>
              <w:sz w:val="24"/>
              <w:szCs w:val="24"/>
            </w:rPr>
            <w:t>II</w:t>
          </w:r>
          <w:r w:rsidRPr="00B31292">
            <w:rPr>
              <w:rFonts w:ascii="Garamond" w:hAnsi="Garamond"/>
              <w:sz w:val="24"/>
              <w:szCs w:val="24"/>
            </w:rPr>
            <w:t>. Aneksi</w:t>
          </w:r>
        </w:p>
        <w:p w14:paraId="24BE3245" w14:textId="77777777" w:rsidR="00024A60" w:rsidRPr="00B31292" w:rsidRDefault="00024A60" w:rsidP="003A4DBA">
          <w:pPr>
            <w:shd w:val="clear" w:color="auto" w:fill="FFFFFF" w:themeFill="background1"/>
            <w:spacing w:after="0" w:line="240" w:lineRule="auto"/>
            <w:ind w:firstLine="284"/>
            <w:rPr>
              <w:rFonts w:ascii="Garamond" w:hAnsi="Garamond" w:cs="Times New Roman"/>
              <w:sz w:val="24"/>
              <w:szCs w:val="24"/>
            </w:rPr>
          </w:pPr>
        </w:p>
        <w:p w14:paraId="2F9B55D0" w14:textId="7AFD6549" w:rsidR="00024A60" w:rsidRPr="00B31292" w:rsidRDefault="005F74C8" w:rsidP="003A4DBA">
          <w:pPr>
            <w:shd w:val="clear" w:color="auto" w:fill="FFFFFF" w:themeFill="background1"/>
            <w:spacing w:after="0" w:line="240" w:lineRule="auto"/>
            <w:ind w:firstLine="284"/>
            <w:rPr>
              <w:rFonts w:ascii="Garamond" w:hAnsi="Garamond" w:cs="Times New Roman"/>
              <w:sz w:val="24"/>
              <w:szCs w:val="24"/>
            </w:rPr>
          </w:pPr>
        </w:p>
      </w:sdtContent>
    </w:sdt>
    <w:p w14:paraId="6542EC41" w14:textId="3EDF31A1" w:rsidR="00AB22B8" w:rsidRPr="00B31292" w:rsidRDefault="00AB22B8" w:rsidP="003A4DBA">
      <w:pPr>
        <w:pStyle w:val="Heading2"/>
        <w:spacing w:before="0" w:line="240" w:lineRule="auto"/>
        <w:ind w:firstLine="284"/>
        <w:rPr>
          <w:rStyle w:val="Heading2Char"/>
          <w:rFonts w:ascii="Garamond" w:hAnsi="Garamond"/>
          <w:b/>
          <w:bCs/>
          <w:noProof w:val="0"/>
          <w:color w:val="auto"/>
          <w:sz w:val="24"/>
          <w:szCs w:val="24"/>
        </w:rPr>
      </w:pPr>
      <w:bookmarkStart w:id="0" w:name="_Toc182991967"/>
      <w:r w:rsidRPr="00B31292">
        <w:rPr>
          <w:rStyle w:val="Heading2Char"/>
          <w:rFonts w:ascii="Garamond" w:hAnsi="Garamond"/>
          <w:b/>
          <w:bCs/>
          <w:noProof w:val="0"/>
          <w:color w:val="auto"/>
          <w:sz w:val="24"/>
          <w:szCs w:val="24"/>
        </w:rPr>
        <w:lastRenderedPageBreak/>
        <w:t xml:space="preserve">I. Lista e </w:t>
      </w:r>
      <w:r w:rsidR="002277EC" w:rsidRPr="00B31292">
        <w:rPr>
          <w:rStyle w:val="Heading2Char"/>
          <w:rFonts w:ascii="Garamond" w:hAnsi="Garamond"/>
          <w:b/>
          <w:bCs/>
          <w:noProof w:val="0"/>
          <w:color w:val="auto"/>
          <w:sz w:val="24"/>
          <w:szCs w:val="24"/>
        </w:rPr>
        <w:t>shkurtimeve</w:t>
      </w:r>
      <w:bookmarkEnd w:id="0"/>
    </w:p>
    <w:tbl>
      <w:tblPr>
        <w:tblStyle w:val="TableGrid3"/>
        <w:tblW w:w="9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50"/>
        <w:gridCol w:w="3240"/>
        <w:gridCol w:w="1350"/>
        <w:gridCol w:w="3330"/>
      </w:tblGrid>
      <w:tr w:rsidR="00EE716C" w:rsidRPr="00B31292" w14:paraId="37BBBF24" w14:textId="77777777" w:rsidTr="00CA65A7">
        <w:trPr>
          <w:trHeight w:val="20"/>
        </w:trPr>
        <w:tc>
          <w:tcPr>
            <w:tcW w:w="1350" w:type="dxa"/>
            <w:vAlign w:val="center"/>
          </w:tcPr>
          <w:p w14:paraId="536E6510" w14:textId="77777777" w:rsidR="00AB22B8" w:rsidRPr="00B31292" w:rsidRDefault="00AB22B8" w:rsidP="003A4DBA">
            <w:pPr>
              <w:ind w:firstLine="284"/>
              <w:rPr>
                <w:rFonts w:ascii="Garamond" w:hAnsi="Garamond" w:cs="Times New Roman"/>
                <w:sz w:val="20"/>
                <w:szCs w:val="20"/>
              </w:rPr>
            </w:pPr>
            <w:r w:rsidRPr="00B31292">
              <w:rPr>
                <w:rFonts w:ascii="Garamond" w:hAnsi="Garamond" w:cs="Times New Roman"/>
                <w:sz w:val="20"/>
                <w:szCs w:val="20"/>
              </w:rPr>
              <w:t>AS</w:t>
            </w:r>
          </w:p>
        </w:tc>
        <w:tc>
          <w:tcPr>
            <w:tcW w:w="3240" w:type="dxa"/>
            <w:vAlign w:val="center"/>
          </w:tcPr>
          <w:p w14:paraId="4D27E7E2" w14:textId="36AB2BF0" w:rsidR="00AB22B8" w:rsidRPr="00B31292" w:rsidRDefault="00AB22B8" w:rsidP="002277EC">
            <w:pPr>
              <w:rPr>
                <w:rFonts w:ascii="Garamond" w:hAnsi="Garamond" w:cs="Times New Roman"/>
                <w:sz w:val="20"/>
                <w:szCs w:val="20"/>
              </w:rPr>
            </w:pPr>
            <w:r w:rsidRPr="00B31292">
              <w:rPr>
                <w:rFonts w:ascii="Garamond" w:hAnsi="Garamond" w:cs="Times New Roman"/>
                <w:sz w:val="20"/>
                <w:szCs w:val="20"/>
              </w:rPr>
              <w:t xml:space="preserve">Aktivitet </w:t>
            </w:r>
            <w:r w:rsidR="000F0D03" w:rsidRPr="00B31292">
              <w:rPr>
                <w:rFonts w:ascii="Garamond" w:hAnsi="Garamond" w:cs="Times New Roman"/>
                <w:sz w:val="20"/>
                <w:szCs w:val="20"/>
              </w:rPr>
              <w:t>statistikor</w:t>
            </w:r>
          </w:p>
        </w:tc>
        <w:tc>
          <w:tcPr>
            <w:tcW w:w="1350" w:type="dxa"/>
            <w:vAlign w:val="center"/>
          </w:tcPr>
          <w:p w14:paraId="0EF7B779" w14:textId="77777777" w:rsidR="00AB22B8" w:rsidRPr="00B31292" w:rsidRDefault="00AB22B8" w:rsidP="003A4DBA">
            <w:pPr>
              <w:ind w:firstLine="284"/>
              <w:rPr>
                <w:rFonts w:ascii="Garamond" w:hAnsi="Garamond" w:cs="Times New Roman"/>
                <w:sz w:val="20"/>
                <w:szCs w:val="20"/>
                <w:lang w:eastAsia="ja-JP"/>
              </w:rPr>
            </w:pPr>
            <w:r w:rsidRPr="00B31292">
              <w:rPr>
                <w:rFonts w:ascii="Garamond" w:eastAsia="Calibri" w:hAnsi="Garamond" w:cs="Times New Roman"/>
                <w:sz w:val="20"/>
                <w:szCs w:val="20"/>
              </w:rPr>
              <w:t>NUTS</w:t>
            </w:r>
          </w:p>
        </w:tc>
        <w:tc>
          <w:tcPr>
            <w:tcW w:w="3330" w:type="dxa"/>
            <w:vAlign w:val="bottom"/>
          </w:tcPr>
          <w:p w14:paraId="2D09AAD1" w14:textId="5FDAFCD1" w:rsidR="00AB22B8" w:rsidRPr="00B31292" w:rsidRDefault="00AB22B8" w:rsidP="00CA65A7">
            <w:pPr>
              <w:rPr>
                <w:rFonts w:ascii="Garamond" w:eastAsia="Calibri" w:hAnsi="Garamond" w:cs="Times New Roman"/>
                <w:sz w:val="20"/>
                <w:szCs w:val="20"/>
              </w:rPr>
            </w:pPr>
            <w:r w:rsidRPr="00B31292">
              <w:rPr>
                <w:rFonts w:ascii="Garamond" w:eastAsia="Calibri" w:hAnsi="Garamond" w:cs="Times New Roman"/>
                <w:sz w:val="20"/>
                <w:szCs w:val="20"/>
              </w:rPr>
              <w:t>Nomenklatura e Njësive Territoriale për Statistikat (</w:t>
            </w:r>
            <w:r w:rsidRPr="00B31292">
              <w:rPr>
                <w:rFonts w:ascii="Garamond" w:eastAsia="Calibri" w:hAnsi="Garamond" w:cs="Times New Roman"/>
                <w:i/>
                <w:iCs/>
                <w:sz w:val="20"/>
                <w:szCs w:val="20"/>
              </w:rPr>
              <w:t>Nomenclature of Territorial Units for Statistics</w:t>
            </w:r>
            <w:r w:rsidRPr="00B31292">
              <w:rPr>
                <w:rFonts w:ascii="Garamond" w:eastAsia="Calibri" w:hAnsi="Garamond" w:cs="Times New Roman"/>
                <w:sz w:val="20"/>
                <w:szCs w:val="20"/>
              </w:rPr>
              <w:t>)</w:t>
            </w:r>
          </w:p>
          <w:p w14:paraId="504665C9" w14:textId="78F368D5" w:rsidR="002277EC" w:rsidRPr="00B31292" w:rsidRDefault="002277EC" w:rsidP="00CA65A7">
            <w:pPr>
              <w:ind w:firstLine="284"/>
              <w:rPr>
                <w:rFonts w:ascii="Garamond" w:hAnsi="Garamond" w:cs="Times New Roman"/>
                <w:sz w:val="20"/>
                <w:szCs w:val="20"/>
                <w:lang w:eastAsia="ja-JP"/>
              </w:rPr>
            </w:pPr>
          </w:p>
        </w:tc>
      </w:tr>
      <w:tr w:rsidR="00EE716C" w:rsidRPr="00B31292" w14:paraId="67D0161A" w14:textId="77777777" w:rsidTr="00CA65A7">
        <w:trPr>
          <w:trHeight w:val="20"/>
        </w:trPr>
        <w:tc>
          <w:tcPr>
            <w:tcW w:w="1350" w:type="dxa"/>
            <w:vAlign w:val="center"/>
          </w:tcPr>
          <w:p w14:paraId="28E87594" w14:textId="77777777" w:rsidR="00AB22B8" w:rsidRPr="00B31292" w:rsidRDefault="00AB22B8" w:rsidP="003A4DBA">
            <w:pPr>
              <w:ind w:firstLine="284"/>
              <w:rPr>
                <w:rFonts w:ascii="Garamond" w:hAnsi="Garamond" w:cs="Times New Roman"/>
                <w:sz w:val="20"/>
                <w:szCs w:val="20"/>
              </w:rPr>
            </w:pPr>
            <w:r w:rsidRPr="00B31292">
              <w:rPr>
                <w:rFonts w:ascii="Garamond" w:hAnsi="Garamond" w:cs="Times New Roman"/>
                <w:sz w:val="20"/>
                <w:szCs w:val="20"/>
              </w:rPr>
              <w:t>BA</w:t>
            </w:r>
          </w:p>
          <w:p w14:paraId="38A089DE" w14:textId="75CBDCF4" w:rsidR="002277EC" w:rsidRPr="00B31292" w:rsidRDefault="002277EC" w:rsidP="003A4DBA">
            <w:pPr>
              <w:ind w:firstLine="284"/>
              <w:rPr>
                <w:rFonts w:ascii="Garamond" w:hAnsi="Garamond" w:cs="Times New Roman"/>
                <w:sz w:val="20"/>
                <w:szCs w:val="20"/>
              </w:rPr>
            </w:pPr>
          </w:p>
        </w:tc>
        <w:tc>
          <w:tcPr>
            <w:tcW w:w="3240" w:type="dxa"/>
            <w:vAlign w:val="center"/>
          </w:tcPr>
          <w:p w14:paraId="5BD42CE9" w14:textId="0C105C76" w:rsidR="00AB22B8" w:rsidRPr="00B31292" w:rsidRDefault="00AB22B8" w:rsidP="002277EC">
            <w:pPr>
              <w:rPr>
                <w:rFonts w:ascii="Garamond" w:hAnsi="Garamond" w:cs="Times New Roman"/>
                <w:sz w:val="20"/>
                <w:szCs w:val="20"/>
                <w:lang w:eastAsia="ja-JP"/>
              </w:rPr>
            </w:pPr>
            <w:r w:rsidRPr="00B31292">
              <w:rPr>
                <w:rFonts w:ascii="Garamond" w:hAnsi="Garamond" w:cs="Times New Roman"/>
                <w:sz w:val="20"/>
                <w:szCs w:val="20"/>
                <w:lang w:eastAsia="ja-JP"/>
              </w:rPr>
              <w:t xml:space="preserve">Burim </w:t>
            </w:r>
            <w:r w:rsidR="000F0D03" w:rsidRPr="00B31292">
              <w:rPr>
                <w:rFonts w:ascii="Garamond" w:hAnsi="Garamond" w:cs="Times New Roman"/>
                <w:sz w:val="20"/>
                <w:szCs w:val="20"/>
                <w:lang w:eastAsia="ja-JP"/>
              </w:rPr>
              <w:t>administrativ</w:t>
            </w:r>
          </w:p>
          <w:p w14:paraId="01D5CF90" w14:textId="723E51C7" w:rsidR="002277EC" w:rsidRPr="00B31292" w:rsidRDefault="002277EC" w:rsidP="003A4DBA">
            <w:pPr>
              <w:ind w:firstLine="284"/>
              <w:rPr>
                <w:rFonts w:ascii="Garamond" w:hAnsi="Garamond" w:cs="Times New Roman"/>
                <w:sz w:val="20"/>
                <w:szCs w:val="20"/>
                <w:lang w:eastAsia="ja-JP"/>
              </w:rPr>
            </w:pPr>
          </w:p>
        </w:tc>
        <w:tc>
          <w:tcPr>
            <w:tcW w:w="1350" w:type="dxa"/>
            <w:vAlign w:val="center"/>
          </w:tcPr>
          <w:p w14:paraId="79C413F3" w14:textId="77777777" w:rsidR="00AB22B8" w:rsidRPr="00B31292" w:rsidRDefault="00AB22B8" w:rsidP="003A4DBA">
            <w:pPr>
              <w:ind w:firstLine="284"/>
              <w:rPr>
                <w:rFonts w:ascii="Garamond" w:eastAsia="Calibri" w:hAnsi="Garamond" w:cs="Times New Roman"/>
                <w:sz w:val="20"/>
                <w:szCs w:val="20"/>
              </w:rPr>
            </w:pPr>
            <w:r w:rsidRPr="00B31292">
              <w:rPr>
                <w:rFonts w:ascii="Garamond" w:eastAsia="Calibri" w:hAnsi="Garamond" w:cs="Times New Roman"/>
                <w:sz w:val="20"/>
                <w:szCs w:val="20"/>
              </w:rPr>
              <w:t>N</w:t>
            </w:r>
            <w:r w:rsidR="004A7E69" w:rsidRPr="00B31292">
              <w:rPr>
                <w:rFonts w:ascii="Garamond" w:eastAsia="Calibri" w:hAnsi="Garamond" w:cs="Times New Roman"/>
                <w:sz w:val="20"/>
                <w:szCs w:val="20"/>
              </w:rPr>
              <w:t>j</w:t>
            </w:r>
            <w:r w:rsidRPr="00B31292">
              <w:rPr>
                <w:rFonts w:ascii="Garamond" w:eastAsia="Calibri" w:hAnsi="Garamond" w:cs="Times New Roman"/>
                <w:sz w:val="20"/>
                <w:szCs w:val="20"/>
              </w:rPr>
              <w:t>EF</w:t>
            </w:r>
          </w:p>
          <w:p w14:paraId="0288667D" w14:textId="5286003D" w:rsidR="002277EC" w:rsidRPr="00B31292" w:rsidRDefault="002277EC" w:rsidP="003A4DBA">
            <w:pPr>
              <w:ind w:firstLine="284"/>
              <w:rPr>
                <w:rFonts w:ascii="Garamond" w:hAnsi="Garamond" w:cs="Times New Roman"/>
                <w:sz w:val="20"/>
                <w:szCs w:val="20"/>
                <w:lang w:eastAsia="ja-JP"/>
              </w:rPr>
            </w:pPr>
          </w:p>
        </w:tc>
        <w:tc>
          <w:tcPr>
            <w:tcW w:w="3330" w:type="dxa"/>
            <w:vAlign w:val="bottom"/>
          </w:tcPr>
          <w:p w14:paraId="2B3F3E9F" w14:textId="4744747E" w:rsidR="00AB22B8" w:rsidRPr="00B31292" w:rsidRDefault="00AB22B8" w:rsidP="00CA65A7">
            <w:pPr>
              <w:rPr>
                <w:rFonts w:ascii="Garamond" w:eastAsia="Calibri" w:hAnsi="Garamond" w:cs="Times New Roman"/>
                <w:sz w:val="20"/>
                <w:szCs w:val="20"/>
              </w:rPr>
            </w:pPr>
            <w:r w:rsidRPr="00B31292">
              <w:rPr>
                <w:rFonts w:ascii="Garamond" w:eastAsia="Calibri" w:hAnsi="Garamond" w:cs="Times New Roman"/>
                <w:sz w:val="20"/>
                <w:szCs w:val="20"/>
              </w:rPr>
              <w:t xml:space="preserve">Njësi </w:t>
            </w:r>
            <w:r w:rsidR="000F0D03" w:rsidRPr="00B31292">
              <w:rPr>
                <w:rFonts w:ascii="Garamond" w:eastAsia="Calibri" w:hAnsi="Garamond" w:cs="Times New Roman"/>
                <w:sz w:val="20"/>
                <w:szCs w:val="20"/>
              </w:rPr>
              <w:t>ekonomike familjare</w:t>
            </w:r>
          </w:p>
          <w:p w14:paraId="45D06C1B" w14:textId="34521B53" w:rsidR="002277EC" w:rsidRPr="00B31292" w:rsidRDefault="002277EC" w:rsidP="00CA65A7">
            <w:pPr>
              <w:rPr>
                <w:rFonts w:ascii="Garamond" w:hAnsi="Garamond" w:cs="Times New Roman"/>
                <w:sz w:val="20"/>
                <w:szCs w:val="20"/>
                <w:lang w:eastAsia="ja-JP"/>
              </w:rPr>
            </w:pPr>
          </w:p>
        </w:tc>
      </w:tr>
      <w:tr w:rsidR="00EE716C" w:rsidRPr="00B31292" w14:paraId="634C3788" w14:textId="77777777" w:rsidTr="00CA65A7">
        <w:trPr>
          <w:trHeight w:val="20"/>
        </w:trPr>
        <w:tc>
          <w:tcPr>
            <w:tcW w:w="1350" w:type="dxa"/>
            <w:vAlign w:val="center"/>
          </w:tcPr>
          <w:p w14:paraId="34ECD4E3" w14:textId="77777777" w:rsidR="00AB22B8" w:rsidRPr="00B31292" w:rsidRDefault="00AB22B8" w:rsidP="003A4DBA">
            <w:pPr>
              <w:ind w:firstLine="284"/>
              <w:rPr>
                <w:rFonts w:ascii="Garamond" w:hAnsi="Garamond" w:cs="Times New Roman"/>
                <w:sz w:val="20"/>
                <w:szCs w:val="20"/>
                <w:lang w:eastAsia="ja-JP"/>
              </w:rPr>
            </w:pPr>
            <w:r w:rsidRPr="00B31292">
              <w:rPr>
                <w:rFonts w:ascii="Garamond" w:eastAsia="Calibri" w:hAnsi="Garamond" w:cs="Times New Roman"/>
                <w:sz w:val="20"/>
                <w:szCs w:val="20"/>
              </w:rPr>
              <w:t>CAPI</w:t>
            </w:r>
          </w:p>
        </w:tc>
        <w:tc>
          <w:tcPr>
            <w:tcW w:w="3240" w:type="dxa"/>
            <w:vAlign w:val="center"/>
          </w:tcPr>
          <w:p w14:paraId="7CAFE273" w14:textId="248292AD" w:rsidR="00AB22B8" w:rsidRPr="00B31292" w:rsidRDefault="00AB22B8" w:rsidP="002277EC">
            <w:pPr>
              <w:rPr>
                <w:rFonts w:ascii="Garamond" w:hAnsi="Garamond" w:cs="Times New Roman"/>
                <w:sz w:val="20"/>
                <w:szCs w:val="20"/>
                <w:lang w:eastAsia="ja-JP"/>
              </w:rPr>
            </w:pPr>
            <w:r w:rsidRPr="00B31292">
              <w:rPr>
                <w:rFonts w:ascii="Garamond" w:eastAsia="Calibri" w:hAnsi="Garamond" w:cs="Times New Roman"/>
                <w:sz w:val="20"/>
                <w:szCs w:val="20"/>
              </w:rPr>
              <w:t xml:space="preserve">Intervistë me </w:t>
            </w:r>
            <w:r w:rsidR="000F0D03" w:rsidRPr="00B31292">
              <w:rPr>
                <w:rFonts w:ascii="Garamond" w:eastAsia="Calibri" w:hAnsi="Garamond" w:cs="Times New Roman"/>
                <w:sz w:val="20"/>
                <w:szCs w:val="20"/>
              </w:rPr>
              <w:t xml:space="preserve">kompjuter </w:t>
            </w:r>
            <w:r w:rsidRPr="00B31292">
              <w:rPr>
                <w:rFonts w:ascii="Garamond" w:eastAsia="Calibri" w:hAnsi="Garamond" w:cs="Times New Roman"/>
                <w:sz w:val="20"/>
                <w:szCs w:val="20"/>
              </w:rPr>
              <w:t>(</w:t>
            </w:r>
            <w:r w:rsidRPr="00B31292">
              <w:rPr>
                <w:rFonts w:ascii="Garamond" w:eastAsia="Calibri" w:hAnsi="Garamond" w:cs="Times New Roman"/>
                <w:i/>
                <w:iCs/>
                <w:sz w:val="20"/>
                <w:szCs w:val="20"/>
              </w:rPr>
              <w:t>Computer Assisted Personal Intervie</w:t>
            </w:r>
            <w:r w:rsidR="006E72B2" w:rsidRPr="00B31292">
              <w:rPr>
                <w:rFonts w:ascii="Garamond" w:eastAsia="Calibri" w:hAnsi="Garamond" w:cs="Times New Roman"/>
                <w:i/>
                <w:iCs/>
                <w:sz w:val="20"/>
                <w:szCs w:val="20"/>
              </w:rPr>
              <w:t>w</w:t>
            </w:r>
            <w:r w:rsidRPr="00B31292">
              <w:rPr>
                <w:rFonts w:ascii="Garamond" w:eastAsia="Calibri" w:hAnsi="Garamond" w:cs="Times New Roman"/>
                <w:sz w:val="20"/>
                <w:szCs w:val="20"/>
              </w:rPr>
              <w:t>)</w:t>
            </w:r>
          </w:p>
        </w:tc>
        <w:tc>
          <w:tcPr>
            <w:tcW w:w="1350" w:type="dxa"/>
            <w:vAlign w:val="center"/>
          </w:tcPr>
          <w:p w14:paraId="028F5BC1" w14:textId="77777777" w:rsidR="00AB22B8" w:rsidRPr="00B31292" w:rsidRDefault="00AB22B8" w:rsidP="003A4DBA">
            <w:pPr>
              <w:ind w:firstLine="284"/>
              <w:rPr>
                <w:rFonts w:ascii="Garamond" w:hAnsi="Garamond" w:cs="Times New Roman"/>
                <w:sz w:val="20"/>
                <w:szCs w:val="20"/>
                <w:lang w:eastAsia="ja-JP"/>
              </w:rPr>
            </w:pPr>
            <w:r w:rsidRPr="00B31292">
              <w:rPr>
                <w:rFonts w:ascii="Garamond" w:eastAsia="Calibri" w:hAnsi="Garamond" w:cs="Times New Roman"/>
                <w:sz w:val="20"/>
                <w:szCs w:val="20"/>
              </w:rPr>
              <w:t>OECD</w:t>
            </w:r>
          </w:p>
        </w:tc>
        <w:tc>
          <w:tcPr>
            <w:tcW w:w="3330" w:type="dxa"/>
            <w:vAlign w:val="bottom"/>
          </w:tcPr>
          <w:p w14:paraId="28358C30" w14:textId="57BCBAD6" w:rsidR="00AB22B8" w:rsidRPr="00B31292" w:rsidRDefault="00AB22B8" w:rsidP="00CA65A7">
            <w:pPr>
              <w:rPr>
                <w:rFonts w:ascii="Garamond" w:eastAsia="Calibri" w:hAnsi="Garamond" w:cs="Times New Roman"/>
                <w:sz w:val="20"/>
                <w:szCs w:val="20"/>
                <w:shd w:val="clear" w:color="auto" w:fill="FFFFFF"/>
              </w:rPr>
            </w:pPr>
            <w:r w:rsidRPr="00B31292">
              <w:rPr>
                <w:rFonts w:ascii="Garamond" w:eastAsia="Calibri" w:hAnsi="Garamond" w:cs="Times New Roman"/>
                <w:sz w:val="20"/>
                <w:szCs w:val="20"/>
              </w:rPr>
              <w:t>Organizata për Bashkëpunimin Ekonomik dhe Zhvillimin (</w:t>
            </w:r>
            <w:r w:rsidRPr="00B31292">
              <w:rPr>
                <w:rFonts w:ascii="Garamond" w:eastAsia="Calibri" w:hAnsi="Garamond" w:cs="Times New Roman"/>
                <w:i/>
                <w:iCs/>
                <w:sz w:val="20"/>
                <w:szCs w:val="20"/>
              </w:rPr>
              <w:t>Organisation for Economic Co-operation and Development</w:t>
            </w:r>
            <w:r w:rsidRPr="00B31292">
              <w:rPr>
                <w:rFonts w:ascii="Garamond" w:eastAsia="Calibri" w:hAnsi="Garamond" w:cs="Times New Roman"/>
                <w:sz w:val="20"/>
                <w:szCs w:val="20"/>
              </w:rPr>
              <w:t>)</w:t>
            </w:r>
          </w:p>
          <w:p w14:paraId="50BFA5E6" w14:textId="07AA3811" w:rsidR="002277EC" w:rsidRPr="00B31292" w:rsidRDefault="002277EC" w:rsidP="00CA65A7">
            <w:pPr>
              <w:rPr>
                <w:rFonts w:ascii="Garamond" w:hAnsi="Garamond" w:cs="Times New Roman"/>
                <w:sz w:val="20"/>
                <w:szCs w:val="20"/>
                <w:lang w:eastAsia="ja-JP"/>
              </w:rPr>
            </w:pPr>
          </w:p>
        </w:tc>
      </w:tr>
      <w:tr w:rsidR="00EE716C" w:rsidRPr="00B31292" w14:paraId="709A633F" w14:textId="77777777" w:rsidTr="00CA65A7">
        <w:trPr>
          <w:trHeight w:val="20"/>
        </w:trPr>
        <w:tc>
          <w:tcPr>
            <w:tcW w:w="1350" w:type="dxa"/>
            <w:vAlign w:val="center"/>
          </w:tcPr>
          <w:p w14:paraId="7DFB381D" w14:textId="77777777" w:rsidR="00AB22B8" w:rsidRPr="00B31292" w:rsidRDefault="00AB22B8" w:rsidP="003A4DBA">
            <w:pPr>
              <w:ind w:firstLine="284"/>
              <w:rPr>
                <w:rFonts w:ascii="Garamond" w:hAnsi="Garamond" w:cs="Times New Roman"/>
                <w:sz w:val="20"/>
                <w:szCs w:val="20"/>
                <w:lang w:eastAsia="ja-JP"/>
              </w:rPr>
            </w:pPr>
            <w:r w:rsidRPr="00B31292">
              <w:rPr>
                <w:rFonts w:ascii="Garamond" w:eastAsia="Calibri" w:hAnsi="Garamond" w:cs="Times New Roman"/>
                <w:sz w:val="20"/>
                <w:szCs w:val="20"/>
              </w:rPr>
              <w:t>CATI</w:t>
            </w:r>
          </w:p>
        </w:tc>
        <w:tc>
          <w:tcPr>
            <w:tcW w:w="3240" w:type="dxa"/>
            <w:vAlign w:val="center"/>
          </w:tcPr>
          <w:p w14:paraId="29A4BD54" w14:textId="77777777" w:rsidR="00AB22B8" w:rsidRPr="00B31292" w:rsidRDefault="00AB22B8" w:rsidP="002277EC">
            <w:pPr>
              <w:rPr>
                <w:rFonts w:ascii="Garamond" w:hAnsi="Garamond" w:cs="Times New Roman"/>
                <w:sz w:val="20"/>
                <w:szCs w:val="20"/>
                <w:lang w:eastAsia="ja-JP"/>
              </w:rPr>
            </w:pPr>
            <w:r w:rsidRPr="00B31292">
              <w:rPr>
                <w:rFonts w:ascii="Garamond" w:eastAsia="Calibri" w:hAnsi="Garamond" w:cs="Times New Roman"/>
                <w:sz w:val="20"/>
                <w:szCs w:val="20"/>
              </w:rPr>
              <w:t>Intervistë me telefon (</w:t>
            </w:r>
            <w:r w:rsidRPr="00B31292">
              <w:rPr>
                <w:rFonts w:ascii="Garamond" w:eastAsia="Calibri" w:hAnsi="Garamond" w:cs="Times New Roman"/>
                <w:i/>
                <w:iCs/>
                <w:sz w:val="20"/>
                <w:szCs w:val="20"/>
              </w:rPr>
              <w:t>Computer-Assisted Telephone Intervie</w:t>
            </w:r>
            <w:r w:rsidR="00AE648B" w:rsidRPr="00B31292">
              <w:rPr>
                <w:rFonts w:ascii="Garamond" w:eastAsia="Calibri" w:hAnsi="Garamond" w:cs="Times New Roman"/>
                <w:i/>
                <w:iCs/>
                <w:sz w:val="20"/>
                <w:szCs w:val="20"/>
              </w:rPr>
              <w:t>w</w:t>
            </w:r>
            <w:r w:rsidRPr="00B31292">
              <w:rPr>
                <w:rFonts w:ascii="Garamond" w:eastAsia="Calibri" w:hAnsi="Garamond" w:cs="Times New Roman"/>
                <w:sz w:val="20"/>
                <w:szCs w:val="20"/>
              </w:rPr>
              <w:t>)</w:t>
            </w:r>
          </w:p>
        </w:tc>
        <w:tc>
          <w:tcPr>
            <w:tcW w:w="1350" w:type="dxa"/>
            <w:vAlign w:val="center"/>
          </w:tcPr>
          <w:p w14:paraId="2FFFFEAE" w14:textId="77777777" w:rsidR="00AB22B8" w:rsidRPr="00B31292" w:rsidRDefault="00AB22B8" w:rsidP="003A4DBA">
            <w:pPr>
              <w:ind w:firstLine="284"/>
              <w:rPr>
                <w:rFonts w:ascii="Garamond" w:hAnsi="Garamond" w:cs="Times New Roman"/>
                <w:sz w:val="20"/>
                <w:szCs w:val="20"/>
                <w:lang w:eastAsia="ja-JP"/>
              </w:rPr>
            </w:pPr>
            <w:r w:rsidRPr="00B31292">
              <w:rPr>
                <w:rFonts w:ascii="Garamond" w:eastAsia="Calibri" w:hAnsi="Garamond" w:cs="Times New Roman"/>
                <w:sz w:val="20"/>
                <w:szCs w:val="20"/>
              </w:rPr>
              <w:t>OZHQ</w:t>
            </w:r>
          </w:p>
        </w:tc>
        <w:tc>
          <w:tcPr>
            <w:tcW w:w="3330" w:type="dxa"/>
            <w:vAlign w:val="center"/>
          </w:tcPr>
          <w:p w14:paraId="0ADA37C6" w14:textId="3C9E23A2" w:rsidR="00AB22B8" w:rsidRPr="00B31292" w:rsidRDefault="00AB22B8" w:rsidP="002277EC">
            <w:pPr>
              <w:rPr>
                <w:rFonts w:ascii="Garamond" w:hAnsi="Garamond" w:cs="Times New Roman"/>
                <w:sz w:val="20"/>
                <w:szCs w:val="20"/>
                <w:lang w:eastAsia="ja-JP"/>
              </w:rPr>
            </w:pPr>
            <w:r w:rsidRPr="00B31292">
              <w:rPr>
                <w:rFonts w:ascii="Garamond" w:eastAsia="Calibri" w:hAnsi="Garamond" w:cs="Times New Roman"/>
                <w:sz w:val="20"/>
                <w:szCs w:val="20"/>
              </w:rPr>
              <w:t xml:space="preserve">Objektivat e </w:t>
            </w:r>
            <w:r w:rsidR="000F0D03" w:rsidRPr="00B31292">
              <w:rPr>
                <w:rFonts w:ascii="Garamond" w:eastAsia="Calibri" w:hAnsi="Garamond" w:cs="Times New Roman"/>
                <w:sz w:val="20"/>
                <w:szCs w:val="20"/>
              </w:rPr>
              <w:t>zhvillimit të qëndrueshëm</w:t>
            </w:r>
          </w:p>
        </w:tc>
      </w:tr>
      <w:tr w:rsidR="00EE716C" w:rsidRPr="00B31292" w14:paraId="1EBF4824" w14:textId="77777777" w:rsidTr="00CA65A7">
        <w:trPr>
          <w:trHeight w:val="20"/>
        </w:trPr>
        <w:tc>
          <w:tcPr>
            <w:tcW w:w="1350" w:type="dxa"/>
            <w:vAlign w:val="center"/>
          </w:tcPr>
          <w:p w14:paraId="6DDE4A31" w14:textId="77777777" w:rsidR="00AB22B8" w:rsidRPr="00B31292" w:rsidRDefault="00AB22B8" w:rsidP="003A4DBA">
            <w:pPr>
              <w:ind w:firstLine="284"/>
              <w:rPr>
                <w:rFonts w:ascii="Garamond" w:hAnsi="Garamond" w:cs="Times New Roman"/>
                <w:sz w:val="20"/>
                <w:szCs w:val="20"/>
                <w:lang w:eastAsia="ja-JP"/>
              </w:rPr>
            </w:pPr>
            <w:r w:rsidRPr="00B31292">
              <w:rPr>
                <w:rFonts w:ascii="Garamond" w:eastAsia="Calibri" w:hAnsi="Garamond" w:cs="Times New Roman"/>
                <w:sz w:val="20"/>
                <w:szCs w:val="20"/>
              </w:rPr>
              <w:t>CAWI</w:t>
            </w:r>
          </w:p>
        </w:tc>
        <w:tc>
          <w:tcPr>
            <w:tcW w:w="3240" w:type="dxa"/>
            <w:vAlign w:val="center"/>
          </w:tcPr>
          <w:p w14:paraId="03D11FA2" w14:textId="77777777" w:rsidR="00AB22B8" w:rsidRPr="00B31292" w:rsidRDefault="00AB22B8" w:rsidP="002277EC">
            <w:pPr>
              <w:rPr>
                <w:rFonts w:ascii="Garamond" w:hAnsi="Garamond" w:cs="Times New Roman"/>
                <w:sz w:val="20"/>
                <w:szCs w:val="20"/>
                <w:lang w:eastAsia="ja-JP"/>
              </w:rPr>
            </w:pPr>
            <w:r w:rsidRPr="00B31292">
              <w:rPr>
                <w:rFonts w:ascii="Garamond" w:eastAsia="Calibri" w:hAnsi="Garamond" w:cs="Times New Roman"/>
                <w:sz w:val="20"/>
                <w:szCs w:val="20"/>
              </w:rPr>
              <w:t>Intervistë me link (</w:t>
            </w:r>
            <w:r w:rsidRPr="00B31292">
              <w:rPr>
                <w:rFonts w:ascii="Garamond" w:eastAsia="Calibri" w:hAnsi="Garamond" w:cs="Times New Roman"/>
                <w:i/>
                <w:iCs/>
                <w:sz w:val="20"/>
                <w:szCs w:val="20"/>
              </w:rPr>
              <w:t>Computer Assisted Web Intervie</w:t>
            </w:r>
            <w:r w:rsidR="00AE648B" w:rsidRPr="00B31292">
              <w:rPr>
                <w:rFonts w:ascii="Garamond" w:eastAsia="Calibri" w:hAnsi="Garamond" w:cs="Times New Roman"/>
                <w:i/>
                <w:iCs/>
                <w:sz w:val="20"/>
                <w:szCs w:val="20"/>
              </w:rPr>
              <w:t>w</w:t>
            </w:r>
            <w:r w:rsidRPr="00B31292">
              <w:rPr>
                <w:rFonts w:ascii="Garamond" w:eastAsia="Calibri" w:hAnsi="Garamond" w:cs="Times New Roman"/>
                <w:sz w:val="20"/>
                <w:szCs w:val="20"/>
              </w:rPr>
              <w:t>)</w:t>
            </w:r>
          </w:p>
        </w:tc>
        <w:tc>
          <w:tcPr>
            <w:tcW w:w="1350" w:type="dxa"/>
            <w:vAlign w:val="center"/>
          </w:tcPr>
          <w:p w14:paraId="08B737A3" w14:textId="77777777" w:rsidR="00AB22B8" w:rsidRPr="00B31292" w:rsidRDefault="00AB22B8" w:rsidP="003A4DBA">
            <w:pPr>
              <w:ind w:firstLine="284"/>
              <w:rPr>
                <w:rFonts w:ascii="Garamond" w:hAnsi="Garamond" w:cs="Times New Roman"/>
                <w:sz w:val="20"/>
                <w:szCs w:val="20"/>
                <w:lang w:eastAsia="ja-JP"/>
              </w:rPr>
            </w:pPr>
            <w:r w:rsidRPr="00B31292">
              <w:rPr>
                <w:rFonts w:ascii="Garamond" w:eastAsia="Calibri" w:hAnsi="Garamond" w:cs="Times New Roman"/>
                <w:sz w:val="20"/>
                <w:szCs w:val="20"/>
              </w:rPr>
              <w:t>NUTS</w:t>
            </w:r>
          </w:p>
        </w:tc>
        <w:tc>
          <w:tcPr>
            <w:tcW w:w="3330" w:type="dxa"/>
            <w:vAlign w:val="center"/>
          </w:tcPr>
          <w:p w14:paraId="7D319940" w14:textId="77777777" w:rsidR="00AB22B8" w:rsidRPr="00B31292" w:rsidRDefault="00AB22B8" w:rsidP="002277EC">
            <w:pPr>
              <w:rPr>
                <w:rFonts w:ascii="Garamond" w:eastAsia="Calibri" w:hAnsi="Garamond" w:cs="Times New Roman"/>
                <w:sz w:val="20"/>
                <w:szCs w:val="20"/>
              </w:rPr>
            </w:pPr>
            <w:r w:rsidRPr="00B31292">
              <w:rPr>
                <w:rFonts w:ascii="Garamond" w:eastAsia="Calibri" w:hAnsi="Garamond" w:cs="Times New Roman"/>
                <w:sz w:val="20"/>
                <w:szCs w:val="20"/>
              </w:rPr>
              <w:t>Nomenklatura e Njësive Territoriale për Statistikat (</w:t>
            </w:r>
            <w:r w:rsidRPr="00B31292">
              <w:rPr>
                <w:rFonts w:ascii="Garamond" w:eastAsia="Calibri" w:hAnsi="Garamond" w:cs="Times New Roman"/>
                <w:i/>
                <w:iCs/>
                <w:sz w:val="20"/>
                <w:szCs w:val="20"/>
              </w:rPr>
              <w:t>Nomenclature of Territorial Units for Statistics</w:t>
            </w:r>
            <w:r w:rsidRPr="00B31292">
              <w:rPr>
                <w:rFonts w:ascii="Garamond" w:eastAsia="Calibri" w:hAnsi="Garamond" w:cs="Times New Roman"/>
                <w:sz w:val="20"/>
                <w:szCs w:val="20"/>
              </w:rPr>
              <w:t>)</w:t>
            </w:r>
          </w:p>
          <w:p w14:paraId="77DE1B03" w14:textId="6F21C28D" w:rsidR="002277EC" w:rsidRPr="00B31292" w:rsidRDefault="002277EC" w:rsidP="002277EC">
            <w:pPr>
              <w:rPr>
                <w:rFonts w:ascii="Garamond" w:hAnsi="Garamond" w:cs="Times New Roman"/>
                <w:sz w:val="20"/>
                <w:szCs w:val="20"/>
                <w:lang w:eastAsia="ja-JP"/>
              </w:rPr>
            </w:pPr>
          </w:p>
        </w:tc>
      </w:tr>
      <w:tr w:rsidR="00EE716C" w:rsidRPr="00B31292" w14:paraId="78DEA2A8" w14:textId="77777777" w:rsidTr="00CA65A7">
        <w:trPr>
          <w:trHeight w:val="20"/>
        </w:trPr>
        <w:tc>
          <w:tcPr>
            <w:tcW w:w="1350" w:type="dxa"/>
            <w:vAlign w:val="center"/>
          </w:tcPr>
          <w:p w14:paraId="2B3F3EE8" w14:textId="77777777" w:rsidR="00AB22B8" w:rsidRPr="00B31292" w:rsidRDefault="00AB22B8" w:rsidP="00CA65A7">
            <w:pPr>
              <w:rPr>
                <w:rFonts w:ascii="Garamond" w:hAnsi="Garamond" w:cs="Times New Roman"/>
                <w:sz w:val="20"/>
                <w:szCs w:val="20"/>
                <w:lang w:eastAsia="ja-JP"/>
              </w:rPr>
            </w:pPr>
            <w:r w:rsidRPr="00B31292">
              <w:rPr>
                <w:rFonts w:ascii="Garamond" w:hAnsi="Garamond" w:cs="Times New Roman"/>
                <w:sz w:val="20"/>
                <w:szCs w:val="20"/>
                <w:lang w:eastAsia="ja-JP"/>
              </w:rPr>
              <w:t>DEGURBA</w:t>
            </w:r>
          </w:p>
        </w:tc>
        <w:tc>
          <w:tcPr>
            <w:tcW w:w="3240" w:type="dxa"/>
            <w:vAlign w:val="center"/>
          </w:tcPr>
          <w:p w14:paraId="345D1C1B" w14:textId="62D58201" w:rsidR="00AB22B8" w:rsidRPr="00B31292" w:rsidRDefault="00AB22B8" w:rsidP="002277EC">
            <w:pPr>
              <w:rPr>
                <w:rFonts w:ascii="Garamond" w:hAnsi="Garamond" w:cs="Times New Roman"/>
                <w:sz w:val="20"/>
                <w:szCs w:val="20"/>
                <w:lang w:eastAsia="ja-JP"/>
              </w:rPr>
            </w:pPr>
            <w:r w:rsidRPr="00B31292">
              <w:rPr>
                <w:rFonts w:ascii="Garamond" w:eastAsia="Calibri" w:hAnsi="Garamond" w:cs="Times New Roman"/>
                <w:sz w:val="20"/>
                <w:szCs w:val="20"/>
              </w:rPr>
              <w:t xml:space="preserve">Klasifikimi i </w:t>
            </w:r>
            <w:r w:rsidR="000F0D03" w:rsidRPr="00B31292">
              <w:rPr>
                <w:rFonts w:ascii="Garamond" w:eastAsia="Calibri" w:hAnsi="Garamond" w:cs="Times New Roman"/>
                <w:sz w:val="20"/>
                <w:szCs w:val="20"/>
              </w:rPr>
              <w:t>njësive administrative urbane</w:t>
            </w:r>
          </w:p>
        </w:tc>
        <w:tc>
          <w:tcPr>
            <w:tcW w:w="1350" w:type="dxa"/>
            <w:vAlign w:val="center"/>
          </w:tcPr>
          <w:p w14:paraId="730BF8C5" w14:textId="77777777" w:rsidR="00AB22B8" w:rsidRPr="00B31292" w:rsidRDefault="00AB22B8" w:rsidP="002277EC">
            <w:pPr>
              <w:rPr>
                <w:rFonts w:ascii="Garamond" w:hAnsi="Garamond" w:cs="Times New Roman"/>
                <w:sz w:val="20"/>
                <w:szCs w:val="20"/>
                <w:lang w:eastAsia="ja-JP"/>
              </w:rPr>
            </w:pPr>
            <w:r w:rsidRPr="00B31292">
              <w:rPr>
                <w:rFonts w:ascii="Garamond" w:eastAsia="Calibri" w:hAnsi="Garamond" w:cs="Times New Roman"/>
                <w:sz w:val="20"/>
                <w:szCs w:val="20"/>
              </w:rPr>
              <w:t>PRODCOM</w:t>
            </w:r>
          </w:p>
        </w:tc>
        <w:tc>
          <w:tcPr>
            <w:tcW w:w="3330" w:type="dxa"/>
            <w:vAlign w:val="center"/>
          </w:tcPr>
          <w:p w14:paraId="5AE5CF71" w14:textId="77777777" w:rsidR="002277EC" w:rsidRPr="00B31292" w:rsidRDefault="002277EC" w:rsidP="002277EC">
            <w:pPr>
              <w:rPr>
                <w:rFonts w:ascii="Garamond" w:eastAsia="Calibri" w:hAnsi="Garamond" w:cs="Times New Roman"/>
                <w:sz w:val="20"/>
                <w:szCs w:val="20"/>
              </w:rPr>
            </w:pPr>
          </w:p>
          <w:p w14:paraId="2D5389EA" w14:textId="72D11A2B" w:rsidR="00AB22B8" w:rsidRPr="00B31292" w:rsidRDefault="00AB22B8" w:rsidP="002277EC">
            <w:pPr>
              <w:rPr>
                <w:rFonts w:ascii="Garamond" w:hAnsi="Garamond" w:cs="Times New Roman"/>
                <w:sz w:val="20"/>
                <w:szCs w:val="20"/>
                <w:lang w:eastAsia="ja-JP"/>
              </w:rPr>
            </w:pPr>
            <w:r w:rsidRPr="00B31292">
              <w:rPr>
                <w:rFonts w:ascii="Garamond" w:eastAsia="Calibri" w:hAnsi="Garamond" w:cs="Times New Roman"/>
                <w:sz w:val="20"/>
                <w:szCs w:val="20"/>
              </w:rPr>
              <w:t>Statistikat e Produkteve Industriale (</w:t>
            </w:r>
            <w:r w:rsidRPr="00B31292">
              <w:rPr>
                <w:rFonts w:ascii="Garamond" w:eastAsia="Calibri" w:hAnsi="Garamond" w:cs="Times New Roman"/>
                <w:i/>
                <w:iCs/>
                <w:sz w:val="20"/>
                <w:szCs w:val="20"/>
              </w:rPr>
              <w:t>Production Communautaire</w:t>
            </w:r>
            <w:r w:rsidRPr="00B31292">
              <w:rPr>
                <w:rFonts w:ascii="Garamond" w:eastAsia="Calibri" w:hAnsi="Garamond" w:cs="Times New Roman"/>
                <w:sz w:val="20"/>
                <w:szCs w:val="20"/>
              </w:rPr>
              <w:t>)</w:t>
            </w:r>
          </w:p>
        </w:tc>
      </w:tr>
      <w:tr w:rsidR="00EE716C" w:rsidRPr="00B31292" w14:paraId="2B70BDC6" w14:textId="77777777" w:rsidTr="00CA65A7">
        <w:trPr>
          <w:trHeight w:val="20"/>
        </w:trPr>
        <w:tc>
          <w:tcPr>
            <w:tcW w:w="1350" w:type="dxa"/>
            <w:vAlign w:val="center"/>
          </w:tcPr>
          <w:p w14:paraId="10130045" w14:textId="77777777" w:rsidR="00AB22B8" w:rsidRPr="00B31292" w:rsidRDefault="00AB22B8" w:rsidP="003A4DBA">
            <w:pPr>
              <w:ind w:firstLine="284"/>
              <w:rPr>
                <w:rFonts w:ascii="Garamond" w:hAnsi="Garamond" w:cs="Times New Roman"/>
                <w:sz w:val="20"/>
                <w:szCs w:val="20"/>
                <w:lang w:eastAsia="ja-JP"/>
              </w:rPr>
            </w:pPr>
            <w:r w:rsidRPr="00B31292">
              <w:rPr>
                <w:rFonts w:ascii="Garamond" w:eastAsia="Calibri" w:hAnsi="Garamond" w:cs="Times New Roman"/>
                <w:sz w:val="20"/>
                <w:szCs w:val="20"/>
              </w:rPr>
              <w:t>ECB</w:t>
            </w:r>
          </w:p>
        </w:tc>
        <w:tc>
          <w:tcPr>
            <w:tcW w:w="3240" w:type="dxa"/>
            <w:vAlign w:val="center"/>
          </w:tcPr>
          <w:p w14:paraId="5C269227" w14:textId="77777777" w:rsidR="002277EC" w:rsidRPr="00B31292" w:rsidRDefault="002277EC" w:rsidP="003A4DBA">
            <w:pPr>
              <w:ind w:firstLine="284"/>
              <w:rPr>
                <w:rFonts w:ascii="Garamond" w:eastAsia="Calibri" w:hAnsi="Garamond" w:cs="Times New Roman"/>
                <w:sz w:val="20"/>
                <w:szCs w:val="20"/>
              </w:rPr>
            </w:pPr>
          </w:p>
          <w:p w14:paraId="78F4AECB" w14:textId="77777777" w:rsidR="00AB22B8" w:rsidRPr="00B31292" w:rsidRDefault="00AB22B8" w:rsidP="002277EC">
            <w:pPr>
              <w:rPr>
                <w:rFonts w:ascii="Garamond" w:eastAsia="Calibri" w:hAnsi="Garamond" w:cs="Times New Roman"/>
                <w:sz w:val="20"/>
                <w:szCs w:val="20"/>
              </w:rPr>
            </w:pPr>
            <w:r w:rsidRPr="00B31292">
              <w:rPr>
                <w:rFonts w:ascii="Garamond" w:eastAsia="Calibri" w:hAnsi="Garamond" w:cs="Times New Roman"/>
                <w:sz w:val="20"/>
                <w:szCs w:val="20"/>
              </w:rPr>
              <w:t xml:space="preserve">Banka </w:t>
            </w:r>
            <w:r w:rsidR="002277EC" w:rsidRPr="00B31292">
              <w:rPr>
                <w:rFonts w:ascii="Garamond" w:eastAsia="Calibri" w:hAnsi="Garamond" w:cs="Times New Roman"/>
                <w:sz w:val="20"/>
                <w:szCs w:val="20"/>
              </w:rPr>
              <w:t>Qendrore</w:t>
            </w:r>
            <w:r w:rsidRPr="00B31292">
              <w:rPr>
                <w:rFonts w:ascii="Garamond" w:eastAsia="Calibri" w:hAnsi="Garamond" w:cs="Times New Roman"/>
                <w:sz w:val="20"/>
                <w:szCs w:val="20"/>
              </w:rPr>
              <w:t xml:space="preserve"> Evropiane (</w:t>
            </w:r>
            <w:r w:rsidRPr="00B31292">
              <w:rPr>
                <w:rFonts w:ascii="Garamond" w:eastAsia="Calibri" w:hAnsi="Garamond" w:cs="Times New Roman"/>
                <w:i/>
                <w:iCs/>
                <w:sz w:val="20"/>
                <w:szCs w:val="20"/>
              </w:rPr>
              <w:t>Europian Central Bank</w:t>
            </w:r>
            <w:r w:rsidRPr="00B31292">
              <w:rPr>
                <w:rFonts w:ascii="Garamond" w:eastAsia="Calibri" w:hAnsi="Garamond" w:cs="Times New Roman"/>
                <w:sz w:val="20"/>
                <w:szCs w:val="20"/>
              </w:rPr>
              <w:t>)</w:t>
            </w:r>
          </w:p>
          <w:p w14:paraId="43FE06A5" w14:textId="4EC1B975" w:rsidR="002277EC" w:rsidRPr="00B31292" w:rsidRDefault="002277EC" w:rsidP="002277EC">
            <w:pPr>
              <w:rPr>
                <w:rFonts w:ascii="Garamond" w:hAnsi="Garamond" w:cs="Times New Roman"/>
                <w:sz w:val="20"/>
                <w:szCs w:val="20"/>
                <w:lang w:eastAsia="ja-JP"/>
              </w:rPr>
            </w:pPr>
          </w:p>
        </w:tc>
        <w:tc>
          <w:tcPr>
            <w:tcW w:w="1350" w:type="dxa"/>
            <w:vAlign w:val="center"/>
          </w:tcPr>
          <w:p w14:paraId="0351CEE6" w14:textId="77777777" w:rsidR="00AB22B8" w:rsidRPr="00B31292" w:rsidRDefault="00AB22B8" w:rsidP="003A4DBA">
            <w:pPr>
              <w:ind w:firstLine="284"/>
              <w:rPr>
                <w:rFonts w:ascii="Garamond" w:hAnsi="Garamond" w:cs="Times New Roman"/>
                <w:sz w:val="20"/>
                <w:szCs w:val="20"/>
                <w:lang w:eastAsia="ja-JP"/>
              </w:rPr>
            </w:pPr>
            <w:r w:rsidRPr="00B31292">
              <w:rPr>
                <w:rFonts w:ascii="Garamond" w:eastAsia="Calibri" w:hAnsi="Garamond" w:cs="Times New Roman"/>
                <w:sz w:val="20"/>
                <w:szCs w:val="20"/>
              </w:rPr>
              <w:t>PSZ</w:t>
            </w:r>
          </w:p>
        </w:tc>
        <w:tc>
          <w:tcPr>
            <w:tcW w:w="3330" w:type="dxa"/>
            <w:vAlign w:val="center"/>
          </w:tcPr>
          <w:p w14:paraId="747AF0B1" w14:textId="77777777" w:rsidR="00AB22B8" w:rsidRPr="00B31292" w:rsidRDefault="00AB22B8" w:rsidP="002277EC">
            <w:pPr>
              <w:rPr>
                <w:rFonts w:ascii="Garamond" w:hAnsi="Garamond" w:cs="Times New Roman"/>
                <w:sz w:val="20"/>
                <w:szCs w:val="20"/>
                <w:lang w:eastAsia="ja-JP"/>
              </w:rPr>
            </w:pPr>
            <w:r w:rsidRPr="00B31292">
              <w:rPr>
                <w:rFonts w:ascii="Garamond" w:eastAsia="Calibri" w:hAnsi="Garamond" w:cs="Times New Roman"/>
                <w:sz w:val="20"/>
                <w:szCs w:val="20"/>
              </w:rPr>
              <w:t>Programi i Statistikave Zyrtare</w:t>
            </w:r>
          </w:p>
        </w:tc>
      </w:tr>
      <w:tr w:rsidR="00EE716C" w:rsidRPr="00B31292" w14:paraId="5907F902" w14:textId="77777777" w:rsidTr="00CA65A7">
        <w:trPr>
          <w:trHeight w:val="20"/>
        </w:trPr>
        <w:tc>
          <w:tcPr>
            <w:tcW w:w="1350" w:type="dxa"/>
            <w:vAlign w:val="center"/>
          </w:tcPr>
          <w:p w14:paraId="1F2D2F12" w14:textId="77777777" w:rsidR="00AB22B8" w:rsidRPr="00B31292" w:rsidRDefault="00AB22B8" w:rsidP="003A4DBA">
            <w:pPr>
              <w:ind w:firstLine="284"/>
              <w:rPr>
                <w:rFonts w:ascii="Garamond" w:hAnsi="Garamond" w:cs="Times New Roman"/>
                <w:sz w:val="20"/>
                <w:szCs w:val="20"/>
                <w:lang w:eastAsia="ja-JP"/>
              </w:rPr>
            </w:pPr>
            <w:r w:rsidRPr="00B31292">
              <w:rPr>
                <w:rFonts w:ascii="Garamond" w:eastAsia="Calibri" w:hAnsi="Garamond" w:cs="Times New Roman"/>
                <w:sz w:val="20"/>
                <w:szCs w:val="20"/>
              </w:rPr>
              <w:t>EDP</w:t>
            </w:r>
          </w:p>
        </w:tc>
        <w:tc>
          <w:tcPr>
            <w:tcW w:w="3240" w:type="dxa"/>
            <w:vAlign w:val="center"/>
          </w:tcPr>
          <w:p w14:paraId="23738CB9" w14:textId="354E49FD" w:rsidR="00AB22B8" w:rsidRPr="00B31292" w:rsidRDefault="00AB22B8" w:rsidP="002277EC">
            <w:pPr>
              <w:rPr>
                <w:rFonts w:ascii="Garamond" w:hAnsi="Garamond" w:cs="Times New Roman"/>
                <w:sz w:val="20"/>
                <w:szCs w:val="20"/>
                <w:lang w:eastAsia="ja-JP"/>
              </w:rPr>
            </w:pPr>
            <w:r w:rsidRPr="00B31292">
              <w:rPr>
                <w:rFonts w:ascii="Garamond" w:eastAsia="Calibri" w:hAnsi="Garamond" w:cs="Times New Roman"/>
                <w:sz w:val="20"/>
                <w:szCs w:val="20"/>
              </w:rPr>
              <w:t xml:space="preserve">Procedura e </w:t>
            </w:r>
            <w:r w:rsidR="000F0D03" w:rsidRPr="00B31292">
              <w:rPr>
                <w:rFonts w:ascii="Garamond" w:eastAsia="Calibri" w:hAnsi="Garamond" w:cs="Times New Roman"/>
                <w:sz w:val="20"/>
                <w:szCs w:val="20"/>
              </w:rPr>
              <w:t xml:space="preserve">deficitit të tejkaluar </w:t>
            </w:r>
            <w:r w:rsidRPr="00B31292">
              <w:rPr>
                <w:rFonts w:ascii="Garamond" w:eastAsia="Calibri" w:hAnsi="Garamond" w:cs="Times New Roman"/>
                <w:sz w:val="20"/>
                <w:szCs w:val="20"/>
              </w:rPr>
              <w:t>(</w:t>
            </w:r>
            <w:r w:rsidRPr="00B31292">
              <w:rPr>
                <w:rFonts w:ascii="Garamond" w:eastAsia="Calibri" w:hAnsi="Garamond" w:cs="Times New Roman"/>
                <w:i/>
                <w:iCs/>
                <w:sz w:val="20"/>
                <w:szCs w:val="20"/>
              </w:rPr>
              <w:t>Excessive Deficit Procedure</w:t>
            </w:r>
            <w:r w:rsidRPr="00B31292">
              <w:rPr>
                <w:rFonts w:ascii="Garamond" w:eastAsia="Calibri" w:hAnsi="Garamond" w:cs="Times New Roman"/>
                <w:sz w:val="20"/>
                <w:szCs w:val="20"/>
              </w:rPr>
              <w:t>)</w:t>
            </w:r>
          </w:p>
          <w:p w14:paraId="22EA5E1D" w14:textId="77777777" w:rsidR="00AB22B8" w:rsidRPr="00B31292" w:rsidRDefault="00AB22B8" w:rsidP="003A4DBA">
            <w:pPr>
              <w:ind w:firstLine="284"/>
              <w:rPr>
                <w:rFonts w:ascii="Garamond" w:hAnsi="Garamond" w:cs="Times New Roman"/>
                <w:sz w:val="20"/>
                <w:szCs w:val="20"/>
              </w:rPr>
            </w:pPr>
          </w:p>
        </w:tc>
        <w:tc>
          <w:tcPr>
            <w:tcW w:w="1350" w:type="dxa"/>
            <w:vAlign w:val="center"/>
          </w:tcPr>
          <w:p w14:paraId="14294E43" w14:textId="77777777" w:rsidR="00AB22B8" w:rsidRPr="00B31292" w:rsidRDefault="00AB22B8" w:rsidP="002277EC">
            <w:pPr>
              <w:rPr>
                <w:rFonts w:ascii="Garamond" w:hAnsi="Garamond" w:cs="Times New Roman"/>
                <w:sz w:val="20"/>
                <w:szCs w:val="20"/>
                <w:lang w:eastAsia="ja-JP"/>
              </w:rPr>
            </w:pPr>
            <w:r w:rsidRPr="00B31292">
              <w:rPr>
                <w:rFonts w:ascii="Garamond" w:hAnsi="Garamond" w:cs="Times New Roman"/>
                <w:sz w:val="20"/>
                <w:szCs w:val="20"/>
                <w:lang w:eastAsia="ja-JP"/>
              </w:rPr>
              <w:t>UNDESA</w:t>
            </w:r>
          </w:p>
        </w:tc>
        <w:tc>
          <w:tcPr>
            <w:tcW w:w="3330" w:type="dxa"/>
            <w:vAlign w:val="center"/>
          </w:tcPr>
          <w:p w14:paraId="0FAC1E02" w14:textId="77777777" w:rsidR="00AB22B8" w:rsidRPr="00B31292" w:rsidRDefault="00AB22B8" w:rsidP="002277EC">
            <w:pPr>
              <w:rPr>
                <w:rFonts w:ascii="Garamond" w:hAnsi="Garamond" w:cs="Times New Roman"/>
                <w:sz w:val="20"/>
                <w:szCs w:val="20"/>
                <w:lang w:eastAsia="ja-JP"/>
              </w:rPr>
            </w:pPr>
            <w:r w:rsidRPr="00B31292">
              <w:rPr>
                <w:rFonts w:ascii="Garamond" w:hAnsi="Garamond" w:cs="Times New Roman"/>
                <w:sz w:val="20"/>
                <w:szCs w:val="20"/>
                <w:lang w:eastAsia="ja-JP"/>
              </w:rPr>
              <w:t>Departamenti i Kombeve të Bashkuara për Çështjet Ekonomike dhe Sociale</w:t>
            </w:r>
          </w:p>
        </w:tc>
      </w:tr>
      <w:tr w:rsidR="00EE716C" w:rsidRPr="00B31292" w14:paraId="3E58BC88" w14:textId="77777777" w:rsidTr="00CA65A7">
        <w:trPr>
          <w:trHeight w:val="20"/>
        </w:trPr>
        <w:tc>
          <w:tcPr>
            <w:tcW w:w="1350" w:type="dxa"/>
            <w:vAlign w:val="center"/>
          </w:tcPr>
          <w:p w14:paraId="21E8AA1B" w14:textId="77777777" w:rsidR="00AB22B8" w:rsidRPr="00B31292" w:rsidRDefault="00AB22B8" w:rsidP="003A4DBA">
            <w:pPr>
              <w:ind w:firstLine="284"/>
              <w:rPr>
                <w:rFonts w:ascii="Garamond" w:hAnsi="Garamond" w:cs="Times New Roman"/>
                <w:sz w:val="20"/>
                <w:szCs w:val="20"/>
                <w:lang w:eastAsia="ja-JP"/>
              </w:rPr>
            </w:pPr>
            <w:r w:rsidRPr="00B31292">
              <w:rPr>
                <w:rFonts w:ascii="Garamond" w:eastAsia="Calibri" w:hAnsi="Garamond" w:cs="Times New Roman"/>
                <w:sz w:val="20"/>
                <w:szCs w:val="20"/>
              </w:rPr>
              <w:t>ESA</w:t>
            </w:r>
          </w:p>
        </w:tc>
        <w:tc>
          <w:tcPr>
            <w:tcW w:w="3240" w:type="dxa"/>
            <w:vAlign w:val="center"/>
          </w:tcPr>
          <w:p w14:paraId="7A65178D" w14:textId="77777777" w:rsidR="00AB22B8" w:rsidRPr="00B31292" w:rsidRDefault="00AB22B8" w:rsidP="002277EC">
            <w:pPr>
              <w:rPr>
                <w:rFonts w:ascii="Garamond" w:eastAsia="Calibri" w:hAnsi="Garamond" w:cs="Times New Roman"/>
                <w:sz w:val="20"/>
                <w:szCs w:val="20"/>
              </w:rPr>
            </w:pPr>
            <w:r w:rsidRPr="00B31292">
              <w:rPr>
                <w:rFonts w:ascii="Garamond" w:eastAsia="Calibri" w:hAnsi="Garamond" w:cs="Times New Roman"/>
                <w:sz w:val="20"/>
                <w:szCs w:val="20"/>
              </w:rPr>
              <w:t>Sistemi Evropian i Llogarive Kombëtare dhe Rajonale (</w:t>
            </w:r>
            <w:hyperlink r:id="rId11" w:history="1">
              <w:r w:rsidRPr="00B31292">
                <w:rPr>
                  <w:rFonts w:ascii="Garamond" w:eastAsia="Calibri" w:hAnsi="Garamond" w:cs="Times New Roman"/>
                  <w:i/>
                  <w:iCs/>
                  <w:sz w:val="20"/>
                  <w:szCs w:val="20"/>
                </w:rPr>
                <w:t>European system of national and regional accounts</w:t>
              </w:r>
            </w:hyperlink>
            <w:r w:rsidRPr="00B31292">
              <w:rPr>
                <w:rFonts w:ascii="Garamond" w:eastAsia="Calibri" w:hAnsi="Garamond" w:cs="Times New Roman"/>
                <w:sz w:val="20"/>
                <w:szCs w:val="20"/>
              </w:rPr>
              <w:t>)</w:t>
            </w:r>
          </w:p>
          <w:p w14:paraId="75D28241" w14:textId="3514CF65" w:rsidR="002277EC" w:rsidRPr="00B31292" w:rsidRDefault="002277EC" w:rsidP="003A4DBA">
            <w:pPr>
              <w:ind w:firstLine="284"/>
              <w:rPr>
                <w:rFonts w:ascii="Garamond" w:hAnsi="Garamond" w:cs="Times New Roman"/>
                <w:sz w:val="20"/>
                <w:szCs w:val="20"/>
                <w:lang w:eastAsia="ja-JP"/>
              </w:rPr>
            </w:pPr>
          </w:p>
        </w:tc>
        <w:tc>
          <w:tcPr>
            <w:tcW w:w="1350" w:type="dxa"/>
            <w:vAlign w:val="center"/>
          </w:tcPr>
          <w:p w14:paraId="27DBFD83" w14:textId="77777777" w:rsidR="00AB22B8" w:rsidRPr="00B31292" w:rsidRDefault="00AB22B8" w:rsidP="002277EC">
            <w:pPr>
              <w:jc w:val="center"/>
              <w:rPr>
                <w:rFonts w:ascii="Garamond" w:hAnsi="Garamond" w:cs="Times New Roman"/>
                <w:sz w:val="20"/>
                <w:szCs w:val="20"/>
                <w:lang w:eastAsia="ja-JP"/>
              </w:rPr>
            </w:pPr>
            <w:r w:rsidRPr="00B31292">
              <w:rPr>
                <w:rFonts w:ascii="Garamond" w:hAnsi="Garamond" w:cs="Times New Roman"/>
                <w:sz w:val="20"/>
                <w:szCs w:val="20"/>
                <w:lang w:eastAsia="ja-JP"/>
              </w:rPr>
              <w:t>UNDP</w:t>
            </w:r>
          </w:p>
        </w:tc>
        <w:tc>
          <w:tcPr>
            <w:tcW w:w="3330" w:type="dxa"/>
            <w:vAlign w:val="center"/>
          </w:tcPr>
          <w:p w14:paraId="3D9954D8" w14:textId="77777777" w:rsidR="00AB22B8" w:rsidRPr="00B31292" w:rsidRDefault="00AB22B8" w:rsidP="002277EC">
            <w:pPr>
              <w:rPr>
                <w:rFonts w:ascii="Garamond" w:hAnsi="Garamond" w:cs="Times New Roman"/>
                <w:sz w:val="20"/>
                <w:szCs w:val="20"/>
                <w:lang w:eastAsia="ja-JP"/>
              </w:rPr>
            </w:pPr>
            <w:r w:rsidRPr="00B31292">
              <w:rPr>
                <w:rFonts w:ascii="Garamond" w:hAnsi="Garamond" w:cs="Times New Roman"/>
                <w:sz w:val="20"/>
                <w:szCs w:val="20"/>
                <w:lang w:eastAsia="ja-JP"/>
              </w:rPr>
              <w:t>Programi i Zhvillimit të Kombeve të Bashkuara</w:t>
            </w:r>
          </w:p>
        </w:tc>
      </w:tr>
      <w:tr w:rsidR="00EE716C" w:rsidRPr="00B31292" w14:paraId="25B116DD" w14:textId="77777777" w:rsidTr="00CA65A7">
        <w:trPr>
          <w:trHeight w:val="20"/>
        </w:trPr>
        <w:tc>
          <w:tcPr>
            <w:tcW w:w="1350" w:type="dxa"/>
            <w:vAlign w:val="center"/>
          </w:tcPr>
          <w:p w14:paraId="6D4593FB" w14:textId="77777777" w:rsidR="00AB22B8" w:rsidRPr="00B31292" w:rsidRDefault="00AB22B8" w:rsidP="002277EC">
            <w:pPr>
              <w:rPr>
                <w:rFonts w:ascii="Garamond" w:hAnsi="Garamond" w:cs="Times New Roman"/>
                <w:sz w:val="20"/>
                <w:szCs w:val="20"/>
                <w:lang w:eastAsia="ja-JP"/>
              </w:rPr>
            </w:pPr>
            <w:r w:rsidRPr="00B31292">
              <w:rPr>
                <w:rFonts w:ascii="Garamond" w:eastAsia="Calibri" w:hAnsi="Garamond" w:cs="Times New Roman"/>
                <w:sz w:val="20"/>
                <w:szCs w:val="20"/>
              </w:rPr>
              <w:t>ESSPROS</w:t>
            </w:r>
          </w:p>
        </w:tc>
        <w:tc>
          <w:tcPr>
            <w:tcW w:w="3240" w:type="dxa"/>
            <w:vAlign w:val="center"/>
          </w:tcPr>
          <w:p w14:paraId="69D1E9CA" w14:textId="6E8227DF" w:rsidR="00AB22B8" w:rsidRPr="00B31292" w:rsidRDefault="00AB22B8" w:rsidP="002277EC">
            <w:pPr>
              <w:rPr>
                <w:rFonts w:ascii="Garamond" w:eastAsia="Times New Roman" w:hAnsi="Garamond" w:cs="Times New Roman"/>
                <w:sz w:val="20"/>
                <w:szCs w:val="20"/>
              </w:rPr>
            </w:pPr>
            <w:r w:rsidRPr="00B31292">
              <w:rPr>
                <w:rFonts w:ascii="Garamond" w:eastAsia="Times New Roman" w:hAnsi="Garamond" w:cs="Times New Roman"/>
                <w:sz w:val="20"/>
                <w:szCs w:val="20"/>
              </w:rPr>
              <w:t xml:space="preserve">Sistemi i Integruar </w:t>
            </w:r>
            <w:r w:rsidR="00DD6555" w:rsidRPr="00B31292">
              <w:rPr>
                <w:rFonts w:ascii="Garamond" w:eastAsia="Times New Roman" w:hAnsi="Garamond" w:cs="Times New Roman"/>
                <w:sz w:val="20"/>
                <w:szCs w:val="20"/>
              </w:rPr>
              <w:t>Evropian</w:t>
            </w:r>
            <w:r w:rsidRPr="00B31292">
              <w:rPr>
                <w:rFonts w:ascii="Garamond" w:eastAsia="Times New Roman" w:hAnsi="Garamond" w:cs="Times New Roman"/>
                <w:sz w:val="20"/>
                <w:szCs w:val="20"/>
              </w:rPr>
              <w:t xml:space="preserve"> për Mbrojtjen Sociale (</w:t>
            </w:r>
            <w:r w:rsidRPr="00B31292">
              <w:rPr>
                <w:rFonts w:ascii="Garamond" w:eastAsia="Times New Roman" w:hAnsi="Garamond" w:cs="Times New Roman"/>
                <w:i/>
                <w:iCs/>
                <w:sz w:val="20"/>
                <w:szCs w:val="20"/>
              </w:rPr>
              <w:t>European system of integrated social protection statistics</w:t>
            </w:r>
            <w:r w:rsidRPr="00B31292">
              <w:rPr>
                <w:rFonts w:ascii="Garamond" w:eastAsia="Times New Roman" w:hAnsi="Garamond" w:cs="Times New Roman"/>
                <w:sz w:val="20"/>
                <w:szCs w:val="20"/>
              </w:rPr>
              <w:t>)</w:t>
            </w:r>
          </w:p>
          <w:p w14:paraId="214AF793" w14:textId="13456F77" w:rsidR="002277EC" w:rsidRPr="00B31292" w:rsidRDefault="002277EC" w:rsidP="002277EC">
            <w:pPr>
              <w:rPr>
                <w:rFonts w:ascii="Garamond" w:hAnsi="Garamond" w:cs="Times New Roman"/>
                <w:sz w:val="20"/>
                <w:szCs w:val="20"/>
                <w:lang w:eastAsia="ja-JP"/>
              </w:rPr>
            </w:pPr>
          </w:p>
        </w:tc>
        <w:tc>
          <w:tcPr>
            <w:tcW w:w="1350" w:type="dxa"/>
            <w:vAlign w:val="center"/>
          </w:tcPr>
          <w:p w14:paraId="540891C0" w14:textId="77777777" w:rsidR="00AB22B8" w:rsidRPr="00B31292" w:rsidRDefault="00AB22B8" w:rsidP="003A4DBA">
            <w:pPr>
              <w:ind w:firstLine="284"/>
              <w:rPr>
                <w:rFonts w:ascii="Garamond" w:hAnsi="Garamond" w:cs="Times New Roman"/>
                <w:sz w:val="20"/>
                <w:szCs w:val="20"/>
                <w:lang w:eastAsia="ja-JP"/>
              </w:rPr>
            </w:pPr>
            <w:r w:rsidRPr="00B31292">
              <w:rPr>
                <w:rFonts w:ascii="Garamond" w:hAnsi="Garamond" w:cs="Times New Roman"/>
                <w:sz w:val="20"/>
                <w:szCs w:val="20"/>
                <w:lang w:eastAsia="ja-JP"/>
              </w:rPr>
              <w:t>VS</w:t>
            </w:r>
          </w:p>
        </w:tc>
        <w:tc>
          <w:tcPr>
            <w:tcW w:w="3330" w:type="dxa"/>
            <w:vAlign w:val="center"/>
          </w:tcPr>
          <w:p w14:paraId="67CC5A4C" w14:textId="05A6D047" w:rsidR="00AB22B8" w:rsidRPr="00B31292" w:rsidRDefault="00AB22B8" w:rsidP="00CA65A7">
            <w:pPr>
              <w:rPr>
                <w:rFonts w:ascii="Garamond" w:hAnsi="Garamond" w:cs="Times New Roman"/>
                <w:sz w:val="20"/>
                <w:szCs w:val="20"/>
                <w:lang w:eastAsia="ja-JP"/>
              </w:rPr>
            </w:pPr>
            <w:r w:rsidRPr="00B31292">
              <w:rPr>
                <w:rFonts w:ascii="Garamond" w:hAnsi="Garamond" w:cs="Times New Roman"/>
                <w:sz w:val="20"/>
                <w:szCs w:val="20"/>
                <w:lang w:eastAsia="ja-JP"/>
              </w:rPr>
              <w:t xml:space="preserve">Vrojtim </w:t>
            </w:r>
            <w:r w:rsidR="000F0D03" w:rsidRPr="00B31292">
              <w:rPr>
                <w:rFonts w:ascii="Garamond" w:hAnsi="Garamond" w:cs="Times New Roman"/>
                <w:sz w:val="20"/>
                <w:szCs w:val="20"/>
                <w:lang w:eastAsia="ja-JP"/>
              </w:rPr>
              <w:t>statistikor</w:t>
            </w:r>
          </w:p>
        </w:tc>
      </w:tr>
      <w:tr w:rsidR="00EE716C" w:rsidRPr="00B31292" w14:paraId="67498F41" w14:textId="77777777" w:rsidTr="00CA65A7">
        <w:trPr>
          <w:trHeight w:val="20"/>
        </w:trPr>
        <w:tc>
          <w:tcPr>
            <w:tcW w:w="1350" w:type="dxa"/>
            <w:vAlign w:val="center"/>
          </w:tcPr>
          <w:p w14:paraId="15C6DC6D" w14:textId="77777777" w:rsidR="00AB22B8" w:rsidRPr="00B31292" w:rsidRDefault="00AB22B8" w:rsidP="003A4DBA">
            <w:pPr>
              <w:ind w:firstLine="284"/>
              <w:rPr>
                <w:rFonts w:ascii="Garamond" w:hAnsi="Garamond" w:cs="Times New Roman"/>
                <w:sz w:val="20"/>
                <w:szCs w:val="20"/>
                <w:lang w:eastAsia="ja-JP"/>
              </w:rPr>
            </w:pPr>
            <w:r w:rsidRPr="00B31292">
              <w:rPr>
                <w:rFonts w:ascii="Garamond" w:eastAsia="Calibri" w:hAnsi="Garamond" w:cs="Times New Roman"/>
                <w:sz w:val="20"/>
                <w:szCs w:val="20"/>
              </w:rPr>
              <w:t>FAO</w:t>
            </w:r>
          </w:p>
        </w:tc>
        <w:tc>
          <w:tcPr>
            <w:tcW w:w="3240" w:type="dxa"/>
            <w:vAlign w:val="center"/>
          </w:tcPr>
          <w:p w14:paraId="4B8F726E" w14:textId="77777777" w:rsidR="00AB22B8" w:rsidRPr="00B31292" w:rsidRDefault="00AB22B8" w:rsidP="002277EC">
            <w:pPr>
              <w:rPr>
                <w:rFonts w:ascii="Garamond" w:eastAsia="Calibri" w:hAnsi="Garamond" w:cs="Times New Roman"/>
                <w:sz w:val="20"/>
                <w:szCs w:val="20"/>
              </w:rPr>
            </w:pPr>
            <w:r w:rsidRPr="00B31292">
              <w:rPr>
                <w:rFonts w:ascii="Garamond" w:eastAsia="Calibri" w:hAnsi="Garamond" w:cs="Times New Roman"/>
                <w:sz w:val="20"/>
                <w:szCs w:val="20"/>
              </w:rPr>
              <w:t>Organizata për Bujqësinë dhe Ushqimin (</w:t>
            </w:r>
            <w:r w:rsidRPr="00B31292">
              <w:rPr>
                <w:rFonts w:ascii="Garamond" w:eastAsia="Calibri" w:hAnsi="Garamond" w:cs="Times New Roman"/>
                <w:i/>
                <w:iCs/>
                <w:sz w:val="20"/>
                <w:szCs w:val="20"/>
              </w:rPr>
              <w:t>Food and Agriculture Organization</w:t>
            </w:r>
            <w:r w:rsidRPr="00B31292">
              <w:rPr>
                <w:rFonts w:ascii="Garamond" w:eastAsia="Calibri" w:hAnsi="Garamond" w:cs="Times New Roman"/>
                <w:sz w:val="20"/>
                <w:szCs w:val="20"/>
              </w:rPr>
              <w:t>)</w:t>
            </w:r>
          </w:p>
          <w:p w14:paraId="090307A9" w14:textId="3502E81D" w:rsidR="002277EC" w:rsidRPr="00B31292" w:rsidRDefault="002277EC" w:rsidP="002277EC">
            <w:pPr>
              <w:rPr>
                <w:rFonts w:ascii="Garamond" w:hAnsi="Garamond" w:cs="Times New Roman"/>
                <w:sz w:val="20"/>
                <w:szCs w:val="20"/>
                <w:lang w:eastAsia="ja-JP"/>
              </w:rPr>
            </w:pPr>
          </w:p>
        </w:tc>
        <w:tc>
          <w:tcPr>
            <w:tcW w:w="1350" w:type="dxa"/>
            <w:vAlign w:val="center"/>
          </w:tcPr>
          <w:p w14:paraId="54498B80" w14:textId="77777777" w:rsidR="00AB22B8" w:rsidRPr="00B31292" w:rsidRDefault="00AB22B8" w:rsidP="003A4DBA">
            <w:pPr>
              <w:ind w:firstLine="284"/>
              <w:rPr>
                <w:rFonts w:ascii="Garamond" w:hAnsi="Garamond" w:cs="Times New Roman"/>
                <w:sz w:val="20"/>
                <w:szCs w:val="20"/>
                <w:lang w:eastAsia="ja-JP"/>
              </w:rPr>
            </w:pPr>
            <w:r w:rsidRPr="00B31292">
              <w:rPr>
                <w:rFonts w:ascii="Garamond" w:eastAsia="Calibri" w:hAnsi="Garamond" w:cs="Times New Roman"/>
                <w:sz w:val="20"/>
                <w:szCs w:val="20"/>
              </w:rPr>
              <w:t>SKS</w:t>
            </w:r>
          </w:p>
        </w:tc>
        <w:tc>
          <w:tcPr>
            <w:tcW w:w="3330" w:type="dxa"/>
            <w:vAlign w:val="center"/>
          </w:tcPr>
          <w:p w14:paraId="247994AE" w14:textId="77777777" w:rsidR="00AB22B8" w:rsidRPr="00B31292" w:rsidRDefault="00AB22B8" w:rsidP="00CA65A7">
            <w:pPr>
              <w:rPr>
                <w:rFonts w:ascii="Garamond" w:hAnsi="Garamond" w:cs="Times New Roman"/>
                <w:sz w:val="20"/>
                <w:szCs w:val="20"/>
                <w:lang w:eastAsia="ja-JP"/>
              </w:rPr>
            </w:pPr>
            <w:r w:rsidRPr="00B31292">
              <w:rPr>
                <w:rFonts w:ascii="Garamond" w:eastAsia="Calibri" w:hAnsi="Garamond" w:cs="Times New Roman"/>
                <w:sz w:val="20"/>
                <w:szCs w:val="20"/>
              </w:rPr>
              <w:t>Sistemi Kombëtar Statistikor</w:t>
            </w:r>
          </w:p>
        </w:tc>
      </w:tr>
      <w:tr w:rsidR="00EE716C" w:rsidRPr="00B31292" w14:paraId="32488B3C" w14:textId="77777777" w:rsidTr="00CA65A7">
        <w:trPr>
          <w:trHeight w:val="20"/>
        </w:trPr>
        <w:tc>
          <w:tcPr>
            <w:tcW w:w="1350" w:type="dxa"/>
            <w:vAlign w:val="center"/>
          </w:tcPr>
          <w:p w14:paraId="0C09ABB9" w14:textId="77777777" w:rsidR="00AB22B8" w:rsidRPr="00B31292" w:rsidRDefault="00AB22B8" w:rsidP="003A4DBA">
            <w:pPr>
              <w:ind w:firstLine="284"/>
              <w:rPr>
                <w:rFonts w:ascii="Garamond" w:hAnsi="Garamond" w:cs="Times New Roman"/>
                <w:sz w:val="20"/>
                <w:szCs w:val="20"/>
                <w:lang w:eastAsia="ja-JP"/>
              </w:rPr>
            </w:pPr>
            <w:r w:rsidRPr="00B31292">
              <w:rPr>
                <w:rFonts w:ascii="Garamond" w:hAnsi="Garamond" w:cs="Times New Roman"/>
                <w:sz w:val="20"/>
                <w:szCs w:val="20"/>
                <w:lang w:eastAsia="ja-JP"/>
              </w:rPr>
              <w:t>FMN</w:t>
            </w:r>
          </w:p>
        </w:tc>
        <w:tc>
          <w:tcPr>
            <w:tcW w:w="3240" w:type="dxa"/>
            <w:vAlign w:val="center"/>
          </w:tcPr>
          <w:p w14:paraId="1B4CA9D7" w14:textId="77777777" w:rsidR="00AB22B8" w:rsidRPr="00B31292" w:rsidRDefault="00AB22B8" w:rsidP="002277EC">
            <w:pPr>
              <w:rPr>
                <w:rFonts w:ascii="Garamond" w:hAnsi="Garamond" w:cs="Times New Roman"/>
                <w:sz w:val="20"/>
                <w:szCs w:val="20"/>
                <w:lang w:eastAsia="ja-JP"/>
              </w:rPr>
            </w:pPr>
            <w:r w:rsidRPr="00B31292">
              <w:rPr>
                <w:rFonts w:ascii="Garamond" w:hAnsi="Garamond" w:cs="Times New Roman"/>
                <w:sz w:val="20"/>
                <w:szCs w:val="20"/>
                <w:lang w:eastAsia="ja-JP"/>
              </w:rPr>
              <w:t>Fondi Monetar Ndërkombëtar</w:t>
            </w:r>
          </w:p>
          <w:p w14:paraId="6A0D9C64" w14:textId="5925D441" w:rsidR="002277EC" w:rsidRPr="00B31292" w:rsidRDefault="002277EC" w:rsidP="002277EC">
            <w:pPr>
              <w:rPr>
                <w:rFonts w:ascii="Garamond" w:hAnsi="Garamond" w:cs="Times New Roman"/>
                <w:sz w:val="20"/>
                <w:szCs w:val="20"/>
                <w:lang w:eastAsia="ja-JP"/>
              </w:rPr>
            </w:pPr>
          </w:p>
        </w:tc>
        <w:tc>
          <w:tcPr>
            <w:tcW w:w="1350" w:type="dxa"/>
            <w:vAlign w:val="center"/>
          </w:tcPr>
          <w:p w14:paraId="27358D69" w14:textId="77777777" w:rsidR="00AB22B8" w:rsidRPr="00B31292" w:rsidRDefault="00AB22B8" w:rsidP="003A4DBA">
            <w:pPr>
              <w:ind w:firstLine="284"/>
              <w:rPr>
                <w:rFonts w:ascii="Garamond" w:hAnsi="Garamond" w:cs="Times New Roman"/>
                <w:sz w:val="20"/>
                <w:szCs w:val="20"/>
                <w:lang w:eastAsia="ja-JP"/>
              </w:rPr>
            </w:pPr>
            <w:r w:rsidRPr="00B31292">
              <w:rPr>
                <w:rFonts w:ascii="Garamond" w:hAnsi="Garamond" w:cs="Times New Roman"/>
                <w:sz w:val="20"/>
                <w:szCs w:val="20"/>
                <w:lang w:eastAsia="ja-JP"/>
              </w:rPr>
              <w:t>ZC</w:t>
            </w:r>
          </w:p>
        </w:tc>
        <w:tc>
          <w:tcPr>
            <w:tcW w:w="3330" w:type="dxa"/>
            <w:vAlign w:val="center"/>
          </w:tcPr>
          <w:p w14:paraId="4C7EA9E5" w14:textId="77777777" w:rsidR="00AB22B8" w:rsidRPr="00B31292" w:rsidRDefault="00AB22B8" w:rsidP="00CA65A7">
            <w:pPr>
              <w:rPr>
                <w:rFonts w:ascii="Garamond" w:hAnsi="Garamond" w:cs="Times New Roman"/>
                <w:sz w:val="20"/>
                <w:szCs w:val="20"/>
                <w:lang w:eastAsia="ja-JP"/>
              </w:rPr>
            </w:pPr>
            <w:r w:rsidRPr="00B31292">
              <w:rPr>
                <w:rFonts w:ascii="Garamond" w:hAnsi="Garamond" w:cs="Times New Roman"/>
                <w:sz w:val="20"/>
                <w:szCs w:val="20"/>
                <w:lang w:eastAsia="ja-JP"/>
              </w:rPr>
              <w:t>Zonat e Censit</w:t>
            </w:r>
          </w:p>
        </w:tc>
      </w:tr>
      <w:tr w:rsidR="00EE716C" w:rsidRPr="00B31292" w14:paraId="082E7267" w14:textId="77777777" w:rsidTr="00CA65A7">
        <w:trPr>
          <w:trHeight w:val="20"/>
        </w:trPr>
        <w:tc>
          <w:tcPr>
            <w:tcW w:w="1350" w:type="dxa"/>
            <w:vAlign w:val="center"/>
          </w:tcPr>
          <w:p w14:paraId="24125CDB" w14:textId="77777777" w:rsidR="00AB22B8" w:rsidRPr="00B31292" w:rsidRDefault="00AB22B8" w:rsidP="003A4DBA">
            <w:pPr>
              <w:ind w:firstLine="284"/>
              <w:rPr>
                <w:rFonts w:ascii="Garamond" w:hAnsi="Garamond" w:cs="Times New Roman"/>
                <w:sz w:val="20"/>
                <w:szCs w:val="20"/>
                <w:lang w:eastAsia="ja-JP"/>
              </w:rPr>
            </w:pPr>
            <w:r w:rsidRPr="00B31292">
              <w:rPr>
                <w:rFonts w:ascii="Garamond" w:eastAsia="Calibri" w:hAnsi="Garamond" w:cs="Times New Roman"/>
                <w:sz w:val="20"/>
                <w:szCs w:val="20"/>
              </w:rPr>
              <w:t>GDP</w:t>
            </w:r>
          </w:p>
        </w:tc>
        <w:tc>
          <w:tcPr>
            <w:tcW w:w="3240" w:type="dxa"/>
            <w:vAlign w:val="center"/>
          </w:tcPr>
          <w:p w14:paraId="481AA9F6" w14:textId="184C304B" w:rsidR="00AB22B8" w:rsidRPr="00B31292" w:rsidRDefault="00AB22B8" w:rsidP="002277EC">
            <w:pPr>
              <w:rPr>
                <w:rFonts w:ascii="Garamond" w:eastAsia="Calibri" w:hAnsi="Garamond" w:cs="Times New Roman"/>
                <w:sz w:val="20"/>
                <w:szCs w:val="20"/>
              </w:rPr>
            </w:pPr>
            <w:r w:rsidRPr="00B31292">
              <w:rPr>
                <w:rFonts w:ascii="Garamond" w:eastAsia="Calibri" w:hAnsi="Garamond" w:cs="Times New Roman"/>
                <w:sz w:val="20"/>
                <w:szCs w:val="20"/>
              </w:rPr>
              <w:t xml:space="preserve">Produkti i </w:t>
            </w:r>
            <w:r w:rsidR="000F0D03" w:rsidRPr="00B31292">
              <w:rPr>
                <w:rFonts w:ascii="Garamond" w:eastAsia="Calibri" w:hAnsi="Garamond" w:cs="Times New Roman"/>
                <w:sz w:val="20"/>
                <w:szCs w:val="20"/>
              </w:rPr>
              <w:t xml:space="preserve">brendshëm bruto </w:t>
            </w:r>
            <w:r w:rsidRPr="00B31292">
              <w:rPr>
                <w:rFonts w:ascii="Garamond" w:eastAsia="Calibri" w:hAnsi="Garamond" w:cs="Times New Roman"/>
                <w:sz w:val="20"/>
                <w:szCs w:val="20"/>
              </w:rPr>
              <w:t>(</w:t>
            </w:r>
            <w:r w:rsidRPr="00B31292">
              <w:rPr>
                <w:rFonts w:ascii="Garamond" w:eastAsia="Calibri" w:hAnsi="Garamond" w:cs="Times New Roman"/>
                <w:i/>
                <w:iCs/>
                <w:sz w:val="20"/>
                <w:szCs w:val="20"/>
              </w:rPr>
              <w:t>Gross Domestic Product</w:t>
            </w:r>
            <w:r w:rsidRPr="00B31292">
              <w:rPr>
                <w:rFonts w:ascii="Garamond" w:eastAsia="Calibri" w:hAnsi="Garamond" w:cs="Times New Roman"/>
                <w:sz w:val="20"/>
                <w:szCs w:val="20"/>
              </w:rPr>
              <w:t>)</w:t>
            </w:r>
          </w:p>
          <w:p w14:paraId="6F811226" w14:textId="671C69FB" w:rsidR="002277EC" w:rsidRPr="00B31292" w:rsidRDefault="002277EC" w:rsidP="002277EC">
            <w:pPr>
              <w:rPr>
                <w:rFonts w:ascii="Garamond" w:hAnsi="Garamond" w:cs="Times New Roman"/>
                <w:sz w:val="20"/>
                <w:szCs w:val="20"/>
                <w:lang w:eastAsia="ja-JP"/>
              </w:rPr>
            </w:pPr>
          </w:p>
        </w:tc>
        <w:tc>
          <w:tcPr>
            <w:tcW w:w="1350" w:type="dxa"/>
            <w:vAlign w:val="center"/>
          </w:tcPr>
          <w:p w14:paraId="45A23EC8" w14:textId="77777777" w:rsidR="00AB22B8" w:rsidRPr="00B31292" w:rsidRDefault="00AB22B8" w:rsidP="003A4DBA">
            <w:pPr>
              <w:ind w:firstLine="284"/>
              <w:rPr>
                <w:rFonts w:ascii="Garamond" w:hAnsi="Garamond" w:cs="Times New Roman"/>
                <w:sz w:val="20"/>
                <w:szCs w:val="20"/>
                <w:lang w:eastAsia="ja-JP"/>
              </w:rPr>
            </w:pPr>
          </w:p>
        </w:tc>
        <w:tc>
          <w:tcPr>
            <w:tcW w:w="3330" w:type="dxa"/>
            <w:vAlign w:val="center"/>
          </w:tcPr>
          <w:p w14:paraId="7C4F459C" w14:textId="77777777" w:rsidR="00AB22B8" w:rsidRPr="00B31292" w:rsidRDefault="00AB22B8" w:rsidP="003A4DBA">
            <w:pPr>
              <w:ind w:firstLine="284"/>
              <w:rPr>
                <w:rFonts w:ascii="Garamond" w:hAnsi="Garamond" w:cs="Times New Roman"/>
                <w:sz w:val="20"/>
                <w:szCs w:val="20"/>
                <w:lang w:eastAsia="ja-JP"/>
              </w:rPr>
            </w:pPr>
          </w:p>
        </w:tc>
      </w:tr>
      <w:tr w:rsidR="00EE716C" w:rsidRPr="00B31292" w14:paraId="53388E6B" w14:textId="77777777" w:rsidTr="00CA65A7">
        <w:trPr>
          <w:trHeight w:val="20"/>
        </w:trPr>
        <w:tc>
          <w:tcPr>
            <w:tcW w:w="1350" w:type="dxa"/>
            <w:vAlign w:val="center"/>
          </w:tcPr>
          <w:p w14:paraId="78E78F4A" w14:textId="77777777" w:rsidR="00AB22B8" w:rsidRPr="00B31292" w:rsidRDefault="00AB22B8" w:rsidP="003A4DBA">
            <w:pPr>
              <w:ind w:firstLine="284"/>
              <w:rPr>
                <w:rFonts w:ascii="Garamond" w:hAnsi="Garamond" w:cs="Times New Roman"/>
                <w:sz w:val="20"/>
                <w:szCs w:val="20"/>
                <w:lang w:eastAsia="ja-JP"/>
              </w:rPr>
            </w:pPr>
            <w:r w:rsidRPr="00B31292">
              <w:rPr>
                <w:rFonts w:ascii="Garamond" w:eastAsia="Calibri" w:hAnsi="Garamond" w:cs="Times New Roman"/>
                <w:sz w:val="20"/>
                <w:szCs w:val="20"/>
              </w:rPr>
              <w:t>GFS</w:t>
            </w:r>
          </w:p>
        </w:tc>
        <w:tc>
          <w:tcPr>
            <w:tcW w:w="3240" w:type="dxa"/>
            <w:vAlign w:val="center"/>
          </w:tcPr>
          <w:p w14:paraId="3D8C6B40" w14:textId="64DE7AB2" w:rsidR="00AB22B8" w:rsidRPr="00B31292" w:rsidRDefault="00AB22B8" w:rsidP="002277EC">
            <w:pPr>
              <w:rPr>
                <w:rFonts w:ascii="Garamond" w:eastAsia="Calibri" w:hAnsi="Garamond" w:cs="Times New Roman"/>
                <w:sz w:val="20"/>
                <w:szCs w:val="20"/>
              </w:rPr>
            </w:pPr>
            <w:r w:rsidRPr="00B31292">
              <w:rPr>
                <w:rFonts w:ascii="Garamond" w:eastAsia="Calibri" w:hAnsi="Garamond" w:cs="Times New Roman"/>
                <w:sz w:val="20"/>
                <w:szCs w:val="20"/>
              </w:rPr>
              <w:t xml:space="preserve">Statistikat </w:t>
            </w:r>
            <w:r w:rsidR="000F0D03" w:rsidRPr="00B31292">
              <w:rPr>
                <w:rFonts w:ascii="Garamond" w:eastAsia="Calibri" w:hAnsi="Garamond" w:cs="Times New Roman"/>
                <w:sz w:val="20"/>
                <w:szCs w:val="20"/>
              </w:rPr>
              <w:t xml:space="preserve">financiare të qeverisë </w:t>
            </w:r>
            <w:r w:rsidRPr="00B31292">
              <w:rPr>
                <w:rFonts w:ascii="Garamond" w:eastAsia="Calibri" w:hAnsi="Garamond" w:cs="Times New Roman"/>
                <w:sz w:val="20"/>
                <w:szCs w:val="20"/>
              </w:rPr>
              <w:t>(</w:t>
            </w:r>
            <w:r w:rsidRPr="00B31292">
              <w:rPr>
                <w:rFonts w:ascii="Garamond" w:eastAsia="Calibri" w:hAnsi="Garamond" w:cs="Times New Roman"/>
                <w:i/>
                <w:iCs/>
                <w:sz w:val="20"/>
                <w:szCs w:val="20"/>
              </w:rPr>
              <w:t>Government Finance Statistics</w:t>
            </w:r>
            <w:r w:rsidRPr="00B31292">
              <w:rPr>
                <w:rFonts w:ascii="Garamond" w:eastAsia="Calibri" w:hAnsi="Garamond" w:cs="Times New Roman"/>
                <w:sz w:val="20"/>
                <w:szCs w:val="20"/>
              </w:rPr>
              <w:t>)</w:t>
            </w:r>
          </w:p>
          <w:p w14:paraId="6670FAB9" w14:textId="41F70BCC" w:rsidR="002277EC" w:rsidRPr="00B31292" w:rsidRDefault="002277EC" w:rsidP="002277EC">
            <w:pPr>
              <w:rPr>
                <w:rFonts w:ascii="Garamond" w:hAnsi="Garamond" w:cs="Times New Roman"/>
                <w:sz w:val="20"/>
                <w:szCs w:val="20"/>
                <w:lang w:eastAsia="ja-JP"/>
              </w:rPr>
            </w:pPr>
          </w:p>
        </w:tc>
        <w:tc>
          <w:tcPr>
            <w:tcW w:w="1350" w:type="dxa"/>
            <w:vAlign w:val="center"/>
          </w:tcPr>
          <w:p w14:paraId="174F7A54" w14:textId="77777777" w:rsidR="00AB22B8" w:rsidRPr="00B31292" w:rsidRDefault="003E5DAA" w:rsidP="003A4DBA">
            <w:pPr>
              <w:ind w:firstLine="284"/>
              <w:rPr>
                <w:rFonts w:ascii="Garamond" w:hAnsi="Garamond" w:cs="Times New Roman"/>
                <w:sz w:val="20"/>
                <w:szCs w:val="20"/>
                <w:lang w:eastAsia="ja-JP"/>
              </w:rPr>
            </w:pPr>
            <w:r w:rsidRPr="00B31292">
              <w:rPr>
                <w:rFonts w:ascii="Garamond" w:hAnsi="Garamond" w:cs="Times New Roman"/>
                <w:sz w:val="20"/>
                <w:szCs w:val="20"/>
                <w:lang w:eastAsia="ja-JP"/>
              </w:rPr>
              <w:t>AKBN</w:t>
            </w:r>
          </w:p>
        </w:tc>
        <w:tc>
          <w:tcPr>
            <w:tcW w:w="3330" w:type="dxa"/>
            <w:vAlign w:val="center"/>
          </w:tcPr>
          <w:p w14:paraId="5F14AA4D" w14:textId="40E6B52A" w:rsidR="003E5DAA" w:rsidRPr="00B31292" w:rsidRDefault="003E5DAA" w:rsidP="002277EC">
            <w:pPr>
              <w:rPr>
                <w:rFonts w:ascii="Garamond" w:hAnsi="Garamond" w:cs="Times New Roman"/>
                <w:sz w:val="20"/>
                <w:szCs w:val="20"/>
                <w:lang w:eastAsia="ja-JP"/>
              </w:rPr>
            </w:pPr>
            <w:r w:rsidRPr="00B31292">
              <w:rPr>
                <w:rFonts w:ascii="Garamond" w:hAnsi="Garamond" w:cs="Times New Roman"/>
                <w:sz w:val="20"/>
                <w:szCs w:val="20"/>
                <w:lang w:eastAsia="ja-JP"/>
              </w:rPr>
              <w:t>Agjencia Kombëtare e Burimeve Natyrore</w:t>
            </w:r>
            <w:r w:rsidR="002E2911" w:rsidRPr="00B31292">
              <w:rPr>
                <w:rFonts w:ascii="Garamond" w:hAnsi="Garamond" w:cs="Times New Roman"/>
                <w:sz w:val="20"/>
                <w:szCs w:val="20"/>
                <w:lang w:eastAsia="ja-JP"/>
              </w:rPr>
              <w:t xml:space="preserve"> </w:t>
            </w:r>
          </w:p>
          <w:p w14:paraId="36D6383F" w14:textId="77777777" w:rsidR="00AB22B8" w:rsidRPr="00B31292" w:rsidRDefault="00AB22B8" w:rsidP="003A4DBA">
            <w:pPr>
              <w:ind w:firstLine="284"/>
              <w:rPr>
                <w:rFonts w:ascii="Garamond" w:hAnsi="Garamond" w:cs="Times New Roman"/>
                <w:sz w:val="20"/>
                <w:szCs w:val="20"/>
                <w:lang w:eastAsia="ja-JP"/>
              </w:rPr>
            </w:pPr>
          </w:p>
        </w:tc>
      </w:tr>
      <w:tr w:rsidR="00EE716C" w:rsidRPr="00B31292" w14:paraId="30765F8E" w14:textId="77777777" w:rsidTr="00CA65A7">
        <w:trPr>
          <w:trHeight w:val="20"/>
        </w:trPr>
        <w:tc>
          <w:tcPr>
            <w:tcW w:w="1350" w:type="dxa"/>
            <w:vAlign w:val="center"/>
          </w:tcPr>
          <w:p w14:paraId="3BBC8E4A" w14:textId="77777777" w:rsidR="00AB22B8" w:rsidRPr="00B31292" w:rsidRDefault="00AB22B8" w:rsidP="003A4DBA">
            <w:pPr>
              <w:ind w:firstLine="284"/>
              <w:rPr>
                <w:rFonts w:ascii="Garamond" w:hAnsi="Garamond" w:cs="Times New Roman"/>
                <w:sz w:val="20"/>
                <w:szCs w:val="20"/>
                <w:lang w:eastAsia="ja-JP"/>
              </w:rPr>
            </w:pPr>
            <w:r w:rsidRPr="00B31292">
              <w:rPr>
                <w:rFonts w:ascii="Garamond" w:eastAsia="Calibri" w:hAnsi="Garamond" w:cs="Times New Roman"/>
                <w:sz w:val="20"/>
                <w:szCs w:val="20"/>
              </w:rPr>
              <w:t>GFSM</w:t>
            </w:r>
          </w:p>
        </w:tc>
        <w:tc>
          <w:tcPr>
            <w:tcW w:w="3240" w:type="dxa"/>
            <w:vAlign w:val="center"/>
          </w:tcPr>
          <w:p w14:paraId="1770943B" w14:textId="071DB955" w:rsidR="00AB22B8" w:rsidRPr="00B31292" w:rsidRDefault="00AB22B8" w:rsidP="002277EC">
            <w:pPr>
              <w:rPr>
                <w:rFonts w:ascii="Garamond" w:eastAsia="Calibri" w:hAnsi="Garamond" w:cs="Times New Roman"/>
                <w:sz w:val="20"/>
                <w:szCs w:val="20"/>
              </w:rPr>
            </w:pPr>
            <w:r w:rsidRPr="00B31292">
              <w:rPr>
                <w:rFonts w:ascii="Garamond" w:eastAsia="Calibri" w:hAnsi="Garamond" w:cs="Times New Roman"/>
                <w:sz w:val="20"/>
                <w:szCs w:val="20"/>
              </w:rPr>
              <w:t xml:space="preserve">Manuali për </w:t>
            </w:r>
            <w:r w:rsidR="000F0D03" w:rsidRPr="00B31292">
              <w:rPr>
                <w:rFonts w:ascii="Garamond" w:eastAsia="Calibri" w:hAnsi="Garamond" w:cs="Times New Roman"/>
                <w:sz w:val="20"/>
                <w:szCs w:val="20"/>
              </w:rPr>
              <w:t>statistikat financiare të qeverisë (</w:t>
            </w:r>
            <w:r w:rsidRPr="00B31292">
              <w:rPr>
                <w:rFonts w:ascii="Garamond" w:eastAsia="Calibri" w:hAnsi="Garamond" w:cs="Times New Roman"/>
                <w:i/>
                <w:iCs/>
                <w:sz w:val="20"/>
                <w:szCs w:val="20"/>
              </w:rPr>
              <w:t>Government Finance Statistics Manual</w:t>
            </w:r>
            <w:r w:rsidRPr="00B31292">
              <w:rPr>
                <w:rFonts w:ascii="Garamond" w:eastAsia="Calibri" w:hAnsi="Garamond" w:cs="Times New Roman"/>
                <w:sz w:val="20"/>
                <w:szCs w:val="20"/>
              </w:rPr>
              <w:t>)</w:t>
            </w:r>
          </w:p>
          <w:p w14:paraId="4BAB8A8B" w14:textId="4EFB3D6E" w:rsidR="002277EC" w:rsidRPr="00B31292" w:rsidRDefault="002277EC" w:rsidP="002277EC">
            <w:pPr>
              <w:rPr>
                <w:rFonts w:ascii="Garamond" w:hAnsi="Garamond" w:cs="Times New Roman"/>
                <w:sz w:val="20"/>
                <w:szCs w:val="20"/>
                <w:lang w:eastAsia="ja-JP"/>
              </w:rPr>
            </w:pPr>
          </w:p>
        </w:tc>
        <w:tc>
          <w:tcPr>
            <w:tcW w:w="1350" w:type="dxa"/>
            <w:vAlign w:val="center"/>
          </w:tcPr>
          <w:p w14:paraId="0EEED249" w14:textId="77777777" w:rsidR="00AB22B8" w:rsidRPr="00B31292" w:rsidRDefault="00AB22B8" w:rsidP="003A4DBA">
            <w:pPr>
              <w:ind w:firstLine="284"/>
              <w:rPr>
                <w:rFonts w:ascii="Garamond" w:hAnsi="Garamond" w:cs="Times New Roman"/>
                <w:sz w:val="20"/>
                <w:szCs w:val="20"/>
                <w:lang w:eastAsia="ja-JP"/>
              </w:rPr>
            </w:pPr>
          </w:p>
        </w:tc>
        <w:tc>
          <w:tcPr>
            <w:tcW w:w="3330" w:type="dxa"/>
            <w:vAlign w:val="center"/>
          </w:tcPr>
          <w:p w14:paraId="7B06018C" w14:textId="77777777" w:rsidR="00AB22B8" w:rsidRPr="00B31292" w:rsidRDefault="00AB22B8" w:rsidP="003A4DBA">
            <w:pPr>
              <w:ind w:firstLine="284"/>
              <w:rPr>
                <w:rFonts w:ascii="Garamond" w:hAnsi="Garamond" w:cs="Times New Roman"/>
                <w:sz w:val="20"/>
                <w:szCs w:val="20"/>
                <w:lang w:eastAsia="ja-JP"/>
              </w:rPr>
            </w:pPr>
          </w:p>
        </w:tc>
      </w:tr>
      <w:tr w:rsidR="00EE716C" w:rsidRPr="00B31292" w14:paraId="5D0A35D4" w14:textId="77777777" w:rsidTr="00CA65A7">
        <w:trPr>
          <w:trHeight w:val="20"/>
        </w:trPr>
        <w:tc>
          <w:tcPr>
            <w:tcW w:w="1350" w:type="dxa"/>
            <w:vAlign w:val="center"/>
          </w:tcPr>
          <w:p w14:paraId="483CA2A0" w14:textId="77777777" w:rsidR="00AB22B8" w:rsidRPr="00B31292" w:rsidRDefault="00AB22B8" w:rsidP="003A4DBA">
            <w:pPr>
              <w:ind w:firstLine="284"/>
              <w:rPr>
                <w:rFonts w:ascii="Garamond" w:hAnsi="Garamond" w:cs="Times New Roman"/>
                <w:sz w:val="20"/>
                <w:szCs w:val="20"/>
                <w:lang w:eastAsia="ja-JP"/>
              </w:rPr>
            </w:pPr>
            <w:r w:rsidRPr="00B31292">
              <w:rPr>
                <w:rFonts w:ascii="Garamond" w:eastAsia="Calibri" w:hAnsi="Garamond" w:cs="Times New Roman"/>
                <w:sz w:val="20"/>
                <w:szCs w:val="20"/>
              </w:rPr>
              <w:t>GIS</w:t>
            </w:r>
          </w:p>
        </w:tc>
        <w:tc>
          <w:tcPr>
            <w:tcW w:w="3240" w:type="dxa"/>
            <w:vAlign w:val="center"/>
          </w:tcPr>
          <w:p w14:paraId="1962C190" w14:textId="77777777" w:rsidR="00AB22B8" w:rsidRPr="00B31292" w:rsidRDefault="00AB22B8" w:rsidP="002277EC">
            <w:pPr>
              <w:rPr>
                <w:rFonts w:ascii="Garamond" w:eastAsia="Calibri" w:hAnsi="Garamond" w:cs="Times New Roman"/>
                <w:sz w:val="20"/>
                <w:szCs w:val="20"/>
              </w:rPr>
            </w:pPr>
            <w:r w:rsidRPr="00B31292">
              <w:rPr>
                <w:rFonts w:ascii="Garamond" w:eastAsia="Calibri" w:hAnsi="Garamond" w:cs="Times New Roman"/>
                <w:sz w:val="20"/>
                <w:szCs w:val="20"/>
              </w:rPr>
              <w:t>Sistemi i Informacionit Gjeografik (</w:t>
            </w:r>
            <w:r w:rsidRPr="00B31292">
              <w:rPr>
                <w:rFonts w:ascii="Garamond" w:eastAsia="Calibri" w:hAnsi="Garamond" w:cs="Times New Roman"/>
                <w:i/>
                <w:iCs/>
                <w:sz w:val="20"/>
                <w:szCs w:val="20"/>
              </w:rPr>
              <w:t>Geographic information system</w:t>
            </w:r>
            <w:r w:rsidRPr="00B31292">
              <w:rPr>
                <w:rFonts w:ascii="Garamond" w:eastAsia="Calibri" w:hAnsi="Garamond" w:cs="Times New Roman"/>
                <w:sz w:val="20"/>
                <w:szCs w:val="20"/>
              </w:rPr>
              <w:t>)</w:t>
            </w:r>
          </w:p>
          <w:p w14:paraId="5937BE5F" w14:textId="54F36B28" w:rsidR="002277EC" w:rsidRPr="00B31292" w:rsidRDefault="002277EC" w:rsidP="002277EC">
            <w:pPr>
              <w:rPr>
                <w:rFonts w:ascii="Garamond" w:hAnsi="Garamond" w:cs="Times New Roman"/>
                <w:sz w:val="20"/>
                <w:szCs w:val="20"/>
                <w:lang w:eastAsia="ja-JP"/>
              </w:rPr>
            </w:pPr>
          </w:p>
        </w:tc>
        <w:tc>
          <w:tcPr>
            <w:tcW w:w="1350" w:type="dxa"/>
            <w:vAlign w:val="center"/>
          </w:tcPr>
          <w:p w14:paraId="4A8F3214" w14:textId="77777777" w:rsidR="00AB22B8" w:rsidRPr="00B31292" w:rsidRDefault="00AB22B8" w:rsidP="003A4DBA">
            <w:pPr>
              <w:ind w:firstLine="284"/>
              <w:rPr>
                <w:rFonts w:ascii="Garamond" w:hAnsi="Garamond" w:cs="Times New Roman"/>
                <w:sz w:val="20"/>
                <w:szCs w:val="20"/>
                <w:lang w:eastAsia="ja-JP"/>
              </w:rPr>
            </w:pPr>
          </w:p>
        </w:tc>
        <w:tc>
          <w:tcPr>
            <w:tcW w:w="3330" w:type="dxa"/>
            <w:vAlign w:val="center"/>
          </w:tcPr>
          <w:p w14:paraId="728114DC" w14:textId="77777777" w:rsidR="00AB22B8" w:rsidRPr="00B31292" w:rsidRDefault="00AB22B8" w:rsidP="003A4DBA">
            <w:pPr>
              <w:ind w:firstLine="284"/>
              <w:rPr>
                <w:rFonts w:ascii="Garamond" w:hAnsi="Garamond" w:cs="Times New Roman"/>
                <w:sz w:val="20"/>
                <w:szCs w:val="20"/>
                <w:lang w:eastAsia="ja-JP"/>
              </w:rPr>
            </w:pPr>
          </w:p>
        </w:tc>
      </w:tr>
      <w:tr w:rsidR="00EE716C" w:rsidRPr="00B31292" w14:paraId="235CD5A4" w14:textId="77777777" w:rsidTr="00CA65A7">
        <w:trPr>
          <w:trHeight w:val="20"/>
        </w:trPr>
        <w:tc>
          <w:tcPr>
            <w:tcW w:w="1350" w:type="dxa"/>
            <w:vAlign w:val="center"/>
          </w:tcPr>
          <w:p w14:paraId="6BBFF43C" w14:textId="77777777" w:rsidR="00AB22B8" w:rsidRPr="00B31292" w:rsidRDefault="00AB22B8" w:rsidP="003A4DBA">
            <w:pPr>
              <w:ind w:firstLine="284"/>
              <w:rPr>
                <w:rFonts w:ascii="Garamond" w:hAnsi="Garamond" w:cs="Times New Roman"/>
                <w:sz w:val="20"/>
                <w:szCs w:val="20"/>
                <w:lang w:eastAsia="ja-JP"/>
              </w:rPr>
            </w:pPr>
            <w:r w:rsidRPr="00B31292">
              <w:rPr>
                <w:rFonts w:ascii="Garamond" w:eastAsia="Calibri" w:hAnsi="Garamond" w:cs="Times New Roman"/>
                <w:sz w:val="20"/>
                <w:szCs w:val="20"/>
              </w:rPr>
              <w:t>GSBPM</w:t>
            </w:r>
          </w:p>
        </w:tc>
        <w:tc>
          <w:tcPr>
            <w:tcW w:w="3240" w:type="dxa"/>
            <w:vAlign w:val="center"/>
          </w:tcPr>
          <w:p w14:paraId="6600EA98" w14:textId="77777777" w:rsidR="00AB22B8" w:rsidRPr="00B31292" w:rsidRDefault="00AB22B8" w:rsidP="002277EC">
            <w:pPr>
              <w:rPr>
                <w:rFonts w:ascii="Garamond" w:eastAsia="Calibri" w:hAnsi="Garamond" w:cs="Times New Roman"/>
                <w:sz w:val="20"/>
                <w:szCs w:val="20"/>
              </w:rPr>
            </w:pPr>
            <w:r w:rsidRPr="00B31292">
              <w:rPr>
                <w:rFonts w:ascii="Garamond" w:eastAsia="Calibri" w:hAnsi="Garamond" w:cs="Times New Roman"/>
                <w:sz w:val="20"/>
                <w:szCs w:val="20"/>
              </w:rPr>
              <w:t>Manuali për Planifikimin e Fazave të Prodhimit Statistikor (</w:t>
            </w:r>
            <w:r w:rsidRPr="00B31292">
              <w:rPr>
                <w:rFonts w:ascii="Garamond" w:eastAsia="Calibri" w:hAnsi="Garamond" w:cs="Times New Roman"/>
                <w:i/>
                <w:iCs/>
                <w:sz w:val="20"/>
                <w:szCs w:val="20"/>
              </w:rPr>
              <w:t>Generic Statistical Business Process Model</w:t>
            </w:r>
            <w:r w:rsidRPr="00B31292">
              <w:rPr>
                <w:rFonts w:ascii="Garamond" w:eastAsia="Calibri" w:hAnsi="Garamond" w:cs="Times New Roman"/>
                <w:sz w:val="20"/>
                <w:szCs w:val="20"/>
              </w:rPr>
              <w:t>)</w:t>
            </w:r>
          </w:p>
          <w:p w14:paraId="3E09830E" w14:textId="7CA87798" w:rsidR="002277EC" w:rsidRPr="00B31292" w:rsidRDefault="002277EC" w:rsidP="002277EC">
            <w:pPr>
              <w:rPr>
                <w:rFonts w:ascii="Garamond" w:hAnsi="Garamond" w:cs="Times New Roman"/>
                <w:sz w:val="20"/>
                <w:szCs w:val="20"/>
                <w:lang w:eastAsia="ja-JP"/>
              </w:rPr>
            </w:pPr>
          </w:p>
        </w:tc>
        <w:tc>
          <w:tcPr>
            <w:tcW w:w="1350" w:type="dxa"/>
            <w:vAlign w:val="center"/>
          </w:tcPr>
          <w:p w14:paraId="0DF5813D" w14:textId="77777777" w:rsidR="00AB22B8" w:rsidRPr="00B31292" w:rsidRDefault="00AB22B8" w:rsidP="003A4DBA">
            <w:pPr>
              <w:ind w:firstLine="284"/>
              <w:rPr>
                <w:rFonts w:ascii="Garamond" w:hAnsi="Garamond" w:cs="Times New Roman"/>
                <w:sz w:val="20"/>
                <w:szCs w:val="20"/>
                <w:lang w:eastAsia="ja-JP"/>
              </w:rPr>
            </w:pPr>
          </w:p>
        </w:tc>
        <w:tc>
          <w:tcPr>
            <w:tcW w:w="3330" w:type="dxa"/>
            <w:vAlign w:val="center"/>
          </w:tcPr>
          <w:p w14:paraId="1E6BA9C6" w14:textId="77777777" w:rsidR="00AB22B8" w:rsidRPr="00B31292" w:rsidRDefault="00AB22B8" w:rsidP="003A4DBA">
            <w:pPr>
              <w:ind w:firstLine="284"/>
              <w:rPr>
                <w:rFonts w:ascii="Garamond" w:hAnsi="Garamond" w:cs="Times New Roman"/>
                <w:sz w:val="20"/>
                <w:szCs w:val="20"/>
                <w:lang w:eastAsia="ja-JP"/>
              </w:rPr>
            </w:pPr>
          </w:p>
        </w:tc>
      </w:tr>
      <w:tr w:rsidR="00EE716C" w:rsidRPr="00B31292" w14:paraId="2D0A45C5" w14:textId="77777777" w:rsidTr="00CA65A7">
        <w:trPr>
          <w:trHeight w:val="20"/>
        </w:trPr>
        <w:tc>
          <w:tcPr>
            <w:tcW w:w="1350" w:type="dxa"/>
            <w:vAlign w:val="center"/>
          </w:tcPr>
          <w:p w14:paraId="3B7CBDB5" w14:textId="77777777" w:rsidR="00AB22B8" w:rsidRPr="00B31292" w:rsidRDefault="00AB22B8" w:rsidP="002277EC">
            <w:pPr>
              <w:rPr>
                <w:rFonts w:ascii="Garamond" w:hAnsi="Garamond" w:cs="Times New Roman"/>
                <w:sz w:val="20"/>
                <w:szCs w:val="20"/>
                <w:lang w:eastAsia="ja-JP"/>
              </w:rPr>
            </w:pPr>
            <w:r w:rsidRPr="00B31292">
              <w:rPr>
                <w:rFonts w:ascii="Garamond" w:hAnsi="Garamond" w:cs="Times New Roman"/>
                <w:sz w:val="20"/>
                <w:szCs w:val="20"/>
                <w:lang w:eastAsia="ja-JP"/>
              </w:rPr>
              <w:t>DEGURBA</w:t>
            </w:r>
          </w:p>
        </w:tc>
        <w:tc>
          <w:tcPr>
            <w:tcW w:w="3240" w:type="dxa"/>
            <w:vAlign w:val="center"/>
          </w:tcPr>
          <w:p w14:paraId="3B86AD62" w14:textId="2D55DE7C" w:rsidR="00AB22B8" w:rsidRPr="00B31292" w:rsidRDefault="00AB22B8" w:rsidP="002277EC">
            <w:pPr>
              <w:rPr>
                <w:rFonts w:ascii="Garamond" w:hAnsi="Garamond" w:cs="Times New Roman"/>
                <w:sz w:val="20"/>
                <w:szCs w:val="20"/>
                <w:lang w:eastAsia="ja-JP"/>
              </w:rPr>
            </w:pPr>
            <w:r w:rsidRPr="00B31292">
              <w:rPr>
                <w:rFonts w:ascii="Garamond" w:eastAsia="Calibri" w:hAnsi="Garamond" w:cs="Times New Roman"/>
                <w:sz w:val="20"/>
                <w:szCs w:val="20"/>
              </w:rPr>
              <w:t xml:space="preserve">Klasifikimi i </w:t>
            </w:r>
            <w:r w:rsidR="000F0D03" w:rsidRPr="00B31292">
              <w:rPr>
                <w:rFonts w:ascii="Garamond" w:eastAsia="Calibri" w:hAnsi="Garamond" w:cs="Times New Roman"/>
                <w:sz w:val="20"/>
                <w:szCs w:val="20"/>
              </w:rPr>
              <w:t>njësive administrative urbane</w:t>
            </w:r>
          </w:p>
        </w:tc>
        <w:tc>
          <w:tcPr>
            <w:tcW w:w="1350" w:type="dxa"/>
            <w:vAlign w:val="center"/>
          </w:tcPr>
          <w:p w14:paraId="38B66045" w14:textId="77777777" w:rsidR="00AB22B8" w:rsidRPr="00B31292" w:rsidRDefault="00AB22B8" w:rsidP="003A4DBA">
            <w:pPr>
              <w:ind w:firstLine="284"/>
              <w:rPr>
                <w:rFonts w:ascii="Garamond" w:hAnsi="Garamond" w:cs="Times New Roman"/>
                <w:sz w:val="20"/>
                <w:szCs w:val="20"/>
                <w:lang w:eastAsia="ja-JP"/>
              </w:rPr>
            </w:pPr>
          </w:p>
        </w:tc>
        <w:tc>
          <w:tcPr>
            <w:tcW w:w="3330" w:type="dxa"/>
            <w:vAlign w:val="center"/>
          </w:tcPr>
          <w:p w14:paraId="4797FE79" w14:textId="77777777" w:rsidR="00AB22B8" w:rsidRPr="00B31292" w:rsidRDefault="00AB22B8" w:rsidP="003A4DBA">
            <w:pPr>
              <w:ind w:firstLine="284"/>
              <w:rPr>
                <w:rFonts w:ascii="Garamond" w:hAnsi="Garamond" w:cs="Times New Roman"/>
                <w:sz w:val="20"/>
                <w:szCs w:val="20"/>
                <w:lang w:eastAsia="ja-JP"/>
              </w:rPr>
            </w:pPr>
          </w:p>
        </w:tc>
      </w:tr>
      <w:tr w:rsidR="00EE716C" w:rsidRPr="00B31292" w14:paraId="768D5CAF" w14:textId="77777777" w:rsidTr="00CA65A7">
        <w:trPr>
          <w:trHeight w:val="20"/>
        </w:trPr>
        <w:tc>
          <w:tcPr>
            <w:tcW w:w="1350" w:type="dxa"/>
            <w:vAlign w:val="center"/>
          </w:tcPr>
          <w:p w14:paraId="7E2359EC" w14:textId="77777777" w:rsidR="00AB22B8" w:rsidRPr="00B31292" w:rsidRDefault="00AB22B8" w:rsidP="003A4DBA">
            <w:pPr>
              <w:ind w:firstLine="284"/>
              <w:rPr>
                <w:rFonts w:ascii="Garamond" w:hAnsi="Garamond" w:cs="Times New Roman"/>
                <w:sz w:val="20"/>
                <w:szCs w:val="20"/>
                <w:lang w:eastAsia="ja-JP"/>
              </w:rPr>
            </w:pPr>
            <w:r w:rsidRPr="00B31292">
              <w:rPr>
                <w:rFonts w:ascii="Garamond" w:eastAsia="Calibri" w:hAnsi="Garamond" w:cs="Times New Roman"/>
                <w:sz w:val="20"/>
                <w:szCs w:val="20"/>
              </w:rPr>
              <w:lastRenderedPageBreak/>
              <w:t>ECB</w:t>
            </w:r>
          </w:p>
        </w:tc>
        <w:tc>
          <w:tcPr>
            <w:tcW w:w="3240" w:type="dxa"/>
            <w:vAlign w:val="center"/>
          </w:tcPr>
          <w:p w14:paraId="3A2185BC" w14:textId="77777777" w:rsidR="00AB22B8" w:rsidRPr="00B31292" w:rsidRDefault="00AB22B8" w:rsidP="002277EC">
            <w:pPr>
              <w:rPr>
                <w:rFonts w:ascii="Garamond" w:eastAsia="Calibri" w:hAnsi="Garamond" w:cs="Times New Roman"/>
                <w:sz w:val="20"/>
                <w:szCs w:val="20"/>
              </w:rPr>
            </w:pPr>
            <w:r w:rsidRPr="00B31292">
              <w:rPr>
                <w:rFonts w:ascii="Garamond" w:eastAsia="Calibri" w:hAnsi="Garamond" w:cs="Times New Roman"/>
                <w:sz w:val="20"/>
                <w:szCs w:val="20"/>
              </w:rPr>
              <w:t xml:space="preserve">Banka </w:t>
            </w:r>
            <w:r w:rsidR="002277EC" w:rsidRPr="00B31292">
              <w:rPr>
                <w:rFonts w:ascii="Garamond" w:eastAsia="Calibri" w:hAnsi="Garamond" w:cs="Times New Roman"/>
                <w:sz w:val="20"/>
                <w:szCs w:val="20"/>
              </w:rPr>
              <w:t>Qendrore</w:t>
            </w:r>
            <w:r w:rsidRPr="00B31292">
              <w:rPr>
                <w:rFonts w:ascii="Garamond" w:eastAsia="Calibri" w:hAnsi="Garamond" w:cs="Times New Roman"/>
                <w:sz w:val="20"/>
                <w:szCs w:val="20"/>
              </w:rPr>
              <w:t xml:space="preserve"> Evropiane (</w:t>
            </w:r>
            <w:r w:rsidRPr="00B31292">
              <w:rPr>
                <w:rFonts w:ascii="Garamond" w:eastAsia="Calibri" w:hAnsi="Garamond" w:cs="Times New Roman"/>
                <w:i/>
                <w:iCs/>
                <w:sz w:val="20"/>
                <w:szCs w:val="20"/>
              </w:rPr>
              <w:t>Europian Central Bank</w:t>
            </w:r>
            <w:r w:rsidRPr="00B31292">
              <w:rPr>
                <w:rFonts w:ascii="Garamond" w:eastAsia="Calibri" w:hAnsi="Garamond" w:cs="Times New Roman"/>
                <w:sz w:val="20"/>
                <w:szCs w:val="20"/>
              </w:rPr>
              <w:t>)</w:t>
            </w:r>
          </w:p>
          <w:p w14:paraId="2D3DBE41" w14:textId="02957120" w:rsidR="002277EC" w:rsidRPr="00B31292" w:rsidRDefault="002277EC" w:rsidP="002277EC">
            <w:pPr>
              <w:rPr>
                <w:rFonts w:ascii="Garamond" w:hAnsi="Garamond" w:cs="Times New Roman"/>
                <w:sz w:val="20"/>
                <w:szCs w:val="20"/>
                <w:lang w:eastAsia="ja-JP"/>
              </w:rPr>
            </w:pPr>
          </w:p>
        </w:tc>
        <w:tc>
          <w:tcPr>
            <w:tcW w:w="1350" w:type="dxa"/>
            <w:vAlign w:val="center"/>
          </w:tcPr>
          <w:p w14:paraId="34B87F7B" w14:textId="77777777" w:rsidR="00AB22B8" w:rsidRPr="00B31292" w:rsidRDefault="00AB22B8" w:rsidP="003A4DBA">
            <w:pPr>
              <w:ind w:firstLine="284"/>
              <w:rPr>
                <w:rFonts w:ascii="Garamond" w:hAnsi="Garamond" w:cs="Times New Roman"/>
                <w:sz w:val="20"/>
                <w:szCs w:val="20"/>
                <w:lang w:eastAsia="ja-JP"/>
              </w:rPr>
            </w:pPr>
          </w:p>
        </w:tc>
        <w:tc>
          <w:tcPr>
            <w:tcW w:w="3330" w:type="dxa"/>
            <w:vAlign w:val="center"/>
          </w:tcPr>
          <w:p w14:paraId="24FF708B" w14:textId="77777777" w:rsidR="00AB22B8" w:rsidRPr="00B31292" w:rsidRDefault="00AB22B8" w:rsidP="003A4DBA">
            <w:pPr>
              <w:ind w:firstLine="284"/>
              <w:rPr>
                <w:rFonts w:ascii="Garamond" w:hAnsi="Garamond" w:cs="Times New Roman"/>
                <w:sz w:val="20"/>
                <w:szCs w:val="20"/>
                <w:lang w:eastAsia="ja-JP"/>
              </w:rPr>
            </w:pPr>
          </w:p>
        </w:tc>
      </w:tr>
      <w:tr w:rsidR="00EE716C" w:rsidRPr="00B31292" w14:paraId="132C9B40" w14:textId="77777777" w:rsidTr="00CA65A7">
        <w:trPr>
          <w:trHeight w:val="20"/>
        </w:trPr>
        <w:tc>
          <w:tcPr>
            <w:tcW w:w="1350" w:type="dxa"/>
            <w:vAlign w:val="center"/>
          </w:tcPr>
          <w:p w14:paraId="28299DC3" w14:textId="77777777" w:rsidR="00AB22B8" w:rsidRPr="00B31292" w:rsidRDefault="00AB22B8" w:rsidP="003A4DBA">
            <w:pPr>
              <w:ind w:firstLine="284"/>
              <w:rPr>
                <w:rFonts w:ascii="Garamond" w:hAnsi="Garamond" w:cs="Times New Roman"/>
                <w:sz w:val="20"/>
                <w:szCs w:val="20"/>
                <w:lang w:eastAsia="ja-JP"/>
              </w:rPr>
            </w:pPr>
            <w:r w:rsidRPr="00B31292">
              <w:rPr>
                <w:rFonts w:ascii="Garamond" w:eastAsia="Calibri" w:hAnsi="Garamond" w:cs="Times New Roman"/>
                <w:sz w:val="20"/>
                <w:szCs w:val="20"/>
              </w:rPr>
              <w:t>EDP</w:t>
            </w:r>
          </w:p>
        </w:tc>
        <w:tc>
          <w:tcPr>
            <w:tcW w:w="3240" w:type="dxa"/>
            <w:vAlign w:val="center"/>
          </w:tcPr>
          <w:p w14:paraId="5F9602CD" w14:textId="1A717581" w:rsidR="00AB22B8" w:rsidRPr="00B31292" w:rsidRDefault="00AB22B8" w:rsidP="002277EC">
            <w:pPr>
              <w:rPr>
                <w:rFonts w:ascii="Garamond" w:hAnsi="Garamond" w:cs="Times New Roman"/>
                <w:sz w:val="20"/>
                <w:szCs w:val="20"/>
                <w:lang w:eastAsia="ja-JP"/>
              </w:rPr>
            </w:pPr>
            <w:r w:rsidRPr="00B31292">
              <w:rPr>
                <w:rFonts w:ascii="Garamond" w:eastAsia="Calibri" w:hAnsi="Garamond" w:cs="Times New Roman"/>
                <w:sz w:val="20"/>
                <w:szCs w:val="20"/>
              </w:rPr>
              <w:t xml:space="preserve">Procedura e </w:t>
            </w:r>
            <w:r w:rsidR="000F0D03" w:rsidRPr="00B31292">
              <w:rPr>
                <w:rFonts w:ascii="Garamond" w:eastAsia="Calibri" w:hAnsi="Garamond" w:cs="Times New Roman"/>
                <w:sz w:val="20"/>
                <w:szCs w:val="20"/>
              </w:rPr>
              <w:t xml:space="preserve">deficitit të tejkaluar </w:t>
            </w:r>
            <w:r w:rsidRPr="00B31292">
              <w:rPr>
                <w:rFonts w:ascii="Garamond" w:eastAsia="Calibri" w:hAnsi="Garamond" w:cs="Times New Roman"/>
                <w:sz w:val="20"/>
                <w:szCs w:val="20"/>
              </w:rPr>
              <w:t>(</w:t>
            </w:r>
            <w:r w:rsidRPr="00B31292">
              <w:rPr>
                <w:rFonts w:ascii="Garamond" w:eastAsia="Calibri" w:hAnsi="Garamond" w:cs="Times New Roman"/>
                <w:i/>
                <w:iCs/>
                <w:sz w:val="20"/>
                <w:szCs w:val="20"/>
              </w:rPr>
              <w:t>Excessive Deficit Procedure</w:t>
            </w:r>
            <w:r w:rsidRPr="00B31292">
              <w:rPr>
                <w:rFonts w:ascii="Garamond" w:eastAsia="Calibri" w:hAnsi="Garamond" w:cs="Times New Roman"/>
                <w:sz w:val="20"/>
                <w:szCs w:val="20"/>
              </w:rPr>
              <w:t>)</w:t>
            </w:r>
          </w:p>
          <w:p w14:paraId="18F65ED2" w14:textId="77777777" w:rsidR="00AB22B8" w:rsidRPr="00B31292" w:rsidRDefault="00AB22B8" w:rsidP="003A4DBA">
            <w:pPr>
              <w:ind w:firstLine="284"/>
              <w:rPr>
                <w:rFonts w:ascii="Garamond" w:hAnsi="Garamond" w:cs="Times New Roman"/>
                <w:sz w:val="20"/>
                <w:szCs w:val="20"/>
              </w:rPr>
            </w:pPr>
          </w:p>
        </w:tc>
        <w:tc>
          <w:tcPr>
            <w:tcW w:w="1350" w:type="dxa"/>
            <w:vAlign w:val="center"/>
          </w:tcPr>
          <w:p w14:paraId="3EA06ACB" w14:textId="77777777" w:rsidR="00AB22B8" w:rsidRPr="00B31292" w:rsidRDefault="00AB22B8" w:rsidP="003A4DBA">
            <w:pPr>
              <w:ind w:firstLine="284"/>
              <w:rPr>
                <w:rFonts w:ascii="Garamond" w:hAnsi="Garamond" w:cs="Times New Roman"/>
                <w:sz w:val="20"/>
                <w:szCs w:val="20"/>
                <w:lang w:eastAsia="ja-JP"/>
              </w:rPr>
            </w:pPr>
          </w:p>
        </w:tc>
        <w:tc>
          <w:tcPr>
            <w:tcW w:w="3330" w:type="dxa"/>
            <w:vAlign w:val="center"/>
          </w:tcPr>
          <w:p w14:paraId="2B2DB2AF" w14:textId="77777777" w:rsidR="00AB22B8" w:rsidRPr="00B31292" w:rsidRDefault="00AB22B8" w:rsidP="003A4DBA">
            <w:pPr>
              <w:ind w:firstLine="284"/>
              <w:rPr>
                <w:rFonts w:ascii="Garamond" w:hAnsi="Garamond" w:cs="Times New Roman"/>
                <w:sz w:val="20"/>
                <w:szCs w:val="20"/>
                <w:lang w:eastAsia="ja-JP"/>
              </w:rPr>
            </w:pPr>
          </w:p>
        </w:tc>
      </w:tr>
      <w:tr w:rsidR="00EE716C" w:rsidRPr="00B31292" w14:paraId="2AC5FACD" w14:textId="77777777" w:rsidTr="00CA65A7">
        <w:trPr>
          <w:trHeight w:val="20"/>
        </w:trPr>
        <w:tc>
          <w:tcPr>
            <w:tcW w:w="1350" w:type="dxa"/>
            <w:vAlign w:val="center"/>
          </w:tcPr>
          <w:p w14:paraId="314C9827" w14:textId="77777777" w:rsidR="00AB22B8" w:rsidRPr="00B31292" w:rsidRDefault="00AB22B8" w:rsidP="003A4DBA">
            <w:pPr>
              <w:ind w:firstLine="284"/>
              <w:rPr>
                <w:rFonts w:ascii="Garamond" w:hAnsi="Garamond" w:cs="Times New Roman"/>
                <w:sz w:val="20"/>
                <w:szCs w:val="20"/>
              </w:rPr>
            </w:pPr>
            <w:r w:rsidRPr="00B31292">
              <w:rPr>
                <w:rFonts w:ascii="Garamond" w:eastAsia="Calibri" w:hAnsi="Garamond" w:cs="Times New Roman"/>
                <w:sz w:val="20"/>
                <w:szCs w:val="20"/>
              </w:rPr>
              <w:t>ICCS</w:t>
            </w:r>
          </w:p>
        </w:tc>
        <w:tc>
          <w:tcPr>
            <w:tcW w:w="3240" w:type="dxa"/>
            <w:vAlign w:val="center"/>
          </w:tcPr>
          <w:p w14:paraId="6275E8F5" w14:textId="093196F8" w:rsidR="00AB22B8" w:rsidRPr="00B31292" w:rsidRDefault="00AB22B8" w:rsidP="002277EC">
            <w:pPr>
              <w:rPr>
                <w:rFonts w:ascii="Garamond" w:eastAsia="Calibri" w:hAnsi="Garamond" w:cs="Times New Roman"/>
                <w:sz w:val="20"/>
                <w:szCs w:val="20"/>
              </w:rPr>
            </w:pPr>
            <w:r w:rsidRPr="00B31292">
              <w:rPr>
                <w:rFonts w:ascii="Garamond" w:eastAsia="Calibri" w:hAnsi="Garamond" w:cs="Times New Roman"/>
                <w:sz w:val="20"/>
                <w:szCs w:val="20"/>
              </w:rPr>
              <w:t xml:space="preserve">Klasifikimi Ndërkombëtar </w:t>
            </w:r>
            <w:r w:rsidR="000F0D03" w:rsidRPr="00B31292">
              <w:rPr>
                <w:rFonts w:ascii="Garamond" w:eastAsia="Calibri" w:hAnsi="Garamond" w:cs="Times New Roman"/>
                <w:sz w:val="20"/>
                <w:szCs w:val="20"/>
              </w:rPr>
              <w:t>i</w:t>
            </w:r>
            <w:r w:rsidRPr="00B31292">
              <w:rPr>
                <w:rFonts w:ascii="Garamond" w:eastAsia="Calibri" w:hAnsi="Garamond" w:cs="Times New Roman"/>
                <w:sz w:val="20"/>
                <w:szCs w:val="20"/>
              </w:rPr>
              <w:t xml:space="preserve"> Krimeve për Qëllime Statistikore (</w:t>
            </w:r>
            <w:r w:rsidRPr="00B31292">
              <w:rPr>
                <w:rFonts w:ascii="Garamond" w:eastAsia="Calibri" w:hAnsi="Garamond" w:cs="Times New Roman"/>
                <w:i/>
                <w:iCs/>
                <w:sz w:val="20"/>
                <w:szCs w:val="20"/>
              </w:rPr>
              <w:t>International Classification of Crime for Statistical Purposes</w:t>
            </w:r>
            <w:r w:rsidRPr="00B31292">
              <w:rPr>
                <w:rFonts w:ascii="Garamond" w:eastAsia="Calibri" w:hAnsi="Garamond" w:cs="Times New Roman"/>
                <w:sz w:val="20"/>
                <w:szCs w:val="20"/>
              </w:rPr>
              <w:t>)</w:t>
            </w:r>
          </w:p>
        </w:tc>
        <w:tc>
          <w:tcPr>
            <w:tcW w:w="1350" w:type="dxa"/>
            <w:vAlign w:val="center"/>
          </w:tcPr>
          <w:p w14:paraId="6076E235" w14:textId="77777777" w:rsidR="00AB22B8" w:rsidRPr="00B31292" w:rsidRDefault="00AB22B8" w:rsidP="003A4DBA">
            <w:pPr>
              <w:ind w:firstLine="284"/>
              <w:rPr>
                <w:rFonts w:ascii="Garamond" w:hAnsi="Garamond" w:cs="Times New Roman"/>
                <w:sz w:val="20"/>
                <w:szCs w:val="20"/>
                <w:lang w:eastAsia="ja-JP"/>
              </w:rPr>
            </w:pPr>
          </w:p>
        </w:tc>
        <w:tc>
          <w:tcPr>
            <w:tcW w:w="3330" w:type="dxa"/>
            <w:vAlign w:val="center"/>
          </w:tcPr>
          <w:p w14:paraId="4BD0F7F9" w14:textId="77777777" w:rsidR="00AB22B8" w:rsidRPr="00B31292" w:rsidRDefault="00AB22B8" w:rsidP="003A4DBA">
            <w:pPr>
              <w:ind w:firstLine="284"/>
              <w:rPr>
                <w:rFonts w:ascii="Garamond" w:hAnsi="Garamond" w:cs="Times New Roman"/>
                <w:sz w:val="20"/>
                <w:szCs w:val="20"/>
                <w:lang w:eastAsia="ja-JP"/>
              </w:rPr>
            </w:pPr>
          </w:p>
        </w:tc>
      </w:tr>
      <w:tr w:rsidR="00EE716C" w:rsidRPr="00B31292" w14:paraId="1B420E84" w14:textId="77777777" w:rsidTr="00CA65A7">
        <w:trPr>
          <w:trHeight w:val="20"/>
        </w:trPr>
        <w:tc>
          <w:tcPr>
            <w:tcW w:w="1350" w:type="dxa"/>
            <w:vAlign w:val="center"/>
          </w:tcPr>
          <w:p w14:paraId="0833612B" w14:textId="77777777" w:rsidR="00AB22B8" w:rsidRPr="00B31292" w:rsidRDefault="00AB22B8" w:rsidP="003A4DBA">
            <w:pPr>
              <w:ind w:firstLine="284"/>
              <w:rPr>
                <w:rFonts w:ascii="Garamond" w:hAnsi="Garamond" w:cs="Times New Roman"/>
                <w:sz w:val="20"/>
                <w:szCs w:val="20"/>
                <w:lang w:eastAsia="ja-JP"/>
              </w:rPr>
            </w:pPr>
            <w:r w:rsidRPr="00B31292">
              <w:rPr>
                <w:rFonts w:ascii="Garamond" w:eastAsia="Calibri" w:hAnsi="Garamond" w:cs="Times New Roman"/>
                <w:sz w:val="20"/>
                <w:szCs w:val="20"/>
              </w:rPr>
              <w:t>ICD</w:t>
            </w:r>
          </w:p>
        </w:tc>
        <w:tc>
          <w:tcPr>
            <w:tcW w:w="3240" w:type="dxa"/>
            <w:vAlign w:val="center"/>
          </w:tcPr>
          <w:p w14:paraId="2A9FAD96" w14:textId="77777777" w:rsidR="002277EC" w:rsidRPr="00B31292" w:rsidRDefault="002277EC" w:rsidP="003A4DBA">
            <w:pPr>
              <w:ind w:firstLine="284"/>
              <w:rPr>
                <w:rFonts w:ascii="Garamond" w:eastAsia="Calibri" w:hAnsi="Garamond" w:cs="Times New Roman"/>
                <w:sz w:val="20"/>
                <w:szCs w:val="20"/>
              </w:rPr>
            </w:pPr>
          </w:p>
          <w:p w14:paraId="2C2CCFD0" w14:textId="77777777" w:rsidR="00AB22B8" w:rsidRPr="00B31292" w:rsidRDefault="00AB22B8" w:rsidP="002277EC">
            <w:pPr>
              <w:rPr>
                <w:rFonts w:ascii="Garamond" w:eastAsia="Calibri" w:hAnsi="Garamond" w:cs="Times New Roman"/>
                <w:sz w:val="20"/>
                <w:szCs w:val="20"/>
              </w:rPr>
            </w:pPr>
            <w:r w:rsidRPr="00B31292">
              <w:rPr>
                <w:rFonts w:ascii="Garamond" w:eastAsia="Calibri" w:hAnsi="Garamond" w:cs="Times New Roman"/>
                <w:sz w:val="20"/>
                <w:szCs w:val="20"/>
              </w:rPr>
              <w:t xml:space="preserve">Klasifikimi </w:t>
            </w:r>
            <w:r w:rsidR="000F0D03" w:rsidRPr="00B31292">
              <w:rPr>
                <w:rFonts w:ascii="Garamond" w:eastAsia="Calibri" w:hAnsi="Garamond" w:cs="Times New Roman"/>
                <w:sz w:val="20"/>
                <w:szCs w:val="20"/>
              </w:rPr>
              <w:t xml:space="preserve">Ndërkombëtar </w:t>
            </w:r>
            <w:r w:rsidRPr="00B31292">
              <w:rPr>
                <w:rFonts w:ascii="Garamond" w:eastAsia="Calibri" w:hAnsi="Garamond" w:cs="Times New Roman"/>
                <w:sz w:val="20"/>
                <w:szCs w:val="20"/>
              </w:rPr>
              <w:t>për Sëmundjet (</w:t>
            </w:r>
            <w:r w:rsidRPr="00B31292">
              <w:rPr>
                <w:rFonts w:ascii="Garamond" w:eastAsia="Calibri" w:hAnsi="Garamond" w:cs="Times New Roman"/>
                <w:i/>
                <w:iCs/>
                <w:sz w:val="20"/>
                <w:szCs w:val="20"/>
              </w:rPr>
              <w:t>International Statistical Classification of Diseases</w:t>
            </w:r>
            <w:r w:rsidRPr="00B31292">
              <w:rPr>
                <w:rFonts w:ascii="Garamond" w:eastAsia="Calibri" w:hAnsi="Garamond" w:cs="Times New Roman"/>
                <w:sz w:val="20"/>
                <w:szCs w:val="20"/>
              </w:rPr>
              <w:t>)</w:t>
            </w:r>
          </w:p>
          <w:p w14:paraId="3623682B" w14:textId="3768024B" w:rsidR="000F0D03" w:rsidRPr="00B31292" w:rsidRDefault="000F0D03" w:rsidP="002277EC">
            <w:pPr>
              <w:rPr>
                <w:rFonts w:ascii="Garamond" w:eastAsia="Calibri" w:hAnsi="Garamond" w:cs="Times New Roman"/>
                <w:sz w:val="20"/>
                <w:szCs w:val="20"/>
              </w:rPr>
            </w:pPr>
          </w:p>
        </w:tc>
        <w:tc>
          <w:tcPr>
            <w:tcW w:w="1350" w:type="dxa"/>
            <w:vAlign w:val="center"/>
          </w:tcPr>
          <w:p w14:paraId="07600048" w14:textId="77777777" w:rsidR="00AB22B8" w:rsidRPr="00B31292" w:rsidRDefault="00AB22B8" w:rsidP="003A4DBA">
            <w:pPr>
              <w:ind w:firstLine="284"/>
              <w:rPr>
                <w:rFonts w:ascii="Garamond" w:hAnsi="Garamond" w:cs="Times New Roman"/>
                <w:sz w:val="20"/>
                <w:szCs w:val="20"/>
                <w:lang w:eastAsia="ja-JP"/>
              </w:rPr>
            </w:pPr>
          </w:p>
        </w:tc>
        <w:tc>
          <w:tcPr>
            <w:tcW w:w="3330" w:type="dxa"/>
            <w:vAlign w:val="center"/>
          </w:tcPr>
          <w:p w14:paraId="08F788A6" w14:textId="77777777" w:rsidR="00AB22B8" w:rsidRPr="00B31292" w:rsidRDefault="00AB22B8" w:rsidP="003A4DBA">
            <w:pPr>
              <w:ind w:firstLine="284"/>
              <w:rPr>
                <w:rFonts w:ascii="Garamond" w:hAnsi="Garamond" w:cs="Times New Roman"/>
                <w:sz w:val="20"/>
                <w:szCs w:val="20"/>
                <w:lang w:eastAsia="ja-JP"/>
              </w:rPr>
            </w:pPr>
          </w:p>
        </w:tc>
      </w:tr>
      <w:tr w:rsidR="00EE716C" w:rsidRPr="00B31292" w14:paraId="2C2643C6" w14:textId="77777777" w:rsidTr="00CA65A7">
        <w:trPr>
          <w:trHeight w:val="20"/>
        </w:trPr>
        <w:tc>
          <w:tcPr>
            <w:tcW w:w="1350" w:type="dxa"/>
            <w:vAlign w:val="center"/>
          </w:tcPr>
          <w:p w14:paraId="503398FF" w14:textId="77777777" w:rsidR="00AB22B8" w:rsidRPr="00B31292" w:rsidRDefault="00AB22B8" w:rsidP="003A4DBA">
            <w:pPr>
              <w:ind w:firstLine="284"/>
              <w:rPr>
                <w:rFonts w:ascii="Garamond" w:hAnsi="Garamond" w:cs="Times New Roman"/>
                <w:sz w:val="20"/>
                <w:szCs w:val="20"/>
                <w:lang w:eastAsia="ja-JP"/>
              </w:rPr>
            </w:pPr>
            <w:r w:rsidRPr="00B31292">
              <w:rPr>
                <w:rFonts w:ascii="Garamond" w:eastAsia="Calibri" w:hAnsi="Garamond" w:cs="Times New Roman"/>
                <w:sz w:val="20"/>
                <w:szCs w:val="20"/>
              </w:rPr>
              <w:t>IÇK</w:t>
            </w:r>
          </w:p>
        </w:tc>
        <w:tc>
          <w:tcPr>
            <w:tcW w:w="3240" w:type="dxa"/>
            <w:vAlign w:val="center"/>
          </w:tcPr>
          <w:p w14:paraId="66814D92" w14:textId="77777777" w:rsidR="00AB22B8" w:rsidRPr="00B31292" w:rsidRDefault="00AB22B8" w:rsidP="002277EC">
            <w:pPr>
              <w:rPr>
                <w:rFonts w:ascii="Garamond" w:hAnsi="Garamond" w:cs="Times New Roman"/>
                <w:sz w:val="20"/>
                <w:szCs w:val="20"/>
                <w:lang w:eastAsia="ja-JP"/>
              </w:rPr>
            </w:pPr>
            <w:r w:rsidRPr="00B31292">
              <w:rPr>
                <w:rFonts w:ascii="Garamond" w:eastAsia="Calibri" w:hAnsi="Garamond" w:cs="Times New Roman"/>
                <w:sz w:val="20"/>
                <w:szCs w:val="20"/>
              </w:rPr>
              <w:t>Indeksi i Çmimeve të Konsumit</w:t>
            </w:r>
          </w:p>
        </w:tc>
        <w:tc>
          <w:tcPr>
            <w:tcW w:w="1350" w:type="dxa"/>
            <w:vAlign w:val="center"/>
          </w:tcPr>
          <w:p w14:paraId="0989B934" w14:textId="77777777" w:rsidR="00AB22B8" w:rsidRPr="00B31292" w:rsidRDefault="00AB22B8" w:rsidP="003A4DBA">
            <w:pPr>
              <w:ind w:firstLine="284"/>
              <w:rPr>
                <w:rFonts w:ascii="Garamond" w:hAnsi="Garamond" w:cs="Times New Roman"/>
                <w:sz w:val="20"/>
                <w:szCs w:val="20"/>
                <w:lang w:eastAsia="ja-JP"/>
              </w:rPr>
            </w:pPr>
          </w:p>
        </w:tc>
        <w:tc>
          <w:tcPr>
            <w:tcW w:w="3330" w:type="dxa"/>
            <w:vAlign w:val="center"/>
          </w:tcPr>
          <w:p w14:paraId="0392A73B" w14:textId="77777777" w:rsidR="00AB22B8" w:rsidRPr="00B31292" w:rsidRDefault="00AB22B8" w:rsidP="003A4DBA">
            <w:pPr>
              <w:ind w:firstLine="284"/>
              <w:rPr>
                <w:rFonts w:ascii="Garamond" w:hAnsi="Garamond" w:cs="Times New Roman"/>
                <w:sz w:val="20"/>
                <w:szCs w:val="20"/>
                <w:lang w:eastAsia="ja-JP"/>
              </w:rPr>
            </w:pPr>
          </w:p>
        </w:tc>
      </w:tr>
      <w:tr w:rsidR="00EE716C" w:rsidRPr="00B31292" w14:paraId="6B975367" w14:textId="77777777" w:rsidTr="00CA65A7">
        <w:trPr>
          <w:trHeight w:val="20"/>
        </w:trPr>
        <w:tc>
          <w:tcPr>
            <w:tcW w:w="1350" w:type="dxa"/>
            <w:vAlign w:val="center"/>
          </w:tcPr>
          <w:p w14:paraId="3C1A7835" w14:textId="5E827081" w:rsidR="000F0D03" w:rsidRPr="00B31292" w:rsidRDefault="000F0D03" w:rsidP="000F0D03">
            <w:pPr>
              <w:rPr>
                <w:rFonts w:ascii="Garamond" w:hAnsi="Garamond" w:cs="Times New Roman"/>
                <w:sz w:val="20"/>
                <w:szCs w:val="20"/>
                <w:lang w:eastAsia="ja-JP"/>
              </w:rPr>
            </w:pPr>
          </w:p>
          <w:p w14:paraId="5302C564" w14:textId="1D8CC2D0" w:rsidR="00AB22B8" w:rsidRPr="00B31292" w:rsidRDefault="00AB22B8" w:rsidP="000F0D03">
            <w:pPr>
              <w:rPr>
                <w:rFonts w:ascii="Garamond" w:hAnsi="Garamond" w:cs="Times New Roman"/>
                <w:sz w:val="20"/>
                <w:szCs w:val="20"/>
                <w:lang w:eastAsia="ja-JP"/>
              </w:rPr>
            </w:pPr>
            <w:r w:rsidRPr="00B31292">
              <w:rPr>
                <w:rFonts w:ascii="Garamond" w:hAnsi="Garamond" w:cs="Times New Roman"/>
                <w:sz w:val="20"/>
                <w:szCs w:val="20"/>
                <w:lang w:eastAsia="ja-JP"/>
              </w:rPr>
              <w:t>INSPIRE</w:t>
            </w:r>
          </w:p>
        </w:tc>
        <w:tc>
          <w:tcPr>
            <w:tcW w:w="3240" w:type="dxa"/>
            <w:vAlign w:val="center"/>
          </w:tcPr>
          <w:p w14:paraId="061C8E64" w14:textId="77777777" w:rsidR="000F0D03" w:rsidRPr="00B31292" w:rsidRDefault="00AB22B8" w:rsidP="002277EC">
            <w:pPr>
              <w:rPr>
                <w:rFonts w:ascii="Garamond" w:hAnsi="Garamond" w:cs="Times New Roman"/>
                <w:sz w:val="20"/>
                <w:szCs w:val="20"/>
                <w:lang w:eastAsia="ja-JP"/>
              </w:rPr>
            </w:pPr>
            <w:r w:rsidRPr="00B31292">
              <w:rPr>
                <w:rFonts w:ascii="Garamond" w:hAnsi="Garamond" w:cs="Times New Roman"/>
                <w:sz w:val="20"/>
                <w:szCs w:val="20"/>
                <w:lang w:eastAsia="ja-JP"/>
              </w:rPr>
              <w:t>Infrastruktura për Informacionin</w:t>
            </w:r>
          </w:p>
          <w:p w14:paraId="361EED02" w14:textId="5B772D95" w:rsidR="000F0D03" w:rsidRPr="00B31292" w:rsidRDefault="00AB22B8" w:rsidP="002277EC">
            <w:pPr>
              <w:rPr>
                <w:rFonts w:ascii="Garamond" w:hAnsi="Garamond" w:cs="Times New Roman"/>
                <w:sz w:val="20"/>
                <w:szCs w:val="20"/>
                <w:lang w:eastAsia="ja-JP"/>
              </w:rPr>
            </w:pPr>
            <w:r w:rsidRPr="00B31292">
              <w:rPr>
                <w:rFonts w:ascii="Garamond" w:hAnsi="Garamond" w:cs="Times New Roman"/>
                <w:sz w:val="20"/>
                <w:szCs w:val="20"/>
                <w:lang w:eastAsia="ja-JP"/>
              </w:rPr>
              <w:t xml:space="preserve"> </w:t>
            </w:r>
          </w:p>
          <w:p w14:paraId="205F9FFF" w14:textId="4E2D2CDD" w:rsidR="00AB22B8" w:rsidRPr="00B31292" w:rsidRDefault="00AB22B8" w:rsidP="002277EC">
            <w:pPr>
              <w:rPr>
                <w:rFonts w:ascii="Garamond" w:hAnsi="Garamond" w:cs="Times New Roman"/>
                <w:sz w:val="20"/>
                <w:szCs w:val="20"/>
                <w:lang w:eastAsia="ja-JP"/>
              </w:rPr>
            </w:pPr>
            <w:r w:rsidRPr="00B31292">
              <w:rPr>
                <w:rFonts w:ascii="Garamond" w:hAnsi="Garamond" w:cs="Times New Roman"/>
                <w:sz w:val="20"/>
                <w:szCs w:val="20"/>
                <w:lang w:eastAsia="ja-JP"/>
              </w:rPr>
              <w:t>Gjeohap</w:t>
            </w:r>
            <w:r w:rsidR="00AB06FA" w:rsidRPr="00B31292">
              <w:rPr>
                <w:rFonts w:ascii="Garamond" w:hAnsi="Garamond" w:cs="Times New Roman"/>
                <w:sz w:val="20"/>
                <w:szCs w:val="20"/>
                <w:lang w:eastAsia="ja-JP"/>
              </w:rPr>
              <w:t>ë</w:t>
            </w:r>
            <w:r w:rsidRPr="00B31292">
              <w:rPr>
                <w:rFonts w:ascii="Garamond" w:hAnsi="Garamond" w:cs="Times New Roman"/>
                <w:sz w:val="20"/>
                <w:szCs w:val="20"/>
                <w:lang w:eastAsia="ja-JP"/>
              </w:rPr>
              <w:t>sinor në Evropë</w:t>
            </w:r>
          </w:p>
          <w:p w14:paraId="2C5B6B97" w14:textId="4AD31F2B" w:rsidR="002277EC" w:rsidRPr="00B31292" w:rsidRDefault="002277EC" w:rsidP="002277EC">
            <w:pPr>
              <w:rPr>
                <w:rFonts w:ascii="Garamond" w:hAnsi="Garamond" w:cs="Times New Roman"/>
                <w:sz w:val="20"/>
                <w:szCs w:val="20"/>
                <w:lang w:eastAsia="ja-JP"/>
              </w:rPr>
            </w:pPr>
          </w:p>
        </w:tc>
        <w:tc>
          <w:tcPr>
            <w:tcW w:w="1350" w:type="dxa"/>
            <w:vAlign w:val="center"/>
          </w:tcPr>
          <w:p w14:paraId="4A3B46AA" w14:textId="77777777" w:rsidR="00AB22B8" w:rsidRPr="00B31292" w:rsidRDefault="00AB22B8" w:rsidP="003A4DBA">
            <w:pPr>
              <w:ind w:firstLine="284"/>
              <w:rPr>
                <w:rFonts w:ascii="Garamond" w:hAnsi="Garamond" w:cs="Times New Roman"/>
                <w:sz w:val="20"/>
                <w:szCs w:val="20"/>
                <w:lang w:eastAsia="ja-JP"/>
              </w:rPr>
            </w:pPr>
          </w:p>
        </w:tc>
        <w:tc>
          <w:tcPr>
            <w:tcW w:w="3330" w:type="dxa"/>
            <w:vAlign w:val="center"/>
          </w:tcPr>
          <w:p w14:paraId="5F12B42F" w14:textId="77777777" w:rsidR="00AB22B8" w:rsidRPr="00B31292" w:rsidRDefault="00AB22B8" w:rsidP="003A4DBA">
            <w:pPr>
              <w:ind w:firstLine="284"/>
              <w:rPr>
                <w:rFonts w:ascii="Garamond" w:hAnsi="Garamond" w:cs="Times New Roman"/>
                <w:sz w:val="20"/>
                <w:szCs w:val="20"/>
                <w:lang w:eastAsia="ja-JP"/>
              </w:rPr>
            </w:pPr>
          </w:p>
        </w:tc>
      </w:tr>
      <w:tr w:rsidR="00EE716C" w:rsidRPr="00B31292" w14:paraId="29878505" w14:textId="77777777" w:rsidTr="00CA65A7">
        <w:trPr>
          <w:trHeight w:val="20"/>
        </w:trPr>
        <w:tc>
          <w:tcPr>
            <w:tcW w:w="1350" w:type="dxa"/>
            <w:vAlign w:val="center"/>
          </w:tcPr>
          <w:p w14:paraId="27677893" w14:textId="77777777" w:rsidR="00AB22B8" w:rsidRPr="00B31292" w:rsidRDefault="00AB22B8" w:rsidP="003A4DBA">
            <w:pPr>
              <w:ind w:firstLine="284"/>
              <w:rPr>
                <w:rFonts w:ascii="Garamond" w:hAnsi="Garamond" w:cs="Times New Roman"/>
                <w:sz w:val="20"/>
                <w:szCs w:val="20"/>
                <w:lang w:eastAsia="ja-JP"/>
              </w:rPr>
            </w:pPr>
            <w:r w:rsidRPr="00B31292">
              <w:rPr>
                <w:rFonts w:ascii="Garamond" w:eastAsia="Calibri" w:hAnsi="Garamond" w:cs="Times New Roman"/>
                <w:sz w:val="20"/>
                <w:szCs w:val="20"/>
              </w:rPr>
              <w:t>IOM</w:t>
            </w:r>
          </w:p>
        </w:tc>
        <w:tc>
          <w:tcPr>
            <w:tcW w:w="3240" w:type="dxa"/>
            <w:vAlign w:val="center"/>
          </w:tcPr>
          <w:p w14:paraId="316F4FF0" w14:textId="77777777" w:rsidR="00AB22B8" w:rsidRPr="00B31292" w:rsidRDefault="00AB22B8" w:rsidP="002277EC">
            <w:pPr>
              <w:rPr>
                <w:rFonts w:ascii="Garamond" w:eastAsia="Calibri" w:hAnsi="Garamond" w:cs="Times New Roman"/>
                <w:sz w:val="20"/>
                <w:szCs w:val="20"/>
              </w:rPr>
            </w:pPr>
            <w:r w:rsidRPr="00B31292">
              <w:rPr>
                <w:rFonts w:ascii="Garamond" w:eastAsia="Calibri" w:hAnsi="Garamond" w:cs="Times New Roman"/>
                <w:sz w:val="20"/>
                <w:szCs w:val="20"/>
              </w:rPr>
              <w:t>Organizata Ndërkombëtare për Migracionin (</w:t>
            </w:r>
            <w:r w:rsidRPr="00B31292">
              <w:rPr>
                <w:rFonts w:ascii="Garamond" w:eastAsia="Calibri" w:hAnsi="Garamond" w:cs="Times New Roman"/>
                <w:i/>
                <w:iCs/>
                <w:sz w:val="20"/>
                <w:szCs w:val="20"/>
              </w:rPr>
              <w:t>International Organization for Migration</w:t>
            </w:r>
            <w:r w:rsidRPr="00B31292">
              <w:rPr>
                <w:rFonts w:ascii="Garamond" w:eastAsia="Calibri" w:hAnsi="Garamond" w:cs="Times New Roman"/>
                <w:sz w:val="20"/>
                <w:szCs w:val="20"/>
              </w:rPr>
              <w:t>)</w:t>
            </w:r>
          </w:p>
          <w:p w14:paraId="47897771" w14:textId="0F89B848" w:rsidR="002277EC" w:rsidRPr="00B31292" w:rsidRDefault="002277EC" w:rsidP="002277EC">
            <w:pPr>
              <w:rPr>
                <w:rFonts w:ascii="Garamond" w:hAnsi="Garamond" w:cs="Times New Roman"/>
                <w:sz w:val="20"/>
                <w:szCs w:val="20"/>
                <w:lang w:eastAsia="ja-JP"/>
              </w:rPr>
            </w:pPr>
          </w:p>
        </w:tc>
        <w:tc>
          <w:tcPr>
            <w:tcW w:w="1350" w:type="dxa"/>
            <w:vAlign w:val="center"/>
          </w:tcPr>
          <w:p w14:paraId="7FB8144C" w14:textId="77777777" w:rsidR="00AB22B8" w:rsidRPr="00B31292" w:rsidRDefault="00AB22B8" w:rsidP="003A4DBA">
            <w:pPr>
              <w:ind w:firstLine="284"/>
              <w:rPr>
                <w:rFonts w:ascii="Garamond" w:hAnsi="Garamond" w:cs="Times New Roman"/>
                <w:sz w:val="20"/>
                <w:szCs w:val="20"/>
                <w:lang w:eastAsia="ja-JP"/>
              </w:rPr>
            </w:pPr>
          </w:p>
        </w:tc>
        <w:tc>
          <w:tcPr>
            <w:tcW w:w="3330" w:type="dxa"/>
            <w:vAlign w:val="center"/>
          </w:tcPr>
          <w:p w14:paraId="53EF972D" w14:textId="77777777" w:rsidR="00AB22B8" w:rsidRPr="00B31292" w:rsidRDefault="00AB22B8" w:rsidP="003A4DBA">
            <w:pPr>
              <w:ind w:firstLine="284"/>
              <w:rPr>
                <w:rFonts w:ascii="Garamond" w:hAnsi="Garamond" w:cs="Times New Roman"/>
                <w:sz w:val="20"/>
                <w:szCs w:val="20"/>
                <w:lang w:eastAsia="ja-JP"/>
              </w:rPr>
            </w:pPr>
          </w:p>
        </w:tc>
      </w:tr>
      <w:tr w:rsidR="00EE716C" w:rsidRPr="00B31292" w14:paraId="120B0C2E" w14:textId="77777777" w:rsidTr="00CA65A7">
        <w:trPr>
          <w:trHeight w:val="20"/>
        </w:trPr>
        <w:tc>
          <w:tcPr>
            <w:tcW w:w="1350" w:type="dxa"/>
            <w:vAlign w:val="center"/>
          </w:tcPr>
          <w:p w14:paraId="4F06EB54" w14:textId="77777777" w:rsidR="00AB22B8" w:rsidRPr="00B31292" w:rsidRDefault="00AB22B8" w:rsidP="003A4DBA">
            <w:pPr>
              <w:ind w:firstLine="284"/>
              <w:rPr>
                <w:rFonts w:ascii="Garamond" w:hAnsi="Garamond" w:cs="Times New Roman"/>
                <w:sz w:val="20"/>
                <w:szCs w:val="20"/>
                <w:lang w:eastAsia="ja-JP"/>
              </w:rPr>
            </w:pPr>
            <w:r w:rsidRPr="00B31292">
              <w:rPr>
                <w:rFonts w:ascii="Garamond" w:eastAsia="Calibri" w:hAnsi="Garamond" w:cs="Times New Roman"/>
                <w:sz w:val="20"/>
                <w:szCs w:val="20"/>
              </w:rPr>
              <w:t>IPA</w:t>
            </w:r>
          </w:p>
        </w:tc>
        <w:tc>
          <w:tcPr>
            <w:tcW w:w="3240" w:type="dxa"/>
            <w:vAlign w:val="center"/>
          </w:tcPr>
          <w:p w14:paraId="296DF361" w14:textId="77777777" w:rsidR="00AB22B8" w:rsidRPr="00B31292" w:rsidRDefault="00AB22B8" w:rsidP="002277EC">
            <w:pPr>
              <w:rPr>
                <w:rFonts w:ascii="Garamond" w:eastAsia="Calibri" w:hAnsi="Garamond" w:cs="Times New Roman"/>
                <w:sz w:val="20"/>
                <w:szCs w:val="20"/>
              </w:rPr>
            </w:pPr>
            <w:r w:rsidRPr="00B31292">
              <w:rPr>
                <w:rFonts w:ascii="Garamond" w:eastAsia="Calibri" w:hAnsi="Garamond" w:cs="Times New Roman"/>
                <w:sz w:val="20"/>
                <w:szCs w:val="20"/>
              </w:rPr>
              <w:t>Instrumenti i paraanëtarësimit</w:t>
            </w:r>
          </w:p>
          <w:p w14:paraId="577EDF8A" w14:textId="165A835B" w:rsidR="002277EC" w:rsidRPr="00B31292" w:rsidRDefault="002277EC" w:rsidP="002277EC">
            <w:pPr>
              <w:rPr>
                <w:rFonts w:ascii="Garamond" w:hAnsi="Garamond" w:cs="Times New Roman"/>
                <w:sz w:val="20"/>
                <w:szCs w:val="20"/>
                <w:lang w:eastAsia="ja-JP"/>
              </w:rPr>
            </w:pPr>
          </w:p>
        </w:tc>
        <w:tc>
          <w:tcPr>
            <w:tcW w:w="1350" w:type="dxa"/>
            <w:vAlign w:val="center"/>
          </w:tcPr>
          <w:p w14:paraId="39528BCC" w14:textId="77777777" w:rsidR="00AB22B8" w:rsidRPr="00B31292" w:rsidRDefault="00AB22B8" w:rsidP="003A4DBA">
            <w:pPr>
              <w:ind w:firstLine="284"/>
              <w:rPr>
                <w:rFonts w:ascii="Garamond" w:hAnsi="Garamond" w:cs="Times New Roman"/>
                <w:sz w:val="20"/>
                <w:szCs w:val="20"/>
                <w:lang w:eastAsia="ja-JP"/>
              </w:rPr>
            </w:pPr>
          </w:p>
        </w:tc>
        <w:tc>
          <w:tcPr>
            <w:tcW w:w="3330" w:type="dxa"/>
            <w:vAlign w:val="center"/>
          </w:tcPr>
          <w:p w14:paraId="2EC9E2B5" w14:textId="77777777" w:rsidR="00AB22B8" w:rsidRPr="00B31292" w:rsidRDefault="00AB22B8" w:rsidP="003A4DBA">
            <w:pPr>
              <w:ind w:firstLine="284"/>
              <w:rPr>
                <w:rFonts w:ascii="Garamond" w:hAnsi="Garamond" w:cs="Times New Roman"/>
                <w:sz w:val="20"/>
                <w:szCs w:val="20"/>
                <w:lang w:eastAsia="ja-JP"/>
              </w:rPr>
            </w:pPr>
          </w:p>
        </w:tc>
      </w:tr>
      <w:tr w:rsidR="004F35E8" w:rsidRPr="00B31292" w14:paraId="1DC4D8FD" w14:textId="77777777" w:rsidTr="00CA65A7">
        <w:trPr>
          <w:trHeight w:val="20"/>
        </w:trPr>
        <w:tc>
          <w:tcPr>
            <w:tcW w:w="1350" w:type="dxa"/>
            <w:vAlign w:val="center"/>
          </w:tcPr>
          <w:p w14:paraId="4CDEECB2" w14:textId="77777777" w:rsidR="00AB22B8" w:rsidRPr="00B31292" w:rsidRDefault="00AB22B8" w:rsidP="003A4DBA">
            <w:pPr>
              <w:ind w:firstLine="284"/>
              <w:rPr>
                <w:rFonts w:ascii="Garamond" w:hAnsi="Garamond" w:cs="Times New Roman"/>
                <w:sz w:val="20"/>
                <w:szCs w:val="20"/>
                <w:lang w:eastAsia="ja-JP"/>
              </w:rPr>
            </w:pPr>
            <w:r w:rsidRPr="00B31292">
              <w:rPr>
                <w:rFonts w:ascii="Garamond" w:eastAsia="Calibri" w:hAnsi="Garamond" w:cs="Times New Roman"/>
                <w:sz w:val="20"/>
                <w:szCs w:val="20"/>
              </w:rPr>
              <w:t>ISCO</w:t>
            </w:r>
          </w:p>
        </w:tc>
        <w:tc>
          <w:tcPr>
            <w:tcW w:w="3240" w:type="dxa"/>
            <w:vAlign w:val="center"/>
          </w:tcPr>
          <w:p w14:paraId="4F811D25" w14:textId="77777777" w:rsidR="00AB22B8" w:rsidRPr="00B31292" w:rsidRDefault="00AB22B8" w:rsidP="002277EC">
            <w:pPr>
              <w:rPr>
                <w:rFonts w:ascii="Garamond" w:eastAsia="Calibri" w:hAnsi="Garamond" w:cs="Times New Roman"/>
                <w:sz w:val="20"/>
                <w:szCs w:val="20"/>
              </w:rPr>
            </w:pPr>
            <w:r w:rsidRPr="00B31292">
              <w:rPr>
                <w:rFonts w:ascii="Garamond" w:eastAsia="Calibri" w:hAnsi="Garamond" w:cs="Times New Roman"/>
                <w:sz w:val="20"/>
                <w:szCs w:val="20"/>
              </w:rPr>
              <w:t>Klasifikimi Ndërkombëtar Standard i Profesioneve (</w:t>
            </w:r>
            <w:r w:rsidRPr="00B31292">
              <w:rPr>
                <w:rFonts w:ascii="Garamond" w:eastAsia="Calibri" w:hAnsi="Garamond" w:cs="Times New Roman"/>
                <w:i/>
                <w:iCs/>
                <w:sz w:val="20"/>
                <w:szCs w:val="20"/>
              </w:rPr>
              <w:t>International Standard Classification of Occupations</w:t>
            </w:r>
            <w:r w:rsidRPr="00B31292">
              <w:rPr>
                <w:rFonts w:ascii="Garamond" w:eastAsia="Calibri" w:hAnsi="Garamond" w:cs="Times New Roman"/>
                <w:sz w:val="20"/>
                <w:szCs w:val="20"/>
              </w:rPr>
              <w:t>)</w:t>
            </w:r>
          </w:p>
          <w:p w14:paraId="1F2B340B" w14:textId="4D22EA3E" w:rsidR="000F0D03" w:rsidRPr="00B31292" w:rsidRDefault="000F0D03" w:rsidP="002277EC">
            <w:pPr>
              <w:rPr>
                <w:rFonts w:ascii="Garamond" w:hAnsi="Garamond" w:cs="Times New Roman"/>
                <w:sz w:val="20"/>
                <w:szCs w:val="20"/>
                <w:lang w:eastAsia="ja-JP"/>
              </w:rPr>
            </w:pPr>
          </w:p>
        </w:tc>
        <w:tc>
          <w:tcPr>
            <w:tcW w:w="1350" w:type="dxa"/>
            <w:vAlign w:val="center"/>
          </w:tcPr>
          <w:p w14:paraId="5778597E" w14:textId="77777777" w:rsidR="00AB22B8" w:rsidRPr="00B31292" w:rsidRDefault="00AB22B8" w:rsidP="003A4DBA">
            <w:pPr>
              <w:ind w:firstLine="284"/>
              <w:rPr>
                <w:rFonts w:ascii="Garamond" w:hAnsi="Garamond" w:cs="Times New Roman"/>
                <w:sz w:val="20"/>
                <w:szCs w:val="20"/>
                <w:lang w:eastAsia="ja-JP"/>
              </w:rPr>
            </w:pPr>
          </w:p>
        </w:tc>
        <w:tc>
          <w:tcPr>
            <w:tcW w:w="3330" w:type="dxa"/>
            <w:vAlign w:val="center"/>
          </w:tcPr>
          <w:p w14:paraId="3F0E2C43" w14:textId="77777777" w:rsidR="00AB22B8" w:rsidRPr="00B31292" w:rsidRDefault="00AB22B8" w:rsidP="003A4DBA">
            <w:pPr>
              <w:ind w:firstLine="284"/>
              <w:rPr>
                <w:rFonts w:ascii="Garamond" w:hAnsi="Garamond" w:cs="Times New Roman"/>
                <w:sz w:val="20"/>
                <w:szCs w:val="20"/>
                <w:lang w:eastAsia="ja-JP"/>
              </w:rPr>
            </w:pPr>
          </w:p>
        </w:tc>
      </w:tr>
    </w:tbl>
    <w:p w14:paraId="6B757908" w14:textId="39C2A6C1" w:rsidR="00636179" w:rsidRPr="00B31292" w:rsidRDefault="00AB22B8" w:rsidP="003A4DBA">
      <w:pPr>
        <w:pStyle w:val="Heading2"/>
        <w:spacing w:before="0" w:line="240" w:lineRule="auto"/>
        <w:ind w:firstLine="284"/>
        <w:rPr>
          <w:rFonts w:ascii="Garamond" w:hAnsi="Garamond"/>
          <w:color w:val="auto"/>
          <w:sz w:val="24"/>
          <w:szCs w:val="24"/>
        </w:rPr>
      </w:pPr>
      <w:bookmarkStart w:id="1" w:name="_Toc182991968"/>
      <w:r w:rsidRPr="00B31292">
        <w:rPr>
          <w:rStyle w:val="Heading2Char"/>
          <w:rFonts w:ascii="Garamond" w:hAnsi="Garamond"/>
          <w:b/>
          <w:bCs/>
          <w:noProof w:val="0"/>
          <w:color w:val="auto"/>
          <w:sz w:val="24"/>
          <w:szCs w:val="24"/>
        </w:rPr>
        <w:t>II. Hyrje</w:t>
      </w:r>
      <w:bookmarkEnd w:id="1"/>
    </w:p>
    <w:p w14:paraId="14B112D5" w14:textId="2B78DD6D" w:rsidR="00AB22B8" w:rsidRPr="00B31292" w:rsidRDefault="00AB22B8" w:rsidP="003A4DBA">
      <w:pPr>
        <w:shd w:val="clear" w:color="auto" w:fill="FFFFFF" w:themeFill="background1"/>
        <w:tabs>
          <w:tab w:val="left" w:pos="720"/>
          <w:tab w:val="left" w:pos="810"/>
        </w:tabs>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Plani Vjetor 202</w:t>
      </w:r>
      <w:r w:rsidR="0054448B" w:rsidRPr="00B31292">
        <w:rPr>
          <w:rFonts w:ascii="Garamond" w:hAnsi="Garamond" w:cs="Times New Roman"/>
          <w:sz w:val="24"/>
          <w:szCs w:val="24"/>
        </w:rPr>
        <w:t>5</w:t>
      </w:r>
      <w:r w:rsidRPr="00B31292">
        <w:rPr>
          <w:rFonts w:ascii="Garamond" w:hAnsi="Garamond" w:cs="Times New Roman"/>
          <w:sz w:val="24"/>
          <w:szCs w:val="24"/>
        </w:rPr>
        <w:t xml:space="preserve"> i paraqitet për miratim Kuvendit të Shqipërisë në zbatim të neneve 9 dhe 10</w:t>
      </w:r>
      <w:r w:rsidR="002277EC" w:rsidRPr="00B31292">
        <w:rPr>
          <w:rFonts w:ascii="Garamond" w:hAnsi="Garamond" w:cs="Times New Roman"/>
          <w:sz w:val="24"/>
          <w:szCs w:val="24"/>
        </w:rPr>
        <w:t>,</w:t>
      </w:r>
      <w:r w:rsidRPr="00B31292">
        <w:rPr>
          <w:rFonts w:ascii="Garamond" w:hAnsi="Garamond" w:cs="Times New Roman"/>
          <w:sz w:val="24"/>
          <w:szCs w:val="24"/>
        </w:rPr>
        <w:t xml:space="preserve"> të </w:t>
      </w:r>
      <w:r w:rsidR="002277EC" w:rsidRPr="00B31292">
        <w:rPr>
          <w:rFonts w:ascii="Garamond" w:hAnsi="Garamond" w:cs="Times New Roman"/>
          <w:sz w:val="24"/>
          <w:szCs w:val="24"/>
        </w:rPr>
        <w:t>l</w:t>
      </w:r>
      <w:r w:rsidRPr="00B31292">
        <w:rPr>
          <w:rFonts w:ascii="Garamond" w:hAnsi="Garamond" w:cs="Times New Roman"/>
          <w:sz w:val="24"/>
          <w:szCs w:val="24"/>
        </w:rPr>
        <w:t>igjit nr. 17/2018</w:t>
      </w:r>
      <w:r w:rsidR="002277EC" w:rsidRPr="00B31292">
        <w:rPr>
          <w:rFonts w:ascii="Garamond" w:hAnsi="Garamond" w:cs="Times New Roman"/>
          <w:sz w:val="24"/>
          <w:szCs w:val="24"/>
        </w:rPr>
        <w:t>,</w:t>
      </w:r>
      <w:r w:rsidRPr="00B31292">
        <w:rPr>
          <w:rFonts w:ascii="Garamond" w:hAnsi="Garamond" w:cs="Times New Roman"/>
          <w:sz w:val="24"/>
          <w:szCs w:val="24"/>
        </w:rPr>
        <w:t xml:space="preserve"> </w:t>
      </w:r>
      <w:r w:rsidR="00BA12C3" w:rsidRPr="00B31292">
        <w:rPr>
          <w:rFonts w:ascii="Garamond" w:hAnsi="Garamond" w:cs="Times New Roman"/>
          <w:sz w:val="24"/>
          <w:szCs w:val="24"/>
        </w:rPr>
        <w:t>“</w:t>
      </w:r>
      <w:r w:rsidRPr="00B31292">
        <w:rPr>
          <w:rFonts w:ascii="Garamond" w:hAnsi="Garamond" w:cs="Times New Roman"/>
          <w:sz w:val="24"/>
          <w:szCs w:val="24"/>
        </w:rPr>
        <w:t>Për statistikat zyrtare</w:t>
      </w:r>
      <w:r w:rsidR="00BA12C3" w:rsidRPr="00B31292">
        <w:rPr>
          <w:rFonts w:ascii="Garamond" w:hAnsi="Garamond" w:cs="Times New Roman"/>
          <w:sz w:val="24"/>
          <w:szCs w:val="24"/>
        </w:rPr>
        <w:t>”</w:t>
      </w:r>
      <w:r w:rsidRPr="00B31292">
        <w:rPr>
          <w:rFonts w:ascii="Garamond" w:hAnsi="Garamond" w:cs="Times New Roman"/>
          <w:sz w:val="24"/>
          <w:szCs w:val="24"/>
        </w:rPr>
        <w:t xml:space="preserve">. Dokumenti shërben për parashikimin e veprimtarive statistikore në përmbushje të objektivave strategjikë dhe rezultateve të pritshme të parashikuara në </w:t>
      </w:r>
      <w:r w:rsidR="002277EC" w:rsidRPr="00B31292">
        <w:rPr>
          <w:rFonts w:ascii="Garamond" w:hAnsi="Garamond" w:cs="Times New Roman"/>
          <w:sz w:val="24"/>
          <w:szCs w:val="24"/>
        </w:rPr>
        <w:t>l</w:t>
      </w:r>
      <w:r w:rsidRPr="00B31292">
        <w:rPr>
          <w:rFonts w:ascii="Garamond" w:hAnsi="Garamond" w:cs="Times New Roman"/>
          <w:sz w:val="24"/>
          <w:szCs w:val="24"/>
        </w:rPr>
        <w:t>igjin nr. 30/2022</w:t>
      </w:r>
      <w:r w:rsidR="002277EC" w:rsidRPr="00B31292">
        <w:rPr>
          <w:rFonts w:ascii="Garamond" w:hAnsi="Garamond" w:cs="Times New Roman"/>
          <w:sz w:val="24"/>
          <w:szCs w:val="24"/>
        </w:rPr>
        <w:t>,</w:t>
      </w:r>
      <w:r w:rsidRPr="00B31292">
        <w:rPr>
          <w:rFonts w:ascii="Garamond" w:hAnsi="Garamond" w:cs="Times New Roman"/>
          <w:sz w:val="24"/>
          <w:szCs w:val="24"/>
        </w:rPr>
        <w:t xml:space="preserve"> </w:t>
      </w:r>
      <w:r w:rsidR="00BA12C3" w:rsidRPr="00B31292">
        <w:rPr>
          <w:rFonts w:ascii="Garamond" w:hAnsi="Garamond" w:cs="Times New Roman"/>
          <w:sz w:val="24"/>
          <w:szCs w:val="24"/>
        </w:rPr>
        <w:t>“</w:t>
      </w:r>
      <w:r w:rsidRPr="00B31292">
        <w:rPr>
          <w:rFonts w:ascii="Garamond" w:hAnsi="Garamond" w:cs="Times New Roman"/>
          <w:sz w:val="24"/>
          <w:szCs w:val="24"/>
        </w:rPr>
        <w:t xml:space="preserve">Për miratimin e </w:t>
      </w:r>
      <w:r w:rsidR="00863E96" w:rsidRPr="00B31292">
        <w:rPr>
          <w:rFonts w:ascii="Garamond" w:hAnsi="Garamond" w:cs="Times New Roman"/>
          <w:sz w:val="24"/>
          <w:szCs w:val="24"/>
        </w:rPr>
        <w:t xml:space="preserve">programit të statistikave zyrtare </w:t>
      </w:r>
      <w:r w:rsidR="002277EC" w:rsidRPr="00B31292">
        <w:rPr>
          <w:rFonts w:ascii="Garamond" w:hAnsi="Garamond" w:cs="Times New Roman"/>
          <w:sz w:val="24"/>
          <w:szCs w:val="24"/>
        </w:rPr>
        <w:t>2022–2026</w:t>
      </w:r>
      <w:r w:rsidR="00BA12C3" w:rsidRPr="00B31292">
        <w:rPr>
          <w:rFonts w:ascii="Garamond" w:hAnsi="Garamond" w:cs="Times New Roman"/>
          <w:sz w:val="24"/>
          <w:szCs w:val="24"/>
        </w:rPr>
        <w:t>”</w:t>
      </w:r>
      <w:r w:rsidRPr="00B31292">
        <w:rPr>
          <w:rFonts w:ascii="Garamond" w:hAnsi="Garamond" w:cs="Times New Roman"/>
          <w:sz w:val="24"/>
          <w:szCs w:val="24"/>
        </w:rPr>
        <w:t>.</w:t>
      </w:r>
    </w:p>
    <w:p w14:paraId="682C30A5" w14:textId="7599D02B" w:rsidR="00AB22B8" w:rsidRPr="00B31292" w:rsidRDefault="00AB22B8" w:rsidP="003A4DBA">
      <w:pPr>
        <w:shd w:val="clear" w:color="auto" w:fill="FFFFFF" w:themeFill="background1"/>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Dokumenti paraqet aktivitetet statistikore që do të kryhen nga Sistemi Kombëtar Statistikor, INSTAT</w:t>
      </w:r>
      <w:r w:rsidR="002277EC" w:rsidRPr="00B31292">
        <w:rPr>
          <w:rFonts w:ascii="Garamond" w:hAnsi="Garamond" w:cs="Times New Roman"/>
          <w:sz w:val="24"/>
          <w:szCs w:val="24"/>
        </w:rPr>
        <w:t>-i</w:t>
      </w:r>
      <w:r w:rsidRPr="00B31292">
        <w:rPr>
          <w:rFonts w:ascii="Garamond" w:hAnsi="Garamond" w:cs="Times New Roman"/>
          <w:sz w:val="24"/>
          <w:szCs w:val="24"/>
        </w:rPr>
        <w:t>, Banka e Shqipërisë</w:t>
      </w:r>
      <w:r w:rsidR="00830F3D" w:rsidRPr="00B31292">
        <w:rPr>
          <w:rFonts w:ascii="Garamond" w:hAnsi="Garamond" w:cs="Times New Roman"/>
          <w:sz w:val="24"/>
          <w:szCs w:val="24"/>
        </w:rPr>
        <w:t xml:space="preserve">, </w:t>
      </w:r>
      <w:r w:rsidRPr="00B31292">
        <w:rPr>
          <w:rFonts w:ascii="Garamond" w:hAnsi="Garamond" w:cs="Times New Roman"/>
          <w:sz w:val="24"/>
          <w:szCs w:val="24"/>
        </w:rPr>
        <w:t>Ministria e Financave</w:t>
      </w:r>
      <w:r w:rsidR="006C7739" w:rsidRPr="00B31292">
        <w:rPr>
          <w:rFonts w:ascii="Garamond" w:hAnsi="Garamond" w:cs="Times New Roman"/>
          <w:sz w:val="24"/>
          <w:szCs w:val="24"/>
        </w:rPr>
        <w:t xml:space="preserve"> dhe</w:t>
      </w:r>
      <w:r w:rsidR="00920645" w:rsidRPr="00B31292">
        <w:rPr>
          <w:rFonts w:ascii="Garamond" w:hAnsi="Garamond" w:cs="Times New Roman"/>
          <w:sz w:val="24"/>
          <w:szCs w:val="24"/>
        </w:rPr>
        <w:t xml:space="preserve"> </w:t>
      </w:r>
      <w:r w:rsidR="00C9476C" w:rsidRPr="00B31292">
        <w:rPr>
          <w:rFonts w:ascii="Garamond" w:hAnsi="Garamond" w:cs="Times New Roman"/>
          <w:sz w:val="24"/>
          <w:szCs w:val="24"/>
        </w:rPr>
        <w:t>A</w:t>
      </w:r>
      <w:r w:rsidR="009E4A15" w:rsidRPr="00B31292">
        <w:rPr>
          <w:rFonts w:ascii="Garamond" w:hAnsi="Garamond" w:cs="Times New Roman"/>
          <w:sz w:val="24"/>
          <w:szCs w:val="24"/>
        </w:rPr>
        <w:t xml:space="preserve">gjencia </w:t>
      </w:r>
      <w:r w:rsidR="00C9476C" w:rsidRPr="00B31292">
        <w:rPr>
          <w:rFonts w:ascii="Garamond" w:hAnsi="Garamond" w:cs="Times New Roman"/>
          <w:sz w:val="24"/>
          <w:szCs w:val="24"/>
        </w:rPr>
        <w:t>K</w:t>
      </w:r>
      <w:r w:rsidR="009E4A15" w:rsidRPr="00B31292">
        <w:rPr>
          <w:rFonts w:ascii="Garamond" w:hAnsi="Garamond" w:cs="Times New Roman"/>
          <w:sz w:val="24"/>
          <w:szCs w:val="24"/>
        </w:rPr>
        <w:t xml:space="preserve">ombëtare e </w:t>
      </w:r>
      <w:r w:rsidR="00C9476C" w:rsidRPr="00B31292">
        <w:rPr>
          <w:rFonts w:ascii="Garamond" w:hAnsi="Garamond" w:cs="Times New Roman"/>
          <w:sz w:val="24"/>
          <w:szCs w:val="24"/>
        </w:rPr>
        <w:t>B</w:t>
      </w:r>
      <w:r w:rsidR="009E4A15" w:rsidRPr="00B31292">
        <w:rPr>
          <w:rFonts w:ascii="Garamond" w:hAnsi="Garamond" w:cs="Times New Roman"/>
          <w:sz w:val="24"/>
          <w:szCs w:val="24"/>
        </w:rPr>
        <w:t xml:space="preserve">urimeve </w:t>
      </w:r>
      <w:r w:rsidR="00C9476C" w:rsidRPr="00B31292">
        <w:rPr>
          <w:rFonts w:ascii="Garamond" w:hAnsi="Garamond" w:cs="Times New Roman"/>
          <w:sz w:val="24"/>
          <w:szCs w:val="24"/>
        </w:rPr>
        <w:t>N</w:t>
      </w:r>
      <w:r w:rsidR="009E4A15" w:rsidRPr="00B31292">
        <w:rPr>
          <w:rFonts w:ascii="Garamond" w:hAnsi="Garamond" w:cs="Times New Roman"/>
          <w:sz w:val="24"/>
          <w:szCs w:val="24"/>
        </w:rPr>
        <w:t>atyrore</w:t>
      </w:r>
      <w:r w:rsidRPr="00B31292">
        <w:rPr>
          <w:rFonts w:ascii="Garamond" w:hAnsi="Garamond" w:cs="Times New Roman"/>
          <w:sz w:val="24"/>
          <w:szCs w:val="24"/>
        </w:rPr>
        <w:t xml:space="preserve"> gjatë vitit 202</w:t>
      </w:r>
      <w:r w:rsidR="0054448B" w:rsidRPr="00B31292">
        <w:rPr>
          <w:rFonts w:ascii="Garamond" w:hAnsi="Garamond" w:cs="Times New Roman"/>
          <w:sz w:val="24"/>
          <w:szCs w:val="24"/>
        </w:rPr>
        <w:t>5</w:t>
      </w:r>
      <w:r w:rsidRPr="00B31292">
        <w:rPr>
          <w:rFonts w:ascii="Garamond" w:hAnsi="Garamond" w:cs="Times New Roman"/>
          <w:sz w:val="24"/>
          <w:szCs w:val="24"/>
        </w:rPr>
        <w:t>, sipas fushave përkatëse statistikore që mbulojnë, afatet dhe periodicitetet e zbatimit</w:t>
      </w:r>
      <w:r w:rsidR="008A23EF" w:rsidRPr="00B31292">
        <w:rPr>
          <w:rFonts w:ascii="Garamond" w:hAnsi="Garamond" w:cs="Times New Roman"/>
          <w:sz w:val="24"/>
          <w:szCs w:val="24"/>
        </w:rPr>
        <w:t>, si</w:t>
      </w:r>
      <w:r w:rsidR="00E1678C" w:rsidRPr="00B31292">
        <w:rPr>
          <w:rFonts w:ascii="Garamond" w:hAnsi="Garamond" w:cs="Times New Roman"/>
          <w:sz w:val="24"/>
          <w:szCs w:val="24"/>
        </w:rPr>
        <w:t xml:space="preserve"> </w:t>
      </w:r>
      <w:r w:rsidRPr="00B31292">
        <w:rPr>
          <w:rFonts w:ascii="Garamond" w:hAnsi="Garamond" w:cs="Times New Roman"/>
          <w:sz w:val="24"/>
          <w:szCs w:val="24"/>
        </w:rPr>
        <w:t>dhe indikatorët që do të prodhohen nga zbatimi i këtyre aktiviteteve. Në të njëjtën linjë paraqiten edhe institucionet përgjegjëse për dhënien e informacionit statistikor dhe frekuenc</w:t>
      </w:r>
      <w:r w:rsidR="008A23EF" w:rsidRPr="00B31292">
        <w:rPr>
          <w:rFonts w:ascii="Garamond" w:hAnsi="Garamond" w:cs="Times New Roman"/>
          <w:sz w:val="24"/>
          <w:szCs w:val="24"/>
        </w:rPr>
        <w:t>a</w:t>
      </w:r>
      <w:r w:rsidRPr="00B31292">
        <w:rPr>
          <w:rFonts w:ascii="Garamond" w:hAnsi="Garamond" w:cs="Times New Roman"/>
          <w:sz w:val="24"/>
          <w:szCs w:val="24"/>
        </w:rPr>
        <w:t xml:space="preserve"> e transmetimit të këtij informacioni. Sipas kërkesave të ligjit për statistikat zyrtare, me qëllim që të sigurohet mbarëvajtja e veprimtarive të parashikuara dhe parandalimi i </w:t>
      </w:r>
      <w:r w:rsidR="00E1678C" w:rsidRPr="00B31292">
        <w:rPr>
          <w:rFonts w:ascii="Garamond" w:hAnsi="Garamond" w:cs="Times New Roman"/>
          <w:sz w:val="24"/>
          <w:szCs w:val="24"/>
        </w:rPr>
        <w:t>risqeve</w:t>
      </w:r>
      <w:r w:rsidRPr="00B31292">
        <w:rPr>
          <w:rFonts w:ascii="Garamond" w:hAnsi="Garamond" w:cs="Times New Roman"/>
          <w:sz w:val="24"/>
          <w:szCs w:val="24"/>
        </w:rPr>
        <w:t xml:space="preserve"> të mundshme, dokumenti përmban një analizë të risqeve dhe problemeve të pritshme gjatë vitit 202</w:t>
      </w:r>
      <w:r w:rsidR="0054448B" w:rsidRPr="00B31292">
        <w:rPr>
          <w:rFonts w:ascii="Garamond" w:hAnsi="Garamond" w:cs="Times New Roman"/>
          <w:sz w:val="24"/>
          <w:szCs w:val="24"/>
        </w:rPr>
        <w:t>5</w:t>
      </w:r>
      <w:r w:rsidRPr="00B31292">
        <w:rPr>
          <w:rFonts w:ascii="Garamond" w:hAnsi="Garamond" w:cs="Times New Roman"/>
          <w:sz w:val="24"/>
          <w:szCs w:val="24"/>
        </w:rPr>
        <w:t>.</w:t>
      </w:r>
    </w:p>
    <w:p w14:paraId="02531DC9" w14:textId="4C513FD0" w:rsidR="00AB22B8" w:rsidRPr="00B31292" w:rsidRDefault="00AB22B8" w:rsidP="003A4DBA">
      <w:pPr>
        <w:shd w:val="clear" w:color="auto" w:fill="FFFFFF" w:themeFill="background1"/>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Plani Vjetor 202</w:t>
      </w:r>
      <w:r w:rsidR="0054448B" w:rsidRPr="00B31292">
        <w:rPr>
          <w:rFonts w:ascii="Garamond" w:hAnsi="Garamond" w:cs="Times New Roman"/>
          <w:sz w:val="24"/>
          <w:szCs w:val="24"/>
        </w:rPr>
        <w:t>5</w:t>
      </w:r>
      <w:r w:rsidRPr="00B31292">
        <w:rPr>
          <w:rFonts w:ascii="Garamond" w:hAnsi="Garamond" w:cs="Times New Roman"/>
          <w:sz w:val="24"/>
          <w:szCs w:val="24"/>
        </w:rPr>
        <w:t xml:space="preserve"> është në përputhje me dokumentin e ngjashëm, i cili aplikohet nga vendet e tjera</w:t>
      </w:r>
      <w:r w:rsidR="006F26D5" w:rsidRPr="00B31292">
        <w:rPr>
          <w:rFonts w:ascii="Garamond" w:hAnsi="Garamond" w:cs="Times New Roman"/>
          <w:sz w:val="24"/>
          <w:szCs w:val="24"/>
        </w:rPr>
        <w:t>,</w:t>
      </w:r>
      <w:r w:rsidRPr="00B31292">
        <w:rPr>
          <w:rFonts w:ascii="Garamond" w:hAnsi="Garamond" w:cs="Times New Roman"/>
          <w:sz w:val="24"/>
          <w:szCs w:val="24"/>
        </w:rPr>
        <w:t xml:space="preserve"> anëtare të BE-së, mbështetur në nenin 17</w:t>
      </w:r>
      <w:r w:rsidR="002277EC" w:rsidRPr="00B31292">
        <w:rPr>
          <w:rFonts w:ascii="Garamond" w:hAnsi="Garamond" w:cs="Times New Roman"/>
          <w:sz w:val="24"/>
          <w:szCs w:val="24"/>
        </w:rPr>
        <w:t>,</w:t>
      </w:r>
      <w:r w:rsidRPr="00B31292">
        <w:rPr>
          <w:rFonts w:ascii="Garamond" w:hAnsi="Garamond" w:cs="Times New Roman"/>
          <w:sz w:val="24"/>
          <w:szCs w:val="24"/>
        </w:rPr>
        <w:t xml:space="preserve"> të </w:t>
      </w:r>
      <w:r w:rsidR="00863E96" w:rsidRPr="00B31292">
        <w:rPr>
          <w:rFonts w:ascii="Garamond" w:hAnsi="Garamond" w:cs="Times New Roman"/>
          <w:sz w:val="24"/>
          <w:szCs w:val="24"/>
        </w:rPr>
        <w:t xml:space="preserve">rregullores </w:t>
      </w:r>
      <w:r w:rsidRPr="00B31292">
        <w:rPr>
          <w:rFonts w:ascii="Garamond" w:hAnsi="Garamond" w:cs="Times New Roman"/>
          <w:sz w:val="24"/>
          <w:szCs w:val="24"/>
        </w:rPr>
        <w:t>(KE) 223/2009</w:t>
      </w:r>
      <w:r w:rsidR="002277EC" w:rsidRPr="00B31292">
        <w:rPr>
          <w:rFonts w:ascii="Garamond" w:hAnsi="Garamond" w:cs="Times New Roman"/>
          <w:sz w:val="24"/>
          <w:szCs w:val="24"/>
        </w:rPr>
        <w:t>,</w:t>
      </w:r>
      <w:r w:rsidRPr="00B31292">
        <w:rPr>
          <w:rFonts w:ascii="Garamond" w:hAnsi="Garamond" w:cs="Times New Roman"/>
          <w:sz w:val="24"/>
          <w:szCs w:val="24"/>
        </w:rPr>
        <w:t xml:space="preserve"> të Parlamentit Evropian dhe të Këshillit, datë 11 mars 2009</w:t>
      </w:r>
      <w:r w:rsidR="002277EC" w:rsidRPr="00B31292">
        <w:rPr>
          <w:rFonts w:ascii="Garamond" w:hAnsi="Garamond" w:cs="Times New Roman"/>
          <w:sz w:val="24"/>
          <w:szCs w:val="24"/>
        </w:rPr>
        <w:t>,</w:t>
      </w:r>
      <w:r w:rsidRPr="00B31292">
        <w:rPr>
          <w:rFonts w:ascii="Garamond" w:hAnsi="Garamond" w:cs="Times New Roman"/>
          <w:sz w:val="24"/>
          <w:szCs w:val="24"/>
        </w:rPr>
        <w:t xml:space="preserve"> </w:t>
      </w:r>
      <w:r w:rsidR="002277EC" w:rsidRPr="00B31292">
        <w:rPr>
          <w:rFonts w:ascii="Garamond" w:hAnsi="Garamond" w:cs="Times New Roman"/>
          <w:sz w:val="24"/>
          <w:szCs w:val="24"/>
        </w:rPr>
        <w:t>m</w:t>
      </w:r>
      <w:r w:rsidRPr="00B31292">
        <w:rPr>
          <w:rFonts w:ascii="Garamond" w:hAnsi="Garamond" w:cs="Times New Roman"/>
          <w:sz w:val="24"/>
          <w:szCs w:val="24"/>
        </w:rPr>
        <w:t xml:space="preserve">bi statistikat evropiane, e cila shfuqizon Rregulloren (KE, Euroatom) </w:t>
      </w:r>
      <w:r w:rsidR="002277EC" w:rsidRPr="00B31292">
        <w:rPr>
          <w:rFonts w:ascii="Garamond" w:hAnsi="Garamond" w:cs="Times New Roman"/>
          <w:sz w:val="24"/>
          <w:szCs w:val="24"/>
        </w:rPr>
        <w:t>n</w:t>
      </w:r>
      <w:r w:rsidRPr="00B31292">
        <w:rPr>
          <w:rFonts w:ascii="Garamond" w:hAnsi="Garamond" w:cs="Times New Roman"/>
          <w:sz w:val="24"/>
          <w:szCs w:val="24"/>
        </w:rPr>
        <w:t>r. 1101/2008</w:t>
      </w:r>
      <w:r w:rsidR="002277EC" w:rsidRPr="00B31292">
        <w:rPr>
          <w:rFonts w:ascii="Garamond" w:hAnsi="Garamond" w:cs="Times New Roman"/>
          <w:sz w:val="24"/>
          <w:szCs w:val="24"/>
        </w:rPr>
        <w:t>,</w:t>
      </w:r>
      <w:r w:rsidRPr="00B31292">
        <w:rPr>
          <w:rFonts w:ascii="Garamond" w:hAnsi="Garamond" w:cs="Times New Roman"/>
          <w:sz w:val="24"/>
          <w:szCs w:val="24"/>
        </w:rPr>
        <w:t xml:space="preserve"> të Parlamentit </w:t>
      </w:r>
      <w:r w:rsidR="002277EC" w:rsidRPr="00B31292">
        <w:rPr>
          <w:rFonts w:ascii="Garamond" w:hAnsi="Garamond" w:cs="Times New Roman"/>
          <w:sz w:val="24"/>
          <w:szCs w:val="24"/>
        </w:rPr>
        <w:t>Evropian</w:t>
      </w:r>
      <w:r w:rsidRPr="00B31292">
        <w:rPr>
          <w:rFonts w:ascii="Garamond" w:hAnsi="Garamond" w:cs="Times New Roman"/>
          <w:sz w:val="24"/>
          <w:szCs w:val="24"/>
        </w:rPr>
        <w:t xml:space="preserve"> dhe të Këshillit</w:t>
      </w:r>
      <w:r w:rsidR="002277EC" w:rsidRPr="00B31292">
        <w:rPr>
          <w:rFonts w:ascii="Garamond" w:hAnsi="Garamond" w:cs="Times New Roman"/>
          <w:sz w:val="24"/>
          <w:szCs w:val="24"/>
        </w:rPr>
        <w:t>,</w:t>
      </w:r>
      <w:r w:rsidRPr="00B31292">
        <w:rPr>
          <w:rFonts w:ascii="Garamond" w:hAnsi="Garamond" w:cs="Times New Roman"/>
          <w:sz w:val="24"/>
          <w:szCs w:val="24"/>
        </w:rPr>
        <w:t xml:space="preserve"> mbi dërgimin e të dhënave, të cilat i nënshtrohen konfidencialitetit statistikor, Zyrës Statistikore të Komuniteteve Evropiane, Rregullore</w:t>
      </w:r>
      <w:r w:rsidR="00491903" w:rsidRPr="00B31292">
        <w:rPr>
          <w:rFonts w:ascii="Garamond" w:hAnsi="Garamond" w:cs="Times New Roman"/>
          <w:sz w:val="24"/>
          <w:szCs w:val="24"/>
        </w:rPr>
        <w:t>s</w:t>
      </w:r>
      <w:r w:rsidRPr="00B31292">
        <w:rPr>
          <w:rFonts w:ascii="Garamond" w:hAnsi="Garamond" w:cs="Times New Roman"/>
          <w:sz w:val="24"/>
          <w:szCs w:val="24"/>
        </w:rPr>
        <w:t xml:space="preserve"> </w:t>
      </w:r>
      <w:r w:rsidR="00491903" w:rsidRPr="00B31292">
        <w:rPr>
          <w:rFonts w:ascii="Garamond" w:hAnsi="Garamond" w:cs="Times New Roman"/>
          <w:sz w:val="24"/>
          <w:szCs w:val="24"/>
        </w:rPr>
        <w:t>së</w:t>
      </w:r>
      <w:r w:rsidRPr="00B31292">
        <w:rPr>
          <w:rFonts w:ascii="Garamond" w:hAnsi="Garamond" w:cs="Times New Roman"/>
          <w:sz w:val="24"/>
          <w:szCs w:val="24"/>
        </w:rPr>
        <w:t xml:space="preserve"> Këshillit (KE) </w:t>
      </w:r>
      <w:r w:rsidR="002277EC" w:rsidRPr="00B31292">
        <w:rPr>
          <w:rFonts w:ascii="Garamond" w:hAnsi="Garamond" w:cs="Times New Roman"/>
          <w:sz w:val="24"/>
          <w:szCs w:val="24"/>
        </w:rPr>
        <w:t>n</w:t>
      </w:r>
      <w:r w:rsidRPr="00B31292">
        <w:rPr>
          <w:rFonts w:ascii="Garamond" w:hAnsi="Garamond" w:cs="Times New Roman"/>
          <w:sz w:val="24"/>
          <w:szCs w:val="24"/>
        </w:rPr>
        <w:t xml:space="preserve">r. 322/97, </w:t>
      </w:r>
      <w:r w:rsidR="002277EC" w:rsidRPr="00B31292">
        <w:rPr>
          <w:rFonts w:ascii="Garamond" w:hAnsi="Garamond" w:cs="Times New Roman"/>
          <w:sz w:val="24"/>
          <w:szCs w:val="24"/>
        </w:rPr>
        <w:t>m</w:t>
      </w:r>
      <w:r w:rsidRPr="00B31292">
        <w:rPr>
          <w:rFonts w:ascii="Garamond" w:hAnsi="Garamond" w:cs="Times New Roman"/>
          <w:sz w:val="24"/>
          <w:szCs w:val="24"/>
        </w:rPr>
        <w:t xml:space="preserve">bi Statistikat e Komunitetit dhe </w:t>
      </w:r>
      <w:r w:rsidR="002277EC" w:rsidRPr="00B31292">
        <w:rPr>
          <w:rFonts w:ascii="Garamond" w:hAnsi="Garamond" w:cs="Times New Roman"/>
          <w:sz w:val="24"/>
          <w:szCs w:val="24"/>
        </w:rPr>
        <w:t>v</w:t>
      </w:r>
      <w:r w:rsidRPr="00B31292">
        <w:rPr>
          <w:rFonts w:ascii="Garamond" w:hAnsi="Garamond" w:cs="Times New Roman"/>
          <w:sz w:val="24"/>
          <w:szCs w:val="24"/>
        </w:rPr>
        <w:t xml:space="preserve">endimin e Këshillit 89/382/EEC, Euroatom për krijimin e një komisioni mbi programet statistikore të Komuniteteve Evropiane. </w:t>
      </w:r>
    </w:p>
    <w:p w14:paraId="49AA5474" w14:textId="02D74660" w:rsidR="00AB22B8" w:rsidRPr="00B31292" w:rsidRDefault="00AB22B8" w:rsidP="003A4DBA">
      <w:pPr>
        <w:shd w:val="clear" w:color="auto" w:fill="FFFFFF" w:themeFill="background1"/>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 xml:space="preserve">Legjislacioni shqiptar për statistikat zyrtare parashikon </w:t>
      </w:r>
      <w:r w:rsidR="002277EC" w:rsidRPr="00B31292">
        <w:rPr>
          <w:rFonts w:ascii="Garamond" w:hAnsi="Garamond" w:cs="Times New Roman"/>
          <w:sz w:val="24"/>
          <w:szCs w:val="24"/>
        </w:rPr>
        <w:t>instrumentet</w:t>
      </w:r>
      <w:r w:rsidRPr="00B31292">
        <w:rPr>
          <w:rFonts w:ascii="Garamond" w:hAnsi="Garamond" w:cs="Times New Roman"/>
          <w:sz w:val="24"/>
          <w:szCs w:val="24"/>
        </w:rPr>
        <w:t xml:space="preserve"> e monitorimit të </w:t>
      </w:r>
      <w:r w:rsidR="00E84D32" w:rsidRPr="00B31292">
        <w:rPr>
          <w:rFonts w:ascii="Garamond" w:hAnsi="Garamond" w:cs="Times New Roman"/>
          <w:sz w:val="24"/>
          <w:szCs w:val="24"/>
        </w:rPr>
        <w:t xml:space="preserve">zbatimit të </w:t>
      </w:r>
      <w:r w:rsidRPr="00B31292">
        <w:rPr>
          <w:rFonts w:ascii="Garamond" w:hAnsi="Garamond" w:cs="Times New Roman"/>
          <w:sz w:val="24"/>
          <w:szCs w:val="24"/>
        </w:rPr>
        <w:t xml:space="preserve">Planit Vjetor. Drejtori i </w:t>
      </w:r>
      <w:r w:rsidR="002277EC" w:rsidRPr="00B31292">
        <w:rPr>
          <w:rFonts w:ascii="Garamond" w:hAnsi="Garamond" w:cs="Times New Roman"/>
          <w:sz w:val="24"/>
          <w:szCs w:val="24"/>
        </w:rPr>
        <w:t xml:space="preserve">përgjithshëm </w:t>
      </w:r>
      <w:r w:rsidRPr="00B31292">
        <w:rPr>
          <w:rFonts w:ascii="Garamond" w:hAnsi="Garamond" w:cs="Times New Roman"/>
          <w:sz w:val="24"/>
          <w:szCs w:val="24"/>
        </w:rPr>
        <w:t>i INSTAT</w:t>
      </w:r>
      <w:r w:rsidR="002277EC" w:rsidRPr="00B31292">
        <w:rPr>
          <w:rFonts w:ascii="Garamond" w:hAnsi="Garamond" w:cs="Times New Roman"/>
          <w:sz w:val="24"/>
          <w:szCs w:val="24"/>
        </w:rPr>
        <w:t>-it</w:t>
      </w:r>
      <w:r w:rsidR="00E66333" w:rsidRPr="00B31292">
        <w:rPr>
          <w:rFonts w:ascii="Garamond" w:hAnsi="Garamond" w:cs="Times New Roman"/>
          <w:sz w:val="24"/>
          <w:szCs w:val="24"/>
        </w:rPr>
        <w:t xml:space="preserve"> duhet </w:t>
      </w:r>
      <w:r w:rsidR="00E84D32" w:rsidRPr="00B31292">
        <w:rPr>
          <w:rFonts w:ascii="Garamond" w:hAnsi="Garamond" w:cs="Times New Roman"/>
          <w:sz w:val="24"/>
          <w:szCs w:val="24"/>
        </w:rPr>
        <w:t>t’i paraqes</w:t>
      </w:r>
      <w:r w:rsidR="00636179" w:rsidRPr="00B31292">
        <w:rPr>
          <w:rFonts w:ascii="Garamond" w:hAnsi="Garamond" w:cs="Times New Roman"/>
          <w:sz w:val="24"/>
          <w:szCs w:val="24"/>
        </w:rPr>
        <w:t>ë</w:t>
      </w:r>
      <w:r w:rsidRPr="00B31292">
        <w:rPr>
          <w:rFonts w:ascii="Garamond" w:hAnsi="Garamond" w:cs="Times New Roman"/>
          <w:sz w:val="24"/>
          <w:szCs w:val="24"/>
        </w:rPr>
        <w:t xml:space="preserve"> Këshillit t</w:t>
      </w:r>
      <w:r w:rsidR="00E84D32" w:rsidRPr="00B31292">
        <w:rPr>
          <w:rFonts w:ascii="Garamond" w:hAnsi="Garamond" w:cs="Times New Roman"/>
          <w:sz w:val="24"/>
          <w:szCs w:val="24"/>
        </w:rPr>
        <w:t>ë Statistikave raporte 4-mujore</w:t>
      </w:r>
      <w:r w:rsidRPr="00B31292">
        <w:rPr>
          <w:rFonts w:ascii="Garamond" w:hAnsi="Garamond" w:cs="Times New Roman"/>
          <w:sz w:val="24"/>
          <w:szCs w:val="24"/>
        </w:rPr>
        <w:t>, ndër</w:t>
      </w:r>
      <w:r w:rsidR="00E84D32" w:rsidRPr="00B31292">
        <w:rPr>
          <w:rFonts w:ascii="Garamond" w:hAnsi="Garamond" w:cs="Times New Roman"/>
          <w:sz w:val="24"/>
          <w:szCs w:val="24"/>
        </w:rPr>
        <w:t>sa</w:t>
      </w:r>
      <w:r w:rsidRPr="00B31292">
        <w:rPr>
          <w:rFonts w:ascii="Garamond" w:hAnsi="Garamond" w:cs="Times New Roman"/>
          <w:sz w:val="24"/>
          <w:szCs w:val="24"/>
        </w:rPr>
        <w:t xml:space="preserve"> Kuvendi i Shqipërisë diskuton raportin vjetor të </w:t>
      </w:r>
      <w:r w:rsidR="00E84D32" w:rsidRPr="00B31292">
        <w:rPr>
          <w:rFonts w:ascii="Garamond" w:hAnsi="Garamond" w:cs="Times New Roman"/>
          <w:sz w:val="24"/>
          <w:szCs w:val="24"/>
        </w:rPr>
        <w:t>ecuris</w:t>
      </w:r>
      <w:r w:rsidR="00636179" w:rsidRPr="00B31292">
        <w:rPr>
          <w:rFonts w:ascii="Garamond" w:hAnsi="Garamond" w:cs="Times New Roman"/>
          <w:sz w:val="24"/>
          <w:szCs w:val="24"/>
        </w:rPr>
        <w:t>ë</w:t>
      </w:r>
      <w:r w:rsidR="00E84D32" w:rsidRPr="00B31292">
        <w:rPr>
          <w:rFonts w:ascii="Garamond" w:hAnsi="Garamond" w:cs="Times New Roman"/>
          <w:sz w:val="24"/>
          <w:szCs w:val="24"/>
        </w:rPr>
        <w:t xml:space="preserve"> s</w:t>
      </w:r>
      <w:r w:rsidR="00636179" w:rsidRPr="00B31292">
        <w:rPr>
          <w:rFonts w:ascii="Garamond" w:hAnsi="Garamond" w:cs="Times New Roman"/>
          <w:sz w:val="24"/>
          <w:szCs w:val="24"/>
        </w:rPr>
        <w:t>ë</w:t>
      </w:r>
      <w:r w:rsidR="00E84D32" w:rsidRPr="00B31292">
        <w:rPr>
          <w:rFonts w:ascii="Garamond" w:hAnsi="Garamond" w:cs="Times New Roman"/>
          <w:sz w:val="24"/>
          <w:szCs w:val="24"/>
        </w:rPr>
        <w:t xml:space="preserve"> Planit Vjetor</w:t>
      </w:r>
      <w:r w:rsidR="002E2911" w:rsidRPr="00B31292">
        <w:rPr>
          <w:rFonts w:ascii="Garamond" w:hAnsi="Garamond" w:cs="Times New Roman"/>
          <w:sz w:val="24"/>
          <w:szCs w:val="24"/>
        </w:rPr>
        <w:t xml:space="preserve"> </w:t>
      </w:r>
      <w:r w:rsidR="00E66333" w:rsidRPr="00B31292">
        <w:rPr>
          <w:rFonts w:ascii="Garamond" w:hAnsi="Garamond" w:cs="Times New Roman"/>
          <w:sz w:val="24"/>
          <w:szCs w:val="24"/>
        </w:rPr>
        <w:t xml:space="preserve">mbi </w:t>
      </w:r>
      <w:r w:rsidR="00E84D32" w:rsidRPr="00B31292">
        <w:rPr>
          <w:rFonts w:ascii="Garamond" w:hAnsi="Garamond" w:cs="Times New Roman"/>
          <w:sz w:val="24"/>
          <w:szCs w:val="24"/>
        </w:rPr>
        <w:t>veprimtarin</w:t>
      </w:r>
      <w:r w:rsidR="00636179" w:rsidRPr="00B31292">
        <w:rPr>
          <w:rFonts w:ascii="Garamond" w:hAnsi="Garamond" w:cs="Times New Roman"/>
          <w:sz w:val="24"/>
          <w:szCs w:val="24"/>
        </w:rPr>
        <w:t>ë</w:t>
      </w:r>
      <w:r w:rsidR="00E84D32" w:rsidRPr="00B31292">
        <w:rPr>
          <w:rFonts w:ascii="Garamond" w:hAnsi="Garamond" w:cs="Times New Roman"/>
          <w:sz w:val="24"/>
          <w:szCs w:val="24"/>
        </w:rPr>
        <w:t xml:space="preserve"> e </w:t>
      </w:r>
      <w:r w:rsidRPr="00B31292">
        <w:rPr>
          <w:rFonts w:ascii="Garamond" w:hAnsi="Garamond" w:cs="Times New Roman"/>
          <w:sz w:val="24"/>
          <w:szCs w:val="24"/>
        </w:rPr>
        <w:t>INSTAT</w:t>
      </w:r>
      <w:r w:rsidR="00E84D32" w:rsidRPr="00B31292">
        <w:rPr>
          <w:rFonts w:ascii="Garamond" w:hAnsi="Garamond" w:cs="Times New Roman"/>
          <w:sz w:val="24"/>
          <w:szCs w:val="24"/>
        </w:rPr>
        <w:t>-it</w:t>
      </w:r>
      <w:r w:rsidRPr="00B31292">
        <w:rPr>
          <w:rFonts w:ascii="Garamond" w:hAnsi="Garamond" w:cs="Times New Roman"/>
          <w:sz w:val="24"/>
          <w:szCs w:val="24"/>
        </w:rPr>
        <w:t xml:space="preserve"> dhe Sistemit </w:t>
      </w:r>
      <w:r w:rsidR="00E84D32" w:rsidRPr="00B31292">
        <w:rPr>
          <w:rFonts w:ascii="Garamond" w:hAnsi="Garamond" w:cs="Times New Roman"/>
          <w:sz w:val="24"/>
          <w:szCs w:val="24"/>
        </w:rPr>
        <w:t xml:space="preserve">Kombëtar </w:t>
      </w:r>
      <w:r w:rsidRPr="00B31292">
        <w:rPr>
          <w:rFonts w:ascii="Garamond" w:hAnsi="Garamond" w:cs="Times New Roman"/>
          <w:sz w:val="24"/>
          <w:szCs w:val="24"/>
        </w:rPr>
        <w:t>Statistikor. Instrument</w:t>
      </w:r>
      <w:r w:rsidR="0091510C" w:rsidRPr="00B31292">
        <w:rPr>
          <w:rFonts w:ascii="Garamond" w:hAnsi="Garamond" w:cs="Times New Roman"/>
          <w:sz w:val="24"/>
          <w:szCs w:val="24"/>
        </w:rPr>
        <w:t>e</w:t>
      </w:r>
      <w:r w:rsidRPr="00B31292">
        <w:rPr>
          <w:rFonts w:ascii="Garamond" w:hAnsi="Garamond" w:cs="Times New Roman"/>
          <w:sz w:val="24"/>
          <w:szCs w:val="24"/>
        </w:rPr>
        <w:t xml:space="preserve"> të tjera monitoruese të rëndësishme janë ndjekja e rekomandimeve të dala nga raportet </w:t>
      </w:r>
      <w:r w:rsidRPr="00B31292">
        <w:rPr>
          <w:rFonts w:ascii="Garamond" w:hAnsi="Garamond" w:cs="Times New Roman"/>
          <w:i/>
          <w:sz w:val="24"/>
          <w:szCs w:val="24"/>
        </w:rPr>
        <w:t>Peer Review</w:t>
      </w:r>
      <w:r w:rsidRPr="00B31292">
        <w:rPr>
          <w:rFonts w:ascii="Garamond" w:hAnsi="Garamond" w:cs="Times New Roman"/>
          <w:sz w:val="24"/>
          <w:szCs w:val="24"/>
        </w:rPr>
        <w:t xml:space="preserve"> dhe </w:t>
      </w:r>
      <w:r w:rsidRPr="00B31292">
        <w:rPr>
          <w:rFonts w:ascii="Garamond" w:hAnsi="Garamond" w:cs="Times New Roman"/>
          <w:sz w:val="24"/>
          <w:szCs w:val="24"/>
        </w:rPr>
        <w:lastRenderedPageBreak/>
        <w:t xml:space="preserve">raportet vjetore të BE-së për ecurinë e nivelit të përputhshmërisë së </w:t>
      </w:r>
      <w:r w:rsidR="00F63D59" w:rsidRPr="00B31292">
        <w:rPr>
          <w:rFonts w:ascii="Garamond" w:hAnsi="Garamond" w:cs="Times New Roman"/>
          <w:sz w:val="24"/>
          <w:szCs w:val="24"/>
        </w:rPr>
        <w:t xml:space="preserve">kapitullit </w:t>
      </w:r>
      <w:r w:rsidRPr="00B31292">
        <w:rPr>
          <w:rFonts w:ascii="Garamond" w:hAnsi="Garamond" w:cs="Times New Roman"/>
          <w:sz w:val="24"/>
          <w:szCs w:val="24"/>
        </w:rPr>
        <w:t xml:space="preserve">18 </w:t>
      </w:r>
      <w:r w:rsidR="00BA12C3" w:rsidRPr="00B31292">
        <w:rPr>
          <w:rFonts w:ascii="Garamond" w:hAnsi="Garamond" w:cs="Times New Roman"/>
          <w:sz w:val="24"/>
          <w:szCs w:val="24"/>
        </w:rPr>
        <w:t>“</w:t>
      </w:r>
      <w:r w:rsidRPr="00B31292">
        <w:rPr>
          <w:rFonts w:ascii="Garamond" w:hAnsi="Garamond" w:cs="Times New Roman"/>
          <w:sz w:val="24"/>
          <w:szCs w:val="24"/>
        </w:rPr>
        <w:t>Statistikat</w:t>
      </w:r>
      <w:r w:rsidR="00BA12C3" w:rsidRPr="00B31292">
        <w:rPr>
          <w:rFonts w:ascii="Garamond" w:hAnsi="Garamond" w:cs="Times New Roman"/>
          <w:sz w:val="24"/>
          <w:szCs w:val="24"/>
        </w:rPr>
        <w:t>”</w:t>
      </w:r>
      <w:r w:rsidRPr="00B31292">
        <w:rPr>
          <w:rFonts w:ascii="Garamond" w:hAnsi="Garamond" w:cs="Times New Roman"/>
          <w:sz w:val="24"/>
          <w:szCs w:val="24"/>
        </w:rPr>
        <w:t xml:space="preserve"> në vendin tonë.</w:t>
      </w:r>
    </w:p>
    <w:p w14:paraId="2676B4F8" w14:textId="7B8419F1" w:rsidR="00AB22B8" w:rsidRPr="00B31292" w:rsidRDefault="00E84D32" w:rsidP="003A4DBA">
      <w:pPr>
        <w:shd w:val="clear" w:color="auto" w:fill="FFFFFF" w:themeFill="background1"/>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Për të rritur transparencën dhe besueshmërinë e publikut në statistikat zyrtare, përveç botimit në Fletoren Zyrtare, Plani Vjetor publikohet edhe në faqen zyrtare të INSTAT-it. Gjithashtu, në faqen elektronike zyrtare publikohen</w:t>
      </w:r>
      <w:r w:rsidR="00E1678C" w:rsidRPr="00B31292">
        <w:rPr>
          <w:rFonts w:ascii="Garamond" w:hAnsi="Garamond" w:cs="Times New Roman"/>
          <w:sz w:val="24"/>
          <w:szCs w:val="24"/>
        </w:rPr>
        <w:t xml:space="preserve"> </w:t>
      </w:r>
      <w:r w:rsidRPr="00B31292">
        <w:rPr>
          <w:rFonts w:ascii="Garamond" w:hAnsi="Garamond" w:cs="Times New Roman"/>
          <w:sz w:val="24"/>
          <w:szCs w:val="24"/>
        </w:rPr>
        <w:t xml:space="preserve">raportet </w:t>
      </w:r>
      <w:r w:rsidR="00491903" w:rsidRPr="00B31292">
        <w:rPr>
          <w:rFonts w:ascii="Garamond" w:hAnsi="Garamond" w:cs="Times New Roman"/>
          <w:sz w:val="24"/>
          <w:szCs w:val="24"/>
        </w:rPr>
        <w:t>4-mujore</w:t>
      </w:r>
      <w:r w:rsidRPr="00B31292">
        <w:rPr>
          <w:rFonts w:ascii="Garamond" w:hAnsi="Garamond" w:cs="Times New Roman"/>
          <w:sz w:val="24"/>
          <w:szCs w:val="24"/>
        </w:rPr>
        <w:t xml:space="preserve"> për zbatimin e planit.</w:t>
      </w:r>
    </w:p>
    <w:p w14:paraId="09164252" w14:textId="1DF94E9A" w:rsidR="00AB22B8" w:rsidRPr="00B31292" w:rsidRDefault="00AB22B8" w:rsidP="003A4DBA">
      <w:pPr>
        <w:pStyle w:val="Heading1"/>
        <w:shd w:val="clear" w:color="auto" w:fill="FFFFFF" w:themeFill="background1"/>
        <w:spacing w:before="0" w:line="240" w:lineRule="auto"/>
        <w:ind w:firstLine="284"/>
        <w:rPr>
          <w:rStyle w:val="Heading2Char"/>
          <w:rFonts w:ascii="Garamond" w:hAnsi="Garamond" w:cs="Times New Roman"/>
          <w:b/>
          <w:bCs/>
          <w:noProof w:val="0"/>
          <w:color w:val="auto"/>
          <w:sz w:val="24"/>
          <w:szCs w:val="24"/>
        </w:rPr>
      </w:pPr>
      <w:bookmarkStart w:id="2" w:name="_Toc182991969"/>
      <w:r w:rsidRPr="00B31292">
        <w:rPr>
          <w:rStyle w:val="Heading2Char"/>
          <w:rFonts w:ascii="Garamond" w:hAnsi="Garamond" w:cs="Times New Roman"/>
          <w:b/>
          <w:bCs/>
          <w:noProof w:val="0"/>
          <w:color w:val="auto"/>
          <w:sz w:val="24"/>
          <w:szCs w:val="24"/>
        </w:rPr>
        <w:t xml:space="preserve">III. Objektivat </w:t>
      </w:r>
      <w:r w:rsidR="0077004D">
        <w:rPr>
          <w:rStyle w:val="Heading2Char"/>
          <w:rFonts w:ascii="Garamond" w:hAnsi="Garamond" w:cs="Times New Roman"/>
          <w:b/>
          <w:bCs/>
          <w:noProof w:val="0"/>
          <w:color w:val="auto"/>
          <w:sz w:val="24"/>
          <w:szCs w:val="24"/>
        </w:rPr>
        <w:t>z</w:t>
      </w:r>
      <w:r w:rsidRPr="00B31292">
        <w:rPr>
          <w:rStyle w:val="Heading2Char"/>
          <w:rFonts w:ascii="Garamond" w:hAnsi="Garamond" w:cs="Times New Roman"/>
          <w:b/>
          <w:bCs/>
          <w:noProof w:val="0"/>
          <w:color w:val="auto"/>
          <w:sz w:val="24"/>
          <w:szCs w:val="24"/>
        </w:rPr>
        <w:t>hvillimorë</w:t>
      </w:r>
      <w:bookmarkEnd w:id="2"/>
    </w:p>
    <w:p w14:paraId="35FB0221" w14:textId="786ED0F5" w:rsidR="00AB22B8" w:rsidRPr="00B31292" w:rsidRDefault="00AB22B8" w:rsidP="003A4DBA">
      <w:pPr>
        <w:shd w:val="clear" w:color="auto" w:fill="FFFFFF" w:themeFill="background1"/>
        <w:tabs>
          <w:tab w:val="left" w:pos="720"/>
        </w:tabs>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 xml:space="preserve">Objektivat zhvillimorë të Sistemit Kombëtar Statistikor, të parashikuar në Programin e Statistikave Zyrtare </w:t>
      </w:r>
      <w:r w:rsidR="002277EC" w:rsidRPr="00B31292">
        <w:rPr>
          <w:rFonts w:ascii="Garamond" w:hAnsi="Garamond" w:cs="Times New Roman"/>
          <w:sz w:val="24"/>
          <w:szCs w:val="24"/>
        </w:rPr>
        <w:t>2022–2026</w:t>
      </w:r>
      <w:r w:rsidRPr="00B31292">
        <w:rPr>
          <w:rFonts w:ascii="Garamond" w:hAnsi="Garamond" w:cs="Times New Roman"/>
          <w:sz w:val="24"/>
          <w:szCs w:val="24"/>
        </w:rPr>
        <w:t xml:space="preserve"> dhe masat prioritare janë:</w:t>
      </w:r>
    </w:p>
    <w:p w14:paraId="460BDF69" w14:textId="705072DA" w:rsidR="00636179" w:rsidRPr="00B31292" w:rsidRDefault="00D87FF8" w:rsidP="003A4DBA">
      <w:pPr>
        <w:shd w:val="clear" w:color="auto" w:fill="FFFFFF" w:themeFill="background1"/>
        <w:tabs>
          <w:tab w:val="left" w:pos="720"/>
        </w:tabs>
        <w:spacing w:after="0" w:line="240" w:lineRule="auto"/>
        <w:ind w:firstLine="284"/>
        <w:jc w:val="both"/>
        <w:rPr>
          <w:rFonts w:ascii="Garamond" w:hAnsi="Garamond" w:cs="Times New Roman"/>
          <w:sz w:val="24"/>
          <w:szCs w:val="24"/>
        </w:rPr>
      </w:pPr>
      <w:r w:rsidRPr="00B31292">
        <w:rPr>
          <w:rFonts w:ascii="Garamond" w:hAnsi="Garamond" w:cs="Times New Roman"/>
          <w:noProof/>
          <w:sz w:val="24"/>
          <w:szCs w:val="24"/>
          <w:lang w:val="en-US"/>
        </w:rPr>
        <w:drawing>
          <wp:inline distT="0" distB="0" distL="0" distR="0" wp14:anchorId="1107D00D" wp14:editId="0658A48C">
            <wp:extent cx="5727700" cy="6627495"/>
            <wp:effectExtent l="0" t="0" r="635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27700" cy="6627495"/>
                    </a:xfrm>
                    <a:prstGeom prst="rect">
                      <a:avLst/>
                    </a:prstGeom>
                    <a:noFill/>
                    <a:ln>
                      <a:noFill/>
                    </a:ln>
                  </pic:spPr>
                </pic:pic>
              </a:graphicData>
            </a:graphic>
          </wp:inline>
        </w:drawing>
      </w:r>
    </w:p>
    <w:p w14:paraId="50869D7B" w14:textId="6C134BAC" w:rsidR="00AB22B8" w:rsidRPr="00B31292" w:rsidRDefault="00AB22B8" w:rsidP="003A4DBA">
      <w:pPr>
        <w:shd w:val="clear" w:color="auto" w:fill="FFFFFF" w:themeFill="background1"/>
        <w:spacing w:after="0" w:line="240" w:lineRule="auto"/>
        <w:ind w:firstLine="284"/>
        <w:jc w:val="both"/>
        <w:rPr>
          <w:rFonts w:ascii="Garamond" w:hAnsi="Garamond"/>
          <w:sz w:val="24"/>
          <w:szCs w:val="24"/>
        </w:rPr>
      </w:pPr>
      <w:r w:rsidRPr="00B31292">
        <w:rPr>
          <w:rFonts w:ascii="Garamond" w:hAnsi="Garamond"/>
          <w:sz w:val="24"/>
          <w:szCs w:val="24"/>
        </w:rPr>
        <w:t>Për të matur performancën e Sistemit Kombëtar Statistikor në drejtim të zbatimit të këtyre objektivave</w:t>
      </w:r>
      <w:r w:rsidR="000C1181" w:rsidRPr="00B31292">
        <w:rPr>
          <w:rFonts w:ascii="Garamond" w:hAnsi="Garamond"/>
          <w:sz w:val="24"/>
          <w:szCs w:val="24"/>
        </w:rPr>
        <w:t xml:space="preserve"> </w:t>
      </w:r>
      <w:r w:rsidRPr="00B31292">
        <w:rPr>
          <w:rFonts w:ascii="Garamond" w:hAnsi="Garamond"/>
          <w:sz w:val="24"/>
          <w:szCs w:val="24"/>
        </w:rPr>
        <w:t xml:space="preserve">dhe në përputhje me parashikimet e Programit të Statistikave Zyrtare </w:t>
      </w:r>
      <w:r w:rsidR="002277EC" w:rsidRPr="00B31292">
        <w:rPr>
          <w:rFonts w:ascii="Garamond" w:hAnsi="Garamond"/>
          <w:sz w:val="24"/>
          <w:szCs w:val="24"/>
        </w:rPr>
        <w:t>2022–2026</w:t>
      </w:r>
      <w:r w:rsidRPr="00B31292">
        <w:rPr>
          <w:rFonts w:ascii="Garamond" w:hAnsi="Garamond"/>
          <w:sz w:val="24"/>
          <w:szCs w:val="24"/>
        </w:rPr>
        <w:t>, janë përcaktuar</w:t>
      </w:r>
      <w:r w:rsidR="00DB39F6" w:rsidRPr="00B31292">
        <w:rPr>
          <w:rFonts w:ascii="Garamond" w:hAnsi="Garamond"/>
          <w:sz w:val="24"/>
          <w:szCs w:val="24"/>
        </w:rPr>
        <w:t xml:space="preserve"> </w:t>
      </w:r>
      <w:r w:rsidRPr="00B31292">
        <w:rPr>
          <w:rFonts w:ascii="Garamond" w:hAnsi="Garamond"/>
          <w:sz w:val="24"/>
          <w:szCs w:val="24"/>
        </w:rPr>
        <w:t xml:space="preserve">treguesit kyç të performancës me vlerat për vitin bazë </w:t>
      </w:r>
      <w:r w:rsidR="0091373C" w:rsidRPr="00B31292">
        <w:rPr>
          <w:rFonts w:ascii="Garamond" w:hAnsi="Garamond"/>
          <w:sz w:val="24"/>
          <w:szCs w:val="24"/>
        </w:rPr>
        <w:t>2022</w:t>
      </w:r>
      <w:r w:rsidR="000C1181" w:rsidRPr="00B31292">
        <w:rPr>
          <w:rFonts w:ascii="Garamond" w:hAnsi="Garamond"/>
          <w:sz w:val="24"/>
          <w:szCs w:val="24"/>
        </w:rPr>
        <w:t xml:space="preserve"> </w:t>
      </w:r>
      <w:r w:rsidRPr="00B31292">
        <w:rPr>
          <w:rFonts w:ascii="Garamond" w:hAnsi="Garamond"/>
          <w:sz w:val="24"/>
          <w:szCs w:val="24"/>
        </w:rPr>
        <w:t>dhe pritshmëritë për vitin 202</w:t>
      </w:r>
      <w:r w:rsidR="00DB39F6" w:rsidRPr="00B31292">
        <w:rPr>
          <w:rFonts w:ascii="Garamond" w:hAnsi="Garamond"/>
          <w:sz w:val="24"/>
          <w:szCs w:val="24"/>
        </w:rPr>
        <w:t>5</w:t>
      </w:r>
      <w:r w:rsidRPr="00B31292">
        <w:rPr>
          <w:rFonts w:ascii="Garamond" w:hAnsi="Garamond"/>
          <w:sz w:val="24"/>
          <w:szCs w:val="24"/>
        </w:rPr>
        <w:t xml:space="preserve">. </w:t>
      </w:r>
    </w:p>
    <w:p w14:paraId="39FDC9F3" w14:textId="1929513F" w:rsidR="00D14383" w:rsidRPr="00B31292" w:rsidRDefault="00AB22B8" w:rsidP="00F63D59">
      <w:pPr>
        <w:shd w:val="clear" w:color="auto" w:fill="FFFFFF" w:themeFill="background1"/>
        <w:spacing w:after="0" w:line="240" w:lineRule="auto"/>
        <w:ind w:firstLine="284"/>
        <w:jc w:val="both"/>
        <w:rPr>
          <w:rFonts w:ascii="Garamond" w:hAnsi="Garamond"/>
          <w:sz w:val="24"/>
          <w:szCs w:val="24"/>
        </w:rPr>
      </w:pPr>
      <w:r w:rsidRPr="00B31292">
        <w:rPr>
          <w:rFonts w:ascii="Garamond" w:hAnsi="Garamond"/>
          <w:sz w:val="24"/>
          <w:szCs w:val="24"/>
        </w:rPr>
        <w:lastRenderedPageBreak/>
        <w:t>Tabelat e mëposhtme paraqesin këtë informacion për secilin objektiv zhvillimor</w:t>
      </w:r>
      <w:r w:rsidR="00DB39F6" w:rsidRPr="00B31292">
        <w:rPr>
          <w:rFonts w:ascii="Garamond" w:hAnsi="Garamond"/>
          <w:sz w:val="24"/>
          <w:szCs w:val="24"/>
        </w:rPr>
        <w:t xml:space="preserve"> </w:t>
      </w:r>
      <w:r w:rsidRPr="00B31292">
        <w:rPr>
          <w:rFonts w:ascii="Garamond" w:hAnsi="Garamond"/>
          <w:sz w:val="24"/>
          <w:szCs w:val="24"/>
        </w:rPr>
        <w:t xml:space="preserve">dhe </w:t>
      </w:r>
      <w:r w:rsidR="00491903" w:rsidRPr="00B31292">
        <w:rPr>
          <w:rFonts w:ascii="Garamond" w:hAnsi="Garamond"/>
          <w:sz w:val="24"/>
          <w:szCs w:val="24"/>
        </w:rPr>
        <w:t>parashikimet</w:t>
      </w:r>
      <w:r w:rsidRPr="00B31292">
        <w:rPr>
          <w:rFonts w:ascii="Garamond" w:hAnsi="Garamond"/>
          <w:sz w:val="24"/>
          <w:szCs w:val="24"/>
        </w:rPr>
        <w:t xml:space="preserve"> për vitin 202</w:t>
      </w:r>
      <w:r w:rsidR="00DB39F6" w:rsidRPr="00B31292">
        <w:rPr>
          <w:rFonts w:ascii="Garamond" w:hAnsi="Garamond"/>
          <w:sz w:val="24"/>
          <w:szCs w:val="24"/>
        </w:rPr>
        <w:t>5</w:t>
      </w:r>
      <w:r w:rsidRPr="00B31292">
        <w:rPr>
          <w:rFonts w:ascii="Garamond" w:hAnsi="Garamond"/>
          <w:sz w:val="24"/>
          <w:szCs w:val="24"/>
        </w:rPr>
        <w:t>.</w:t>
      </w:r>
    </w:p>
    <w:p w14:paraId="3DE9E4B0" w14:textId="10646F9C" w:rsidR="00AB22B8" w:rsidRPr="00B31292" w:rsidRDefault="00AB22B8" w:rsidP="003A4DBA">
      <w:pPr>
        <w:shd w:val="clear" w:color="auto" w:fill="FFFFFF" w:themeFill="background1"/>
        <w:spacing w:after="0" w:line="240" w:lineRule="auto"/>
        <w:ind w:firstLine="284"/>
        <w:jc w:val="both"/>
        <w:rPr>
          <w:rFonts w:ascii="Garamond" w:hAnsi="Garamond"/>
          <w:bCs/>
          <w:i/>
          <w:sz w:val="24"/>
          <w:szCs w:val="24"/>
        </w:rPr>
      </w:pPr>
      <w:r w:rsidRPr="00B31292">
        <w:rPr>
          <w:rFonts w:ascii="Garamond" w:hAnsi="Garamond"/>
          <w:bCs/>
          <w:i/>
          <w:sz w:val="24"/>
          <w:szCs w:val="24"/>
        </w:rPr>
        <w:t>Tabela nr. 1</w:t>
      </w:r>
      <w:r w:rsidR="00F63D59" w:rsidRPr="00B31292">
        <w:rPr>
          <w:rFonts w:ascii="Garamond" w:hAnsi="Garamond"/>
          <w:bCs/>
          <w:i/>
          <w:sz w:val="24"/>
          <w:szCs w:val="24"/>
        </w:rPr>
        <w:t>:</w:t>
      </w:r>
      <w:r w:rsidRPr="00B31292">
        <w:rPr>
          <w:rFonts w:ascii="Garamond" w:hAnsi="Garamond"/>
          <w:bCs/>
          <w:i/>
          <w:sz w:val="24"/>
          <w:szCs w:val="24"/>
        </w:rPr>
        <w:t xml:space="preserve"> Objektivi </w:t>
      </w:r>
      <w:r w:rsidR="00F63D59" w:rsidRPr="00B31292">
        <w:rPr>
          <w:rFonts w:ascii="Garamond" w:hAnsi="Garamond"/>
          <w:bCs/>
          <w:i/>
          <w:sz w:val="24"/>
          <w:szCs w:val="24"/>
        </w:rPr>
        <w:t xml:space="preserve">strategjik </w:t>
      </w:r>
      <w:r w:rsidRPr="00B31292">
        <w:rPr>
          <w:rFonts w:ascii="Garamond" w:hAnsi="Garamond"/>
          <w:bCs/>
          <w:i/>
          <w:sz w:val="24"/>
          <w:szCs w:val="24"/>
        </w:rPr>
        <w:t xml:space="preserve">1, aktivitetet statistikore dhe </w:t>
      </w:r>
      <w:r w:rsidR="006E72B2" w:rsidRPr="00B31292">
        <w:rPr>
          <w:rFonts w:ascii="Garamond" w:hAnsi="Garamond"/>
          <w:bCs/>
          <w:i/>
          <w:sz w:val="24"/>
          <w:szCs w:val="24"/>
        </w:rPr>
        <w:t>treguesit</w:t>
      </w:r>
      <w:r w:rsidRPr="00B31292">
        <w:rPr>
          <w:rFonts w:ascii="Garamond" w:hAnsi="Garamond"/>
          <w:bCs/>
          <w:i/>
          <w:sz w:val="24"/>
          <w:szCs w:val="24"/>
        </w:rPr>
        <w:t xml:space="preserve"> e performancës</w:t>
      </w:r>
    </w:p>
    <w:p w14:paraId="7734A000" w14:textId="1C264C91" w:rsidR="000A6488" w:rsidRPr="00B31292" w:rsidRDefault="00D87FF8" w:rsidP="003A4DBA">
      <w:pPr>
        <w:shd w:val="clear" w:color="auto" w:fill="FFFFFF" w:themeFill="background1"/>
        <w:spacing w:after="0" w:line="240" w:lineRule="auto"/>
        <w:jc w:val="both"/>
        <w:rPr>
          <w:rFonts w:ascii="Garamond" w:hAnsi="Garamond"/>
          <w:b/>
          <w:i/>
          <w:sz w:val="24"/>
          <w:szCs w:val="24"/>
        </w:rPr>
      </w:pPr>
      <w:r w:rsidRPr="00B31292">
        <w:rPr>
          <w:rFonts w:ascii="Garamond" w:hAnsi="Garamond"/>
          <w:b/>
          <w:i/>
          <w:noProof/>
          <w:sz w:val="24"/>
          <w:szCs w:val="24"/>
          <w:lang w:val="en-US"/>
        </w:rPr>
        <w:drawing>
          <wp:inline distT="0" distB="0" distL="0" distR="0" wp14:anchorId="04C19C42" wp14:editId="4A827996">
            <wp:extent cx="5731510" cy="2056079"/>
            <wp:effectExtent l="0" t="0" r="254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31510" cy="2056079"/>
                    </a:xfrm>
                    <a:prstGeom prst="rect">
                      <a:avLst/>
                    </a:prstGeom>
                  </pic:spPr>
                </pic:pic>
              </a:graphicData>
            </a:graphic>
          </wp:inline>
        </w:drawing>
      </w:r>
    </w:p>
    <w:p w14:paraId="012984A7" w14:textId="77777777" w:rsidR="00DD6555" w:rsidRPr="00B31292" w:rsidRDefault="00DD6555" w:rsidP="003A4DBA">
      <w:pPr>
        <w:shd w:val="clear" w:color="auto" w:fill="FFFFFF" w:themeFill="background1"/>
        <w:spacing w:after="0" w:line="240" w:lineRule="auto"/>
        <w:ind w:firstLine="284"/>
        <w:rPr>
          <w:rFonts w:ascii="Garamond" w:hAnsi="Garamond"/>
          <w:bCs/>
          <w:i/>
          <w:sz w:val="12"/>
          <w:szCs w:val="12"/>
        </w:rPr>
      </w:pPr>
    </w:p>
    <w:p w14:paraId="38EB0D52" w14:textId="5E51BF6C" w:rsidR="00AB22B8" w:rsidRPr="00B31292" w:rsidRDefault="000A6488" w:rsidP="003A4DBA">
      <w:pPr>
        <w:shd w:val="clear" w:color="auto" w:fill="FFFFFF" w:themeFill="background1"/>
        <w:spacing w:after="0" w:line="240" w:lineRule="auto"/>
        <w:ind w:firstLine="284"/>
        <w:rPr>
          <w:rFonts w:ascii="Garamond" w:hAnsi="Garamond"/>
          <w:bCs/>
          <w:i/>
          <w:sz w:val="24"/>
          <w:szCs w:val="24"/>
        </w:rPr>
      </w:pPr>
      <w:r w:rsidRPr="00B31292">
        <w:rPr>
          <w:rFonts w:ascii="Garamond" w:hAnsi="Garamond"/>
          <w:bCs/>
          <w:i/>
          <w:sz w:val="24"/>
          <w:szCs w:val="24"/>
        </w:rPr>
        <w:t>Tabela nr. 2</w:t>
      </w:r>
      <w:r w:rsidR="00F63D59" w:rsidRPr="00B31292">
        <w:rPr>
          <w:rFonts w:ascii="Garamond" w:hAnsi="Garamond"/>
          <w:bCs/>
          <w:i/>
          <w:sz w:val="24"/>
          <w:szCs w:val="24"/>
        </w:rPr>
        <w:t>:</w:t>
      </w:r>
      <w:r w:rsidRPr="00B31292">
        <w:rPr>
          <w:rFonts w:ascii="Garamond" w:hAnsi="Garamond"/>
          <w:bCs/>
          <w:i/>
          <w:sz w:val="24"/>
          <w:szCs w:val="24"/>
        </w:rPr>
        <w:t xml:space="preserve"> </w:t>
      </w:r>
      <w:r w:rsidR="00AB22B8" w:rsidRPr="00B31292">
        <w:rPr>
          <w:rFonts w:ascii="Garamond" w:hAnsi="Garamond"/>
          <w:bCs/>
          <w:i/>
          <w:sz w:val="24"/>
          <w:szCs w:val="24"/>
        </w:rPr>
        <w:t xml:space="preserve">Objektivi </w:t>
      </w:r>
      <w:r w:rsidR="00F63D59" w:rsidRPr="00B31292">
        <w:rPr>
          <w:rFonts w:ascii="Garamond" w:hAnsi="Garamond"/>
          <w:bCs/>
          <w:i/>
          <w:sz w:val="24"/>
          <w:szCs w:val="24"/>
        </w:rPr>
        <w:t xml:space="preserve">strategjik </w:t>
      </w:r>
      <w:r w:rsidR="00AB22B8" w:rsidRPr="00B31292">
        <w:rPr>
          <w:rFonts w:ascii="Garamond" w:hAnsi="Garamond"/>
          <w:bCs/>
          <w:i/>
          <w:sz w:val="24"/>
          <w:szCs w:val="24"/>
        </w:rPr>
        <w:t xml:space="preserve">2, aktivitetet statistikore dhe </w:t>
      </w:r>
      <w:r w:rsidR="006E72B2" w:rsidRPr="00B31292">
        <w:rPr>
          <w:rFonts w:ascii="Garamond" w:hAnsi="Garamond"/>
          <w:bCs/>
          <w:i/>
          <w:sz w:val="24"/>
          <w:szCs w:val="24"/>
        </w:rPr>
        <w:t>treguesit</w:t>
      </w:r>
      <w:r w:rsidR="00AB22B8" w:rsidRPr="00B31292">
        <w:rPr>
          <w:rFonts w:ascii="Garamond" w:hAnsi="Garamond"/>
          <w:bCs/>
          <w:i/>
          <w:sz w:val="24"/>
          <w:szCs w:val="24"/>
        </w:rPr>
        <w:t xml:space="preserve"> e performancës</w:t>
      </w:r>
    </w:p>
    <w:p w14:paraId="11A38E24" w14:textId="01329D2B" w:rsidR="00AB22B8" w:rsidRPr="00B31292" w:rsidRDefault="00D87FF8" w:rsidP="003A4DBA">
      <w:pPr>
        <w:shd w:val="clear" w:color="auto" w:fill="FFFFFF" w:themeFill="background1"/>
        <w:spacing w:after="0" w:line="240" w:lineRule="auto"/>
        <w:rPr>
          <w:rFonts w:ascii="Garamond" w:hAnsi="Garamond"/>
          <w:i/>
          <w:sz w:val="24"/>
          <w:szCs w:val="24"/>
          <w:shd w:val="clear" w:color="auto" w:fill="FFFFFF"/>
        </w:rPr>
      </w:pPr>
      <w:r w:rsidRPr="00B31292">
        <w:rPr>
          <w:rFonts w:ascii="Garamond" w:hAnsi="Garamond"/>
          <w:i/>
          <w:noProof/>
          <w:sz w:val="24"/>
          <w:szCs w:val="24"/>
          <w:shd w:val="clear" w:color="auto" w:fill="FFFFFF"/>
          <w:lang w:val="en-US"/>
        </w:rPr>
        <w:drawing>
          <wp:inline distT="0" distB="0" distL="0" distR="0" wp14:anchorId="5D893443" wp14:editId="4E024C83">
            <wp:extent cx="5731510" cy="2378497"/>
            <wp:effectExtent l="0" t="0" r="254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31510" cy="2378497"/>
                    </a:xfrm>
                    <a:prstGeom prst="rect">
                      <a:avLst/>
                    </a:prstGeom>
                  </pic:spPr>
                </pic:pic>
              </a:graphicData>
            </a:graphic>
          </wp:inline>
        </w:drawing>
      </w:r>
    </w:p>
    <w:p w14:paraId="78AEA08A" w14:textId="77777777" w:rsidR="00DD6555" w:rsidRPr="00B31292" w:rsidRDefault="00DD6555" w:rsidP="003A4DBA">
      <w:pPr>
        <w:shd w:val="clear" w:color="auto" w:fill="FFFFFF" w:themeFill="background1"/>
        <w:spacing w:after="0" w:line="240" w:lineRule="auto"/>
        <w:ind w:firstLine="284"/>
        <w:jc w:val="both"/>
        <w:rPr>
          <w:rFonts w:ascii="Garamond" w:hAnsi="Garamond"/>
          <w:bCs/>
          <w:i/>
          <w:sz w:val="14"/>
          <w:szCs w:val="14"/>
        </w:rPr>
      </w:pPr>
    </w:p>
    <w:p w14:paraId="1D81E3A9" w14:textId="67D1DA3F" w:rsidR="00AB22B8" w:rsidRPr="00B31292" w:rsidRDefault="000A6488" w:rsidP="003A4DBA">
      <w:pPr>
        <w:shd w:val="clear" w:color="auto" w:fill="FFFFFF" w:themeFill="background1"/>
        <w:spacing w:after="0" w:line="240" w:lineRule="auto"/>
        <w:ind w:firstLine="284"/>
        <w:jc w:val="both"/>
        <w:rPr>
          <w:rFonts w:ascii="Garamond" w:hAnsi="Garamond"/>
          <w:bCs/>
          <w:i/>
          <w:sz w:val="24"/>
          <w:szCs w:val="24"/>
        </w:rPr>
      </w:pPr>
      <w:r w:rsidRPr="00B31292">
        <w:rPr>
          <w:rFonts w:ascii="Garamond" w:hAnsi="Garamond"/>
          <w:bCs/>
          <w:i/>
          <w:sz w:val="24"/>
          <w:szCs w:val="24"/>
        </w:rPr>
        <w:t>Tabela nr. 3</w:t>
      </w:r>
      <w:r w:rsidR="00F63D59" w:rsidRPr="00B31292">
        <w:rPr>
          <w:rFonts w:ascii="Garamond" w:hAnsi="Garamond"/>
          <w:bCs/>
          <w:i/>
          <w:sz w:val="24"/>
          <w:szCs w:val="24"/>
        </w:rPr>
        <w:t>:</w:t>
      </w:r>
      <w:r w:rsidRPr="00B31292">
        <w:rPr>
          <w:rFonts w:ascii="Garamond" w:hAnsi="Garamond"/>
          <w:bCs/>
          <w:i/>
          <w:sz w:val="24"/>
          <w:szCs w:val="24"/>
        </w:rPr>
        <w:t xml:space="preserve"> </w:t>
      </w:r>
      <w:r w:rsidR="00AB22B8" w:rsidRPr="00B31292">
        <w:rPr>
          <w:rFonts w:ascii="Garamond" w:hAnsi="Garamond"/>
          <w:bCs/>
          <w:i/>
          <w:sz w:val="24"/>
          <w:szCs w:val="24"/>
        </w:rPr>
        <w:t xml:space="preserve">Objektivi </w:t>
      </w:r>
      <w:r w:rsidR="00F63D59" w:rsidRPr="00B31292">
        <w:rPr>
          <w:rFonts w:ascii="Garamond" w:hAnsi="Garamond"/>
          <w:bCs/>
          <w:i/>
          <w:sz w:val="24"/>
          <w:szCs w:val="24"/>
        </w:rPr>
        <w:t xml:space="preserve">strategjik </w:t>
      </w:r>
      <w:r w:rsidR="00AB22B8" w:rsidRPr="00B31292">
        <w:rPr>
          <w:rFonts w:ascii="Garamond" w:hAnsi="Garamond"/>
          <w:bCs/>
          <w:i/>
          <w:sz w:val="24"/>
          <w:szCs w:val="24"/>
        </w:rPr>
        <w:t xml:space="preserve">3, aktivitetet statistikore dhe </w:t>
      </w:r>
      <w:r w:rsidR="006E72B2" w:rsidRPr="00B31292">
        <w:rPr>
          <w:rFonts w:ascii="Garamond" w:hAnsi="Garamond"/>
          <w:bCs/>
          <w:i/>
          <w:sz w:val="24"/>
          <w:szCs w:val="24"/>
        </w:rPr>
        <w:t>t</w:t>
      </w:r>
      <w:r w:rsidR="00AB22B8" w:rsidRPr="00B31292">
        <w:rPr>
          <w:rFonts w:ascii="Garamond" w:hAnsi="Garamond"/>
          <w:bCs/>
          <w:i/>
          <w:sz w:val="24"/>
          <w:szCs w:val="24"/>
        </w:rPr>
        <w:t>reguesit e performancës</w:t>
      </w:r>
    </w:p>
    <w:p w14:paraId="36E35E2F" w14:textId="008850B4" w:rsidR="00D87FF8" w:rsidRPr="00B31292" w:rsidRDefault="00D87FF8" w:rsidP="003A4DBA">
      <w:pPr>
        <w:shd w:val="clear" w:color="auto" w:fill="FFFFFF" w:themeFill="background1"/>
        <w:spacing w:after="0" w:line="240" w:lineRule="auto"/>
        <w:jc w:val="both"/>
        <w:rPr>
          <w:rFonts w:ascii="Garamond" w:hAnsi="Garamond"/>
          <w:b/>
          <w:i/>
          <w:sz w:val="24"/>
          <w:szCs w:val="24"/>
        </w:rPr>
      </w:pPr>
      <w:r w:rsidRPr="00B31292">
        <w:rPr>
          <w:rFonts w:ascii="Garamond" w:hAnsi="Garamond"/>
          <w:b/>
          <w:i/>
          <w:noProof/>
          <w:sz w:val="24"/>
          <w:szCs w:val="24"/>
          <w:lang w:val="en-US"/>
        </w:rPr>
        <w:drawing>
          <wp:inline distT="0" distB="0" distL="0" distR="0" wp14:anchorId="088CAD5C" wp14:editId="6C7A9B20">
            <wp:extent cx="5731510" cy="1717803"/>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31510" cy="1717803"/>
                    </a:xfrm>
                    <a:prstGeom prst="rect">
                      <a:avLst/>
                    </a:prstGeom>
                  </pic:spPr>
                </pic:pic>
              </a:graphicData>
            </a:graphic>
          </wp:inline>
        </w:drawing>
      </w:r>
    </w:p>
    <w:p w14:paraId="6CB1FC79" w14:textId="43C03C1B" w:rsidR="000A6488" w:rsidRPr="00B31292" w:rsidRDefault="000A6488" w:rsidP="003A4DBA">
      <w:pPr>
        <w:shd w:val="clear" w:color="auto" w:fill="FFFFFF" w:themeFill="background1"/>
        <w:spacing w:after="0" w:line="240" w:lineRule="auto"/>
        <w:ind w:firstLine="284"/>
        <w:jc w:val="both"/>
        <w:rPr>
          <w:rFonts w:ascii="Garamond" w:hAnsi="Garamond"/>
          <w:b/>
          <w:i/>
          <w:sz w:val="12"/>
          <w:szCs w:val="12"/>
        </w:rPr>
      </w:pPr>
    </w:p>
    <w:p w14:paraId="464918D3" w14:textId="77777777" w:rsidR="00DD6555" w:rsidRPr="00B31292" w:rsidRDefault="00DD6555" w:rsidP="003A4DBA">
      <w:pPr>
        <w:shd w:val="clear" w:color="auto" w:fill="FFFFFF" w:themeFill="background1"/>
        <w:spacing w:after="0" w:line="240" w:lineRule="auto"/>
        <w:ind w:firstLine="284"/>
        <w:rPr>
          <w:rFonts w:ascii="Garamond" w:hAnsi="Garamond"/>
          <w:bCs/>
          <w:i/>
          <w:sz w:val="20"/>
          <w:szCs w:val="20"/>
        </w:rPr>
      </w:pPr>
    </w:p>
    <w:p w14:paraId="032F94D6" w14:textId="5BBB94D2" w:rsidR="00AB22B8" w:rsidRPr="00B31292" w:rsidRDefault="000A6488" w:rsidP="003A4DBA">
      <w:pPr>
        <w:shd w:val="clear" w:color="auto" w:fill="FFFFFF" w:themeFill="background1"/>
        <w:spacing w:after="0" w:line="240" w:lineRule="auto"/>
        <w:ind w:firstLine="284"/>
        <w:rPr>
          <w:rFonts w:ascii="Garamond" w:hAnsi="Garamond"/>
          <w:bCs/>
          <w:i/>
          <w:sz w:val="24"/>
          <w:szCs w:val="24"/>
        </w:rPr>
      </w:pPr>
      <w:r w:rsidRPr="00B31292">
        <w:rPr>
          <w:rFonts w:ascii="Garamond" w:hAnsi="Garamond"/>
          <w:bCs/>
          <w:i/>
          <w:sz w:val="24"/>
          <w:szCs w:val="24"/>
        </w:rPr>
        <w:t>Tabela nr.</w:t>
      </w:r>
      <w:r w:rsidR="00F63D59" w:rsidRPr="00B31292">
        <w:rPr>
          <w:rFonts w:ascii="Garamond" w:hAnsi="Garamond"/>
          <w:bCs/>
          <w:i/>
          <w:sz w:val="24"/>
          <w:szCs w:val="24"/>
        </w:rPr>
        <w:t xml:space="preserve"> </w:t>
      </w:r>
      <w:r w:rsidRPr="00B31292">
        <w:rPr>
          <w:rFonts w:ascii="Garamond" w:hAnsi="Garamond"/>
          <w:bCs/>
          <w:i/>
          <w:sz w:val="24"/>
          <w:szCs w:val="24"/>
        </w:rPr>
        <w:t>4</w:t>
      </w:r>
      <w:r w:rsidR="00F63D59" w:rsidRPr="00B31292">
        <w:rPr>
          <w:rFonts w:ascii="Garamond" w:hAnsi="Garamond"/>
          <w:bCs/>
          <w:i/>
          <w:sz w:val="24"/>
          <w:szCs w:val="24"/>
        </w:rPr>
        <w:t>:</w:t>
      </w:r>
      <w:r w:rsidRPr="00B31292">
        <w:rPr>
          <w:rFonts w:ascii="Garamond" w:hAnsi="Garamond"/>
          <w:bCs/>
          <w:i/>
          <w:sz w:val="24"/>
          <w:szCs w:val="24"/>
        </w:rPr>
        <w:t xml:space="preserve"> </w:t>
      </w:r>
      <w:r w:rsidR="00AB22B8" w:rsidRPr="00B31292">
        <w:rPr>
          <w:rFonts w:ascii="Garamond" w:hAnsi="Garamond"/>
          <w:bCs/>
          <w:i/>
          <w:sz w:val="24"/>
          <w:szCs w:val="24"/>
        </w:rPr>
        <w:t xml:space="preserve">Objektivi </w:t>
      </w:r>
      <w:r w:rsidR="00F63D59" w:rsidRPr="00B31292">
        <w:rPr>
          <w:rFonts w:ascii="Garamond" w:hAnsi="Garamond"/>
          <w:bCs/>
          <w:i/>
          <w:sz w:val="24"/>
          <w:szCs w:val="24"/>
        </w:rPr>
        <w:t xml:space="preserve">strategjik </w:t>
      </w:r>
      <w:r w:rsidR="00AB22B8" w:rsidRPr="00B31292">
        <w:rPr>
          <w:rFonts w:ascii="Garamond" w:hAnsi="Garamond"/>
          <w:bCs/>
          <w:i/>
          <w:sz w:val="24"/>
          <w:szCs w:val="24"/>
        </w:rPr>
        <w:t xml:space="preserve">4, aktivitetet statistikore dhe </w:t>
      </w:r>
      <w:r w:rsidR="006E72B2" w:rsidRPr="00B31292">
        <w:rPr>
          <w:rFonts w:ascii="Garamond" w:hAnsi="Garamond"/>
          <w:bCs/>
          <w:i/>
          <w:sz w:val="24"/>
          <w:szCs w:val="24"/>
        </w:rPr>
        <w:t>t</w:t>
      </w:r>
      <w:r w:rsidR="00AB22B8" w:rsidRPr="00B31292">
        <w:rPr>
          <w:rFonts w:ascii="Garamond" w:hAnsi="Garamond"/>
          <w:bCs/>
          <w:i/>
          <w:sz w:val="24"/>
          <w:szCs w:val="24"/>
        </w:rPr>
        <w:t>reguesit e performancës</w:t>
      </w:r>
    </w:p>
    <w:p w14:paraId="56042D28" w14:textId="57136125" w:rsidR="00D87FF8" w:rsidRPr="00B31292" w:rsidRDefault="00D87FF8" w:rsidP="003A4DBA">
      <w:pPr>
        <w:shd w:val="clear" w:color="auto" w:fill="FFFFFF" w:themeFill="background1"/>
        <w:spacing w:after="0" w:line="240" w:lineRule="auto"/>
        <w:rPr>
          <w:rFonts w:ascii="Garamond" w:hAnsi="Garamond"/>
          <w:b/>
          <w:i/>
          <w:sz w:val="24"/>
          <w:szCs w:val="24"/>
        </w:rPr>
      </w:pPr>
      <w:r w:rsidRPr="00B31292">
        <w:rPr>
          <w:rFonts w:ascii="Garamond" w:hAnsi="Garamond"/>
          <w:b/>
          <w:i/>
          <w:noProof/>
          <w:sz w:val="24"/>
          <w:szCs w:val="24"/>
          <w:lang w:val="en-US"/>
        </w:rPr>
        <w:lastRenderedPageBreak/>
        <w:drawing>
          <wp:inline distT="0" distB="0" distL="0" distR="0" wp14:anchorId="1D82B1CB" wp14:editId="6221AA78">
            <wp:extent cx="5731510" cy="3097332"/>
            <wp:effectExtent l="0" t="0" r="2540"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31510" cy="3097332"/>
                    </a:xfrm>
                    <a:prstGeom prst="rect">
                      <a:avLst/>
                    </a:prstGeom>
                  </pic:spPr>
                </pic:pic>
              </a:graphicData>
            </a:graphic>
          </wp:inline>
        </w:drawing>
      </w:r>
    </w:p>
    <w:p w14:paraId="24132DDA" w14:textId="77777777" w:rsidR="00DD6555" w:rsidRPr="00B31292" w:rsidRDefault="00DD6555" w:rsidP="003A4DBA">
      <w:pPr>
        <w:shd w:val="clear" w:color="auto" w:fill="FFFFFF" w:themeFill="background1"/>
        <w:spacing w:after="0" w:line="240" w:lineRule="auto"/>
        <w:ind w:firstLine="284"/>
        <w:jc w:val="both"/>
        <w:rPr>
          <w:rFonts w:ascii="Garamond" w:hAnsi="Garamond"/>
          <w:bCs/>
          <w:i/>
          <w:sz w:val="14"/>
          <w:szCs w:val="14"/>
        </w:rPr>
      </w:pPr>
    </w:p>
    <w:p w14:paraId="314A231D" w14:textId="7D4A3D00" w:rsidR="00AB22B8" w:rsidRPr="00B31292" w:rsidRDefault="00AB22B8" w:rsidP="003A4DBA">
      <w:pPr>
        <w:shd w:val="clear" w:color="auto" w:fill="FFFFFF" w:themeFill="background1"/>
        <w:spacing w:after="0" w:line="240" w:lineRule="auto"/>
        <w:ind w:firstLine="284"/>
        <w:jc w:val="both"/>
        <w:rPr>
          <w:rFonts w:ascii="Garamond" w:hAnsi="Garamond"/>
          <w:bCs/>
          <w:i/>
          <w:sz w:val="24"/>
          <w:szCs w:val="24"/>
        </w:rPr>
      </w:pPr>
      <w:r w:rsidRPr="00B31292">
        <w:rPr>
          <w:rFonts w:ascii="Garamond" w:hAnsi="Garamond"/>
          <w:bCs/>
          <w:i/>
          <w:sz w:val="24"/>
          <w:szCs w:val="24"/>
        </w:rPr>
        <w:t>Tabela nr. 5</w:t>
      </w:r>
      <w:r w:rsidR="00F63D59" w:rsidRPr="00B31292">
        <w:rPr>
          <w:rFonts w:ascii="Garamond" w:hAnsi="Garamond"/>
          <w:bCs/>
          <w:i/>
          <w:sz w:val="24"/>
          <w:szCs w:val="24"/>
        </w:rPr>
        <w:t>:</w:t>
      </w:r>
      <w:r w:rsidRPr="00B31292">
        <w:rPr>
          <w:rFonts w:ascii="Garamond" w:hAnsi="Garamond"/>
          <w:bCs/>
          <w:i/>
          <w:sz w:val="24"/>
          <w:szCs w:val="24"/>
        </w:rPr>
        <w:t xml:space="preserve"> Objektivi </w:t>
      </w:r>
      <w:r w:rsidR="00F63D59" w:rsidRPr="00B31292">
        <w:rPr>
          <w:rFonts w:ascii="Garamond" w:hAnsi="Garamond"/>
          <w:bCs/>
          <w:i/>
          <w:sz w:val="24"/>
          <w:szCs w:val="24"/>
        </w:rPr>
        <w:t xml:space="preserve">strategjik </w:t>
      </w:r>
      <w:r w:rsidRPr="00B31292">
        <w:rPr>
          <w:rFonts w:ascii="Garamond" w:hAnsi="Garamond"/>
          <w:bCs/>
          <w:i/>
          <w:sz w:val="24"/>
          <w:szCs w:val="24"/>
        </w:rPr>
        <w:t>5, aktivitetet statistikore dhe treguesit e performancës</w:t>
      </w:r>
    </w:p>
    <w:p w14:paraId="607E57A2" w14:textId="78610ADD" w:rsidR="00D14383" w:rsidRPr="00B31292" w:rsidRDefault="00D87FF8" w:rsidP="00DD6555">
      <w:pPr>
        <w:shd w:val="clear" w:color="auto" w:fill="FFFFFF" w:themeFill="background1"/>
        <w:spacing w:after="0" w:line="240" w:lineRule="auto"/>
        <w:jc w:val="both"/>
        <w:rPr>
          <w:rFonts w:ascii="Garamond" w:hAnsi="Garamond"/>
          <w:b/>
          <w:i/>
          <w:sz w:val="24"/>
          <w:szCs w:val="24"/>
        </w:rPr>
      </w:pPr>
      <w:r w:rsidRPr="00B31292">
        <w:rPr>
          <w:rFonts w:ascii="Garamond" w:hAnsi="Garamond"/>
          <w:b/>
          <w:i/>
          <w:noProof/>
          <w:sz w:val="24"/>
          <w:szCs w:val="24"/>
          <w:lang w:val="en-US"/>
        </w:rPr>
        <w:drawing>
          <wp:inline distT="0" distB="0" distL="0" distR="0" wp14:anchorId="1EC11762" wp14:editId="38B7ABC7">
            <wp:extent cx="5731510" cy="2410211"/>
            <wp:effectExtent l="0" t="0" r="254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43442" cy="2415229"/>
                    </a:xfrm>
                    <a:prstGeom prst="rect">
                      <a:avLst/>
                    </a:prstGeom>
                  </pic:spPr>
                </pic:pic>
              </a:graphicData>
            </a:graphic>
          </wp:inline>
        </w:drawing>
      </w:r>
    </w:p>
    <w:p w14:paraId="3DEAB5FF" w14:textId="77777777" w:rsidR="00DD6555" w:rsidRPr="00B31292" w:rsidRDefault="00DD6555" w:rsidP="00DD6555">
      <w:pPr>
        <w:shd w:val="clear" w:color="auto" w:fill="FFFFFF" w:themeFill="background1"/>
        <w:spacing w:after="0" w:line="240" w:lineRule="auto"/>
        <w:jc w:val="both"/>
        <w:rPr>
          <w:rFonts w:ascii="Garamond" w:hAnsi="Garamond"/>
          <w:b/>
          <w:i/>
          <w:sz w:val="12"/>
          <w:szCs w:val="12"/>
        </w:rPr>
      </w:pPr>
    </w:p>
    <w:p w14:paraId="0751B300" w14:textId="77BDD5CD" w:rsidR="00AB22B8" w:rsidRPr="00B31292" w:rsidRDefault="00AB22B8" w:rsidP="003A4DBA">
      <w:pPr>
        <w:shd w:val="clear" w:color="auto" w:fill="FFFFFF" w:themeFill="background1"/>
        <w:spacing w:after="0" w:line="240" w:lineRule="auto"/>
        <w:ind w:firstLine="284"/>
        <w:jc w:val="both"/>
        <w:rPr>
          <w:rFonts w:ascii="Garamond" w:hAnsi="Garamond"/>
          <w:bCs/>
          <w:i/>
          <w:sz w:val="24"/>
          <w:szCs w:val="24"/>
        </w:rPr>
      </w:pPr>
      <w:r w:rsidRPr="00B31292">
        <w:rPr>
          <w:rFonts w:ascii="Garamond" w:hAnsi="Garamond"/>
          <w:bCs/>
          <w:i/>
          <w:sz w:val="24"/>
          <w:szCs w:val="24"/>
        </w:rPr>
        <w:t>Tabela nr. 6</w:t>
      </w:r>
      <w:r w:rsidR="00F63D59" w:rsidRPr="00B31292">
        <w:rPr>
          <w:rFonts w:ascii="Garamond" w:hAnsi="Garamond"/>
          <w:bCs/>
          <w:i/>
          <w:sz w:val="24"/>
          <w:szCs w:val="24"/>
        </w:rPr>
        <w:t>:</w:t>
      </w:r>
      <w:r w:rsidRPr="00B31292">
        <w:rPr>
          <w:rFonts w:ascii="Garamond" w:hAnsi="Garamond"/>
          <w:bCs/>
          <w:i/>
          <w:sz w:val="24"/>
          <w:szCs w:val="24"/>
        </w:rPr>
        <w:t xml:space="preserve"> Objektivi </w:t>
      </w:r>
      <w:r w:rsidR="00F63D59" w:rsidRPr="00B31292">
        <w:rPr>
          <w:rFonts w:ascii="Garamond" w:hAnsi="Garamond"/>
          <w:bCs/>
          <w:i/>
          <w:sz w:val="24"/>
          <w:szCs w:val="24"/>
        </w:rPr>
        <w:t xml:space="preserve">strategjik </w:t>
      </w:r>
      <w:r w:rsidRPr="00B31292">
        <w:rPr>
          <w:rFonts w:ascii="Garamond" w:hAnsi="Garamond"/>
          <w:bCs/>
          <w:i/>
          <w:sz w:val="24"/>
          <w:szCs w:val="24"/>
        </w:rPr>
        <w:t>6, aktivitetet statistikore dhe treguesit e performancës</w:t>
      </w:r>
    </w:p>
    <w:p w14:paraId="6A71F3AD" w14:textId="69F4BCD0" w:rsidR="00244176" w:rsidRPr="00B31292" w:rsidRDefault="00D87FF8" w:rsidP="003A4DBA">
      <w:pPr>
        <w:shd w:val="clear" w:color="auto" w:fill="FFFFFF" w:themeFill="background1"/>
        <w:spacing w:after="0" w:line="240" w:lineRule="auto"/>
        <w:ind w:firstLine="284"/>
        <w:jc w:val="both"/>
        <w:rPr>
          <w:rFonts w:ascii="Garamond" w:hAnsi="Garamond"/>
          <w:b/>
          <w:i/>
          <w:sz w:val="24"/>
          <w:szCs w:val="24"/>
        </w:rPr>
      </w:pPr>
      <w:r w:rsidRPr="00B31292">
        <w:rPr>
          <w:rFonts w:ascii="Garamond" w:hAnsi="Garamond"/>
          <w:b/>
          <w:i/>
          <w:noProof/>
          <w:sz w:val="24"/>
          <w:szCs w:val="24"/>
          <w:lang w:val="en-US"/>
        </w:rPr>
        <w:drawing>
          <wp:inline distT="0" distB="0" distL="0" distR="0" wp14:anchorId="553FDD65" wp14:editId="203898A1">
            <wp:extent cx="5525770" cy="235207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601386" cy="2384256"/>
                    </a:xfrm>
                    <a:prstGeom prst="rect">
                      <a:avLst/>
                    </a:prstGeom>
                  </pic:spPr>
                </pic:pic>
              </a:graphicData>
            </a:graphic>
          </wp:inline>
        </w:drawing>
      </w:r>
    </w:p>
    <w:p w14:paraId="09EA080A" w14:textId="77777777" w:rsidR="00DD6555" w:rsidRPr="00B31292" w:rsidRDefault="00DD6555" w:rsidP="00DD6555">
      <w:pPr>
        <w:shd w:val="clear" w:color="auto" w:fill="FFFFFF" w:themeFill="background1"/>
        <w:spacing w:after="0" w:line="240" w:lineRule="auto"/>
        <w:rPr>
          <w:rFonts w:ascii="Garamond" w:hAnsi="Garamond"/>
          <w:bCs/>
          <w:i/>
          <w:sz w:val="24"/>
          <w:szCs w:val="24"/>
        </w:rPr>
      </w:pPr>
    </w:p>
    <w:p w14:paraId="309E2F2E" w14:textId="15B633B3" w:rsidR="00AB22B8" w:rsidRPr="00B31292" w:rsidRDefault="00AB22B8" w:rsidP="003A4DBA">
      <w:pPr>
        <w:shd w:val="clear" w:color="auto" w:fill="FFFFFF" w:themeFill="background1"/>
        <w:spacing w:after="0" w:line="240" w:lineRule="auto"/>
        <w:ind w:firstLine="284"/>
        <w:rPr>
          <w:rFonts w:ascii="Garamond" w:hAnsi="Garamond"/>
          <w:bCs/>
          <w:i/>
          <w:sz w:val="24"/>
          <w:szCs w:val="24"/>
        </w:rPr>
      </w:pPr>
      <w:r w:rsidRPr="00B31292">
        <w:rPr>
          <w:rFonts w:ascii="Garamond" w:hAnsi="Garamond"/>
          <w:bCs/>
          <w:i/>
          <w:sz w:val="24"/>
          <w:szCs w:val="24"/>
        </w:rPr>
        <w:t>Tabela nr. 7</w:t>
      </w:r>
      <w:r w:rsidR="00F63D59" w:rsidRPr="00B31292">
        <w:rPr>
          <w:rFonts w:ascii="Garamond" w:hAnsi="Garamond"/>
          <w:bCs/>
          <w:i/>
          <w:sz w:val="24"/>
          <w:szCs w:val="24"/>
        </w:rPr>
        <w:t>:</w:t>
      </w:r>
      <w:r w:rsidRPr="00B31292">
        <w:rPr>
          <w:rFonts w:ascii="Garamond" w:hAnsi="Garamond"/>
          <w:bCs/>
          <w:i/>
          <w:sz w:val="24"/>
          <w:szCs w:val="24"/>
        </w:rPr>
        <w:t xml:space="preserve"> Aspektet pë</w:t>
      </w:r>
      <w:r w:rsidR="00F63D59" w:rsidRPr="00B31292">
        <w:rPr>
          <w:rFonts w:ascii="Garamond" w:hAnsi="Garamond"/>
          <w:bCs/>
          <w:i/>
          <w:sz w:val="24"/>
          <w:szCs w:val="24"/>
        </w:rPr>
        <w:t>r</w:t>
      </w:r>
      <w:r w:rsidRPr="00B31292">
        <w:rPr>
          <w:rFonts w:ascii="Garamond" w:hAnsi="Garamond"/>
          <w:bCs/>
          <w:i/>
          <w:sz w:val="24"/>
          <w:szCs w:val="24"/>
        </w:rPr>
        <w:t>mirësuese</w:t>
      </w:r>
      <w:r w:rsidR="00F66FD4" w:rsidRPr="00B31292">
        <w:rPr>
          <w:rFonts w:ascii="Garamond" w:hAnsi="Garamond"/>
          <w:bCs/>
          <w:i/>
          <w:sz w:val="24"/>
          <w:szCs w:val="24"/>
        </w:rPr>
        <w:t xml:space="preserve"> për vitin 2025</w:t>
      </w:r>
      <w:r w:rsidRPr="00B31292">
        <w:rPr>
          <w:rFonts w:ascii="Garamond" w:hAnsi="Garamond"/>
          <w:bCs/>
          <w:i/>
          <w:sz w:val="24"/>
          <w:szCs w:val="24"/>
        </w:rPr>
        <w:t xml:space="preserve"> krahasimisht me vitin bazë 202</w:t>
      </w:r>
      <w:r w:rsidR="007D0DA7" w:rsidRPr="00B31292">
        <w:rPr>
          <w:rFonts w:ascii="Garamond" w:hAnsi="Garamond"/>
          <w:bCs/>
          <w:i/>
          <w:sz w:val="24"/>
          <w:szCs w:val="24"/>
        </w:rPr>
        <w:t>2</w:t>
      </w:r>
    </w:p>
    <w:p w14:paraId="1F947CC0" w14:textId="6F72F919" w:rsidR="00D87FF8" w:rsidRPr="00B31292" w:rsidRDefault="00D87FF8" w:rsidP="003A4DBA">
      <w:pPr>
        <w:shd w:val="clear" w:color="auto" w:fill="FFFFFF" w:themeFill="background1"/>
        <w:spacing w:after="0" w:line="240" w:lineRule="auto"/>
        <w:jc w:val="both"/>
        <w:rPr>
          <w:rFonts w:ascii="Garamond" w:hAnsi="Garamond"/>
          <w:b/>
          <w:i/>
          <w:sz w:val="24"/>
          <w:szCs w:val="24"/>
        </w:rPr>
      </w:pPr>
      <w:r w:rsidRPr="00B31292">
        <w:rPr>
          <w:rFonts w:ascii="Garamond" w:hAnsi="Garamond"/>
          <w:b/>
          <w:i/>
          <w:noProof/>
          <w:sz w:val="24"/>
          <w:szCs w:val="24"/>
          <w:lang w:val="en-US"/>
        </w:rPr>
        <w:lastRenderedPageBreak/>
        <w:drawing>
          <wp:inline distT="0" distB="0" distL="0" distR="0" wp14:anchorId="28CB1A36" wp14:editId="70836D4F">
            <wp:extent cx="5731510" cy="1765373"/>
            <wp:effectExtent l="0" t="0" r="254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751163" cy="1771426"/>
                    </a:xfrm>
                    <a:prstGeom prst="rect">
                      <a:avLst/>
                    </a:prstGeom>
                  </pic:spPr>
                </pic:pic>
              </a:graphicData>
            </a:graphic>
          </wp:inline>
        </w:drawing>
      </w:r>
    </w:p>
    <w:p w14:paraId="3FE7AE2E" w14:textId="2FE9C079" w:rsidR="00CA60F4" w:rsidRPr="00B31292" w:rsidRDefault="0033437C" w:rsidP="003A4DBA">
      <w:pPr>
        <w:pStyle w:val="Heading2"/>
        <w:shd w:val="clear" w:color="auto" w:fill="FFFFFF" w:themeFill="background1"/>
        <w:spacing w:before="0" w:line="240" w:lineRule="auto"/>
        <w:ind w:firstLine="284"/>
        <w:rPr>
          <w:rFonts w:ascii="Garamond" w:eastAsia="MS Mincho" w:hAnsi="Garamond"/>
          <w:color w:val="auto"/>
          <w:sz w:val="24"/>
          <w:szCs w:val="24"/>
        </w:rPr>
      </w:pPr>
      <w:bookmarkStart w:id="3" w:name="_Toc182991970"/>
      <w:r w:rsidRPr="00B31292">
        <w:rPr>
          <w:rFonts w:ascii="Garamond" w:hAnsi="Garamond"/>
          <w:color w:val="auto"/>
          <w:sz w:val="24"/>
          <w:szCs w:val="24"/>
        </w:rPr>
        <w:t>I</w:t>
      </w:r>
      <w:r w:rsidR="00AB22B8" w:rsidRPr="00B31292">
        <w:rPr>
          <w:rFonts w:ascii="Garamond" w:hAnsi="Garamond"/>
          <w:color w:val="auto"/>
          <w:sz w:val="24"/>
          <w:szCs w:val="24"/>
        </w:rPr>
        <w:t>V. Aktivitetet</w:t>
      </w:r>
      <w:r w:rsidR="00AB22B8" w:rsidRPr="00B31292">
        <w:rPr>
          <w:rFonts w:ascii="Garamond" w:eastAsia="MS Mincho" w:hAnsi="Garamond"/>
          <w:color w:val="auto"/>
          <w:sz w:val="24"/>
          <w:szCs w:val="24"/>
        </w:rPr>
        <w:t xml:space="preserve"> </w:t>
      </w:r>
      <w:r w:rsidR="00F63D59" w:rsidRPr="00B31292">
        <w:rPr>
          <w:rFonts w:ascii="Garamond" w:eastAsia="MS Mincho" w:hAnsi="Garamond"/>
          <w:color w:val="auto"/>
          <w:sz w:val="24"/>
          <w:szCs w:val="24"/>
        </w:rPr>
        <w:t>statistikore</w:t>
      </w:r>
      <w:bookmarkEnd w:id="3"/>
    </w:p>
    <w:p w14:paraId="3611F886" w14:textId="72431FFA" w:rsidR="001D45F4" w:rsidRPr="00B31292" w:rsidRDefault="00AB22B8" w:rsidP="003A4DBA">
      <w:pPr>
        <w:shd w:val="clear" w:color="auto" w:fill="FFFFFF" w:themeFill="background1"/>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 xml:space="preserve">Lista e aktiviteteve statistikore paraqitet duke ndjekur strukturën e klasifikimit të fushave dhe temave statistikore, të parashikuara në </w:t>
      </w:r>
      <w:r w:rsidR="00F63D59" w:rsidRPr="00B31292">
        <w:rPr>
          <w:rFonts w:ascii="Garamond" w:hAnsi="Garamond" w:cs="Times New Roman"/>
          <w:sz w:val="24"/>
          <w:szCs w:val="24"/>
        </w:rPr>
        <w:t xml:space="preserve">shtojcën </w:t>
      </w:r>
      <w:r w:rsidRPr="00B31292">
        <w:rPr>
          <w:rFonts w:ascii="Garamond" w:hAnsi="Garamond" w:cs="Times New Roman"/>
          <w:sz w:val="24"/>
          <w:szCs w:val="24"/>
        </w:rPr>
        <w:t>1</w:t>
      </w:r>
      <w:r w:rsidR="00F63D59" w:rsidRPr="00B31292">
        <w:rPr>
          <w:rFonts w:ascii="Garamond" w:hAnsi="Garamond" w:cs="Times New Roman"/>
          <w:sz w:val="24"/>
          <w:szCs w:val="24"/>
        </w:rPr>
        <w:t>,</w:t>
      </w:r>
      <w:r w:rsidRPr="00B31292">
        <w:rPr>
          <w:rFonts w:ascii="Garamond" w:hAnsi="Garamond" w:cs="Times New Roman"/>
          <w:sz w:val="24"/>
          <w:szCs w:val="24"/>
        </w:rPr>
        <w:t xml:space="preserve"> të </w:t>
      </w:r>
      <w:r w:rsidR="00F63D59" w:rsidRPr="00B31292">
        <w:rPr>
          <w:rFonts w:ascii="Garamond" w:hAnsi="Garamond" w:cs="Times New Roman"/>
          <w:sz w:val="24"/>
          <w:szCs w:val="24"/>
        </w:rPr>
        <w:t xml:space="preserve">ligjit </w:t>
      </w:r>
      <w:r w:rsidRPr="00B31292">
        <w:rPr>
          <w:rFonts w:ascii="Garamond" w:hAnsi="Garamond" w:cs="Times New Roman"/>
          <w:sz w:val="24"/>
          <w:szCs w:val="24"/>
        </w:rPr>
        <w:t>nr. 17/2018</w:t>
      </w:r>
      <w:r w:rsidR="00F63D59" w:rsidRPr="00B31292">
        <w:rPr>
          <w:rFonts w:ascii="Garamond" w:hAnsi="Garamond" w:cs="Times New Roman"/>
          <w:sz w:val="24"/>
          <w:szCs w:val="24"/>
        </w:rPr>
        <w:t>,</w:t>
      </w:r>
      <w:r w:rsidRPr="00B31292">
        <w:rPr>
          <w:rFonts w:ascii="Garamond" w:hAnsi="Garamond" w:cs="Times New Roman"/>
          <w:sz w:val="24"/>
          <w:szCs w:val="24"/>
        </w:rPr>
        <w:t xml:space="preserve"> </w:t>
      </w:r>
      <w:r w:rsidR="00BA12C3" w:rsidRPr="00B31292">
        <w:rPr>
          <w:rFonts w:ascii="Garamond" w:hAnsi="Garamond" w:cs="Times New Roman"/>
          <w:sz w:val="24"/>
          <w:szCs w:val="24"/>
        </w:rPr>
        <w:t>“</w:t>
      </w:r>
      <w:r w:rsidRPr="00B31292">
        <w:rPr>
          <w:rFonts w:ascii="Garamond" w:hAnsi="Garamond" w:cs="Times New Roman"/>
          <w:sz w:val="24"/>
          <w:szCs w:val="24"/>
        </w:rPr>
        <w:t>Për statistikat zyrtare</w:t>
      </w:r>
      <w:r w:rsidR="00BA12C3" w:rsidRPr="00B31292">
        <w:rPr>
          <w:rFonts w:ascii="Garamond" w:hAnsi="Garamond" w:cs="Times New Roman"/>
          <w:sz w:val="24"/>
          <w:szCs w:val="24"/>
        </w:rPr>
        <w:t>”</w:t>
      </w:r>
      <w:r w:rsidR="009820F8" w:rsidRPr="00B31292">
        <w:rPr>
          <w:rFonts w:ascii="Garamond" w:hAnsi="Garamond" w:cs="Times New Roman"/>
          <w:sz w:val="24"/>
          <w:szCs w:val="24"/>
        </w:rPr>
        <w:t xml:space="preserve">, </w:t>
      </w:r>
      <w:r w:rsidRPr="00B31292">
        <w:rPr>
          <w:rFonts w:ascii="Garamond" w:hAnsi="Garamond" w:cs="Times New Roman"/>
          <w:sz w:val="24"/>
          <w:szCs w:val="24"/>
        </w:rPr>
        <w:t xml:space="preserve">si dhe duke ruajtur linjën e klasifikimeve të fushave statistikore e temave përkatëse, të përcaktuara në Programin e Statistikave Zyrtare </w:t>
      </w:r>
      <w:r w:rsidR="002277EC" w:rsidRPr="00B31292">
        <w:rPr>
          <w:rFonts w:ascii="Garamond" w:hAnsi="Garamond" w:cs="Times New Roman"/>
          <w:sz w:val="24"/>
          <w:szCs w:val="24"/>
        </w:rPr>
        <w:t>2022–2026</w:t>
      </w:r>
      <w:r w:rsidRPr="00B31292">
        <w:rPr>
          <w:rFonts w:ascii="Garamond" w:hAnsi="Garamond" w:cs="Times New Roman"/>
          <w:sz w:val="24"/>
          <w:szCs w:val="24"/>
        </w:rPr>
        <w:t xml:space="preserve">. </w:t>
      </w:r>
      <w:r w:rsidR="00636179" w:rsidRPr="00B31292">
        <w:rPr>
          <w:rFonts w:ascii="Garamond" w:hAnsi="Garamond" w:cs="Times New Roman"/>
          <w:sz w:val="24"/>
          <w:szCs w:val="24"/>
        </w:rPr>
        <w:t>Lista e aktiviteteve</w:t>
      </w:r>
      <w:r w:rsidR="00420254" w:rsidRPr="00B31292">
        <w:rPr>
          <w:rFonts w:ascii="Garamond" w:hAnsi="Garamond" w:cs="Times New Roman"/>
          <w:sz w:val="24"/>
          <w:szCs w:val="24"/>
        </w:rPr>
        <w:t xml:space="preserve"> </w:t>
      </w:r>
      <w:r w:rsidRPr="00B31292">
        <w:rPr>
          <w:rFonts w:ascii="Garamond" w:hAnsi="Garamond" w:cs="Times New Roman"/>
          <w:sz w:val="24"/>
          <w:szCs w:val="24"/>
        </w:rPr>
        <w:t>për pjesën e Censit të Popullsisë dhe Banesave</w:t>
      </w:r>
      <w:r w:rsidR="00DD6555" w:rsidRPr="00B31292">
        <w:rPr>
          <w:rFonts w:ascii="Garamond" w:hAnsi="Garamond" w:cs="Times New Roman"/>
          <w:sz w:val="24"/>
          <w:szCs w:val="24"/>
        </w:rPr>
        <w:t>,</w:t>
      </w:r>
      <w:r w:rsidR="003C0F46" w:rsidRPr="00B31292">
        <w:rPr>
          <w:rFonts w:ascii="Garamond" w:hAnsi="Garamond" w:cs="Times New Roman"/>
          <w:sz w:val="24"/>
          <w:szCs w:val="24"/>
        </w:rPr>
        <w:t xml:space="preserve"> </w:t>
      </w:r>
      <w:r w:rsidR="00636179" w:rsidRPr="00B31292">
        <w:rPr>
          <w:rFonts w:ascii="Garamond" w:hAnsi="Garamond" w:cs="Times New Roman"/>
          <w:sz w:val="24"/>
          <w:szCs w:val="24"/>
        </w:rPr>
        <w:t>dhe Censin e Bujqësisë</w:t>
      </w:r>
      <w:r w:rsidRPr="00B31292">
        <w:rPr>
          <w:rFonts w:ascii="Garamond" w:hAnsi="Garamond" w:cs="Times New Roman"/>
          <w:sz w:val="24"/>
          <w:szCs w:val="24"/>
        </w:rPr>
        <w:t xml:space="preserve"> pasqyr</w:t>
      </w:r>
      <w:r w:rsidR="00636179" w:rsidRPr="00B31292">
        <w:rPr>
          <w:rFonts w:ascii="Garamond" w:hAnsi="Garamond" w:cs="Times New Roman"/>
          <w:sz w:val="24"/>
          <w:szCs w:val="24"/>
        </w:rPr>
        <w:t xml:space="preserve">ohet më hollësisht </w:t>
      </w:r>
      <w:r w:rsidRPr="00B31292">
        <w:rPr>
          <w:rFonts w:ascii="Garamond" w:hAnsi="Garamond" w:cs="Times New Roman"/>
          <w:sz w:val="24"/>
          <w:szCs w:val="24"/>
        </w:rPr>
        <w:t>në seksione të veçanta të dokumentit.</w:t>
      </w:r>
    </w:p>
    <w:p w14:paraId="164094CA" w14:textId="17A2CD6F" w:rsidR="00420254" w:rsidRPr="00B31292" w:rsidRDefault="00EE716C" w:rsidP="000A2254">
      <w:pPr>
        <w:shd w:val="clear" w:color="auto" w:fill="FFFFFF" w:themeFill="background1"/>
        <w:spacing w:after="0" w:line="240" w:lineRule="auto"/>
        <w:ind w:firstLine="284"/>
        <w:jc w:val="both"/>
        <w:rPr>
          <w:rFonts w:ascii="Garamond" w:hAnsi="Garamond" w:cs="Times New Roman"/>
          <w:b/>
          <w:sz w:val="24"/>
          <w:szCs w:val="24"/>
        </w:rPr>
      </w:pPr>
      <w:r w:rsidRPr="0077004D">
        <w:rPr>
          <w:rFonts w:ascii="Garamond" w:hAnsi="Garamond" w:cs="Times New Roman"/>
          <w:sz w:val="24"/>
          <w:szCs w:val="24"/>
        </w:rPr>
        <w:t>-</w:t>
      </w:r>
      <w:r w:rsidRPr="00B31292">
        <w:rPr>
          <w:rFonts w:ascii="Garamond" w:hAnsi="Garamond" w:cs="Times New Roman"/>
          <w:b/>
          <w:sz w:val="24"/>
          <w:szCs w:val="24"/>
        </w:rPr>
        <w:t xml:space="preserve"> </w:t>
      </w:r>
      <w:r w:rsidR="001D45F4" w:rsidRPr="00B31292">
        <w:rPr>
          <w:rFonts w:ascii="Garamond" w:hAnsi="Garamond" w:cs="Times New Roman"/>
          <w:b/>
          <w:sz w:val="24"/>
          <w:szCs w:val="24"/>
        </w:rPr>
        <w:t>Përmbledhje</w:t>
      </w:r>
      <w:r w:rsidR="00043345" w:rsidRPr="00B31292">
        <w:rPr>
          <w:rFonts w:ascii="Garamond" w:hAnsi="Garamond" w:cs="Times New Roman"/>
          <w:b/>
          <w:sz w:val="24"/>
          <w:szCs w:val="24"/>
        </w:rPr>
        <w:t xml:space="preserve">: </w:t>
      </w:r>
      <w:r w:rsidR="00420254" w:rsidRPr="00B31292">
        <w:rPr>
          <w:rFonts w:ascii="Garamond" w:hAnsi="Garamond" w:cs="Times New Roman"/>
          <w:b/>
          <w:sz w:val="24"/>
          <w:szCs w:val="24"/>
        </w:rPr>
        <w:t>Arritjet 2024</w:t>
      </w:r>
      <w:r w:rsidR="00E27AAE" w:rsidRPr="00B31292">
        <w:rPr>
          <w:rFonts w:ascii="Garamond" w:hAnsi="Garamond" w:cs="Times New Roman"/>
          <w:b/>
          <w:sz w:val="24"/>
          <w:szCs w:val="24"/>
        </w:rPr>
        <w:t xml:space="preserve"> </w:t>
      </w:r>
      <w:r w:rsidR="00DD6555" w:rsidRPr="00B31292">
        <w:rPr>
          <w:rFonts w:ascii="Garamond" w:hAnsi="Garamond" w:cs="Times New Roman"/>
          <w:b/>
          <w:sz w:val="24"/>
          <w:szCs w:val="24"/>
        </w:rPr>
        <w:t>–</w:t>
      </w:r>
      <w:r w:rsidR="00E27AAE" w:rsidRPr="00B31292">
        <w:rPr>
          <w:rFonts w:ascii="Garamond" w:hAnsi="Garamond" w:cs="Times New Roman"/>
          <w:b/>
          <w:sz w:val="24"/>
          <w:szCs w:val="24"/>
        </w:rPr>
        <w:t xml:space="preserve"> </w:t>
      </w:r>
      <w:r w:rsidR="00420254" w:rsidRPr="00B31292">
        <w:rPr>
          <w:rFonts w:ascii="Garamond" w:hAnsi="Garamond" w:cs="Times New Roman"/>
          <w:b/>
          <w:sz w:val="24"/>
          <w:szCs w:val="24"/>
        </w:rPr>
        <w:t>Pritshmëritë 2025</w:t>
      </w:r>
    </w:p>
    <w:p w14:paraId="0D0660AF" w14:textId="772B1AED" w:rsidR="00EE716C" w:rsidRPr="00B31292" w:rsidRDefault="009508C8" w:rsidP="000A2254">
      <w:pPr>
        <w:autoSpaceDE w:val="0"/>
        <w:autoSpaceDN w:val="0"/>
        <w:adjustRightInd w:val="0"/>
        <w:spacing w:after="0" w:line="240" w:lineRule="auto"/>
        <w:ind w:firstLine="284"/>
        <w:jc w:val="both"/>
        <w:rPr>
          <w:rFonts w:ascii="Garamond" w:hAnsi="Garamond" w:cs="Garamond"/>
          <w:sz w:val="24"/>
          <w:szCs w:val="24"/>
        </w:rPr>
      </w:pPr>
      <w:r w:rsidRPr="0077004D">
        <w:rPr>
          <w:rFonts w:ascii="Garamond" w:hAnsi="Garamond" w:cs="Symbol"/>
          <w:sz w:val="24"/>
          <w:szCs w:val="24"/>
        </w:rPr>
        <w:t>-</w:t>
      </w:r>
      <w:r w:rsidR="00F63D59" w:rsidRPr="00B31292">
        <w:rPr>
          <w:rFonts w:ascii="Garamond" w:hAnsi="Garamond" w:cs="Garamond"/>
          <w:b/>
          <w:bCs/>
          <w:sz w:val="24"/>
          <w:szCs w:val="24"/>
        </w:rPr>
        <w:t xml:space="preserve"> </w:t>
      </w:r>
      <w:r w:rsidR="00EE716C" w:rsidRPr="00B31292">
        <w:rPr>
          <w:rFonts w:ascii="Garamond" w:hAnsi="Garamond" w:cs="Garamond"/>
          <w:b/>
          <w:bCs/>
          <w:sz w:val="24"/>
          <w:szCs w:val="24"/>
        </w:rPr>
        <w:t>Agjencitë statistikore dhe përgjegjësitë sipas Programit</w:t>
      </w:r>
    </w:p>
    <w:p w14:paraId="48B7CCE6" w14:textId="3BC3ED41" w:rsidR="00EE716C" w:rsidRPr="00B31292" w:rsidRDefault="00EE716C" w:rsidP="000A2254">
      <w:pPr>
        <w:autoSpaceDE w:val="0"/>
        <w:autoSpaceDN w:val="0"/>
        <w:adjustRightInd w:val="0"/>
        <w:spacing w:after="0" w:line="240" w:lineRule="auto"/>
        <w:ind w:firstLine="284"/>
        <w:jc w:val="both"/>
        <w:rPr>
          <w:rFonts w:ascii="Garamond" w:hAnsi="Garamond" w:cs="Garamond"/>
          <w:sz w:val="24"/>
          <w:szCs w:val="24"/>
        </w:rPr>
      </w:pPr>
      <w:r w:rsidRPr="00B31292">
        <w:rPr>
          <w:rFonts w:ascii="Garamond" w:hAnsi="Garamond" w:cs="Garamond"/>
          <w:b/>
          <w:bCs/>
          <w:sz w:val="24"/>
          <w:szCs w:val="24"/>
        </w:rPr>
        <w:t>Gjatë vitit 2024</w:t>
      </w:r>
      <w:r w:rsidRPr="00B31292">
        <w:rPr>
          <w:rFonts w:ascii="Garamond" w:hAnsi="Garamond" w:cs="Garamond"/>
          <w:sz w:val="24"/>
          <w:szCs w:val="24"/>
        </w:rPr>
        <w:t xml:space="preserve"> Agjencia Kombëtare e Burimeve Natyrore mori statusin ‘Agjenci Statistikore’. Sistemi Kombëtar Statistikor realizoi 106 aktivitete statistikore. INSTAT</w:t>
      </w:r>
      <w:r w:rsidR="00F63D59" w:rsidRPr="00B31292">
        <w:rPr>
          <w:rFonts w:ascii="Garamond" w:hAnsi="Garamond" w:cs="Garamond"/>
          <w:sz w:val="24"/>
          <w:szCs w:val="24"/>
        </w:rPr>
        <w:t>-i</w:t>
      </w:r>
      <w:r w:rsidRPr="00B31292">
        <w:rPr>
          <w:rFonts w:ascii="Garamond" w:hAnsi="Garamond" w:cs="Garamond"/>
          <w:sz w:val="24"/>
          <w:szCs w:val="24"/>
        </w:rPr>
        <w:t xml:space="preserve"> u angazhua për realizimin e 93 aktiviteteve statistikore, duke siguruar prodhimin e treguesve në katër fushat e Programit të Statistikave Zyrtare si: fusha e </w:t>
      </w:r>
      <w:r w:rsidR="00863E96" w:rsidRPr="00B31292">
        <w:rPr>
          <w:rFonts w:ascii="Garamond" w:hAnsi="Garamond" w:cs="Garamond"/>
          <w:sz w:val="24"/>
          <w:szCs w:val="24"/>
        </w:rPr>
        <w:t>statistikave demografike dhe sociale, fusha e statistikave ekonomike, fusha e statistikave sektoriale dhe fusha e statistikave të mjedisit dhe multidomain</w:t>
      </w:r>
      <w:r w:rsidRPr="00B31292">
        <w:rPr>
          <w:rFonts w:ascii="Garamond" w:hAnsi="Garamond" w:cs="Garamond"/>
          <w:sz w:val="24"/>
          <w:szCs w:val="24"/>
        </w:rPr>
        <w:t xml:space="preserve">. Banka e Shqipërisë realizoi 9 aktivitete për mbulim me tregues në fushën e </w:t>
      </w:r>
      <w:r w:rsidR="00863E96" w:rsidRPr="00B31292">
        <w:rPr>
          <w:rFonts w:ascii="Garamond" w:hAnsi="Garamond" w:cs="Garamond"/>
          <w:sz w:val="24"/>
          <w:szCs w:val="24"/>
        </w:rPr>
        <w:t>statistikave ekonomike dhe në fushën e statistikave sektoriale</w:t>
      </w:r>
      <w:r w:rsidRPr="00B31292">
        <w:rPr>
          <w:rFonts w:ascii="Garamond" w:hAnsi="Garamond" w:cs="Garamond"/>
          <w:sz w:val="24"/>
          <w:szCs w:val="24"/>
        </w:rPr>
        <w:t xml:space="preserve">. Ministria e Financave kontribuoi në realizimin e 2 aktiviteteve në fushën e </w:t>
      </w:r>
      <w:r w:rsidR="00863E96" w:rsidRPr="00B31292">
        <w:rPr>
          <w:rFonts w:ascii="Garamond" w:hAnsi="Garamond" w:cs="Garamond"/>
          <w:sz w:val="24"/>
          <w:szCs w:val="24"/>
        </w:rPr>
        <w:t>statistikave e</w:t>
      </w:r>
      <w:r w:rsidRPr="00B31292">
        <w:rPr>
          <w:rFonts w:ascii="Garamond" w:hAnsi="Garamond" w:cs="Garamond"/>
          <w:sz w:val="24"/>
          <w:szCs w:val="24"/>
        </w:rPr>
        <w:t xml:space="preserve">konomike. Agjencia Kombëtare e Burimeve Natyrore u angazhua në realizimin e aktiviteteve që lidhen me bilancin </w:t>
      </w:r>
      <w:r w:rsidR="00F63D59" w:rsidRPr="00B31292">
        <w:rPr>
          <w:rFonts w:ascii="Garamond" w:hAnsi="Garamond" w:cs="Garamond"/>
          <w:sz w:val="24"/>
          <w:szCs w:val="24"/>
        </w:rPr>
        <w:t>energjetik</w:t>
      </w:r>
      <w:r w:rsidRPr="00B31292">
        <w:rPr>
          <w:rFonts w:ascii="Garamond" w:hAnsi="Garamond" w:cs="Garamond"/>
          <w:sz w:val="24"/>
          <w:szCs w:val="24"/>
        </w:rPr>
        <w:t xml:space="preserve"> tremujor dhe vjetor. </w:t>
      </w:r>
      <w:r w:rsidRPr="00B31292">
        <w:rPr>
          <w:rFonts w:ascii="Garamond" w:hAnsi="Garamond" w:cs="Garamond"/>
          <w:b/>
          <w:bCs/>
          <w:sz w:val="24"/>
          <w:szCs w:val="24"/>
        </w:rPr>
        <w:t xml:space="preserve">Për vitin 2025 </w:t>
      </w:r>
      <w:r w:rsidRPr="00B31292">
        <w:rPr>
          <w:rFonts w:ascii="Garamond" w:hAnsi="Garamond" w:cs="Garamond"/>
          <w:sz w:val="24"/>
          <w:szCs w:val="24"/>
        </w:rPr>
        <w:t>Sistemi ka planifikuar të realizojë 113 aktivitete statistikore. INSTAT</w:t>
      </w:r>
      <w:r w:rsidR="00F63D59" w:rsidRPr="00B31292">
        <w:rPr>
          <w:rFonts w:ascii="Garamond" w:hAnsi="Garamond" w:cs="Garamond"/>
          <w:sz w:val="24"/>
          <w:szCs w:val="24"/>
        </w:rPr>
        <w:t>-i</w:t>
      </w:r>
      <w:r w:rsidRPr="00B31292">
        <w:rPr>
          <w:rFonts w:ascii="Garamond" w:hAnsi="Garamond" w:cs="Garamond"/>
          <w:sz w:val="24"/>
          <w:szCs w:val="24"/>
        </w:rPr>
        <w:t xml:space="preserve"> planifikon të realizojë 100 aktivitete në 4 fushat statistikore të </w:t>
      </w:r>
      <w:r w:rsidR="00863E96" w:rsidRPr="00B31292">
        <w:rPr>
          <w:rFonts w:ascii="Garamond" w:hAnsi="Garamond" w:cs="Garamond"/>
          <w:sz w:val="24"/>
          <w:szCs w:val="24"/>
        </w:rPr>
        <w:t>programit</w:t>
      </w:r>
      <w:r w:rsidRPr="00B31292">
        <w:rPr>
          <w:rFonts w:ascii="Garamond" w:hAnsi="Garamond" w:cs="Garamond"/>
          <w:sz w:val="24"/>
          <w:szCs w:val="24"/>
        </w:rPr>
        <w:t xml:space="preserve">, Banka e Shqipërisë 9 aktivitete në fushën e </w:t>
      </w:r>
      <w:r w:rsidR="00863E96" w:rsidRPr="00B31292">
        <w:rPr>
          <w:rFonts w:ascii="Garamond" w:hAnsi="Garamond" w:cs="Garamond"/>
          <w:sz w:val="24"/>
          <w:szCs w:val="24"/>
        </w:rPr>
        <w:t>statistikave ekonomike dhe në fushën e statistikave sektoriale</w:t>
      </w:r>
      <w:r w:rsidRPr="00B31292">
        <w:rPr>
          <w:rFonts w:ascii="Garamond" w:hAnsi="Garamond" w:cs="Garamond"/>
          <w:sz w:val="24"/>
          <w:szCs w:val="24"/>
        </w:rPr>
        <w:t xml:space="preserve">, Ministria e Financave do të realizojë 2 aktivitete në fushën e </w:t>
      </w:r>
      <w:r w:rsidR="00863E96" w:rsidRPr="00B31292">
        <w:rPr>
          <w:rFonts w:ascii="Garamond" w:hAnsi="Garamond" w:cs="Garamond"/>
          <w:sz w:val="24"/>
          <w:szCs w:val="24"/>
        </w:rPr>
        <w:t>statistikave ekonomike</w:t>
      </w:r>
      <w:r w:rsidRPr="00B31292">
        <w:rPr>
          <w:rFonts w:ascii="Garamond" w:hAnsi="Garamond" w:cs="Garamond"/>
          <w:sz w:val="24"/>
          <w:szCs w:val="24"/>
        </w:rPr>
        <w:t>, Agjencia Kombëtare e Burimeve Natyrore do të realizojë 2 aktivitete statistikore.</w:t>
      </w:r>
    </w:p>
    <w:p w14:paraId="4E3C7DA7" w14:textId="43BAA002" w:rsidR="00EE716C" w:rsidRPr="00B31292" w:rsidRDefault="00F63D59" w:rsidP="00F63D59">
      <w:pPr>
        <w:autoSpaceDE w:val="0"/>
        <w:autoSpaceDN w:val="0"/>
        <w:adjustRightInd w:val="0"/>
        <w:spacing w:after="0" w:line="240" w:lineRule="auto"/>
        <w:ind w:firstLine="280"/>
        <w:jc w:val="both"/>
        <w:rPr>
          <w:rFonts w:ascii="Garamond" w:hAnsi="Garamond" w:cs="Garamond"/>
          <w:sz w:val="24"/>
          <w:szCs w:val="24"/>
        </w:rPr>
      </w:pPr>
      <w:r w:rsidRPr="0077004D">
        <w:rPr>
          <w:rFonts w:ascii="Garamond" w:hAnsi="Garamond" w:cs="Symbol"/>
          <w:sz w:val="24"/>
          <w:szCs w:val="24"/>
        </w:rPr>
        <w:t>-</w:t>
      </w:r>
      <w:r w:rsidRPr="00B31292">
        <w:rPr>
          <w:rFonts w:ascii="Garamond" w:hAnsi="Garamond" w:cs="Garamond"/>
          <w:b/>
          <w:bCs/>
          <w:sz w:val="24"/>
          <w:szCs w:val="24"/>
        </w:rPr>
        <w:t xml:space="preserve"> </w:t>
      </w:r>
      <w:r w:rsidR="00EE716C" w:rsidRPr="00B31292">
        <w:rPr>
          <w:rFonts w:ascii="Garamond" w:hAnsi="Garamond" w:cs="Garamond"/>
          <w:b/>
          <w:bCs/>
          <w:sz w:val="24"/>
          <w:szCs w:val="24"/>
        </w:rPr>
        <w:t xml:space="preserve">Aktivitetet dhe treguesit statistikorë </w:t>
      </w:r>
    </w:p>
    <w:p w14:paraId="01AD514E" w14:textId="101C7458" w:rsidR="00EE716C" w:rsidRPr="00B31292" w:rsidRDefault="00EE716C" w:rsidP="003A4DBA">
      <w:pPr>
        <w:autoSpaceDE w:val="0"/>
        <w:autoSpaceDN w:val="0"/>
        <w:adjustRightInd w:val="0"/>
        <w:spacing w:after="0" w:line="240" w:lineRule="auto"/>
        <w:ind w:firstLine="280"/>
        <w:jc w:val="both"/>
        <w:rPr>
          <w:rFonts w:ascii="Garamond" w:hAnsi="Garamond" w:cs="Garamond"/>
          <w:sz w:val="24"/>
          <w:szCs w:val="24"/>
        </w:rPr>
      </w:pPr>
      <w:r w:rsidRPr="00B31292">
        <w:rPr>
          <w:rFonts w:ascii="Garamond" w:hAnsi="Garamond" w:cs="Garamond"/>
          <w:b/>
          <w:bCs/>
          <w:sz w:val="24"/>
          <w:szCs w:val="24"/>
        </w:rPr>
        <w:t xml:space="preserve">Gjatë vitit 2024 </w:t>
      </w:r>
      <w:r w:rsidRPr="00B31292">
        <w:rPr>
          <w:rFonts w:ascii="Garamond" w:hAnsi="Garamond" w:cs="Garamond"/>
          <w:sz w:val="24"/>
          <w:szCs w:val="24"/>
        </w:rPr>
        <w:t xml:space="preserve">në fushën e </w:t>
      </w:r>
      <w:r w:rsidR="00863E96" w:rsidRPr="00B31292">
        <w:rPr>
          <w:rFonts w:ascii="Garamond" w:hAnsi="Garamond" w:cs="Garamond"/>
          <w:sz w:val="24"/>
          <w:szCs w:val="24"/>
        </w:rPr>
        <w:t xml:space="preserve">statistikave demografike dhe sociale </w:t>
      </w:r>
      <w:r w:rsidRPr="00B31292">
        <w:rPr>
          <w:rFonts w:ascii="Garamond" w:hAnsi="Garamond" w:cs="Garamond"/>
          <w:sz w:val="24"/>
          <w:szCs w:val="24"/>
        </w:rPr>
        <w:t>u realizuan 30 aktivitete statistikore nga të cilat u prodhuan 446 tregues</w:t>
      </w:r>
      <w:r w:rsidR="00863E96" w:rsidRPr="00B31292">
        <w:rPr>
          <w:rFonts w:ascii="Garamond" w:hAnsi="Garamond" w:cs="Garamond"/>
          <w:sz w:val="24"/>
          <w:szCs w:val="24"/>
        </w:rPr>
        <w:t>,</w:t>
      </w:r>
      <w:r w:rsidRPr="00B31292">
        <w:rPr>
          <w:rFonts w:ascii="Garamond" w:hAnsi="Garamond" w:cs="Garamond"/>
          <w:sz w:val="24"/>
          <w:szCs w:val="24"/>
        </w:rPr>
        <w:t xml:space="preserve"> duke mbuluar me të dhëna nënfushat</w:t>
      </w:r>
      <w:r w:rsidR="00F63D59" w:rsidRPr="00B31292">
        <w:rPr>
          <w:rFonts w:ascii="Garamond" w:hAnsi="Garamond" w:cs="Garamond"/>
          <w:sz w:val="24"/>
          <w:szCs w:val="24"/>
        </w:rPr>
        <w:t>,</w:t>
      </w:r>
      <w:r w:rsidRPr="00B31292">
        <w:rPr>
          <w:rFonts w:ascii="Garamond" w:hAnsi="Garamond" w:cs="Garamond"/>
          <w:sz w:val="24"/>
          <w:szCs w:val="24"/>
        </w:rPr>
        <w:t xml:space="preserve"> si: </w:t>
      </w:r>
      <w:r w:rsidR="00863E96" w:rsidRPr="00B31292">
        <w:rPr>
          <w:rFonts w:ascii="Garamond" w:hAnsi="Garamond" w:cs="Garamond"/>
          <w:sz w:val="24"/>
          <w:szCs w:val="24"/>
        </w:rPr>
        <w:t xml:space="preserve">popullsia me vendbanim të zakonshëm në </w:t>
      </w:r>
      <w:r w:rsidR="000F0D03" w:rsidRPr="00B31292">
        <w:rPr>
          <w:rFonts w:ascii="Garamond" w:hAnsi="Garamond" w:cs="Garamond"/>
          <w:sz w:val="24"/>
          <w:szCs w:val="24"/>
        </w:rPr>
        <w:t xml:space="preserve">Shqipëri </w:t>
      </w:r>
      <w:r w:rsidR="00863E96" w:rsidRPr="00B31292">
        <w:rPr>
          <w:rFonts w:ascii="Garamond" w:hAnsi="Garamond" w:cs="Garamond"/>
          <w:sz w:val="24"/>
          <w:szCs w:val="24"/>
        </w:rPr>
        <w:t>dhe jashtë saj, puna dhe kostot e punës, arsimi dhe trajnimet, shëndetësia, të ardhurat dhe shpenzimet e konsumit, mbrojtja sociale, drejtësia dhe krimi, kultura; 20 aktivitete në fushën e statistikave ekonomike, nga të cilat u prodhuan 241 tregues mbi statistikat makroekonomike, statistikat financiare të qever</w:t>
      </w:r>
      <w:r w:rsidRPr="00B31292">
        <w:rPr>
          <w:rFonts w:ascii="Garamond" w:hAnsi="Garamond" w:cs="Garamond"/>
          <w:sz w:val="24"/>
          <w:szCs w:val="24"/>
        </w:rPr>
        <w:t xml:space="preserve">isë, </w:t>
      </w:r>
      <w:r w:rsidR="00863E96" w:rsidRPr="00B31292">
        <w:rPr>
          <w:rFonts w:ascii="Garamond" w:hAnsi="Garamond" w:cs="Garamond"/>
          <w:sz w:val="24"/>
          <w:szCs w:val="24"/>
        </w:rPr>
        <w:t>fiskale dhe të sektorit publik dhe statistikat e biznesit; në fushën e statistikave sektoriale u realizuan 45 aktivitete nga të cilat u prodhuan 354 tregues duke mbuluar nënfushat, si: statistikat e bujqësisë, peshkimit dhe pyjeve, energjia, transporti, turizmi, tregtia e jashtme, bilanci i pagesave, çmimet, shkenca, teknologjia dhe inovacioni; në fushën e statistikave të mjedisit dhe multidomain u realizuan 11 aktivitete për prodhimin e 50 treguesve statistikorë mbi llogaritë monetare dhe fizike në mjedis, mbetjet, ujin, biodiversitetin etj.</w:t>
      </w:r>
      <w:r w:rsidRPr="00B31292">
        <w:rPr>
          <w:rFonts w:ascii="Garamond" w:hAnsi="Garamond" w:cs="Garamond"/>
          <w:sz w:val="24"/>
          <w:szCs w:val="24"/>
        </w:rPr>
        <w:t xml:space="preserve"> </w:t>
      </w:r>
      <w:r w:rsidRPr="00B31292">
        <w:rPr>
          <w:rFonts w:ascii="Garamond" w:hAnsi="Garamond" w:cs="Garamond"/>
          <w:b/>
          <w:bCs/>
          <w:sz w:val="24"/>
          <w:szCs w:val="24"/>
        </w:rPr>
        <w:t xml:space="preserve">Për vitin 2025 </w:t>
      </w:r>
      <w:r w:rsidRPr="00B31292">
        <w:rPr>
          <w:rFonts w:ascii="Garamond" w:hAnsi="Garamond" w:cs="Garamond"/>
          <w:sz w:val="24"/>
          <w:szCs w:val="24"/>
        </w:rPr>
        <w:t xml:space="preserve">për fushat dhe nënfushat e sipërpërmendura parashikohen: 33 aktivitete në fushën e </w:t>
      </w:r>
      <w:r w:rsidR="00863E96" w:rsidRPr="00B31292">
        <w:rPr>
          <w:rFonts w:ascii="Garamond" w:hAnsi="Garamond" w:cs="Garamond"/>
          <w:sz w:val="24"/>
          <w:szCs w:val="24"/>
        </w:rPr>
        <w:t xml:space="preserve">statistikave demografike dhe sociale për prodhimin e 496 treguesve statistikorë; 20 aktivitete në fushën e statistikave ekonomike, duke synuar prodhimin e 241 treguesve; 47 aktivitete në fushën e statistikave sektoriale, shoqëruar me prodhimin e 361 treguesve; </w:t>
      </w:r>
      <w:r w:rsidR="00863E96" w:rsidRPr="00B31292">
        <w:rPr>
          <w:rFonts w:ascii="Garamond" w:hAnsi="Garamond" w:cs="Garamond"/>
          <w:sz w:val="24"/>
          <w:szCs w:val="24"/>
        </w:rPr>
        <w:lastRenderedPageBreak/>
        <w:t>13 aktivitete në fushën e statistikave të mjedisit dhe multidomain, për prodhimin e 56 treguesve statistikorë.</w:t>
      </w:r>
    </w:p>
    <w:p w14:paraId="7114C472" w14:textId="54FEC28B" w:rsidR="00EE716C" w:rsidRPr="00B31292" w:rsidRDefault="009508C8" w:rsidP="003A4DBA">
      <w:pPr>
        <w:autoSpaceDE w:val="0"/>
        <w:autoSpaceDN w:val="0"/>
        <w:adjustRightInd w:val="0"/>
        <w:spacing w:after="0" w:line="240" w:lineRule="auto"/>
        <w:ind w:firstLine="280"/>
        <w:jc w:val="both"/>
        <w:rPr>
          <w:rFonts w:ascii="Garamond" w:hAnsi="Garamond" w:cs="Garamond"/>
          <w:sz w:val="24"/>
          <w:szCs w:val="24"/>
        </w:rPr>
      </w:pPr>
      <w:r w:rsidRPr="0077004D">
        <w:rPr>
          <w:rFonts w:ascii="Garamond" w:hAnsi="Garamond" w:cs="Symbol"/>
          <w:sz w:val="24"/>
          <w:szCs w:val="24"/>
        </w:rPr>
        <w:t>-</w:t>
      </w:r>
      <w:r w:rsidR="00F63D59" w:rsidRPr="00B31292">
        <w:rPr>
          <w:rFonts w:ascii="Garamond" w:hAnsi="Garamond" w:cs="Symbol"/>
          <w:sz w:val="24"/>
          <w:szCs w:val="24"/>
        </w:rPr>
        <w:t xml:space="preserve"> </w:t>
      </w:r>
      <w:r w:rsidR="00EE716C" w:rsidRPr="00B31292">
        <w:rPr>
          <w:rFonts w:ascii="Garamond" w:hAnsi="Garamond" w:cs="Garamond"/>
          <w:b/>
          <w:bCs/>
          <w:sz w:val="24"/>
          <w:szCs w:val="24"/>
        </w:rPr>
        <w:t xml:space="preserve">Aktivitetet e reja. Në vitin 2024 </w:t>
      </w:r>
      <w:r w:rsidR="00EE716C" w:rsidRPr="00B31292">
        <w:rPr>
          <w:rFonts w:ascii="Garamond" w:hAnsi="Garamond" w:cs="Garamond"/>
          <w:sz w:val="24"/>
          <w:szCs w:val="24"/>
        </w:rPr>
        <w:t xml:space="preserve">u realizuan 2 aktivitete të reja. Në fushën e </w:t>
      </w:r>
      <w:r w:rsidR="00863E96" w:rsidRPr="00B31292">
        <w:rPr>
          <w:rFonts w:ascii="Garamond" w:hAnsi="Garamond" w:cs="Garamond"/>
          <w:sz w:val="24"/>
          <w:szCs w:val="24"/>
        </w:rPr>
        <w:t>statistikave demografike dhe sociale u ndërmorën disa aktivitete lidhur me studimin e aspekteve metodologjike, mbi statistikat e shëndetit dhe sigurisë në punë</w:t>
      </w:r>
      <w:r w:rsidR="00EE716C" w:rsidRPr="00B31292">
        <w:rPr>
          <w:rFonts w:ascii="Garamond" w:hAnsi="Garamond" w:cs="Garamond"/>
          <w:sz w:val="24"/>
          <w:szCs w:val="24"/>
        </w:rPr>
        <w:t xml:space="preserve">. U kryen disa takime për të kuptuar situatën dhe u reflektuan nevojat për klasifikimet e nevojshme </w:t>
      </w:r>
      <w:r w:rsidR="00F63D59" w:rsidRPr="00B31292">
        <w:rPr>
          <w:rFonts w:ascii="Garamond" w:hAnsi="Garamond" w:cs="Garamond"/>
          <w:sz w:val="24"/>
          <w:szCs w:val="24"/>
        </w:rPr>
        <w:t>për</w:t>
      </w:r>
      <w:r w:rsidR="00EE716C" w:rsidRPr="00B31292">
        <w:rPr>
          <w:rFonts w:ascii="Garamond" w:hAnsi="Garamond" w:cs="Garamond"/>
          <w:sz w:val="24"/>
          <w:szCs w:val="24"/>
        </w:rPr>
        <w:t xml:space="preserve"> t’u përdorur. Në fushën e </w:t>
      </w:r>
      <w:r w:rsidR="00863E96" w:rsidRPr="00B31292">
        <w:rPr>
          <w:rFonts w:ascii="Garamond" w:hAnsi="Garamond" w:cs="Garamond"/>
          <w:sz w:val="24"/>
          <w:szCs w:val="24"/>
        </w:rPr>
        <w:t xml:space="preserve">statistikave ekonomike u realizua vrojtimi </w:t>
      </w:r>
      <w:r w:rsidR="00EE716C" w:rsidRPr="00B31292">
        <w:rPr>
          <w:rFonts w:ascii="Garamond" w:hAnsi="Garamond" w:cs="Garamond"/>
          <w:sz w:val="24"/>
          <w:szCs w:val="24"/>
        </w:rPr>
        <w:t xml:space="preserve">i </w:t>
      </w:r>
      <w:r w:rsidR="00863E96" w:rsidRPr="00B31292">
        <w:rPr>
          <w:rFonts w:ascii="Garamond" w:hAnsi="Garamond" w:cs="Garamond"/>
          <w:sz w:val="24"/>
          <w:szCs w:val="24"/>
        </w:rPr>
        <w:t xml:space="preserve">regjistrave të biznesit </w:t>
      </w:r>
      <w:r w:rsidR="00EE716C" w:rsidRPr="00B31292">
        <w:rPr>
          <w:rFonts w:ascii="Garamond" w:hAnsi="Garamond" w:cs="Garamond"/>
          <w:sz w:val="24"/>
          <w:szCs w:val="24"/>
        </w:rPr>
        <w:t xml:space="preserve">(ARB), rezultatet e së cilës shërbejnë për përditësimin e regjistrave të </w:t>
      </w:r>
      <w:r w:rsidR="00863E96" w:rsidRPr="00B31292">
        <w:rPr>
          <w:rFonts w:ascii="Garamond" w:hAnsi="Garamond" w:cs="Garamond"/>
          <w:sz w:val="24"/>
          <w:szCs w:val="24"/>
        </w:rPr>
        <w:t>biznesit</w:t>
      </w:r>
      <w:r w:rsidR="00EE716C" w:rsidRPr="00B31292">
        <w:rPr>
          <w:rFonts w:ascii="Garamond" w:hAnsi="Garamond" w:cs="Garamond"/>
          <w:sz w:val="24"/>
          <w:szCs w:val="24"/>
        </w:rPr>
        <w:t xml:space="preserve">. </w:t>
      </w:r>
      <w:r w:rsidR="00EE716C" w:rsidRPr="00B31292">
        <w:rPr>
          <w:rFonts w:ascii="Garamond" w:hAnsi="Garamond" w:cs="Garamond"/>
          <w:b/>
          <w:bCs/>
          <w:sz w:val="24"/>
          <w:szCs w:val="24"/>
        </w:rPr>
        <w:t>Gjatë vitit 2025</w:t>
      </w:r>
      <w:r w:rsidR="00EE716C" w:rsidRPr="00B31292">
        <w:rPr>
          <w:rFonts w:ascii="Garamond" w:hAnsi="Garamond" w:cs="Garamond"/>
          <w:sz w:val="24"/>
          <w:szCs w:val="24"/>
        </w:rPr>
        <w:t xml:space="preserve"> planifikohet realizimi i një aktiviteti të ri që lidhet me publikimin e dedikuar për statistikat e Krimeve.</w:t>
      </w:r>
    </w:p>
    <w:p w14:paraId="44C14293" w14:textId="10FB8680" w:rsidR="00EE716C" w:rsidRPr="00B31292" w:rsidRDefault="009508C8" w:rsidP="003A4DBA">
      <w:pPr>
        <w:autoSpaceDE w:val="0"/>
        <w:autoSpaceDN w:val="0"/>
        <w:adjustRightInd w:val="0"/>
        <w:spacing w:after="0" w:line="240" w:lineRule="auto"/>
        <w:ind w:firstLine="280"/>
        <w:jc w:val="both"/>
        <w:rPr>
          <w:rFonts w:ascii="Garamond" w:hAnsi="Garamond" w:cs="Garamond"/>
          <w:sz w:val="24"/>
          <w:szCs w:val="24"/>
        </w:rPr>
      </w:pPr>
      <w:r w:rsidRPr="00B31292">
        <w:rPr>
          <w:rFonts w:ascii="Garamond" w:hAnsi="Garamond" w:cs="Symbol"/>
          <w:sz w:val="24"/>
          <w:szCs w:val="24"/>
        </w:rPr>
        <w:t>-</w:t>
      </w:r>
      <w:r w:rsidR="005B084D" w:rsidRPr="00B31292">
        <w:rPr>
          <w:rFonts w:ascii="Garamond" w:hAnsi="Garamond" w:cs="Symbol"/>
          <w:sz w:val="24"/>
          <w:szCs w:val="24"/>
        </w:rPr>
        <w:t xml:space="preserve"> </w:t>
      </w:r>
      <w:r w:rsidR="00EE716C" w:rsidRPr="00B31292">
        <w:rPr>
          <w:rFonts w:ascii="Garamond" w:hAnsi="Garamond" w:cs="Garamond"/>
          <w:b/>
          <w:bCs/>
          <w:sz w:val="24"/>
          <w:szCs w:val="24"/>
        </w:rPr>
        <w:t>Klasifikimet statistikore. Gjatë vitit 2024</w:t>
      </w:r>
      <w:r w:rsidR="00EE716C" w:rsidRPr="00B31292">
        <w:rPr>
          <w:rFonts w:ascii="Garamond" w:hAnsi="Garamond" w:cs="Garamond"/>
          <w:sz w:val="24"/>
          <w:szCs w:val="24"/>
        </w:rPr>
        <w:t xml:space="preserve"> ka vijuar zbatimi i klasifikimeve të miratuara në vitet paraardhëse, si dhe filloi puna për zbatimin e NACE Rev. 2.1. Tabela e korrespondencës midis NACE Rev. 2 dhe Rev. 2.1 u krijua dhe u transmetua në Eurostat. NACE Rev. 2.1 u përkthye në shqip dhe u diskutua në Komisionin Kombëtar të Nomenklaturave, i cili udhëheq aktivitetet për përshtatjen dhe zbatimin e klasifikimeve zyrtare ekonomike dhe sociale, në përputhje me klasifikimet evropiane dhe ndërkombëtare. NACE Rev. 2.1 është përfshirë në Planin Kombëtar për Integrimin Evropian 2024</w:t>
      </w:r>
      <w:r w:rsidR="005B084D" w:rsidRPr="00B31292">
        <w:rPr>
          <w:rFonts w:ascii="Garamond" w:hAnsi="Garamond" w:cs="Garamond"/>
          <w:sz w:val="24"/>
          <w:szCs w:val="24"/>
        </w:rPr>
        <w:t>–</w:t>
      </w:r>
      <w:r w:rsidR="00EE716C" w:rsidRPr="00B31292">
        <w:rPr>
          <w:rFonts w:ascii="Garamond" w:hAnsi="Garamond" w:cs="Garamond"/>
          <w:sz w:val="24"/>
          <w:szCs w:val="24"/>
        </w:rPr>
        <w:t xml:space="preserve">2026 dhe pritet të miratohet nga Këshilli i Ministrave gjatë katërmujorit të parë të </w:t>
      </w:r>
      <w:r w:rsidR="00EE716C" w:rsidRPr="00B31292">
        <w:rPr>
          <w:rFonts w:ascii="Garamond" w:hAnsi="Garamond" w:cs="Garamond"/>
          <w:b/>
          <w:bCs/>
          <w:sz w:val="24"/>
          <w:szCs w:val="24"/>
        </w:rPr>
        <w:t>vitit 2025</w:t>
      </w:r>
      <w:r w:rsidR="00EE716C" w:rsidRPr="00B31292">
        <w:rPr>
          <w:rFonts w:ascii="Garamond" w:hAnsi="Garamond" w:cs="Garamond"/>
          <w:sz w:val="24"/>
          <w:szCs w:val="24"/>
        </w:rPr>
        <w:t>.</w:t>
      </w:r>
    </w:p>
    <w:p w14:paraId="46D8CBEE" w14:textId="0049376D" w:rsidR="00B87D04" w:rsidRPr="00B31292" w:rsidRDefault="009508C8" w:rsidP="003A4DBA">
      <w:pPr>
        <w:autoSpaceDE w:val="0"/>
        <w:autoSpaceDN w:val="0"/>
        <w:adjustRightInd w:val="0"/>
        <w:spacing w:after="0" w:line="240" w:lineRule="auto"/>
        <w:ind w:firstLine="280"/>
        <w:jc w:val="both"/>
        <w:rPr>
          <w:rFonts w:ascii="Garamond" w:hAnsi="Garamond" w:cs="Garamond"/>
          <w:sz w:val="24"/>
          <w:szCs w:val="24"/>
        </w:rPr>
      </w:pPr>
      <w:r w:rsidRPr="00B31292">
        <w:rPr>
          <w:rFonts w:ascii="Garamond" w:hAnsi="Garamond" w:cs="Symbol"/>
          <w:sz w:val="24"/>
          <w:szCs w:val="24"/>
        </w:rPr>
        <w:t>-</w:t>
      </w:r>
      <w:r w:rsidR="0077004D">
        <w:rPr>
          <w:rFonts w:ascii="Garamond" w:hAnsi="Garamond" w:cs="Symbol"/>
          <w:sz w:val="24"/>
          <w:szCs w:val="24"/>
        </w:rPr>
        <w:t xml:space="preserve"> </w:t>
      </w:r>
      <w:r w:rsidR="00EE716C" w:rsidRPr="00B31292">
        <w:rPr>
          <w:rFonts w:ascii="Garamond" w:hAnsi="Garamond" w:cs="Garamond"/>
          <w:b/>
          <w:bCs/>
          <w:sz w:val="24"/>
          <w:szCs w:val="24"/>
        </w:rPr>
        <w:t xml:space="preserve">Menaxhimi i cilësisë. </w:t>
      </w:r>
      <w:r w:rsidR="00EE716C" w:rsidRPr="00B31292">
        <w:rPr>
          <w:rFonts w:ascii="Garamond" w:hAnsi="Garamond" w:cs="Garamond"/>
          <w:sz w:val="24"/>
          <w:szCs w:val="24"/>
        </w:rPr>
        <w:t xml:space="preserve">Në planin e </w:t>
      </w:r>
      <w:r w:rsidR="00EE716C" w:rsidRPr="00B31292">
        <w:rPr>
          <w:rFonts w:ascii="Garamond" w:hAnsi="Garamond" w:cs="Garamond"/>
          <w:b/>
          <w:bCs/>
          <w:sz w:val="24"/>
          <w:szCs w:val="24"/>
        </w:rPr>
        <w:t>vitit 2024</w:t>
      </w:r>
      <w:r w:rsidR="00EE716C" w:rsidRPr="00B31292">
        <w:rPr>
          <w:rFonts w:ascii="Garamond" w:hAnsi="Garamond" w:cs="Garamond"/>
          <w:sz w:val="24"/>
          <w:szCs w:val="24"/>
        </w:rPr>
        <w:t xml:space="preserve"> u parashikuan dy audite statistikore, një në fushën e statistikave ekonomike dhe një në fushën e statistikave sektoriale, rezultatet e të cilave do të përcaktojnë perspektivën e përmirësimeve metodologjike dhe aksioneve të nevojshme për implementimin e tyre gjatë vitit 2025. Gjithashtu</w:t>
      </w:r>
      <w:r w:rsidR="005B084D" w:rsidRPr="00B31292">
        <w:rPr>
          <w:rFonts w:ascii="Garamond" w:hAnsi="Garamond" w:cs="Garamond"/>
          <w:sz w:val="24"/>
          <w:szCs w:val="24"/>
        </w:rPr>
        <w:t>,</w:t>
      </w:r>
      <w:r w:rsidR="00EE716C" w:rsidRPr="00B31292">
        <w:rPr>
          <w:rFonts w:ascii="Garamond" w:hAnsi="Garamond" w:cs="Garamond"/>
          <w:sz w:val="24"/>
          <w:szCs w:val="24"/>
        </w:rPr>
        <w:t xml:space="preserve"> në planin e vitit 2024 u parashikuan të realizohen 2 pyetësorë vetëvlerësimi, përkatësisht 1 për fushën e </w:t>
      </w:r>
      <w:r w:rsidR="00863E96" w:rsidRPr="00B31292">
        <w:rPr>
          <w:rFonts w:ascii="Garamond" w:hAnsi="Garamond" w:cs="Garamond"/>
          <w:sz w:val="24"/>
          <w:szCs w:val="24"/>
        </w:rPr>
        <w:t xml:space="preserve">statistikave sociale dhe demografike </w:t>
      </w:r>
      <w:r w:rsidR="00EE716C" w:rsidRPr="00B31292">
        <w:rPr>
          <w:rFonts w:ascii="Garamond" w:hAnsi="Garamond" w:cs="Garamond"/>
          <w:sz w:val="24"/>
          <w:szCs w:val="24"/>
        </w:rPr>
        <w:t xml:space="preserve">dhe 1 për fushën e </w:t>
      </w:r>
      <w:r w:rsidR="00863E96" w:rsidRPr="00B31292">
        <w:rPr>
          <w:rFonts w:ascii="Garamond" w:hAnsi="Garamond" w:cs="Garamond"/>
          <w:sz w:val="24"/>
          <w:szCs w:val="24"/>
        </w:rPr>
        <w:t>statistikave ekonomike</w:t>
      </w:r>
      <w:r w:rsidR="00EE716C" w:rsidRPr="00B31292">
        <w:rPr>
          <w:rFonts w:ascii="Garamond" w:hAnsi="Garamond" w:cs="Garamond"/>
          <w:sz w:val="24"/>
          <w:szCs w:val="24"/>
        </w:rPr>
        <w:t xml:space="preserve">. </w:t>
      </w:r>
      <w:r w:rsidR="00EE716C" w:rsidRPr="00B31292">
        <w:rPr>
          <w:rFonts w:ascii="Garamond" w:hAnsi="Garamond" w:cs="Garamond"/>
          <w:b/>
          <w:bCs/>
          <w:sz w:val="24"/>
          <w:szCs w:val="24"/>
        </w:rPr>
        <w:t>Gjatë vitit 2025</w:t>
      </w:r>
      <w:r w:rsidR="00EE716C" w:rsidRPr="00B31292">
        <w:rPr>
          <w:rFonts w:ascii="Garamond" w:hAnsi="Garamond" w:cs="Garamond"/>
          <w:sz w:val="24"/>
          <w:szCs w:val="24"/>
        </w:rPr>
        <w:t xml:space="preserve"> parashikohet realizimi i 2 pyetësorëve të vetëvlerësimit në fushën e statistikave sektoriale. </w:t>
      </w:r>
      <w:r w:rsidR="00EE716C" w:rsidRPr="00B31292">
        <w:rPr>
          <w:rFonts w:ascii="Garamond" w:hAnsi="Garamond" w:cs="Garamond"/>
          <w:b/>
          <w:bCs/>
          <w:sz w:val="24"/>
          <w:szCs w:val="24"/>
        </w:rPr>
        <w:t>Gjatë vitit 2024</w:t>
      </w:r>
      <w:r w:rsidR="00EE716C" w:rsidRPr="00B31292">
        <w:rPr>
          <w:rFonts w:ascii="Garamond" w:hAnsi="Garamond" w:cs="Garamond"/>
          <w:sz w:val="24"/>
          <w:szCs w:val="24"/>
        </w:rPr>
        <w:t xml:space="preserve"> u parashikuan matja e kostos për 56 aktivitete statistikore, ndërsa </w:t>
      </w:r>
      <w:r w:rsidR="00EE716C" w:rsidRPr="00B31292">
        <w:rPr>
          <w:rFonts w:ascii="Garamond" w:hAnsi="Garamond" w:cs="Garamond"/>
          <w:b/>
          <w:bCs/>
          <w:sz w:val="24"/>
          <w:szCs w:val="24"/>
        </w:rPr>
        <w:t>gjatë vitit 2025</w:t>
      </w:r>
      <w:r w:rsidR="00EE716C" w:rsidRPr="00B31292">
        <w:rPr>
          <w:rFonts w:ascii="Garamond" w:hAnsi="Garamond" w:cs="Garamond"/>
          <w:sz w:val="24"/>
          <w:szCs w:val="24"/>
        </w:rPr>
        <w:t xml:space="preserve"> parashikohet matja e kostos për 60 aktivitete statistikore. Sa i përket raporteve të cilësisë gjatë vitit 2024</w:t>
      </w:r>
      <w:r w:rsidR="00863E96" w:rsidRPr="00B31292">
        <w:rPr>
          <w:rFonts w:ascii="Garamond" w:hAnsi="Garamond" w:cs="Garamond"/>
          <w:sz w:val="24"/>
          <w:szCs w:val="24"/>
        </w:rPr>
        <w:t>,</w:t>
      </w:r>
      <w:r w:rsidR="00EE716C" w:rsidRPr="00B31292">
        <w:rPr>
          <w:rFonts w:ascii="Garamond" w:hAnsi="Garamond" w:cs="Garamond"/>
          <w:sz w:val="24"/>
          <w:szCs w:val="24"/>
        </w:rPr>
        <w:t xml:space="preserve"> INSTAT</w:t>
      </w:r>
      <w:r w:rsidR="00F63D59" w:rsidRPr="00B31292">
        <w:rPr>
          <w:rFonts w:ascii="Garamond" w:hAnsi="Garamond" w:cs="Garamond"/>
          <w:sz w:val="24"/>
          <w:szCs w:val="24"/>
        </w:rPr>
        <w:t>-i</w:t>
      </w:r>
      <w:r w:rsidR="00EE716C" w:rsidRPr="00B31292">
        <w:rPr>
          <w:rFonts w:ascii="Garamond" w:hAnsi="Garamond" w:cs="Garamond"/>
          <w:sz w:val="24"/>
          <w:szCs w:val="24"/>
        </w:rPr>
        <w:t xml:space="preserve"> planifikoi publikimin e 63 raporteve të cilësisë edhe për vitin 2025 parashikohet publikimi i 63 raporteve të cilësisë.</w:t>
      </w:r>
    </w:p>
    <w:p w14:paraId="06145729" w14:textId="1F19549E" w:rsidR="00AB22B8" w:rsidRPr="00B31292" w:rsidRDefault="00AB22B8" w:rsidP="003A4DBA">
      <w:pPr>
        <w:shd w:val="clear" w:color="auto" w:fill="FFFFFF" w:themeFill="background1"/>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Informacion më i detajuar rreth aktiviteteve statistikore të parashikuara për t</w:t>
      </w:r>
      <w:r w:rsidR="00EB3664" w:rsidRPr="00B31292">
        <w:rPr>
          <w:rFonts w:ascii="Garamond" w:hAnsi="Garamond" w:cs="Times New Roman"/>
          <w:sz w:val="24"/>
          <w:szCs w:val="24"/>
        </w:rPr>
        <w:t>’</w:t>
      </w:r>
      <w:r w:rsidRPr="00B31292">
        <w:rPr>
          <w:rFonts w:ascii="Garamond" w:hAnsi="Garamond" w:cs="Times New Roman"/>
          <w:sz w:val="24"/>
          <w:szCs w:val="24"/>
        </w:rPr>
        <w:t>u realizuar gjatë vitit 202</w:t>
      </w:r>
      <w:r w:rsidR="009C09A4" w:rsidRPr="00B31292">
        <w:rPr>
          <w:rFonts w:ascii="Garamond" w:hAnsi="Garamond" w:cs="Times New Roman"/>
          <w:sz w:val="24"/>
          <w:szCs w:val="24"/>
        </w:rPr>
        <w:t>5</w:t>
      </w:r>
      <w:r w:rsidRPr="00B31292">
        <w:rPr>
          <w:rFonts w:ascii="Garamond" w:hAnsi="Garamond" w:cs="Times New Roman"/>
          <w:sz w:val="24"/>
          <w:szCs w:val="24"/>
        </w:rPr>
        <w:t xml:space="preserve"> jepet në seksionet e mëposhtme sipas fushave statistikore, si dhe në </w:t>
      </w:r>
      <w:r w:rsidR="005B084D" w:rsidRPr="00B31292">
        <w:rPr>
          <w:rFonts w:ascii="Garamond" w:hAnsi="Garamond" w:cs="Times New Roman"/>
          <w:sz w:val="24"/>
          <w:szCs w:val="24"/>
        </w:rPr>
        <w:t>a</w:t>
      </w:r>
      <w:r w:rsidRPr="00B31292">
        <w:rPr>
          <w:rFonts w:ascii="Garamond" w:hAnsi="Garamond" w:cs="Times New Roman"/>
          <w:sz w:val="24"/>
          <w:szCs w:val="24"/>
        </w:rPr>
        <w:t xml:space="preserve">neksin </w:t>
      </w:r>
      <w:r w:rsidR="00EB3664" w:rsidRPr="00B31292">
        <w:rPr>
          <w:rFonts w:ascii="Garamond" w:hAnsi="Garamond" w:cs="Times New Roman"/>
          <w:sz w:val="24"/>
          <w:szCs w:val="24"/>
        </w:rPr>
        <w:t>e</w:t>
      </w:r>
      <w:r w:rsidRPr="00B31292">
        <w:rPr>
          <w:rFonts w:ascii="Garamond" w:hAnsi="Garamond" w:cs="Times New Roman"/>
          <w:sz w:val="24"/>
          <w:szCs w:val="24"/>
        </w:rPr>
        <w:t xml:space="preserve"> këtij dokumenti, ku aktivitetet janë shoqëruar me informacion të kategorive:</w:t>
      </w:r>
    </w:p>
    <w:p w14:paraId="5560705F" w14:textId="0E9EA4D0" w:rsidR="00AB22B8" w:rsidRPr="00B31292" w:rsidRDefault="00D87FF8" w:rsidP="003A4DBA">
      <w:pPr>
        <w:shd w:val="clear" w:color="auto" w:fill="FFFFFF" w:themeFill="background1"/>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 xml:space="preserve">- </w:t>
      </w:r>
      <w:r w:rsidR="00AB22B8" w:rsidRPr="00B31292">
        <w:rPr>
          <w:rFonts w:ascii="Garamond" w:hAnsi="Garamond" w:cs="Times New Roman"/>
          <w:sz w:val="24"/>
          <w:szCs w:val="24"/>
        </w:rPr>
        <w:t xml:space="preserve">Lloji i aktivitetit; </w:t>
      </w:r>
    </w:p>
    <w:p w14:paraId="6FC3DA5B" w14:textId="2B82E965" w:rsidR="00AB22B8" w:rsidRPr="00B31292" w:rsidRDefault="00D87FF8" w:rsidP="003A4DBA">
      <w:pPr>
        <w:shd w:val="clear" w:color="auto" w:fill="FFFFFF" w:themeFill="background1"/>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 xml:space="preserve">- </w:t>
      </w:r>
      <w:r w:rsidR="00AB22B8" w:rsidRPr="00B31292">
        <w:rPr>
          <w:rFonts w:ascii="Garamond" w:hAnsi="Garamond" w:cs="Times New Roman"/>
          <w:sz w:val="24"/>
          <w:szCs w:val="24"/>
        </w:rPr>
        <w:t>Tipi i aktivitetit;</w:t>
      </w:r>
    </w:p>
    <w:p w14:paraId="479CB9D6" w14:textId="29CFFF53" w:rsidR="00AB22B8" w:rsidRPr="00B31292" w:rsidRDefault="00D87FF8" w:rsidP="003A4DBA">
      <w:pPr>
        <w:shd w:val="clear" w:color="auto" w:fill="FFFFFF" w:themeFill="background1"/>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 xml:space="preserve">- </w:t>
      </w:r>
      <w:r w:rsidR="00AB22B8" w:rsidRPr="00B31292">
        <w:rPr>
          <w:rFonts w:ascii="Garamond" w:hAnsi="Garamond" w:cs="Times New Roman"/>
          <w:sz w:val="24"/>
          <w:szCs w:val="24"/>
        </w:rPr>
        <w:t>Periodiciteti i aktivitetit;</w:t>
      </w:r>
    </w:p>
    <w:p w14:paraId="62922C6B" w14:textId="5840A427" w:rsidR="00D50F70" w:rsidRPr="00B31292" w:rsidRDefault="00D87FF8" w:rsidP="003A4DBA">
      <w:pPr>
        <w:shd w:val="clear" w:color="auto" w:fill="FFFFFF" w:themeFill="background1"/>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 xml:space="preserve">- </w:t>
      </w:r>
      <w:r w:rsidR="00D50F70" w:rsidRPr="00B31292">
        <w:rPr>
          <w:rFonts w:ascii="Garamond" w:hAnsi="Garamond" w:cs="Times New Roman"/>
          <w:sz w:val="24"/>
          <w:szCs w:val="24"/>
        </w:rPr>
        <w:t>Pë</w:t>
      </w:r>
      <w:r w:rsidR="00E351A1" w:rsidRPr="00B31292">
        <w:rPr>
          <w:rFonts w:ascii="Garamond" w:hAnsi="Garamond" w:cs="Times New Roman"/>
          <w:sz w:val="24"/>
          <w:szCs w:val="24"/>
        </w:rPr>
        <w:t>r</w:t>
      </w:r>
      <w:r w:rsidR="00D50F70" w:rsidRPr="00B31292">
        <w:rPr>
          <w:rFonts w:ascii="Garamond" w:hAnsi="Garamond" w:cs="Times New Roman"/>
          <w:sz w:val="24"/>
          <w:szCs w:val="24"/>
        </w:rPr>
        <w:t>qindja e të dhënave të siguruara nga burimi administrativ/vrojtimi</w:t>
      </w:r>
      <w:r w:rsidR="005B084D" w:rsidRPr="00B31292">
        <w:rPr>
          <w:rFonts w:ascii="Garamond" w:hAnsi="Garamond" w:cs="Times New Roman"/>
          <w:sz w:val="24"/>
          <w:szCs w:val="24"/>
        </w:rPr>
        <w:t>;</w:t>
      </w:r>
    </w:p>
    <w:p w14:paraId="1CBEF15F" w14:textId="42E64B8D" w:rsidR="00AB22B8" w:rsidRPr="00B31292" w:rsidRDefault="00D87FF8" w:rsidP="003A4DBA">
      <w:pPr>
        <w:shd w:val="clear" w:color="auto" w:fill="FFFFFF" w:themeFill="background1"/>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 xml:space="preserve">- </w:t>
      </w:r>
      <w:r w:rsidR="00AB22B8" w:rsidRPr="00B31292">
        <w:rPr>
          <w:rFonts w:ascii="Garamond" w:hAnsi="Garamond" w:cs="Times New Roman"/>
          <w:sz w:val="24"/>
          <w:szCs w:val="24"/>
        </w:rPr>
        <w:t>Treguesit statistikorë;</w:t>
      </w:r>
    </w:p>
    <w:p w14:paraId="643E7D96" w14:textId="17ED42D5" w:rsidR="00AB22B8" w:rsidRPr="00B31292" w:rsidRDefault="00D87FF8" w:rsidP="003A4DBA">
      <w:pPr>
        <w:shd w:val="clear" w:color="auto" w:fill="FFFFFF" w:themeFill="background1"/>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 xml:space="preserve">- </w:t>
      </w:r>
      <w:r w:rsidR="00AB22B8" w:rsidRPr="00B31292">
        <w:rPr>
          <w:rFonts w:ascii="Garamond" w:hAnsi="Garamond" w:cs="Times New Roman"/>
          <w:sz w:val="24"/>
          <w:szCs w:val="24"/>
        </w:rPr>
        <w:t>Institucioni përgjegjës për prodhimin e të dhënave;</w:t>
      </w:r>
    </w:p>
    <w:p w14:paraId="4C64C68C" w14:textId="04299A5B" w:rsidR="00AB22B8" w:rsidRPr="00B31292" w:rsidRDefault="00D87FF8" w:rsidP="003A4DBA">
      <w:pPr>
        <w:shd w:val="clear" w:color="auto" w:fill="FFFFFF" w:themeFill="background1"/>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 xml:space="preserve">- </w:t>
      </w:r>
      <w:r w:rsidR="00AB22B8" w:rsidRPr="00B31292">
        <w:rPr>
          <w:rFonts w:ascii="Garamond" w:hAnsi="Garamond" w:cs="Times New Roman"/>
          <w:sz w:val="24"/>
          <w:szCs w:val="24"/>
        </w:rPr>
        <w:t>Institucioni përgjegjës për furnizimin me të dhëna;</w:t>
      </w:r>
    </w:p>
    <w:p w14:paraId="5121C7A5" w14:textId="4B1358A5" w:rsidR="00AB22B8" w:rsidRPr="00B31292" w:rsidRDefault="00D87FF8" w:rsidP="003A4DBA">
      <w:pPr>
        <w:shd w:val="clear" w:color="auto" w:fill="FFFFFF" w:themeFill="background1"/>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 xml:space="preserve">- </w:t>
      </w:r>
      <w:r w:rsidR="00AB22B8" w:rsidRPr="00B31292">
        <w:rPr>
          <w:rFonts w:ascii="Garamond" w:hAnsi="Garamond" w:cs="Times New Roman"/>
          <w:sz w:val="24"/>
          <w:szCs w:val="24"/>
        </w:rPr>
        <w:t>Afati i grumbullimit të të dhënave;</w:t>
      </w:r>
    </w:p>
    <w:p w14:paraId="17F4D62B" w14:textId="403C85A3" w:rsidR="00AB22B8" w:rsidRPr="00B31292" w:rsidRDefault="00D87FF8" w:rsidP="003A4DBA">
      <w:pPr>
        <w:shd w:val="clear" w:color="auto" w:fill="FFFFFF" w:themeFill="background1"/>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 xml:space="preserve">- </w:t>
      </w:r>
      <w:r w:rsidR="00AB22B8" w:rsidRPr="00B31292">
        <w:rPr>
          <w:rFonts w:ascii="Garamond" w:hAnsi="Garamond" w:cs="Times New Roman"/>
          <w:sz w:val="24"/>
          <w:szCs w:val="24"/>
        </w:rPr>
        <w:t>Afati i përpunimit të të dhënave;</w:t>
      </w:r>
    </w:p>
    <w:p w14:paraId="26C8DF34" w14:textId="6CDF93EE" w:rsidR="00AB22B8" w:rsidRPr="00B31292" w:rsidRDefault="00D87FF8" w:rsidP="003A4DBA">
      <w:pPr>
        <w:shd w:val="clear" w:color="auto" w:fill="FFFFFF" w:themeFill="background1"/>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 xml:space="preserve">- </w:t>
      </w:r>
      <w:r w:rsidR="00AB22B8" w:rsidRPr="00B31292">
        <w:rPr>
          <w:rFonts w:ascii="Garamond" w:hAnsi="Garamond" w:cs="Times New Roman"/>
          <w:sz w:val="24"/>
          <w:szCs w:val="24"/>
        </w:rPr>
        <w:t>Afati i publikimit të të dhënave;</w:t>
      </w:r>
    </w:p>
    <w:p w14:paraId="03278E7C" w14:textId="583B09DF" w:rsidR="00AB22B8" w:rsidRPr="00B31292" w:rsidRDefault="00D87FF8" w:rsidP="003A4DBA">
      <w:pPr>
        <w:shd w:val="clear" w:color="auto" w:fill="FFFFFF" w:themeFill="background1"/>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 xml:space="preserve">- </w:t>
      </w:r>
      <w:r w:rsidR="00AB22B8" w:rsidRPr="00B31292">
        <w:rPr>
          <w:rFonts w:ascii="Garamond" w:hAnsi="Garamond" w:cs="Times New Roman"/>
          <w:sz w:val="24"/>
          <w:szCs w:val="24"/>
        </w:rPr>
        <w:t>Risqet dhe nivelet e risqeve;</w:t>
      </w:r>
    </w:p>
    <w:p w14:paraId="1F91CE31" w14:textId="6B7DC897" w:rsidR="00024A60" w:rsidRPr="00B31292" w:rsidRDefault="00D87FF8" w:rsidP="003A4DBA">
      <w:pPr>
        <w:shd w:val="clear" w:color="auto" w:fill="FFFFFF" w:themeFill="background1"/>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 xml:space="preserve">- </w:t>
      </w:r>
      <w:r w:rsidR="00AB22B8" w:rsidRPr="00B31292">
        <w:rPr>
          <w:rFonts w:ascii="Garamond" w:hAnsi="Garamond" w:cs="Times New Roman"/>
          <w:sz w:val="24"/>
          <w:szCs w:val="24"/>
        </w:rPr>
        <w:t>Burimet e financimit</w:t>
      </w:r>
      <w:r w:rsidR="005B084D" w:rsidRPr="00B31292">
        <w:rPr>
          <w:rFonts w:ascii="Garamond" w:hAnsi="Garamond" w:cs="Times New Roman"/>
          <w:sz w:val="24"/>
          <w:szCs w:val="24"/>
        </w:rPr>
        <w:t>.</w:t>
      </w:r>
    </w:p>
    <w:p w14:paraId="0CA91CED" w14:textId="0266ACF2" w:rsidR="003A6AF1" w:rsidRPr="00B31292" w:rsidRDefault="003A6AF1" w:rsidP="003A4DBA">
      <w:pPr>
        <w:pStyle w:val="Heading2"/>
        <w:spacing w:before="0" w:line="240" w:lineRule="auto"/>
        <w:ind w:firstLine="284"/>
        <w:rPr>
          <w:rFonts w:ascii="Garamond" w:hAnsi="Garamond"/>
          <w:color w:val="auto"/>
          <w:sz w:val="24"/>
          <w:szCs w:val="24"/>
        </w:rPr>
      </w:pPr>
      <w:bookmarkStart w:id="4" w:name="_Toc182991971"/>
      <w:r w:rsidRPr="00B31292">
        <w:rPr>
          <w:rFonts w:ascii="Garamond" w:hAnsi="Garamond"/>
          <w:color w:val="auto"/>
          <w:sz w:val="24"/>
          <w:szCs w:val="24"/>
        </w:rPr>
        <w:t xml:space="preserve">Fusha 1 </w:t>
      </w:r>
      <w:r w:rsidR="00BA12C3" w:rsidRPr="00B31292">
        <w:rPr>
          <w:rFonts w:ascii="Garamond" w:hAnsi="Garamond"/>
          <w:color w:val="auto"/>
          <w:sz w:val="24"/>
          <w:szCs w:val="24"/>
        </w:rPr>
        <w:t>“</w:t>
      </w:r>
      <w:r w:rsidRPr="00B31292">
        <w:rPr>
          <w:rFonts w:ascii="Garamond" w:hAnsi="Garamond"/>
          <w:color w:val="auto"/>
          <w:sz w:val="24"/>
          <w:szCs w:val="24"/>
        </w:rPr>
        <w:t>Statistikat demografike dhe sociale</w:t>
      </w:r>
      <w:r w:rsidR="00BA12C3" w:rsidRPr="00B31292">
        <w:rPr>
          <w:rFonts w:ascii="Garamond" w:hAnsi="Garamond"/>
          <w:color w:val="auto"/>
          <w:sz w:val="24"/>
          <w:szCs w:val="24"/>
        </w:rPr>
        <w:t>”</w:t>
      </w:r>
      <w:bookmarkEnd w:id="4"/>
    </w:p>
    <w:p w14:paraId="4EC77050" w14:textId="538538DF" w:rsidR="003A6AF1" w:rsidRPr="00B31292" w:rsidRDefault="003A6AF1" w:rsidP="003A4DBA">
      <w:pPr>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Statistikat sociale përfshijnë një sërë fushash që lidhen me statistikat e: popullsisë, tregut të punës dhe pagave, arsimit, shëndetësisë, të ardhurave dhe shpenzimeve të konsumit dhe përdorimit të kohës, mbrojtjes sociale, drejtësisë dhe krimit,</w:t>
      </w:r>
      <w:r w:rsidR="0036476E" w:rsidRPr="00B31292">
        <w:rPr>
          <w:rFonts w:ascii="Garamond" w:hAnsi="Garamond" w:cs="Times New Roman"/>
          <w:sz w:val="24"/>
          <w:szCs w:val="24"/>
        </w:rPr>
        <w:t xml:space="preserve"> kulturës.</w:t>
      </w:r>
    </w:p>
    <w:p w14:paraId="542C7A16" w14:textId="38E3B222" w:rsidR="003A6AF1" w:rsidRPr="00B31292" w:rsidRDefault="003A6AF1" w:rsidP="003A4DBA">
      <w:pPr>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Qëllimi kryesor i statistikave sociale është që të sigurojnë të dhëna në kohë dhe me cilësi të lartë të treguesve statistikorë, të cilët ndihmojnë në hartimin e politikave sociale dhe ekonomike</w:t>
      </w:r>
      <w:r w:rsidR="005B084D" w:rsidRPr="00B31292">
        <w:rPr>
          <w:rFonts w:ascii="Garamond" w:hAnsi="Garamond" w:cs="Times New Roman"/>
          <w:sz w:val="24"/>
          <w:szCs w:val="24"/>
        </w:rPr>
        <w:t>,</w:t>
      </w:r>
      <w:r w:rsidRPr="00B31292">
        <w:rPr>
          <w:rFonts w:ascii="Garamond" w:hAnsi="Garamond" w:cs="Times New Roman"/>
          <w:sz w:val="24"/>
          <w:szCs w:val="24"/>
        </w:rPr>
        <w:t xml:space="preserve"> me qëllimin final të zhvillimit dhe përmirësimit të </w:t>
      </w:r>
      <w:r w:rsidR="00F63D59" w:rsidRPr="00B31292">
        <w:rPr>
          <w:rFonts w:ascii="Garamond" w:hAnsi="Garamond" w:cs="Times New Roman"/>
          <w:sz w:val="24"/>
          <w:szCs w:val="24"/>
        </w:rPr>
        <w:t>mirëqenies</w:t>
      </w:r>
      <w:r w:rsidRPr="00B31292">
        <w:rPr>
          <w:rFonts w:ascii="Garamond" w:hAnsi="Garamond" w:cs="Times New Roman"/>
          <w:sz w:val="24"/>
          <w:szCs w:val="24"/>
        </w:rPr>
        <w:t xml:space="preserve"> shoqërore, si dhe për monitorimin e ndikimit të këtyre politikave në aspekte të ndryshme të jetës në vend.</w:t>
      </w:r>
    </w:p>
    <w:p w14:paraId="495493B4" w14:textId="77777777" w:rsidR="00A45284" w:rsidRPr="00B31292" w:rsidRDefault="00A45284" w:rsidP="003A4DBA">
      <w:pPr>
        <w:spacing w:after="0" w:line="240" w:lineRule="auto"/>
        <w:ind w:firstLine="284"/>
        <w:contextualSpacing/>
        <w:jc w:val="both"/>
        <w:rPr>
          <w:rFonts w:ascii="Garamond" w:hAnsi="Garamond" w:cs="Times New Roman"/>
          <w:sz w:val="24"/>
          <w:szCs w:val="24"/>
        </w:rPr>
      </w:pPr>
      <w:r w:rsidRPr="00B31292">
        <w:rPr>
          <w:rFonts w:ascii="Garamond" w:hAnsi="Garamond" w:cs="Times New Roman"/>
          <w:sz w:val="24"/>
          <w:szCs w:val="24"/>
        </w:rPr>
        <w:lastRenderedPageBreak/>
        <w:t xml:space="preserve">Objektivi kryesor për vitin 2025 për statistikat sociale do të jetë rritja e cilësisë dhe plotshmërisë së serive kohore për treguesit me frekuencë tremujore dhe vjetore, duke synuar rritjen e nivelit të përafrimit me </w:t>
      </w:r>
      <w:r w:rsidRPr="00B31292">
        <w:rPr>
          <w:rFonts w:ascii="Garamond" w:hAnsi="Garamond" w:cs="Times New Roman"/>
          <w:i/>
          <w:sz w:val="24"/>
          <w:szCs w:val="24"/>
        </w:rPr>
        <w:t>acquis</w:t>
      </w:r>
      <w:r w:rsidRPr="00B31292">
        <w:rPr>
          <w:rFonts w:ascii="Garamond" w:hAnsi="Garamond" w:cs="Times New Roman"/>
          <w:sz w:val="24"/>
          <w:szCs w:val="24"/>
        </w:rPr>
        <w:t xml:space="preserve"> përkatëse.</w:t>
      </w:r>
    </w:p>
    <w:p w14:paraId="4CB347F1" w14:textId="2A1E9387" w:rsidR="00A45284" w:rsidRPr="00B31292" w:rsidRDefault="00A45284" w:rsidP="003A4DBA">
      <w:pPr>
        <w:spacing w:after="0" w:line="240" w:lineRule="auto"/>
        <w:ind w:firstLine="284"/>
        <w:contextualSpacing/>
        <w:jc w:val="both"/>
        <w:rPr>
          <w:rFonts w:ascii="Garamond" w:hAnsi="Garamond" w:cs="Times New Roman"/>
          <w:sz w:val="24"/>
          <w:szCs w:val="24"/>
        </w:rPr>
      </w:pPr>
      <w:r w:rsidRPr="00B31292">
        <w:rPr>
          <w:rFonts w:ascii="Garamond" w:hAnsi="Garamond" w:cs="Times New Roman"/>
          <w:sz w:val="24"/>
          <w:szCs w:val="24"/>
        </w:rPr>
        <w:t>Një ndër a</w:t>
      </w:r>
      <w:r w:rsidR="004A2CD3" w:rsidRPr="00B31292">
        <w:rPr>
          <w:rFonts w:ascii="Garamond" w:hAnsi="Garamond" w:cs="Times New Roman"/>
          <w:sz w:val="24"/>
          <w:szCs w:val="24"/>
        </w:rPr>
        <w:t>ktivitetet</w:t>
      </w:r>
      <w:r w:rsidRPr="00B31292">
        <w:rPr>
          <w:rFonts w:ascii="Garamond" w:hAnsi="Garamond" w:cs="Times New Roman"/>
          <w:sz w:val="24"/>
          <w:szCs w:val="24"/>
        </w:rPr>
        <w:t xml:space="preserve"> kryesore </w:t>
      </w:r>
      <w:r w:rsidR="002E0ADE" w:rsidRPr="00B31292">
        <w:rPr>
          <w:rFonts w:ascii="Garamond" w:hAnsi="Garamond" w:cs="Times New Roman"/>
          <w:sz w:val="24"/>
          <w:szCs w:val="24"/>
        </w:rPr>
        <w:t xml:space="preserve">në këtë fushë statistikore </w:t>
      </w:r>
      <w:r w:rsidRPr="00B31292">
        <w:rPr>
          <w:rFonts w:ascii="Garamond" w:hAnsi="Garamond" w:cs="Times New Roman"/>
          <w:sz w:val="24"/>
          <w:szCs w:val="24"/>
        </w:rPr>
        <w:t>do të jetë përgatitja për vlerësimin e projeksioneve të popullsisë bazuar në rekomandimet ndërkombëtare,</w:t>
      </w:r>
      <w:r w:rsidRPr="00B31292">
        <w:rPr>
          <w:rFonts w:ascii="Garamond" w:hAnsi="Garamond"/>
          <w:sz w:val="24"/>
          <w:szCs w:val="24"/>
        </w:rPr>
        <w:t xml:space="preserve"> </w:t>
      </w:r>
      <w:r w:rsidRPr="00B31292">
        <w:rPr>
          <w:rFonts w:ascii="Garamond" w:hAnsi="Garamond" w:cs="Times New Roman"/>
          <w:sz w:val="24"/>
          <w:szCs w:val="24"/>
        </w:rPr>
        <w:t>llogaritja dhe vlerësimi i statistikave të diasporës shqiptare</w:t>
      </w:r>
      <w:r w:rsidR="004A2CD3" w:rsidRPr="00B31292">
        <w:rPr>
          <w:rFonts w:ascii="Garamond" w:hAnsi="Garamond" w:cs="Times New Roman"/>
          <w:sz w:val="24"/>
          <w:szCs w:val="24"/>
        </w:rPr>
        <w:t xml:space="preserve"> </w:t>
      </w:r>
      <w:r w:rsidRPr="00B31292">
        <w:rPr>
          <w:rFonts w:ascii="Garamond" w:hAnsi="Garamond" w:cs="Times New Roman"/>
          <w:sz w:val="24"/>
          <w:szCs w:val="24"/>
        </w:rPr>
        <w:t xml:space="preserve">dhe kryerja e </w:t>
      </w:r>
      <w:r w:rsidR="00863E96" w:rsidRPr="00B31292">
        <w:rPr>
          <w:rFonts w:ascii="Garamond" w:hAnsi="Garamond" w:cs="Times New Roman"/>
          <w:sz w:val="24"/>
          <w:szCs w:val="24"/>
        </w:rPr>
        <w:t xml:space="preserve">vrojtimit të grupimeve të treguesve </w:t>
      </w:r>
      <w:r w:rsidRPr="00B31292">
        <w:rPr>
          <w:rFonts w:ascii="Garamond" w:hAnsi="Garamond" w:cs="Times New Roman"/>
          <w:sz w:val="24"/>
          <w:szCs w:val="24"/>
        </w:rPr>
        <w:t xml:space="preserve">të </w:t>
      </w:r>
      <w:r w:rsidR="00863E96" w:rsidRPr="00B31292">
        <w:rPr>
          <w:rFonts w:ascii="Garamond" w:hAnsi="Garamond" w:cs="Times New Roman"/>
          <w:sz w:val="24"/>
          <w:szCs w:val="24"/>
        </w:rPr>
        <w:t xml:space="preserve">shumëfishtë </w:t>
      </w:r>
      <w:r w:rsidRPr="00B31292">
        <w:rPr>
          <w:rFonts w:ascii="Garamond" w:hAnsi="Garamond" w:cs="Times New Roman"/>
          <w:sz w:val="24"/>
          <w:szCs w:val="24"/>
        </w:rPr>
        <w:t>(MICS)</w:t>
      </w:r>
      <w:r w:rsidR="002A1909" w:rsidRPr="00B31292">
        <w:rPr>
          <w:rFonts w:ascii="Garamond" w:hAnsi="Garamond" w:cs="Times New Roman"/>
          <w:sz w:val="24"/>
          <w:szCs w:val="24"/>
        </w:rPr>
        <w:t xml:space="preserve"> </w:t>
      </w:r>
      <w:r w:rsidRPr="00B31292">
        <w:rPr>
          <w:rFonts w:ascii="Garamond" w:hAnsi="Garamond" w:cs="Times New Roman"/>
          <w:sz w:val="24"/>
          <w:szCs w:val="24"/>
        </w:rPr>
        <w:t>me fokus social, kryesisht të kushteve të jetesës, nënat dhe fëmijët, edukimi, shëndetësia</w:t>
      </w:r>
      <w:r w:rsidR="009C09A4" w:rsidRPr="00B31292">
        <w:rPr>
          <w:rFonts w:ascii="Garamond" w:hAnsi="Garamond" w:cs="Times New Roman"/>
          <w:sz w:val="24"/>
          <w:szCs w:val="24"/>
        </w:rPr>
        <w:t>,</w:t>
      </w:r>
      <w:r w:rsidRPr="00B31292">
        <w:rPr>
          <w:rFonts w:ascii="Garamond" w:hAnsi="Garamond" w:cs="Times New Roman"/>
          <w:sz w:val="24"/>
          <w:szCs w:val="24"/>
        </w:rPr>
        <w:t xml:space="preserve"> si dhe shumë fusha të tjera. Gjithashtu</w:t>
      </w:r>
      <w:r w:rsidR="00A2226C" w:rsidRPr="00B31292">
        <w:rPr>
          <w:rFonts w:ascii="Garamond" w:hAnsi="Garamond" w:cs="Times New Roman"/>
          <w:sz w:val="24"/>
          <w:szCs w:val="24"/>
        </w:rPr>
        <w:t>,</w:t>
      </w:r>
      <w:r w:rsidRPr="00B31292">
        <w:rPr>
          <w:rFonts w:ascii="Garamond" w:hAnsi="Garamond" w:cs="Times New Roman"/>
          <w:sz w:val="24"/>
          <w:szCs w:val="24"/>
        </w:rPr>
        <w:t xml:space="preserve"> një </w:t>
      </w:r>
      <w:r w:rsidR="004A2CD3" w:rsidRPr="00B31292">
        <w:rPr>
          <w:rFonts w:ascii="Garamond" w:hAnsi="Garamond" w:cs="Times New Roman"/>
          <w:sz w:val="24"/>
          <w:szCs w:val="24"/>
        </w:rPr>
        <w:t>tjetër</w:t>
      </w:r>
      <w:r w:rsidRPr="00B31292">
        <w:rPr>
          <w:rFonts w:ascii="Garamond" w:hAnsi="Garamond" w:cs="Times New Roman"/>
          <w:sz w:val="24"/>
          <w:szCs w:val="24"/>
        </w:rPr>
        <w:t xml:space="preserve"> ak</w:t>
      </w:r>
      <w:r w:rsidR="004A2CD3" w:rsidRPr="00B31292">
        <w:rPr>
          <w:rFonts w:ascii="Garamond" w:hAnsi="Garamond" w:cs="Times New Roman"/>
          <w:sz w:val="24"/>
          <w:szCs w:val="24"/>
        </w:rPr>
        <w:t>tivitet</w:t>
      </w:r>
      <w:r w:rsidRPr="00B31292">
        <w:rPr>
          <w:rFonts w:ascii="Garamond" w:hAnsi="Garamond" w:cs="Times New Roman"/>
          <w:sz w:val="24"/>
          <w:szCs w:val="24"/>
        </w:rPr>
        <w:t xml:space="preserve"> </w:t>
      </w:r>
      <w:r w:rsidR="004A2CD3" w:rsidRPr="00B31292">
        <w:rPr>
          <w:rFonts w:ascii="Garamond" w:hAnsi="Garamond" w:cs="Times New Roman"/>
          <w:sz w:val="24"/>
          <w:szCs w:val="24"/>
        </w:rPr>
        <w:t xml:space="preserve">i </w:t>
      </w:r>
      <w:r w:rsidRPr="00B31292">
        <w:rPr>
          <w:rFonts w:ascii="Garamond" w:hAnsi="Garamond" w:cs="Times New Roman"/>
          <w:sz w:val="24"/>
          <w:szCs w:val="24"/>
        </w:rPr>
        <w:t>rëndësish</w:t>
      </w:r>
      <w:r w:rsidR="004A2CD3" w:rsidRPr="00B31292">
        <w:rPr>
          <w:rFonts w:ascii="Garamond" w:hAnsi="Garamond" w:cs="Times New Roman"/>
          <w:sz w:val="24"/>
          <w:szCs w:val="24"/>
        </w:rPr>
        <w:t>ëm</w:t>
      </w:r>
      <w:r w:rsidR="00863E96" w:rsidRPr="00B31292">
        <w:rPr>
          <w:rFonts w:ascii="Garamond" w:hAnsi="Garamond" w:cs="Times New Roman"/>
          <w:sz w:val="24"/>
          <w:szCs w:val="24"/>
        </w:rPr>
        <w:t>,</w:t>
      </w:r>
      <w:r w:rsidR="00A2226C" w:rsidRPr="00B31292">
        <w:rPr>
          <w:rFonts w:ascii="Garamond" w:hAnsi="Garamond" w:cs="Times New Roman"/>
          <w:sz w:val="24"/>
          <w:szCs w:val="24"/>
        </w:rPr>
        <w:t xml:space="preserve"> në kuadër të</w:t>
      </w:r>
      <w:r w:rsidR="002E2911" w:rsidRPr="00B31292">
        <w:rPr>
          <w:rFonts w:ascii="Garamond" w:hAnsi="Garamond" w:cs="Times New Roman"/>
          <w:sz w:val="24"/>
          <w:szCs w:val="24"/>
        </w:rPr>
        <w:t xml:space="preserve"> </w:t>
      </w:r>
      <w:r w:rsidR="00184D73" w:rsidRPr="00B31292">
        <w:rPr>
          <w:rFonts w:ascii="Garamond" w:hAnsi="Garamond" w:cs="Times New Roman"/>
          <w:sz w:val="24"/>
          <w:szCs w:val="24"/>
        </w:rPr>
        <w:t>Cens</w:t>
      </w:r>
      <w:r w:rsidRPr="00B31292">
        <w:rPr>
          <w:rFonts w:ascii="Garamond" w:hAnsi="Garamond" w:cs="Times New Roman"/>
          <w:sz w:val="24"/>
          <w:szCs w:val="24"/>
        </w:rPr>
        <w:t>it të Popullsisë dhe Banesave 2023</w:t>
      </w:r>
      <w:r w:rsidR="00863E96" w:rsidRPr="00B31292">
        <w:rPr>
          <w:rFonts w:ascii="Garamond" w:hAnsi="Garamond" w:cs="Times New Roman"/>
          <w:sz w:val="24"/>
          <w:szCs w:val="24"/>
        </w:rPr>
        <w:t>,</w:t>
      </w:r>
      <w:r w:rsidRPr="00B31292">
        <w:rPr>
          <w:rFonts w:ascii="Garamond" w:hAnsi="Garamond" w:cs="Times New Roman"/>
          <w:sz w:val="24"/>
          <w:szCs w:val="24"/>
        </w:rPr>
        <w:t xml:space="preserve"> do të jetë kryerja e analizave të thelluara me tematikat përkatëse.</w:t>
      </w:r>
    </w:p>
    <w:p w14:paraId="14DBC371" w14:textId="04426605" w:rsidR="003A6AF1" w:rsidRPr="00B31292" w:rsidRDefault="003A6AF1" w:rsidP="003A4DBA">
      <w:pPr>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Agjencia statistikore përgjegjëse: INSTAT</w:t>
      </w:r>
      <w:r w:rsidR="00F63D59" w:rsidRPr="00B31292">
        <w:rPr>
          <w:rFonts w:ascii="Garamond" w:hAnsi="Garamond" w:cs="Times New Roman"/>
          <w:sz w:val="24"/>
          <w:szCs w:val="24"/>
        </w:rPr>
        <w:t>-i.</w:t>
      </w:r>
    </w:p>
    <w:p w14:paraId="4DE58630" w14:textId="77777777" w:rsidR="003A6AF1" w:rsidRPr="00B31292" w:rsidRDefault="003A6AF1" w:rsidP="003A4DBA">
      <w:pPr>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Kjo fushë përbëhet nga 8 tema statistikore:</w:t>
      </w:r>
    </w:p>
    <w:p w14:paraId="7959CBDB" w14:textId="720E7822" w:rsidR="003A6AF1" w:rsidRPr="00B31292" w:rsidRDefault="003A6AF1" w:rsidP="003A4DBA">
      <w:pPr>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Në tabelën nr. 8 paraqitet numri i aktiviteteve për kategoritë: periodiciteti/burimi i të dhënave/</w:t>
      </w:r>
      <w:r w:rsidR="00863E96" w:rsidRPr="00B31292">
        <w:rPr>
          <w:rFonts w:ascii="Garamond" w:hAnsi="Garamond" w:cs="Times New Roman"/>
          <w:sz w:val="24"/>
          <w:szCs w:val="24"/>
        </w:rPr>
        <w:t xml:space="preserve"> </w:t>
      </w:r>
      <w:r w:rsidRPr="00B31292">
        <w:rPr>
          <w:rFonts w:ascii="Garamond" w:hAnsi="Garamond" w:cs="Times New Roman"/>
          <w:sz w:val="24"/>
          <w:szCs w:val="24"/>
        </w:rPr>
        <w:t>niveli minimal i publikimit/institucioni përgjegjës.</w:t>
      </w:r>
    </w:p>
    <w:p w14:paraId="4E4005A7" w14:textId="63D54FC1" w:rsidR="00F6642C" w:rsidRPr="00B31292" w:rsidRDefault="00F6642C" w:rsidP="003A4DBA">
      <w:pPr>
        <w:spacing w:after="0" w:line="240" w:lineRule="auto"/>
        <w:ind w:firstLine="284"/>
        <w:jc w:val="both"/>
        <w:rPr>
          <w:rFonts w:ascii="Garamond" w:hAnsi="Garamond" w:cs="Times New Roman"/>
          <w:bCs/>
          <w:i/>
          <w:sz w:val="24"/>
          <w:szCs w:val="24"/>
        </w:rPr>
      </w:pPr>
      <w:bookmarkStart w:id="5" w:name="_Hlk182495761"/>
      <w:r w:rsidRPr="00B31292">
        <w:rPr>
          <w:rFonts w:ascii="Garamond" w:hAnsi="Garamond" w:cs="Times New Roman"/>
          <w:bCs/>
          <w:i/>
          <w:sz w:val="24"/>
          <w:szCs w:val="24"/>
        </w:rPr>
        <w:t>Tabela nr. 8</w:t>
      </w:r>
      <w:r w:rsidR="00F63D59" w:rsidRPr="00B31292">
        <w:rPr>
          <w:rFonts w:ascii="Garamond" w:hAnsi="Garamond" w:cs="Times New Roman"/>
          <w:bCs/>
          <w:i/>
          <w:sz w:val="24"/>
          <w:szCs w:val="24"/>
        </w:rPr>
        <w:t>:</w:t>
      </w:r>
      <w:r w:rsidRPr="00B31292">
        <w:rPr>
          <w:rFonts w:ascii="Garamond" w:hAnsi="Garamond" w:cs="Times New Roman"/>
          <w:bCs/>
          <w:i/>
          <w:sz w:val="24"/>
          <w:szCs w:val="24"/>
        </w:rPr>
        <w:t xml:space="preserve"> Përmbledhje e numrit të aktiviteteve për </w:t>
      </w:r>
      <w:r w:rsidR="00F63D59" w:rsidRPr="00B31292">
        <w:rPr>
          <w:rFonts w:ascii="Garamond" w:hAnsi="Garamond" w:cs="Times New Roman"/>
          <w:bCs/>
          <w:i/>
          <w:sz w:val="24"/>
          <w:szCs w:val="24"/>
        </w:rPr>
        <w:t>f</w:t>
      </w:r>
      <w:r w:rsidRPr="00B31292">
        <w:rPr>
          <w:rFonts w:ascii="Garamond" w:hAnsi="Garamond" w:cs="Times New Roman"/>
          <w:bCs/>
          <w:i/>
          <w:sz w:val="24"/>
          <w:szCs w:val="24"/>
        </w:rPr>
        <w:t xml:space="preserve">ushën </w:t>
      </w:r>
      <w:r w:rsidR="00BA12C3" w:rsidRPr="00B31292">
        <w:rPr>
          <w:rFonts w:ascii="Garamond" w:hAnsi="Garamond" w:cs="Times New Roman"/>
          <w:bCs/>
          <w:i/>
          <w:sz w:val="24"/>
          <w:szCs w:val="24"/>
        </w:rPr>
        <w:t>“</w:t>
      </w:r>
      <w:r w:rsidRPr="00B31292">
        <w:rPr>
          <w:rFonts w:ascii="Garamond" w:hAnsi="Garamond" w:cs="Times New Roman"/>
          <w:bCs/>
          <w:i/>
          <w:sz w:val="24"/>
          <w:szCs w:val="24"/>
        </w:rPr>
        <w:t xml:space="preserve">Statistikat </w:t>
      </w:r>
      <w:r w:rsidR="00863E96" w:rsidRPr="00B31292">
        <w:rPr>
          <w:rFonts w:ascii="Garamond" w:hAnsi="Garamond" w:cs="Times New Roman"/>
          <w:bCs/>
          <w:i/>
          <w:sz w:val="24"/>
          <w:szCs w:val="24"/>
        </w:rPr>
        <w:t>sociale dhe demografike</w:t>
      </w:r>
      <w:r w:rsidR="00BA12C3" w:rsidRPr="00B31292">
        <w:rPr>
          <w:rFonts w:ascii="Garamond" w:hAnsi="Garamond" w:cs="Times New Roman"/>
          <w:bCs/>
          <w:i/>
          <w:sz w:val="24"/>
          <w:szCs w:val="24"/>
        </w:rPr>
        <w:t>”</w:t>
      </w:r>
    </w:p>
    <w:p w14:paraId="68B30CC5" w14:textId="2BB0659F" w:rsidR="00D87FF8" w:rsidRPr="00B31292" w:rsidRDefault="00D87FF8" w:rsidP="009508C8">
      <w:pPr>
        <w:spacing w:after="0" w:line="240" w:lineRule="auto"/>
        <w:rPr>
          <w:rFonts w:ascii="Garamond" w:hAnsi="Garamond" w:cs="Times New Roman"/>
          <w:b/>
          <w:i/>
          <w:sz w:val="24"/>
          <w:szCs w:val="24"/>
        </w:rPr>
      </w:pPr>
      <w:r w:rsidRPr="00B31292">
        <w:rPr>
          <w:rFonts w:ascii="Garamond" w:hAnsi="Garamond" w:cs="Times New Roman"/>
          <w:b/>
          <w:i/>
          <w:noProof/>
          <w:sz w:val="24"/>
          <w:szCs w:val="24"/>
          <w:lang w:val="en-US"/>
        </w:rPr>
        <w:drawing>
          <wp:inline distT="0" distB="0" distL="0" distR="0" wp14:anchorId="29375FF3" wp14:editId="48C6C319">
            <wp:extent cx="4729656" cy="3103673"/>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750530" cy="3117371"/>
                    </a:xfrm>
                    <a:prstGeom prst="rect">
                      <a:avLst/>
                    </a:prstGeom>
                  </pic:spPr>
                </pic:pic>
              </a:graphicData>
            </a:graphic>
          </wp:inline>
        </w:drawing>
      </w:r>
    </w:p>
    <w:bookmarkEnd w:id="5"/>
    <w:p w14:paraId="6D488EFF" w14:textId="4170CF42" w:rsidR="00F6642C" w:rsidRPr="00B31292" w:rsidRDefault="00F6642C" w:rsidP="003A4DBA">
      <w:pPr>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*M-mujor; T-</w:t>
      </w:r>
      <w:r w:rsidR="00863E96" w:rsidRPr="00B31292">
        <w:rPr>
          <w:rFonts w:ascii="Garamond" w:hAnsi="Garamond" w:cs="Times New Roman"/>
          <w:sz w:val="24"/>
          <w:szCs w:val="24"/>
        </w:rPr>
        <w:t>tremujor</w:t>
      </w:r>
      <w:r w:rsidRPr="00B31292">
        <w:rPr>
          <w:rFonts w:ascii="Garamond" w:hAnsi="Garamond" w:cs="Times New Roman"/>
          <w:sz w:val="24"/>
          <w:szCs w:val="24"/>
        </w:rPr>
        <w:t>; V-</w:t>
      </w:r>
      <w:r w:rsidR="00863E96" w:rsidRPr="00B31292">
        <w:rPr>
          <w:rFonts w:ascii="Garamond" w:hAnsi="Garamond" w:cs="Times New Roman"/>
          <w:sz w:val="24"/>
          <w:szCs w:val="24"/>
        </w:rPr>
        <w:t>vjetor</w:t>
      </w:r>
      <w:r w:rsidRPr="00B31292">
        <w:rPr>
          <w:rFonts w:ascii="Garamond" w:hAnsi="Garamond" w:cs="Times New Roman"/>
          <w:sz w:val="24"/>
          <w:szCs w:val="24"/>
        </w:rPr>
        <w:t>;</w:t>
      </w:r>
    </w:p>
    <w:p w14:paraId="62B0FE71" w14:textId="5C36F602" w:rsidR="00F6642C" w:rsidRPr="00B31292" w:rsidRDefault="00F6642C" w:rsidP="003A4DBA">
      <w:pPr>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 VS-</w:t>
      </w:r>
      <w:r w:rsidR="00863E96" w:rsidRPr="00B31292">
        <w:rPr>
          <w:rFonts w:ascii="Garamond" w:hAnsi="Garamond" w:cs="Times New Roman"/>
          <w:sz w:val="24"/>
          <w:szCs w:val="24"/>
        </w:rPr>
        <w:t>vrojtim statistikor</w:t>
      </w:r>
      <w:r w:rsidRPr="00B31292">
        <w:rPr>
          <w:rFonts w:ascii="Garamond" w:hAnsi="Garamond" w:cs="Times New Roman"/>
          <w:sz w:val="24"/>
          <w:szCs w:val="24"/>
        </w:rPr>
        <w:t>; BA-</w:t>
      </w:r>
      <w:r w:rsidR="00863E96" w:rsidRPr="00B31292">
        <w:rPr>
          <w:rFonts w:ascii="Garamond" w:hAnsi="Garamond" w:cs="Times New Roman"/>
          <w:sz w:val="24"/>
          <w:szCs w:val="24"/>
        </w:rPr>
        <w:t>burim ad</w:t>
      </w:r>
      <w:r w:rsidRPr="00B31292">
        <w:rPr>
          <w:rFonts w:ascii="Garamond" w:hAnsi="Garamond" w:cs="Times New Roman"/>
          <w:sz w:val="24"/>
          <w:szCs w:val="24"/>
        </w:rPr>
        <w:t>ministrativ; NA-</w:t>
      </w:r>
      <w:r w:rsidR="00863E96" w:rsidRPr="00B31292">
        <w:rPr>
          <w:rFonts w:ascii="Garamond" w:hAnsi="Garamond" w:cs="Times New Roman"/>
          <w:sz w:val="24"/>
          <w:szCs w:val="24"/>
        </w:rPr>
        <w:t xml:space="preserve">nuk </w:t>
      </w:r>
      <w:r w:rsidRPr="00B31292">
        <w:rPr>
          <w:rFonts w:ascii="Garamond" w:hAnsi="Garamond" w:cs="Times New Roman"/>
          <w:sz w:val="24"/>
          <w:szCs w:val="24"/>
        </w:rPr>
        <w:t>aplikohet.</w:t>
      </w:r>
    </w:p>
    <w:p w14:paraId="3B1E1A34" w14:textId="459016DD" w:rsidR="003A6AF1" w:rsidRPr="00B31292" w:rsidRDefault="003A6AF1" w:rsidP="003A4DBA">
      <w:pPr>
        <w:keepNext/>
        <w:keepLines/>
        <w:spacing w:after="0" w:line="240" w:lineRule="auto"/>
        <w:ind w:firstLine="284"/>
        <w:outlineLvl w:val="4"/>
        <w:rPr>
          <w:rFonts w:ascii="Garamond" w:eastAsia="Times New Roman" w:hAnsi="Garamond" w:cs="Times New Roman"/>
          <w:b/>
          <w:iCs/>
          <w:sz w:val="24"/>
          <w:szCs w:val="24"/>
        </w:rPr>
      </w:pPr>
      <w:r w:rsidRPr="00B31292">
        <w:rPr>
          <w:rFonts w:ascii="Garamond" w:eastAsia="Times New Roman" w:hAnsi="Garamond" w:cs="Times New Roman"/>
          <w:b/>
          <w:iCs/>
          <w:sz w:val="24"/>
          <w:szCs w:val="24"/>
        </w:rPr>
        <w:t xml:space="preserve">Tema 1.1 </w:t>
      </w:r>
      <w:r w:rsidR="00BA12C3" w:rsidRPr="00B31292">
        <w:rPr>
          <w:rFonts w:ascii="Garamond" w:eastAsia="Times New Roman" w:hAnsi="Garamond" w:cs="Times New Roman"/>
          <w:b/>
          <w:iCs/>
          <w:sz w:val="24"/>
          <w:szCs w:val="24"/>
        </w:rPr>
        <w:t>“</w:t>
      </w:r>
      <w:r w:rsidRPr="00B31292">
        <w:rPr>
          <w:rFonts w:ascii="Garamond" w:eastAsia="Times New Roman" w:hAnsi="Garamond" w:cs="Times New Roman"/>
          <w:b/>
          <w:iCs/>
          <w:sz w:val="24"/>
          <w:szCs w:val="24"/>
        </w:rPr>
        <w:t>Popullsia me vendbanim të zakonshëm në Shqipëri dhe jashtë saj</w:t>
      </w:r>
      <w:r w:rsidR="00BA12C3" w:rsidRPr="00B31292">
        <w:rPr>
          <w:rFonts w:ascii="Garamond" w:eastAsia="Times New Roman" w:hAnsi="Garamond" w:cs="Times New Roman"/>
          <w:b/>
          <w:iCs/>
          <w:sz w:val="24"/>
          <w:szCs w:val="24"/>
        </w:rPr>
        <w:t>”</w:t>
      </w:r>
    </w:p>
    <w:p w14:paraId="0CE01EFA" w14:textId="074D10AF" w:rsidR="00A268A2" w:rsidRPr="00B31292" w:rsidRDefault="003A6AF1" w:rsidP="003A4DBA">
      <w:pPr>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INSTAT</w:t>
      </w:r>
      <w:r w:rsidR="00D0306E" w:rsidRPr="00B31292">
        <w:rPr>
          <w:rFonts w:ascii="Garamond" w:hAnsi="Garamond" w:cs="Times New Roman"/>
          <w:sz w:val="24"/>
          <w:szCs w:val="24"/>
        </w:rPr>
        <w:t>-i</w:t>
      </w:r>
      <w:r w:rsidRPr="00B31292">
        <w:rPr>
          <w:rFonts w:ascii="Garamond" w:hAnsi="Garamond" w:cs="Times New Roman"/>
          <w:sz w:val="24"/>
          <w:szCs w:val="24"/>
        </w:rPr>
        <w:t>, si institucioni përgjegjës prodhues, parashikon të kryejë aktivitete të fokusuara në tr</w:t>
      </w:r>
      <w:r w:rsidR="00D0306E" w:rsidRPr="00B31292">
        <w:rPr>
          <w:rFonts w:ascii="Garamond" w:hAnsi="Garamond" w:cs="Times New Roman"/>
          <w:sz w:val="24"/>
          <w:szCs w:val="24"/>
        </w:rPr>
        <w:t>i</w:t>
      </w:r>
      <w:r w:rsidRPr="00B31292">
        <w:rPr>
          <w:rFonts w:ascii="Garamond" w:hAnsi="Garamond" w:cs="Times New Roman"/>
          <w:sz w:val="24"/>
          <w:szCs w:val="24"/>
        </w:rPr>
        <w:t xml:space="preserve"> nëntema: </w:t>
      </w:r>
      <w:r w:rsidRPr="00B31292">
        <w:rPr>
          <w:rFonts w:ascii="Garamond" w:hAnsi="Garamond" w:cs="Times New Roman"/>
          <w:i/>
          <w:sz w:val="24"/>
          <w:szCs w:val="24"/>
        </w:rPr>
        <w:t xml:space="preserve">1.1.1 </w:t>
      </w:r>
      <w:r w:rsidR="00BA12C3" w:rsidRPr="00B31292">
        <w:rPr>
          <w:rFonts w:ascii="Garamond" w:hAnsi="Garamond" w:cs="Times New Roman"/>
          <w:i/>
          <w:sz w:val="24"/>
          <w:szCs w:val="24"/>
        </w:rPr>
        <w:t>“</w:t>
      </w:r>
      <w:r w:rsidRPr="00B31292">
        <w:rPr>
          <w:rFonts w:ascii="Garamond" w:hAnsi="Garamond" w:cs="Times New Roman"/>
          <w:i/>
          <w:sz w:val="24"/>
          <w:szCs w:val="24"/>
        </w:rPr>
        <w:t>Demografi, migracion dhe projeksione</w:t>
      </w:r>
      <w:r w:rsidR="00BA12C3" w:rsidRPr="00B31292">
        <w:rPr>
          <w:rFonts w:ascii="Garamond" w:hAnsi="Garamond" w:cs="Times New Roman"/>
          <w:i/>
          <w:sz w:val="24"/>
          <w:szCs w:val="24"/>
        </w:rPr>
        <w:t>”</w:t>
      </w:r>
      <w:r w:rsidRPr="00B31292">
        <w:rPr>
          <w:rFonts w:ascii="Garamond" w:hAnsi="Garamond" w:cs="Times New Roman"/>
          <w:sz w:val="24"/>
          <w:szCs w:val="24"/>
        </w:rPr>
        <w:t xml:space="preserve">, </w:t>
      </w:r>
      <w:r w:rsidRPr="00B31292">
        <w:rPr>
          <w:rFonts w:ascii="Garamond" w:hAnsi="Garamond" w:cs="Times New Roman"/>
          <w:i/>
          <w:sz w:val="24"/>
          <w:szCs w:val="24"/>
        </w:rPr>
        <w:t xml:space="preserve">1.1.2 </w:t>
      </w:r>
      <w:r w:rsidR="00BA12C3" w:rsidRPr="00B31292">
        <w:rPr>
          <w:rFonts w:ascii="Garamond" w:hAnsi="Garamond" w:cs="Times New Roman"/>
          <w:i/>
          <w:sz w:val="24"/>
          <w:szCs w:val="24"/>
        </w:rPr>
        <w:t>“</w:t>
      </w:r>
      <w:r w:rsidRPr="00B31292">
        <w:rPr>
          <w:rFonts w:ascii="Garamond" w:hAnsi="Garamond" w:cs="Times New Roman"/>
          <w:i/>
          <w:sz w:val="24"/>
          <w:szCs w:val="24"/>
        </w:rPr>
        <w:t xml:space="preserve">Censi i </w:t>
      </w:r>
      <w:r w:rsidR="001E238E" w:rsidRPr="00B31292">
        <w:rPr>
          <w:rFonts w:ascii="Garamond" w:hAnsi="Garamond" w:cs="Times New Roman"/>
          <w:i/>
          <w:sz w:val="24"/>
          <w:szCs w:val="24"/>
        </w:rPr>
        <w:t xml:space="preserve">popullsisë dhe banesave, azilkërkuesit </w:t>
      </w:r>
      <w:r w:rsidRPr="00B31292">
        <w:rPr>
          <w:rFonts w:ascii="Garamond" w:hAnsi="Garamond" w:cs="Times New Roman"/>
          <w:i/>
          <w:sz w:val="24"/>
          <w:szCs w:val="24"/>
        </w:rPr>
        <w:t>dhe të huajt</w:t>
      </w:r>
      <w:r w:rsidR="00BA12C3" w:rsidRPr="00B31292">
        <w:rPr>
          <w:rFonts w:ascii="Garamond" w:hAnsi="Garamond" w:cs="Times New Roman"/>
          <w:i/>
          <w:sz w:val="24"/>
          <w:szCs w:val="24"/>
        </w:rPr>
        <w:t>”</w:t>
      </w:r>
      <w:r w:rsidRPr="00B31292">
        <w:rPr>
          <w:rFonts w:ascii="Garamond" w:hAnsi="Garamond" w:cs="Times New Roman"/>
          <w:sz w:val="24"/>
          <w:szCs w:val="24"/>
        </w:rPr>
        <w:t xml:space="preserve"> dhe </w:t>
      </w:r>
      <w:r w:rsidRPr="00B31292">
        <w:rPr>
          <w:rFonts w:ascii="Garamond" w:hAnsi="Garamond" w:cs="Times New Roman"/>
          <w:i/>
          <w:sz w:val="24"/>
          <w:szCs w:val="24"/>
        </w:rPr>
        <w:t xml:space="preserve">1.1.3 </w:t>
      </w:r>
      <w:r w:rsidR="00BA12C3" w:rsidRPr="00B31292">
        <w:rPr>
          <w:rFonts w:ascii="Garamond" w:hAnsi="Garamond" w:cs="Times New Roman"/>
          <w:i/>
          <w:sz w:val="24"/>
          <w:szCs w:val="24"/>
        </w:rPr>
        <w:t>“</w:t>
      </w:r>
      <w:r w:rsidRPr="00B31292">
        <w:rPr>
          <w:rFonts w:ascii="Garamond" w:hAnsi="Garamond" w:cs="Times New Roman"/>
          <w:i/>
          <w:sz w:val="24"/>
          <w:szCs w:val="24"/>
        </w:rPr>
        <w:t>Statistikat gjinore</w:t>
      </w:r>
      <w:r w:rsidR="00BA12C3" w:rsidRPr="00B31292">
        <w:rPr>
          <w:rFonts w:ascii="Garamond" w:hAnsi="Garamond" w:cs="Times New Roman"/>
          <w:i/>
          <w:sz w:val="24"/>
          <w:szCs w:val="24"/>
        </w:rPr>
        <w:t>”</w:t>
      </w:r>
      <w:r w:rsidRPr="00B31292">
        <w:rPr>
          <w:rFonts w:ascii="Garamond" w:hAnsi="Garamond" w:cs="Times New Roman"/>
          <w:sz w:val="24"/>
          <w:szCs w:val="24"/>
        </w:rPr>
        <w:t>.</w:t>
      </w:r>
    </w:p>
    <w:p w14:paraId="0D110762" w14:textId="2714A06C" w:rsidR="003524E8" w:rsidRPr="00B31292" w:rsidRDefault="00184D73" w:rsidP="003A4DBA">
      <w:pPr>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Në lidhje me nëntemën e parë</w:t>
      </w:r>
      <w:r w:rsidR="003A6AF1" w:rsidRPr="00B31292">
        <w:rPr>
          <w:rFonts w:ascii="Garamond" w:hAnsi="Garamond" w:cs="Times New Roman"/>
          <w:sz w:val="24"/>
          <w:szCs w:val="24"/>
        </w:rPr>
        <w:t xml:space="preserve"> do të kryhen tr</w:t>
      </w:r>
      <w:r w:rsidR="00D0306E" w:rsidRPr="00B31292">
        <w:rPr>
          <w:rFonts w:ascii="Garamond" w:hAnsi="Garamond" w:cs="Times New Roman"/>
          <w:sz w:val="24"/>
          <w:szCs w:val="24"/>
        </w:rPr>
        <w:t>i</w:t>
      </w:r>
      <w:r w:rsidR="003A6AF1" w:rsidRPr="00B31292">
        <w:rPr>
          <w:rFonts w:ascii="Garamond" w:hAnsi="Garamond" w:cs="Times New Roman"/>
          <w:sz w:val="24"/>
          <w:szCs w:val="24"/>
        </w:rPr>
        <w:t xml:space="preserve"> aktivitete statistikore me frekuencë vjetore dhe tremujore. Prodhimi i statistikave të popullsisë dhe statistikave të migracionit kryhet me frekuencë vjetore. Ndërkohë, statistikat </w:t>
      </w:r>
      <w:r w:rsidR="00155734" w:rsidRPr="00B31292">
        <w:rPr>
          <w:rFonts w:ascii="Garamond" w:hAnsi="Garamond" w:cs="Times New Roman"/>
          <w:sz w:val="24"/>
          <w:szCs w:val="24"/>
        </w:rPr>
        <w:t xml:space="preserve">e ngjarjeve jetësore </w:t>
      </w:r>
      <w:r w:rsidR="003A6AF1" w:rsidRPr="00B31292">
        <w:rPr>
          <w:rFonts w:ascii="Garamond" w:hAnsi="Garamond" w:cs="Times New Roman"/>
          <w:sz w:val="24"/>
          <w:szCs w:val="24"/>
        </w:rPr>
        <w:t>mbi numrin e lindjeve, vdekjeve dhe shtesa natyrore e popullsisë do të prodhohen me frekuencë tremujore. Për kryerjen e këtyre aktiviteteve do të përdoren burimet që INSTAT</w:t>
      </w:r>
      <w:r w:rsidR="00BA12C3" w:rsidRPr="00B31292">
        <w:rPr>
          <w:rFonts w:ascii="Garamond" w:hAnsi="Garamond" w:cs="Times New Roman"/>
          <w:sz w:val="24"/>
          <w:szCs w:val="24"/>
        </w:rPr>
        <w:t>-i</w:t>
      </w:r>
      <w:r w:rsidR="003A6AF1" w:rsidRPr="00B31292">
        <w:rPr>
          <w:rFonts w:ascii="Garamond" w:hAnsi="Garamond" w:cs="Times New Roman"/>
          <w:sz w:val="24"/>
          <w:szCs w:val="24"/>
        </w:rPr>
        <w:t xml:space="preserve"> disponon</w:t>
      </w:r>
      <w:r w:rsidR="00BA12C3" w:rsidRPr="00B31292">
        <w:rPr>
          <w:rFonts w:ascii="Garamond" w:hAnsi="Garamond" w:cs="Times New Roman"/>
          <w:sz w:val="24"/>
          <w:szCs w:val="24"/>
        </w:rPr>
        <w:t>,</w:t>
      </w:r>
      <w:r w:rsidR="003A6AF1" w:rsidRPr="00B31292">
        <w:rPr>
          <w:rFonts w:ascii="Garamond" w:hAnsi="Garamond" w:cs="Times New Roman"/>
          <w:sz w:val="24"/>
          <w:szCs w:val="24"/>
        </w:rPr>
        <w:t xml:space="preserve"> si: </w:t>
      </w:r>
      <w:r w:rsidR="001E238E" w:rsidRPr="00B31292">
        <w:rPr>
          <w:rFonts w:ascii="Garamond" w:hAnsi="Garamond" w:cs="Times New Roman"/>
          <w:sz w:val="24"/>
          <w:szCs w:val="24"/>
        </w:rPr>
        <w:t xml:space="preserve">vrojtimi i forcave të punës </w:t>
      </w:r>
      <w:r w:rsidR="00E9338B" w:rsidRPr="00B31292">
        <w:rPr>
          <w:rFonts w:ascii="Garamond" w:hAnsi="Garamond" w:cs="Times New Roman"/>
          <w:sz w:val="24"/>
          <w:szCs w:val="24"/>
        </w:rPr>
        <w:t xml:space="preserve">dhe </w:t>
      </w:r>
      <w:r w:rsidR="003A6AF1" w:rsidRPr="00B31292">
        <w:rPr>
          <w:rFonts w:ascii="Garamond" w:hAnsi="Garamond" w:cs="Times New Roman"/>
          <w:sz w:val="24"/>
          <w:szCs w:val="24"/>
        </w:rPr>
        <w:t>të dhënat administrative që merren nga Drejtoria e Përgjithshme e Gjendjes Civile.</w:t>
      </w:r>
      <w:r w:rsidR="003B2385" w:rsidRPr="00B31292">
        <w:rPr>
          <w:rFonts w:ascii="Garamond" w:hAnsi="Garamond" w:cs="Times New Roman"/>
          <w:sz w:val="24"/>
          <w:szCs w:val="24"/>
        </w:rPr>
        <w:t xml:space="preserve"> Gjithashtu</w:t>
      </w:r>
      <w:r w:rsidR="008F1140" w:rsidRPr="00B31292">
        <w:rPr>
          <w:rFonts w:ascii="Garamond" w:hAnsi="Garamond" w:cs="Times New Roman"/>
          <w:sz w:val="24"/>
          <w:szCs w:val="24"/>
        </w:rPr>
        <w:t>,</w:t>
      </w:r>
      <w:r w:rsidR="003B2385" w:rsidRPr="00B31292">
        <w:rPr>
          <w:rFonts w:ascii="Garamond" w:hAnsi="Garamond" w:cs="Times New Roman"/>
          <w:sz w:val="24"/>
          <w:szCs w:val="24"/>
        </w:rPr>
        <w:t xml:space="preserve"> p</w:t>
      </w:r>
      <w:r w:rsidR="003A6AF1" w:rsidRPr="00B31292">
        <w:rPr>
          <w:rFonts w:ascii="Garamond" w:hAnsi="Garamond" w:cs="Times New Roman"/>
          <w:sz w:val="24"/>
          <w:szCs w:val="24"/>
        </w:rPr>
        <w:t>ër plotësimin e informacionit integrohe</w:t>
      </w:r>
      <w:r w:rsidR="003B2385" w:rsidRPr="00B31292">
        <w:rPr>
          <w:rFonts w:ascii="Garamond" w:hAnsi="Garamond" w:cs="Times New Roman"/>
          <w:sz w:val="24"/>
          <w:szCs w:val="24"/>
        </w:rPr>
        <w:t>n</w:t>
      </w:r>
      <w:r w:rsidR="003A6AF1" w:rsidRPr="00B31292">
        <w:rPr>
          <w:rFonts w:ascii="Garamond" w:hAnsi="Garamond" w:cs="Times New Roman"/>
          <w:sz w:val="24"/>
          <w:szCs w:val="24"/>
        </w:rPr>
        <w:t xml:space="preserve"> të dhënat nga burime ndërkombëtare</w:t>
      </w:r>
      <w:r w:rsidR="00D0306E" w:rsidRPr="00B31292">
        <w:rPr>
          <w:rFonts w:ascii="Garamond" w:hAnsi="Garamond" w:cs="Times New Roman"/>
          <w:sz w:val="24"/>
          <w:szCs w:val="24"/>
        </w:rPr>
        <w:t>,</w:t>
      </w:r>
      <w:r w:rsidR="003A6AF1" w:rsidRPr="00B31292">
        <w:rPr>
          <w:rFonts w:ascii="Garamond" w:hAnsi="Garamond" w:cs="Times New Roman"/>
          <w:sz w:val="24"/>
          <w:szCs w:val="24"/>
        </w:rPr>
        <w:t xml:space="preserve"> si: </w:t>
      </w:r>
      <w:r w:rsidR="009C0CE9" w:rsidRPr="00B31292">
        <w:rPr>
          <w:rFonts w:ascii="Garamond" w:hAnsi="Garamond" w:cs="Times New Roman"/>
          <w:sz w:val="24"/>
          <w:szCs w:val="24"/>
        </w:rPr>
        <w:t>Eurostat</w:t>
      </w:r>
      <w:r w:rsidR="003A6AF1" w:rsidRPr="00B31292">
        <w:rPr>
          <w:rFonts w:ascii="Garamond" w:hAnsi="Garamond" w:cs="Times New Roman"/>
          <w:sz w:val="24"/>
          <w:szCs w:val="24"/>
        </w:rPr>
        <w:t xml:space="preserve">, </w:t>
      </w:r>
      <w:r w:rsidR="00BD6AA3" w:rsidRPr="00B31292">
        <w:rPr>
          <w:rFonts w:ascii="Garamond" w:hAnsi="Garamond" w:cs="Times New Roman"/>
          <w:sz w:val="24"/>
          <w:szCs w:val="24"/>
        </w:rPr>
        <w:t>Departamenti i Çështjeve Ekonomike dhe Sociale në Kombet e Bashkuara (</w:t>
      </w:r>
      <w:r w:rsidR="003A6AF1" w:rsidRPr="00B31292">
        <w:rPr>
          <w:rFonts w:ascii="Garamond" w:hAnsi="Garamond" w:cs="Times New Roman"/>
          <w:sz w:val="24"/>
          <w:szCs w:val="24"/>
        </w:rPr>
        <w:t>UNDESA</w:t>
      </w:r>
      <w:r w:rsidR="00BD6AA3" w:rsidRPr="00B31292">
        <w:rPr>
          <w:rFonts w:ascii="Garamond" w:hAnsi="Garamond" w:cs="Times New Roman"/>
          <w:sz w:val="24"/>
          <w:szCs w:val="24"/>
        </w:rPr>
        <w:t>)</w:t>
      </w:r>
      <w:r w:rsidR="003A6AF1" w:rsidRPr="00B31292">
        <w:rPr>
          <w:rFonts w:ascii="Garamond" w:hAnsi="Garamond" w:cs="Times New Roman"/>
          <w:sz w:val="24"/>
          <w:szCs w:val="24"/>
        </w:rPr>
        <w:t xml:space="preserve">, </w:t>
      </w:r>
      <w:r w:rsidR="0020050A" w:rsidRPr="00B31292">
        <w:rPr>
          <w:rFonts w:ascii="Garamond" w:hAnsi="Garamond" w:cs="Times New Roman"/>
          <w:sz w:val="24"/>
          <w:szCs w:val="24"/>
        </w:rPr>
        <w:t>Programi i Zhvillimit në Kombet e Bashkuara (</w:t>
      </w:r>
      <w:r w:rsidR="003A6AF1" w:rsidRPr="00B31292">
        <w:rPr>
          <w:rFonts w:ascii="Garamond" w:hAnsi="Garamond" w:cs="Times New Roman"/>
          <w:sz w:val="24"/>
          <w:szCs w:val="24"/>
        </w:rPr>
        <w:t>UNDP</w:t>
      </w:r>
      <w:r w:rsidR="0020050A" w:rsidRPr="00B31292">
        <w:rPr>
          <w:rFonts w:ascii="Garamond" w:hAnsi="Garamond" w:cs="Times New Roman"/>
          <w:sz w:val="24"/>
          <w:szCs w:val="24"/>
        </w:rPr>
        <w:t>)</w:t>
      </w:r>
      <w:r w:rsidR="003B2385" w:rsidRPr="00B31292">
        <w:rPr>
          <w:rFonts w:ascii="Garamond" w:hAnsi="Garamond" w:cs="Times New Roman"/>
          <w:sz w:val="24"/>
          <w:szCs w:val="24"/>
        </w:rPr>
        <w:t xml:space="preserve"> </w:t>
      </w:r>
      <w:r w:rsidR="003A6AF1" w:rsidRPr="00B31292">
        <w:rPr>
          <w:rFonts w:ascii="Garamond" w:hAnsi="Garamond" w:cs="Times New Roman"/>
          <w:sz w:val="24"/>
          <w:szCs w:val="24"/>
        </w:rPr>
        <w:t>dhe statistikat pasqyrë nga disa shtete të tjera.</w:t>
      </w:r>
    </w:p>
    <w:p w14:paraId="6154F4AB" w14:textId="78A2ECC7" w:rsidR="003524E8" w:rsidRPr="00B31292" w:rsidRDefault="004366A4" w:rsidP="003A4DBA">
      <w:pPr>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B</w:t>
      </w:r>
      <w:r w:rsidR="003A6AF1" w:rsidRPr="00B31292">
        <w:rPr>
          <w:rFonts w:ascii="Garamond" w:hAnsi="Garamond" w:cs="Times New Roman"/>
          <w:sz w:val="24"/>
          <w:szCs w:val="24"/>
        </w:rPr>
        <w:t>renda kësaj nënteme do të kryhet nga INSTAT</w:t>
      </w:r>
      <w:r w:rsidR="00BA12C3" w:rsidRPr="00B31292">
        <w:rPr>
          <w:rFonts w:ascii="Garamond" w:hAnsi="Garamond" w:cs="Times New Roman"/>
          <w:sz w:val="24"/>
          <w:szCs w:val="24"/>
        </w:rPr>
        <w:t>-i</w:t>
      </w:r>
      <w:r w:rsidR="003A6AF1" w:rsidRPr="00B31292">
        <w:rPr>
          <w:rFonts w:ascii="Garamond" w:hAnsi="Garamond" w:cs="Times New Roman"/>
          <w:sz w:val="24"/>
          <w:szCs w:val="24"/>
        </w:rPr>
        <w:t xml:space="preserve"> prodhimi i statistikave të azilit dhe të huajve, me frekuencë vjetore, duke përdorur të dhënat administrative të marra nga Ministria e Brendshme dhe Departamenti i Kufirit dhe Migracionit.</w:t>
      </w:r>
    </w:p>
    <w:p w14:paraId="133B3B8F" w14:textId="77777777" w:rsidR="003524E8" w:rsidRPr="00B31292" w:rsidRDefault="007A00CF" w:rsidP="003A4DBA">
      <w:pPr>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lastRenderedPageBreak/>
        <w:t>Aktiviteti i projeksioneve të popullsisë që kryhet zakonisht çdo pesë vjet, jep informacion në lidhje me numrin e ardhshëm, strukturën demografike dhe shpërndarjen territoriale të banorëve sipas hipotezave më të mundshme të prirjeve në sjelljet demografike.</w:t>
      </w:r>
    </w:p>
    <w:p w14:paraId="6268A4F4" w14:textId="6B63F135" w:rsidR="003524E8" w:rsidRPr="00B31292" w:rsidRDefault="001D60BA" w:rsidP="003A4DBA">
      <w:pPr>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 xml:space="preserve">Gjatë </w:t>
      </w:r>
      <w:r w:rsidR="00605631" w:rsidRPr="00B31292">
        <w:rPr>
          <w:rFonts w:ascii="Garamond" w:hAnsi="Garamond" w:cs="Times New Roman"/>
          <w:sz w:val="24"/>
          <w:szCs w:val="24"/>
        </w:rPr>
        <w:t xml:space="preserve">vitit </w:t>
      </w:r>
      <w:r w:rsidRPr="00B31292">
        <w:rPr>
          <w:rFonts w:ascii="Garamond" w:hAnsi="Garamond" w:cs="Times New Roman"/>
          <w:sz w:val="24"/>
          <w:szCs w:val="24"/>
        </w:rPr>
        <w:t>2025 parashikohet të kryhet publikim</w:t>
      </w:r>
      <w:r w:rsidR="00605631" w:rsidRPr="00B31292">
        <w:rPr>
          <w:rFonts w:ascii="Garamond" w:hAnsi="Garamond" w:cs="Times New Roman"/>
          <w:sz w:val="24"/>
          <w:szCs w:val="24"/>
        </w:rPr>
        <w:t>i</w:t>
      </w:r>
      <w:r w:rsidRPr="00B31292">
        <w:rPr>
          <w:rFonts w:ascii="Garamond" w:hAnsi="Garamond" w:cs="Times New Roman"/>
          <w:sz w:val="24"/>
          <w:szCs w:val="24"/>
        </w:rPr>
        <w:t xml:space="preserve"> </w:t>
      </w:r>
      <w:r w:rsidR="00605631" w:rsidRPr="00B31292">
        <w:rPr>
          <w:rFonts w:ascii="Garamond" w:hAnsi="Garamond" w:cs="Times New Roman"/>
          <w:sz w:val="24"/>
          <w:szCs w:val="24"/>
        </w:rPr>
        <w:t>mbi</w:t>
      </w:r>
      <w:r w:rsidRPr="00B31292">
        <w:rPr>
          <w:rFonts w:ascii="Garamond" w:hAnsi="Garamond" w:cs="Times New Roman"/>
          <w:sz w:val="24"/>
          <w:szCs w:val="24"/>
        </w:rPr>
        <w:t xml:space="preserve"> statistik</w:t>
      </w:r>
      <w:r w:rsidR="00605631" w:rsidRPr="00B31292">
        <w:rPr>
          <w:rFonts w:ascii="Garamond" w:hAnsi="Garamond" w:cs="Times New Roman"/>
          <w:sz w:val="24"/>
          <w:szCs w:val="24"/>
        </w:rPr>
        <w:t>at</w:t>
      </w:r>
      <w:r w:rsidRPr="00B31292">
        <w:rPr>
          <w:rFonts w:ascii="Garamond" w:hAnsi="Garamond" w:cs="Times New Roman"/>
          <w:sz w:val="24"/>
          <w:szCs w:val="24"/>
        </w:rPr>
        <w:t xml:space="preserve"> </w:t>
      </w:r>
      <w:r w:rsidR="00605631" w:rsidRPr="00B31292">
        <w:rPr>
          <w:rFonts w:ascii="Garamond" w:hAnsi="Garamond" w:cs="Times New Roman"/>
          <w:sz w:val="24"/>
          <w:szCs w:val="24"/>
        </w:rPr>
        <w:t>e</w:t>
      </w:r>
      <w:r w:rsidRPr="00B31292">
        <w:rPr>
          <w:rFonts w:ascii="Garamond" w:hAnsi="Garamond" w:cs="Times New Roman"/>
          <w:sz w:val="24"/>
          <w:szCs w:val="24"/>
        </w:rPr>
        <w:t xml:space="preserve"> diasporës shqiptare,</w:t>
      </w:r>
      <w:r w:rsidR="00184D73" w:rsidRPr="00B31292">
        <w:rPr>
          <w:rFonts w:ascii="Garamond" w:hAnsi="Garamond" w:cs="Times New Roman"/>
          <w:sz w:val="24"/>
          <w:szCs w:val="24"/>
        </w:rPr>
        <w:t xml:space="preserve"> aktivitet i cili </w:t>
      </w:r>
      <w:r w:rsidRPr="00B31292">
        <w:rPr>
          <w:rFonts w:ascii="Garamond" w:hAnsi="Garamond" w:cs="Times New Roman"/>
          <w:sz w:val="24"/>
          <w:szCs w:val="24"/>
        </w:rPr>
        <w:t xml:space="preserve">prodhon të dhëna </w:t>
      </w:r>
      <w:r w:rsidR="00A12147" w:rsidRPr="00B31292">
        <w:rPr>
          <w:rFonts w:ascii="Garamond" w:hAnsi="Garamond" w:cs="Times New Roman"/>
          <w:sz w:val="24"/>
          <w:szCs w:val="24"/>
        </w:rPr>
        <w:t>sipas</w:t>
      </w:r>
      <w:r w:rsidRPr="00B31292">
        <w:rPr>
          <w:rFonts w:ascii="Garamond" w:hAnsi="Garamond" w:cs="Times New Roman"/>
          <w:sz w:val="24"/>
          <w:szCs w:val="24"/>
        </w:rPr>
        <w:t xml:space="preserve"> destinacione</w:t>
      </w:r>
      <w:r w:rsidR="00A12147" w:rsidRPr="00B31292">
        <w:rPr>
          <w:rFonts w:ascii="Garamond" w:hAnsi="Garamond" w:cs="Times New Roman"/>
          <w:sz w:val="24"/>
          <w:szCs w:val="24"/>
        </w:rPr>
        <w:t>ve</w:t>
      </w:r>
      <w:r w:rsidRPr="00B31292">
        <w:rPr>
          <w:rFonts w:ascii="Garamond" w:hAnsi="Garamond" w:cs="Times New Roman"/>
          <w:sz w:val="24"/>
          <w:szCs w:val="24"/>
        </w:rPr>
        <w:t xml:space="preserve"> krye</w:t>
      </w:r>
      <w:r w:rsidR="00184D73" w:rsidRPr="00B31292">
        <w:rPr>
          <w:rFonts w:ascii="Garamond" w:hAnsi="Garamond" w:cs="Times New Roman"/>
          <w:sz w:val="24"/>
          <w:szCs w:val="24"/>
        </w:rPr>
        <w:t>sore, piramidën e diasporës etj.,</w:t>
      </w:r>
      <w:r w:rsidRPr="00B31292">
        <w:rPr>
          <w:rFonts w:ascii="Garamond" w:hAnsi="Garamond" w:cs="Times New Roman"/>
          <w:sz w:val="24"/>
          <w:szCs w:val="24"/>
        </w:rPr>
        <w:t xml:space="preserve"> duke vlerësuar karakteristikat bazë demografike dhe sociale.</w:t>
      </w:r>
    </w:p>
    <w:p w14:paraId="638D13D5" w14:textId="0F022F0E" w:rsidR="001000D0" w:rsidRPr="00B31292" w:rsidRDefault="00CE79A0" w:rsidP="003A4DBA">
      <w:pPr>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Gjithashtu</w:t>
      </w:r>
      <w:r w:rsidR="004366A4" w:rsidRPr="00B31292">
        <w:rPr>
          <w:rFonts w:ascii="Garamond" w:hAnsi="Garamond" w:cs="Times New Roman"/>
          <w:sz w:val="24"/>
          <w:szCs w:val="24"/>
        </w:rPr>
        <w:t>,</w:t>
      </w:r>
      <w:r w:rsidRPr="00B31292">
        <w:rPr>
          <w:rFonts w:ascii="Garamond" w:hAnsi="Garamond" w:cs="Times New Roman"/>
          <w:sz w:val="24"/>
          <w:szCs w:val="24"/>
        </w:rPr>
        <w:t xml:space="preserve"> g</w:t>
      </w:r>
      <w:r w:rsidR="001000D0" w:rsidRPr="00B31292">
        <w:rPr>
          <w:rFonts w:ascii="Garamond" w:hAnsi="Garamond" w:cs="Times New Roman"/>
          <w:sz w:val="24"/>
          <w:szCs w:val="24"/>
        </w:rPr>
        <w:t xml:space="preserve">jatë vitit 2025 </w:t>
      </w:r>
      <w:r w:rsidR="00B47A4E" w:rsidRPr="00B31292">
        <w:rPr>
          <w:rFonts w:ascii="Garamond" w:hAnsi="Garamond" w:cs="Times New Roman"/>
          <w:sz w:val="24"/>
          <w:szCs w:val="24"/>
        </w:rPr>
        <w:t xml:space="preserve">parashikohet </w:t>
      </w:r>
      <w:r w:rsidR="003A508C" w:rsidRPr="00B31292">
        <w:rPr>
          <w:rFonts w:ascii="Garamond" w:hAnsi="Garamond" w:cs="Times New Roman"/>
          <w:sz w:val="24"/>
          <w:szCs w:val="24"/>
        </w:rPr>
        <w:t>t</w:t>
      </w:r>
      <w:r w:rsidR="001000D0" w:rsidRPr="00B31292">
        <w:rPr>
          <w:rFonts w:ascii="Garamond" w:hAnsi="Garamond" w:cs="Times New Roman"/>
          <w:sz w:val="24"/>
          <w:szCs w:val="24"/>
        </w:rPr>
        <w:t xml:space="preserve">ë kryhet </w:t>
      </w:r>
      <w:r w:rsidR="00155734" w:rsidRPr="00B31292">
        <w:rPr>
          <w:rFonts w:ascii="Garamond" w:hAnsi="Garamond" w:cs="Times New Roman"/>
          <w:sz w:val="24"/>
          <w:szCs w:val="24"/>
        </w:rPr>
        <w:t xml:space="preserve">vrojtimi i grupimeve </w:t>
      </w:r>
      <w:r w:rsidR="00184D73" w:rsidRPr="00B31292">
        <w:rPr>
          <w:rFonts w:ascii="Garamond" w:hAnsi="Garamond" w:cs="Times New Roman"/>
          <w:sz w:val="24"/>
          <w:szCs w:val="24"/>
        </w:rPr>
        <w:t>të treguesve të shumëfishtë (</w:t>
      </w:r>
      <w:r w:rsidR="001000D0" w:rsidRPr="00B31292">
        <w:rPr>
          <w:rFonts w:ascii="Garamond" w:hAnsi="Garamond" w:cs="Times New Roman"/>
          <w:sz w:val="24"/>
          <w:szCs w:val="24"/>
        </w:rPr>
        <w:t>MICS</w:t>
      </w:r>
      <w:r w:rsidR="00184D73" w:rsidRPr="00B31292">
        <w:rPr>
          <w:rFonts w:ascii="Garamond" w:hAnsi="Garamond" w:cs="Times New Roman"/>
          <w:sz w:val="24"/>
          <w:szCs w:val="24"/>
        </w:rPr>
        <w:t>)</w:t>
      </w:r>
      <w:r w:rsidR="009B29D0" w:rsidRPr="00B31292">
        <w:rPr>
          <w:rFonts w:ascii="Garamond" w:hAnsi="Garamond" w:cs="Times New Roman"/>
          <w:sz w:val="24"/>
          <w:szCs w:val="24"/>
        </w:rPr>
        <w:t>,</w:t>
      </w:r>
      <w:r w:rsidR="001000D0" w:rsidRPr="00B31292">
        <w:rPr>
          <w:rFonts w:ascii="Garamond" w:hAnsi="Garamond" w:cs="Times New Roman"/>
          <w:sz w:val="24"/>
          <w:szCs w:val="24"/>
        </w:rPr>
        <w:t xml:space="preserve"> </w:t>
      </w:r>
      <w:r w:rsidR="00697930" w:rsidRPr="00B31292">
        <w:rPr>
          <w:rFonts w:ascii="Garamond" w:hAnsi="Garamond" w:cs="Times New Roman"/>
          <w:sz w:val="24"/>
          <w:szCs w:val="24"/>
        </w:rPr>
        <w:t>q</w:t>
      </w:r>
      <w:r w:rsidR="0056280C" w:rsidRPr="00B31292">
        <w:rPr>
          <w:rFonts w:ascii="Garamond" w:hAnsi="Garamond" w:cs="Times New Roman"/>
          <w:sz w:val="24"/>
          <w:szCs w:val="24"/>
        </w:rPr>
        <w:t xml:space="preserve">ëllimi kryesor i të cilit është të sigurojë të dhëna të nevojshme, dhe me cilësi të lartë të </w:t>
      </w:r>
      <w:r w:rsidR="001000D0" w:rsidRPr="00B31292">
        <w:rPr>
          <w:rFonts w:ascii="Garamond" w:hAnsi="Garamond" w:cs="Times New Roman"/>
          <w:sz w:val="24"/>
          <w:szCs w:val="24"/>
        </w:rPr>
        <w:t>një sërë tregu</w:t>
      </w:r>
      <w:r w:rsidR="008059ED" w:rsidRPr="00B31292">
        <w:rPr>
          <w:rFonts w:ascii="Garamond" w:hAnsi="Garamond" w:cs="Times New Roman"/>
          <w:sz w:val="24"/>
          <w:szCs w:val="24"/>
        </w:rPr>
        <w:t>e</w:t>
      </w:r>
      <w:r w:rsidR="001000D0" w:rsidRPr="00B31292">
        <w:rPr>
          <w:rFonts w:ascii="Garamond" w:hAnsi="Garamond" w:cs="Times New Roman"/>
          <w:sz w:val="24"/>
          <w:szCs w:val="24"/>
        </w:rPr>
        <w:t xml:space="preserve">sish </w:t>
      </w:r>
      <w:r w:rsidR="000D6B3B" w:rsidRPr="00B31292">
        <w:rPr>
          <w:rFonts w:ascii="Garamond" w:hAnsi="Garamond" w:cs="Times New Roman"/>
          <w:sz w:val="24"/>
          <w:szCs w:val="24"/>
        </w:rPr>
        <w:t>t</w:t>
      </w:r>
      <w:r w:rsidR="001000D0" w:rsidRPr="00B31292">
        <w:rPr>
          <w:rFonts w:ascii="Garamond" w:hAnsi="Garamond" w:cs="Times New Roman"/>
          <w:sz w:val="24"/>
          <w:szCs w:val="24"/>
        </w:rPr>
        <w:t>ë fusha</w:t>
      </w:r>
      <w:r w:rsidR="000D6B3B" w:rsidRPr="00B31292">
        <w:rPr>
          <w:rFonts w:ascii="Garamond" w:hAnsi="Garamond" w:cs="Times New Roman"/>
          <w:sz w:val="24"/>
          <w:szCs w:val="24"/>
        </w:rPr>
        <w:t>ve</w:t>
      </w:r>
      <w:r w:rsidR="001000D0" w:rsidRPr="00B31292">
        <w:rPr>
          <w:rFonts w:ascii="Garamond" w:hAnsi="Garamond" w:cs="Times New Roman"/>
          <w:sz w:val="24"/>
          <w:szCs w:val="24"/>
        </w:rPr>
        <w:t xml:space="preserve"> të ndryshm</w:t>
      </w:r>
      <w:r w:rsidR="0026687A" w:rsidRPr="00B31292">
        <w:rPr>
          <w:rFonts w:ascii="Garamond" w:hAnsi="Garamond" w:cs="Times New Roman"/>
          <w:sz w:val="24"/>
          <w:szCs w:val="24"/>
        </w:rPr>
        <w:t>e</w:t>
      </w:r>
      <w:r w:rsidR="00184D73" w:rsidRPr="00B31292">
        <w:rPr>
          <w:rFonts w:ascii="Garamond" w:hAnsi="Garamond" w:cs="Times New Roman"/>
          <w:sz w:val="24"/>
          <w:szCs w:val="24"/>
        </w:rPr>
        <w:t xml:space="preserve"> </w:t>
      </w:r>
      <w:r w:rsidR="001000D0" w:rsidRPr="00B31292">
        <w:rPr>
          <w:rFonts w:ascii="Garamond" w:hAnsi="Garamond" w:cs="Times New Roman"/>
          <w:sz w:val="24"/>
          <w:szCs w:val="24"/>
        </w:rPr>
        <w:t xml:space="preserve">me fokus </w:t>
      </w:r>
      <w:r w:rsidR="00E25097" w:rsidRPr="00B31292">
        <w:rPr>
          <w:rFonts w:ascii="Garamond" w:hAnsi="Garamond" w:cs="Times New Roman"/>
          <w:sz w:val="24"/>
          <w:szCs w:val="24"/>
        </w:rPr>
        <w:t xml:space="preserve">fëmijët, </w:t>
      </w:r>
      <w:r w:rsidR="000D6B3B" w:rsidRPr="00B31292">
        <w:rPr>
          <w:rFonts w:ascii="Garamond" w:hAnsi="Garamond" w:cs="Times New Roman"/>
          <w:sz w:val="24"/>
          <w:szCs w:val="24"/>
        </w:rPr>
        <w:t>kryesisht</w:t>
      </w:r>
      <w:r w:rsidR="001000D0" w:rsidRPr="00B31292">
        <w:rPr>
          <w:rFonts w:ascii="Garamond" w:hAnsi="Garamond" w:cs="Times New Roman"/>
          <w:sz w:val="24"/>
          <w:szCs w:val="24"/>
        </w:rPr>
        <w:t xml:space="preserve"> </w:t>
      </w:r>
      <w:r w:rsidR="003A508C" w:rsidRPr="00B31292">
        <w:rPr>
          <w:rFonts w:ascii="Garamond" w:hAnsi="Garamond" w:cs="Times New Roman"/>
          <w:sz w:val="24"/>
          <w:szCs w:val="24"/>
        </w:rPr>
        <w:t xml:space="preserve">kushtet </w:t>
      </w:r>
      <w:r w:rsidR="00E25097" w:rsidRPr="00B31292">
        <w:rPr>
          <w:rFonts w:ascii="Garamond" w:hAnsi="Garamond" w:cs="Times New Roman"/>
          <w:sz w:val="24"/>
          <w:szCs w:val="24"/>
        </w:rPr>
        <w:t>sociale të</w:t>
      </w:r>
      <w:r w:rsidR="003A508C" w:rsidRPr="00B31292">
        <w:rPr>
          <w:rFonts w:ascii="Garamond" w:hAnsi="Garamond" w:cs="Times New Roman"/>
          <w:sz w:val="24"/>
          <w:szCs w:val="24"/>
        </w:rPr>
        <w:t xml:space="preserve"> jetesës, n</w:t>
      </w:r>
      <w:r w:rsidR="001000D0" w:rsidRPr="00B31292">
        <w:rPr>
          <w:rFonts w:ascii="Garamond" w:hAnsi="Garamond" w:cs="Times New Roman"/>
          <w:sz w:val="24"/>
          <w:szCs w:val="24"/>
        </w:rPr>
        <w:t>ënat</w:t>
      </w:r>
      <w:r w:rsidR="003A508C" w:rsidRPr="00B31292">
        <w:rPr>
          <w:rFonts w:ascii="Garamond" w:hAnsi="Garamond" w:cs="Times New Roman"/>
          <w:sz w:val="24"/>
          <w:szCs w:val="24"/>
        </w:rPr>
        <w:t xml:space="preserve"> dhe fëmijët</w:t>
      </w:r>
      <w:r w:rsidR="001000D0" w:rsidRPr="00B31292">
        <w:rPr>
          <w:rFonts w:ascii="Garamond" w:hAnsi="Garamond" w:cs="Times New Roman"/>
          <w:sz w:val="24"/>
          <w:szCs w:val="24"/>
        </w:rPr>
        <w:t xml:space="preserve">, </w:t>
      </w:r>
      <w:r w:rsidR="003A508C" w:rsidRPr="00B31292">
        <w:rPr>
          <w:rFonts w:ascii="Garamond" w:hAnsi="Garamond" w:cs="Times New Roman"/>
          <w:sz w:val="24"/>
          <w:szCs w:val="24"/>
        </w:rPr>
        <w:t>edukimi</w:t>
      </w:r>
      <w:r w:rsidR="00184D73" w:rsidRPr="00B31292">
        <w:rPr>
          <w:rFonts w:ascii="Garamond" w:hAnsi="Garamond" w:cs="Times New Roman"/>
          <w:sz w:val="24"/>
          <w:szCs w:val="24"/>
        </w:rPr>
        <w:t>n, shëndetësinë</w:t>
      </w:r>
      <w:r w:rsidR="003A508C" w:rsidRPr="00B31292">
        <w:rPr>
          <w:rFonts w:ascii="Garamond" w:hAnsi="Garamond" w:cs="Times New Roman"/>
          <w:sz w:val="24"/>
          <w:szCs w:val="24"/>
        </w:rPr>
        <w:t xml:space="preserve"> </w:t>
      </w:r>
      <w:r w:rsidR="00184D73" w:rsidRPr="00B31292">
        <w:rPr>
          <w:rFonts w:ascii="Garamond" w:hAnsi="Garamond" w:cs="Times New Roman"/>
          <w:sz w:val="24"/>
          <w:szCs w:val="24"/>
        </w:rPr>
        <w:t xml:space="preserve">etj. </w:t>
      </w:r>
      <w:r w:rsidR="00155734" w:rsidRPr="00B31292">
        <w:rPr>
          <w:rFonts w:ascii="Garamond" w:hAnsi="Garamond" w:cs="Times New Roman"/>
          <w:sz w:val="24"/>
          <w:szCs w:val="24"/>
        </w:rPr>
        <w:t xml:space="preserve">Ky vrojtim </w:t>
      </w:r>
      <w:r w:rsidR="001000D0" w:rsidRPr="00B31292">
        <w:rPr>
          <w:rFonts w:ascii="Garamond" w:hAnsi="Garamond" w:cs="Times New Roman"/>
          <w:sz w:val="24"/>
          <w:szCs w:val="24"/>
        </w:rPr>
        <w:t>pritet të re</w:t>
      </w:r>
      <w:r w:rsidR="00830F3D" w:rsidRPr="00B31292">
        <w:rPr>
          <w:rFonts w:ascii="Garamond" w:hAnsi="Garamond" w:cs="Times New Roman"/>
          <w:sz w:val="24"/>
          <w:szCs w:val="24"/>
        </w:rPr>
        <w:t>a</w:t>
      </w:r>
      <w:r w:rsidR="001000D0" w:rsidRPr="00B31292">
        <w:rPr>
          <w:rFonts w:ascii="Garamond" w:hAnsi="Garamond" w:cs="Times New Roman"/>
          <w:sz w:val="24"/>
          <w:szCs w:val="24"/>
        </w:rPr>
        <w:t>lizohet në</w:t>
      </w:r>
      <w:r w:rsidR="00184D73" w:rsidRPr="00B31292">
        <w:rPr>
          <w:rFonts w:ascii="Garamond" w:hAnsi="Garamond" w:cs="Times New Roman"/>
          <w:sz w:val="24"/>
          <w:szCs w:val="24"/>
        </w:rPr>
        <w:t>përmjet</w:t>
      </w:r>
      <w:r w:rsidR="001000D0" w:rsidRPr="00B31292">
        <w:rPr>
          <w:rFonts w:ascii="Garamond" w:hAnsi="Garamond" w:cs="Times New Roman"/>
          <w:sz w:val="24"/>
          <w:szCs w:val="24"/>
        </w:rPr>
        <w:t xml:space="preserve"> koordinim</w:t>
      </w:r>
      <w:r w:rsidR="00184D73" w:rsidRPr="00B31292">
        <w:rPr>
          <w:rFonts w:ascii="Garamond" w:hAnsi="Garamond" w:cs="Times New Roman"/>
          <w:sz w:val="24"/>
          <w:szCs w:val="24"/>
        </w:rPr>
        <w:t>it ndërsektorial të</w:t>
      </w:r>
      <w:r w:rsidR="001000D0" w:rsidRPr="00B31292">
        <w:rPr>
          <w:rFonts w:ascii="Garamond" w:hAnsi="Garamond" w:cs="Times New Roman"/>
          <w:sz w:val="24"/>
          <w:szCs w:val="24"/>
        </w:rPr>
        <w:t xml:space="preserve"> INSTAT</w:t>
      </w:r>
      <w:r w:rsidR="00BA12C3" w:rsidRPr="00B31292">
        <w:rPr>
          <w:rFonts w:ascii="Garamond" w:hAnsi="Garamond" w:cs="Times New Roman"/>
          <w:sz w:val="24"/>
          <w:szCs w:val="24"/>
        </w:rPr>
        <w:t>-it</w:t>
      </w:r>
      <w:r w:rsidR="001000D0" w:rsidRPr="00B31292">
        <w:rPr>
          <w:rFonts w:ascii="Garamond" w:hAnsi="Garamond" w:cs="Times New Roman"/>
          <w:sz w:val="24"/>
          <w:szCs w:val="24"/>
        </w:rPr>
        <w:t>.</w:t>
      </w:r>
    </w:p>
    <w:p w14:paraId="363EC180" w14:textId="692F6DD0" w:rsidR="00A268A2" w:rsidRPr="00B31292" w:rsidRDefault="003A6AF1" w:rsidP="003A4DBA">
      <w:pPr>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Statistikat gjinore</w:t>
      </w:r>
      <w:r w:rsidR="00FF34C6" w:rsidRPr="00B31292">
        <w:rPr>
          <w:rFonts w:ascii="Garamond" w:hAnsi="Garamond" w:cs="Times New Roman"/>
          <w:sz w:val="24"/>
          <w:szCs w:val="24"/>
        </w:rPr>
        <w:t xml:space="preserve"> dhe indeksi i barazisë gjinore </w:t>
      </w:r>
      <w:r w:rsidRPr="00B31292">
        <w:rPr>
          <w:rFonts w:ascii="Garamond" w:hAnsi="Garamond" w:cs="Times New Roman"/>
          <w:sz w:val="24"/>
          <w:szCs w:val="24"/>
        </w:rPr>
        <w:t>do të prodhohen sipas aktivitetit vjetor që do të kryejë INSTAT</w:t>
      </w:r>
      <w:r w:rsidR="00BA12C3" w:rsidRPr="00B31292">
        <w:rPr>
          <w:rFonts w:ascii="Garamond" w:hAnsi="Garamond" w:cs="Times New Roman"/>
          <w:sz w:val="24"/>
          <w:szCs w:val="24"/>
        </w:rPr>
        <w:t>-i</w:t>
      </w:r>
      <w:r w:rsidRPr="00B31292">
        <w:rPr>
          <w:rFonts w:ascii="Garamond" w:hAnsi="Garamond" w:cs="Times New Roman"/>
          <w:sz w:val="24"/>
          <w:szCs w:val="24"/>
        </w:rPr>
        <w:t>, duke përdorur të dhënat administrative dhe vrojtime statistikore të INSTAT</w:t>
      </w:r>
      <w:r w:rsidR="00BA12C3" w:rsidRPr="00B31292">
        <w:rPr>
          <w:rFonts w:ascii="Garamond" w:hAnsi="Garamond" w:cs="Times New Roman"/>
          <w:sz w:val="24"/>
          <w:szCs w:val="24"/>
        </w:rPr>
        <w:t>-it</w:t>
      </w:r>
      <w:r w:rsidRPr="00B31292">
        <w:rPr>
          <w:rFonts w:ascii="Garamond" w:hAnsi="Garamond" w:cs="Times New Roman"/>
          <w:sz w:val="24"/>
          <w:szCs w:val="24"/>
        </w:rPr>
        <w:t>, si edhe burime administr</w:t>
      </w:r>
      <w:r w:rsidR="00184D73" w:rsidRPr="00B31292">
        <w:rPr>
          <w:rFonts w:ascii="Garamond" w:hAnsi="Garamond" w:cs="Times New Roman"/>
          <w:sz w:val="24"/>
          <w:szCs w:val="24"/>
        </w:rPr>
        <w:t>ative nga institucione të tjera</w:t>
      </w:r>
      <w:r w:rsidR="00D46C3C" w:rsidRPr="00B31292">
        <w:rPr>
          <w:rFonts w:ascii="Garamond" w:hAnsi="Garamond" w:cs="Times New Roman"/>
          <w:sz w:val="24"/>
          <w:szCs w:val="24"/>
        </w:rPr>
        <w:t xml:space="preserve"> </w:t>
      </w:r>
      <w:r w:rsidRPr="00B31292">
        <w:rPr>
          <w:rFonts w:ascii="Garamond" w:hAnsi="Garamond" w:cs="Times New Roman"/>
          <w:sz w:val="24"/>
          <w:szCs w:val="24"/>
        </w:rPr>
        <w:t>si</w:t>
      </w:r>
      <w:r w:rsidR="00D46C3C" w:rsidRPr="00B31292">
        <w:rPr>
          <w:rFonts w:ascii="Garamond" w:hAnsi="Garamond" w:cs="Times New Roman"/>
          <w:sz w:val="24"/>
          <w:szCs w:val="24"/>
        </w:rPr>
        <w:t>:</w:t>
      </w:r>
      <w:r w:rsidRPr="00B31292">
        <w:rPr>
          <w:rFonts w:ascii="Garamond" w:hAnsi="Garamond" w:cs="Times New Roman"/>
          <w:sz w:val="24"/>
          <w:szCs w:val="24"/>
        </w:rPr>
        <w:t xml:space="preserve"> Banka e Shqipërisë, Komisioni Qendror i Zgjedhjeve, Instituti i Sigurimeve Shoqërore, Avokati i Popullit etj.</w:t>
      </w:r>
    </w:p>
    <w:p w14:paraId="20920D4A" w14:textId="48984B5C" w:rsidR="003A6AF1" w:rsidRPr="00B31292" w:rsidRDefault="003A6AF1" w:rsidP="003A4DBA">
      <w:pPr>
        <w:spacing w:after="0" w:line="240" w:lineRule="auto"/>
        <w:ind w:firstLine="284"/>
        <w:jc w:val="both"/>
        <w:rPr>
          <w:rFonts w:ascii="Garamond" w:hAnsi="Garamond" w:cs="Times New Roman"/>
          <w:sz w:val="24"/>
          <w:szCs w:val="24"/>
        </w:rPr>
      </w:pPr>
      <w:r w:rsidRPr="00B31292">
        <w:rPr>
          <w:rFonts w:ascii="Garamond" w:hAnsi="Garamond" w:cs="Times New Roman"/>
          <w:b/>
          <w:sz w:val="24"/>
          <w:szCs w:val="24"/>
        </w:rPr>
        <w:t>Treguesit kryesorë:</w:t>
      </w:r>
      <w:r w:rsidRPr="00B31292">
        <w:rPr>
          <w:rFonts w:ascii="Garamond" w:hAnsi="Garamond" w:cs="Times New Roman"/>
          <w:sz w:val="24"/>
          <w:szCs w:val="24"/>
        </w:rPr>
        <w:t xml:space="preserve"> </w:t>
      </w:r>
      <w:r w:rsidR="0037387B" w:rsidRPr="00B31292">
        <w:rPr>
          <w:rFonts w:ascii="Garamond" w:hAnsi="Garamond" w:cs="Times New Roman"/>
          <w:sz w:val="24"/>
          <w:szCs w:val="24"/>
        </w:rPr>
        <w:t>t</w:t>
      </w:r>
      <w:r w:rsidRPr="00B31292">
        <w:rPr>
          <w:rFonts w:ascii="Garamond" w:hAnsi="Garamond" w:cs="Times New Roman"/>
          <w:sz w:val="24"/>
          <w:szCs w:val="24"/>
        </w:rPr>
        <w:t xml:space="preserve">regues statistikorë mbi popullsinë më 1 </w:t>
      </w:r>
      <w:r w:rsidR="00D0306E" w:rsidRPr="00B31292">
        <w:rPr>
          <w:rFonts w:ascii="Garamond" w:hAnsi="Garamond" w:cs="Times New Roman"/>
          <w:sz w:val="24"/>
          <w:szCs w:val="24"/>
        </w:rPr>
        <w:t>j</w:t>
      </w:r>
      <w:r w:rsidRPr="00B31292">
        <w:rPr>
          <w:rFonts w:ascii="Garamond" w:hAnsi="Garamond" w:cs="Times New Roman"/>
          <w:sz w:val="24"/>
          <w:szCs w:val="24"/>
        </w:rPr>
        <w:t xml:space="preserve">anar, të </w:t>
      </w:r>
      <w:r w:rsidR="00155734" w:rsidRPr="00B31292">
        <w:rPr>
          <w:rFonts w:ascii="Garamond" w:hAnsi="Garamond" w:cs="Times New Roman"/>
          <w:sz w:val="24"/>
          <w:szCs w:val="24"/>
        </w:rPr>
        <w:t xml:space="preserve">detajuar </w:t>
      </w:r>
      <w:r w:rsidRPr="00B31292">
        <w:rPr>
          <w:rFonts w:ascii="Garamond" w:hAnsi="Garamond" w:cs="Times New Roman"/>
          <w:sz w:val="24"/>
          <w:szCs w:val="24"/>
        </w:rPr>
        <w:t>sipas grup</w:t>
      </w:r>
      <w:r w:rsidR="001E238E" w:rsidRPr="00B31292">
        <w:rPr>
          <w:rFonts w:ascii="Garamond" w:hAnsi="Garamond" w:cs="Times New Roman"/>
          <w:sz w:val="24"/>
          <w:szCs w:val="24"/>
        </w:rPr>
        <w:t>-</w:t>
      </w:r>
      <w:r w:rsidRPr="00B31292">
        <w:rPr>
          <w:rFonts w:ascii="Garamond" w:hAnsi="Garamond" w:cs="Times New Roman"/>
          <w:sz w:val="24"/>
          <w:szCs w:val="24"/>
        </w:rPr>
        <w:t>moshës, gjinisë, qarqeve, si</w:t>
      </w:r>
      <w:r w:rsidR="009B29D0" w:rsidRPr="00B31292">
        <w:rPr>
          <w:rFonts w:ascii="Garamond" w:hAnsi="Garamond" w:cs="Times New Roman"/>
          <w:sz w:val="24"/>
          <w:szCs w:val="24"/>
        </w:rPr>
        <w:t xml:space="preserve"> </w:t>
      </w:r>
      <w:r w:rsidRPr="00B31292">
        <w:rPr>
          <w:rFonts w:ascii="Garamond" w:hAnsi="Garamond" w:cs="Times New Roman"/>
          <w:sz w:val="24"/>
          <w:szCs w:val="24"/>
        </w:rPr>
        <w:t>dhe tregues mbi komponentët e popullsisë</w:t>
      </w:r>
      <w:r w:rsidR="00D0306E" w:rsidRPr="00B31292">
        <w:rPr>
          <w:rFonts w:ascii="Garamond" w:hAnsi="Garamond" w:cs="Times New Roman"/>
          <w:sz w:val="24"/>
          <w:szCs w:val="24"/>
        </w:rPr>
        <w:t>,</w:t>
      </w:r>
      <w:r w:rsidRPr="00B31292">
        <w:rPr>
          <w:rFonts w:ascii="Garamond" w:hAnsi="Garamond" w:cs="Times New Roman"/>
          <w:sz w:val="24"/>
          <w:szCs w:val="24"/>
        </w:rPr>
        <w:t xml:space="preserve"> si: lindshmëria, vdekshmëria, shtesa natyrore e popullsisë, migracioni </w:t>
      </w:r>
      <w:r w:rsidR="009B29D0" w:rsidRPr="00B31292">
        <w:rPr>
          <w:rFonts w:ascii="Garamond" w:hAnsi="Garamond" w:cs="Times New Roman"/>
          <w:sz w:val="24"/>
          <w:szCs w:val="24"/>
        </w:rPr>
        <w:t xml:space="preserve">i </w:t>
      </w:r>
      <w:r w:rsidRPr="00B31292">
        <w:rPr>
          <w:rFonts w:ascii="Garamond" w:hAnsi="Garamond" w:cs="Times New Roman"/>
          <w:sz w:val="24"/>
          <w:szCs w:val="24"/>
        </w:rPr>
        <w:t>brendshëm dhe i jashtëm, numri i emigrantëve dhe</w:t>
      </w:r>
      <w:r w:rsidR="00F95367" w:rsidRPr="00B31292">
        <w:rPr>
          <w:rFonts w:ascii="Garamond" w:hAnsi="Garamond" w:cs="Times New Roman"/>
          <w:sz w:val="24"/>
          <w:szCs w:val="24"/>
        </w:rPr>
        <w:t xml:space="preserve"> imigrantëve bazuar në </w:t>
      </w:r>
      <w:r w:rsidR="001E238E" w:rsidRPr="00B31292">
        <w:rPr>
          <w:rFonts w:ascii="Garamond" w:hAnsi="Garamond" w:cs="Times New Roman"/>
          <w:sz w:val="24"/>
          <w:szCs w:val="24"/>
        </w:rPr>
        <w:t xml:space="preserve">vrojtimin e forcave të punës; tregues </w:t>
      </w:r>
      <w:r w:rsidRPr="00B31292">
        <w:rPr>
          <w:rFonts w:ascii="Garamond" w:hAnsi="Garamond" w:cs="Times New Roman"/>
          <w:sz w:val="24"/>
          <w:szCs w:val="24"/>
        </w:rPr>
        <w:t>statistikorë të lindshmërisë, vdekshmërisë, martesave dhe divorceve me frekuencë vjetore, si dhe numri i lindjeve dhe i vdekjeve (</w:t>
      </w:r>
      <w:r w:rsidR="001E238E" w:rsidRPr="00B31292">
        <w:rPr>
          <w:rFonts w:ascii="Garamond" w:hAnsi="Garamond" w:cs="Times New Roman"/>
          <w:sz w:val="24"/>
          <w:szCs w:val="24"/>
        </w:rPr>
        <w:t>shtesa natyrore e popullsisë</w:t>
      </w:r>
      <w:r w:rsidRPr="00B31292">
        <w:rPr>
          <w:rFonts w:ascii="Garamond" w:hAnsi="Garamond" w:cs="Times New Roman"/>
          <w:sz w:val="24"/>
          <w:szCs w:val="24"/>
        </w:rPr>
        <w:t>) sipas qarqeve</w:t>
      </w:r>
      <w:r w:rsidR="00D46C3C" w:rsidRPr="00B31292">
        <w:rPr>
          <w:rFonts w:ascii="Garamond" w:hAnsi="Garamond" w:cs="Times New Roman"/>
          <w:sz w:val="24"/>
          <w:szCs w:val="24"/>
        </w:rPr>
        <w:t>,</w:t>
      </w:r>
      <w:r w:rsidRPr="00B31292">
        <w:rPr>
          <w:rFonts w:ascii="Garamond" w:hAnsi="Garamond" w:cs="Times New Roman"/>
          <w:sz w:val="24"/>
          <w:szCs w:val="24"/>
        </w:rPr>
        <w:t xml:space="preserve"> me frekuencë tremujore</w:t>
      </w:r>
      <w:r w:rsidR="009F7514" w:rsidRPr="00B31292">
        <w:rPr>
          <w:rFonts w:ascii="Garamond" w:hAnsi="Garamond" w:cs="Times New Roman"/>
          <w:sz w:val="24"/>
          <w:szCs w:val="24"/>
        </w:rPr>
        <w:t>.</w:t>
      </w:r>
    </w:p>
    <w:p w14:paraId="1E1495CB" w14:textId="158FD992" w:rsidR="003A6AF1" w:rsidRPr="00B31292" w:rsidRDefault="003A6AF1" w:rsidP="003A4DBA">
      <w:pPr>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Gjithashtu</w:t>
      </w:r>
      <w:r w:rsidR="00C33980" w:rsidRPr="00B31292">
        <w:rPr>
          <w:rFonts w:ascii="Garamond" w:hAnsi="Garamond" w:cs="Times New Roman"/>
          <w:sz w:val="24"/>
          <w:szCs w:val="24"/>
        </w:rPr>
        <w:t>,</w:t>
      </w:r>
      <w:r w:rsidRPr="00B31292">
        <w:rPr>
          <w:rFonts w:ascii="Garamond" w:hAnsi="Garamond" w:cs="Times New Roman"/>
          <w:sz w:val="24"/>
          <w:szCs w:val="24"/>
        </w:rPr>
        <w:t xml:space="preserve"> nën këtë temë statistikore do të prodhohen tregues statistikorë të diasporës shqiptare sipas grup</w:t>
      </w:r>
      <w:r w:rsidR="001E238E" w:rsidRPr="00B31292">
        <w:rPr>
          <w:rFonts w:ascii="Garamond" w:hAnsi="Garamond" w:cs="Times New Roman"/>
          <w:sz w:val="24"/>
          <w:szCs w:val="24"/>
        </w:rPr>
        <w:t>-</w:t>
      </w:r>
      <w:r w:rsidRPr="00B31292">
        <w:rPr>
          <w:rFonts w:ascii="Garamond" w:hAnsi="Garamond" w:cs="Times New Roman"/>
          <w:sz w:val="24"/>
          <w:szCs w:val="24"/>
        </w:rPr>
        <w:t xml:space="preserve">moshës, gjinisë dhe vendit të rezidencës; </w:t>
      </w:r>
      <w:r w:rsidR="001E238E" w:rsidRPr="00B31292">
        <w:rPr>
          <w:rFonts w:ascii="Garamond" w:hAnsi="Garamond" w:cs="Times New Roman"/>
          <w:sz w:val="24"/>
          <w:szCs w:val="24"/>
        </w:rPr>
        <w:t xml:space="preserve">tregues </w:t>
      </w:r>
      <w:r w:rsidRPr="00B31292">
        <w:rPr>
          <w:rFonts w:ascii="Garamond" w:hAnsi="Garamond" w:cs="Times New Roman"/>
          <w:sz w:val="24"/>
          <w:szCs w:val="24"/>
        </w:rPr>
        <w:t>statistikorë të projeksioneve të popullsisë sipas grup</w:t>
      </w:r>
      <w:r w:rsidR="001E238E" w:rsidRPr="00B31292">
        <w:rPr>
          <w:rFonts w:ascii="Garamond" w:hAnsi="Garamond" w:cs="Times New Roman"/>
          <w:sz w:val="24"/>
          <w:szCs w:val="24"/>
        </w:rPr>
        <w:t>-</w:t>
      </w:r>
      <w:r w:rsidRPr="00B31292">
        <w:rPr>
          <w:rFonts w:ascii="Garamond" w:hAnsi="Garamond" w:cs="Times New Roman"/>
          <w:sz w:val="24"/>
          <w:szCs w:val="24"/>
        </w:rPr>
        <w:t>moshës dhe gjinisë; Tregues statistikorë mbi azilkërkuesit dhe të huajt me leje qëndrimi në Shqipëri sipas grup</w:t>
      </w:r>
      <w:r w:rsidR="001E238E" w:rsidRPr="00B31292">
        <w:rPr>
          <w:rFonts w:ascii="Garamond" w:hAnsi="Garamond" w:cs="Times New Roman"/>
          <w:sz w:val="24"/>
          <w:szCs w:val="24"/>
        </w:rPr>
        <w:t>-</w:t>
      </w:r>
      <w:r w:rsidRPr="00B31292">
        <w:rPr>
          <w:rFonts w:ascii="Garamond" w:hAnsi="Garamond" w:cs="Times New Roman"/>
          <w:sz w:val="24"/>
          <w:szCs w:val="24"/>
        </w:rPr>
        <w:t>moshës, gjinisë, motivit të lejes së qëndrimit dhe sipas vendit të origjinës.</w:t>
      </w:r>
      <w:bookmarkStart w:id="6" w:name="_Toc87780200"/>
      <w:bookmarkStart w:id="7" w:name="_Toc186909495"/>
      <w:bookmarkStart w:id="8" w:name="_Toc85380265"/>
      <w:bookmarkStart w:id="9" w:name="_Toc85376933"/>
    </w:p>
    <w:p w14:paraId="16C35248" w14:textId="27A7FE18" w:rsidR="003A6AF1" w:rsidRPr="00B31292" w:rsidRDefault="003A6AF1" w:rsidP="003A4DBA">
      <w:pPr>
        <w:spacing w:after="0" w:line="240" w:lineRule="auto"/>
        <w:ind w:firstLine="284"/>
        <w:jc w:val="both"/>
        <w:rPr>
          <w:rFonts w:ascii="Garamond" w:eastAsia="Times New Roman" w:hAnsi="Garamond" w:cs="Times New Roman"/>
          <w:sz w:val="24"/>
          <w:szCs w:val="24"/>
        </w:rPr>
      </w:pPr>
      <w:r w:rsidRPr="00B31292">
        <w:rPr>
          <w:rFonts w:ascii="Garamond" w:eastAsia="Times New Roman" w:hAnsi="Garamond" w:cs="Times New Roman"/>
          <w:b/>
          <w:sz w:val="24"/>
          <w:szCs w:val="24"/>
        </w:rPr>
        <w:t xml:space="preserve">Përputhshmëria me </w:t>
      </w:r>
      <w:r w:rsidRPr="00B31292">
        <w:rPr>
          <w:rFonts w:ascii="Garamond" w:eastAsia="Times New Roman" w:hAnsi="Garamond" w:cs="Times New Roman"/>
          <w:b/>
          <w:i/>
          <w:sz w:val="24"/>
          <w:szCs w:val="24"/>
        </w:rPr>
        <w:t>acquis</w:t>
      </w:r>
      <w:bookmarkEnd w:id="6"/>
      <w:bookmarkEnd w:id="7"/>
      <w:bookmarkEnd w:id="8"/>
      <w:bookmarkEnd w:id="9"/>
      <w:r w:rsidRPr="00B31292">
        <w:rPr>
          <w:rFonts w:ascii="Garamond" w:eastAsia="Times New Roman" w:hAnsi="Garamond" w:cs="Times New Roman"/>
          <w:b/>
          <w:i/>
          <w:sz w:val="24"/>
          <w:szCs w:val="24"/>
        </w:rPr>
        <w:t xml:space="preserve">: </w:t>
      </w:r>
      <w:r w:rsidRPr="00B31292">
        <w:rPr>
          <w:rFonts w:ascii="Garamond" w:eastAsia="Times New Roman" w:hAnsi="Garamond" w:cs="Times New Roman"/>
          <w:i/>
          <w:sz w:val="24"/>
          <w:szCs w:val="24"/>
        </w:rPr>
        <w:t>Statistikat demografike, të migracionit dhe popullsisë</w:t>
      </w:r>
      <w:r w:rsidRPr="00B31292">
        <w:rPr>
          <w:rFonts w:ascii="Garamond" w:eastAsia="Times New Roman" w:hAnsi="Garamond" w:cs="Times New Roman"/>
          <w:sz w:val="24"/>
          <w:szCs w:val="24"/>
        </w:rPr>
        <w:t xml:space="preserve"> janë pjesërisht të përputhshme me Rregulloren (BE) </w:t>
      </w:r>
      <w:r w:rsidR="00BA12C3" w:rsidRPr="00B31292">
        <w:rPr>
          <w:rFonts w:ascii="Garamond" w:eastAsia="Times New Roman" w:hAnsi="Garamond" w:cs="Times New Roman"/>
          <w:sz w:val="24"/>
          <w:szCs w:val="24"/>
        </w:rPr>
        <w:t>n</w:t>
      </w:r>
      <w:r w:rsidRPr="00B31292">
        <w:rPr>
          <w:rFonts w:ascii="Garamond" w:eastAsia="Times New Roman" w:hAnsi="Garamond" w:cs="Times New Roman"/>
          <w:sz w:val="24"/>
          <w:szCs w:val="24"/>
        </w:rPr>
        <w:t>r. 1260/2013. Nga kjo rregullore lind nevoja për të prodhuar tabela më të detajuara për popullsinë me vendbanim të zakonshëm, lindjet e gjalla dhe vdekjet. Të dhënat demografike të siguruara nga INSTAT</w:t>
      </w:r>
      <w:r w:rsidR="00BA12C3" w:rsidRPr="00B31292">
        <w:rPr>
          <w:rFonts w:ascii="Garamond" w:eastAsia="Times New Roman" w:hAnsi="Garamond" w:cs="Times New Roman"/>
          <w:sz w:val="24"/>
          <w:szCs w:val="24"/>
        </w:rPr>
        <w:t>-i</w:t>
      </w:r>
      <w:r w:rsidRPr="00B31292">
        <w:rPr>
          <w:rFonts w:ascii="Garamond" w:eastAsia="Times New Roman" w:hAnsi="Garamond" w:cs="Times New Roman"/>
          <w:sz w:val="24"/>
          <w:szCs w:val="24"/>
        </w:rPr>
        <w:t xml:space="preserve"> bazohen në përkufizimin e popullsisë banuese, nivelin rajonal NUTS dhe </w:t>
      </w:r>
      <w:r w:rsidR="00501E8C" w:rsidRPr="00B31292">
        <w:rPr>
          <w:rFonts w:ascii="Garamond" w:eastAsia="Times New Roman" w:hAnsi="Garamond" w:cs="Times New Roman"/>
          <w:sz w:val="24"/>
          <w:szCs w:val="24"/>
        </w:rPr>
        <w:t xml:space="preserve">përkufizimet e ngjarjeve jetësore </w:t>
      </w:r>
      <w:r w:rsidRPr="00B31292">
        <w:rPr>
          <w:rFonts w:ascii="Garamond" w:eastAsia="Times New Roman" w:hAnsi="Garamond" w:cs="Times New Roman"/>
          <w:sz w:val="24"/>
          <w:szCs w:val="24"/>
        </w:rPr>
        <w:t>që janë plotësisht në përputhje me Rregulloren e BE</w:t>
      </w:r>
      <w:r w:rsidR="00D0306E" w:rsidRPr="00B31292">
        <w:rPr>
          <w:rFonts w:ascii="Garamond" w:eastAsia="Times New Roman" w:hAnsi="Garamond" w:cs="Times New Roman"/>
          <w:sz w:val="24"/>
          <w:szCs w:val="24"/>
        </w:rPr>
        <w:t>-së</w:t>
      </w:r>
      <w:r w:rsidRPr="00B31292">
        <w:rPr>
          <w:rFonts w:ascii="Garamond" w:eastAsia="Times New Roman" w:hAnsi="Garamond" w:cs="Times New Roman"/>
          <w:sz w:val="24"/>
          <w:szCs w:val="24"/>
        </w:rPr>
        <w:t xml:space="preserve"> </w:t>
      </w:r>
      <w:r w:rsidR="00BA12C3" w:rsidRPr="00B31292">
        <w:rPr>
          <w:rFonts w:ascii="Garamond" w:eastAsia="Times New Roman" w:hAnsi="Garamond" w:cs="Times New Roman"/>
          <w:sz w:val="24"/>
          <w:szCs w:val="24"/>
        </w:rPr>
        <w:t>n</w:t>
      </w:r>
      <w:r w:rsidRPr="00B31292">
        <w:rPr>
          <w:rFonts w:ascii="Garamond" w:eastAsia="Times New Roman" w:hAnsi="Garamond" w:cs="Times New Roman"/>
          <w:sz w:val="24"/>
          <w:szCs w:val="24"/>
        </w:rPr>
        <w:t>r. 1260/2013.</w:t>
      </w:r>
    </w:p>
    <w:p w14:paraId="335CBE47" w14:textId="66121039" w:rsidR="003A6AF1" w:rsidRPr="00B31292" w:rsidRDefault="003A6AF1" w:rsidP="003A4DBA">
      <w:pPr>
        <w:spacing w:after="0" w:line="240" w:lineRule="auto"/>
        <w:ind w:firstLine="284"/>
        <w:jc w:val="both"/>
        <w:rPr>
          <w:rFonts w:ascii="Garamond" w:eastAsia="Times New Roman" w:hAnsi="Garamond" w:cs="Times New Roman"/>
          <w:sz w:val="24"/>
          <w:szCs w:val="24"/>
        </w:rPr>
      </w:pPr>
      <w:r w:rsidRPr="00B31292">
        <w:rPr>
          <w:rFonts w:ascii="Garamond" w:eastAsia="Times New Roman" w:hAnsi="Garamond" w:cs="Times New Roman"/>
          <w:i/>
          <w:sz w:val="24"/>
          <w:szCs w:val="24"/>
        </w:rPr>
        <w:t xml:space="preserve">Statistikat e Azilkërkuesve, </w:t>
      </w:r>
      <w:r w:rsidR="0071735F" w:rsidRPr="00B31292">
        <w:rPr>
          <w:rFonts w:ascii="Garamond" w:eastAsia="Times New Roman" w:hAnsi="Garamond" w:cs="Times New Roman"/>
          <w:i/>
          <w:sz w:val="24"/>
          <w:szCs w:val="24"/>
        </w:rPr>
        <w:t>l</w:t>
      </w:r>
      <w:r w:rsidRPr="00B31292">
        <w:rPr>
          <w:rFonts w:ascii="Garamond" w:eastAsia="Times New Roman" w:hAnsi="Garamond" w:cs="Times New Roman"/>
          <w:i/>
          <w:sz w:val="24"/>
          <w:szCs w:val="24"/>
        </w:rPr>
        <w:t>ejeve të qëndrimit, dhe shtetësisë</w:t>
      </w:r>
      <w:r w:rsidRPr="00B31292">
        <w:rPr>
          <w:rFonts w:ascii="Garamond" w:eastAsia="Times New Roman" w:hAnsi="Garamond" w:cs="Times New Roman"/>
          <w:sz w:val="24"/>
          <w:szCs w:val="24"/>
        </w:rPr>
        <w:t xml:space="preserve"> janë përfshirë për herë të parë në </w:t>
      </w:r>
      <w:r w:rsidR="005D08EA" w:rsidRPr="00B31292">
        <w:rPr>
          <w:rFonts w:ascii="Garamond" w:eastAsia="Times New Roman" w:hAnsi="Garamond" w:cs="Times New Roman"/>
          <w:sz w:val="24"/>
          <w:szCs w:val="24"/>
        </w:rPr>
        <w:t>Programin e Statistikave Zyrtare</w:t>
      </w:r>
      <w:r w:rsidRPr="00B31292">
        <w:rPr>
          <w:rFonts w:ascii="Garamond" w:eastAsia="Times New Roman" w:hAnsi="Garamond" w:cs="Times New Roman"/>
          <w:sz w:val="24"/>
          <w:szCs w:val="24"/>
        </w:rPr>
        <w:t xml:space="preserve"> 2017</w:t>
      </w:r>
      <w:r w:rsidR="00BA12C3" w:rsidRPr="00B31292">
        <w:rPr>
          <w:rFonts w:ascii="Garamond" w:eastAsia="Times New Roman" w:hAnsi="Garamond" w:cs="Times New Roman"/>
          <w:sz w:val="24"/>
          <w:szCs w:val="24"/>
        </w:rPr>
        <w:t>–</w:t>
      </w:r>
      <w:r w:rsidRPr="00B31292">
        <w:rPr>
          <w:rFonts w:ascii="Garamond" w:eastAsia="Times New Roman" w:hAnsi="Garamond" w:cs="Times New Roman"/>
          <w:sz w:val="24"/>
          <w:szCs w:val="24"/>
        </w:rPr>
        <w:t xml:space="preserve">2021. </w:t>
      </w:r>
      <w:r w:rsidR="005C1F7C" w:rsidRPr="00B31292">
        <w:rPr>
          <w:rFonts w:ascii="Garamond" w:eastAsia="Times New Roman" w:hAnsi="Garamond" w:cs="Times New Roman"/>
          <w:sz w:val="24"/>
          <w:szCs w:val="24"/>
        </w:rPr>
        <w:t>Lidhur me s</w:t>
      </w:r>
      <w:r w:rsidRPr="00B31292">
        <w:rPr>
          <w:rFonts w:ascii="Garamond" w:eastAsia="Times New Roman" w:hAnsi="Garamond" w:cs="Times New Roman"/>
          <w:sz w:val="24"/>
          <w:szCs w:val="24"/>
        </w:rPr>
        <w:t xml:space="preserve">tatistikat e </w:t>
      </w:r>
      <w:r w:rsidR="005C1F7C" w:rsidRPr="00B31292">
        <w:rPr>
          <w:rFonts w:ascii="Garamond" w:eastAsia="Times New Roman" w:hAnsi="Garamond" w:cs="Times New Roman"/>
          <w:sz w:val="24"/>
          <w:szCs w:val="24"/>
        </w:rPr>
        <w:t>a</w:t>
      </w:r>
      <w:r w:rsidRPr="00B31292">
        <w:rPr>
          <w:rFonts w:ascii="Garamond" w:eastAsia="Times New Roman" w:hAnsi="Garamond" w:cs="Times New Roman"/>
          <w:sz w:val="24"/>
          <w:szCs w:val="24"/>
        </w:rPr>
        <w:t xml:space="preserve">zilkërkuesve dhe </w:t>
      </w:r>
      <w:r w:rsidR="005C1F7C" w:rsidRPr="00B31292">
        <w:rPr>
          <w:rFonts w:ascii="Garamond" w:eastAsia="Times New Roman" w:hAnsi="Garamond" w:cs="Times New Roman"/>
          <w:sz w:val="24"/>
          <w:szCs w:val="24"/>
        </w:rPr>
        <w:t>l</w:t>
      </w:r>
      <w:r w:rsidRPr="00B31292">
        <w:rPr>
          <w:rFonts w:ascii="Garamond" w:eastAsia="Times New Roman" w:hAnsi="Garamond" w:cs="Times New Roman"/>
          <w:sz w:val="24"/>
          <w:szCs w:val="24"/>
        </w:rPr>
        <w:t xml:space="preserve">ejeve të qëndrimit edhe pse nuk janë në përputhje me </w:t>
      </w:r>
      <w:r w:rsidR="005D08EA" w:rsidRPr="00B31292">
        <w:rPr>
          <w:rFonts w:ascii="Garamond" w:eastAsia="Times New Roman" w:hAnsi="Garamond" w:cs="Times New Roman"/>
          <w:sz w:val="24"/>
          <w:szCs w:val="24"/>
        </w:rPr>
        <w:t>r</w:t>
      </w:r>
      <w:r w:rsidRPr="00B31292">
        <w:rPr>
          <w:rFonts w:ascii="Garamond" w:eastAsia="Times New Roman" w:hAnsi="Garamond" w:cs="Times New Roman"/>
          <w:sz w:val="24"/>
          <w:szCs w:val="24"/>
        </w:rPr>
        <w:t xml:space="preserve">regulloren, </w:t>
      </w:r>
      <w:r w:rsidR="00641612" w:rsidRPr="00B31292">
        <w:rPr>
          <w:rFonts w:ascii="Garamond" w:eastAsia="Times New Roman" w:hAnsi="Garamond" w:cs="Times New Roman"/>
          <w:sz w:val="24"/>
          <w:szCs w:val="24"/>
        </w:rPr>
        <w:t>INSTAT</w:t>
      </w:r>
      <w:r w:rsidR="00BA12C3" w:rsidRPr="00B31292">
        <w:rPr>
          <w:rFonts w:ascii="Garamond" w:eastAsia="Times New Roman" w:hAnsi="Garamond" w:cs="Times New Roman"/>
          <w:sz w:val="24"/>
          <w:szCs w:val="24"/>
        </w:rPr>
        <w:t>-i</w:t>
      </w:r>
      <w:r w:rsidR="00641612" w:rsidRPr="00B31292">
        <w:rPr>
          <w:rFonts w:ascii="Garamond" w:eastAsia="Times New Roman" w:hAnsi="Garamond" w:cs="Times New Roman"/>
          <w:sz w:val="24"/>
          <w:szCs w:val="24"/>
        </w:rPr>
        <w:t xml:space="preserve"> </w:t>
      </w:r>
      <w:r w:rsidR="004366A4" w:rsidRPr="00B31292">
        <w:rPr>
          <w:rFonts w:ascii="Garamond" w:eastAsia="Times New Roman" w:hAnsi="Garamond" w:cs="Times New Roman"/>
          <w:sz w:val="24"/>
          <w:szCs w:val="24"/>
        </w:rPr>
        <w:t>synon</w:t>
      </w:r>
      <w:r w:rsidR="00641612" w:rsidRPr="00B31292">
        <w:rPr>
          <w:rFonts w:ascii="Garamond" w:eastAsia="Times New Roman" w:hAnsi="Garamond" w:cs="Times New Roman"/>
          <w:sz w:val="24"/>
          <w:szCs w:val="24"/>
        </w:rPr>
        <w:t xml:space="preserve"> përshta</w:t>
      </w:r>
      <w:r w:rsidR="004366A4" w:rsidRPr="00B31292">
        <w:rPr>
          <w:rFonts w:ascii="Garamond" w:eastAsia="Times New Roman" w:hAnsi="Garamond" w:cs="Times New Roman"/>
          <w:sz w:val="24"/>
          <w:szCs w:val="24"/>
        </w:rPr>
        <w:t>tjen me</w:t>
      </w:r>
      <w:r w:rsidR="00641612" w:rsidRPr="00B31292">
        <w:rPr>
          <w:rFonts w:ascii="Garamond" w:eastAsia="Times New Roman" w:hAnsi="Garamond" w:cs="Times New Roman"/>
          <w:sz w:val="24"/>
          <w:szCs w:val="24"/>
        </w:rPr>
        <w:t xml:space="preserve"> Rregulloren (KE) </w:t>
      </w:r>
      <w:r w:rsidR="00BA12C3" w:rsidRPr="00B31292">
        <w:rPr>
          <w:rFonts w:ascii="Garamond" w:eastAsia="Times New Roman" w:hAnsi="Garamond" w:cs="Times New Roman"/>
          <w:sz w:val="24"/>
          <w:szCs w:val="24"/>
        </w:rPr>
        <w:t>n</w:t>
      </w:r>
      <w:r w:rsidR="00641612" w:rsidRPr="00B31292">
        <w:rPr>
          <w:rFonts w:ascii="Garamond" w:eastAsia="Times New Roman" w:hAnsi="Garamond" w:cs="Times New Roman"/>
          <w:sz w:val="24"/>
          <w:szCs w:val="24"/>
        </w:rPr>
        <w:t>r</w:t>
      </w:r>
      <w:r w:rsidR="00BA12C3" w:rsidRPr="00B31292">
        <w:rPr>
          <w:rFonts w:ascii="Garamond" w:eastAsia="Times New Roman" w:hAnsi="Garamond" w:cs="Times New Roman"/>
          <w:sz w:val="24"/>
          <w:szCs w:val="24"/>
        </w:rPr>
        <w:t>.</w:t>
      </w:r>
      <w:r w:rsidR="00641612" w:rsidRPr="00B31292">
        <w:rPr>
          <w:rFonts w:ascii="Garamond" w:eastAsia="Times New Roman" w:hAnsi="Garamond" w:cs="Times New Roman"/>
          <w:sz w:val="24"/>
          <w:szCs w:val="24"/>
        </w:rPr>
        <w:t xml:space="preserve"> 862/2007</w:t>
      </w:r>
      <w:r w:rsidR="00BA12C3" w:rsidRPr="00B31292">
        <w:rPr>
          <w:rFonts w:ascii="Garamond" w:eastAsia="Times New Roman" w:hAnsi="Garamond" w:cs="Times New Roman"/>
          <w:sz w:val="24"/>
          <w:szCs w:val="24"/>
        </w:rPr>
        <w:t>,</w:t>
      </w:r>
      <w:r w:rsidR="00641612" w:rsidRPr="00B31292">
        <w:rPr>
          <w:rFonts w:ascii="Garamond" w:eastAsia="Times New Roman" w:hAnsi="Garamond" w:cs="Times New Roman"/>
          <w:sz w:val="24"/>
          <w:szCs w:val="24"/>
        </w:rPr>
        <w:t xml:space="preserve"> të Parlamentit Evropian dhe Këshillit</w:t>
      </w:r>
      <w:r w:rsidR="0071735F" w:rsidRPr="00B31292">
        <w:rPr>
          <w:rFonts w:ascii="Garamond" w:eastAsia="Times New Roman" w:hAnsi="Garamond" w:cs="Times New Roman"/>
          <w:sz w:val="24"/>
          <w:szCs w:val="24"/>
        </w:rPr>
        <w:t>,</w:t>
      </w:r>
      <w:r w:rsidR="00641612" w:rsidRPr="00B31292">
        <w:rPr>
          <w:rFonts w:ascii="Garamond" w:eastAsia="Times New Roman" w:hAnsi="Garamond" w:cs="Times New Roman"/>
          <w:sz w:val="24"/>
          <w:szCs w:val="24"/>
        </w:rPr>
        <w:t xml:space="preserve"> datë 11 korrik 2007, </w:t>
      </w:r>
      <w:r w:rsidR="00BA12C3" w:rsidRPr="00B31292">
        <w:rPr>
          <w:rFonts w:ascii="Garamond" w:eastAsia="Times New Roman" w:hAnsi="Garamond" w:cs="Times New Roman"/>
          <w:sz w:val="24"/>
          <w:szCs w:val="24"/>
        </w:rPr>
        <w:t>“</w:t>
      </w:r>
      <w:r w:rsidR="004366A4" w:rsidRPr="00B31292">
        <w:rPr>
          <w:rFonts w:ascii="Garamond" w:eastAsia="Times New Roman" w:hAnsi="Garamond" w:cs="Times New Roman"/>
          <w:sz w:val="24"/>
          <w:szCs w:val="24"/>
        </w:rPr>
        <w:t>M</w:t>
      </w:r>
      <w:r w:rsidR="00641612" w:rsidRPr="00B31292">
        <w:rPr>
          <w:rFonts w:ascii="Garamond" w:eastAsia="Times New Roman" w:hAnsi="Garamond" w:cs="Times New Roman"/>
          <w:sz w:val="24"/>
          <w:szCs w:val="24"/>
        </w:rPr>
        <w:t>bi statistikat për migracionin dhe mbrojtjen ndërkombëtare</w:t>
      </w:r>
      <w:r w:rsidR="00BA12C3" w:rsidRPr="00B31292">
        <w:rPr>
          <w:rFonts w:ascii="Garamond" w:eastAsia="Times New Roman" w:hAnsi="Garamond" w:cs="Times New Roman"/>
          <w:sz w:val="24"/>
          <w:szCs w:val="24"/>
        </w:rPr>
        <w:t>”</w:t>
      </w:r>
      <w:r w:rsidR="00641612" w:rsidRPr="00B31292">
        <w:rPr>
          <w:rFonts w:ascii="Garamond" w:eastAsia="Times New Roman" w:hAnsi="Garamond" w:cs="Times New Roman"/>
          <w:sz w:val="24"/>
          <w:szCs w:val="24"/>
        </w:rPr>
        <w:t>, nëpërmjet bashkëpunimit me institucionet furnizuese të të dhënave administrative</w:t>
      </w:r>
      <w:r w:rsidR="004366A4" w:rsidRPr="00B31292">
        <w:rPr>
          <w:rFonts w:ascii="Garamond" w:eastAsia="Times New Roman" w:hAnsi="Garamond" w:cs="Times New Roman"/>
          <w:sz w:val="24"/>
          <w:szCs w:val="24"/>
        </w:rPr>
        <w:t xml:space="preserve"> për të prodhuar statistika më të mira dhe cilësore për migracionin, azilkërkuesit dhe të huajt</w:t>
      </w:r>
      <w:r w:rsidR="00641612" w:rsidRPr="00B31292">
        <w:rPr>
          <w:rFonts w:ascii="Garamond" w:eastAsia="Times New Roman" w:hAnsi="Garamond" w:cs="Times New Roman"/>
          <w:sz w:val="24"/>
          <w:szCs w:val="24"/>
        </w:rPr>
        <w:t>.</w:t>
      </w:r>
    </w:p>
    <w:p w14:paraId="07FC8595" w14:textId="4FD36598" w:rsidR="00526944" w:rsidRPr="00B31292" w:rsidRDefault="00526944" w:rsidP="003A4DBA">
      <w:pPr>
        <w:keepNext/>
        <w:keepLines/>
        <w:spacing w:after="0" w:line="240" w:lineRule="auto"/>
        <w:ind w:firstLine="284"/>
        <w:outlineLvl w:val="4"/>
        <w:rPr>
          <w:rFonts w:ascii="Garamond" w:eastAsia="Times New Roman" w:hAnsi="Garamond" w:cs="Times New Roman"/>
          <w:b/>
          <w:iCs/>
          <w:sz w:val="24"/>
          <w:szCs w:val="24"/>
        </w:rPr>
      </w:pPr>
      <w:r w:rsidRPr="00B31292">
        <w:rPr>
          <w:rFonts w:ascii="Garamond" w:eastAsia="Times New Roman" w:hAnsi="Garamond" w:cs="Times New Roman"/>
          <w:b/>
          <w:iCs/>
          <w:sz w:val="24"/>
          <w:szCs w:val="24"/>
        </w:rPr>
        <w:t xml:space="preserve">Tema 1.2 </w:t>
      </w:r>
      <w:r w:rsidR="00BA12C3" w:rsidRPr="00B31292">
        <w:rPr>
          <w:rFonts w:ascii="Garamond" w:eastAsia="Times New Roman" w:hAnsi="Garamond" w:cs="Times New Roman"/>
          <w:b/>
          <w:iCs/>
          <w:sz w:val="24"/>
          <w:szCs w:val="24"/>
        </w:rPr>
        <w:t>“</w:t>
      </w:r>
      <w:r w:rsidRPr="00B31292">
        <w:rPr>
          <w:rFonts w:ascii="Garamond" w:eastAsia="Times New Roman" w:hAnsi="Garamond" w:cs="Times New Roman"/>
          <w:b/>
          <w:iCs/>
          <w:sz w:val="24"/>
          <w:szCs w:val="24"/>
        </w:rPr>
        <w:t xml:space="preserve">Puna dhe </w:t>
      </w:r>
      <w:r w:rsidR="001E238E" w:rsidRPr="00B31292">
        <w:rPr>
          <w:rFonts w:ascii="Garamond" w:eastAsia="Times New Roman" w:hAnsi="Garamond" w:cs="Times New Roman"/>
          <w:b/>
          <w:iCs/>
          <w:sz w:val="24"/>
          <w:szCs w:val="24"/>
        </w:rPr>
        <w:t>kostot e punës</w:t>
      </w:r>
      <w:r w:rsidR="00BA12C3" w:rsidRPr="00B31292">
        <w:rPr>
          <w:rFonts w:ascii="Garamond" w:eastAsia="Times New Roman" w:hAnsi="Garamond" w:cs="Times New Roman"/>
          <w:b/>
          <w:iCs/>
          <w:sz w:val="24"/>
          <w:szCs w:val="24"/>
        </w:rPr>
        <w:t>”</w:t>
      </w:r>
      <w:r w:rsidRPr="00B31292">
        <w:rPr>
          <w:rFonts w:ascii="Garamond" w:eastAsia="Times New Roman" w:hAnsi="Garamond" w:cs="Times New Roman"/>
          <w:b/>
          <w:iCs/>
          <w:sz w:val="24"/>
          <w:szCs w:val="24"/>
        </w:rPr>
        <w:t xml:space="preserve"> </w:t>
      </w:r>
    </w:p>
    <w:p w14:paraId="1B4B423B" w14:textId="242ADB34" w:rsidR="00526944" w:rsidRPr="00B31292" w:rsidRDefault="00526944" w:rsidP="003A4DBA">
      <w:pPr>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 xml:space="preserve">Tema 1.2 përbëhet nga dy nëntema: </w:t>
      </w:r>
      <w:r w:rsidRPr="00B31292">
        <w:rPr>
          <w:rFonts w:ascii="Garamond" w:hAnsi="Garamond" w:cs="Times New Roman"/>
          <w:i/>
          <w:sz w:val="24"/>
          <w:szCs w:val="24"/>
        </w:rPr>
        <w:t xml:space="preserve">1.2.1 </w:t>
      </w:r>
      <w:r w:rsidR="00BA12C3" w:rsidRPr="00B31292">
        <w:rPr>
          <w:rFonts w:ascii="Garamond" w:hAnsi="Garamond" w:cs="Times New Roman"/>
          <w:i/>
          <w:sz w:val="24"/>
          <w:szCs w:val="24"/>
        </w:rPr>
        <w:t>“</w:t>
      </w:r>
      <w:r w:rsidRPr="00B31292">
        <w:rPr>
          <w:rFonts w:ascii="Garamond" w:hAnsi="Garamond" w:cs="Times New Roman"/>
          <w:i/>
          <w:sz w:val="24"/>
          <w:szCs w:val="24"/>
        </w:rPr>
        <w:t xml:space="preserve">Punësimi dhe </w:t>
      </w:r>
      <w:r w:rsidR="001E238E" w:rsidRPr="00B31292">
        <w:rPr>
          <w:rFonts w:ascii="Garamond" w:hAnsi="Garamond" w:cs="Times New Roman"/>
          <w:i/>
          <w:sz w:val="24"/>
          <w:szCs w:val="24"/>
        </w:rPr>
        <w:t>papunësia</w:t>
      </w:r>
      <w:r w:rsidR="00BA12C3" w:rsidRPr="00B31292">
        <w:rPr>
          <w:rFonts w:ascii="Garamond" w:hAnsi="Garamond" w:cs="Times New Roman"/>
          <w:i/>
          <w:sz w:val="24"/>
          <w:szCs w:val="24"/>
        </w:rPr>
        <w:t>”</w:t>
      </w:r>
      <w:r w:rsidRPr="00B31292">
        <w:rPr>
          <w:rFonts w:ascii="Garamond" w:hAnsi="Garamond" w:cs="Times New Roman"/>
          <w:sz w:val="24"/>
          <w:szCs w:val="24"/>
        </w:rPr>
        <w:t xml:space="preserve"> dhe </w:t>
      </w:r>
      <w:r w:rsidRPr="00B31292">
        <w:rPr>
          <w:rFonts w:ascii="Garamond" w:hAnsi="Garamond" w:cs="Times New Roman"/>
          <w:i/>
          <w:sz w:val="24"/>
          <w:szCs w:val="24"/>
        </w:rPr>
        <w:t xml:space="preserve">1.2.2 </w:t>
      </w:r>
      <w:r w:rsidR="00BA12C3" w:rsidRPr="00B31292">
        <w:rPr>
          <w:rFonts w:ascii="Garamond" w:hAnsi="Garamond" w:cs="Times New Roman"/>
          <w:i/>
          <w:sz w:val="24"/>
          <w:szCs w:val="24"/>
        </w:rPr>
        <w:t>“</w:t>
      </w:r>
      <w:r w:rsidRPr="00B31292">
        <w:rPr>
          <w:rFonts w:ascii="Garamond" w:hAnsi="Garamond" w:cs="Times New Roman"/>
          <w:i/>
          <w:sz w:val="24"/>
          <w:szCs w:val="24"/>
        </w:rPr>
        <w:t>Kostoja e punës dhe të ardhurat nga puna</w:t>
      </w:r>
      <w:r w:rsidR="00BA12C3" w:rsidRPr="00B31292">
        <w:rPr>
          <w:rFonts w:ascii="Garamond" w:hAnsi="Garamond" w:cs="Times New Roman"/>
          <w:i/>
          <w:sz w:val="24"/>
          <w:szCs w:val="24"/>
        </w:rPr>
        <w:t>”</w:t>
      </w:r>
      <w:r w:rsidRPr="00B31292">
        <w:rPr>
          <w:rFonts w:ascii="Garamond" w:hAnsi="Garamond" w:cs="Times New Roman"/>
          <w:sz w:val="24"/>
          <w:szCs w:val="24"/>
        </w:rPr>
        <w:t xml:space="preserve">. </w:t>
      </w:r>
      <w:r w:rsidR="00D55D0A" w:rsidRPr="00B31292">
        <w:rPr>
          <w:rFonts w:ascii="Garamond" w:hAnsi="Garamond" w:cs="Times New Roman"/>
          <w:sz w:val="24"/>
          <w:szCs w:val="24"/>
        </w:rPr>
        <w:t xml:space="preserve">Siguron informacion tremujor dhe vjetor mbi karakteristikat e tregut të punës dhe variablave socio-demografikë të individëve dhe familjeve. </w:t>
      </w:r>
      <w:r w:rsidRPr="00B31292">
        <w:rPr>
          <w:rFonts w:ascii="Garamond" w:hAnsi="Garamond" w:cs="Times New Roman"/>
          <w:sz w:val="24"/>
          <w:szCs w:val="24"/>
        </w:rPr>
        <w:t>Përgjegjës për prodhimin e statistikave sipas kësaj teme është INSTAT</w:t>
      </w:r>
      <w:r w:rsidR="00BA12C3" w:rsidRPr="00B31292">
        <w:rPr>
          <w:rFonts w:ascii="Garamond" w:hAnsi="Garamond" w:cs="Times New Roman"/>
          <w:sz w:val="24"/>
          <w:szCs w:val="24"/>
        </w:rPr>
        <w:t>-i</w:t>
      </w:r>
      <w:r w:rsidRPr="00B31292">
        <w:rPr>
          <w:rFonts w:ascii="Garamond" w:hAnsi="Garamond" w:cs="Times New Roman"/>
          <w:sz w:val="24"/>
          <w:szCs w:val="24"/>
        </w:rPr>
        <w:t>.</w:t>
      </w:r>
      <w:r w:rsidR="0056280C" w:rsidRPr="00B31292">
        <w:rPr>
          <w:rFonts w:ascii="Garamond" w:hAnsi="Garamond" w:cs="Times New Roman"/>
          <w:sz w:val="24"/>
          <w:szCs w:val="24"/>
        </w:rPr>
        <w:t xml:space="preserve"> </w:t>
      </w:r>
      <w:r w:rsidRPr="00B31292">
        <w:rPr>
          <w:rFonts w:ascii="Garamond" w:hAnsi="Garamond" w:cs="Times New Roman"/>
          <w:sz w:val="24"/>
          <w:szCs w:val="24"/>
        </w:rPr>
        <w:t>Për nëntemën e parë, INSTAT</w:t>
      </w:r>
      <w:r w:rsidR="00BA12C3" w:rsidRPr="00B31292">
        <w:rPr>
          <w:rFonts w:ascii="Garamond" w:hAnsi="Garamond" w:cs="Times New Roman"/>
          <w:sz w:val="24"/>
          <w:szCs w:val="24"/>
        </w:rPr>
        <w:t>-i</w:t>
      </w:r>
      <w:r w:rsidRPr="00B31292">
        <w:rPr>
          <w:rFonts w:ascii="Garamond" w:hAnsi="Garamond" w:cs="Times New Roman"/>
          <w:sz w:val="24"/>
          <w:szCs w:val="24"/>
        </w:rPr>
        <w:t xml:space="preserve"> do të kryejë një aktivitet statistikor me frekuencë tremujore: </w:t>
      </w:r>
      <w:r w:rsidR="00BA12C3" w:rsidRPr="00B31292">
        <w:rPr>
          <w:rFonts w:ascii="Garamond" w:hAnsi="Garamond" w:cs="Times New Roman"/>
          <w:sz w:val="24"/>
          <w:szCs w:val="24"/>
        </w:rPr>
        <w:t>“</w:t>
      </w:r>
      <w:r w:rsidRPr="00B31292">
        <w:rPr>
          <w:rFonts w:ascii="Garamond" w:hAnsi="Garamond" w:cs="Times New Roman"/>
          <w:sz w:val="24"/>
          <w:szCs w:val="24"/>
        </w:rPr>
        <w:t>Statisti</w:t>
      </w:r>
      <w:r w:rsidR="00F95367" w:rsidRPr="00B31292">
        <w:rPr>
          <w:rFonts w:ascii="Garamond" w:hAnsi="Garamond" w:cs="Times New Roman"/>
          <w:sz w:val="24"/>
          <w:szCs w:val="24"/>
        </w:rPr>
        <w:t xml:space="preserve">ka të </w:t>
      </w:r>
      <w:r w:rsidR="001E238E" w:rsidRPr="00B31292">
        <w:rPr>
          <w:rFonts w:ascii="Garamond" w:hAnsi="Garamond" w:cs="Times New Roman"/>
          <w:sz w:val="24"/>
          <w:szCs w:val="24"/>
        </w:rPr>
        <w:t>tregut të punës</w:t>
      </w:r>
      <w:r w:rsidR="00BA12C3" w:rsidRPr="00B31292">
        <w:rPr>
          <w:rFonts w:ascii="Garamond" w:hAnsi="Garamond" w:cs="Times New Roman"/>
          <w:sz w:val="24"/>
          <w:szCs w:val="24"/>
        </w:rPr>
        <w:t>”</w:t>
      </w:r>
      <w:r w:rsidRPr="00B31292">
        <w:rPr>
          <w:rFonts w:ascii="Garamond" w:hAnsi="Garamond" w:cs="Times New Roman"/>
          <w:sz w:val="24"/>
          <w:szCs w:val="24"/>
        </w:rPr>
        <w:t>. Për prodhimin e statistikave të tregut të punës do të shf</w:t>
      </w:r>
      <w:r w:rsidR="00F95367" w:rsidRPr="00B31292">
        <w:rPr>
          <w:rFonts w:ascii="Garamond" w:hAnsi="Garamond" w:cs="Times New Roman"/>
          <w:sz w:val="24"/>
          <w:szCs w:val="24"/>
        </w:rPr>
        <w:t xml:space="preserve">rytëzohen të dhënat nga </w:t>
      </w:r>
      <w:r w:rsidR="001E238E" w:rsidRPr="00B31292">
        <w:rPr>
          <w:rFonts w:ascii="Garamond" w:hAnsi="Garamond" w:cs="Times New Roman"/>
          <w:sz w:val="24"/>
          <w:szCs w:val="24"/>
        </w:rPr>
        <w:t>vrojtimi i forcave të punës</w:t>
      </w:r>
      <w:r w:rsidRPr="00B31292">
        <w:rPr>
          <w:rFonts w:ascii="Garamond" w:hAnsi="Garamond" w:cs="Times New Roman"/>
          <w:sz w:val="24"/>
          <w:szCs w:val="24"/>
        </w:rPr>
        <w:t>. Për nëntemën e dytë, INSTAT</w:t>
      </w:r>
      <w:r w:rsidR="00BA12C3" w:rsidRPr="00B31292">
        <w:rPr>
          <w:rFonts w:ascii="Garamond" w:hAnsi="Garamond" w:cs="Times New Roman"/>
          <w:sz w:val="24"/>
          <w:szCs w:val="24"/>
        </w:rPr>
        <w:t>-i</w:t>
      </w:r>
      <w:r w:rsidRPr="00B31292">
        <w:rPr>
          <w:rFonts w:ascii="Garamond" w:hAnsi="Garamond" w:cs="Times New Roman"/>
          <w:sz w:val="24"/>
          <w:szCs w:val="24"/>
        </w:rPr>
        <w:t xml:space="preserve"> do të prodhojë statistikat mbi pagat me frekuencë </w:t>
      </w:r>
      <w:r w:rsidR="00F95367" w:rsidRPr="00B31292">
        <w:rPr>
          <w:rFonts w:ascii="Garamond" w:hAnsi="Garamond" w:cs="Times New Roman"/>
          <w:sz w:val="24"/>
          <w:szCs w:val="24"/>
        </w:rPr>
        <w:t>tremujore dhe vjetore</w:t>
      </w:r>
      <w:r w:rsidR="00D55D0A" w:rsidRPr="00B31292">
        <w:rPr>
          <w:rFonts w:ascii="Garamond" w:hAnsi="Garamond" w:cs="Times New Roman"/>
          <w:sz w:val="24"/>
          <w:szCs w:val="24"/>
        </w:rPr>
        <w:t xml:space="preserve">, si </w:t>
      </w:r>
      <w:r w:rsidR="00F95367" w:rsidRPr="00B31292">
        <w:rPr>
          <w:rFonts w:ascii="Garamond" w:hAnsi="Garamond" w:cs="Times New Roman"/>
          <w:sz w:val="24"/>
          <w:szCs w:val="24"/>
        </w:rPr>
        <w:t xml:space="preserve">dhe </w:t>
      </w:r>
      <w:r w:rsidR="001E238E" w:rsidRPr="00B31292">
        <w:rPr>
          <w:rFonts w:ascii="Garamond" w:hAnsi="Garamond" w:cs="Times New Roman"/>
          <w:sz w:val="24"/>
          <w:szCs w:val="24"/>
        </w:rPr>
        <w:t>vrojtimin e kostos së punës</w:t>
      </w:r>
      <w:r w:rsidR="00D55D0A" w:rsidRPr="00B31292">
        <w:rPr>
          <w:rFonts w:ascii="Garamond" w:hAnsi="Garamond" w:cs="Times New Roman"/>
          <w:sz w:val="24"/>
          <w:szCs w:val="24"/>
        </w:rPr>
        <w:t>,</w:t>
      </w:r>
      <w:r w:rsidRPr="00B31292">
        <w:rPr>
          <w:rFonts w:ascii="Garamond" w:hAnsi="Garamond" w:cs="Times New Roman"/>
          <w:sz w:val="24"/>
          <w:szCs w:val="24"/>
        </w:rPr>
        <w:t xml:space="preserve"> për vitin 2025.</w:t>
      </w:r>
      <w:r w:rsidR="00194679" w:rsidRPr="00B31292">
        <w:rPr>
          <w:rFonts w:ascii="Garamond" w:hAnsi="Garamond" w:cs="Times New Roman"/>
          <w:sz w:val="24"/>
          <w:szCs w:val="24"/>
        </w:rPr>
        <w:t xml:space="preserve"> </w:t>
      </w:r>
      <w:r w:rsidRPr="00B31292">
        <w:rPr>
          <w:rFonts w:ascii="Garamond" w:hAnsi="Garamond" w:cs="Times New Roman"/>
          <w:b/>
          <w:sz w:val="24"/>
          <w:szCs w:val="24"/>
        </w:rPr>
        <w:t xml:space="preserve">Treguesit kryesorë: </w:t>
      </w:r>
      <w:r w:rsidRPr="00B31292">
        <w:rPr>
          <w:rFonts w:ascii="Garamond" w:hAnsi="Garamond" w:cs="Times New Roman"/>
          <w:sz w:val="24"/>
          <w:szCs w:val="24"/>
        </w:rPr>
        <w:t>Tregues statistikorë mbi forcat e punës, punësimin dhe papunësinë sipas gjinisë, aktivitetit ekonomik, grup-profesioneve, grup</w:t>
      </w:r>
      <w:r w:rsidR="001E238E" w:rsidRPr="00B31292">
        <w:rPr>
          <w:rFonts w:ascii="Garamond" w:hAnsi="Garamond" w:cs="Times New Roman"/>
          <w:sz w:val="24"/>
          <w:szCs w:val="24"/>
        </w:rPr>
        <w:t>-</w:t>
      </w:r>
      <w:r w:rsidRPr="00B31292">
        <w:rPr>
          <w:rFonts w:ascii="Garamond" w:hAnsi="Garamond" w:cs="Times New Roman"/>
          <w:sz w:val="24"/>
          <w:szCs w:val="24"/>
        </w:rPr>
        <w:t xml:space="preserve">moshave, nivelit arsimor, në nivel qarku; </w:t>
      </w:r>
      <w:r w:rsidR="001E238E" w:rsidRPr="00B31292">
        <w:rPr>
          <w:rFonts w:ascii="Garamond" w:hAnsi="Garamond" w:cs="Times New Roman"/>
          <w:sz w:val="24"/>
          <w:szCs w:val="24"/>
        </w:rPr>
        <w:t xml:space="preserve">tregues </w:t>
      </w:r>
      <w:r w:rsidRPr="00B31292">
        <w:rPr>
          <w:rFonts w:ascii="Garamond" w:hAnsi="Garamond" w:cs="Times New Roman"/>
          <w:sz w:val="24"/>
          <w:szCs w:val="24"/>
        </w:rPr>
        <w:t>statistikorë mbi strukturën e kostos së punës sipas aktivitetit ekonomik, madhësisë dhe pronësisë së ndërmarrjes etj</w:t>
      </w:r>
      <w:r w:rsidR="00BA12C3" w:rsidRPr="00B31292">
        <w:rPr>
          <w:rFonts w:ascii="Garamond" w:hAnsi="Garamond" w:cs="Times New Roman"/>
          <w:sz w:val="24"/>
          <w:szCs w:val="24"/>
        </w:rPr>
        <w:t>.</w:t>
      </w:r>
      <w:r w:rsidRPr="00B31292">
        <w:rPr>
          <w:rFonts w:ascii="Garamond" w:hAnsi="Garamond" w:cs="Times New Roman"/>
          <w:sz w:val="24"/>
          <w:szCs w:val="24"/>
        </w:rPr>
        <w:t xml:space="preserve">; </w:t>
      </w:r>
      <w:r w:rsidR="001E238E" w:rsidRPr="00B31292">
        <w:rPr>
          <w:rFonts w:ascii="Garamond" w:hAnsi="Garamond" w:cs="Times New Roman"/>
          <w:sz w:val="24"/>
          <w:szCs w:val="24"/>
        </w:rPr>
        <w:t xml:space="preserve">tregues </w:t>
      </w:r>
      <w:r w:rsidRPr="00B31292">
        <w:rPr>
          <w:rFonts w:ascii="Garamond" w:hAnsi="Garamond" w:cs="Times New Roman"/>
          <w:sz w:val="24"/>
          <w:szCs w:val="24"/>
        </w:rPr>
        <w:lastRenderedPageBreak/>
        <w:t>statistikorë mbi pagën orare, mujore dhe vjetore bruto</w:t>
      </w:r>
      <w:r w:rsidR="0071735F" w:rsidRPr="00B31292">
        <w:rPr>
          <w:rFonts w:ascii="Garamond" w:hAnsi="Garamond" w:cs="Times New Roman"/>
          <w:sz w:val="24"/>
          <w:szCs w:val="24"/>
        </w:rPr>
        <w:t>,</w:t>
      </w:r>
      <w:r w:rsidRPr="00B31292">
        <w:rPr>
          <w:rFonts w:ascii="Garamond" w:hAnsi="Garamond" w:cs="Times New Roman"/>
          <w:sz w:val="24"/>
          <w:szCs w:val="24"/>
        </w:rPr>
        <w:t xml:space="preserve"> dhe hendekun gjinor në paga sipas aktiviteteve ekonomike, grup-profesioneve; </w:t>
      </w:r>
      <w:r w:rsidR="001E238E" w:rsidRPr="00B31292">
        <w:rPr>
          <w:rFonts w:ascii="Garamond" w:hAnsi="Garamond" w:cs="Times New Roman"/>
          <w:sz w:val="24"/>
          <w:szCs w:val="24"/>
        </w:rPr>
        <w:t xml:space="preserve">tregues </w:t>
      </w:r>
      <w:r w:rsidRPr="00B31292">
        <w:rPr>
          <w:rFonts w:ascii="Garamond" w:hAnsi="Garamond" w:cs="Times New Roman"/>
          <w:sz w:val="24"/>
          <w:szCs w:val="24"/>
        </w:rPr>
        <w:t>statistikorë mbi pagën mesatare mujore për të punësuarit me pagë në sektorin shtetëror dhe për të gjithë sektorët ekonomikë sipas aktiviteteve ekonomike dhe grup-profesioneve, hendekun gjinor në paga sipas aktiviteteve ekonomike dhe grup-profesioneve dhe treguesit e strukturës së të ardhurave nga puna.</w:t>
      </w:r>
    </w:p>
    <w:p w14:paraId="3138831D" w14:textId="7618C738" w:rsidR="00526944" w:rsidRPr="00B31292" w:rsidRDefault="00526944" w:rsidP="003A4DBA">
      <w:pPr>
        <w:spacing w:after="0" w:line="240" w:lineRule="auto"/>
        <w:ind w:firstLine="284"/>
        <w:contextualSpacing/>
        <w:jc w:val="both"/>
        <w:rPr>
          <w:rFonts w:ascii="Garamond" w:hAnsi="Garamond" w:cs="Times New Roman"/>
          <w:sz w:val="24"/>
          <w:szCs w:val="24"/>
          <w:lang w:eastAsia="en-GB"/>
        </w:rPr>
      </w:pPr>
      <w:r w:rsidRPr="00B31292">
        <w:rPr>
          <w:rFonts w:ascii="Garamond" w:hAnsi="Garamond" w:cs="Times New Roman"/>
          <w:b/>
          <w:bCs/>
          <w:iCs/>
          <w:sz w:val="24"/>
          <w:szCs w:val="24"/>
        </w:rPr>
        <w:t xml:space="preserve">Përputhshmëria me </w:t>
      </w:r>
      <w:r w:rsidRPr="00B31292">
        <w:rPr>
          <w:rFonts w:ascii="Garamond" w:hAnsi="Garamond" w:cs="Times New Roman"/>
          <w:b/>
          <w:bCs/>
          <w:i/>
          <w:iCs/>
          <w:sz w:val="24"/>
          <w:szCs w:val="24"/>
        </w:rPr>
        <w:t>acquis</w:t>
      </w:r>
      <w:r w:rsidRPr="00B31292">
        <w:rPr>
          <w:rFonts w:ascii="Garamond" w:hAnsi="Garamond" w:cs="Times New Roman"/>
          <w:b/>
          <w:bCs/>
          <w:iCs/>
          <w:sz w:val="24"/>
          <w:szCs w:val="24"/>
        </w:rPr>
        <w:t xml:space="preserve">: </w:t>
      </w:r>
      <w:r w:rsidRPr="00B31292">
        <w:rPr>
          <w:rFonts w:ascii="Garamond" w:hAnsi="Garamond" w:cs="Times New Roman"/>
          <w:i/>
          <w:sz w:val="24"/>
          <w:szCs w:val="24"/>
          <w:lang w:eastAsia="en-GB"/>
        </w:rPr>
        <w:t>Statistikat e forcave të punës</w:t>
      </w:r>
      <w:r w:rsidRPr="00B31292">
        <w:rPr>
          <w:rFonts w:ascii="Garamond" w:hAnsi="Garamond" w:cs="Times New Roman"/>
          <w:sz w:val="24"/>
          <w:szCs w:val="24"/>
          <w:lang w:eastAsia="en-GB"/>
        </w:rPr>
        <w:t xml:space="preserve"> lidhur me punësimin dhe papunësinë bazohen në </w:t>
      </w:r>
      <w:r w:rsidR="004366A4" w:rsidRPr="00B31292">
        <w:rPr>
          <w:rFonts w:ascii="Garamond" w:hAnsi="Garamond" w:cs="Times New Roman"/>
          <w:sz w:val="24"/>
          <w:szCs w:val="24"/>
          <w:lang w:eastAsia="en-GB"/>
        </w:rPr>
        <w:t>R</w:t>
      </w:r>
      <w:r w:rsidRPr="00B31292">
        <w:rPr>
          <w:rFonts w:ascii="Garamond" w:hAnsi="Garamond" w:cs="Times New Roman"/>
          <w:sz w:val="24"/>
          <w:szCs w:val="24"/>
          <w:lang w:eastAsia="en-GB"/>
        </w:rPr>
        <w:t xml:space="preserve">regulloren kuadër (KE) </w:t>
      </w:r>
      <w:r w:rsidR="00BA12C3" w:rsidRPr="00B31292">
        <w:rPr>
          <w:rFonts w:ascii="Garamond" w:hAnsi="Garamond" w:cs="Times New Roman"/>
          <w:sz w:val="24"/>
          <w:szCs w:val="24"/>
          <w:lang w:eastAsia="en-GB"/>
        </w:rPr>
        <w:t>n</w:t>
      </w:r>
      <w:r w:rsidRPr="00B31292">
        <w:rPr>
          <w:rFonts w:ascii="Garamond" w:hAnsi="Garamond" w:cs="Times New Roman"/>
          <w:sz w:val="24"/>
          <w:szCs w:val="24"/>
          <w:lang w:eastAsia="en-GB"/>
        </w:rPr>
        <w:t>r. 1700/2019 dhe në rregulloret implementuese përkatëse. Aktualisht, niveli</w:t>
      </w:r>
      <w:r w:rsidR="00D84047" w:rsidRPr="00B31292">
        <w:rPr>
          <w:rFonts w:ascii="Garamond" w:hAnsi="Garamond" w:cs="Times New Roman"/>
          <w:sz w:val="24"/>
          <w:szCs w:val="24"/>
          <w:lang w:eastAsia="en-GB"/>
        </w:rPr>
        <w:t xml:space="preserve"> i</w:t>
      </w:r>
      <w:r w:rsidRPr="00B31292">
        <w:rPr>
          <w:rFonts w:ascii="Garamond" w:hAnsi="Garamond" w:cs="Times New Roman"/>
          <w:sz w:val="24"/>
          <w:szCs w:val="24"/>
          <w:lang w:eastAsia="en-GB"/>
        </w:rPr>
        <w:t xml:space="preserve"> përputhshmërisë me këto rregullore është i ulët. Klasifikimet mbi të cilat bazohet përpunimi i të dhënave janë në përputhje përkatësisht me</w:t>
      </w:r>
      <w:r w:rsidR="002E2911" w:rsidRPr="00B31292">
        <w:rPr>
          <w:rFonts w:ascii="Garamond" w:hAnsi="Garamond" w:cs="Times New Roman"/>
          <w:sz w:val="24"/>
          <w:szCs w:val="24"/>
          <w:lang w:eastAsia="en-GB"/>
        </w:rPr>
        <w:t xml:space="preserve"> </w:t>
      </w:r>
      <w:r w:rsidRPr="00B31292">
        <w:rPr>
          <w:rFonts w:ascii="Garamond" w:hAnsi="Garamond" w:cs="Times New Roman"/>
          <w:sz w:val="24"/>
          <w:szCs w:val="24"/>
          <w:lang w:eastAsia="en-GB"/>
        </w:rPr>
        <w:t>klasifikimet ISCO-08 për profesionet dhe NVE Rev2, për aktivitetet ekonomike.</w:t>
      </w:r>
    </w:p>
    <w:p w14:paraId="1591FF71" w14:textId="207B4E2F" w:rsidR="003A6AF1" w:rsidRPr="00B31292" w:rsidRDefault="00526944" w:rsidP="003A4DBA">
      <w:pPr>
        <w:spacing w:after="0" w:line="240" w:lineRule="auto"/>
        <w:ind w:firstLine="284"/>
        <w:contextualSpacing/>
        <w:jc w:val="both"/>
        <w:rPr>
          <w:rFonts w:ascii="Garamond" w:hAnsi="Garamond" w:cs="Times New Roman"/>
          <w:b/>
          <w:bCs/>
          <w:iCs/>
          <w:sz w:val="24"/>
          <w:szCs w:val="24"/>
        </w:rPr>
      </w:pPr>
      <w:r w:rsidRPr="00B31292">
        <w:rPr>
          <w:rFonts w:ascii="Garamond" w:hAnsi="Garamond" w:cs="Times New Roman"/>
          <w:i/>
          <w:sz w:val="24"/>
          <w:szCs w:val="24"/>
          <w:lang w:eastAsia="en-GB"/>
        </w:rPr>
        <w:t>Statistikat strukturore mbi koston e punës dhe të ardhurave nga puna</w:t>
      </w:r>
      <w:r w:rsidRPr="00B31292">
        <w:rPr>
          <w:rFonts w:ascii="Garamond" w:hAnsi="Garamond" w:cs="Times New Roman"/>
          <w:sz w:val="24"/>
          <w:szCs w:val="24"/>
          <w:lang w:eastAsia="en-GB"/>
        </w:rPr>
        <w:t xml:space="preserve"> bazohen në </w:t>
      </w:r>
      <w:r w:rsidR="001E238E" w:rsidRPr="00B31292">
        <w:rPr>
          <w:rFonts w:ascii="Garamond" w:hAnsi="Garamond" w:cs="Times New Roman"/>
          <w:sz w:val="24"/>
          <w:szCs w:val="24"/>
          <w:lang w:eastAsia="en-GB"/>
        </w:rPr>
        <w:t>r</w:t>
      </w:r>
      <w:r w:rsidRPr="00B31292">
        <w:rPr>
          <w:rFonts w:ascii="Garamond" w:hAnsi="Garamond" w:cs="Times New Roman"/>
          <w:sz w:val="24"/>
          <w:szCs w:val="24"/>
          <w:lang w:eastAsia="en-GB"/>
        </w:rPr>
        <w:t xml:space="preserve">regulloret (KE) </w:t>
      </w:r>
      <w:r w:rsidR="00BA12C3" w:rsidRPr="00B31292">
        <w:rPr>
          <w:rFonts w:ascii="Garamond" w:hAnsi="Garamond" w:cs="Times New Roman"/>
          <w:sz w:val="24"/>
          <w:szCs w:val="24"/>
          <w:lang w:eastAsia="en-GB"/>
        </w:rPr>
        <w:t>n</w:t>
      </w:r>
      <w:r w:rsidRPr="00B31292">
        <w:rPr>
          <w:rFonts w:ascii="Garamond" w:hAnsi="Garamond" w:cs="Times New Roman"/>
          <w:sz w:val="24"/>
          <w:szCs w:val="24"/>
          <w:lang w:eastAsia="en-GB"/>
        </w:rPr>
        <w:t xml:space="preserve">r. 530/1999 dhe </w:t>
      </w:r>
      <w:r w:rsidR="00BA12C3" w:rsidRPr="00B31292">
        <w:rPr>
          <w:rFonts w:ascii="Garamond" w:hAnsi="Garamond" w:cs="Times New Roman"/>
          <w:sz w:val="24"/>
          <w:szCs w:val="24"/>
          <w:lang w:eastAsia="en-GB"/>
        </w:rPr>
        <w:t>n</w:t>
      </w:r>
      <w:r w:rsidRPr="00B31292">
        <w:rPr>
          <w:rFonts w:ascii="Garamond" w:hAnsi="Garamond" w:cs="Times New Roman"/>
          <w:sz w:val="24"/>
          <w:szCs w:val="24"/>
          <w:lang w:eastAsia="en-GB"/>
        </w:rPr>
        <w:t>r. 173</w:t>
      </w:r>
      <w:r w:rsidR="00A0581D" w:rsidRPr="00B31292">
        <w:rPr>
          <w:rFonts w:ascii="Garamond" w:hAnsi="Garamond" w:cs="Times New Roman"/>
          <w:sz w:val="24"/>
          <w:szCs w:val="24"/>
          <w:lang w:eastAsia="en-GB"/>
        </w:rPr>
        <w:t>7</w:t>
      </w:r>
      <w:r w:rsidRPr="00B31292">
        <w:rPr>
          <w:rFonts w:ascii="Garamond" w:hAnsi="Garamond" w:cs="Times New Roman"/>
          <w:sz w:val="24"/>
          <w:szCs w:val="24"/>
          <w:lang w:eastAsia="en-GB"/>
        </w:rPr>
        <w:t>/2005</w:t>
      </w:r>
      <w:r w:rsidR="00BA12C3" w:rsidRPr="00B31292">
        <w:rPr>
          <w:rFonts w:ascii="Garamond" w:hAnsi="Garamond" w:cs="Times New Roman"/>
          <w:sz w:val="24"/>
          <w:szCs w:val="24"/>
          <w:lang w:eastAsia="en-GB"/>
        </w:rPr>
        <w:t>,</w:t>
      </w:r>
      <w:r w:rsidR="00C4771A" w:rsidRPr="00B31292">
        <w:rPr>
          <w:rFonts w:ascii="Garamond" w:hAnsi="Garamond" w:cs="Times New Roman"/>
          <w:sz w:val="24"/>
          <w:szCs w:val="24"/>
          <w:lang w:eastAsia="en-GB"/>
        </w:rPr>
        <w:t xml:space="preserve"> </w:t>
      </w:r>
      <w:r w:rsidR="00BA12C3" w:rsidRPr="00B31292">
        <w:rPr>
          <w:rFonts w:ascii="Garamond" w:hAnsi="Garamond" w:cs="Times New Roman"/>
          <w:sz w:val="24"/>
          <w:szCs w:val="24"/>
          <w:lang w:eastAsia="en-GB"/>
        </w:rPr>
        <w:t>“</w:t>
      </w:r>
      <w:r w:rsidR="00C4771A" w:rsidRPr="00B31292">
        <w:rPr>
          <w:rFonts w:ascii="Garamond" w:hAnsi="Garamond" w:cs="Times New Roman"/>
          <w:sz w:val="24"/>
          <w:szCs w:val="24"/>
          <w:lang w:eastAsia="en-GB"/>
        </w:rPr>
        <w:t xml:space="preserve">Mbi </w:t>
      </w:r>
      <w:r w:rsidR="00BA12C3" w:rsidRPr="00B31292">
        <w:rPr>
          <w:rFonts w:ascii="Garamond" w:hAnsi="Garamond" w:cs="Times New Roman"/>
          <w:sz w:val="24"/>
          <w:szCs w:val="24"/>
          <w:lang w:eastAsia="en-GB"/>
        </w:rPr>
        <w:t>v</w:t>
      </w:r>
      <w:r w:rsidR="00C4771A" w:rsidRPr="00B31292">
        <w:rPr>
          <w:rFonts w:ascii="Garamond" w:hAnsi="Garamond" w:cs="Times New Roman"/>
          <w:sz w:val="24"/>
          <w:szCs w:val="24"/>
          <w:lang w:eastAsia="en-GB"/>
        </w:rPr>
        <w:t>rojtimin</w:t>
      </w:r>
      <w:r w:rsidR="00A0581D" w:rsidRPr="00B31292">
        <w:rPr>
          <w:rFonts w:ascii="Garamond" w:hAnsi="Garamond" w:cs="Times New Roman"/>
          <w:sz w:val="24"/>
          <w:szCs w:val="24"/>
          <w:lang w:eastAsia="en-GB"/>
        </w:rPr>
        <w:t xml:space="preserve"> e </w:t>
      </w:r>
      <w:r w:rsidR="00BA12C3" w:rsidRPr="00B31292">
        <w:rPr>
          <w:rFonts w:ascii="Garamond" w:hAnsi="Garamond" w:cs="Times New Roman"/>
          <w:sz w:val="24"/>
          <w:szCs w:val="24"/>
          <w:lang w:eastAsia="en-GB"/>
        </w:rPr>
        <w:t>kostos së p</w:t>
      </w:r>
      <w:r w:rsidR="00A0581D" w:rsidRPr="00B31292">
        <w:rPr>
          <w:rFonts w:ascii="Garamond" w:hAnsi="Garamond" w:cs="Times New Roman"/>
          <w:sz w:val="24"/>
          <w:szCs w:val="24"/>
          <w:lang w:eastAsia="en-GB"/>
        </w:rPr>
        <w:t>unës 2024</w:t>
      </w:r>
      <w:r w:rsidR="00BA12C3" w:rsidRPr="00B31292">
        <w:rPr>
          <w:rFonts w:ascii="Garamond" w:hAnsi="Garamond" w:cs="Times New Roman"/>
          <w:sz w:val="24"/>
          <w:szCs w:val="24"/>
          <w:lang w:eastAsia="en-GB"/>
        </w:rPr>
        <w:t>”</w:t>
      </w:r>
      <w:r w:rsidRPr="00B31292">
        <w:rPr>
          <w:rFonts w:ascii="Garamond" w:hAnsi="Garamond" w:cs="Times New Roman"/>
          <w:sz w:val="24"/>
          <w:szCs w:val="24"/>
          <w:lang w:eastAsia="en-GB"/>
        </w:rPr>
        <w:t xml:space="preserve">. Përkufizimet e përdorura janë kryesisht në përputhje me këto rregullore. </w:t>
      </w:r>
      <w:r w:rsidR="00D90A93" w:rsidRPr="00B31292">
        <w:rPr>
          <w:rFonts w:ascii="Garamond" w:hAnsi="Garamond" w:cs="Times New Roman"/>
          <w:sz w:val="24"/>
          <w:szCs w:val="24"/>
          <w:lang w:eastAsia="en-GB"/>
        </w:rPr>
        <w:t>S</w:t>
      </w:r>
      <w:r w:rsidRPr="00B31292">
        <w:rPr>
          <w:rFonts w:ascii="Garamond" w:hAnsi="Garamond" w:cs="Times New Roman"/>
          <w:sz w:val="24"/>
          <w:szCs w:val="24"/>
          <w:lang w:eastAsia="en-GB"/>
        </w:rPr>
        <w:t xml:space="preserve">tatistikat mbi koston e punës </w:t>
      </w:r>
      <w:r w:rsidR="00D90A93" w:rsidRPr="00B31292">
        <w:rPr>
          <w:rFonts w:ascii="Garamond" w:eastAsia="Times New Roman" w:hAnsi="Garamond" w:cs="Times New Roman"/>
          <w:sz w:val="24"/>
          <w:szCs w:val="24"/>
        </w:rPr>
        <w:t>janë pjesërisht në përputhje me rregulloret përkatëse</w:t>
      </w:r>
      <w:r w:rsidRPr="00B31292">
        <w:rPr>
          <w:rFonts w:ascii="Garamond" w:eastAsia="Times New Roman" w:hAnsi="Garamond" w:cs="Times New Roman"/>
          <w:sz w:val="24"/>
          <w:szCs w:val="24"/>
        </w:rPr>
        <w:t>.</w:t>
      </w:r>
    </w:p>
    <w:p w14:paraId="1D015749" w14:textId="2B02DB1F" w:rsidR="009F5DCC" w:rsidRPr="00B31292" w:rsidRDefault="009F5DCC" w:rsidP="003A4DBA">
      <w:pPr>
        <w:keepNext/>
        <w:keepLines/>
        <w:spacing w:after="0" w:line="240" w:lineRule="auto"/>
        <w:ind w:firstLine="284"/>
        <w:outlineLvl w:val="4"/>
        <w:rPr>
          <w:rFonts w:ascii="Garamond" w:eastAsia="Times New Roman" w:hAnsi="Garamond" w:cs="Times New Roman"/>
          <w:b/>
          <w:iCs/>
          <w:sz w:val="24"/>
          <w:szCs w:val="24"/>
        </w:rPr>
      </w:pPr>
      <w:r w:rsidRPr="00B31292">
        <w:rPr>
          <w:rFonts w:ascii="Garamond" w:eastAsia="Times New Roman" w:hAnsi="Garamond" w:cs="Times New Roman"/>
          <w:b/>
          <w:iCs/>
          <w:sz w:val="24"/>
          <w:szCs w:val="24"/>
        </w:rPr>
        <w:t xml:space="preserve">Tema 1.3 </w:t>
      </w:r>
      <w:r w:rsidR="00BA12C3" w:rsidRPr="00B31292">
        <w:rPr>
          <w:rFonts w:ascii="Garamond" w:eastAsia="Times New Roman" w:hAnsi="Garamond" w:cs="Times New Roman"/>
          <w:b/>
          <w:iCs/>
          <w:sz w:val="24"/>
          <w:szCs w:val="24"/>
        </w:rPr>
        <w:t>“</w:t>
      </w:r>
      <w:r w:rsidRPr="00B31292">
        <w:rPr>
          <w:rFonts w:ascii="Garamond" w:eastAsia="Times New Roman" w:hAnsi="Garamond" w:cs="Times New Roman"/>
          <w:b/>
          <w:iCs/>
          <w:sz w:val="24"/>
          <w:szCs w:val="24"/>
        </w:rPr>
        <w:t>Arsimi dhe trajnimet</w:t>
      </w:r>
      <w:r w:rsidR="00BA12C3" w:rsidRPr="00B31292">
        <w:rPr>
          <w:rFonts w:ascii="Garamond" w:eastAsia="Times New Roman" w:hAnsi="Garamond" w:cs="Times New Roman"/>
          <w:b/>
          <w:iCs/>
          <w:sz w:val="24"/>
          <w:szCs w:val="24"/>
        </w:rPr>
        <w:t>”</w:t>
      </w:r>
    </w:p>
    <w:p w14:paraId="577E5F10" w14:textId="77777777" w:rsidR="00D55D0A" w:rsidRPr="00B31292" w:rsidRDefault="00D55D0A" w:rsidP="003A4DBA">
      <w:pPr>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Qëllimi kryesor i kësaj teme është që të sigurojë të dhëna të krahasueshme dhe të harmonizuara, në kohë dhe me cilësi të lartë mbi arsimin zyrtar.</w:t>
      </w:r>
    </w:p>
    <w:p w14:paraId="2611D6F6" w14:textId="3324AB9C" w:rsidR="009F5DCC" w:rsidRPr="00B31292" w:rsidRDefault="009F5DCC" w:rsidP="003A4DBA">
      <w:pPr>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 xml:space="preserve">Kjo temë përbëhet nga 2 nëntema: a) </w:t>
      </w:r>
      <w:r w:rsidR="00C33980" w:rsidRPr="00B31292">
        <w:rPr>
          <w:rFonts w:ascii="Garamond" w:hAnsi="Garamond" w:cs="Times New Roman"/>
          <w:i/>
          <w:sz w:val="24"/>
          <w:szCs w:val="24"/>
        </w:rPr>
        <w:t>1.3.1</w:t>
      </w:r>
      <w:r w:rsidR="00BA12C3" w:rsidRPr="00B31292">
        <w:rPr>
          <w:rFonts w:ascii="Garamond" w:hAnsi="Garamond" w:cs="Times New Roman"/>
          <w:i/>
          <w:sz w:val="24"/>
          <w:szCs w:val="24"/>
        </w:rPr>
        <w:t xml:space="preserve"> “</w:t>
      </w:r>
      <w:r w:rsidRPr="00B31292">
        <w:rPr>
          <w:rFonts w:ascii="Garamond" w:hAnsi="Garamond" w:cs="Times New Roman"/>
          <w:i/>
          <w:sz w:val="24"/>
          <w:szCs w:val="24"/>
        </w:rPr>
        <w:t>Arsimi</w:t>
      </w:r>
      <w:r w:rsidR="00BA12C3" w:rsidRPr="00B31292">
        <w:rPr>
          <w:rFonts w:ascii="Garamond" w:hAnsi="Garamond" w:cs="Times New Roman"/>
          <w:i/>
          <w:sz w:val="24"/>
          <w:szCs w:val="24"/>
        </w:rPr>
        <w:t>”</w:t>
      </w:r>
      <w:r w:rsidRPr="00B31292">
        <w:rPr>
          <w:rFonts w:ascii="Garamond" w:hAnsi="Garamond" w:cs="Times New Roman"/>
          <w:sz w:val="24"/>
          <w:szCs w:val="24"/>
        </w:rPr>
        <w:t>, e cila përfshin tr</w:t>
      </w:r>
      <w:r w:rsidR="0071735F" w:rsidRPr="00B31292">
        <w:rPr>
          <w:rFonts w:ascii="Garamond" w:hAnsi="Garamond" w:cs="Times New Roman"/>
          <w:sz w:val="24"/>
          <w:szCs w:val="24"/>
        </w:rPr>
        <w:t>i</w:t>
      </w:r>
      <w:r w:rsidRPr="00B31292">
        <w:rPr>
          <w:rFonts w:ascii="Garamond" w:hAnsi="Garamond" w:cs="Times New Roman"/>
          <w:sz w:val="24"/>
          <w:szCs w:val="24"/>
        </w:rPr>
        <w:t xml:space="preserve"> aktivitete statistikore me frekuencë vjetore të cilat duhet të përmbushen nga INSTAT</w:t>
      </w:r>
      <w:r w:rsidR="00BA12C3" w:rsidRPr="00B31292">
        <w:rPr>
          <w:rFonts w:ascii="Garamond" w:hAnsi="Garamond" w:cs="Times New Roman"/>
          <w:sz w:val="24"/>
          <w:szCs w:val="24"/>
        </w:rPr>
        <w:t>-i</w:t>
      </w:r>
      <w:r w:rsidRPr="00B31292">
        <w:rPr>
          <w:rFonts w:ascii="Garamond" w:hAnsi="Garamond" w:cs="Times New Roman"/>
          <w:sz w:val="24"/>
          <w:szCs w:val="24"/>
        </w:rPr>
        <w:t xml:space="preserve">: </w:t>
      </w:r>
      <w:r w:rsidR="00BA12C3" w:rsidRPr="00B31292">
        <w:rPr>
          <w:rFonts w:ascii="Garamond" w:hAnsi="Garamond" w:cs="Times New Roman"/>
          <w:sz w:val="24"/>
          <w:szCs w:val="24"/>
        </w:rPr>
        <w:t>“</w:t>
      </w:r>
      <w:r w:rsidRPr="00B31292">
        <w:rPr>
          <w:rFonts w:ascii="Garamond" w:hAnsi="Garamond" w:cs="Times New Roman"/>
          <w:sz w:val="24"/>
          <w:szCs w:val="24"/>
        </w:rPr>
        <w:t>Statistika të regjistrimeve në arsim</w:t>
      </w:r>
      <w:r w:rsidR="00BA12C3" w:rsidRPr="00B31292">
        <w:rPr>
          <w:rFonts w:ascii="Garamond" w:hAnsi="Garamond" w:cs="Times New Roman"/>
          <w:sz w:val="24"/>
          <w:szCs w:val="24"/>
        </w:rPr>
        <w:t>”</w:t>
      </w:r>
      <w:r w:rsidRPr="00B31292">
        <w:rPr>
          <w:rFonts w:ascii="Garamond" w:hAnsi="Garamond" w:cs="Times New Roman"/>
          <w:sz w:val="24"/>
          <w:szCs w:val="24"/>
        </w:rPr>
        <w:t xml:space="preserve">, </w:t>
      </w:r>
      <w:r w:rsidR="00BA12C3" w:rsidRPr="00B31292">
        <w:rPr>
          <w:rFonts w:ascii="Garamond" w:hAnsi="Garamond" w:cs="Times New Roman"/>
          <w:sz w:val="24"/>
          <w:szCs w:val="24"/>
        </w:rPr>
        <w:t>“</w:t>
      </w:r>
      <w:r w:rsidRPr="00B31292">
        <w:rPr>
          <w:rFonts w:ascii="Garamond" w:hAnsi="Garamond" w:cs="Times New Roman"/>
          <w:sz w:val="24"/>
          <w:szCs w:val="24"/>
        </w:rPr>
        <w:t>Statistika të diplomimeve në arsim</w:t>
      </w:r>
      <w:r w:rsidR="00BA12C3" w:rsidRPr="00B31292">
        <w:rPr>
          <w:rFonts w:ascii="Garamond" w:hAnsi="Garamond" w:cs="Times New Roman"/>
          <w:sz w:val="24"/>
          <w:szCs w:val="24"/>
        </w:rPr>
        <w:t>”</w:t>
      </w:r>
      <w:r w:rsidRPr="00B31292">
        <w:rPr>
          <w:rFonts w:ascii="Garamond" w:hAnsi="Garamond" w:cs="Times New Roman"/>
          <w:sz w:val="24"/>
          <w:szCs w:val="24"/>
        </w:rPr>
        <w:t xml:space="preserve"> dhe </w:t>
      </w:r>
      <w:r w:rsidR="00BA12C3" w:rsidRPr="00B31292">
        <w:rPr>
          <w:rFonts w:ascii="Garamond" w:hAnsi="Garamond" w:cs="Times New Roman"/>
          <w:sz w:val="24"/>
          <w:szCs w:val="24"/>
        </w:rPr>
        <w:t>“</w:t>
      </w:r>
      <w:r w:rsidRPr="00B31292">
        <w:rPr>
          <w:rFonts w:ascii="Garamond" w:hAnsi="Garamond" w:cs="Times New Roman"/>
          <w:sz w:val="24"/>
          <w:szCs w:val="24"/>
        </w:rPr>
        <w:t>Statistika të arsimit sipas fushave të studimit në arsimin e lartë</w:t>
      </w:r>
      <w:r w:rsidR="00BA12C3" w:rsidRPr="00B31292">
        <w:rPr>
          <w:rFonts w:ascii="Garamond" w:hAnsi="Garamond" w:cs="Times New Roman"/>
          <w:sz w:val="24"/>
          <w:szCs w:val="24"/>
        </w:rPr>
        <w:t>”</w:t>
      </w:r>
      <w:r w:rsidRPr="00B31292">
        <w:rPr>
          <w:rFonts w:ascii="Garamond" w:hAnsi="Garamond" w:cs="Times New Roman"/>
          <w:sz w:val="24"/>
          <w:szCs w:val="24"/>
        </w:rPr>
        <w:t>. Të dhënat sigurohen nga Ministria e Arsimit dhe Sportit dhe Ministria e Ekonomisë, Kulturës dhe Inovacioni</w:t>
      </w:r>
      <w:r w:rsidR="00DA5351" w:rsidRPr="00B31292">
        <w:rPr>
          <w:rFonts w:ascii="Garamond" w:hAnsi="Garamond" w:cs="Times New Roman"/>
          <w:sz w:val="24"/>
          <w:szCs w:val="24"/>
        </w:rPr>
        <w:t>t</w:t>
      </w:r>
      <w:r w:rsidRPr="00B31292">
        <w:rPr>
          <w:rFonts w:ascii="Garamond" w:hAnsi="Garamond" w:cs="Times New Roman"/>
          <w:sz w:val="24"/>
          <w:szCs w:val="24"/>
        </w:rPr>
        <w:t>,</w:t>
      </w:r>
      <w:r w:rsidR="00BA12C3" w:rsidRPr="00B31292">
        <w:rPr>
          <w:rFonts w:ascii="Garamond" w:hAnsi="Garamond" w:cs="Times New Roman"/>
          <w:sz w:val="24"/>
          <w:szCs w:val="24"/>
        </w:rPr>
        <w:t xml:space="preserve"> </w:t>
      </w:r>
      <w:r w:rsidRPr="00B31292">
        <w:rPr>
          <w:rFonts w:ascii="Garamond" w:hAnsi="Garamond" w:cs="Times New Roman"/>
          <w:sz w:val="24"/>
          <w:szCs w:val="24"/>
        </w:rPr>
        <w:t xml:space="preserve">e cila mbulon statistikat mbi arsimin profesional; b) </w:t>
      </w:r>
      <w:r w:rsidR="00C33980" w:rsidRPr="00B31292">
        <w:rPr>
          <w:rFonts w:ascii="Garamond" w:hAnsi="Garamond" w:cs="Times New Roman"/>
          <w:sz w:val="24"/>
          <w:szCs w:val="24"/>
        </w:rPr>
        <w:t xml:space="preserve">1.3.2 </w:t>
      </w:r>
      <w:r w:rsidR="00BA12C3" w:rsidRPr="00B31292">
        <w:rPr>
          <w:rFonts w:ascii="Garamond" w:hAnsi="Garamond" w:cs="Times New Roman"/>
          <w:i/>
          <w:sz w:val="24"/>
          <w:szCs w:val="24"/>
        </w:rPr>
        <w:t>“</w:t>
      </w:r>
      <w:r w:rsidRPr="00B31292">
        <w:rPr>
          <w:rFonts w:ascii="Garamond" w:hAnsi="Garamond" w:cs="Times New Roman"/>
          <w:i/>
          <w:sz w:val="24"/>
          <w:szCs w:val="24"/>
        </w:rPr>
        <w:t xml:space="preserve">Trajnimi profesional dhe të mësuarit gjatë </w:t>
      </w:r>
      <w:r w:rsidR="0071735F" w:rsidRPr="00B31292">
        <w:rPr>
          <w:rFonts w:ascii="Garamond" w:hAnsi="Garamond" w:cs="Times New Roman"/>
          <w:i/>
          <w:sz w:val="24"/>
          <w:szCs w:val="24"/>
        </w:rPr>
        <w:t xml:space="preserve">të </w:t>
      </w:r>
      <w:r w:rsidRPr="00B31292">
        <w:rPr>
          <w:rFonts w:ascii="Garamond" w:hAnsi="Garamond" w:cs="Times New Roman"/>
          <w:i/>
          <w:sz w:val="24"/>
          <w:szCs w:val="24"/>
        </w:rPr>
        <w:t>gjithë jetës</w:t>
      </w:r>
      <w:r w:rsidR="00BA12C3" w:rsidRPr="00B31292">
        <w:rPr>
          <w:rFonts w:ascii="Garamond" w:hAnsi="Garamond" w:cs="Times New Roman"/>
          <w:i/>
          <w:sz w:val="24"/>
          <w:szCs w:val="24"/>
        </w:rPr>
        <w:t>”</w:t>
      </w:r>
      <w:r w:rsidRPr="00B31292">
        <w:rPr>
          <w:rFonts w:ascii="Garamond" w:hAnsi="Garamond" w:cs="Times New Roman"/>
          <w:i/>
          <w:sz w:val="24"/>
          <w:szCs w:val="24"/>
        </w:rPr>
        <w:t>,</w:t>
      </w:r>
      <w:r w:rsidR="00DA5351" w:rsidRPr="00B31292">
        <w:rPr>
          <w:rFonts w:ascii="Garamond" w:hAnsi="Garamond" w:cs="Times New Roman"/>
          <w:i/>
          <w:sz w:val="24"/>
          <w:szCs w:val="24"/>
        </w:rPr>
        <w:t xml:space="preserve"> </w:t>
      </w:r>
      <w:r w:rsidRPr="00B31292">
        <w:rPr>
          <w:rFonts w:ascii="Garamond" w:hAnsi="Garamond" w:cs="Times New Roman"/>
          <w:sz w:val="24"/>
          <w:szCs w:val="24"/>
        </w:rPr>
        <w:t>që përfshin kryesisht</w:t>
      </w:r>
      <w:r w:rsidR="001F4C55" w:rsidRPr="00B31292">
        <w:rPr>
          <w:rFonts w:ascii="Garamond" w:hAnsi="Garamond" w:cs="Times New Roman"/>
          <w:i/>
          <w:sz w:val="24"/>
          <w:szCs w:val="24"/>
        </w:rPr>
        <w:t xml:space="preserve"> </w:t>
      </w:r>
      <w:r w:rsidR="001F4C55" w:rsidRPr="00B31292">
        <w:rPr>
          <w:rFonts w:ascii="Garamond" w:hAnsi="Garamond" w:cs="Times New Roman"/>
          <w:sz w:val="24"/>
          <w:szCs w:val="24"/>
        </w:rPr>
        <w:t>s</w:t>
      </w:r>
      <w:r w:rsidRPr="00B31292">
        <w:rPr>
          <w:rFonts w:ascii="Garamond" w:hAnsi="Garamond" w:cs="Times New Roman"/>
          <w:sz w:val="24"/>
          <w:szCs w:val="24"/>
        </w:rPr>
        <w:t>t</w:t>
      </w:r>
      <w:r w:rsidR="00DC2B22" w:rsidRPr="00B31292">
        <w:rPr>
          <w:rFonts w:ascii="Garamond" w:hAnsi="Garamond" w:cs="Times New Roman"/>
          <w:sz w:val="24"/>
          <w:szCs w:val="24"/>
        </w:rPr>
        <w:t xml:space="preserve">atistika nga </w:t>
      </w:r>
      <w:r w:rsidR="001E238E" w:rsidRPr="00B31292">
        <w:rPr>
          <w:rFonts w:ascii="Garamond" w:hAnsi="Garamond" w:cs="Times New Roman"/>
          <w:sz w:val="24"/>
          <w:szCs w:val="24"/>
        </w:rPr>
        <w:t>vrojtimi i arsimit të të rriturve,</w:t>
      </w:r>
      <w:r w:rsidRPr="00B31292">
        <w:rPr>
          <w:rFonts w:ascii="Garamond" w:hAnsi="Garamond" w:cs="Times New Roman"/>
          <w:sz w:val="24"/>
          <w:szCs w:val="24"/>
        </w:rPr>
        <w:t xml:space="preserve"> me periodicitet 5</w:t>
      </w:r>
      <w:r w:rsidR="00BA12C3" w:rsidRPr="00B31292">
        <w:rPr>
          <w:rFonts w:ascii="Garamond" w:hAnsi="Garamond" w:cs="Times New Roman"/>
          <w:sz w:val="24"/>
          <w:szCs w:val="24"/>
        </w:rPr>
        <w:t>-</w:t>
      </w:r>
      <w:r w:rsidRPr="00B31292">
        <w:rPr>
          <w:rFonts w:ascii="Garamond" w:hAnsi="Garamond" w:cs="Times New Roman"/>
          <w:sz w:val="24"/>
          <w:szCs w:val="24"/>
        </w:rPr>
        <w:t>vjeçar.</w:t>
      </w:r>
    </w:p>
    <w:p w14:paraId="15704F4C" w14:textId="2BCD66BA" w:rsidR="009F5DCC" w:rsidRPr="00B31292" w:rsidRDefault="00EE716C" w:rsidP="003A4DBA">
      <w:pPr>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 xml:space="preserve"> </w:t>
      </w:r>
      <w:r w:rsidR="009F5DCC" w:rsidRPr="00B31292">
        <w:rPr>
          <w:rFonts w:ascii="Garamond" w:hAnsi="Garamond" w:cs="Times New Roman"/>
          <w:sz w:val="24"/>
          <w:szCs w:val="24"/>
        </w:rPr>
        <w:t>Në vitin 2025, INSTAT</w:t>
      </w:r>
      <w:r w:rsidR="0071735F" w:rsidRPr="00B31292">
        <w:rPr>
          <w:rFonts w:ascii="Garamond" w:hAnsi="Garamond" w:cs="Times New Roman"/>
          <w:sz w:val="24"/>
          <w:szCs w:val="24"/>
        </w:rPr>
        <w:t>-i</w:t>
      </w:r>
      <w:r w:rsidR="009F5DCC" w:rsidRPr="00B31292">
        <w:rPr>
          <w:rFonts w:ascii="Garamond" w:hAnsi="Garamond" w:cs="Times New Roman"/>
          <w:sz w:val="24"/>
          <w:szCs w:val="24"/>
        </w:rPr>
        <w:t xml:space="preserve"> do vijojë punën për plotësimin dhe transmetimin e </w:t>
      </w:r>
      <w:r w:rsidR="00C33980" w:rsidRPr="00B31292">
        <w:rPr>
          <w:rFonts w:ascii="Garamond" w:hAnsi="Garamond" w:cs="Times New Roman"/>
          <w:sz w:val="24"/>
          <w:szCs w:val="24"/>
        </w:rPr>
        <w:t xml:space="preserve">pyetësorëve të </w:t>
      </w:r>
      <w:r w:rsidR="009F5DCC" w:rsidRPr="00B31292">
        <w:rPr>
          <w:rFonts w:ascii="Garamond" w:hAnsi="Garamond" w:cs="Times New Roman"/>
          <w:sz w:val="24"/>
          <w:szCs w:val="24"/>
        </w:rPr>
        <w:t>UNESCO</w:t>
      </w:r>
      <w:r w:rsidR="0071735F" w:rsidRPr="00B31292">
        <w:rPr>
          <w:rFonts w:ascii="Garamond" w:hAnsi="Garamond" w:cs="Times New Roman"/>
          <w:sz w:val="24"/>
          <w:szCs w:val="24"/>
        </w:rPr>
        <w:t>–</w:t>
      </w:r>
      <w:r w:rsidR="00C33980" w:rsidRPr="00B31292">
        <w:rPr>
          <w:rFonts w:ascii="Garamond" w:hAnsi="Garamond" w:cs="Times New Roman"/>
          <w:sz w:val="24"/>
          <w:szCs w:val="24"/>
        </w:rPr>
        <w:t>OECD</w:t>
      </w:r>
      <w:r w:rsidR="0071735F" w:rsidRPr="00B31292">
        <w:rPr>
          <w:rFonts w:ascii="Garamond" w:hAnsi="Garamond" w:cs="Times New Roman"/>
          <w:sz w:val="24"/>
          <w:szCs w:val="24"/>
        </w:rPr>
        <w:t>–</w:t>
      </w:r>
      <w:r w:rsidR="009C0CE9" w:rsidRPr="00B31292">
        <w:rPr>
          <w:rFonts w:ascii="Garamond" w:hAnsi="Garamond" w:cs="Times New Roman"/>
          <w:sz w:val="24"/>
          <w:szCs w:val="24"/>
        </w:rPr>
        <w:t>Eurostat</w:t>
      </w:r>
      <w:r w:rsidR="009F5DCC" w:rsidRPr="00B31292">
        <w:rPr>
          <w:rFonts w:ascii="Garamond" w:hAnsi="Garamond" w:cs="Times New Roman"/>
          <w:sz w:val="24"/>
          <w:szCs w:val="24"/>
        </w:rPr>
        <w:t xml:space="preserve"> me të dhëna të detajuara për arsimin, për vitin akademik 2023</w:t>
      </w:r>
      <w:r w:rsidR="00BA12C3" w:rsidRPr="00B31292">
        <w:rPr>
          <w:rFonts w:ascii="Garamond" w:eastAsia="Times New Roman" w:hAnsi="Garamond" w:cs="Times New Roman"/>
          <w:sz w:val="24"/>
          <w:szCs w:val="24"/>
        </w:rPr>
        <w:t>–</w:t>
      </w:r>
      <w:r w:rsidR="009F5DCC" w:rsidRPr="00B31292">
        <w:rPr>
          <w:rFonts w:ascii="Garamond" w:hAnsi="Garamond" w:cs="Times New Roman"/>
          <w:sz w:val="24"/>
          <w:szCs w:val="24"/>
        </w:rPr>
        <w:t>2024</w:t>
      </w:r>
      <w:r w:rsidR="005D2AA8" w:rsidRPr="00B31292">
        <w:rPr>
          <w:rFonts w:ascii="Garamond" w:hAnsi="Garamond" w:cs="Times New Roman"/>
          <w:sz w:val="24"/>
          <w:szCs w:val="24"/>
        </w:rPr>
        <w:t xml:space="preserve">, për diplomimet dhe </w:t>
      </w:r>
      <w:r w:rsidR="009C0CE9" w:rsidRPr="00B31292">
        <w:rPr>
          <w:rFonts w:ascii="Garamond" w:hAnsi="Garamond" w:cs="Times New Roman"/>
          <w:sz w:val="24"/>
          <w:szCs w:val="24"/>
        </w:rPr>
        <w:t xml:space="preserve">për vitin akademik </w:t>
      </w:r>
      <w:r w:rsidR="005D2AA8" w:rsidRPr="00B31292">
        <w:rPr>
          <w:rFonts w:ascii="Garamond" w:hAnsi="Garamond" w:cs="Times New Roman"/>
          <w:sz w:val="24"/>
          <w:szCs w:val="24"/>
        </w:rPr>
        <w:t>2024</w:t>
      </w:r>
      <w:r w:rsidR="00BA12C3" w:rsidRPr="00B31292">
        <w:rPr>
          <w:rFonts w:ascii="Garamond" w:eastAsia="Times New Roman" w:hAnsi="Garamond" w:cs="Times New Roman"/>
          <w:sz w:val="24"/>
          <w:szCs w:val="24"/>
        </w:rPr>
        <w:t>–</w:t>
      </w:r>
      <w:r w:rsidR="005D2AA8" w:rsidRPr="00B31292">
        <w:rPr>
          <w:rFonts w:ascii="Garamond" w:hAnsi="Garamond" w:cs="Times New Roman"/>
          <w:sz w:val="24"/>
          <w:szCs w:val="24"/>
        </w:rPr>
        <w:t>2025</w:t>
      </w:r>
      <w:r w:rsidR="009C0CE9" w:rsidRPr="00B31292">
        <w:rPr>
          <w:rFonts w:ascii="Garamond" w:hAnsi="Garamond" w:cs="Times New Roman"/>
          <w:sz w:val="24"/>
          <w:szCs w:val="24"/>
        </w:rPr>
        <w:t>,</w:t>
      </w:r>
      <w:r w:rsidR="005D2AA8" w:rsidRPr="00B31292">
        <w:rPr>
          <w:rFonts w:ascii="Garamond" w:hAnsi="Garamond" w:cs="Times New Roman"/>
          <w:sz w:val="24"/>
          <w:szCs w:val="24"/>
        </w:rPr>
        <w:t xml:space="preserve"> për regjistrimet</w:t>
      </w:r>
      <w:r w:rsidR="009F5DCC" w:rsidRPr="00B31292">
        <w:rPr>
          <w:rFonts w:ascii="Garamond" w:hAnsi="Garamond" w:cs="Times New Roman"/>
          <w:sz w:val="24"/>
          <w:szCs w:val="24"/>
        </w:rPr>
        <w:t>.</w:t>
      </w:r>
    </w:p>
    <w:p w14:paraId="109EC55E" w14:textId="3B32B46E" w:rsidR="009F5DCC" w:rsidRPr="00B31292" w:rsidRDefault="009F5DCC" w:rsidP="003A4DBA">
      <w:pPr>
        <w:spacing w:after="0" w:line="240" w:lineRule="auto"/>
        <w:ind w:firstLine="284"/>
        <w:jc w:val="both"/>
        <w:rPr>
          <w:rFonts w:ascii="Garamond" w:hAnsi="Garamond" w:cs="Times New Roman"/>
          <w:sz w:val="24"/>
          <w:szCs w:val="24"/>
        </w:rPr>
      </w:pPr>
      <w:r w:rsidRPr="00B31292">
        <w:rPr>
          <w:rFonts w:ascii="Garamond" w:hAnsi="Garamond" w:cs="Times New Roman"/>
          <w:b/>
          <w:sz w:val="24"/>
          <w:szCs w:val="24"/>
        </w:rPr>
        <w:t>Treguesit kryesorë:</w:t>
      </w:r>
      <w:r w:rsidRPr="00B31292">
        <w:rPr>
          <w:rFonts w:ascii="Garamond" w:hAnsi="Garamond" w:cs="Times New Roman"/>
          <w:sz w:val="24"/>
          <w:szCs w:val="24"/>
        </w:rPr>
        <w:t xml:space="preserve"> Tregues statistikorë mbi regjistrimet që llogariten me bazë vjetore, sipas niveleve të arsimit, gjinisë, institucioneve publike/private, fushave të studimit (arsim i lartë), stafit mësimdhënës, qarqeve etj</w:t>
      </w:r>
      <w:r w:rsidR="00BA12C3" w:rsidRPr="00B31292">
        <w:rPr>
          <w:rFonts w:ascii="Garamond" w:hAnsi="Garamond" w:cs="Times New Roman"/>
          <w:sz w:val="24"/>
          <w:szCs w:val="24"/>
        </w:rPr>
        <w:t>.</w:t>
      </w:r>
      <w:r w:rsidRPr="00B31292">
        <w:rPr>
          <w:rFonts w:ascii="Garamond" w:hAnsi="Garamond" w:cs="Times New Roman"/>
          <w:sz w:val="24"/>
          <w:szCs w:val="24"/>
        </w:rPr>
        <w:t xml:space="preserve">; </w:t>
      </w:r>
      <w:r w:rsidR="007F4AF2" w:rsidRPr="00B31292">
        <w:rPr>
          <w:rFonts w:ascii="Garamond" w:hAnsi="Garamond" w:cs="Times New Roman"/>
          <w:sz w:val="24"/>
          <w:szCs w:val="24"/>
        </w:rPr>
        <w:t xml:space="preserve">tregues </w:t>
      </w:r>
      <w:r w:rsidRPr="00B31292">
        <w:rPr>
          <w:rFonts w:ascii="Garamond" w:hAnsi="Garamond" w:cs="Times New Roman"/>
          <w:sz w:val="24"/>
          <w:szCs w:val="24"/>
        </w:rPr>
        <w:t>statistikorë mbi diplomimet që llogariten me bazë vjetore, sipas niveleve të arsimit, gjinisë, institucioneve publike/private, qarqeve, fushave të studimit (arsimi lartë) etj</w:t>
      </w:r>
      <w:r w:rsidR="00BA12C3" w:rsidRPr="00B31292">
        <w:rPr>
          <w:rFonts w:ascii="Garamond" w:hAnsi="Garamond" w:cs="Times New Roman"/>
          <w:sz w:val="24"/>
          <w:szCs w:val="24"/>
        </w:rPr>
        <w:t>.</w:t>
      </w:r>
      <w:r w:rsidRPr="00B31292">
        <w:rPr>
          <w:rFonts w:ascii="Garamond" w:hAnsi="Garamond" w:cs="Times New Roman"/>
          <w:sz w:val="24"/>
          <w:szCs w:val="24"/>
        </w:rPr>
        <w:t xml:space="preserve">; </w:t>
      </w:r>
      <w:r w:rsidR="007F4AF2" w:rsidRPr="00B31292">
        <w:rPr>
          <w:rFonts w:ascii="Garamond" w:hAnsi="Garamond" w:cs="Times New Roman"/>
          <w:sz w:val="24"/>
          <w:szCs w:val="24"/>
        </w:rPr>
        <w:t xml:space="preserve">tregues </w:t>
      </w:r>
      <w:r w:rsidRPr="00B31292">
        <w:rPr>
          <w:rFonts w:ascii="Garamond" w:hAnsi="Garamond" w:cs="Times New Roman"/>
          <w:sz w:val="24"/>
          <w:szCs w:val="24"/>
        </w:rPr>
        <w:t xml:space="preserve">mbi shpenzimet gjithsej të buxhetit të shtetit për arsimin dhe përqindjen ndaj </w:t>
      </w:r>
      <w:r w:rsidR="007F4AF2" w:rsidRPr="00B31292">
        <w:rPr>
          <w:rFonts w:ascii="Garamond" w:hAnsi="Garamond" w:cs="Times New Roman"/>
          <w:sz w:val="24"/>
          <w:szCs w:val="24"/>
        </w:rPr>
        <w:t xml:space="preserve">prodhimit të brendshëm bruto </w:t>
      </w:r>
      <w:r w:rsidRPr="00B31292">
        <w:rPr>
          <w:rFonts w:ascii="Garamond" w:hAnsi="Garamond" w:cs="Times New Roman"/>
          <w:sz w:val="24"/>
          <w:szCs w:val="24"/>
        </w:rPr>
        <w:t xml:space="preserve">(PBB); </w:t>
      </w:r>
      <w:r w:rsidR="007F4AF2" w:rsidRPr="00B31292">
        <w:rPr>
          <w:rFonts w:ascii="Garamond" w:hAnsi="Garamond" w:cs="Times New Roman"/>
          <w:sz w:val="24"/>
          <w:szCs w:val="24"/>
        </w:rPr>
        <w:t xml:space="preserve">tregues </w:t>
      </w:r>
      <w:r w:rsidRPr="00B31292">
        <w:rPr>
          <w:rFonts w:ascii="Garamond" w:hAnsi="Garamond" w:cs="Times New Roman"/>
          <w:sz w:val="24"/>
          <w:szCs w:val="24"/>
        </w:rPr>
        <w:t>statistikorë kryesorë të përllogaritur bazuar në</w:t>
      </w:r>
      <w:r w:rsidR="00B12683" w:rsidRPr="00B31292">
        <w:rPr>
          <w:rFonts w:ascii="Garamond" w:hAnsi="Garamond" w:cs="Times New Roman"/>
          <w:sz w:val="24"/>
          <w:szCs w:val="24"/>
        </w:rPr>
        <w:t xml:space="preserve"> </w:t>
      </w:r>
      <w:r w:rsidR="007F4AF2" w:rsidRPr="00B31292">
        <w:rPr>
          <w:rFonts w:ascii="Garamond" w:hAnsi="Garamond" w:cs="Times New Roman"/>
          <w:sz w:val="24"/>
          <w:szCs w:val="24"/>
        </w:rPr>
        <w:t>vrojtimin e forcave të punës mbi pjesëmarrjen</w:t>
      </w:r>
      <w:r w:rsidRPr="00B31292">
        <w:rPr>
          <w:rFonts w:ascii="Garamond" w:hAnsi="Garamond" w:cs="Times New Roman"/>
          <w:sz w:val="24"/>
          <w:szCs w:val="24"/>
        </w:rPr>
        <w:t xml:space="preserve"> e popullsisë 25</w:t>
      </w:r>
      <w:r w:rsidR="00BA12C3" w:rsidRPr="00B31292">
        <w:rPr>
          <w:rFonts w:ascii="Garamond" w:eastAsia="Times New Roman" w:hAnsi="Garamond" w:cs="Times New Roman"/>
          <w:sz w:val="24"/>
          <w:szCs w:val="24"/>
        </w:rPr>
        <w:t>–</w:t>
      </w:r>
      <w:r w:rsidRPr="00B31292">
        <w:rPr>
          <w:rFonts w:ascii="Garamond" w:hAnsi="Garamond" w:cs="Times New Roman"/>
          <w:sz w:val="24"/>
          <w:szCs w:val="24"/>
        </w:rPr>
        <w:t>64 vjeç në arsim dhe trajnim, sipas gjinisë, grup</w:t>
      </w:r>
      <w:r w:rsidR="0037387B" w:rsidRPr="00B31292">
        <w:rPr>
          <w:rFonts w:ascii="Garamond" w:hAnsi="Garamond" w:cs="Times New Roman"/>
          <w:sz w:val="24"/>
          <w:szCs w:val="24"/>
        </w:rPr>
        <w:t>-</w:t>
      </w:r>
      <w:r w:rsidRPr="00B31292">
        <w:rPr>
          <w:rFonts w:ascii="Garamond" w:hAnsi="Garamond" w:cs="Times New Roman"/>
          <w:sz w:val="24"/>
          <w:szCs w:val="24"/>
        </w:rPr>
        <w:t>moshave dhe nivelit arsimor të arritur. Tregues mbi arsimimin e</w:t>
      </w:r>
      <w:r w:rsidR="00612A97" w:rsidRPr="00B31292">
        <w:rPr>
          <w:rFonts w:ascii="Garamond" w:hAnsi="Garamond" w:cs="Times New Roman"/>
          <w:sz w:val="24"/>
          <w:szCs w:val="24"/>
        </w:rPr>
        <w:t xml:space="preserve"> të rriturve bazuar në </w:t>
      </w:r>
      <w:r w:rsidR="0037387B" w:rsidRPr="00B31292">
        <w:rPr>
          <w:rFonts w:ascii="Garamond" w:hAnsi="Garamond" w:cs="Times New Roman"/>
          <w:sz w:val="24"/>
          <w:szCs w:val="24"/>
        </w:rPr>
        <w:t>vrojtimin e arsimit të të rriturve</w:t>
      </w:r>
      <w:r w:rsidRPr="00B31292">
        <w:rPr>
          <w:rFonts w:ascii="Garamond" w:hAnsi="Garamond" w:cs="Times New Roman"/>
          <w:sz w:val="24"/>
          <w:szCs w:val="24"/>
        </w:rPr>
        <w:t>.</w:t>
      </w:r>
    </w:p>
    <w:p w14:paraId="2EC96709" w14:textId="473D41B6" w:rsidR="009F5DCC" w:rsidRPr="00B31292" w:rsidRDefault="009F5DCC" w:rsidP="003A4DBA">
      <w:pPr>
        <w:spacing w:after="0" w:line="240" w:lineRule="auto"/>
        <w:ind w:firstLine="284"/>
        <w:jc w:val="both"/>
        <w:rPr>
          <w:rFonts w:ascii="Garamond" w:eastAsia="Times New Roman" w:hAnsi="Garamond" w:cs="Times New Roman"/>
          <w:sz w:val="24"/>
          <w:szCs w:val="24"/>
        </w:rPr>
      </w:pPr>
      <w:bookmarkStart w:id="10" w:name="_Toc85376950"/>
      <w:bookmarkStart w:id="11" w:name="_Toc85380282"/>
      <w:bookmarkStart w:id="12" w:name="_Toc186909512"/>
      <w:bookmarkStart w:id="13" w:name="_Toc87780216"/>
      <w:r w:rsidRPr="00B31292">
        <w:rPr>
          <w:rFonts w:ascii="Garamond" w:hAnsi="Garamond" w:cs="Times New Roman"/>
          <w:b/>
          <w:sz w:val="24"/>
          <w:szCs w:val="24"/>
        </w:rPr>
        <w:t xml:space="preserve">Përputhshmëria me </w:t>
      </w:r>
      <w:r w:rsidRPr="00B31292">
        <w:rPr>
          <w:rFonts w:ascii="Garamond" w:hAnsi="Garamond" w:cs="Times New Roman"/>
          <w:b/>
          <w:i/>
          <w:iCs/>
          <w:sz w:val="24"/>
          <w:szCs w:val="24"/>
        </w:rPr>
        <w:t>acquis</w:t>
      </w:r>
      <w:bookmarkEnd w:id="10"/>
      <w:bookmarkEnd w:id="11"/>
      <w:bookmarkEnd w:id="12"/>
      <w:bookmarkEnd w:id="13"/>
      <w:r w:rsidRPr="00B31292">
        <w:rPr>
          <w:rFonts w:ascii="Garamond" w:hAnsi="Garamond" w:cs="Times New Roman"/>
          <w:b/>
          <w:sz w:val="24"/>
          <w:szCs w:val="24"/>
        </w:rPr>
        <w:t>:</w:t>
      </w:r>
      <w:r w:rsidRPr="00B31292">
        <w:rPr>
          <w:rFonts w:ascii="Garamond" w:hAnsi="Garamond" w:cs="Times New Roman"/>
          <w:sz w:val="24"/>
          <w:szCs w:val="24"/>
        </w:rPr>
        <w:t xml:space="preserve"> </w:t>
      </w:r>
      <w:r w:rsidRPr="00B31292">
        <w:rPr>
          <w:rFonts w:ascii="Garamond" w:hAnsi="Garamond" w:cs="Times New Roman"/>
          <w:i/>
          <w:sz w:val="24"/>
          <w:szCs w:val="24"/>
        </w:rPr>
        <w:t xml:space="preserve">Statistikat e formimit profesional dhe të të mësuarit gjatë </w:t>
      </w:r>
      <w:r w:rsidR="001E343E" w:rsidRPr="00B31292">
        <w:rPr>
          <w:rFonts w:ascii="Garamond" w:hAnsi="Garamond" w:cs="Times New Roman"/>
          <w:i/>
          <w:sz w:val="24"/>
          <w:szCs w:val="24"/>
        </w:rPr>
        <w:t xml:space="preserve">të </w:t>
      </w:r>
      <w:r w:rsidRPr="00B31292">
        <w:rPr>
          <w:rFonts w:ascii="Garamond" w:hAnsi="Garamond" w:cs="Times New Roman"/>
          <w:i/>
          <w:sz w:val="24"/>
          <w:szCs w:val="24"/>
        </w:rPr>
        <w:t>gjithë jetës</w:t>
      </w:r>
      <w:r w:rsidRPr="00B31292">
        <w:rPr>
          <w:rFonts w:ascii="Garamond" w:hAnsi="Garamond" w:cs="Times New Roman"/>
          <w:sz w:val="24"/>
          <w:szCs w:val="24"/>
        </w:rPr>
        <w:t xml:space="preserve"> janë </w:t>
      </w:r>
      <w:r w:rsidR="005D2AA8" w:rsidRPr="00B31292">
        <w:rPr>
          <w:rFonts w:ascii="Garamond" w:hAnsi="Garamond" w:cs="Times New Roman"/>
          <w:sz w:val="24"/>
          <w:szCs w:val="24"/>
        </w:rPr>
        <w:t xml:space="preserve">pjesërisht në përputhje me </w:t>
      </w:r>
      <w:r w:rsidR="00BA12C3" w:rsidRPr="00B31292">
        <w:rPr>
          <w:rFonts w:ascii="Garamond" w:hAnsi="Garamond" w:cs="Times New Roman"/>
          <w:sz w:val="24"/>
          <w:szCs w:val="24"/>
        </w:rPr>
        <w:t>rregulloren</w:t>
      </w:r>
      <w:r w:rsidRPr="00B31292">
        <w:rPr>
          <w:rFonts w:ascii="Garamond" w:hAnsi="Garamond" w:cs="Times New Roman"/>
          <w:sz w:val="24"/>
          <w:szCs w:val="24"/>
        </w:rPr>
        <w:t xml:space="preserve"> </w:t>
      </w:r>
      <w:r w:rsidR="004366A4" w:rsidRPr="00B31292">
        <w:rPr>
          <w:rFonts w:ascii="Garamond" w:hAnsi="Garamond" w:cs="Times New Roman"/>
          <w:sz w:val="24"/>
          <w:szCs w:val="24"/>
        </w:rPr>
        <w:t>e</w:t>
      </w:r>
      <w:r w:rsidRPr="00B31292">
        <w:rPr>
          <w:rFonts w:ascii="Garamond" w:hAnsi="Garamond" w:cs="Times New Roman"/>
          <w:sz w:val="24"/>
          <w:szCs w:val="24"/>
        </w:rPr>
        <w:t xml:space="preserve"> Komisionit Evropian</w:t>
      </w:r>
      <w:r w:rsidR="007744F7" w:rsidRPr="00B31292">
        <w:rPr>
          <w:rFonts w:ascii="Garamond" w:hAnsi="Garamond" w:cs="Times New Roman"/>
          <w:sz w:val="24"/>
          <w:szCs w:val="24"/>
        </w:rPr>
        <w:t xml:space="preserve"> </w:t>
      </w:r>
      <w:r w:rsidRPr="00B31292">
        <w:rPr>
          <w:rFonts w:ascii="Garamond" w:hAnsi="Garamond" w:cs="Times New Roman"/>
          <w:sz w:val="24"/>
          <w:szCs w:val="24"/>
        </w:rPr>
        <w:t>(</w:t>
      </w:r>
      <w:r w:rsidR="004366A4" w:rsidRPr="00B31292">
        <w:rPr>
          <w:rFonts w:ascii="Garamond" w:hAnsi="Garamond" w:cs="Times New Roman"/>
          <w:sz w:val="24"/>
          <w:szCs w:val="24"/>
        </w:rPr>
        <w:t>KE</w:t>
      </w:r>
      <w:r w:rsidRPr="00B31292">
        <w:rPr>
          <w:rFonts w:ascii="Garamond" w:hAnsi="Garamond" w:cs="Times New Roman"/>
          <w:sz w:val="24"/>
          <w:szCs w:val="24"/>
        </w:rPr>
        <w:t xml:space="preserve">) </w:t>
      </w:r>
      <w:r w:rsidR="00BA12C3" w:rsidRPr="00B31292">
        <w:rPr>
          <w:rFonts w:ascii="Garamond" w:hAnsi="Garamond" w:cs="Times New Roman"/>
          <w:sz w:val="24"/>
          <w:szCs w:val="24"/>
        </w:rPr>
        <w:t>n</w:t>
      </w:r>
      <w:r w:rsidRPr="00B31292">
        <w:rPr>
          <w:rFonts w:ascii="Garamond" w:hAnsi="Garamond" w:cs="Times New Roman"/>
          <w:sz w:val="24"/>
          <w:szCs w:val="24"/>
        </w:rPr>
        <w:t>r. 452/2008</w:t>
      </w:r>
      <w:r w:rsidR="00BA12C3" w:rsidRPr="00B31292">
        <w:rPr>
          <w:rFonts w:ascii="Garamond" w:hAnsi="Garamond" w:cs="Times New Roman"/>
          <w:sz w:val="24"/>
          <w:szCs w:val="24"/>
        </w:rPr>
        <w:t>,</w:t>
      </w:r>
      <w:r w:rsidRPr="00B31292">
        <w:rPr>
          <w:rFonts w:ascii="Garamond" w:hAnsi="Garamond" w:cs="Times New Roman"/>
          <w:sz w:val="24"/>
          <w:szCs w:val="24"/>
        </w:rPr>
        <w:t xml:space="preserve"> </w:t>
      </w:r>
      <w:r w:rsidR="00BA12C3" w:rsidRPr="00B31292">
        <w:rPr>
          <w:rFonts w:ascii="Garamond" w:hAnsi="Garamond" w:cs="Times New Roman"/>
          <w:sz w:val="24"/>
          <w:szCs w:val="24"/>
        </w:rPr>
        <w:t>“</w:t>
      </w:r>
      <w:r w:rsidR="0003360E" w:rsidRPr="00B31292">
        <w:rPr>
          <w:rFonts w:ascii="Garamond" w:hAnsi="Garamond" w:cs="Times New Roman"/>
          <w:sz w:val="24"/>
          <w:szCs w:val="24"/>
        </w:rPr>
        <w:t xml:space="preserve">Për prodhimin dhe zhvillimin e </w:t>
      </w:r>
      <w:r w:rsidRPr="00B31292">
        <w:rPr>
          <w:rFonts w:ascii="Garamond" w:hAnsi="Garamond" w:cs="Times New Roman"/>
          <w:sz w:val="24"/>
          <w:szCs w:val="24"/>
        </w:rPr>
        <w:t>statistikave të arsimit dhe të të mësuarit</w:t>
      </w:r>
      <w:r w:rsidRPr="00B31292">
        <w:rPr>
          <w:rFonts w:ascii="Garamond" w:eastAsia="Times New Roman" w:hAnsi="Garamond" w:cs="Times New Roman"/>
          <w:sz w:val="24"/>
          <w:szCs w:val="24"/>
        </w:rPr>
        <w:t xml:space="preserve"> gjatë </w:t>
      </w:r>
      <w:r w:rsidR="00514D79" w:rsidRPr="00B31292">
        <w:rPr>
          <w:rFonts w:ascii="Garamond" w:hAnsi="Garamond" w:cs="Times New Roman"/>
          <w:iCs/>
          <w:sz w:val="24"/>
          <w:szCs w:val="24"/>
        </w:rPr>
        <w:t>të</w:t>
      </w:r>
      <w:r w:rsidR="00514D79" w:rsidRPr="00B31292">
        <w:rPr>
          <w:rFonts w:ascii="Garamond" w:eastAsia="Times New Roman" w:hAnsi="Garamond" w:cs="Times New Roman"/>
          <w:iCs/>
          <w:sz w:val="24"/>
          <w:szCs w:val="24"/>
        </w:rPr>
        <w:t xml:space="preserve"> </w:t>
      </w:r>
      <w:r w:rsidRPr="00B31292">
        <w:rPr>
          <w:rFonts w:ascii="Garamond" w:eastAsia="Times New Roman" w:hAnsi="Garamond" w:cs="Times New Roman"/>
          <w:sz w:val="24"/>
          <w:szCs w:val="24"/>
        </w:rPr>
        <w:t>gjithë jetës</w:t>
      </w:r>
      <w:r w:rsidR="00BA12C3" w:rsidRPr="00B31292">
        <w:rPr>
          <w:rFonts w:ascii="Garamond" w:eastAsia="Times New Roman" w:hAnsi="Garamond" w:cs="Times New Roman"/>
          <w:sz w:val="24"/>
          <w:szCs w:val="24"/>
        </w:rPr>
        <w:t>”</w:t>
      </w:r>
      <w:r w:rsidR="004366A4" w:rsidRPr="00B31292">
        <w:rPr>
          <w:rFonts w:ascii="Garamond" w:eastAsia="Times New Roman" w:hAnsi="Garamond" w:cs="Times New Roman"/>
          <w:sz w:val="24"/>
          <w:szCs w:val="24"/>
        </w:rPr>
        <w:t>.</w:t>
      </w:r>
      <w:r w:rsidRPr="00B31292">
        <w:rPr>
          <w:rFonts w:ascii="Garamond" w:eastAsia="Times New Roman" w:hAnsi="Garamond" w:cs="Times New Roman"/>
          <w:sz w:val="24"/>
          <w:szCs w:val="24"/>
        </w:rPr>
        <w:t xml:space="preserve"> </w:t>
      </w:r>
      <w:r w:rsidR="004366A4" w:rsidRPr="00B31292">
        <w:rPr>
          <w:rFonts w:ascii="Garamond" w:eastAsia="Times New Roman" w:hAnsi="Garamond" w:cs="Times New Roman"/>
          <w:i/>
          <w:sz w:val="24"/>
          <w:szCs w:val="24"/>
        </w:rPr>
        <w:t>S</w:t>
      </w:r>
      <w:r w:rsidRPr="00B31292">
        <w:rPr>
          <w:rFonts w:ascii="Garamond" w:eastAsia="Times New Roman" w:hAnsi="Garamond" w:cs="Times New Roman"/>
          <w:i/>
          <w:sz w:val="24"/>
          <w:szCs w:val="24"/>
        </w:rPr>
        <w:t>tatistikat e arsimit</w:t>
      </w:r>
      <w:r w:rsidRPr="00B31292">
        <w:rPr>
          <w:rFonts w:ascii="Garamond" w:eastAsia="Times New Roman" w:hAnsi="Garamond" w:cs="Times New Roman"/>
          <w:sz w:val="24"/>
          <w:szCs w:val="24"/>
        </w:rPr>
        <w:t xml:space="preserve"> janë pjesërisht në përputhje me statistikat evropiane të kësaj fushe. Të dhënat e </w:t>
      </w:r>
      <w:r w:rsidR="00421EF7" w:rsidRPr="00B31292">
        <w:rPr>
          <w:rFonts w:ascii="Garamond" w:eastAsia="Times New Roman" w:hAnsi="Garamond" w:cs="Times New Roman"/>
          <w:sz w:val="24"/>
          <w:szCs w:val="24"/>
        </w:rPr>
        <w:t xml:space="preserve">pyetësorit të përbashkët të </w:t>
      </w:r>
      <w:r w:rsidR="0003360E" w:rsidRPr="00B31292">
        <w:rPr>
          <w:rFonts w:ascii="Garamond" w:eastAsia="Times New Roman" w:hAnsi="Garamond" w:cs="Times New Roman"/>
          <w:sz w:val="24"/>
          <w:szCs w:val="24"/>
        </w:rPr>
        <w:t>UNESCO</w:t>
      </w:r>
      <w:r w:rsidR="00514D79" w:rsidRPr="00B31292">
        <w:rPr>
          <w:rFonts w:ascii="Garamond" w:eastAsia="Times New Roman" w:hAnsi="Garamond" w:cs="Times New Roman"/>
          <w:sz w:val="24"/>
          <w:szCs w:val="24"/>
        </w:rPr>
        <w:t>-s</w:t>
      </w:r>
      <w:r w:rsidR="0003360E" w:rsidRPr="00B31292">
        <w:rPr>
          <w:rFonts w:ascii="Garamond" w:eastAsia="Times New Roman" w:hAnsi="Garamond" w:cs="Times New Roman"/>
          <w:sz w:val="24"/>
          <w:szCs w:val="24"/>
        </w:rPr>
        <w:t>, OECD</w:t>
      </w:r>
      <w:r w:rsidR="00514D79" w:rsidRPr="00B31292">
        <w:rPr>
          <w:rFonts w:ascii="Garamond" w:eastAsia="Times New Roman" w:hAnsi="Garamond" w:cs="Times New Roman"/>
          <w:sz w:val="24"/>
          <w:szCs w:val="24"/>
        </w:rPr>
        <w:t>-së</w:t>
      </w:r>
      <w:r w:rsidR="0003360E" w:rsidRPr="00B31292">
        <w:rPr>
          <w:rFonts w:ascii="Garamond" w:eastAsia="Times New Roman" w:hAnsi="Garamond" w:cs="Times New Roman"/>
          <w:sz w:val="24"/>
          <w:szCs w:val="24"/>
        </w:rPr>
        <w:t xml:space="preserve"> dhe </w:t>
      </w:r>
      <w:r w:rsidR="009C0CE9" w:rsidRPr="00B31292">
        <w:rPr>
          <w:rFonts w:ascii="Garamond" w:eastAsia="Times New Roman" w:hAnsi="Garamond" w:cs="Times New Roman"/>
          <w:sz w:val="24"/>
          <w:szCs w:val="24"/>
        </w:rPr>
        <w:t>Eurostat</w:t>
      </w:r>
      <w:r w:rsidR="00514D79" w:rsidRPr="00B31292">
        <w:rPr>
          <w:rFonts w:ascii="Garamond" w:eastAsia="Times New Roman" w:hAnsi="Garamond" w:cs="Times New Roman"/>
          <w:sz w:val="24"/>
          <w:szCs w:val="24"/>
        </w:rPr>
        <w:t>it</w:t>
      </w:r>
      <w:r w:rsidR="00E4332B" w:rsidRPr="00B31292">
        <w:rPr>
          <w:rFonts w:ascii="Garamond" w:eastAsia="Times New Roman" w:hAnsi="Garamond" w:cs="Times New Roman"/>
          <w:sz w:val="24"/>
          <w:szCs w:val="24"/>
        </w:rPr>
        <w:t xml:space="preserve"> </w:t>
      </w:r>
      <w:r w:rsidRPr="00B31292">
        <w:rPr>
          <w:rFonts w:ascii="Garamond" w:eastAsia="Times New Roman" w:hAnsi="Garamond" w:cs="Times New Roman"/>
          <w:sz w:val="24"/>
          <w:szCs w:val="24"/>
        </w:rPr>
        <w:t xml:space="preserve">do të transmetohen në kohë në </w:t>
      </w:r>
      <w:r w:rsidR="009C0CE9" w:rsidRPr="00B31292">
        <w:rPr>
          <w:rFonts w:ascii="Garamond" w:eastAsia="Times New Roman" w:hAnsi="Garamond" w:cs="Times New Roman"/>
          <w:sz w:val="24"/>
          <w:szCs w:val="24"/>
        </w:rPr>
        <w:t>Eurostat</w:t>
      </w:r>
      <w:r w:rsidRPr="00B31292">
        <w:rPr>
          <w:rFonts w:ascii="Garamond" w:eastAsia="Times New Roman" w:hAnsi="Garamond" w:cs="Times New Roman"/>
          <w:sz w:val="24"/>
          <w:szCs w:val="24"/>
        </w:rPr>
        <w:t xml:space="preserve"> në vitin 2025. Përpjekjet do të </w:t>
      </w:r>
      <w:r w:rsidR="00BA12C3" w:rsidRPr="00B31292">
        <w:rPr>
          <w:rFonts w:ascii="Garamond" w:eastAsia="Times New Roman" w:hAnsi="Garamond" w:cs="Times New Roman"/>
          <w:sz w:val="24"/>
          <w:szCs w:val="24"/>
        </w:rPr>
        <w:t>përqendrohen</w:t>
      </w:r>
      <w:r w:rsidRPr="00B31292">
        <w:rPr>
          <w:rFonts w:ascii="Garamond" w:eastAsia="Times New Roman" w:hAnsi="Garamond" w:cs="Times New Roman"/>
          <w:sz w:val="24"/>
          <w:szCs w:val="24"/>
        </w:rPr>
        <w:t xml:space="preserve"> në përpilimin e të dhënave mbi të regjistruarit për herë të parë, lëvizshmërinë e të mësuarit, si dhe në përpilimin e pyetësorit me të dhëna rajonale. Shqipëria nuk ka kryer ende një </w:t>
      </w:r>
      <w:r w:rsidR="007F4AF2" w:rsidRPr="00B31292">
        <w:rPr>
          <w:rFonts w:ascii="Garamond" w:eastAsia="Times New Roman" w:hAnsi="Garamond" w:cs="Times New Roman"/>
          <w:sz w:val="24"/>
          <w:szCs w:val="24"/>
        </w:rPr>
        <w:t xml:space="preserve">vrojtim </w:t>
      </w:r>
      <w:r w:rsidRPr="00B31292">
        <w:rPr>
          <w:rFonts w:ascii="Garamond" w:eastAsia="Times New Roman" w:hAnsi="Garamond" w:cs="Times New Roman"/>
          <w:sz w:val="24"/>
          <w:szCs w:val="24"/>
        </w:rPr>
        <w:t xml:space="preserve">të </w:t>
      </w:r>
      <w:r w:rsidR="007F4AF2" w:rsidRPr="00B31292">
        <w:rPr>
          <w:rFonts w:ascii="Garamond" w:eastAsia="Times New Roman" w:hAnsi="Garamond" w:cs="Times New Roman"/>
          <w:sz w:val="24"/>
          <w:szCs w:val="24"/>
        </w:rPr>
        <w:t>formimit profesional të vazh</w:t>
      </w:r>
      <w:r w:rsidRPr="00B31292">
        <w:rPr>
          <w:rFonts w:ascii="Garamond" w:eastAsia="Times New Roman" w:hAnsi="Garamond" w:cs="Times New Roman"/>
          <w:sz w:val="24"/>
          <w:szCs w:val="24"/>
        </w:rPr>
        <w:t>dueshëm (CVTS) dhe nuk ka plane për ta zbatuar atë në një të ardhme të afërt.</w:t>
      </w:r>
    </w:p>
    <w:p w14:paraId="7F82A141" w14:textId="11BA0148" w:rsidR="009F5DCC" w:rsidRPr="00B31292" w:rsidRDefault="009F5DCC" w:rsidP="003A4DBA">
      <w:pPr>
        <w:keepNext/>
        <w:keepLines/>
        <w:spacing w:after="0" w:line="240" w:lineRule="auto"/>
        <w:ind w:firstLine="284"/>
        <w:outlineLvl w:val="4"/>
        <w:rPr>
          <w:rFonts w:ascii="Garamond" w:eastAsia="Times New Roman" w:hAnsi="Garamond" w:cs="Times New Roman"/>
          <w:b/>
          <w:iCs/>
          <w:sz w:val="24"/>
          <w:szCs w:val="24"/>
        </w:rPr>
      </w:pPr>
      <w:r w:rsidRPr="00B31292">
        <w:rPr>
          <w:rFonts w:ascii="Garamond" w:eastAsia="Times New Roman" w:hAnsi="Garamond" w:cs="Times New Roman"/>
          <w:b/>
          <w:iCs/>
          <w:sz w:val="24"/>
          <w:szCs w:val="24"/>
        </w:rPr>
        <w:t xml:space="preserve">Tema 1.4 </w:t>
      </w:r>
      <w:r w:rsidR="00BA12C3" w:rsidRPr="00B31292">
        <w:rPr>
          <w:rFonts w:ascii="Garamond" w:eastAsia="Times New Roman" w:hAnsi="Garamond" w:cs="Times New Roman"/>
          <w:b/>
          <w:iCs/>
          <w:sz w:val="24"/>
          <w:szCs w:val="24"/>
        </w:rPr>
        <w:t>“</w:t>
      </w:r>
      <w:r w:rsidRPr="00B31292">
        <w:rPr>
          <w:rFonts w:ascii="Garamond" w:eastAsia="Times New Roman" w:hAnsi="Garamond" w:cs="Times New Roman"/>
          <w:b/>
          <w:iCs/>
          <w:sz w:val="24"/>
          <w:szCs w:val="24"/>
        </w:rPr>
        <w:t>Shëndetësia</w:t>
      </w:r>
      <w:r w:rsidR="00BA12C3" w:rsidRPr="00B31292">
        <w:rPr>
          <w:rFonts w:ascii="Garamond" w:eastAsia="Times New Roman" w:hAnsi="Garamond" w:cs="Times New Roman"/>
          <w:b/>
          <w:iCs/>
          <w:sz w:val="24"/>
          <w:szCs w:val="24"/>
        </w:rPr>
        <w:t>”</w:t>
      </w:r>
    </w:p>
    <w:p w14:paraId="51712469" w14:textId="77777777" w:rsidR="00D55D0A" w:rsidRPr="00B31292" w:rsidRDefault="00D55D0A" w:rsidP="003A4DBA">
      <w:pPr>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Qëllimi kryesor i statistikave të shëndetësisë është që të sigurojnë të dhëna të krahasueshme dhe të harmonizuara, në kohë dhe me cilësi të lartë të treguesve statistikorë mbi shëndetin publik.</w:t>
      </w:r>
    </w:p>
    <w:p w14:paraId="7C8EBC43" w14:textId="70DD3972" w:rsidR="009F5DCC" w:rsidRPr="00B31292" w:rsidRDefault="009F5DCC" w:rsidP="003A4DBA">
      <w:pPr>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 xml:space="preserve">Kjo temë përbëhet nga nëntema </w:t>
      </w:r>
      <w:r w:rsidRPr="00B31292">
        <w:rPr>
          <w:rFonts w:ascii="Garamond" w:hAnsi="Garamond" w:cs="Times New Roman"/>
          <w:i/>
          <w:sz w:val="24"/>
          <w:szCs w:val="24"/>
        </w:rPr>
        <w:t xml:space="preserve">1.4.1 </w:t>
      </w:r>
      <w:r w:rsidR="00BA12C3" w:rsidRPr="00B31292">
        <w:rPr>
          <w:rFonts w:ascii="Garamond" w:hAnsi="Garamond" w:cs="Times New Roman"/>
          <w:i/>
          <w:sz w:val="24"/>
          <w:szCs w:val="24"/>
        </w:rPr>
        <w:t>“</w:t>
      </w:r>
      <w:r w:rsidRPr="00B31292">
        <w:rPr>
          <w:rFonts w:ascii="Garamond" w:hAnsi="Garamond" w:cs="Times New Roman"/>
          <w:i/>
          <w:sz w:val="24"/>
          <w:szCs w:val="24"/>
        </w:rPr>
        <w:t>Shëndeti publik</w:t>
      </w:r>
      <w:r w:rsidR="00BA12C3" w:rsidRPr="00B31292">
        <w:rPr>
          <w:rFonts w:ascii="Garamond" w:hAnsi="Garamond" w:cs="Times New Roman"/>
          <w:i/>
          <w:sz w:val="24"/>
          <w:szCs w:val="24"/>
        </w:rPr>
        <w:t>”</w:t>
      </w:r>
      <w:r w:rsidR="00E5233E" w:rsidRPr="00B31292">
        <w:rPr>
          <w:rFonts w:ascii="Garamond" w:hAnsi="Garamond" w:cs="Times New Roman"/>
          <w:i/>
          <w:sz w:val="24"/>
          <w:szCs w:val="24"/>
        </w:rPr>
        <w:t xml:space="preserve"> </w:t>
      </w:r>
      <w:r w:rsidR="00E5233E" w:rsidRPr="00B31292">
        <w:rPr>
          <w:rFonts w:ascii="Garamond" w:hAnsi="Garamond" w:cs="Times New Roman"/>
          <w:sz w:val="24"/>
          <w:szCs w:val="24"/>
        </w:rPr>
        <w:t>dhe</w:t>
      </w:r>
      <w:r w:rsidR="00E5233E" w:rsidRPr="00B31292">
        <w:rPr>
          <w:rFonts w:ascii="Garamond" w:hAnsi="Garamond" w:cs="Times New Roman"/>
          <w:i/>
          <w:sz w:val="24"/>
          <w:szCs w:val="24"/>
        </w:rPr>
        <w:t xml:space="preserve"> </w:t>
      </w:r>
      <w:r w:rsidR="00E5233E" w:rsidRPr="00B31292">
        <w:rPr>
          <w:rFonts w:ascii="Garamond" w:hAnsi="Garamond" w:cs="Times New Roman"/>
          <w:sz w:val="24"/>
          <w:szCs w:val="24"/>
        </w:rPr>
        <w:t xml:space="preserve">nëntema </w:t>
      </w:r>
      <w:r w:rsidR="00E5233E" w:rsidRPr="00B31292">
        <w:rPr>
          <w:rFonts w:ascii="Garamond" w:hAnsi="Garamond" w:cs="Times New Roman"/>
          <w:i/>
          <w:sz w:val="24"/>
          <w:szCs w:val="24"/>
        </w:rPr>
        <w:t xml:space="preserve">1.4.2 </w:t>
      </w:r>
      <w:r w:rsidR="00BA12C3" w:rsidRPr="00B31292">
        <w:rPr>
          <w:rFonts w:ascii="Garamond" w:hAnsi="Garamond" w:cs="Times New Roman"/>
          <w:i/>
          <w:sz w:val="24"/>
          <w:szCs w:val="24"/>
        </w:rPr>
        <w:t>“</w:t>
      </w:r>
      <w:r w:rsidR="00E5233E" w:rsidRPr="00B31292">
        <w:rPr>
          <w:rFonts w:ascii="Garamond" w:hAnsi="Garamond" w:cs="Times New Roman"/>
          <w:i/>
          <w:sz w:val="24"/>
          <w:szCs w:val="24"/>
        </w:rPr>
        <w:t>Statistikat e shëndetit dhe sigurisë në punë</w:t>
      </w:r>
      <w:r w:rsidR="00BA12C3" w:rsidRPr="00B31292">
        <w:rPr>
          <w:rFonts w:ascii="Garamond" w:hAnsi="Garamond" w:cs="Times New Roman"/>
          <w:i/>
          <w:sz w:val="24"/>
          <w:szCs w:val="24"/>
        </w:rPr>
        <w:t>”</w:t>
      </w:r>
      <w:r w:rsidR="00E5233E" w:rsidRPr="00B31292">
        <w:rPr>
          <w:rFonts w:ascii="Garamond" w:hAnsi="Garamond" w:cs="Times New Roman"/>
          <w:sz w:val="24"/>
          <w:szCs w:val="24"/>
        </w:rPr>
        <w:t>. Për realizimin e nëntemës së parë INSTAT</w:t>
      </w:r>
      <w:r w:rsidR="00BA12C3" w:rsidRPr="00B31292">
        <w:rPr>
          <w:rFonts w:ascii="Garamond" w:hAnsi="Garamond" w:cs="Times New Roman"/>
          <w:sz w:val="24"/>
          <w:szCs w:val="24"/>
        </w:rPr>
        <w:t>-i</w:t>
      </w:r>
      <w:r w:rsidR="00E5233E" w:rsidRPr="00B31292">
        <w:rPr>
          <w:rFonts w:ascii="Garamond" w:hAnsi="Garamond" w:cs="Times New Roman"/>
          <w:sz w:val="24"/>
          <w:szCs w:val="24"/>
        </w:rPr>
        <w:t xml:space="preserve"> do të </w:t>
      </w:r>
      <w:r w:rsidRPr="00B31292">
        <w:rPr>
          <w:rFonts w:ascii="Garamond" w:hAnsi="Garamond" w:cs="Times New Roman"/>
          <w:sz w:val="24"/>
          <w:szCs w:val="24"/>
        </w:rPr>
        <w:t>krye</w:t>
      </w:r>
      <w:r w:rsidR="00E5233E" w:rsidRPr="00B31292">
        <w:rPr>
          <w:rFonts w:ascii="Garamond" w:hAnsi="Garamond" w:cs="Times New Roman"/>
          <w:sz w:val="24"/>
          <w:szCs w:val="24"/>
        </w:rPr>
        <w:t xml:space="preserve">jë </w:t>
      </w:r>
      <w:r w:rsidRPr="00B31292">
        <w:rPr>
          <w:rFonts w:ascii="Garamond" w:hAnsi="Garamond" w:cs="Times New Roman"/>
          <w:sz w:val="24"/>
          <w:szCs w:val="24"/>
        </w:rPr>
        <w:t>dy aktiviteteve statistikore me</w:t>
      </w:r>
      <w:r w:rsidR="00D86103" w:rsidRPr="00B31292">
        <w:rPr>
          <w:rFonts w:ascii="Garamond" w:hAnsi="Garamond" w:cs="Times New Roman"/>
          <w:sz w:val="24"/>
          <w:szCs w:val="24"/>
        </w:rPr>
        <w:t xml:space="preserve"> frekuencë vjetore: statistikat mbi shkaqet e vdekjeve dhe statistikave mbi shëndetin </w:t>
      </w:r>
      <w:r w:rsidR="00D86103" w:rsidRPr="00B31292">
        <w:rPr>
          <w:rFonts w:ascii="Garamond" w:hAnsi="Garamond" w:cs="Times New Roman"/>
          <w:sz w:val="24"/>
          <w:szCs w:val="24"/>
        </w:rPr>
        <w:lastRenderedPageBreak/>
        <w:t>publik</w:t>
      </w:r>
      <w:r w:rsidRPr="00B31292">
        <w:rPr>
          <w:rFonts w:ascii="Garamond" w:hAnsi="Garamond" w:cs="Times New Roman"/>
          <w:sz w:val="24"/>
          <w:szCs w:val="24"/>
        </w:rPr>
        <w:t xml:space="preserve">. Për statistikat e shkaqeve të vdekjeve do të përdoret </w:t>
      </w:r>
      <w:r w:rsidR="00E5233E" w:rsidRPr="00B31292">
        <w:rPr>
          <w:rFonts w:ascii="Garamond" w:hAnsi="Garamond" w:cs="Times New Roman"/>
          <w:sz w:val="24"/>
          <w:szCs w:val="24"/>
        </w:rPr>
        <w:t xml:space="preserve">si </w:t>
      </w:r>
      <w:r w:rsidRPr="00B31292">
        <w:rPr>
          <w:rFonts w:ascii="Garamond" w:hAnsi="Garamond" w:cs="Times New Roman"/>
          <w:sz w:val="24"/>
          <w:szCs w:val="24"/>
        </w:rPr>
        <w:t>burimi i të dhënave administrative</w:t>
      </w:r>
      <w:r w:rsidR="00E5233E" w:rsidRPr="00B31292">
        <w:rPr>
          <w:rFonts w:ascii="Garamond" w:hAnsi="Garamond" w:cs="Times New Roman"/>
          <w:sz w:val="24"/>
          <w:szCs w:val="24"/>
        </w:rPr>
        <w:t xml:space="preserve"> </w:t>
      </w:r>
      <w:r w:rsidRPr="00B31292">
        <w:rPr>
          <w:rFonts w:ascii="Garamond" w:hAnsi="Garamond" w:cs="Times New Roman"/>
          <w:sz w:val="24"/>
          <w:szCs w:val="24"/>
        </w:rPr>
        <w:t xml:space="preserve">Drejtoria e Përgjithshme e Gjendjes Civile. Ndërsa për statistikat e shëndetit </w:t>
      </w:r>
      <w:r w:rsidR="00E5233E" w:rsidRPr="00B31292">
        <w:rPr>
          <w:rFonts w:ascii="Garamond" w:hAnsi="Garamond" w:cs="Times New Roman"/>
          <w:sz w:val="24"/>
          <w:szCs w:val="24"/>
        </w:rPr>
        <w:t>publik do të përdoren të dhënat</w:t>
      </w:r>
      <w:r w:rsidRPr="00B31292">
        <w:rPr>
          <w:rFonts w:ascii="Garamond" w:hAnsi="Garamond" w:cs="Times New Roman"/>
          <w:sz w:val="24"/>
          <w:szCs w:val="24"/>
        </w:rPr>
        <w:t xml:space="preserve"> administrative që sigurohen nga Ministria e Shëndetësisë dhe Mbrojtjes Sociale, Instituti i Shëndetit Publik dhe Fondi i Sigurimit të Detyrueshëm të Kujdesit Shëndetësor. </w:t>
      </w:r>
      <w:r w:rsidR="004C27CB" w:rsidRPr="00B31292">
        <w:rPr>
          <w:rFonts w:ascii="Garamond" w:hAnsi="Garamond" w:cs="Times New Roman"/>
          <w:sz w:val="24"/>
          <w:szCs w:val="24"/>
        </w:rPr>
        <w:t>Për realizimin e nëntemës së dytë INSTAT</w:t>
      </w:r>
      <w:r w:rsidR="00BA12C3" w:rsidRPr="00B31292">
        <w:rPr>
          <w:rFonts w:ascii="Garamond" w:hAnsi="Garamond" w:cs="Times New Roman"/>
          <w:sz w:val="24"/>
          <w:szCs w:val="24"/>
        </w:rPr>
        <w:t>-i</w:t>
      </w:r>
      <w:r w:rsidR="004C27CB" w:rsidRPr="00B31292">
        <w:rPr>
          <w:rFonts w:ascii="Garamond" w:hAnsi="Garamond" w:cs="Times New Roman"/>
          <w:sz w:val="24"/>
          <w:szCs w:val="24"/>
        </w:rPr>
        <w:t xml:space="preserve"> do të kryejë aktivitetin mbi </w:t>
      </w:r>
      <w:r w:rsidR="00514D79" w:rsidRPr="00B31292">
        <w:rPr>
          <w:rFonts w:ascii="Garamond" w:hAnsi="Garamond" w:cs="Times New Roman"/>
          <w:sz w:val="24"/>
          <w:szCs w:val="24"/>
        </w:rPr>
        <w:t xml:space="preserve">statistikat </w:t>
      </w:r>
      <w:r w:rsidRPr="00B31292">
        <w:rPr>
          <w:rFonts w:ascii="Garamond" w:hAnsi="Garamond" w:cs="Times New Roman"/>
          <w:sz w:val="24"/>
          <w:szCs w:val="24"/>
        </w:rPr>
        <w:t>e</w:t>
      </w:r>
      <w:r w:rsidR="004C27CB" w:rsidRPr="00B31292">
        <w:rPr>
          <w:rFonts w:ascii="Garamond" w:hAnsi="Garamond" w:cs="Times New Roman"/>
          <w:sz w:val="24"/>
          <w:szCs w:val="24"/>
        </w:rPr>
        <w:t xml:space="preserve"> shëndetit dhe sigurisë në punë</w:t>
      </w:r>
      <w:r w:rsidR="00514D79" w:rsidRPr="00B31292">
        <w:rPr>
          <w:rFonts w:ascii="Garamond" w:hAnsi="Garamond" w:cs="Times New Roman"/>
          <w:sz w:val="24"/>
          <w:szCs w:val="24"/>
        </w:rPr>
        <w:t>,</w:t>
      </w:r>
      <w:r w:rsidR="004C27CB" w:rsidRPr="00B31292">
        <w:rPr>
          <w:rFonts w:ascii="Garamond" w:hAnsi="Garamond" w:cs="Times New Roman"/>
          <w:sz w:val="24"/>
          <w:szCs w:val="24"/>
        </w:rPr>
        <w:t xml:space="preserve"> </w:t>
      </w:r>
      <w:r w:rsidRPr="00B31292">
        <w:rPr>
          <w:rFonts w:ascii="Garamond" w:hAnsi="Garamond" w:cs="Times New Roman"/>
          <w:sz w:val="24"/>
          <w:szCs w:val="24"/>
        </w:rPr>
        <w:t xml:space="preserve">duke e pasuruar më tej me të dhëna nënfushën e statistikave të shëndetësisë. </w:t>
      </w:r>
    </w:p>
    <w:p w14:paraId="0AD95AAB" w14:textId="2130780C" w:rsidR="009F5DCC" w:rsidRPr="00B31292" w:rsidRDefault="009F5DCC" w:rsidP="003A4DBA">
      <w:pPr>
        <w:spacing w:after="0" w:line="240" w:lineRule="auto"/>
        <w:ind w:firstLine="284"/>
        <w:jc w:val="both"/>
        <w:rPr>
          <w:rFonts w:ascii="Garamond" w:hAnsi="Garamond" w:cs="Times New Roman"/>
          <w:sz w:val="24"/>
          <w:szCs w:val="24"/>
        </w:rPr>
      </w:pPr>
      <w:r w:rsidRPr="00B31292">
        <w:rPr>
          <w:rFonts w:ascii="Garamond" w:hAnsi="Garamond" w:cs="Times New Roman"/>
          <w:b/>
          <w:sz w:val="24"/>
          <w:szCs w:val="24"/>
        </w:rPr>
        <w:t>Treguesit kryesorë:</w:t>
      </w:r>
      <w:r w:rsidRPr="00B31292">
        <w:rPr>
          <w:rFonts w:ascii="Garamond" w:hAnsi="Garamond" w:cs="Times New Roman"/>
          <w:sz w:val="24"/>
          <w:szCs w:val="24"/>
        </w:rPr>
        <w:t xml:space="preserve"> </w:t>
      </w:r>
      <w:r w:rsidR="0037387B" w:rsidRPr="00B31292">
        <w:rPr>
          <w:rFonts w:ascii="Garamond" w:hAnsi="Garamond" w:cs="Times New Roman"/>
          <w:sz w:val="24"/>
          <w:szCs w:val="24"/>
        </w:rPr>
        <w:t xml:space="preserve">tregues </w:t>
      </w:r>
      <w:r w:rsidRPr="00B31292">
        <w:rPr>
          <w:rFonts w:ascii="Garamond" w:hAnsi="Garamond" w:cs="Times New Roman"/>
          <w:sz w:val="24"/>
          <w:szCs w:val="24"/>
        </w:rPr>
        <w:t>mbi shkaqet e vdekjeve me frekuencë vjetore sipas grup</w:t>
      </w:r>
      <w:r w:rsidR="00514D79" w:rsidRPr="00B31292">
        <w:rPr>
          <w:rFonts w:ascii="Garamond" w:hAnsi="Garamond" w:cs="Times New Roman"/>
          <w:sz w:val="24"/>
          <w:szCs w:val="24"/>
        </w:rPr>
        <w:t>-</w:t>
      </w:r>
      <w:r w:rsidRPr="00B31292">
        <w:rPr>
          <w:rFonts w:ascii="Garamond" w:hAnsi="Garamond" w:cs="Times New Roman"/>
          <w:sz w:val="24"/>
          <w:szCs w:val="24"/>
        </w:rPr>
        <w:t>sëmundjeve bazuar në klasifikimin ndërkombëtar (ICD-9), gjinisë, grup</w:t>
      </w:r>
      <w:r w:rsidR="007F4AF2" w:rsidRPr="00B31292">
        <w:rPr>
          <w:rFonts w:ascii="Garamond" w:hAnsi="Garamond" w:cs="Times New Roman"/>
          <w:sz w:val="24"/>
          <w:szCs w:val="24"/>
        </w:rPr>
        <w:t>-</w:t>
      </w:r>
      <w:r w:rsidRPr="00B31292">
        <w:rPr>
          <w:rFonts w:ascii="Garamond" w:hAnsi="Garamond" w:cs="Times New Roman"/>
          <w:sz w:val="24"/>
          <w:szCs w:val="24"/>
        </w:rPr>
        <w:t xml:space="preserve">moshës dhe qarqeve; </w:t>
      </w:r>
      <w:r w:rsidR="007F4AF2" w:rsidRPr="00B31292">
        <w:rPr>
          <w:rFonts w:ascii="Garamond" w:hAnsi="Garamond" w:cs="Times New Roman"/>
          <w:sz w:val="24"/>
          <w:szCs w:val="24"/>
        </w:rPr>
        <w:t xml:space="preserve">tregues </w:t>
      </w:r>
      <w:r w:rsidRPr="00B31292">
        <w:rPr>
          <w:rFonts w:ascii="Garamond" w:hAnsi="Garamond" w:cs="Times New Roman"/>
          <w:sz w:val="24"/>
          <w:szCs w:val="24"/>
        </w:rPr>
        <w:t>statistikorë mbi shërbimin e institucioneve me shtretër, konsultorin e gruas dhe fëmijës, aktivitetin e qendrave shëndetësore; abortet sipas grup</w:t>
      </w:r>
      <w:r w:rsidR="007F4AF2" w:rsidRPr="00B31292">
        <w:rPr>
          <w:rFonts w:ascii="Garamond" w:hAnsi="Garamond" w:cs="Times New Roman"/>
          <w:sz w:val="24"/>
          <w:szCs w:val="24"/>
        </w:rPr>
        <w:t>-</w:t>
      </w:r>
      <w:r w:rsidRPr="00B31292">
        <w:rPr>
          <w:rFonts w:ascii="Garamond" w:hAnsi="Garamond" w:cs="Times New Roman"/>
          <w:sz w:val="24"/>
          <w:szCs w:val="24"/>
        </w:rPr>
        <w:t xml:space="preserve">moshave të nënës, nivelit arsimor të nënës, aftësisë së kufizuar, </w:t>
      </w:r>
      <w:r w:rsidR="004C27CB" w:rsidRPr="00B31292">
        <w:rPr>
          <w:rFonts w:ascii="Garamond" w:hAnsi="Garamond" w:cs="Times New Roman"/>
          <w:sz w:val="24"/>
          <w:szCs w:val="24"/>
        </w:rPr>
        <w:t xml:space="preserve">tregues mbi shëndetin dhe sigurinë në punë </w:t>
      </w:r>
      <w:r w:rsidRPr="00B31292">
        <w:rPr>
          <w:rFonts w:ascii="Garamond" w:hAnsi="Garamond" w:cs="Times New Roman"/>
          <w:sz w:val="24"/>
          <w:szCs w:val="24"/>
        </w:rPr>
        <w:t>etj.</w:t>
      </w:r>
    </w:p>
    <w:p w14:paraId="49399EBD" w14:textId="75AFC8FF" w:rsidR="00F00B45" w:rsidRPr="00B31292" w:rsidRDefault="009F5DCC" w:rsidP="003A4DBA">
      <w:pPr>
        <w:spacing w:after="0" w:line="240" w:lineRule="auto"/>
        <w:ind w:firstLine="284"/>
        <w:jc w:val="both"/>
        <w:rPr>
          <w:rFonts w:ascii="Garamond" w:eastAsia="Times New Roman" w:hAnsi="Garamond" w:cs="Times New Roman"/>
          <w:sz w:val="24"/>
          <w:szCs w:val="24"/>
        </w:rPr>
      </w:pPr>
      <w:bookmarkStart w:id="14" w:name="_Toc85376959"/>
      <w:bookmarkStart w:id="15" w:name="_Toc85380291"/>
      <w:bookmarkStart w:id="16" w:name="_Toc186909521"/>
      <w:bookmarkStart w:id="17" w:name="_Toc87780224"/>
      <w:r w:rsidRPr="00B31292">
        <w:rPr>
          <w:rFonts w:ascii="Garamond" w:hAnsi="Garamond" w:cs="Times New Roman"/>
          <w:b/>
          <w:sz w:val="24"/>
          <w:szCs w:val="24"/>
        </w:rPr>
        <w:t xml:space="preserve">Përputhshmëria me </w:t>
      </w:r>
      <w:r w:rsidRPr="00B31292">
        <w:rPr>
          <w:rFonts w:ascii="Garamond" w:hAnsi="Garamond" w:cs="Times New Roman"/>
          <w:b/>
          <w:i/>
          <w:sz w:val="24"/>
          <w:szCs w:val="24"/>
        </w:rPr>
        <w:t>acquis</w:t>
      </w:r>
      <w:bookmarkEnd w:id="14"/>
      <w:bookmarkEnd w:id="15"/>
      <w:bookmarkEnd w:id="16"/>
      <w:bookmarkEnd w:id="17"/>
      <w:r w:rsidRPr="00B31292">
        <w:rPr>
          <w:rFonts w:ascii="Garamond" w:hAnsi="Garamond" w:cs="Times New Roman"/>
          <w:b/>
          <w:sz w:val="24"/>
          <w:szCs w:val="24"/>
        </w:rPr>
        <w:t xml:space="preserve">: </w:t>
      </w:r>
      <w:r w:rsidR="0037387B" w:rsidRPr="00B31292">
        <w:rPr>
          <w:rFonts w:ascii="Garamond" w:eastAsia="Times New Roman" w:hAnsi="Garamond" w:cs="Times New Roman"/>
          <w:sz w:val="24"/>
          <w:szCs w:val="24"/>
        </w:rPr>
        <w:t xml:space="preserve">përafrimi </w:t>
      </w:r>
      <w:r w:rsidRPr="00B31292">
        <w:rPr>
          <w:rFonts w:ascii="Garamond" w:eastAsia="Times New Roman" w:hAnsi="Garamond" w:cs="Times New Roman"/>
          <w:sz w:val="24"/>
          <w:szCs w:val="24"/>
        </w:rPr>
        <w:t xml:space="preserve">i statistikave të shkaqeve të vdekjeve është pjesërisht në linjë me </w:t>
      </w:r>
      <w:r w:rsidR="007F4AF2" w:rsidRPr="00B31292">
        <w:rPr>
          <w:rFonts w:ascii="Garamond" w:eastAsia="Times New Roman" w:hAnsi="Garamond" w:cs="Times New Roman"/>
          <w:sz w:val="24"/>
          <w:szCs w:val="24"/>
        </w:rPr>
        <w:t xml:space="preserve">rregulloren </w:t>
      </w:r>
      <w:r w:rsidRPr="00B31292">
        <w:rPr>
          <w:rFonts w:ascii="Garamond" w:eastAsia="Times New Roman" w:hAnsi="Garamond" w:cs="Times New Roman"/>
          <w:sz w:val="24"/>
          <w:szCs w:val="24"/>
        </w:rPr>
        <w:t xml:space="preserve">e Komisionit (EU) </w:t>
      </w:r>
      <w:r w:rsidR="00BA12C3" w:rsidRPr="00B31292">
        <w:rPr>
          <w:rFonts w:ascii="Garamond" w:eastAsia="Times New Roman" w:hAnsi="Garamond" w:cs="Times New Roman"/>
          <w:sz w:val="24"/>
          <w:szCs w:val="24"/>
        </w:rPr>
        <w:t>n</w:t>
      </w:r>
      <w:r w:rsidRPr="00B31292">
        <w:rPr>
          <w:rFonts w:ascii="Garamond" w:eastAsia="Times New Roman" w:hAnsi="Garamond" w:cs="Times New Roman"/>
          <w:sz w:val="24"/>
          <w:szCs w:val="24"/>
        </w:rPr>
        <w:t>r. 328/2011</w:t>
      </w:r>
      <w:r w:rsidR="00BA12C3" w:rsidRPr="00B31292">
        <w:rPr>
          <w:rFonts w:ascii="Garamond" w:eastAsia="Times New Roman" w:hAnsi="Garamond" w:cs="Times New Roman"/>
          <w:sz w:val="24"/>
          <w:szCs w:val="24"/>
        </w:rPr>
        <w:t>, “</w:t>
      </w:r>
      <w:r w:rsidRPr="00B31292">
        <w:rPr>
          <w:rFonts w:ascii="Garamond" w:eastAsia="Times New Roman" w:hAnsi="Garamond" w:cs="Times New Roman"/>
          <w:sz w:val="24"/>
          <w:szCs w:val="24"/>
        </w:rPr>
        <w:t>Për shëndetin publik dhe shkaqet e vdekjeve</w:t>
      </w:r>
      <w:r w:rsidR="00BA12C3" w:rsidRPr="00B31292">
        <w:rPr>
          <w:rFonts w:ascii="Garamond" w:eastAsia="Times New Roman" w:hAnsi="Garamond" w:cs="Times New Roman"/>
          <w:sz w:val="24"/>
          <w:szCs w:val="24"/>
        </w:rPr>
        <w:t>”</w:t>
      </w:r>
      <w:r w:rsidRPr="00B31292">
        <w:rPr>
          <w:rFonts w:ascii="Garamond" w:eastAsia="Times New Roman" w:hAnsi="Garamond" w:cs="Times New Roman"/>
          <w:sz w:val="24"/>
          <w:szCs w:val="24"/>
        </w:rPr>
        <w:t>, pasi INSTAT</w:t>
      </w:r>
      <w:r w:rsidR="00BA12C3" w:rsidRPr="00B31292">
        <w:rPr>
          <w:rFonts w:ascii="Garamond" w:eastAsia="Times New Roman" w:hAnsi="Garamond" w:cs="Times New Roman"/>
          <w:sz w:val="24"/>
          <w:szCs w:val="24"/>
        </w:rPr>
        <w:t>-i</w:t>
      </w:r>
      <w:r w:rsidRPr="00B31292">
        <w:rPr>
          <w:rFonts w:ascii="Garamond" w:eastAsia="Times New Roman" w:hAnsi="Garamond" w:cs="Times New Roman"/>
          <w:sz w:val="24"/>
          <w:szCs w:val="24"/>
        </w:rPr>
        <w:t xml:space="preserve"> ende përdor klasifikimin ndërkombëtar ICD-9. Për</w:t>
      </w:r>
      <w:r w:rsidR="00BA12C3" w:rsidRPr="00B31292">
        <w:rPr>
          <w:rFonts w:ascii="Garamond" w:eastAsia="Times New Roman" w:hAnsi="Garamond" w:cs="Times New Roman"/>
          <w:sz w:val="24"/>
          <w:szCs w:val="24"/>
        </w:rPr>
        <w:t xml:space="preserve"> </w:t>
      </w:r>
      <w:r w:rsidRPr="00B31292">
        <w:rPr>
          <w:rFonts w:ascii="Garamond" w:eastAsia="Times New Roman" w:hAnsi="Garamond" w:cs="Times New Roman"/>
          <w:sz w:val="24"/>
          <w:szCs w:val="24"/>
        </w:rPr>
        <w:t>sa i takon klasifikimit ICD-10, INSTAT</w:t>
      </w:r>
      <w:r w:rsidR="00BA12C3" w:rsidRPr="00B31292">
        <w:rPr>
          <w:rFonts w:ascii="Garamond" w:eastAsia="Times New Roman" w:hAnsi="Garamond" w:cs="Times New Roman"/>
          <w:sz w:val="24"/>
          <w:szCs w:val="24"/>
        </w:rPr>
        <w:t>-i</w:t>
      </w:r>
      <w:r w:rsidRPr="00B31292">
        <w:rPr>
          <w:rFonts w:ascii="Garamond" w:eastAsia="Times New Roman" w:hAnsi="Garamond" w:cs="Times New Roman"/>
          <w:sz w:val="24"/>
          <w:szCs w:val="24"/>
        </w:rPr>
        <w:t xml:space="preserve"> synon t</w:t>
      </w:r>
      <w:r w:rsidR="00D472A8" w:rsidRPr="00B31292">
        <w:rPr>
          <w:rFonts w:ascii="Garamond" w:eastAsia="Times New Roman" w:hAnsi="Garamond" w:cs="Times New Roman"/>
          <w:sz w:val="24"/>
          <w:szCs w:val="24"/>
        </w:rPr>
        <w:t>ë</w:t>
      </w:r>
      <w:r w:rsidRPr="00B31292">
        <w:rPr>
          <w:rFonts w:ascii="Garamond" w:eastAsia="Times New Roman" w:hAnsi="Garamond" w:cs="Times New Roman"/>
          <w:sz w:val="24"/>
          <w:szCs w:val="24"/>
        </w:rPr>
        <w:t xml:space="preserve"> publikoj</w:t>
      </w:r>
      <w:r w:rsidR="00D472A8" w:rsidRPr="00B31292">
        <w:rPr>
          <w:rFonts w:ascii="Garamond" w:eastAsia="Times New Roman" w:hAnsi="Garamond" w:cs="Times New Roman"/>
          <w:sz w:val="24"/>
          <w:szCs w:val="24"/>
        </w:rPr>
        <w:t>ë</w:t>
      </w:r>
      <w:r w:rsidRPr="00B31292">
        <w:rPr>
          <w:rFonts w:ascii="Garamond" w:eastAsia="Times New Roman" w:hAnsi="Garamond" w:cs="Times New Roman"/>
          <w:sz w:val="24"/>
          <w:szCs w:val="24"/>
        </w:rPr>
        <w:t xml:space="preserve"> statistikat e shkaqeve </w:t>
      </w:r>
      <w:r w:rsidR="00D472A8" w:rsidRPr="00B31292">
        <w:rPr>
          <w:rFonts w:ascii="Garamond" w:eastAsia="Times New Roman" w:hAnsi="Garamond" w:cs="Times New Roman"/>
          <w:sz w:val="24"/>
          <w:szCs w:val="24"/>
        </w:rPr>
        <w:t xml:space="preserve">të vdekjeve </w:t>
      </w:r>
      <w:r w:rsidRPr="00B31292">
        <w:rPr>
          <w:rFonts w:ascii="Garamond" w:eastAsia="Times New Roman" w:hAnsi="Garamond" w:cs="Times New Roman"/>
          <w:sz w:val="24"/>
          <w:szCs w:val="24"/>
        </w:rPr>
        <w:t>me klasifikimin e ri, por v</w:t>
      </w:r>
      <w:r w:rsidR="00D472A8" w:rsidRPr="00B31292">
        <w:rPr>
          <w:rFonts w:ascii="Garamond" w:eastAsia="Times New Roman" w:hAnsi="Garamond" w:cs="Times New Roman"/>
          <w:sz w:val="24"/>
          <w:szCs w:val="24"/>
        </w:rPr>
        <w:t>ë</w:t>
      </w:r>
      <w:r w:rsidRPr="00B31292">
        <w:rPr>
          <w:rFonts w:ascii="Garamond" w:eastAsia="Times New Roman" w:hAnsi="Garamond" w:cs="Times New Roman"/>
          <w:sz w:val="24"/>
          <w:szCs w:val="24"/>
        </w:rPr>
        <w:t>shtir</w:t>
      </w:r>
      <w:r w:rsidR="00D472A8" w:rsidRPr="00B31292">
        <w:rPr>
          <w:rFonts w:ascii="Garamond" w:eastAsia="Times New Roman" w:hAnsi="Garamond" w:cs="Times New Roman"/>
          <w:sz w:val="24"/>
          <w:szCs w:val="24"/>
        </w:rPr>
        <w:t>ë</w:t>
      </w:r>
      <w:r w:rsidRPr="00B31292">
        <w:rPr>
          <w:rFonts w:ascii="Garamond" w:eastAsia="Times New Roman" w:hAnsi="Garamond" w:cs="Times New Roman"/>
          <w:sz w:val="24"/>
          <w:szCs w:val="24"/>
        </w:rPr>
        <w:t>si ende ekzistojn</w:t>
      </w:r>
      <w:r w:rsidR="00D472A8" w:rsidRPr="00B31292">
        <w:rPr>
          <w:rFonts w:ascii="Garamond" w:eastAsia="Times New Roman" w:hAnsi="Garamond" w:cs="Times New Roman"/>
          <w:sz w:val="24"/>
          <w:szCs w:val="24"/>
        </w:rPr>
        <w:t>ë</w:t>
      </w:r>
      <w:r w:rsidRPr="00B31292">
        <w:rPr>
          <w:rFonts w:ascii="Garamond" w:eastAsia="Times New Roman" w:hAnsi="Garamond" w:cs="Times New Roman"/>
          <w:sz w:val="24"/>
          <w:szCs w:val="24"/>
        </w:rPr>
        <w:t xml:space="preserve"> pasi një pjesë e mjek</w:t>
      </w:r>
      <w:r w:rsidR="00D472A8" w:rsidRPr="00B31292">
        <w:rPr>
          <w:rFonts w:ascii="Garamond" w:eastAsia="Times New Roman" w:hAnsi="Garamond" w:cs="Times New Roman"/>
          <w:sz w:val="24"/>
          <w:szCs w:val="24"/>
        </w:rPr>
        <w:t>ë</w:t>
      </w:r>
      <w:r w:rsidRPr="00B31292">
        <w:rPr>
          <w:rFonts w:ascii="Garamond" w:eastAsia="Times New Roman" w:hAnsi="Garamond" w:cs="Times New Roman"/>
          <w:sz w:val="24"/>
          <w:szCs w:val="24"/>
        </w:rPr>
        <w:t>ve ende p</w:t>
      </w:r>
      <w:r w:rsidR="00D472A8" w:rsidRPr="00B31292">
        <w:rPr>
          <w:rFonts w:ascii="Garamond" w:eastAsia="Times New Roman" w:hAnsi="Garamond" w:cs="Times New Roman"/>
          <w:sz w:val="24"/>
          <w:szCs w:val="24"/>
        </w:rPr>
        <w:t>ë</w:t>
      </w:r>
      <w:r w:rsidRPr="00B31292">
        <w:rPr>
          <w:rFonts w:ascii="Garamond" w:eastAsia="Times New Roman" w:hAnsi="Garamond" w:cs="Times New Roman"/>
          <w:sz w:val="24"/>
          <w:szCs w:val="24"/>
        </w:rPr>
        <w:t>rdorin ICD-9.</w:t>
      </w:r>
      <w:r w:rsidR="00D472A8" w:rsidRPr="00B31292">
        <w:rPr>
          <w:rFonts w:ascii="Garamond" w:eastAsia="Times New Roman" w:hAnsi="Garamond" w:cs="Times New Roman"/>
          <w:sz w:val="24"/>
          <w:szCs w:val="24"/>
        </w:rPr>
        <w:t xml:space="preserve"> </w:t>
      </w:r>
      <w:r w:rsidRPr="00B31292">
        <w:rPr>
          <w:rFonts w:ascii="Garamond" w:eastAsia="Times New Roman" w:hAnsi="Garamond" w:cs="Times New Roman"/>
          <w:sz w:val="24"/>
          <w:szCs w:val="24"/>
        </w:rPr>
        <w:t xml:space="preserve">Statistikat e shpenzimeve në shëndetësi, nuk janë në përputhje me kërkesat e </w:t>
      </w:r>
      <w:r w:rsidR="007F4AF2" w:rsidRPr="00B31292">
        <w:rPr>
          <w:rFonts w:ascii="Garamond" w:eastAsia="Times New Roman" w:hAnsi="Garamond" w:cs="Times New Roman"/>
          <w:sz w:val="24"/>
          <w:szCs w:val="24"/>
        </w:rPr>
        <w:t xml:space="preserve">rregullores </w:t>
      </w:r>
      <w:r w:rsidRPr="00B31292">
        <w:rPr>
          <w:rFonts w:ascii="Garamond" w:eastAsia="Times New Roman" w:hAnsi="Garamond" w:cs="Times New Roman"/>
          <w:sz w:val="24"/>
          <w:szCs w:val="24"/>
        </w:rPr>
        <w:t xml:space="preserve">(EC) </w:t>
      </w:r>
      <w:r w:rsidR="00EE34A6" w:rsidRPr="00B31292">
        <w:rPr>
          <w:rFonts w:ascii="Garamond" w:eastAsia="Times New Roman" w:hAnsi="Garamond" w:cs="Times New Roman"/>
          <w:sz w:val="24"/>
          <w:szCs w:val="24"/>
        </w:rPr>
        <w:t>n</w:t>
      </w:r>
      <w:r w:rsidRPr="00B31292">
        <w:rPr>
          <w:rFonts w:ascii="Garamond" w:eastAsia="Times New Roman" w:hAnsi="Garamond" w:cs="Times New Roman"/>
          <w:sz w:val="24"/>
          <w:szCs w:val="24"/>
        </w:rPr>
        <w:t>r. 2015/359</w:t>
      </w:r>
      <w:r w:rsidR="00EE34A6" w:rsidRPr="00B31292">
        <w:rPr>
          <w:rFonts w:ascii="Garamond" w:eastAsia="Times New Roman" w:hAnsi="Garamond" w:cs="Times New Roman"/>
          <w:sz w:val="24"/>
          <w:szCs w:val="24"/>
        </w:rPr>
        <w:t>,</w:t>
      </w:r>
      <w:r w:rsidRPr="00B31292">
        <w:rPr>
          <w:rFonts w:ascii="Garamond" w:eastAsia="Times New Roman" w:hAnsi="Garamond" w:cs="Times New Roman"/>
          <w:sz w:val="24"/>
          <w:szCs w:val="24"/>
        </w:rPr>
        <w:t xml:space="preserve"> </w:t>
      </w:r>
      <w:r w:rsidR="00BA12C3" w:rsidRPr="00B31292">
        <w:rPr>
          <w:rFonts w:ascii="Garamond" w:eastAsia="Times New Roman" w:hAnsi="Garamond" w:cs="Times New Roman"/>
          <w:sz w:val="24"/>
          <w:szCs w:val="24"/>
        </w:rPr>
        <w:t>“</w:t>
      </w:r>
      <w:r w:rsidRPr="00B31292">
        <w:rPr>
          <w:rFonts w:ascii="Garamond" w:eastAsia="Times New Roman" w:hAnsi="Garamond" w:cs="Times New Roman"/>
          <w:sz w:val="24"/>
          <w:szCs w:val="24"/>
        </w:rPr>
        <w:t>Për statistikat e shpenzimeve në shëndetësi</w:t>
      </w:r>
      <w:r w:rsidR="00BA12C3" w:rsidRPr="00B31292">
        <w:rPr>
          <w:rFonts w:ascii="Garamond" w:eastAsia="Times New Roman" w:hAnsi="Garamond" w:cs="Times New Roman"/>
          <w:sz w:val="24"/>
          <w:szCs w:val="24"/>
        </w:rPr>
        <w:t>”</w:t>
      </w:r>
      <w:r w:rsidRPr="00B31292">
        <w:rPr>
          <w:rFonts w:ascii="Garamond" w:eastAsia="Times New Roman" w:hAnsi="Garamond" w:cs="Times New Roman"/>
          <w:sz w:val="24"/>
          <w:szCs w:val="24"/>
        </w:rPr>
        <w:t>.</w:t>
      </w:r>
    </w:p>
    <w:p w14:paraId="428B9340" w14:textId="19821EB3" w:rsidR="00BD4A11" w:rsidRPr="00B31292" w:rsidRDefault="00BD4A11" w:rsidP="003A4DBA">
      <w:pPr>
        <w:keepNext/>
        <w:keepLines/>
        <w:spacing w:after="0" w:line="240" w:lineRule="auto"/>
        <w:ind w:firstLine="284"/>
        <w:outlineLvl w:val="4"/>
        <w:rPr>
          <w:rFonts w:ascii="Garamond" w:eastAsia="Times New Roman" w:hAnsi="Garamond" w:cs="Times New Roman"/>
          <w:b/>
          <w:iCs/>
          <w:sz w:val="24"/>
          <w:szCs w:val="24"/>
        </w:rPr>
      </w:pPr>
      <w:r w:rsidRPr="00B31292">
        <w:rPr>
          <w:rFonts w:ascii="Garamond" w:eastAsia="Times New Roman" w:hAnsi="Garamond" w:cs="Times New Roman"/>
          <w:b/>
          <w:iCs/>
          <w:sz w:val="24"/>
          <w:szCs w:val="24"/>
        </w:rPr>
        <w:t xml:space="preserve">Tema 1.5 </w:t>
      </w:r>
      <w:r w:rsidR="00BA12C3" w:rsidRPr="00B31292">
        <w:rPr>
          <w:rFonts w:ascii="Garamond" w:eastAsia="Times New Roman" w:hAnsi="Garamond" w:cs="Times New Roman"/>
          <w:b/>
          <w:iCs/>
          <w:sz w:val="24"/>
          <w:szCs w:val="24"/>
        </w:rPr>
        <w:t>“</w:t>
      </w:r>
      <w:r w:rsidRPr="00B31292">
        <w:rPr>
          <w:rFonts w:ascii="Garamond" w:eastAsia="Times New Roman" w:hAnsi="Garamond" w:cs="Times New Roman"/>
          <w:b/>
          <w:iCs/>
          <w:sz w:val="24"/>
          <w:szCs w:val="24"/>
        </w:rPr>
        <w:t>Të ardhurat dhe shpenzimet e konsumit</w:t>
      </w:r>
      <w:r w:rsidR="00BA12C3" w:rsidRPr="00B31292">
        <w:rPr>
          <w:rFonts w:ascii="Garamond" w:eastAsia="Times New Roman" w:hAnsi="Garamond" w:cs="Times New Roman"/>
          <w:b/>
          <w:iCs/>
          <w:sz w:val="24"/>
          <w:szCs w:val="24"/>
        </w:rPr>
        <w:t>”</w:t>
      </w:r>
      <w:r w:rsidR="002E2911" w:rsidRPr="00B31292">
        <w:rPr>
          <w:rFonts w:ascii="Garamond" w:eastAsia="Times New Roman" w:hAnsi="Garamond" w:cs="Times New Roman"/>
          <w:b/>
          <w:iCs/>
          <w:sz w:val="24"/>
          <w:szCs w:val="24"/>
        </w:rPr>
        <w:t xml:space="preserve"> </w:t>
      </w:r>
    </w:p>
    <w:p w14:paraId="7F9CC8E0" w14:textId="1880D0DD" w:rsidR="007A0BEA" w:rsidRPr="00B31292" w:rsidRDefault="007A0BEA" w:rsidP="003A4DBA">
      <w:pPr>
        <w:pStyle w:val="elementtoproof"/>
        <w:ind w:firstLine="284"/>
        <w:jc w:val="both"/>
        <w:rPr>
          <w:rFonts w:ascii="Garamond" w:eastAsia="Times New Roman" w:hAnsi="Garamond" w:cs="Times New Roman"/>
          <w:sz w:val="24"/>
          <w:szCs w:val="24"/>
          <w:lang w:val="sq-AL" w:eastAsia="en-US"/>
        </w:rPr>
      </w:pPr>
      <w:bookmarkStart w:id="18" w:name="_Hlk182928853"/>
      <w:r w:rsidRPr="00B31292">
        <w:rPr>
          <w:rFonts w:ascii="Garamond" w:eastAsia="MS Mincho" w:hAnsi="Garamond" w:cs="Times New Roman"/>
          <w:sz w:val="24"/>
          <w:szCs w:val="24"/>
          <w:lang w:val="sq-AL" w:eastAsia="en-US"/>
        </w:rPr>
        <w:t xml:space="preserve">Për të prodhuar statistikat e kësaj </w:t>
      </w:r>
      <w:r w:rsidR="009C0CE9" w:rsidRPr="00B31292">
        <w:rPr>
          <w:rFonts w:ascii="Garamond" w:eastAsia="MS Mincho" w:hAnsi="Garamond" w:cs="Times New Roman"/>
          <w:sz w:val="24"/>
          <w:szCs w:val="24"/>
          <w:lang w:val="sq-AL" w:eastAsia="en-US"/>
        </w:rPr>
        <w:t>teme</w:t>
      </w:r>
      <w:r w:rsidRPr="00B31292">
        <w:rPr>
          <w:rFonts w:ascii="Garamond" w:eastAsia="MS Mincho" w:hAnsi="Garamond" w:cs="Times New Roman"/>
          <w:sz w:val="24"/>
          <w:szCs w:val="24"/>
          <w:lang w:val="sq-AL" w:eastAsia="en-US"/>
        </w:rPr>
        <w:t>, nga INSTAT</w:t>
      </w:r>
      <w:r w:rsidR="00EE34A6" w:rsidRPr="00B31292">
        <w:rPr>
          <w:rFonts w:ascii="Garamond" w:eastAsia="MS Mincho" w:hAnsi="Garamond" w:cs="Times New Roman"/>
          <w:sz w:val="24"/>
          <w:szCs w:val="24"/>
          <w:lang w:val="sq-AL" w:eastAsia="en-US"/>
        </w:rPr>
        <w:t>-i</w:t>
      </w:r>
      <w:r w:rsidRPr="00B31292">
        <w:rPr>
          <w:rFonts w:ascii="Garamond" w:eastAsia="MS Mincho" w:hAnsi="Garamond" w:cs="Times New Roman"/>
          <w:sz w:val="24"/>
          <w:szCs w:val="24"/>
          <w:lang w:val="sq-AL" w:eastAsia="en-US"/>
        </w:rPr>
        <w:t xml:space="preserve"> do të përdoren të dhënat nga realizimi i dy aktiviteteve statistikore me frekuencë vjetore: </w:t>
      </w:r>
      <w:r w:rsidR="00BA12C3" w:rsidRPr="00B31292">
        <w:rPr>
          <w:rFonts w:ascii="Garamond" w:eastAsia="MS Mincho" w:hAnsi="Garamond" w:cs="Times New Roman"/>
          <w:sz w:val="24"/>
          <w:szCs w:val="24"/>
          <w:lang w:val="sq-AL" w:eastAsia="en-US"/>
        </w:rPr>
        <w:t>“</w:t>
      </w:r>
      <w:r w:rsidRPr="00B31292">
        <w:rPr>
          <w:rFonts w:ascii="Garamond" w:eastAsia="MS Mincho" w:hAnsi="Garamond" w:cs="Times New Roman"/>
          <w:sz w:val="24"/>
          <w:szCs w:val="24"/>
          <w:lang w:val="sq-AL" w:eastAsia="en-US"/>
        </w:rPr>
        <w:t xml:space="preserve">Vrojtimi i </w:t>
      </w:r>
      <w:r w:rsidR="007F4AF2" w:rsidRPr="00B31292">
        <w:rPr>
          <w:rFonts w:ascii="Garamond" w:eastAsia="MS Mincho" w:hAnsi="Garamond" w:cs="Times New Roman"/>
          <w:sz w:val="24"/>
          <w:szCs w:val="24"/>
          <w:lang w:val="sq-AL" w:eastAsia="en-US"/>
        </w:rPr>
        <w:t xml:space="preserve">buxhetit </w:t>
      </w:r>
      <w:r w:rsidRPr="00B31292">
        <w:rPr>
          <w:rFonts w:ascii="Garamond" w:eastAsia="MS Mincho" w:hAnsi="Garamond" w:cs="Times New Roman"/>
          <w:sz w:val="24"/>
          <w:szCs w:val="24"/>
          <w:lang w:val="sq-AL" w:eastAsia="en-US"/>
        </w:rPr>
        <w:t>të NjEF</w:t>
      </w:r>
      <w:r w:rsidR="00EE34A6" w:rsidRPr="00B31292">
        <w:rPr>
          <w:rFonts w:ascii="Garamond" w:eastAsia="MS Mincho" w:hAnsi="Garamond" w:cs="Times New Roman"/>
          <w:sz w:val="24"/>
          <w:szCs w:val="24"/>
          <w:lang w:val="sq-AL" w:eastAsia="en-US"/>
        </w:rPr>
        <w:t>-së</w:t>
      </w:r>
      <w:r w:rsidR="00BA12C3" w:rsidRPr="00B31292">
        <w:rPr>
          <w:rFonts w:ascii="Garamond" w:eastAsia="MS Mincho" w:hAnsi="Garamond" w:cs="Times New Roman"/>
          <w:sz w:val="24"/>
          <w:szCs w:val="24"/>
          <w:lang w:val="sq-AL" w:eastAsia="en-US"/>
        </w:rPr>
        <w:t>”</w:t>
      </w:r>
      <w:r w:rsidR="00D55D0A" w:rsidRPr="00B31292">
        <w:rPr>
          <w:rFonts w:ascii="Garamond" w:eastAsia="MS Mincho" w:hAnsi="Garamond" w:cs="Times New Roman"/>
          <w:sz w:val="24"/>
          <w:szCs w:val="24"/>
          <w:lang w:val="sq-AL" w:eastAsia="en-US"/>
        </w:rPr>
        <w:t>, objektiv i të cilit është sigurimi i të dhënave të harmonizuara</w:t>
      </w:r>
      <w:r w:rsidR="009377D6" w:rsidRPr="00B31292">
        <w:rPr>
          <w:rFonts w:ascii="Garamond" w:eastAsia="MS Mincho" w:hAnsi="Garamond" w:cs="Times New Roman"/>
          <w:sz w:val="24"/>
          <w:szCs w:val="24"/>
          <w:lang w:val="sq-AL" w:eastAsia="en-US"/>
        </w:rPr>
        <w:t xml:space="preserve"> mbi buxhetin e familjes,</w:t>
      </w:r>
      <w:r w:rsidRPr="00B31292">
        <w:rPr>
          <w:rFonts w:ascii="Garamond" w:eastAsia="MS Mincho" w:hAnsi="Garamond" w:cs="Times New Roman"/>
          <w:sz w:val="24"/>
          <w:szCs w:val="24"/>
          <w:lang w:val="sq-AL" w:eastAsia="en-US"/>
        </w:rPr>
        <w:t xml:space="preserve"> dhe </w:t>
      </w:r>
      <w:r w:rsidR="00BA12C3" w:rsidRPr="00B31292">
        <w:rPr>
          <w:rFonts w:ascii="Garamond" w:eastAsia="MS Mincho" w:hAnsi="Garamond" w:cs="Times New Roman"/>
          <w:sz w:val="24"/>
          <w:szCs w:val="24"/>
          <w:lang w:val="sq-AL" w:eastAsia="en-US"/>
        </w:rPr>
        <w:t>“</w:t>
      </w:r>
      <w:r w:rsidRPr="00B31292">
        <w:rPr>
          <w:rFonts w:ascii="Garamond" w:eastAsia="MS Mincho" w:hAnsi="Garamond" w:cs="Times New Roman"/>
          <w:sz w:val="24"/>
          <w:szCs w:val="24"/>
          <w:lang w:val="sq-AL" w:eastAsia="en-US"/>
        </w:rPr>
        <w:t xml:space="preserve">Vrojtimi i </w:t>
      </w:r>
      <w:r w:rsidR="007F4AF2" w:rsidRPr="00B31292">
        <w:rPr>
          <w:rFonts w:ascii="Garamond" w:eastAsia="MS Mincho" w:hAnsi="Garamond" w:cs="Times New Roman"/>
          <w:sz w:val="24"/>
          <w:szCs w:val="24"/>
          <w:lang w:val="sq-AL" w:eastAsia="en-US"/>
        </w:rPr>
        <w:t>të ardhurave dhe nivelit të jetesës</w:t>
      </w:r>
      <w:r w:rsidR="00BA12C3" w:rsidRPr="00B31292">
        <w:rPr>
          <w:rFonts w:ascii="Garamond" w:eastAsia="MS Mincho" w:hAnsi="Garamond" w:cs="Times New Roman"/>
          <w:sz w:val="24"/>
          <w:szCs w:val="24"/>
          <w:lang w:val="sq-AL" w:eastAsia="en-US"/>
        </w:rPr>
        <w:t>”</w:t>
      </w:r>
      <w:r w:rsidR="009377D6" w:rsidRPr="00B31292">
        <w:rPr>
          <w:rFonts w:ascii="Garamond" w:eastAsia="MS Mincho" w:hAnsi="Garamond" w:cs="Times New Roman"/>
          <w:sz w:val="24"/>
          <w:szCs w:val="24"/>
          <w:lang w:val="sq-AL" w:eastAsia="en-US"/>
        </w:rPr>
        <w:t>, objektiv i të cilit është të sigurojë të dhëna të harmonizuara mbi të ardhurat e familjeve, përfshirjen sociale dhe kushtet e jetesës</w:t>
      </w:r>
      <w:r w:rsidRPr="00B31292">
        <w:rPr>
          <w:rFonts w:ascii="Garamond" w:eastAsia="MS Mincho" w:hAnsi="Garamond" w:cs="Times New Roman"/>
          <w:sz w:val="24"/>
          <w:szCs w:val="24"/>
          <w:lang w:val="sq-AL" w:eastAsia="en-US"/>
        </w:rPr>
        <w:t>. Të dhënat e mbledhura nëpërmjet këtyre dy vrojtimeve do të sigurojnë informacion mbi buxhetin e NjEF</w:t>
      </w:r>
      <w:r w:rsidR="00EE34A6" w:rsidRPr="00B31292">
        <w:rPr>
          <w:rFonts w:ascii="Garamond" w:eastAsia="MS Mincho" w:hAnsi="Garamond" w:cs="Times New Roman"/>
          <w:sz w:val="24"/>
          <w:szCs w:val="24"/>
          <w:lang w:val="sq-AL" w:eastAsia="en-US"/>
        </w:rPr>
        <w:t>-së</w:t>
      </w:r>
      <w:r w:rsidRPr="00B31292">
        <w:rPr>
          <w:rFonts w:ascii="Garamond" w:eastAsia="MS Mincho" w:hAnsi="Garamond" w:cs="Times New Roman"/>
          <w:sz w:val="24"/>
          <w:szCs w:val="24"/>
          <w:lang w:val="sq-AL" w:eastAsia="en-US"/>
        </w:rPr>
        <w:t>, të ardhurat, përfshirjen sociale, nivelin e jetesës etj</w:t>
      </w:r>
      <w:r w:rsidRPr="00B31292">
        <w:rPr>
          <w:rFonts w:ascii="Garamond" w:eastAsia="Times New Roman" w:hAnsi="Garamond" w:cs="Times New Roman"/>
          <w:sz w:val="24"/>
          <w:szCs w:val="24"/>
          <w:lang w:val="sq-AL" w:eastAsia="en-US"/>
        </w:rPr>
        <w:t xml:space="preserve">. </w:t>
      </w:r>
    </w:p>
    <w:bookmarkEnd w:id="18"/>
    <w:p w14:paraId="3CD33648" w14:textId="7A22962D" w:rsidR="00BD4A11" w:rsidRPr="00B31292" w:rsidRDefault="00BD4A11" w:rsidP="003A4DBA">
      <w:pPr>
        <w:pStyle w:val="elementtoproof"/>
        <w:ind w:firstLine="284"/>
        <w:jc w:val="both"/>
        <w:rPr>
          <w:rFonts w:ascii="Garamond" w:hAnsi="Garamond" w:cs="Times New Roman"/>
          <w:sz w:val="24"/>
          <w:szCs w:val="24"/>
          <w:lang w:val="sq-AL"/>
        </w:rPr>
      </w:pPr>
      <w:r w:rsidRPr="00B31292">
        <w:rPr>
          <w:rFonts w:ascii="Garamond" w:eastAsia="Times New Roman" w:hAnsi="Garamond" w:cs="Times New Roman"/>
          <w:b/>
          <w:sz w:val="24"/>
          <w:szCs w:val="24"/>
          <w:lang w:val="sq-AL"/>
        </w:rPr>
        <w:t>Treguesit kryesorë:</w:t>
      </w:r>
      <w:r w:rsidRPr="00B31292">
        <w:rPr>
          <w:rFonts w:ascii="Garamond" w:eastAsia="Times New Roman" w:hAnsi="Garamond" w:cs="Times New Roman"/>
          <w:sz w:val="24"/>
          <w:szCs w:val="24"/>
          <w:lang w:val="sq-AL"/>
        </w:rPr>
        <w:t xml:space="preserve"> </w:t>
      </w:r>
      <w:r w:rsidR="0037387B" w:rsidRPr="00B31292">
        <w:rPr>
          <w:rFonts w:ascii="Garamond" w:eastAsia="Times New Roman" w:hAnsi="Garamond" w:cs="Times New Roman"/>
          <w:sz w:val="24"/>
          <w:szCs w:val="24"/>
          <w:lang w:val="sq-AL"/>
        </w:rPr>
        <w:t xml:space="preserve">tregues </w:t>
      </w:r>
      <w:r w:rsidRPr="00B31292">
        <w:rPr>
          <w:rFonts w:ascii="Garamond" w:eastAsia="Times New Roman" w:hAnsi="Garamond" w:cs="Times New Roman"/>
          <w:sz w:val="24"/>
          <w:szCs w:val="24"/>
          <w:lang w:val="sq-AL"/>
        </w:rPr>
        <w:t>statistikorë mbi përshkrimin e nivelit dhe strukturës</w:t>
      </w:r>
      <w:r w:rsidRPr="00B31292">
        <w:rPr>
          <w:rFonts w:ascii="Garamond" w:hAnsi="Garamond" w:cs="Times New Roman"/>
          <w:sz w:val="24"/>
          <w:szCs w:val="24"/>
          <w:lang w:val="sq-AL"/>
        </w:rPr>
        <w:t xml:space="preserve"> së shpenzimeve për konsum të </w:t>
      </w:r>
      <w:r w:rsidR="007F4AF2" w:rsidRPr="00B31292">
        <w:rPr>
          <w:rFonts w:ascii="Garamond" w:hAnsi="Garamond" w:cs="Times New Roman"/>
          <w:sz w:val="24"/>
          <w:szCs w:val="24"/>
          <w:lang w:val="sq-AL"/>
        </w:rPr>
        <w:t xml:space="preserve">njësive ekonomike familjare </w:t>
      </w:r>
      <w:r w:rsidRPr="00B31292">
        <w:rPr>
          <w:rFonts w:ascii="Garamond" w:hAnsi="Garamond" w:cs="Times New Roman"/>
          <w:sz w:val="24"/>
          <w:szCs w:val="24"/>
          <w:lang w:val="sq-AL"/>
        </w:rPr>
        <w:t xml:space="preserve">(NjEF) në Shqipëri, si dhe të treguesve të tjerë me bazë shpenzimet e konsumit; </w:t>
      </w:r>
      <w:r w:rsidR="007F4AF2" w:rsidRPr="00B31292">
        <w:rPr>
          <w:rFonts w:ascii="Garamond" w:hAnsi="Garamond" w:cs="Times New Roman"/>
          <w:sz w:val="24"/>
          <w:szCs w:val="24"/>
          <w:lang w:val="sq-AL"/>
        </w:rPr>
        <w:t xml:space="preserve">tregues </w:t>
      </w:r>
      <w:r w:rsidRPr="00B31292">
        <w:rPr>
          <w:rFonts w:ascii="Garamond" w:hAnsi="Garamond" w:cs="Times New Roman"/>
          <w:sz w:val="24"/>
          <w:szCs w:val="24"/>
          <w:lang w:val="sq-AL"/>
        </w:rPr>
        <w:t>mbi varfërinë dhe përjashtimin social, shpërndarjen e të ardhurave, p</w:t>
      </w:r>
      <w:r w:rsidR="0066663F" w:rsidRPr="00B31292">
        <w:rPr>
          <w:rFonts w:ascii="Garamond" w:hAnsi="Garamond" w:cs="Times New Roman"/>
          <w:sz w:val="24"/>
          <w:szCs w:val="24"/>
          <w:lang w:val="sq-AL"/>
        </w:rPr>
        <w:t>abarazinë dhe kushtet e banimit, tregues mbi cilësinë e jetës etj.</w:t>
      </w:r>
    </w:p>
    <w:p w14:paraId="0DD63A35" w14:textId="1F066F61" w:rsidR="00BD4A11" w:rsidRPr="00B31292" w:rsidRDefault="00BD4A11" w:rsidP="003A4DBA">
      <w:pPr>
        <w:spacing w:after="0" w:line="240" w:lineRule="auto"/>
        <w:ind w:firstLine="284"/>
        <w:jc w:val="both"/>
        <w:rPr>
          <w:rFonts w:ascii="Garamond" w:eastAsia="Times New Roman" w:hAnsi="Garamond" w:cs="Times New Roman"/>
          <w:sz w:val="24"/>
          <w:szCs w:val="24"/>
        </w:rPr>
      </w:pPr>
      <w:bookmarkStart w:id="19" w:name="_Toc85376967"/>
      <w:bookmarkStart w:id="20" w:name="_Toc85380299"/>
      <w:bookmarkStart w:id="21" w:name="_Toc186909529"/>
      <w:bookmarkStart w:id="22" w:name="_Toc87780231"/>
      <w:r w:rsidRPr="00B31292">
        <w:rPr>
          <w:rFonts w:ascii="Garamond" w:hAnsi="Garamond" w:cs="Times New Roman"/>
          <w:b/>
          <w:sz w:val="24"/>
          <w:szCs w:val="24"/>
        </w:rPr>
        <w:t xml:space="preserve">Përputhshmëria me </w:t>
      </w:r>
      <w:r w:rsidRPr="00B31292">
        <w:rPr>
          <w:rFonts w:ascii="Garamond" w:hAnsi="Garamond" w:cs="Times New Roman"/>
          <w:b/>
          <w:i/>
          <w:sz w:val="24"/>
          <w:szCs w:val="24"/>
        </w:rPr>
        <w:t>acquis</w:t>
      </w:r>
      <w:bookmarkEnd w:id="19"/>
      <w:bookmarkEnd w:id="20"/>
      <w:bookmarkEnd w:id="21"/>
      <w:bookmarkEnd w:id="22"/>
      <w:r w:rsidRPr="00B31292">
        <w:rPr>
          <w:rFonts w:ascii="Garamond" w:hAnsi="Garamond" w:cs="Times New Roman"/>
          <w:b/>
          <w:sz w:val="24"/>
          <w:szCs w:val="24"/>
        </w:rPr>
        <w:t xml:space="preserve">: </w:t>
      </w:r>
      <w:r w:rsidR="0037387B" w:rsidRPr="00B31292">
        <w:rPr>
          <w:rFonts w:ascii="Garamond" w:eastAsia="Times New Roman" w:hAnsi="Garamond" w:cs="Times New Roman"/>
          <w:i/>
          <w:sz w:val="24"/>
          <w:szCs w:val="24"/>
        </w:rPr>
        <w:t>vrojtimi i buxhetit të familjes</w:t>
      </w:r>
      <w:r w:rsidR="0037387B" w:rsidRPr="00B31292">
        <w:rPr>
          <w:rFonts w:ascii="Garamond" w:eastAsia="Times New Roman" w:hAnsi="Garamond" w:cs="Times New Roman"/>
          <w:sz w:val="24"/>
          <w:szCs w:val="24"/>
        </w:rPr>
        <w:t xml:space="preserve"> dhe </w:t>
      </w:r>
      <w:r w:rsidR="0037387B" w:rsidRPr="00B31292">
        <w:rPr>
          <w:rFonts w:ascii="Garamond" w:eastAsia="Times New Roman" w:hAnsi="Garamond" w:cs="Times New Roman"/>
          <w:i/>
          <w:sz w:val="24"/>
          <w:szCs w:val="24"/>
        </w:rPr>
        <w:t>vrojtimi i të ardhurave dhe nivelit të jetesës</w:t>
      </w:r>
      <w:r w:rsidR="0037387B" w:rsidRPr="00B31292">
        <w:rPr>
          <w:rFonts w:ascii="Garamond" w:eastAsia="Times New Roman" w:hAnsi="Garamond" w:cs="Times New Roman"/>
          <w:sz w:val="24"/>
          <w:szCs w:val="24"/>
        </w:rPr>
        <w:t xml:space="preserve"> kryhen </w:t>
      </w:r>
      <w:r w:rsidRPr="00B31292">
        <w:rPr>
          <w:rFonts w:ascii="Garamond" w:eastAsia="Times New Roman" w:hAnsi="Garamond" w:cs="Times New Roman"/>
          <w:sz w:val="24"/>
          <w:szCs w:val="24"/>
        </w:rPr>
        <w:t xml:space="preserve">bazuar në rregulloren bazë të Komisionit </w:t>
      </w:r>
      <w:r w:rsidR="00BA12C3" w:rsidRPr="00B31292">
        <w:rPr>
          <w:rFonts w:ascii="Garamond" w:eastAsia="Times New Roman" w:hAnsi="Garamond" w:cs="Times New Roman"/>
          <w:sz w:val="24"/>
          <w:szCs w:val="24"/>
        </w:rPr>
        <w:t>Evropian</w:t>
      </w:r>
      <w:r w:rsidRPr="00B31292">
        <w:rPr>
          <w:rFonts w:ascii="Garamond" w:eastAsia="Times New Roman" w:hAnsi="Garamond" w:cs="Times New Roman"/>
          <w:sz w:val="24"/>
          <w:szCs w:val="24"/>
        </w:rPr>
        <w:t xml:space="preserve"> </w:t>
      </w:r>
      <w:r w:rsidR="009C0CE9" w:rsidRPr="00B31292">
        <w:rPr>
          <w:rFonts w:ascii="Garamond" w:eastAsia="Times New Roman" w:hAnsi="Garamond" w:cs="Times New Roman"/>
          <w:sz w:val="24"/>
          <w:szCs w:val="24"/>
        </w:rPr>
        <w:t xml:space="preserve">(KE) </w:t>
      </w:r>
      <w:r w:rsidRPr="00B31292">
        <w:rPr>
          <w:rFonts w:ascii="Garamond" w:eastAsia="Times New Roman" w:hAnsi="Garamond" w:cs="Times New Roman"/>
          <w:sz w:val="24"/>
          <w:szCs w:val="24"/>
        </w:rPr>
        <w:t>2019/1700</w:t>
      </w:r>
      <w:r w:rsidR="00BA12C3" w:rsidRPr="00B31292">
        <w:rPr>
          <w:rFonts w:ascii="Garamond" w:eastAsia="Times New Roman" w:hAnsi="Garamond" w:cs="Times New Roman"/>
          <w:sz w:val="24"/>
          <w:szCs w:val="24"/>
        </w:rPr>
        <w:t>,</w:t>
      </w:r>
      <w:r w:rsidRPr="00B31292">
        <w:rPr>
          <w:rFonts w:ascii="Garamond" w:eastAsia="Times New Roman" w:hAnsi="Garamond" w:cs="Times New Roman"/>
          <w:sz w:val="24"/>
          <w:szCs w:val="24"/>
        </w:rPr>
        <w:t xml:space="preserve"> </w:t>
      </w:r>
      <w:r w:rsidR="00BA12C3" w:rsidRPr="00B31292">
        <w:rPr>
          <w:rFonts w:ascii="Garamond" w:eastAsia="Times New Roman" w:hAnsi="Garamond" w:cs="Times New Roman"/>
          <w:sz w:val="24"/>
          <w:szCs w:val="24"/>
        </w:rPr>
        <w:t>“</w:t>
      </w:r>
      <w:r w:rsidRPr="00B31292">
        <w:rPr>
          <w:rFonts w:ascii="Garamond" w:eastAsia="Times New Roman" w:hAnsi="Garamond" w:cs="Times New Roman"/>
          <w:sz w:val="24"/>
          <w:szCs w:val="24"/>
        </w:rPr>
        <w:t>Për statistikat lidhur me personat dhe familjet</w:t>
      </w:r>
      <w:r w:rsidR="00BA12C3" w:rsidRPr="00B31292">
        <w:rPr>
          <w:rFonts w:ascii="Garamond" w:eastAsia="Times New Roman" w:hAnsi="Garamond" w:cs="Times New Roman"/>
          <w:sz w:val="24"/>
          <w:szCs w:val="24"/>
        </w:rPr>
        <w:t>”</w:t>
      </w:r>
      <w:r w:rsidRPr="00B31292">
        <w:rPr>
          <w:rFonts w:ascii="Garamond" w:eastAsia="Times New Roman" w:hAnsi="Garamond" w:cs="Times New Roman"/>
          <w:sz w:val="24"/>
          <w:szCs w:val="24"/>
        </w:rPr>
        <w:t>,</w:t>
      </w:r>
      <w:r w:rsidR="00F278B6" w:rsidRPr="00B31292">
        <w:rPr>
          <w:rFonts w:ascii="Garamond" w:eastAsia="Times New Roman" w:hAnsi="Garamond" w:cs="Times New Roman"/>
          <w:sz w:val="24"/>
          <w:szCs w:val="24"/>
        </w:rPr>
        <w:t xml:space="preserve"> </w:t>
      </w:r>
      <w:r w:rsidRPr="00B31292">
        <w:rPr>
          <w:rFonts w:ascii="Garamond" w:eastAsia="Times New Roman" w:hAnsi="Garamond" w:cs="Times New Roman"/>
          <w:sz w:val="24"/>
          <w:szCs w:val="24"/>
        </w:rPr>
        <w:t>duke krijuar një kuadër ligjor të përbashkët lidhur me statistikat për njësitë ekonomike familjare dhe individët të mbledhura përmes kampion</w:t>
      </w:r>
      <w:r w:rsidR="00DE6C3C" w:rsidRPr="00B31292">
        <w:rPr>
          <w:rFonts w:ascii="Garamond" w:eastAsia="Times New Roman" w:hAnsi="Garamond" w:cs="Times New Roman"/>
          <w:sz w:val="24"/>
          <w:szCs w:val="24"/>
        </w:rPr>
        <w:t>ë</w:t>
      </w:r>
      <w:r w:rsidRPr="00B31292">
        <w:rPr>
          <w:rFonts w:ascii="Garamond" w:eastAsia="Times New Roman" w:hAnsi="Garamond" w:cs="Times New Roman"/>
          <w:sz w:val="24"/>
          <w:szCs w:val="24"/>
        </w:rPr>
        <w:t>ve të zgjedhur.</w:t>
      </w:r>
    </w:p>
    <w:p w14:paraId="6E83B2C2" w14:textId="0A7D8968" w:rsidR="00BD4A11" w:rsidRPr="00B31292" w:rsidRDefault="00220D2F" w:rsidP="003A4DBA">
      <w:pPr>
        <w:spacing w:after="0" w:line="240" w:lineRule="auto"/>
        <w:ind w:firstLine="284"/>
        <w:jc w:val="both"/>
        <w:rPr>
          <w:rFonts w:ascii="Garamond" w:eastAsia="Times New Roman" w:hAnsi="Garamond" w:cs="Times New Roman"/>
          <w:sz w:val="24"/>
          <w:szCs w:val="24"/>
        </w:rPr>
      </w:pPr>
      <w:r w:rsidRPr="00B31292">
        <w:rPr>
          <w:rFonts w:ascii="Garamond" w:eastAsia="Times New Roman" w:hAnsi="Garamond" w:cs="Times New Roman"/>
          <w:i/>
          <w:sz w:val="24"/>
          <w:szCs w:val="24"/>
        </w:rPr>
        <w:t>Vrojtimi i</w:t>
      </w:r>
      <w:r w:rsidR="00BD4A11" w:rsidRPr="00B31292">
        <w:rPr>
          <w:rFonts w:ascii="Garamond" w:eastAsia="Times New Roman" w:hAnsi="Garamond" w:cs="Times New Roman"/>
          <w:i/>
          <w:sz w:val="24"/>
          <w:szCs w:val="24"/>
        </w:rPr>
        <w:t xml:space="preserve"> </w:t>
      </w:r>
      <w:r w:rsidR="007F4AF2" w:rsidRPr="00B31292">
        <w:rPr>
          <w:rFonts w:ascii="Garamond" w:eastAsia="Times New Roman" w:hAnsi="Garamond" w:cs="Times New Roman"/>
          <w:i/>
          <w:sz w:val="24"/>
          <w:szCs w:val="24"/>
        </w:rPr>
        <w:t>buxhetit të familjes</w:t>
      </w:r>
      <w:r w:rsidR="00120B26" w:rsidRPr="00B31292">
        <w:rPr>
          <w:rFonts w:ascii="Garamond" w:eastAsia="Times New Roman" w:hAnsi="Garamond" w:cs="Times New Roman"/>
          <w:i/>
          <w:sz w:val="24"/>
          <w:szCs w:val="24"/>
        </w:rPr>
        <w:t>,</w:t>
      </w:r>
      <w:r w:rsidR="00BD4A11" w:rsidRPr="00B31292">
        <w:rPr>
          <w:rFonts w:ascii="Garamond" w:eastAsia="Times New Roman" w:hAnsi="Garamond" w:cs="Times New Roman"/>
          <w:sz w:val="24"/>
          <w:szCs w:val="24"/>
        </w:rPr>
        <w:t xml:space="preserve"> gjithashtu</w:t>
      </w:r>
      <w:r w:rsidR="00120B26" w:rsidRPr="00B31292">
        <w:rPr>
          <w:rFonts w:ascii="Garamond" w:eastAsia="Times New Roman" w:hAnsi="Garamond" w:cs="Times New Roman"/>
          <w:sz w:val="24"/>
          <w:szCs w:val="24"/>
        </w:rPr>
        <w:t>,</w:t>
      </w:r>
      <w:r w:rsidR="00BD4A11" w:rsidRPr="00B31292">
        <w:rPr>
          <w:rFonts w:ascii="Garamond" w:eastAsia="Times New Roman" w:hAnsi="Garamond" w:cs="Times New Roman"/>
          <w:sz w:val="24"/>
          <w:szCs w:val="24"/>
        </w:rPr>
        <w:t xml:space="preserve"> bazohet në </w:t>
      </w:r>
      <w:r w:rsidR="007F4AF2" w:rsidRPr="00B31292">
        <w:rPr>
          <w:rFonts w:ascii="Garamond" w:eastAsia="Times New Roman" w:hAnsi="Garamond" w:cs="Times New Roman"/>
          <w:sz w:val="24"/>
          <w:szCs w:val="24"/>
        </w:rPr>
        <w:t xml:space="preserve">marrëveshjen e mirëkuptimit </w:t>
      </w:r>
      <w:r w:rsidR="00BD4A11" w:rsidRPr="00B31292">
        <w:rPr>
          <w:rFonts w:ascii="Garamond" w:eastAsia="Times New Roman" w:hAnsi="Garamond" w:cs="Times New Roman"/>
          <w:sz w:val="24"/>
          <w:szCs w:val="24"/>
        </w:rPr>
        <w:t>(</w:t>
      </w:r>
      <w:r w:rsidR="00BD4A11" w:rsidRPr="00B31292">
        <w:rPr>
          <w:rFonts w:ascii="Garamond" w:eastAsia="Times New Roman" w:hAnsi="Garamond" w:cs="Times New Roman"/>
          <w:i/>
          <w:sz w:val="24"/>
          <w:szCs w:val="24"/>
        </w:rPr>
        <w:t>gentlemen’s agreement</w:t>
      </w:r>
      <w:r w:rsidR="00BD4A11" w:rsidRPr="00B31292">
        <w:rPr>
          <w:rFonts w:ascii="Garamond" w:eastAsia="Times New Roman" w:hAnsi="Garamond" w:cs="Times New Roman"/>
          <w:sz w:val="24"/>
          <w:szCs w:val="24"/>
        </w:rPr>
        <w:t xml:space="preserve">), ku secili shtet anëtar vendos objektivat, metodologjinë dhe frekuencën e kryerjes së vrojtimit. Bazuar në këtë marrëveshje, plotshmëria e të dhënave të </w:t>
      </w:r>
      <w:r w:rsidR="009C0CE9" w:rsidRPr="00B31292">
        <w:rPr>
          <w:rFonts w:ascii="Garamond" w:eastAsia="Times New Roman" w:hAnsi="Garamond" w:cs="Times New Roman"/>
          <w:sz w:val="24"/>
          <w:szCs w:val="24"/>
        </w:rPr>
        <w:t>vrojtimit</w:t>
      </w:r>
      <w:r w:rsidR="00BD4A11" w:rsidRPr="00B31292">
        <w:rPr>
          <w:rFonts w:ascii="Garamond" w:eastAsia="Times New Roman" w:hAnsi="Garamond" w:cs="Times New Roman"/>
          <w:sz w:val="24"/>
          <w:szCs w:val="24"/>
        </w:rPr>
        <w:t xml:space="preserve"> është në përputhje të plotë me objektivat e përcaktuara nga INSTAT</w:t>
      </w:r>
      <w:r w:rsidR="00120B26" w:rsidRPr="00B31292">
        <w:rPr>
          <w:rFonts w:ascii="Garamond" w:eastAsia="Times New Roman" w:hAnsi="Garamond" w:cs="Times New Roman"/>
          <w:sz w:val="24"/>
          <w:szCs w:val="24"/>
        </w:rPr>
        <w:t>-i</w:t>
      </w:r>
      <w:r w:rsidR="00BD4A11" w:rsidRPr="00B31292">
        <w:rPr>
          <w:rFonts w:ascii="Garamond" w:eastAsia="Times New Roman" w:hAnsi="Garamond" w:cs="Times New Roman"/>
          <w:sz w:val="24"/>
          <w:szCs w:val="24"/>
        </w:rPr>
        <w:t xml:space="preserve">. </w:t>
      </w:r>
    </w:p>
    <w:p w14:paraId="01182892" w14:textId="22755E50" w:rsidR="003A6AF1" w:rsidRPr="00B31292" w:rsidRDefault="007A0BEA" w:rsidP="003A4DBA">
      <w:pPr>
        <w:spacing w:after="0" w:line="240" w:lineRule="auto"/>
        <w:ind w:firstLine="284"/>
        <w:jc w:val="both"/>
        <w:rPr>
          <w:rFonts w:ascii="Garamond" w:hAnsi="Garamond" w:cs="Times New Roman"/>
          <w:b/>
          <w:sz w:val="24"/>
          <w:szCs w:val="24"/>
        </w:rPr>
      </w:pPr>
      <w:r w:rsidRPr="00B31292">
        <w:rPr>
          <w:rFonts w:ascii="Garamond" w:eastAsia="Times New Roman" w:hAnsi="Garamond" w:cs="Times New Roman"/>
          <w:i/>
          <w:sz w:val="24"/>
          <w:szCs w:val="24"/>
        </w:rPr>
        <w:t xml:space="preserve">Vrojtimi i të </w:t>
      </w:r>
      <w:r w:rsidR="007F4AF2" w:rsidRPr="00B31292">
        <w:rPr>
          <w:rFonts w:ascii="Garamond" w:eastAsia="Times New Roman" w:hAnsi="Garamond" w:cs="Times New Roman"/>
          <w:i/>
          <w:sz w:val="24"/>
          <w:szCs w:val="24"/>
        </w:rPr>
        <w:t>ardhurave dhe nivelit të jetesës</w:t>
      </w:r>
      <w:r w:rsidR="007F4AF2" w:rsidRPr="00B31292">
        <w:rPr>
          <w:rFonts w:ascii="Garamond" w:eastAsia="Times New Roman" w:hAnsi="Garamond" w:cs="Times New Roman"/>
          <w:sz w:val="24"/>
          <w:szCs w:val="24"/>
        </w:rPr>
        <w:t xml:space="preserve"> </w:t>
      </w:r>
      <w:r w:rsidRPr="00B31292">
        <w:rPr>
          <w:rFonts w:ascii="Garamond" w:eastAsia="Times New Roman" w:hAnsi="Garamond" w:cs="Times New Roman"/>
          <w:sz w:val="24"/>
          <w:szCs w:val="24"/>
        </w:rPr>
        <w:t>kryhet bazuar edhe në rregullore të tjera të Komisionit Evropian që lidhen specifikisht me zbatimin e kë</w:t>
      </w:r>
      <w:r w:rsidR="00AA1249" w:rsidRPr="00B31292">
        <w:rPr>
          <w:rFonts w:ascii="Garamond" w:eastAsia="Times New Roman" w:hAnsi="Garamond" w:cs="Times New Roman"/>
          <w:sz w:val="24"/>
          <w:szCs w:val="24"/>
        </w:rPr>
        <w:t>tij vrojtimi</w:t>
      </w:r>
      <w:r w:rsidRPr="00B31292">
        <w:rPr>
          <w:rFonts w:ascii="Garamond" w:eastAsia="Times New Roman" w:hAnsi="Garamond" w:cs="Times New Roman"/>
          <w:sz w:val="24"/>
          <w:szCs w:val="24"/>
        </w:rPr>
        <w:t xml:space="preserve"> si: </w:t>
      </w:r>
      <w:r w:rsidR="0037387B" w:rsidRPr="00B31292">
        <w:rPr>
          <w:rFonts w:ascii="Garamond" w:eastAsia="Times New Roman" w:hAnsi="Garamond" w:cs="Times New Roman"/>
          <w:sz w:val="24"/>
          <w:szCs w:val="24"/>
        </w:rPr>
        <w:t xml:space="preserve">rregullorja </w:t>
      </w:r>
      <w:r w:rsidRPr="00B31292">
        <w:rPr>
          <w:rFonts w:ascii="Garamond" w:eastAsia="Times New Roman" w:hAnsi="Garamond" w:cs="Times New Roman"/>
          <w:sz w:val="24"/>
          <w:szCs w:val="24"/>
        </w:rPr>
        <w:t>(</w:t>
      </w:r>
      <w:r w:rsidR="009C0CE9" w:rsidRPr="00B31292">
        <w:rPr>
          <w:rFonts w:ascii="Garamond" w:eastAsia="Times New Roman" w:hAnsi="Garamond" w:cs="Times New Roman"/>
          <w:sz w:val="24"/>
          <w:szCs w:val="24"/>
        </w:rPr>
        <w:t>BE</w:t>
      </w:r>
      <w:r w:rsidRPr="00B31292">
        <w:rPr>
          <w:rFonts w:ascii="Garamond" w:eastAsia="Times New Roman" w:hAnsi="Garamond" w:cs="Times New Roman"/>
          <w:sz w:val="24"/>
          <w:szCs w:val="24"/>
        </w:rPr>
        <w:t>) 2020/258</w:t>
      </w:r>
      <w:r w:rsidR="00120B26" w:rsidRPr="00B31292">
        <w:rPr>
          <w:rFonts w:ascii="Garamond" w:eastAsia="Times New Roman" w:hAnsi="Garamond" w:cs="Times New Roman"/>
          <w:sz w:val="24"/>
          <w:szCs w:val="24"/>
        </w:rPr>
        <w:t>,</w:t>
      </w:r>
      <w:r w:rsidRPr="00B31292">
        <w:rPr>
          <w:rFonts w:ascii="Garamond" w:eastAsia="Times New Roman" w:hAnsi="Garamond" w:cs="Times New Roman"/>
          <w:sz w:val="24"/>
          <w:szCs w:val="24"/>
        </w:rPr>
        <w:t xml:space="preserve"> </w:t>
      </w:r>
      <w:r w:rsidR="00BA12C3" w:rsidRPr="00B31292">
        <w:rPr>
          <w:rFonts w:ascii="Garamond" w:eastAsia="Times New Roman" w:hAnsi="Garamond" w:cs="Times New Roman"/>
          <w:sz w:val="24"/>
          <w:szCs w:val="24"/>
        </w:rPr>
        <w:t>“</w:t>
      </w:r>
      <w:r w:rsidRPr="00B31292">
        <w:rPr>
          <w:rFonts w:ascii="Garamond" w:eastAsia="Times New Roman" w:hAnsi="Garamond" w:cs="Times New Roman"/>
          <w:sz w:val="24"/>
          <w:szCs w:val="24"/>
        </w:rPr>
        <w:t>Për të ardhurat dhe nivelin e jetesës</w:t>
      </w:r>
      <w:r w:rsidR="00BA12C3" w:rsidRPr="00B31292">
        <w:rPr>
          <w:rFonts w:ascii="Garamond" w:eastAsia="Times New Roman" w:hAnsi="Garamond" w:cs="Times New Roman"/>
          <w:sz w:val="24"/>
          <w:szCs w:val="24"/>
        </w:rPr>
        <w:t>”</w:t>
      </w:r>
      <w:r w:rsidRPr="00B31292">
        <w:rPr>
          <w:rFonts w:ascii="Garamond" w:eastAsia="Times New Roman" w:hAnsi="Garamond" w:cs="Times New Roman"/>
          <w:sz w:val="24"/>
          <w:szCs w:val="24"/>
        </w:rPr>
        <w:t xml:space="preserve"> dhe </w:t>
      </w:r>
      <w:r w:rsidR="0037387B" w:rsidRPr="00B31292">
        <w:rPr>
          <w:rFonts w:ascii="Garamond" w:eastAsia="Times New Roman" w:hAnsi="Garamond" w:cs="Times New Roman"/>
          <w:sz w:val="24"/>
          <w:szCs w:val="24"/>
        </w:rPr>
        <w:t xml:space="preserve">rregullorja </w:t>
      </w:r>
      <w:r w:rsidRPr="00B31292">
        <w:rPr>
          <w:rFonts w:ascii="Garamond" w:eastAsia="Times New Roman" w:hAnsi="Garamond" w:cs="Times New Roman"/>
          <w:sz w:val="24"/>
          <w:szCs w:val="24"/>
        </w:rPr>
        <w:t>(</w:t>
      </w:r>
      <w:r w:rsidR="009C0CE9" w:rsidRPr="00B31292">
        <w:rPr>
          <w:rFonts w:ascii="Garamond" w:eastAsia="Times New Roman" w:hAnsi="Garamond" w:cs="Times New Roman"/>
          <w:sz w:val="24"/>
          <w:szCs w:val="24"/>
        </w:rPr>
        <w:t>BE</w:t>
      </w:r>
      <w:r w:rsidRPr="00B31292">
        <w:rPr>
          <w:rFonts w:ascii="Garamond" w:eastAsia="Times New Roman" w:hAnsi="Garamond" w:cs="Times New Roman"/>
          <w:sz w:val="24"/>
          <w:szCs w:val="24"/>
        </w:rPr>
        <w:t>) 2019/2242</w:t>
      </w:r>
      <w:r w:rsidR="00BA12C3" w:rsidRPr="00B31292">
        <w:rPr>
          <w:rFonts w:ascii="Garamond" w:eastAsia="Times New Roman" w:hAnsi="Garamond" w:cs="Times New Roman"/>
          <w:sz w:val="24"/>
          <w:szCs w:val="24"/>
        </w:rPr>
        <w:t>,</w:t>
      </w:r>
      <w:r w:rsidRPr="00B31292">
        <w:rPr>
          <w:rFonts w:ascii="Garamond" w:eastAsia="Times New Roman" w:hAnsi="Garamond" w:cs="Times New Roman"/>
          <w:sz w:val="24"/>
          <w:szCs w:val="24"/>
        </w:rPr>
        <w:t xml:space="preserve"> </w:t>
      </w:r>
      <w:r w:rsidR="00BA12C3" w:rsidRPr="00B31292">
        <w:rPr>
          <w:rFonts w:ascii="Garamond" w:eastAsia="Times New Roman" w:hAnsi="Garamond" w:cs="Times New Roman"/>
          <w:sz w:val="24"/>
          <w:szCs w:val="24"/>
        </w:rPr>
        <w:t>“</w:t>
      </w:r>
      <w:r w:rsidRPr="00B31292">
        <w:rPr>
          <w:rFonts w:ascii="Garamond" w:eastAsia="Times New Roman" w:hAnsi="Garamond" w:cs="Times New Roman"/>
          <w:sz w:val="24"/>
          <w:szCs w:val="24"/>
        </w:rPr>
        <w:t>Për rregullimin e disa specifikimeve</w:t>
      </w:r>
      <w:r w:rsidR="00120B26" w:rsidRPr="00B31292">
        <w:rPr>
          <w:rFonts w:ascii="Garamond" w:eastAsia="Times New Roman" w:hAnsi="Garamond" w:cs="Times New Roman"/>
          <w:sz w:val="24"/>
          <w:szCs w:val="24"/>
        </w:rPr>
        <w:t>,</w:t>
      </w:r>
      <w:r w:rsidRPr="00B31292">
        <w:rPr>
          <w:rFonts w:ascii="Garamond" w:eastAsia="Times New Roman" w:hAnsi="Garamond" w:cs="Times New Roman"/>
          <w:sz w:val="24"/>
          <w:szCs w:val="24"/>
        </w:rPr>
        <w:t xml:space="preserve"> lidhur me raportet e cilësisë dhe organizimin e vrojtimit mbi </w:t>
      </w:r>
      <w:r w:rsidR="0037387B" w:rsidRPr="00B31292">
        <w:rPr>
          <w:rFonts w:ascii="Garamond" w:eastAsia="Times New Roman" w:hAnsi="Garamond" w:cs="Times New Roman"/>
          <w:sz w:val="24"/>
          <w:szCs w:val="24"/>
        </w:rPr>
        <w:t>të ardhurat dhe nivelin e jetesës”</w:t>
      </w:r>
      <w:r w:rsidRPr="00B31292">
        <w:rPr>
          <w:rFonts w:ascii="Garamond" w:eastAsia="Times New Roman" w:hAnsi="Garamond" w:cs="Times New Roman"/>
          <w:sz w:val="24"/>
          <w:szCs w:val="24"/>
        </w:rPr>
        <w:t>, si dhe rregulloret shtesë që ndihmojnë në zbatimin e përvitshëm të këtij vrojtimi.</w:t>
      </w:r>
    </w:p>
    <w:p w14:paraId="16D92A61" w14:textId="75A68ED9" w:rsidR="003A6AF1" w:rsidRPr="00B31292" w:rsidRDefault="003A6AF1" w:rsidP="003A4DBA">
      <w:pPr>
        <w:keepNext/>
        <w:keepLines/>
        <w:spacing w:after="0" w:line="240" w:lineRule="auto"/>
        <w:ind w:firstLine="284"/>
        <w:outlineLvl w:val="4"/>
        <w:rPr>
          <w:rFonts w:ascii="Garamond" w:eastAsia="Times New Roman" w:hAnsi="Garamond" w:cs="Times New Roman"/>
          <w:b/>
          <w:iCs/>
          <w:sz w:val="24"/>
          <w:szCs w:val="24"/>
        </w:rPr>
      </w:pPr>
      <w:r w:rsidRPr="00B31292">
        <w:rPr>
          <w:rFonts w:ascii="Garamond" w:eastAsia="Times New Roman" w:hAnsi="Garamond" w:cs="Times New Roman"/>
          <w:b/>
          <w:iCs/>
          <w:sz w:val="24"/>
          <w:szCs w:val="24"/>
        </w:rPr>
        <w:t>Tema 1.6</w:t>
      </w:r>
      <w:r w:rsidR="00BA12C3" w:rsidRPr="00B31292">
        <w:rPr>
          <w:rFonts w:ascii="Garamond" w:eastAsia="Times New Roman" w:hAnsi="Garamond" w:cs="Times New Roman"/>
          <w:b/>
          <w:iCs/>
          <w:sz w:val="24"/>
          <w:szCs w:val="24"/>
        </w:rPr>
        <w:t xml:space="preserve"> “</w:t>
      </w:r>
      <w:r w:rsidRPr="00B31292">
        <w:rPr>
          <w:rFonts w:ascii="Garamond" w:eastAsia="Times New Roman" w:hAnsi="Garamond" w:cs="Times New Roman"/>
          <w:b/>
          <w:iCs/>
          <w:sz w:val="24"/>
          <w:szCs w:val="24"/>
        </w:rPr>
        <w:t>Mbrojtja sociale</w:t>
      </w:r>
      <w:r w:rsidR="00BA12C3" w:rsidRPr="00B31292">
        <w:rPr>
          <w:rFonts w:ascii="Garamond" w:eastAsia="Times New Roman" w:hAnsi="Garamond" w:cs="Times New Roman"/>
          <w:b/>
          <w:iCs/>
          <w:sz w:val="24"/>
          <w:szCs w:val="24"/>
        </w:rPr>
        <w:t>”</w:t>
      </w:r>
    </w:p>
    <w:p w14:paraId="243B8DB4" w14:textId="0FA47312" w:rsidR="003A6AF1" w:rsidRPr="00B31292" w:rsidRDefault="003A6AF1" w:rsidP="003A4DBA">
      <w:pPr>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 xml:space="preserve">Kjo temë përbëhet nga nëntemat </w:t>
      </w:r>
      <w:r w:rsidRPr="00B31292">
        <w:rPr>
          <w:rFonts w:ascii="Garamond" w:hAnsi="Garamond" w:cs="Times New Roman"/>
          <w:i/>
          <w:sz w:val="24"/>
          <w:szCs w:val="24"/>
        </w:rPr>
        <w:t xml:space="preserve">1.6.1 </w:t>
      </w:r>
      <w:r w:rsidR="00BA12C3" w:rsidRPr="00B31292">
        <w:rPr>
          <w:rFonts w:ascii="Garamond" w:hAnsi="Garamond" w:cs="Times New Roman"/>
          <w:i/>
          <w:sz w:val="24"/>
          <w:szCs w:val="24"/>
        </w:rPr>
        <w:t>“</w:t>
      </w:r>
      <w:r w:rsidRPr="00B31292">
        <w:rPr>
          <w:rFonts w:ascii="Garamond" w:hAnsi="Garamond" w:cs="Times New Roman"/>
          <w:i/>
          <w:sz w:val="24"/>
          <w:szCs w:val="24"/>
        </w:rPr>
        <w:t xml:space="preserve">Mbrojtja </w:t>
      </w:r>
      <w:r w:rsidR="0037387B" w:rsidRPr="00B31292">
        <w:rPr>
          <w:rFonts w:ascii="Garamond" w:hAnsi="Garamond" w:cs="Times New Roman"/>
          <w:i/>
          <w:sz w:val="24"/>
          <w:szCs w:val="24"/>
        </w:rPr>
        <w:t>sociale</w:t>
      </w:r>
      <w:r w:rsidR="00BA12C3" w:rsidRPr="00B31292">
        <w:rPr>
          <w:rFonts w:ascii="Garamond" w:hAnsi="Garamond" w:cs="Times New Roman"/>
          <w:i/>
          <w:sz w:val="24"/>
          <w:szCs w:val="24"/>
        </w:rPr>
        <w:t>”</w:t>
      </w:r>
      <w:r w:rsidRPr="00B31292">
        <w:rPr>
          <w:rFonts w:ascii="Garamond" w:hAnsi="Garamond" w:cs="Times New Roman"/>
          <w:sz w:val="24"/>
          <w:szCs w:val="24"/>
        </w:rPr>
        <w:t xml:space="preserve"> dhe </w:t>
      </w:r>
      <w:r w:rsidRPr="00B31292">
        <w:rPr>
          <w:rFonts w:ascii="Garamond" w:hAnsi="Garamond" w:cs="Times New Roman"/>
          <w:i/>
          <w:sz w:val="24"/>
          <w:szCs w:val="24"/>
        </w:rPr>
        <w:t xml:space="preserve">1.6.2 </w:t>
      </w:r>
      <w:r w:rsidR="00BA12C3" w:rsidRPr="00B31292">
        <w:rPr>
          <w:rFonts w:ascii="Garamond" w:hAnsi="Garamond" w:cs="Times New Roman"/>
          <w:i/>
          <w:sz w:val="24"/>
          <w:szCs w:val="24"/>
        </w:rPr>
        <w:t>“</w:t>
      </w:r>
      <w:r w:rsidRPr="00B31292">
        <w:rPr>
          <w:rFonts w:ascii="Garamond" w:hAnsi="Garamond" w:cs="Times New Roman"/>
          <w:i/>
          <w:sz w:val="24"/>
          <w:szCs w:val="24"/>
        </w:rPr>
        <w:t>ESSPROS</w:t>
      </w:r>
      <w:r w:rsidR="00BA12C3" w:rsidRPr="00B31292">
        <w:rPr>
          <w:rFonts w:ascii="Garamond" w:hAnsi="Garamond" w:cs="Times New Roman"/>
          <w:i/>
          <w:sz w:val="24"/>
          <w:szCs w:val="24"/>
        </w:rPr>
        <w:t xml:space="preserve">” </w:t>
      </w:r>
      <w:r w:rsidR="009279B0" w:rsidRPr="00B31292">
        <w:rPr>
          <w:rFonts w:ascii="Garamond" w:hAnsi="Garamond" w:cs="Times New Roman"/>
          <w:i/>
          <w:sz w:val="24"/>
          <w:szCs w:val="24"/>
        </w:rPr>
        <w:t xml:space="preserve">Statistikat e </w:t>
      </w:r>
      <w:r w:rsidR="007F4AF2" w:rsidRPr="00B31292">
        <w:rPr>
          <w:rFonts w:ascii="Garamond" w:hAnsi="Garamond" w:cs="Times New Roman"/>
          <w:i/>
          <w:sz w:val="24"/>
          <w:szCs w:val="24"/>
        </w:rPr>
        <w:t xml:space="preserve">mbrojtjes sociale </w:t>
      </w:r>
      <w:r w:rsidR="009279B0" w:rsidRPr="00B31292">
        <w:rPr>
          <w:rFonts w:ascii="Garamond" w:hAnsi="Garamond" w:cs="Times New Roman"/>
          <w:i/>
          <w:sz w:val="24"/>
          <w:szCs w:val="24"/>
        </w:rPr>
        <w:t>ja</w:t>
      </w:r>
      <w:r w:rsidR="00933549" w:rsidRPr="00B31292">
        <w:rPr>
          <w:rFonts w:ascii="Garamond" w:hAnsi="Garamond" w:cs="Times New Roman"/>
          <w:i/>
          <w:sz w:val="24"/>
          <w:szCs w:val="24"/>
        </w:rPr>
        <w:t>në</w:t>
      </w:r>
      <w:r w:rsidR="009279B0" w:rsidRPr="00B31292">
        <w:rPr>
          <w:rFonts w:ascii="Garamond" w:hAnsi="Garamond" w:cs="Times New Roman"/>
          <w:i/>
          <w:sz w:val="24"/>
          <w:szCs w:val="24"/>
        </w:rPr>
        <w:t xml:space="preserve"> shume </w:t>
      </w:r>
      <w:r w:rsidR="00120B26" w:rsidRPr="00B31292">
        <w:rPr>
          <w:rFonts w:ascii="Garamond" w:hAnsi="Garamond" w:cs="Times New Roman"/>
          <w:i/>
          <w:sz w:val="24"/>
          <w:szCs w:val="24"/>
        </w:rPr>
        <w:t>t</w:t>
      </w:r>
      <w:r w:rsidR="00933549" w:rsidRPr="00B31292">
        <w:rPr>
          <w:rFonts w:ascii="Garamond" w:hAnsi="Garamond" w:cs="Times New Roman"/>
          <w:i/>
          <w:sz w:val="24"/>
          <w:szCs w:val="24"/>
        </w:rPr>
        <w:t>ë</w:t>
      </w:r>
      <w:r w:rsidR="009279B0" w:rsidRPr="00B31292">
        <w:rPr>
          <w:rFonts w:ascii="Garamond" w:hAnsi="Garamond" w:cs="Times New Roman"/>
          <w:i/>
          <w:sz w:val="24"/>
          <w:szCs w:val="24"/>
        </w:rPr>
        <w:t xml:space="preserve"> r</w:t>
      </w:r>
      <w:r w:rsidR="006A5681" w:rsidRPr="00B31292">
        <w:rPr>
          <w:rFonts w:ascii="Garamond" w:hAnsi="Garamond" w:cs="Times New Roman"/>
          <w:i/>
          <w:sz w:val="24"/>
          <w:szCs w:val="24"/>
        </w:rPr>
        <w:t>ënd</w:t>
      </w:r>
      <w:r w:rsidR="00933549" w:rsidRPr="00B31292">
        <w:rPr>
          <w:rFonts w:ascii="Garamond" w:hAnsi="Garamond" w:cs="Times New Roman"/>
          <w:i/>
          <w:sz w:val="24"/>
          <w:szCs w:val="24"/>
        </w:rPr>
        <w:t>ë</w:t>
      </w:r>
      <w:r w:rsidR="006A5681" w:rsidRPr="00B31292">
        <w:rPr>
          <w:rFonts w:ascii="Garamond" w:hAnsi="Garamond" w:cs="Times New Roman"/>
          <w:i/>
          <w:sz w:val="24"/>
          <w:szCs w:val="24"/>
        </w:rPr>
        <w:t>sishme p</w:t>
      </w:r>
      <w:r w:rsidR="00933549" w:rsidRPr="00B31292">
        <w:rPr>
          <w:rFonts w:ascii="Garamond" w:hAnsi="Garamond" w:cs="Times New Roman"/>
          <w:i/>
          <w:sz w:val="24"/>
          <w:szCs w:val="24"/>
        </w:rPr>
        <w:t>ë</w:t>
      </w:r>
      <w:r w:rsidR="006A5681" w:rsidRPr="00B31292">
        <w:rPr>
          <w:rFonts w:ascii="Garamond" w:hAnsi="Garamond" w:cs="Times New Roman"/>
          <w:i/>
          <w:sz w:val="24"/>
          <w:szCs w:val="24"/>
        </w:rPr>
        <w:t>r të vlerësuar efektivitetin</w:t>
      </w:r>
      <w:r w:rsidR="00A50D1D" w:rsidRPr="00B31292">
        <w:rPr>
          <w:rFonts w:ascii="Garamond" w:hAnsi="Garamond" w:cs="Times New Roman"/>
          <w:i/>
          <w:sz w:val="24"/>
          <w:szCs w:val="24"/>
        </w:rPr>
        <w:t xml:space="preserve"> e masave dhe </w:t>
      </w:r>
      <w:r w:rsidR="00BA12C3" w:rsidRPr="00B31292">
        <w:rPr>
          <w:rFonts w:ascii="Garamond" w:hAnsi="Garamond" w:cs="Times New Roman"/>
          <w:i/>
          <w:sz w:val="24"/>
          <w:szCs w:val="24"/>
        </w:rPr>
        <w:t>për</w:t>
      </w:r>
      <w:r w:rsidR="00A50D1D" w:rsidRPr="00B31292">
        <w:rPr>
          <w:rFonts w:ascii="Garamond" w:hAnsi="Garamond" w:cs="Times New Roman"/>
          <w:i/>
          <w:sz w:val="24"/>
          <w:szCs w:val="24"/>
        </w:rPr>
        <w:t xml:space="preserve"> </w:t>
      </w:r>
      <w:r w:rsidR="00BA12C3" w:rsidRPr="00B31292">
        <w:rPr>
          <w:rFonts w:ascii="Garamond" w:hAnsi="Garamond" w:cs="Times New Roman"/>
          <w:i/>
          <w:sz w:val="24"/>
          <w:szCs w:val="24"/>
        </w:rPr>
        <w:t>të</w:t>
      </w:r>
      <w:r w:rsidR="00A50D1D" w:rsidRPr="00B31292">
        <w:rPr>
          <w:rFonts w:ascii="Garamond" w:hAnsi="Garamond" w:cs="Times New Roman"/>
          <w:i/>
          <w:sz w:val="24"/>
          <w:szCs w:val="24"/>
        </w:rPr>
        <w:t xml:space="preserve"> përmirësuar kushtet e jetes</w:t>
      </w:r>
      <w:r w:rsidR="00F17FF6" w:rsidRPr="00B31292">
        <w:rPr>
          <w:rFonts w:ascii="Garamond" w:hAnsi="Garamond" w:cs="Times New Roman"/>
          <w:i/>
          <w:sz w:val="24"/>
          <w:szCs w:val="24"/>
        </w:rPr>
        <w:t>ë</w:t>
      </w:r>
      <w:r w:rsidR="00933549" w:rsidRPr="00B31292">
        <w:rPr>
          <w:rFonts w:ascii="Garamond" w:hAnsi="Garamond" w:cs="Times New Roman"/>
          <w:i/>
          <w:sz w:val="24"/>
          <w:szCs w:val="24"/>
        </w:rPr>
        <w:t>s</w:t>
      </w:r>
      <w:r w:rsidR="00F17FF6" w:rsidRPr="00B31292">
        <w:rPr>
          <w:rFonts w:ascii="Garamond" w:hAnsi="Garamond" w:cs="Times New Roman"/>
          <w:i/>
          <w:sz w:val="24"/>
          <w:szCs w:val="24"/>
        </w:rPr>
        <w:t xml:space="preserve"> së qytetareve</w:t>
      </w:r>
      <w:r w:rsidR="00E94972" w:rsidRPr="00B31292">
        <w:rPr>
          <w:rFonts w:ascii="Garamond" w:hAnsi="Garamond" w:cs="Times New Roman"/>
          <w:i/>
          <w:sz w:val="24"/>
          <w:szCs w:val="24"/>
        </w:rPr>
        <w:t>.</w:t>
      </w:r>
      <w:r w:rsidR="00E94972" w:rsidRPr="00B31292">
        <w:rPr>
          <w:rFonts w:ascii="Garamond" w:hAnsi="Garamond" w:cs="Times New Roman"/>
          <w:sz w:val="24"/>
          <w:szCs w:val="24"/>
        </w:rPr>
        <w:t xml:space="preserve"> </w:t>
      </w:r>
      <w:r w:rsidRPr="00B31292">
        <w:rPr>
          <w:rFonts w:ascii="Garamond" w:hAnsi="Garamond" w:cs="Times New Roman"/>
          <w:sz w:val="24"/>
          <w:szCs w:val="24"/>
        </w:rPr>
        <w:t>Treguesit e mbrojtjes sociale përfaqësohen me të dhëna administrative që kanë të bëjnë me përfituesit në skemën e sigurimeve shoqërore, përfituesit në skemën e ndihmës ekonomike dhe pagesës për aftësinë e kufizuar, përfituesit në pagesë papunësie, përfituesit në kujdesin rezidencial dhe atë ditor në qendrat e kujdesit social</w:t>
      </w:r>
      <w:r w:rsidR="00401808" w:rsidRPr="00B31292">
        <w:rPr>
          <w:rFonts w:ascii="Garamond" w:hAnsi="Garamond" w:cs="Times New Roman"/>
          <w:sz w:val="24"/>
          <w:szCs w:val="24"/>
        </w:rPr>
        <w:t>,</w:t>
      </w:r>
      <w:r w:rsidRPr="00B31292">
        <w:rPr>
          <w:rFonts w:ascii="Garamond" w:hAnsi="Garamond" w:cs="Times New Roman"/>
          <w:sz w:val="24"/>
          <w:szCs w:val="24"/>
        </w:rPr>
        <w:t xml:space="preserve"> si dhe nga treguesit për fëmijët. </w:t>
      </w:r>
      <w:r w:rsidRPr="00B31292">
        <w:rPr>
          <w:rFonts w:ascii="Garamond" w:hAnsi="Garamond" w:cs="Times New Roman"/>
          <w:sz w:val="24"/>
          <w:szCs w:val="24"/>
        </w:rPr>
        <w:lastRenderedPageBreak/>
        <w:t>INSTAT</w:t>
      </w:r>
      <w:r w:rsidR="00120B26" w:rsidRPr="00B31292">
        <w:rPr>
          <w:rFonts w:ascii="Garamond" w:hAnsi="Garamond" w:cs="Times New Roman"/>
          <w:sz w:val="24"/>
          <w:szCs w:val="24"/>
        </w:rPr>
        <w:t>-i</w:t>
      </w:r>
      <w:r w:rsidRPr="00B31292">
        <w:rPr>
          <w:rFonts w:ascii="Garamond" w:hAnsi="Garamond" w:cs="Times New Roman"/>
          <w:sz w:val="24"/>
          <w:szCs w:val="24"/>
        </w:rPr>
        <w:t xml:space="preserve"> prodhon të dhëna mbi </w:t>
      </w:r>
      <w:r w:rsidR="007F4AF2" w:rsidRPr="00B31292">
        <w:rPr>
          <w:rFonts w:ascii="Garamond" w:hAnsi="Garamond" w:cs="Times New Roman"/>
          <w:sz w:val="24"/>
          <w:szCs w:val="24"/>
        </w:rPr>
        <w:t>mbrojtjen so</w:t>
      </w:r>
      <w:r w:rsidRPr="00B31292">
        <w:rPr>
          <w:rFonts w:ascii="Garamond" w:hAnsi="Garamond" w:cs="Times New Roman"/>
          <w:sz w:val="24"/>
          <w:szCs w:val="24"/>
        </w:rPr>
        <w:t>ciale në nivel vendi dhe në nivel qarku</w:t>
      </w:r>
      <w:r w:rsidR="00401808" w:rsidRPr="00B31292">
        <w:rPr>
          <w:rFonts w:ascii="Garamond" w:hAnsi="Garamond" w:cs="Times New Roman"/>
          <w:sz w:val="24"/>
          <w:szCs w:val="24"/>
        </w:rPr>
        <w:t>,</w:t>
      </w:r>
      <w:r w:rsidRPr="00B31292">
        <w:rPr>
          <w:rFonts w:ascii="Garamond" w:hAnsi="Garamond" w:cs="Times New Roman"/>
          <w:sz w:val="24"/>
          <w:szCs w:val="24"/>
        </w:rPr>
        <w:t xml:space="preserve"> të cilat publikohen çdo vit në faqen e </w:t>
      </w:r>
      <w:r w:rsidR="00BA12C3" w:rsidRPr="00B31292">
        <w:rPr>
          <w:rFonts w:ascii="Garamond" w:hAnsi="Garamond" w:cs="Times New Roman"/>
          <w:i/>
          <w:iCs/>
          <w:sz w:val="24"/>
          <w:szCs w:val="24"/>
        </w:rPr>
        <w:t>w</w:t>
      </w:r>
      <w:r w:rsidRPr="00B31292">
        <w:rPr>
          <w:rFonts w:ascii="Garamond" w:hAnsi="Garamond" w:cs="Times New Roman"/>
          <w:i/>
          <w:iCs/>
          <w:sz w:val="24"/>
          <w:szCs w:val="24"/>
        </w:rPr>
        <w:t>eb</w:t>
      </w:r>
      <w:r w:rsidRPr="00B31292">
        <w:rPr>
          <w:rFonts w:ascii="Garamond" w:hAnsi="Garamond" w:cs="Times New Roman"/>
          <w:sz w:val="24"/>
          <w:szCs w:val="24"/>
        </w:rPr>
        <w:t>-it të INSTAT</w:t>
      </w:r>
      <w:r w:rsidR="00BA12C3" w:rsidRPr="00B31292">
        <w:rPr>
          <w:rFonts w:ascii="Garamond" w:hAnsi="Garamond" w:cs="Times New Roman"/>
          <w:sz w:val="24"/>
          <w:szCs w:val="24"/>
        </w:rPr>
        <w:t>-it</w:t>
      </w:r>
      <w:r w:rsidRPr="00B31292">
        <w:rPr>
          <w:rFonts w:ascii="Garamond" w:hAnsi="Garamond" w:cs="Times New Roman"/>
          <w:sz w:val="24"/>
          <w:szCs w:val="24"/>
        </w:rPr>
        <w:t xml:space="preserve"> dhe në </w:t>
      </w:r>
      <w:r w:rsidR="007F4AF2" w:rsidRPr="00B31292">
        <w:rPr>
          <w:rFonts w:ascii="Garamond" w:hAnsi="Garamond" w:cs="Times New Roman"/>
          <w:sz w:val="24"/>
          <w:szCs w:val="24"/>
        </w:rPr>
        <w:t>vjetarin rajonal</w:t>
      </w:r>
      <w:r w:rsidRPr="00B31292">
        <w:rPr>
          <w:rFonts w:ascii="Garamond" w:hAnsi="Garamond" w:cs="Times New Roman"/>
          <w:sz w:val="24"/>
          <w:szCs w:val="24"/>
        </w:rPr>
        <w:t>.</w:t>
      </w:r>
    </w:p>
    <w:p w14:paraId="1BB7F5CB" w14:textId="4620F9BA" w:rsidR="003A6AF1" w:rsidRPr="00B31292" w:rsidRDefault="003A6AF1" w:rsidP="003A4DBA">
      <w:pPr>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 xml:space="preserve">Treguesit statistikorë nga sistemi ESSPROS (Statistikat e </w:t>
      </w:r>
      <w:r w:rsidR="007F4AF2" w:rsidRPr="00B31292">
        <w:rPr>
          <w:rFonts w:ascii="Garamond" w:hAnsi="Garamond" w:cs="Times New Roman"/>
          <w:sz w:val="24"/>
          <w:szCs w:val="24"/>
        </w:rPr>
        <w:t>integruara evropiane të mbrojtjes sociale</w:t>
      </w:r>
      <w:r w:rsidRPr="00B31292">
        <w:rPr>
          <w:rFonts w:ascii="Garamond" w:hAnsi="Garamond" w:cs="Times New Roman"/>
          <w:sz w:val="24"/>
          <w:szCs w:val="24"/>
        </w:rPr>
        <w:t>), përfaqësohen nga sistemi bazë që përfshin të dhëna vjetore mbi të ardhurat, shpenzimet dhe p</w:t>
      </w:r>
      <w:r w:rsidR="00BF1046" w:rsidRPr="00B31292">
        <w:rPr>
          <w:rFonts w:ascii="Garamond" w:hAnsi="Garamond" w:cs="Times New Roman"/>
          <w:sz w:val="24"/>
          <w:szCs w:val="24"/>
        </w:rPr>
        <w:t>ë</w:t>
      </w:r>
      <w:r w:rsidRPr="00B31292">
        <w:rPr>
          <w:rFonts w:ascii="Garamond" w:hAnsi="Garamond" w:cs="Times New Roman"/>
          <w:sz w:val="24"/>
          <w:szCs w:val="24"/>
        </w:rPr>
        <w:t>rfitimet në fushën e mbrojtjes sociale sipas skemave të ESSPROS</w:t>
      </w:r>
      <w:r w:rsidR="007F4AF2" w:rsidRPr="00B31292">
        <w:rPr>
          <w:rFonts w:ascii="Garamond" w:hAnsi="Garamond" w:cs="Times New Roman"/>
          <w:sz w:val="24"/>
          <w:szCs w:val="24"/>
        </w:rPr>
        <w:t>-së</w:t>
      </w:r>
      <w:r w:rsidRPr="00B31292">
        <w:rPr>
          <w:rFonts w:ascii="Garamond" w:hAnsi="Garamond" w:cs="Times New Roman"/>
          <w:sz w:val="24"/>
          <w:szCs w:val="24"/>
        </w:rPr>
        <w:t xml:space="preserve"> dhe gjithsej, të cilat shërbejnë si instrument për të analizuar dhe krahasuar flukset financiare në fushën e mbrojtjes sociale, si dhe nga modulet të cilat përmbajnë informacion shtesë statistikor mbi aspekte të veçanta të mbrojtjes sociale si: Moduli i Përfituesit dhe Pensioneve</w:t>
      </w:r>
      <w:r w:rsidR="00120B26" w:rsidRPr="00B31292">
        <w:rPr>
          <w:rFonts w:ascii="Garamond" w:hAnsi="Garamond" w:cs="Times New Roman"/>
          <w:sz w:val="24"/>
          <w:szCs w:val="24"/>
        </w:rPr>
        <w:t>,</w:t>
      </w:r>
      <w:r w:rsidRPr="00B31292">
        <w:rPr>
          <w:rFonts w:ascii="Garamond" w:hAnsi="Garamond" w:cs="Times New Roman"/>
          <w:sz w:val="24"/>
          <w:szCs w:val="24"/>
        </w:rPr>
        <w:t xml:space="preserve"> dhe </w:t>
      </w:r>
      <w:r w:rsidRPr="00B31292">
        <w:rPr>
          <w:rFonts w:ascii="Garamond" w:hAnsi="Garamond" w:cs="Times New Roman"/>
          <w:bCs/>
          <w:sz w:val="24"/>
          <w:szCs w:val="24"/>
        </w:rPr>
        <w:t>Përfi</w:t>
      </w:r>
      <w:r w:rsidR="00FF34C6" w:rsidRPr="00B31292">
        <w:rPr>
          <w:rFonts w:ascii="Garamond" w:hAnsi="Garamond" w:cs="Times New Roman"/>
          <w:bCs/>
          <w:sz w:val="24"/>
          <w:szCs w:val="24"/>
        </w:rPr>
        <w:t>timet neto të mbrojtjes sociale.</w:t>
      </w:r>
    </w:p>
    <w:p w14:paraId="7B5D1BD6" w14:textId="4BF499C5" w:rsidR="007341D3" w:rsidRPr="00B31292" w:rsidRDefault="003A6AF1" w:rsidP="003A4DBA">
      <w:pPr>
        <w:spacing w:after="0" w:line="240" w:lineRule="auto"/>
        <w:ind w:firstLine="284"/>
        <w:jc w:val="both"/>
        <w:rPr>
          <w:rFonts w:ascii="Garamond" w:hAnsi="Garamond" w:cs="Times New Roman"/>
          <w:sz w:val="24"/>
          <w:szCs w:val="24"/>
        </w:rPr>
      </w:pPr>
      <w:r w:rsidRPr="00B31292">
        <w:rPr>
          <w:rFonts w:ascii="Garamond" w:hAnsi="Garamond" w:cs="Times New Roman"/>
          <w:b/>
          <w:sz w:val="24"/>
          <w:szCs w:val="24"/>
        </w:rPr>
        <w:t>Treguesit kryesorë</w:t>
      </w:r>
      <w:r w:rsidRPr="00B31292">
        <w:rPr>
          <w:rFonts w:ascii="Garamond" w:hAnsi="Garamond" w:cs="Times New Roman"/>
          <w:sz w:val="24"/>
          <w:szCs w:val="24"/>
        </w:rPr>
        <w:t>: Variablat kryesor</w:t>
      </w:r>
      <w:r w:rsidR="00120B26" w:rsidRPr="00B31292">
        <w:rPr>
          <w:rFonts w:ascii="Garamond" w:hAnsi="Garamond" w:cs="Times New Roman"/>
          <w:sz w:val="24"/>
          <w:szCs w:val="24"/>
        </w:rPr>
        <w:t>ë</w:t>
      </w:r>
      <w:r w:rsidRPr="00B31292">
        <w:rPr>
          <w:rFonts w:ascii="Garamond" w:hAnsi="Garamond" w:cs="Times New Roman"/>
          <w:sz w:val="24"/>
          <w:szCs w:val="24"/>
        </w:rPr>
        <w:t xml:space="preserve"> nga të dhënat administrative mbi mbrojtjen sociale grupohen në këto kategori kryesore</w:t>
      </w:r>
      <w:r w:rsidR="00120B26" w:rsidRPr="00B31292">
        <w:rPr>
          <w:rFonts w:ascii="Garamond" w:hAnsi="Garamond" w:cs="Times New Roman"/>
          <w:sz w:val="24"/>
          <w:szCs w:val="24"/>
        </w:rPr>
        <w:t>,</w:t>
      </w:r>
      <w:r w:rsidRPr="00B31292">
        <w:rPr>
          <w:rFonts w:ascii="Garamond" w:hAnsi="Garamond" w:cs="Times New Roman"/>
          <w:sz w:val="24"/>
          <w:szCs w:val="24"/>
        </w:rPr>
        <w:t xml:space="preserve"> si: pagesa e papunësisë, pagesa e aftësisë së kufizuar, ndihma ekonomike, pensionet urbane dhe rurale, qendrat rezidenciale,</w:t>
      </w:r>
      <w:r w:rsidR="00841B0D" w:rsidRPr="00B31292">
        <w:rPr>
          <w:rFonts w:ascii="Garamond" w:hAnsi="Garamond" w:cs="Times New Roman"/>
          <w:sz w:val="24"/>
          <w:szCs w:val="24"/>
        </w:rPr>
        <w:t xml:space="preserve"> </w:t>
      </w:r>
      <w:r w:rsidRPr="00B31292">
        <w:rPr>
          <w:rFonts w:ascii="Garamond" w:hAnsi="Garamond" w:cs="Times New Roman"/>
          <w:sz w:val="24"/>
          <w:szCs w:val="24"/>
        </w:rPr>
        <w:t>fëmijë në përkujdesje shoqërore etj.</w:t>
      </w:r>
      <w:r w:rsidR="00B52B62" w:rsidRPr="00B31292">
        <w:rPr>
          <w:rFonts w:ascii="Garamond" w:hAnsi="Garamond" w:cs="Times New Roman"/>
          <w:sz w:val="24"/>
          <w:szCs w:val="24"/>
        </w:rPr>
        <w:t xml:space="preserve"> </w:t>
      </w:r>
      <w:r w:rsidRPr="00B31292">
        <w:rPr>
          <w:rFonts w:ascii="Garamond" w:hAnsi="Garamond" w:cs="Times New Roman"/>
          <w:sz w:val="24"/>
          <w:szCs w:val="24"/>
        </w:rPr>
        <w:t>Nga këto variabla dalin tregues</w:t>
      </w:r>
      <w:r w:rsidR="00120B26" w:rsidRPr="00B31292">
        <w:rPr>
          <w:rFonts w:ascii="Garamond" w:hAnsi="Garamond" w:cs="Times New Roman"/>
          <w:sz w:val="24"/>
          <w:szCs w:val="24"/>
        </w:rPr>
        <w:t>,</w:t>
      </w:r>
      <w:r w:rsidR="00841B0D" w:rsidRPr="00B31292">
        <w:rPr>
          <w:rFonts w:ascii="Garamond" w:hAnsi="Garamond" w:cs="Times New Roman"/>
          <w:sz w:val="24"/>
          <w:szCs w:val="24"/>
        </w:rPr>
        <w:t xml:space="preserve"> </w:t>
      </w:r>
      <w:r w:rsidRPr="00B31292">
        <w:rPr>
          <w:rFonts w:ascii="Garamond" w:hAnsi="Garamond" w:cs="Times New Roman"/>
          <w:sz w:val="24"/>
          <w:szCs w:val="24"/>
        </w:rPr>
        <w:t xml:space="preserve">si: skemat e mbrojtjes sociale, të ardhurat dhe shpenzimet për mbrojtjen sociale, përfitimet e mbrojtjes sociale sipas funksionit të kujdesit shëndetësor, aftësisë së kufizuar, pleqërisë, pensioneve familjare, familjes dhe fëmijëve, </w:t>
      </w:r>
      <w:r w:rsidR="007341D3" w:rsidRPr="00B31292">
        <w:rPr>
          <w:rFonts w:ascii="Garamond" w:hAnsi="Garamond" w:cs="Times New Roman"/>
          <w:sz w:val="24"/>
          <w:szCs w:val="24"/>
        </w:rPr>
        <w:t xml:space="preserve">papunësisë, strehimit dhe përjashtimit social të prodhuar me zbatimin e plotë të sistemit ESSPROS, të cilët bëjnë të mundur arritjen e nivelit të plotë të përputhshmërisë me Sistemin e </w:t>
      </w:r>
      <w:r w:rsidR="00BA12C3" w:rsidRPr="00B31292">
        <w:rPr>
          <w:rFonts w:ascii="Garamond" w:hAnsi="Garamond" w:cs="Times New Roman"/>
          <w:sz w:val="24"/>
          <w:szCs w:val="24"/>
        </w:rPr>
        <w:t>Integruar</w:t>
      </w:r>
      <w:r w:rsidR="007341D3" w:rsidRPr="00B31292">
        <w:rPr>
          <w:rFonts w:ascii="Garamond" w:hAnsi="Garamond" w:cs="Times New Roman"/>
          <w:sz w:val="24"/>
          <w:szCs w:val="24"/>
        </w:rPr>
        <w:t xml:space="preserve"> Evropian të Mbrojtjes Sociale.</w:t>
      </w:r>
    </w:p>
    <w:p w14:paraId="672CBC0F" w14:textId="2E2F6AF6" w:rsidR="00640908" w:rsidRPr="00B31292" w:rsidRDefault="003A6AF1" w:rsidP="003A4DBA">
      <w:pPr>
        <w:spacing w:after="0" w:line="240" w:lineRule="auto"/>
        <w:ind w:firstLine="284"/>
        <w:jc w:val="both"/>
        <w:rPr>
          <w:rFonts w:ascii="Garamond" w:eastAsia="Times New Roman" w:hAnsi="Garamond" w:cs="Times New Roman"/>
          <w:sz w:val="24"/>
          <w:szCs w:val="24"/>
        </w:rPr>
      </w:pPr>
      <w:r w:rsidRPr="00B31292">
        <w:rPr>
          <w:rFonts w:ascii="Garamond" w:hAnsi="Garamond" w:cs="Times New Roman"/>
          <w:b/>
          <w:sz w:val="24"/>
          <w:szCs w:val="24"/>
        </w:rPr>
        <w:t xml:space="preserve">Përputhshmëria me </w:t>
      </w:r>
      <w:r w:rsidRPr="00B31292">
        <w:rPr>
          <w:rFonts w:ascii="Garamond" w:hAnsi="Garamond" w:cs="Times New Roman"/>
          <w:b/>
          <w:i/>
          <w:sz w:val="24"/>
          <w:szCs w:val="24"/>
        </w:rPr>
        <w:t xml:space="preserve">acquis: </w:t>
      </w:r>
      <w:r w:rsidRPr="00B31292">
        <w:rPr>
          <w:rFonts w:ascii="Garamond" w:eastAsia="Times New Roman" w:hAnsi="Garamond" w:cs="Times New Roman"/>
          <w:sz w:val="24"/>
          <w:szCs w:val="24"/>
        </w:rPr>
        <w:t>Të dhënat e Sistemit të Integruar E</w:t>
      </w:r>
      <w:r w:rsidR="00E710A3" w:rsidRPr="00B31292">
        <w:rPr>
          <w:rFonts w:ascii="Garamond" w:eastAsia="Times New Roman" w:hAnsi="Garamond" w:cs="Times New Roman"/>
          <w:sz w:val="24"/>
          <w:szCs w:val="24"/>
        </w:rPr>
        <w:t>v</w:t>
      </w:r>
      <w:r w:rsidRPr="00B31292">
        <w:rPr>
          <w:rFonts w:ascii="Garamond" w:eastAsia="Times New Roman" w:hAnsi="Garamond" w:cs="Times New Roman"/>
          <w:sz w:val="24"/>
          <w:szCs w:val="24"/>
        </w:rPr>
        <w:t>ropian për Mbrojtjen Sociale (ESSPROS) bazohen në Rregulloren e Parlamentit dhe K</w:t>
      </w:r>
      <w:r w:rsidR="00BC6D72" w:rsidRPr="00B31292">
        <w:rPr>
          <w:rFonts w:ascii="Garamond" w:eastAsia="Times New Roman" w:hAnsi="Garamond" w:cs="Times New Roman"/>
          <w:sz w:val="24"/>
          <w:szCs w:val="24"/>
        </w:rPr>
        <w:t xml:space="preserve">ëshillit Evropian </w:t>
      </w:r>
      <w:r w:rsidR="00120B26" w:rsidRPr="00B31292">
        <w:rPr>
          <w:rFonts w:ascii="Garamond" w:eastAsia="Times New Roman" w:hAnsi="Garamond" w:cs="Times New Roman"/>
          <w:sz w:val="24"/>
          <w:szCs w:val="24"/>
        </w:rPr>
        <w:t>n</w:t>
      </w:r>
      <w:r w:rsidR="00BC6D72" w:rsidRPr="00B31292">
        <w:rPr>
          <w:rFonts w:ascii="Garamond" w:eastAsia="Times New Roman" w:hAnsi="Garamond" w:cs="Times New Roman"/>
          <w:sz w:val="24"/>
          <w:szCs w:val="24"/>
        </w:rPr>
        <w:t>r. 458/2007</w:t>
      </w:r>
      <w:r w:rsidR="00120B26" w:rsidRPr="00B31292">
        <w:rPr>
          <w:rFonts w:ascii="Garamond" w:eastAsia="Times New Roman" w:hAnsi="Garamond" w:cs="Times New Roman"/>
          <w:sz w:val="24"/>
          <w:szCs w:val="24"/>
        </w:rPr>
        <w:t>,</w:t>
      </w:r>
      <w:r w:rsidR="00BC6D72" w:rsidRPr="00B31292">
        <w:rPr>
          <w:rFonts w:ascii="Garamond" w:eastAsia="Times New Roman" w:hAnsi="Garamond" w:cs="Times New Roman"/>
          <w:sz w:val="24"/>
          <w:szCs w:val="24"/>
        </w:rPr>
        <w:t xml:space="preserve"> </w:t>
      </w:r>
      <w:r w:rsidR="00BA12C3" w:rsidRPr="00B31292">
        <w:rPr>
          <w:rFonts w:ascii="Garamond" w:eastAsia="Times New Roman" w:hAnsi="Garamond" w:cs="Times New Roman"/>
          <w:sz w:val="24"/>
          <w:szCs w:val="24"/>
        </w:rPr>
        <w:t>“</w:t>
      </w:r>
      <w:r w:rsidRPr="00B31292">
        <w:rPr>
          <w:rFonts w:ascii="Garamond" w:eastAsia="Times New Roman" w:hAnsi="Garamond" w:cs="Times New Roman"/>
          <w:sz w:val="24"/>
          <w:szCs w:val="24"/>
        </w:rPr>
        <w:t>Për sistemin evropian të statistikave të integruara të mbrojtjes sociale</w:t>
      </w:r>
      <w:r w:rsidR="00BA12C3" w:rsidRPr="00B31292">
        <w:rPr>
          <w:rFonts w:ascii="Garamond" w:eastAsia="Times New Roman" w:hAnsi="Garamond" w:cs="Times New Roman"/>
          <w:sz w:val="24"/>
          <w:szCs w:val="24"/>
        </w:rPr>
        <w:t>”</w:t>
      </w:r>
      <w:r w:rsidR="00E710A3" w:rsidRPr="00B31292">
        <w:rPr>
          <w:rFonts w:ascii="Garamond" w:eastAsia="Times New Roman" w:hAnsi="Garamond" w:cs="Times New Roman"/>
          <w:sz w:val="24"/>
          <w:szCs w:val="24"/>
        </w:rPr>
        <w:t>,</w:t>
      </w:r>
      <w:r w:rsidRPr="00B31292">
        <w:rPr>
          <w:rFonts w:ascii="Garamond" w:eastAsia="Times New Roman" w:hAnsi="Garamond" w:cs="Times New Roman"/>
          <w:sz w:val="24"/>
          <w:szCs w:val="24"/>
        </w:rPr>
        <w:t xml:space="preserve"> si dhe nga rregulloret e Komisionit </w:t>
      </w:r>
      <w:r w:rsidR="00BA12C3" w:rsidRPr="00B31292">
        <w:rPr>
          <w:rFonts w:ascii="Garamond" w:eastAsia="Times New Roman" w:hAnsi="Garamond" w:cs="Times New Roman"/>
          <w:sz w:val="24"/>
          <w:szCs w:val="24"/>
        </w:rPr>
        <w:t>nr</w:t>
      </w:r>
      <w:r w:rsidRPr="00B31292">
        <w:rPr>
          <w:rFonts w:ascii="Garamond" w:eastAsia="Times New Roman" w:hAnsi="Garamond" w:cs="Times New Roman"/>
          <w:sz w:val="24"/>
          <w:szCs w:val="24"/>
        </w:rPr>
        <w:t>. 1322/2007</w:t>
      </w:r>
      <w:r w:rsidR="00BA12C3" w:rsidRPr="00B31292">
        <w:rPr>
          <w:rFonts w:ascii="Garamond" w:eastAsia="Times New Roman" w:hAnsi="Garamond" w:cs="Times New Roman"/>
          <w:sz w:val="24"/>
          <w:szCs w:val="24"/>
        </w:rPr>
        <w:t>,</w:t>
      </w:r>
      <w:r w:rsidRPr="00B31292">
        <w:rPr>
          <w:rFonts w:ascii="Garamond" w:eastAsia="Times New Roman" w:hAnsi="Garamond" w:cs="Times New Roman"/>
          <w:sz w:val="24"/>
          <w:szCs w:val="24"/>
        </w:rPr>
        <w:t xml:space="preserve"> </w:t>
      </w:r>
      <w:r w:rsidR="00BA12C3" w:rsidRPr="00B31292">
        <w:rPr>
          <w:rFonts w:ascii="Garamond" w:eastAsia="Times New Roman" w:hAnsi="Garamond" w:cs="Times New Roman"/>
          <w:sz w:val="24"/>
          <w:szCs w:val="24"/>
        </w:rPr>
        <w:t>“</w:t>
      </w:r>
      <w:r w:rsidRPr="00B31292">
        <w:rPr>
          <w:rFonts w:ascii="Garamond" w:eastAsia="Times New Roman" w:hAnsi="Garamond" w:cs="Times New Roman"/>
          <w:sz w:val="24"/>
          <w:szCs w:val="24"/>
        </w:rPr>
        <w:t>Për formatin e duhur të transmetimit dhe kriteret e matjes së cilësisë së ESSPROS</w:t>
      </w:r>
      <w:r w:rsidR="00BA12C3" w:rsidRPr="00B31292">
        <w:rPr>
          <w:rFonts w:ascii="Garamond" w:eastAsia="Times New Roman" w:hAnsi="Garamond" w:cs="Times New Roman"/>
          <w:sz w:val="24"/>
          <w:szCs w:val="24"/>
        </w:rPr>
        <w:t>”</w:t>
      </w:r>
      <w:r w:rsidRPr="00B31292">
        <w:rPr>
          <w:rFonts w:ascii="Garamond" w:eastAsia="Times New Roman" w:hAnsi="Garamond" w:cs="Times New Roman"/>
          <w:sz w:val="24"/>
          <w:szCs w:val="24"/>
        </w:rPr>
        <w:t xml:space="preserve"> </w:t>
      </w:r>
      <w:r w:rsidR="00BA12C3" w:rsidRPr="00B31292">
        <w:rPr>
          <w:rFonts w:ascii="Garamond" w:eastAsia="Times New Roman" w:hAnsi="Garamond" w:cs="Times New Roman"/>
          <w:sz w:val="24"/>
          <w:szCs w:val="24"/>
        </w:rPr>
        <w:t>nr</w:t>
      </w:r>
      <w:r w:rsidRPr="00B31292">
        <w:rPr>
          <w:rFonts w:ascii="Garamond" w:eastAsia="Times New Roman" w:hAnsi="Garamond" w:cs="Times New Roman"/>
          <w:sz w:val="24"/>
          <w:szCs w:val="24"/>
        </w:rPr>
        <w:t>.</w:t>
      </w:r>
      <w:r w:rsidR="00BA12C3" w:rsidRPr="00B31292">
        <w:rPr>
          <w:rFonts w:ascii="Garamond" w:eastAsia="Times New Roman" w:hAnsi="Garamond" w:cs="Times New Roman"/>
          <w:sz w:val="24"/>
          <w:szCs w:val="24"/>
        </w:rPr>
        <w:t xml:space="preserve"> </w:t>
      </w:r>
      <w:r w:rsidRPr="00B31292">
        <w:rPr>
          <w:rFonts w:ascii="Garamond" w:eastAsia="Times New Roman" w:hAnsi="Garamond" w:cs="Times New Roman"/>
          <w:sz w:val="24"/>
          <w:szCs w:val="24"/>
        </w:rPr>
        <w:t>10/2008</w:t>
      </w:r>
      <w:r w:rsidR="00BA12C3" w:rsidRPr="00B31292">
        <w:rPr>
          <w:rFonts w:ascii="Garamond" w:eastAsia="Times New Roman" w:hAnsi="Garamond" w:cs="Times New Roman"/>
          <w:sz w:val="24"/>
          <w:szCs w:val="24"/>
        </w:rPr>
        <w:t>,</w:t>
      </w:r>
      <w:r w:rsidRPr="00B31292">
        <w:rPr>
          <w:rFonts w:ascii="Garamond" w:eastAsia="Times New Roman" w:hAnsi="Garamond" w:cs="Times New Roman"/>
          <w:sz w:val="24"/>
          <w:szCs w:val="24"/>
        </w:rPr>
        <w:t xml:space="preserve"> </w:t>
      </w:r>
      <w:r w:rsidR="00BA12C3" w:rsidRPr="00B31292">
        <w:rPr>
          <w:rFonts w:ascii="Garamond" w:eastAsia="Times New Roman" w:hAnsi="Garamond" w:cs="Times New Roman"/>
          <w:sz w:val="24"/>
          <w:szCs w:val="24"/>
        </w:rPr>
        <w:t>“</w:t>
      </w:r>
      <w:r w:rsidRPr="00B31292">
        <w:rPr>
          <w:rFonts w:ascii="Garamond" w:eastAsia="Times New Roman" w:hAnsi="Garamond" w:cs="Times New Roman"/>
          <w:sz w:val="24"/>
          <w:szCs w:val="24"/>
        </w:rPr>
        <w:t xml:space="preserve">Për klasifikimet dhe rregullat e </w:t>
      </w:r>
      <w:r w:rsidR="00BA12C3" w:rsidRPr="00B31292">
        <w:rPr>
          <w:rFonts w:ascii="Garamond" w:eastAsia="Times New Roman" w:hAnsi="Garamond" w:cs="Times New Roman"/>
          <w:sz w:val="24"/>
          <w:szCs w:val="24"/>
        </w:rPr>
        <w:t>shpërndarjes</w:t>
      </w:r>
      <w:r w:rsidRPr="00B31292">
        <w:rPr>
          <w:rFonts w:ascii="Garamond" w:eastAsia="Times New Roman" w:hAnsi="Garamond" w:cs="Times New Roman"/>
          <w:sz w:val="24"/>
          <w:szCs w:val="24"/>
        </w:rPr>
        <w:t xml:space="preserve"> </w:t>
      </w:r>
      <w:r w:rsidR="00BC6D72" w:rsidRPr="00B31292">
        <w:rPr>
          <w:rFonts w:ascii="Garamond" w:eastAsia="Times New Roman" w:hAnsi="Garamond" w:cs="Times New Roman"/>
          <w:sz w:val="24"/>
          <w:szCs w:val="24"/>
        </w:rPr>
        <w:t>së statistikave të ESSPROS</w:t>
      </w:r>
      <w:r w:rsidR="00BA12C3" w:rsidRPr="00B31292">
        <w:rPr>
          <w:rFonts w:ascii="Garamond" w:eastAsia="Times New Roman" w:hAnsi="Garamond" w:cs="Times New Roman"/>
          <w:sz w:val="24"/>
          <w:szCs w:val="24"/>
        </w:rPr>
        <w:t>”</w:t>
      </w:r>
      <w:r w:rsidR="00120B26" w:rsidRPr="00B31292">
        <w:rPr>
          <w:rFonts w:ascii="Garamond" w:eastAsia="Times New Roman" w:hAnsi="Garamond" w:cs="Times New Roman"/>
          <w:sz w:val="24"/>
          <w:szCs w:val="24"/>
        </w:rPr>
        <w:t>;</w:t>
      </w:r>
      <w:r w:rsidR="00BC6D72" w:rsidRPr="00B31292">
        <w:rPr>
          <w:rFonts w:ascii="Garamond" w:eastAsia="Times New Roman" w:hAnsi="Garamond" w:cs="Times New Roman"/>
          <w:sz w:val="24"/>
          <w:szCs w:val="24"/>
        </w:rPr>
        <w:t xml:space="preserve"> </w:t>
      </w:r>
      <w:r w:rsidR="00BA12C3" w:rsidRPr="00B31292">
        <w:rPr>
          <w:rFonts w:ascii="Garamond" w:eastAsia="Times New Roman" w:hAnsi="Garamond" w:cs="Times New Roman"/>
          <w:sz w:val="24"/>
          <w:szCs w:val="24"/>
        </w:rPr>
        <w:t>nr</w:t>
      </w:r>
      <w:r w:rsidR="00BC6D72" w:rsidRPr="00B31292">
        <w:rPr>
          <w:rFonts w:ascii="Garamond" w:eastAsia="Times New Roman" w:hAnsi="Garamond" w:cs="Times New Roman"/>
          <w:sz w:val="24"/>
          <w:szCs w:val="24"/>
        </w:rPr>
        <w:t xml:space="preserve">. </w:t>
      </w:r>
      <w:r w:rsidRPr="00B31292">
        <w:rPr>
          <w:rFonts w:ascii="Garamond" w:eastAsia="Times New Roman" w:hAnsi="Garamond" w:cs="Times New Roman"/>
          <w:sz w:val="24"/>
          <w:szCs w:val="24"/>
        </w:rPr>
        <w:t>110/2011</w:t>
      </w:r>
      <w:r w:rsidR="00BA12C3" w:rsidRPr="00B31292">
        <w:rPr>
          <w:rFonts w:ascii="Garamond" w:eastAsia="Times New Roman" w:hAnsi="Garamond" w:cs="Times New Roman"/>
          <w:sz w:val="24"/>
          <w:szCs w:val="24"/>
        </w:rPr>
        <w:t>,</w:t>
      </w:r>
      <w:r w:rsidRPr="00B31292">
        <w:rPr>
          <w:rFonts w:ascii="Garamond" w:eastAsia="Times New Roman" w:hAnsi="Garamond" w:cs="Times New Roman"/>
          <w:sz w:val="24"/>
          <w:szCs w:val="24"/>
        </w:rPr>
        <w:t xml:space="preserve"> </w:t>
      </w:r>
      <w:r w:rsidR="00BA12C3" w:rsidRPr="00B31292">
        <w:rPr>
          <w:rFonts w:ascii="Garamond" w:eastAsia="Times New Roman" w:hAnsi="Garamond" w:cs="Times New Roman"/>
          <w:sz w:val="24"/>
          <w:szCs w:val="24"/>
        </w:rPr>
        <w:t>“</w:t>
      </w:r>
      <w:r w:rsidRPr="00B31292">
        <w:rPr>
          <w:rFonts w:ascii="Garamond" w:eastAsia="Times New Roman" w:hAnsi="Garamond" w:cs="Times New Roman"/>
          <w:sz w:val="24"/>
          <w:szCs w:val="24"/>
        </w:rPr>
        <w:t>Për formatin e duhur të transmetimit dhe kriteret e matjes së cilësisë së ESSPROS</w:t>
      </w:r>
      <w:r w:rsidR="00BA12C3" w:rsidRPr="00B31292">
        <w:rPr>
          <w:rFonts w:ascii="Garamond" w:eastAsia="Times New Roman" w:hAnsi="Garamond" w:cs="Times New Roman"/>
          <w:sz w:val="24"/>
          <w:szCs w:val="24"/>
        </w:rPr>
        <w:t>”</w:t>
      </w:r>
      <w:r w:rsidR="00120B26" w:rsidRPr="00B31292">
        <w:rPr>
          <w:rFonts w:ascii="Garamond" w:eastAsia="Times New Roman" w:hAnsi="Garamond" w:cs="Times New Roman"/>
          <w:sz w:val="24"/>
          <w:szCs w:val="24"/>
        </w:rPr>
        <w:t>;</w:t>
      </w:r>
      <w:r w:rsidRPr="00B31292">
        <w:rPr>
          <w:rFonts w:ascii="Garamond" w:eastAsia="Times New Roman" w:hAnsi="Garamond" w:cs="Times New Roman"/>
          <w:sz w:val="24"/>
          <w:szCs w:val="24"/>
        </w:rPr>
        <w:t xml:space="preserve"> </w:t>
      </w:r>
      <w:r w:rsidR="00BA12C3" w:rsidRPr="00B31292">
        <w:rPr>
          <w:rFonts w:ascii="Garamond" w:eastAsia="Times New Roman" w:hAnsi="Garamond" w:cs="Times New Roman"/>
          <w:sz w:val="24"/>
          <w:szCs w:val="24"/>
        </w:rPr>
        <w:t>nr</w:t>
      </w:r>
      <w:r w:rsidRPr="00B31292">
        <w:rPr>
          <w:rFonts w:ascii="Garamond" w:eastAsia="Times New Roman" w:hAnsi="Garamond" w:cs="Times New Roman"/>
          <w:sz w:val="24"/>
          <w:szCs w:val="24"/>
        </w:rPr>
        <w:t>.</w:t>
      </w:r>
      <w:r w:rsidR="00BA12C3" w:rsidRPr="00B31292">
        <w:rPr>
          <w:rFonts w:ascii="Garamond" w:eastAsia="Times New Roman" w:hAnsi="Garamond" w:cs="Times New Roman"/>
          <w:sz w:val="24"/>
          <w:szCs w:val="24"/>
        </w:rPr>
        <w:t xml:space="preserve"> </w:t>
      </w:r>
      <w:r w:rsidRPr="00B31292">
        <w:rPr>
          <w:rFonts w:ascii="Garamond" w:eastAsia="Times New Roman" w:hAnsi="Garamond" w:cs="Times New Roman"/>
          <w:sz w:val="24"/>
          <w:szCs w:val="24"/>
        </w:rPr>
        <w:t>263/2011</w:t>
      </w:r>
      <w:r w:rsidR="00BA12C3" w:rsidRPr="00B31292">
        <w:rPr>
          <w:rFonts w:ascii="Garamond" w:eastAsia="Times New Roman" w:hAnsi="Garamond" w:cs="Times New Roman"/>
          <w:sz w:val="24"/>
          <w:szCs w:val="24"/>
        </w:rPr>
        <w:t>,</w:t>
      </w:r>
      <w:r w:rsidRPr="00B31292">
        <w:rPr>
          <w:rFonts w:ascii="Garamond" w:eastAsia="Times New Roman" w:hAnsi="Garamond" w:cs="Times New Roman"/>
          <w:sz w:val="24"/>
          <w:szCs w:val="24"/>
        </w:rPr>
        <w:t xml:space="preserve"> </w:t>
      </w:r>
      <w:r w:rsidR="00BA12C3" w:rsidRPr="00B31292">
        <w:rPr>
          <w:rFonts w:ascii="Garamond" w:eastAsia="Times New Roman" w:hAnsi="Garamond" w:cs="Times New Roman"/>
          <w:sz w:val="24"/>
          <w:szCs w:val="24"/>
        </w:rPr>
        <w:t>“</w:t>
      </w:r>
      <w:r w:rsidR="00BC6D72" w:rsidRPr="00B31292">
        <w:rPr>
          <w:rFonts w:ascii="Garamond" w:eastAsia="Times New Roman" w:hAnsi="Garamond" w:cs="Times New Roman"/>
          <w:sz w:val="24"/>
          <w:szCs w:val="24"/>
        </w:rPr>
        <w:t xml:space="preserve">Për </w:t>
      </w:r>
      <w:r w:rsidRPr="00B31292">
        <w:rPr>
          <w:rFonts w:ascii="Garamond" w:eastAsia="Times New Roman" w:hAnsi="Garamond" w:cs="Times New Roman"/>
          <w:sz w:val="24"/>
          <w:szCs w:val="24"/>
        </w:rPr>
        <w:t xml:space="preserve">lançimin e mbledhjes së plotë të </w:t>
      </w:r>
      <w:r w:rsidR="007341D3" w:rsidRPr="00B31292">
        <w:rPr>
          <w:rFonts w:ascii="Garamond" w:eastAsia="Times New Roman" w:hAnsi="Garamond" w:cs="Times New Roman"/>
          <w:sz w:val="24"/>
          <w:szCs w:val="24"/>
        </w:rPr>
        <w:t>të dhënave të ESSPROS</w:t>
      </w:r>
      <w:r w:rsidR="00BA12C3" w:rsidRPr="00B31292">
        <w:rPr>
          <w:rFonts w:ascii="Garamond" w:eastAsia="Times New Roman" w:hAnsi="Garamond" w:cs="Times New Roman"/>
          <w:sz w:val="24"/>
          <w:szCs w:val="24"/>
        </w:rPr>
        <w:t>”</w:t>
      </w:r>
      <w:r w:rsidR="007341D3" w:rsidRPr="00B31292">
        <w:rPr>
          <w:rFonts w:ascii="Garamond" w:eastAsia="Times New Roman" w:hAnsi="Garamond" w:cs="Times New Roman"/>
          <w:sz w:val="24"/>
          <w:szCs w:val="24"/>
        </w:rPr>
        <w:t xml:space="preserve"> dhe janë </w:t>
      </w:r>
      <w:r w:rsidR="007738CC" w:rsidRPr="00B31292">
        <w:rPr>
          <w:rFonts w:ascii="Garamond" w:eastAsia="Times New Roman" w:hAnsi="Garamond" w:cs="Times New Roman"/>
          <w:sz w:val="24"/>
          <w:szCs w:val="24"/>
        </w:rPr>
        <w:t xml:space="preserve">pjesërisht </w:t>
      </w:r>
      <w:r w:rsidR="007341D3" w:rsidRPr="00B31292">
        <w:rPr>
          <w:rFonts w:ascii="Garamond" w:eastAsia="Times New Roman" w:hAnsi="Garamond" w:cs="Times New Roman"/>
          <w:sz w:val="24"/>
          <w:szCs w:val="24"/>
        </w:rPr>
        <w:t>të përputhshme me kërkesat e këtyre rregulloreve.</w:t>
      </w:r>
    </w:p>
    <w:p w14:paraId="3A3780CA" w14:textId="63323A32" w:rsidR="009F5DCC" w:rsidRPr="00B31292" w:rsidRDefault="009F5DCC" w:rsidP="003A4DBA">
      <w:pPr>
        <w:keepNext/>
        <w:keepLines/>
        <w:spacing w:after="0" w:line="240" w:lineRule="auto"/>
        <w:ind w:firstLine="284"/>
        <w:outlineLvl w:val="4"/>
        <w:rPr>
          <w:rFonts w:ascii="Garamond" w:eastAsia="Times New Roman" w:hAnsi="Garamond" w:cs="Times New Roman"/>
          <w:b/>
          <w:iCs/>
          <w:sz w:val="24"/>
          <w:szCs w:val="24"/>
        </w:rPr>
      </w:pPr>
      <w:r w:rsidRPr="00B31292">
        <w:rPr>
          <w:rFonts w:ascii="Garamond" w:eastAsia="Times New Roman" w:hAnsi="Garamond" w:cs="Times New Roman"/>
          <w:b/>
          <w:iCs/>
          <w:sz w:val="24"/>
          <w:szCs w:val="24"/>
        </w:rPr>
        <w:t xml:space="preserve">Tema 1.7 </w:t>
      </w:r>
      <w:r w:rsidR="00BA12C3" w:rsidRPr="00B31292">
        <w:rPr>
          <w:rFonts w:ascii="Garamond" w:eastAsia="Times New Roman" w:hAnsi="Garamond" w:cs="Times New Roman"/>
          <w:b/>
          <w:iCs/>
          <w:sz w:val="24"/>
          <w:szCs w:val="24"/>
        </w:rPr>
        <w:t>“</w:t>
      </w:r>
      <w:r w:rsidRPr="00B31292">
        <w:rPr>
          <w:rFonts w:ascii="Garamond" w:eastAsia="Times New Roman" w:hAnsi="Garamond" w:cs="Times New Roman"/>
          <w:b/>
          <w:iCs/>
          <w:sz w:val="24"/>
          <w:szCs w:val="24"/>
        </w:rPr>
        <w:t xml:space="preserve">Drejtësia dhe </w:t>
      </w:r>
      <w:r w:rsidR="00BA12C3" w:rsidRPr="00B31292">
        <w:rPr>
          <w:rFonts w:ascii="Garamond" w:eastAsia="Times New Roman" w:hAnsi="Garamond" w:cs="Times New Roman"/>
          <w:b/>
          <w:iCs/>
          <w:sz w:val="24"/>
          <w:szCs w:val="24"/>
        </w:rPr>
        <w:t>k</w:t>
      </w:r>
      <w:r w:rsidRPr="00B31292">
        <w:rPr>
          <w:rFonts w:ascii="Garamond" w:eastAsia="Times New Roman" w:hAnsi="Garamond" w:cs="Times New Roman"/>
          <w:b/>
          <w:iCs/>
          <w:sz w:val="24"/>
          <w:szCs w:val="24"/>
        </w:rPr>
        <w:t>rimi</w:t>
      </w:r>
      <w:r w:rsidR="00BA12C3" w:rsidRPr="00B31292">
        <w:rPr>
          <w:rFonts w:ascii="Garamond" w:eastAsia="Times New Roman" w:hAnsi="Garamond" w:cs="Times New Roman"/>
          <w:b/>
          <w:iCs/>
          <w:sz w:val="24"/>
          <w:szCs w:val="24"/>
        </w:rPr>
        <w:t>”</w:t>
      </w:r>
    </w:p>
    <w:p w14:paraId="7E548A17" w14:textId="6C27214D" w:rsidR="009377D6" w:rsidRPr="00B31292" w:rsidRDefault="009377D6" w:rsidP="003A4DBA">
      <w:pPr>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Të dhënat e drejtësisë dhe krimit janë të bazuara në të dhëna zyrtare, të grupuara, nga burimet administrative.</w:t>
      </w:r>
    </w:p>
    <w:p w14:paraId="0C4283DA" w14:textId="42790268" w:rsidR="009F5DCC" w:rsidRPr="00B31292" w:rsidRDefault="009F5DCC" w:rsidP="003A4DBA">
      <w:pPr>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 xml:space="preserve">Kjo temë përbëhet nga nëntema 1.7.1 </w:t>
      </w:r>
      <w:r w:rsidR="00BA12C3" w:rsidRPr="00B31292">
        <w:rPr>
          <w:rFonts w:ascii="Garamond" w:hAnsi="Garamond" w:cs="Times New Roman"/>
          <w:sz w:val="24"/>
          <w:szCs w:val="24"/>
        </w:rPr>
        <w:t>“</w:t>
      </w:r>
      <w:r w:rsidRPr="00B31292">
        <w:rPr>
          <w:rFonts w:ascii="Garamond" w:hAnsi="Garamond" w:cs="Times New Roman"/>
          <w:i/>
          <w:sz w:val="24"/>
          <w:szCs w:val="24"/>
        </w:rPr>
        <w:t>Statistikat e kriminalitetit dhe drejtësisë</w:t>
      </w:r>
      <w:r w:rsidR="00BA12C3" w:rsidRPr="00B31292">
        <w:rPr>
          <w:rFonts w:ascii="Garamond" w:hAnsi="Garamond" w:cs="Times New Roman"/>
          <w:sz w:val="24"/>
          <w:szCs w:val="24"/>
        </w:rPr>
        <w:t>”</w:t>
      </w:r>
      <w:r w:rsidRPr="00B31292">
        <w:rPr>
          <w:rFonts w:ascii="Garamond" w:hAnsi="Garamond" w:cs="Times New Roman"/>
          <w:sz w:val="24"/>
          <w:szCs w:val="24"/>
        </w:rPr>
        <w:t>, e cila do të zbatohet nga INSTAT</w:t>
      </w:r>
      <w:r w:rsidR="00BA12C3" w:rsidRPr="00B31292">
        <w:rPr>
          <w:rFonts w:ascii="Garamond" w:hAnsi="Garamond" w:cs="Times New Roman"/>
          <w:sz w:val="24"/>
          <w:szCs w:val="24"/>
        </w:rPr>
        <w:t>-i</w:t>
      </w:r>
      <w:r w:rsidRPr="00B31292">
        <w:rPr>
          <w:rFonts w:ascii="Garamond" w:hAnsi="Garamond" w:cs="Times New Roman"/>
          <w:sz w:val="24"/>
          <w:szCs w:val="24"/>
        </w:rPr>
        <w:t xml:space="preserve"> nëpërmjet përmbushjes së aktiviteteve statistikore me frekuencë vjetore</w:t>
      </w:r>
      <w:r w:rsidR="00120B26" w:rsidRPr="00B31292">
        <w:rPr>
          <w:rFonts w:ascii="Garamond" w:hAnsi="Garamond" w:cs="Times New Roman"/>
          <w:sz w:val="24"/>
          <w:szCs w:val="24"/>
        </w:rPr>
        <w:t>,</w:t>
      </w:r>
      <w:r w:rsidRPr="00B31292">
        <w:rPr>
          <w:rFonts w:ascii="Garamond" w:hAnsi="Garamond" w:cs="Times New Roman"/>
          <w:sz w:val="24"/>
          <w:szCs w:val="24"/>
        </w:rPr>
        <w:t xml:space="preserve"> si</w:t>
      </w:r>
      <w:r w:rsidR="00120B26" w:rsidRPr="00B31292">
        <w:rPr>
          <w:rFonts w:ascii="Garamond" w:hAnsi="Garamond" w:cs="Times New Roman"/>
          <w:sz w:val="24"/>
          <w:szCs w:val="24"/>
        </w:rPr>
        <w:t>:</w:t>
      </w:r>
      <w:r w:rsidRPr="00B31292">
        <w:rPr>
          <w:rFonts w:ascii="Garamond" w:hAnsi="Garamond" w:cs="Times New Roman"/>
          <w:sz w:val="24"/>
          <w:szCs w:val="24"/>
        </w:rPr>
        <w:t xml:space="preserve"> </w:t>
      </w:r>
      <w:r w:rsidR="00BA12C3" w:rsidRPr="00B31292">
        <w:rPr>
          <w:rFonts w:ascii="Garamond" w:hAnsi="Garamond" w:cs="Times New Roman"/>
          <w:sz w:val="24"/>
          <w:szCs w:val="24"/>
        </w:rPr>
        <w:t>“</w:t>
      </w:r>
      <w:r w:rsidRPr="00B31292">
        <w:rPr>
          <w:rFonts w:ascii="Garamond" w:hAnsi="Garamond" w:cs="Times New Roman"/>
          <w:sz w:val="24"/>
          <w:szCs w:val="24"/>
        </w:rPr>
        <w:t>Statistikat e kriminalitetit, veprave penale, procedimeve penale</w:t>
      </w:r>
      <w:r w:rsidR="00BA12C3" w:rsidRPr="00B31292">
        <w:rPr>
          <w:rFonts w:ascii="Garamond" w:hAnsi="Garamond" w:cs="Times New Roman"/>
          <w:sz w:val="24"/>
          <w:szCs w:val="24"/>
        </w:rPr>
        <w:t>”</w:t>
      </w:r>
      <w:r w:rsidRPr="00B31292">
        <w:rPr>
          <w:rFonts w:ascii="Garamond" w:hAnsi="Garamond" w:cs="Times New Roman"/>
          <w:sz w:val="24"/>
          <w:szCs w:val="24"/>
        </w:rPr>
        <w:t xml:space="preserve">, </w:t>
      </w:r>
      <w:r w:rsidR="00BA12C3" w:rsidRPr="00B31292">
        <w:rPr>
          <w:rFonts w:ascii="Garamond" w:hAnsi="Garamond" w:cs="Times New Roman"/>
          <w:sz w:val="24"/>
          <w:szCs w:val="24"/>
        </w:rPr>
        <w:t>“</w:t>
      </w:r>
      <w:r w:rsidRPr="00B31292">
        <w:rPr>
          <w:rFonts w:ascii="Garamond" w:hAnsi="Garamond" w:cs="Times New Roman"/>
          <w:sz w:val="24"/>
          <w:szCs w:val="24"/>
        </w:rPr>
        <w:t>Statistikat e personave të dyshuar, të pandehur dhe të burgosur</w:t>
      </w:r>
      <w:r w:rsidR="00BA12C3" w:rsidRPr="00B31292">
        <w:rPr>
          <w:rFonts w:ascii="Garamond" w:hAnsi="Garamond" w:cs="Times New Roman"/>
          <w:sz w:val="24"/>
          <w:szCs w:val="24"/>
        </w:rPr>
        <w:t>”</w:t>
      </w:r>
      <w:r w:rsidRPr="00B31292">
        <w:rPr>
          <w:rFonts w:ascii="Garamond" w:hAnsi="Garamond" w:cs="Times New Roman"/>
          <w:sz w:val="24"/>
          <w:szCs w:val="24"/>
        </w:rPr>
        <w:t xml:space="preserve">, </w:t>
      </w:r>
      <w:r w:rsidR="00BA12C3" w:rsidRPr="00B31292">
        <w:rPr>
          <w:rFonts w:ascii="Garamond" w:hAnsi="Garamond" w:cs="Times New Roman"/>
          <w:sz w:val="24"/>
          <w:szCs w:val="24"/>
        </w:rPr>
        <w:t>“</w:t>
      </w:r>
      <w:r w:rsidRPr="00B31292">
        <w:rPr>
          <w:rFonts w:ascii="Garamond" w:hAnsi="Garamond" w:cs="Times New Roman"/>
          <w:sz w:val="24"/>
          <w:szCs w:val="24"/>
        </w:rPr>
        <w:t>Statistikat e personave të dënuar dhe të pafajshëm</w:t>
      </w:r>
      <w:r w:rsidR="00BA12C3" w:rsidRPr="00B31292">
        <w:rPr>
          <w:rFonts w:ascii="Garamond" w:hAnsi="Garamond" w:cs="Times New Roman"/>
          <w:sz w:val="24"/>
          <w:szCs w:val="24"/>
        </w:rPr>
        <w:t>”</w:t>
      </w:r>
      <w:r w:rsidRPr="00B31292">
        <w:rPr>
          <w:rFonts w:ascii="Garamond" w:hAnsi="Garamond" w:cs="Times New Roman"/>
          <w:sz w:val="24"/>
          <w:szCs w:val="24"/>
        </w:rPr>
        <w:t xml:space="preserve">, </w:t>
      </w:r>
      <w:r w:rsidR="00BA12C3" w:rsidRPr="00B31292">
        <w:rPr>
          <w:rFonts w:ascii="Garamond" w:hAnsi="Garamond" w:cs="Times New Roman"/>
          <w:sz w:val="24"/>
          <w:szCs w:val="24"/>
        </w:rPr>
        <w:t>“</w:t>
      </w:r>
      <w:r w:rsidRPr="00B31292">
        <w:rPr>
          <w:rFonts w:ascii="Garamond" w:hAnsi="Garamond" w:cs="Times New Roman"/>
          <w:sz w:val="24"/>
          <w:szCs w:val="24"/>
        </w:rPr>
        <w:t xml:space="preserve">Zbatimi i </w:t>
      </w:r>
      <w:r w:rsidR="00120B26" w:rsidRPr="00B31292">
        <w:rPr>
          <w:rFonts w:ascii="Garamond" w:hAnsi="Garamond" w:cs="Times New Roman"/>
          <w:sz w:val="24"/>
          <w:szCs w:val="24"/>
        </w:rPr>
        <w:t xml:space="preserve">klasifikimit ndërkombëtar të krimeve </w:t>
      </w:r>
      <w:r w:rsidRPr="00B31292">
        <w:rPr>
          <w:rFonts w:ascii="Garamond" w:hAnsi="Garamond" w:cs="Times New Roman"/>
          <w:sz w:val="24"/>
          <w:szCs w:val="24"/>
        </w:rPr>
        <w:t>për qëllime statistikore (ICCS)</w:t>
      </w:r>
      <w:r w:rsidR="00BA12C3" w:rsidRPr="00B31292">
        <w:rPr>
          <w:rFonts w:ascii="Garamond" w:hAnsi="Garamond" w:cs="Times New Roman"/>
          <w:sz w:val="24"/>
          <w:szCs w:val="24"/>
        </w:rPr>
        <w:t>”</w:t>
      </w:r>
      <w:r w:rsidRPr="00B31292">
        <w:rPr>
          <w:rFonts w:ascii="Garamond" w:hAnsi="Garamond" w:cs="Times New Roman"/>
          <w:sz w:val="24"/>
          <w:szCs w:val="24"/>
        </w:rPr>
        <w:t xml:space="preserve">. </w:t>
      </w:r>
    </w:p>
    <w:p w14:paraId="6EC90075" w14:textId="160363DA" w:rsidR="009F5DCC" w:rsidRPr="00B31292" w:rsidRDefault="009F5DCC" w:rsidP="003A4DBA">
      <w:pPr>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 xml:space="preserve">Statistikat mbi veprat penale dhe autorët do të prodhohen nëpërmjet përpunimit të të dhënave administrative të siguruara nga Drejtoria e Përgjithshme e Policisë; </w:t>
      </w:r>
      <w:r w:rsidR="007F4AF2" w:rsidRPr="00B31292">
        <w:rPr>
          <w:rFonts w:ascii="Garamond" w:hAnsi="Garamond" w:cs="Times New Roman"/>
          <w:sz w:val="24"/>
          <w:szCs w:val="24"/>
        </w:rPr>
        <w:t xml:space="preserve">statistikat </w:t>
      </w:r>
      <w:r w:rsidRPr="00B31292">
        <w:rPr>
          <w:rFonts w:ascii="Garamond" w:hAnsi="Garamond" w:cs="Times New Roman"/>
          <w:sz w:val="24"/>
          <w:szCs w:val="24"/>
        </w:rPr>
        <w:t>mbi procedimet penale dhe të pandehurit do të prodhohen nëpërmjet përpunimit të të dhënave administrative të siguruara nga Prokur</w:t>
      </w:r>
      <w:r w:rsidR="00BA12C3" w:rsidRPr="00B31292">
        <w:rPr>
          <w:rFonts w:ascii="Garamond" w:hAnsi="Garamond" w:cs="Times New Roman"/>
          <w:sz w:val="24"/>
          <w:szCs w:val="24"/>
        </w:rPr>
        <w:t>or</w:t>
      </w:r>
      <w:r w:rsidRPr="00B31292">
        <w:rPr>
          <w:rFonts w:ascii="Garamond" w:hAnsi="Garamond" w:cs="Times New Roman"/>
          <w:sz w:val="24"/>
          <w:szCs w:val="24"/>
        </w:rPr>
        <w:t>ia e Përgjithshme;</w:t>
      </w:r>
      <w:r w:rsidR="00472BC7" w:rsidRPr="00B31292">
        <w:rPr>
          <w:rFonts w:ascii="Garamond" w:hAnsi="Garamond" w:cs="Times New Roman"/>
          <w:sz w:val="24"/>
          <w:szCs w:val="24"/>
        </w:rPr>
        <w:t xml:space="preserve"> </w:t>
      </w:r>
      <w:r w:rsidR="007F4AF2" w:rsidRPr="00B31292">
        <w:rPr>
          <w:rFonts w:ascii="Garamond" w:hAnsi="Garamond" w:cs="Times New Roman"/>
          <w:sz w:val="24"/>
          <w:szCs w:val="24"/>
        </w:rPr>
        <w:t xml:space="preserve">statistikat </w:t>
      </w:r>
      <w:r w:rsidRPr="00B31292">
        <w:rPr>
          <w:rFonts w:ascii="Garamond" w:hAnsi="Garamond" w:cs="Times New Roman"/>
          <w:sz w:val="24"/>
          <w:szCs w:val="24"/>
        </w:rPr>
        <w:t xml:space="preserve">mbi të burgosurit do të prodhohen nëpërmjet përpunimit të të dhënave administrative të siguruara nga Drejtoria e Përgjithshme e Burgjeve; </w:t>
      </w:r>
      <w:r w:rsidR="007F4AF2" w:rsidRPr="00B31292">
        <w:rPr>
          <w:rFonts w:ascii="Garamond" w:hAnsi="Garamond" w:cs="Times New Roman"/>
          <w:sz w:val="24"/>
          <w:szCs w:val="24"/>
        </w:rPr>
        <w:t xml:space="preserve">statistikat </w:t>
      </w:r>
      <w:r w:rsidRPr="00B31292">
        <w:rPr>
          <w:rFonts w:ascii="Garamond" w:hAnsi="Garamond" w:cs="Times New Roman"/>
          <w:sz w:val="24"/>
          <w:szCs w:val="24"/>
        </w:rPr>
        <w:t>mbi të dënuarit dhe çështjet penale do të prodhohen nëpërmjet përpunimit të të dhënave administrative të siguruara nga Ministria e Drejtësisë.</w:t>
      </w:r>
    </w:p>
    <w:p w14:paraId="30238689" w14:textId="2FC08958" w:rsidR="009F5DCC" w:rsidRPr="00B31292" w:rsidRDefault="00A54EE9" w:rsidP="003A4DBA">
      <w:pPr>
        <w:spacing w:after="0" w:line="240" w:lineRule="auto"/>
        <w:ind w:firstLine="284"/>
        <w:jc w:val="both"/>
        <w:rPr>
          <w:rFonts w:ascii="Garamond" w:hAnsi="Garamond" w:cs="Times New Roman"/>
          <w:b/>
          <w:sz w:val="24"/>
          <w:szCs w:val="24"/>
        </w:rPr>
      </w:pPr>
      <w:r w:rsidRPr="00B31292">
        <w:rPr>
          <w:rFonts w:ascii="Garamond" w:hAnsi="Garamond" w:cs="Times New Roman"/>
          <w:sz w:val="24"/>
          <w:szCs w:val="24"/>
        </w:rPr>
        <w:t>M</w:t>
      </w:r>
      <w:r w:rsidR="009F5DCC" w:rsidRPr="00B31292">
        <w:rPr>
          <w:rFonts w:ascii="Garamond" w:hAnsi="Garamond" w:cs="Times New Roman"/>
          <w:sz w:val="24"/>
          <w:szCs w:val="24"/>
        </w:rPr>
        <w:t>iratimi i klasifikimit</w:t>
      </w:r>
      <w:r w:rsidRPr="00B31292">
        <w:rPr>
          <w:rFonts w:ascii="Garamond" w:hAnsi="Garamond" w:cs="Times New Roman"/>
          <w:sz w:val="24"/>
          <w:szCs w:val="24"/>
        </w:rPr>
        <w:t xml:space="preserve"> pritej të bëhej gjatë vitit 2023</w:t>
      </w:r>
      <w:r w:rsidR="009F5DCC" w:rsidRPr="00B31292">
        <w:rPr>
          <w:rFonts w:ascii="Garamond" w:hAnsi="Garamond" w:cs="Times New Roman"/>
          <w:sz w:val="24"/>
          <w:szCs w:val="24"/>
        </w:rPr>
        <w:t xml:space="preserve">, por për shkak të ndryshimeve të reja në Kodin Penal, ky proces është ndërprerë dhe pritet të rinisë me miratimin e Kodit të </w:t>
      </w:r>
      <w:r w:rsidR="009C0CE9" w:rsidRPr="00B31292">
        <w:rPr>
          <w:rFonts w:ascii="Garamond" w:hAnsi="Garamond" w:cs="Times New Roman"/>
          <w:sz w:val="24"/>
          <w:szCs w:val="24"/>
        </w:rPr>
        <w:t>r</w:t>
      </w:r>
      <w:r w:rsidR="009F5DCC" w:rsidRPr="00B31292">
        <w:rPr>
          <w:rFonts w:ascii="Garamond" w:hAnsi="Garamond" w:cs="Times New Roman"/>
          <w:sz w:val="24"/>
          <w:szCs w:val="24"/>
        </w:rPr>
        <w:t>i Penal.</w:t>
      </w:r>
    </w:p>
    <w:p w14:paraId="5DECFD53" w14:textId="3366C032" w:rsidR="009F5DCC" w:rsidRPr="00B31292" w:rsidRDefault="009F5DCC" w:rsidP="003A4DBA">
      <w:pPr>
        <w:spacing w:after="0" w:line="240" w:lineRule="auto"/>
        <w:ind w:firstLine="284"/>
        <w:jc w:val="both"/>
        <w:rPr>
          <w:rFonts w:ascii="Garamond" w:hAnsi="Garamond" w:cs="Times New Roman"/>
          <w:sz w:val="24"/>
          <w:szCs w:val="24"/>
        </w:rPr>
      </w:pPr>
      <w:r w:rsidRPr="00B31292">
        <w:rPr>
          <w:rFonts w:ascii="Garamond" w:hAnsi="Garamond" w:cs="Times New Roman"/>
          <w:b/>
          <w:sz w:val="24"/>
          <w:szCs w:val="24"/>
        </w:rPr>
        <w:t>Treguesit kryesorë:</w:t>
      </w:r>
      <w:r w:rsidR="00574CD7" w:rsidRPr="00B31292">
        <w:rPr>
          <w:rFonts w:ascii="Garamond" w:hAnsi="Garamond" w:cs="Times New Roman"/>
          <w:b/>
          <w:sz w:val="24"/>
          <w:szCs w:val="24"/>
        </w:rPr>
        <w:t xml:space="preserve"> </w:t>
      </w:r>
      <w:r w:rsidR="0037387B" w:rsidRPr="00B31292">
        <w:rPr>
          <w:rFonts w:ascii="Garamond" w:hAnsi="Garamond" w:cs="Times New Roman"/>
          <w:sz w:val="24"/>
          <w:szCs w:val="24"/>
        </w:rPr>
        <w:t xml:space="preserve">tregues </w:t>
      </w:r>
      <w:r w:rsidRPr="00B31292">
        <w:rPr>
          <w:rFonts w:ascii="Garamond" w:hAnsi="Garamond" w:cs="Times New Roman"/>
          <w:sz w:val="24"/>
          <w:szCs w:val="24"/>
        </w:rPr>
        <w:t>mbi veprat penale të evidentuara nga policia bazuar në nenet e Kodit Penal; personat e dyshuar nga policia në kryerjen e një vepre penale; tregues mbi procedime penale dhe të pandehur të regjistruar nga Prokuroria; tregues mbi të burgosurit sipas veprave specifike penale, grup</w:t>
      </w:r>
      <w:r w:rsidR="007F4AF2" w:rsidRPr="00B31292">
        <w:rPr>
          <w:rFonts w:ascii="Garamond" w:hAnsi="Garamond" w:cs="Times New Roman"/>
          <w:sz w:val="24"/>
          <w:szCs w:val="24"/>
        </w:rPr>
        <w:t>-</w:t>
      </w:r>
      <w:r w:rsidRPr="00B31292">
        <w:rPr>
          <w:rFonts w:ascii="Garamond" w:hAnsi="Garamond" w:cs="Times New Roman"/>
          <w:sz w:val="24"/>
          <w:szCs w:val="24"/>
        </w:rPr>
        <w:t>moshës dhe gjinisë; të dënuarit me burg dhe të paraburgosur sipas gjinisë, veprave penale dhe grup</w:t>
      </w:r>
      <w:r w:rsidR="007F4AF2" w:rsidRPr="00B31292">
        <w:rPr>
          <w:rFonts w:ascii="Garamond" w:hAnsi="Garamond" w:cs="Times New Roman"/>
          <w:sz w:val="24"/>
          <w:szCs w:val="24"/>
        </w:rPr>
        <w:t>-</w:t>
      </w:r>
      <w:r w:rsidRPr="00B31292">
        <w:rPr>
          <w:rFonts w:ascii="Garamond" w:hAnsi="Garamond" w:cs="Times New Roman"/>
          <w:sz w:val="24"/>
          <w:szCs w:val="24"/>
        </w:rPr>
        <w:t>moshës. Tregues mbi çështje penale dhe të dënuarit nga Gjykatat e Shkallës së Parë, të ndar</w:t>
      </w:r>
      <w:r w:rsidR="00184124" w:rsidRPr="00B31292">
        <w:rPr>
          <w:rFonts w:ascii="Garamond" w:hAnsi="Garamond" w:cs="Times New Roman"/>
          <w:sz w:val="24"/>
          <w:szCs w:val="24"/>
        </w:rPr>
        <w:t>ë</w:t>
      </w:r>
      <w:r w:rsidRPr="00B31292">
        <w:rPr>
          <w:rFonts w:ascii="Garamond" w:hAnsi="Garamond" w:cs="Times New Roman"/>
          <w:sz w:val="24"/>
          <w:szCs w:val="24"/>
        </w:rPr>
        <w:t xml:space="preserve"> sipas gjinisë, dy ndarjeve të mëdha moshore dhe veprave penale.</w:t>
      </w:r>
    </w:p>
    <w:p w14:paraId="2FC30D0A" w14:textId="10E7572A" w:rsidR="009F5DCC" w:rsidRPr="00B31292" w:rsidRDefault="009F5DCC" w:rsidP="003A4DBA">
      <w:pPr>
        <w:spacing w:after="0" w:line="240" w:lineRule="auto"/>
        <w:ind w:firstLine="284"/>
        <w:jc w:val="both"/>
        <w:rPr>
          <w:rFonts w:ascii="Garamond" w:hAnsi="Garamond" w:cs="Times New Roman"/>
          <w:b/>
          <w:sz w:val="24"/>
          <w:szCs w:val="24"/>
        </w:rPr>
      </w:pPr>
      <w:bookmarkStart w:id="23" w:name="_Toc85376983"/>
      <w:bookmarkStart w:id="24" w:name="_Toc85380315"/>
      <w:bookmarkStart w:id="25" w:name="_Toc186909545"/>
      <w:bookmarkStart w:id="26" w:name="_Toc87780247"/>
      <w:r w:rsidRPr="00B31292">
        <w:rPr>
          <w:rFonts w:ascii="Garamond" w:hAnsi="Garamond" w:cs="Times New Roman"/>
          <w:b/>
          <w:sz w:val="24"/>
          <w:szCs w:val="24"/>
        </w:rPr>
        <w:t xml:space="preserve">Përputhshmëria me </w:t>
      </w:r>
      <w:r w:rsidRPr="00B31292">
        <w:rPr>
          <w:rFonts w:ascii="Garamond" w:hAnsi="Garamond" w:cs="Times New Roman"/>
          <w:b/>
          <w:i/>
          <w:iCs/>
          <w:sz w:val="24"/>
          <w:szCs w:val="24"/>
        </w:rPr>
        <w:t>acquis</w:t>
      </w:r>
      <w:bookmarkEnd w:id="23"/>
      <w:bookmarkEnd w:id="24"/>
      <w:bookmarkEnd w:id="25"/>
      <w:bookmarkEnd w:id="26"/>
      <w:r w:rsidRPr="00B31292">
        <w:rPr>
          <w:rFonts w:ascii="Garamond" w:hAnsi="Garamond" w:cs="Times New Roman"/>
          <w:b/>
          <w:sz w:val="24"/>
          <w:szCs w:val="24"/>
        </w:rPr>
        <w:t xml:space="preserve">: </w:t>
      </w:r>
      <w:r w:rsidRPr="00B31292">
        <w:rPr>
          <w:rFonts w:ascii="Garamond" w:eastAsia="Times New Roman" w:hAnsi="Garamond" w:cs="Times New Roman"/>
          <w:i/>
          <w:sz w:val="24"/>
          <w:szCs w:val="24"/>
          <w:lang w:eastAsia="en-GB"/>
        </w:rPr>
        <w:t>Statistikat e drejtësisë dhe krimit</w:t>
      </w:r>
      <w:r w:rsidRPr="00B31292">
        <w:rPr>
          <w:rFonts w:ascii="Garamond" w:eastAsia="Times New Roman" w:hAnsi="Garamond" w:cs="Times New Roman"/>
          <w:sz w:val="24"/>
          <w:szCs w:val="24"/>
          <w:lang w:eastAsia="en-GB"/>
        </w:rPr>
        <w:t xml:space="preserve"> bazohen në legjislacionin kombëtar dhe normat kombëtare të numërimit të veprave dhe personave në sistemin e drejtësisë. Kjo e bën të vështirë krahasueshmërinë e statistikave</w:t>
      </w:r>
      <w:r w:rsidR="00CB02E0" w:rsidRPr="00B31292">
        <w:rPr>
          <w:rFonts w:ascii="Garamond" w:eastAsia="Times New Roman" w:hAnsi="Garamond" w:cs="Times New Roman"/>
          <w:sz w:val="24"/>
          <w:szCs w:val="24"/>
          <w:lang w:eastAsia="en-GB"/>
        </w:rPr>
        <w:t xml:space="preserve"> me ato të vendeve tjera.</w:t>
      </w:r>
      <w:r w:rsidRPr="00B31292">
        <w:rPr>
          <w:rFonts w:ascii="Garamond" w:eastAsia="Times New Roman" w:hAnsi="Garamond" w:cs="Times New Roman"/>
          <w:sz w:val="24"/>
          <w:szCs w:val="24"/>
          <w:lang w:eastAsia="en-GB"/>
        </w:rPr>
        <w:t xml:space="preserve"> Për këtë arsye, përfundimi dhe </w:t>
      </w:r>
      <w:r w:rsidRPr="00B31292">
        <w:rPr>
          <w:rFonts w:ascii="Garamond" w:eastAsia="Times New Roman" w:hAnsi="Garamond" w:cs="Times New Roman"/>
          <w:sz w:val="24"/>
          <w:szCs w:val="24"/>
          <w:lang w:eastAsia="en-GB"/>
        </w:rPr>
        <w:lastRenderedPageBreak/>
        <w:t xml:space="preserve">miratimi i </w:t>
      </w:r>
      <w:r w:rsidR="0037387B" w:rsidRPr="00B31292">
        <w:rPr>
          <w:rFonts w:ascii="Garamond" w:eastAsia="Times New Roman" w:hAnsi="Garamond" w:cs="Times New Roman"/>
          <w:sz w:val="24"/>
          <w:szCs w:val="24"/>
          <w:lang w:eastAsia="en-GB"/>
        </w:rPr>
        <w:t xml:space="preserve">klasifikimit ndërkombëtar të statistikave të krimeve për qëllime </w:t>
      </w:r>
      <w:r w:rsidRPr="00B31292">
        <w:rPr>
          <w:rFonts w:ascii="Garamond" w:eastAsia="Times New Roman" w:hAnsi="Garamond" w:cs="Times New Roman"/>
          <w:sz w:val="24"/>
          <w:szCs w:val="24"/>
          <w:lang w:eastAsia="en-GB"/>
        </w:rPr>
        <w:t>statistikore (ICCS) do të sigurojë një kornizë për prodhimin e statistikave të krahasueshme.</w:t>
      </w:r>
    </w:p>
    <w:p w14:paraId="68D7F82B" w14:textId="35B32739" w:rsidR="009F5DCC" w:rsidRPr="00B31292" w:rsidRDefault="009F5DCC" w:rsidP="003A4DBA">
      <w:pPr>
        <w:keepNext/>
        <w:keepLines/>
        <w:spacing w:after="0" w:line="240" w:lineRule="auto"/>
        <w:ind w:firstLine="284"/>
        <w:outlineLvl w:val="4"/>
        <w:rPr>
          <w:rFonts w:ascii="Garamond" w:eastAsia="Times New Roman" w:hAnsi="Garamond" w:cs="Times New Roman"/>
          <w:b/>
          <w:iCs/>
          <w:sz w:val="24"/>
          <w:szCs w:val="24"/>
        </w:rPr>
      </w:pPr>
      <w:r w:rsidRPr="00B31292">
        <w:rPr>
          <w:rFonts w:ascii="Garamond" w:eastAsia="Times New Roman" w:hAnsi="Garamond" w:cs="Times New Roman"/>
          <w:b/>
          <w:iCs/>
          <w:sz w:val="24"/>
          <w:szCs w:val="24"/>
        </w:rPr>
        <w:t xml:space="preserve">Tema 1.8 </w:t>
      </w:r>
      <w:r w:rsidR="00BA12C3" w:rsidRPr="00B31292">
        <w:rPr>
          <w:rFonts w:ascii="Garamond" w:eastAsia="Times New Roman" w:hAnsi="Garamond" w:cs="Times New Roman"/>
          <w:b/>
          <w:iCs/>
          <w:sz w:val="24"/>
          <w:szCs w:val="24"/>
        </w:rPr>
        <w:t>“</w:t>
      </w:r>
      <w:r w:rsidRPr="00B31292">
        <w:rPr>
          <w:rFonts w:ascii="Garamond" w:eastAsia="Times New Roman" w:hAnsi="Garamond" w:cs="Times New Roman"/>
          <w:b/>
          <w:iCs/>
          <w:sz w:val="24"/>
          <w:szCs w:val="24"/>
        </w:rPr>
        <w:t>Kultura</w:t>
      </w:r>
      <w:r w:rsidR="00BA12C3" w:rsidRPr="00B31292">
        <w:rPr>
          <w:rFonts w:ascii="Garamond" w:eastAsia="Times New Roman" w:hAnsi="Garamond" w:cs="Times New Roman"/>
          <w:b/>
          <w:iCs/>
          <w:sz w:val="24"/>
          <w:szCs w:val="24"/>
        </w:rPr>
        <w:t>”</w:t>
      </w:r>
    </w:p>
    <w:p w14:paraId="40588B06" w14:textId="421E297F" w:rsidR="009377D6" w:rsidRPr="00B31292" w:rsidRDefault="00EE716C" w:rsidP="00120B26">
      <w:pPr>
        <w:keepNext/>
        <w:keepLines/>
        <w:spacing w:after="0" w:line="240" w:lineRule="auto"/>
        <w:ind w:firstLine="284"/>
        <w:jc w:val="both"/>
        <w:outlineLvl w:val="4"/>
        <w:rPr>
          <w:rFonts w:ascii="Garamond" w:hAnsi="Garamond" w:cs="Times New Roman"/>
          <w:sz w:val="24"/>
          <w:szCs w:val="24"/>
        </w:rPr>
      </w:pPr>
      <w:r w:rsidRPr="00B31292">
        <w:rPr>
          <w:rFonts w:ascii="Garamond" w:eastAsia="Times New Roman" w:hAnsi="Garamond" w:cs="Times New Roman"/>
          <w:b/>
          <w:i/>
          <w:sz w:val="24"/>
          <w:szCs w:val="24"/>
        </w:rPr>
        <w:t xml:space="preserve"> </w:t>
      </w:r>
      <w:r w:rsidR="009377D6" w:rsidRPr="00B31292">
        <w:rPr>
          <w:rFonts w:ascii="Garamond" w:hAnsi="Garamond" w:cs="Times New Roman"/>
          <w:sz w:val="24"/>
          <w:szCs w:val="24"/>
        </w:rPr>
        <w:t>Statistikat e kulturës janë të përftuara nga grumbullimi i informacionit në disa fusha, sociale, ekonomike, të biznesit.</w:t>
      </w:r>
    </w:p>
    <w:p w14:paraId="1FDA3342" w14:textId="4ABACA3A" w:rsidR="008A46C4" w:rsidRPr="00B31292" w:rsidRDefault="009F5DCC" w:rsidP="003A4DBA">
      <w:pPr>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 xml:space="preserve">Kjo temë përbëhet nga nëntema 1.8.1 </w:t>
      </w:r>
      <w:r w:rsidR="00BA12C3" w:rsidRPr="00B31292">
        <w:rPr>
          <w:rFonts w:ascii="Garamond" w:hAnsi="Garamond" w:cs="Times New Roman"/>
          <w:sz w:val="24"/>
          <w:szCs w:val="24"/>
        </w:rPr>
        <w:t>“</w:t>
      </w:r>
      <w:r w:rsidRPr="00B31292">
        <w:rPr>
          <w:rFonts w:ascii="Garamond" w:hAnsi="Garamond" w:cs="Times New Roman"/>
          <w:i/>
          <w:sz w:val="24"/>
          <w:szCs w:val="24"/>
        </w:rPr>
        <w:t xml:space="preserve">Statistikat e </w:t>
      </w:r>
      <w:r w:rsidR="0037387B" w:rsidRPr="00B31292">
        <w:rPr>
          <w:rFonts w:ascii="Garamond" w:hAnsi="Garamond" w:cs="Times New Roman"/>
          <w:i/>
          <w:sz w:val="24"/>
          <w:szCs w:val="24"/>
        </w:rPr>
        <w:t>kulturës dhe sportit</w:t>
      </w:r>
      <w:r w:rsidR="00BA12C3" w:rsidRPr="00B31292">
        <w:rPr>
          <w:rFonts w:ascii="Garamond" w:hAnsi="Garamond" w:cs="Times New Roman"/>
          <w:sz w:val="24"/>
          <w:szCs w:val="24"/>
        </w:rPr>
        <w:t>”</w:t>
      </w:r>
      <w:r w:rsidR="00F00B45" w:rsidRPr="00B31292">
        <w:rPr>
          <w:rFonts w:ascii="Garamond" w:hAnsi="Garamond" w:cs="Times New Roman"/>
          <w:sz w:val="24"/>
          <w:szCs w:val="24"/>
        </w:rPr>
        <w:t xml:space="preserve">. </w:t>
      </w:r>
      <w:r w:rsidRPr="00B31292">
        <w:rPr>
          <w:rFonts w:ascii="Garamond" w:hAnsi="Garamond" w:cs="Times New Roman"/>
          <w:sz w:val="24"/>
          <w:szCs w:val="24"/>
        </w:rPr>
        <w:t>Statistikat e kulturës bazohen në buri</w:t>
      </w:r>
      <w:r w:rsidR="00AA1249" w:rsidRPr="00B31292">
        <w:rPr>
          <w:rFonts w:ascii="Garamond" w:hAnsi="Garamond" w:cs="Times New Roman"/>
          <w:sz w:val="24"/>
          <w:szCs w:val="24"/>
        </w:rPr>
        <w:t>me administrative dhe në vrojtimet</w:t>
      </w:r>
      <w:r w:rsidRPr="00B31292">
        <w:rPr>
          <w:rFonts w:ascii="Garamond" w:hAnsi="Garamond" w:cs="Times New Roman"/>
          <w:sz w:val="24"/>
          <w:szCs w:val="24"/>
        </w:rPr>
        <w:t xml:space="preserve"> sociale dhe ekonomike që INSTAT</w:t>
      </w:r>
      <w:r w:rsidR="00BA12C3" w:rsidRPr="00B31292">
        <w:rPr>
          <w:rFonts w:ascii="Garamond" w:hAnsi="Garamond" w:cs="Times New Roman"/>
          <w:sz w:val="24"/>
          <w:szCs w:val="24"/>
        </w:rPr>
        <w:t>-i</w:t>
      </w:r>
      <w:r w:rsidRPr="00B31292">
        <w:rPr>
          <w:rFonts w:ascii="Garamond" w:hAnsi="Garamond" w:cs="Times New Roman"/>
          <w:sz w:val="24"/>
          <w:szCs w:val="24"/>
        </w:rPr>
        <w:t xml:space="preserve"> </w:t>
      </w:r>
      <w:r w:rsidR="00E51079" w:rsidRPr="00B31292">
        <w:rPr>
          <w:rFonts w:ascii="Garamond" w:hAnsi="Garamond" w:cs="Times New Roman"/>
          <w:sz w:val="24"/>
          <w:szCs w:val="24"/>
        </w:rPr>
        <w:t>kryen</w:t>
      </w:r>
      <w:r w:rsidRPr="00B31292">
        <w:rPr>
          <w:rFonts w:ascii="Garamond" w:hAnsi="Garamond" w:cs="Times New Roman"/>
          <w:sz w:val="24"/>
          <w:szCs w:val="24"/>
        </w:rPr>
        <w:t xml:space="preserve">. Të dhënat administrative sigurohen nga Ministria e Ekonomisë, Kulturës dhe Inovacionit dhe Ministria e Arsimit dhe Sportit, </w:t>
      </w:r>
      <w:r w:rsidR="00E51079" w:rsidRPr="00B31292">
        <w:rPr>
          <w:rFonts w:ascii="Garamond" w:hAnsi="Garamond" w:cs="Times New Roman"/>
          <w:sz w:val="24"/>
          <w:szCs w:val="24"/>
        </w:rPr>
        <w:t xml:space="preserve">të dhëna </w:t>
      </w:r>
      <w:r w:rsidRPr="00B31292">
        <w:rPr>
          <w:rFonts w:ascii="Garamond" w:hAnsi="Garamond" w:cs="Times New Roman"/>
          <w:sz w:val="24"/>
          <w:szCs w:val="24"/>
        </w:rPr>
        <w:t xml:space="preserve">të cilat mbulojnë statistika </w:t>
      </w:r>
      <w:r w:rsidR="00E51079" w:rsidRPr="00B31292">
        <w:rPr>
          <w:rFonts w:ascii="Garamond" w:hAnsi="Garamond" w:cs="Times New Roman"/>
          <w:sz w:val="24"/>
          <w:szCs w:val="24"/>
        </w:rPr>
        <w:t>mbi</w:t>
      </w:r>
      <w:r w:rsidRPr="00B31292">
        <w:rPr>
          <w:rFonts w:ascii="Garamond" w:hAnsi="Garamond" w:cs="Times New Roman"/>
          <w:sz w:val="24"/>
          <w:szCs w:val="24"/>
        </w:rPr>
        <w:t xml:space="preserve"> institucionet </w:t>
      </w:r>
      <w:r w:rsidR="00BA12C3" w:rsidRPr="00B31292">
        <w:rPr>
          <w:rFonts w:ascii="Garamond" w:hAnsi="Garamond" w:cs="Times New Roman"/>
          <w:sz w:val="24"/>
          <w:szCs w:val="24"/>
        </w:rPr>
        <w:t>qendrore</w:t>
      </w:r>
      <w:r w:rsidRPr="00B31292">
        <w:rPr>
          <w:rFonts w:ascii="Garamond" w:hAnsi="Garamond" w:cs="Times New Roman"/>
          <w:sz w:val="24"/>
          <w:szCs w:val="24"/>
        </w:rPr>
        <w:t xml:space="preserve"> të artit dhe trashëgimisë kulturore dhe statistika lidhur me arsimin për fushën e kulturës.</w:t>
      </w:r>
      <w:r w:rsidR="008A46C4" w:rsidRPr="00B31292">
        <w:rPr>
          <w:rFonts w:ascii="Garamond" w:hAnsi="Garamond" w:cs="Times New Roman"/>
          <w:sz w:val="24"/>
          <w:szCs w:val="24"/>
        </w:rPr>
        <w:t xml:space="preserve"> </w:t>
      </w:r>
      <w:r w:rsidR="00E12966" w:rsidRPr="00B31292">
        <w:rPr>
          <w:rFonts w:ascii="Garamond" w:hAnsi="Garamond" w:cs="Times New Roman"/>
          <w:sz w:val="24"/>
          <w:szCs w:val="24"/>
        </w:rPr>
        <w:t>Vrojtimi i</w:t>
      </w:r>
      <w:r w:rsidRPr="00B31292">
        <w:rPr>
          <w:rFonts w:ascii="Garamond" w:hAnsi="Garamond" w:cs="Times New Roman"/>
          <w:sz w:val="24"/>
          <w:szCs w:val="24"/>
        </w:rPr>
        <w:t xml:space="preserve"> të </w:t>
      </w:r>
      <w:r w:rsidR="007F4AF2" w:rsidRPr="00B31292">
        <w:rPr>
          <w:rFonts w:ascii="Garamond" w:hAnsi="Garamond" w:cs="Times New Roman"/>
          <w:sz w:val="24"/>
          <w:szCs w:val="24"/>
        </w:rPr>
        <w:t>ardhurave dhe nivelit të jetesës</w:t>
      </w:r>
      <w:r w:rsidR="00E12966" w:rsidRPr="00B31292">
        <w:rPr>
          <w:rFonts w:ascii="Garamond" w:hAnsi="Garamond" w:cs="Times New Roman"/>
          <w:sz w:val="24"/>
          <w:szCs w:val="24"/>
        </w:rPr>
        <w:t>, vrojtimi i</w:t>
      </w:r>
      <w:r w:rsidRPr="00B31292">
        <w:rPr>
          <w:rFonts w:ascii="Garamond" w:hAnsi="Garamond" w:cs="Times New Roman"/>
          <w:sz w:val="24"/>
          <w:szCs w:val="24"/>
        </w:rPr>
        <w:t xml:space="preserve"> përdorimit të </w:t>
      </w:r>
      <w:r w:rsidR="007F4AF2" w:rsidRPr="00B31292">
        <w:rPr>
          <w:rFonts w:ascii="Garamond" w:hAnsi="Garamond" w:cs="Times New Roman"/>
          <w:sz w:val="24"/>
          <w:szCs w:val="24"/>
        </w:rPr>
        <w:t xml:space="preserve">teknologjisë së informacionit </w:t>
      </w:r>
      <w:r w:rsidRPr="00B31292">
        <w:rPr>
          <w:rFonts w:ascii="Garamond" w:hAnsi="Garamond" w:cs="Times New Roman"/>
          <w:sz w:val="24"/>
          <w:szCs w:val="24"/>
        </w:rPr>
        <w:t xml:space="preserve">dhe </w:t>
      </w:r>
      <w:r w:rsidR="007F4AF2" w:rsidRPr="00B31292">
        <w:rPr>
          <w:rFonts w:ascii="Garamond" w:hAnsi="Garamond" w:cs="Times New Roman"/>
          <w:sz w:val="24"/>
          <w:szCs w:val="24"/>
        </w:rPr>
        <w:t xml:space="preserve">komunikimit </w:t>
      </w:r>
      <w:r w:rsidRPr="00B31292">
        <w:rPr>
          <w:rFonts w:ascii="Garamond" w:hAnsi="Garamond" w:cs="Times New Roman"/>
          <w:sz w:val="24"/>
          <w:szCs w:val="24"/>
        </w:rPr>
        <w:t>(TIK)</w:t>
      </w:r>
      <w:r w:rsidR="00E12966" w:rsidRPr="00B31292">
        <w:rPr>
          <w:rFonts w:ascii="Garamond" w:hAnsi="Garamond" w:cs="Times New Roman"/>
          <w:sz w:val="24"/>
          <w:szCs w:val="24"/>
        </w:rPr>
        <w:t xml:space="preserve">, </w:t>
      </w:r>
      <w:r w:rsidR="007F4AF2" w:rsidRPr="00B31292">
        <w:rPr>
          <w:rFonts w:ascii="Garamond" w:hAnsi="Garamond" w:cs="Times New Roman"/>
          <w:sz w:val="24"/>
          <w:szCs w:val="24"/>
        </w:rPr>
        <w:t>vrojtimi i forcave të punës, si dhe vrojtimi i çmimeve të konsumit</w:t>
      </w:r>
      <w:r w:rsidR="00472BC7" w:rsidRPr="00B31292">
        <w:rPr>
          <w:rFonts w:ascii="Garamond" w:hAnsi="Garamond" w:cs="Times New Roman"/>
          <w:sz w:val="24"/>
          <w:szCs w:val="24"/>
        </w:rPr>
        <w:t>,</w:t>
      </w:r>
      <w:r w:rsidRPr="00B31292">
        <w:rPr>
          <w:rFonts w:ascii="Garamond" w:hAnsi="Garamond" w:cs="Times New Roman"/>
          <w:sz w:val="24"/>
          <w:szCs w:val="24"/>
        </w:rPr>
        <w:t xml:space="preserve"> përdoren si burim në pasurimin e mëtejshëm të treguesve vjetorë të kulturës.</w:t>
      </w:r>
      <w:r w:rsidR="008A46C4" w:rsidRPr="00B31292">
        <w:rPr>
          <w:rFonts w:ascii="Garamond" w:hAnsi="Garamond" w:cs="Times New Roman"/>
          <w:sz w:val="24"/>
          <w:szCs w:val="24"/>
        </w:rPr>
        <w:t xml:space="preserve"> Gjithashtu</w:t>
      </w:r>
      <w:r w:rsidR="00120B26" w:rsidRPr="00B31292">
        <w:rPr>
          <w:rFonts w:ascii="Garamond" w:hAnsi="Garamond" w:cs="Times New Roman"/>
          <w:sz w:val="24"/>
          <w:szCs w:val="24"/>
        </w:rPr>
        <w:t>,</w:t>
      </w:r>
      <w:r w:rsidR="008A46C4" w:rsidRPr="00B31292">
        <w:rPr>
          <w:rFonts w:ascii="Garamond" w:hAnsi="Garamond" w:cs="Times New Roman"/>
          <w:sz w:val="24"/>
          <w:szCs w:val="24"/>
        </w:rPr>
        <w:t xml:space="preserve"> g</w:t>
      </w:r>
      <w:r w:rsidRPr="00B31292">
        <w:rPr>
          <w:rFonts w:ascii="Garamond" w:hAnsi="Garamond" w:cs="Times New Roman"/>
          <w:sz w:val="24"/>
          <w:szCs w:val="24"/>
        </w:rPr>
        <w:t>jatë vitit 202</w:t>
      </w:r>
      <w:r w:rsidR="008A46C4" w:rsidRPr="00B31292">
        <w:rPr>
          <w:rFonts w:ascii="Garamond" w:hAnsi="Garamond" w:cs="Times New Roman"/>
          <w:sz w:val="24"/>
          <w:szCs w:val="24"/>
        </w:rPr>
        <w:t>5</w:t>
      </w:r>
      <w:r w:rsidRPr="00B31292">
        <w:rPr>
          <w:rFonts w:ascii="Garamond" w:hAnsi="Garamond" w:cs="Times New Roman"/>
          <w:sz w:val="24"/>
          <w:szCs w:val="24"/>
        </w:rPr>
        <w:t xml:space="preserve"> do të prodhohen statistikat mbi sp</w:t>
      </w:r>
      <w:r w:rsidR="007B1C0C" w:rsidRPr="00B31292">
        <w:rPr>
          <w:rFonts w:ascii="Garamond" w:hAnsi="Garamond" w:cs="Times New Roman"/>
          <w:sz w:val="24"/>
          <w:szCs w:val="24"/>
        </w:rPr>
        <w:t>ortin, bazuar në vrojtimet</w:t>
      </w:r>
      <w:r w:rsidRPr="00B31292">
        <w:rPr>
          <w:rFonts w:ascii="Garamond" w:hAnsi="Garamond" w:cs="Times New Roman"/>
          <w:sz w:val="24"/>
          <w:szCs w:val="24"/>
        </w:rPr>
        <w:t xml:space="preserve"> që INSTAT</w:t>
      </w:r>
      <w:r w:rsidR="00BA12C3" w:rsidRPr="00B31292">
        <w:rPr>
          <w:rFonts w:ascii="Garamond" w:hAnsi="Garamond" w:cs="Times New Roman"/>
          <w:sz w:val="24"/>
          <w:szCs w:val="24"/>
        </w:rPr>
        <w:t>-i</w:t>
      </w:r>
      <w:r w:rsidRPr="00B31292">
        <w:rPr>
          <w:rFonts w:ascii="Garamond" w:hAnsi="Garamond" w:cs="Times New Roman"/>
          <w:sz w:val="24"/>
          <w:szCs w:val="24"/>
        </w:rPr>
        <w:t xml:space="preserve"> </w:t>
      </w:r>
      <w:r w:rsidR="008A46C4" w:rsidRPr="00B31292">
        <w:rPr>
          <w:rFonts w:ascii="Garamond" w:hAnsi="Garamond" w:cs="Times New Roman"/>
          <w:sz w:val="24"/>
          <w:szCs w:val="24"/>
        </w:rPr>
        <w:t>kryen</w:t>
      </w:r>
      <w:r w:rsidR="009C0CE9" w:rsidRPr="00B31292">
        <w:rPr>
          <w:rFonts w:ascii="Garamond" w:hAnsi="Garamond" w:cs="Times New Roman"/>
          <w:sz w:val="24"/>
          <w:szCs w:val="24"/>
        </w:rPr>
        <w:t xml:space="preserve"> për këtë qëllim</w:t>
      </w:r>
      <w:r w:rsidRPr="00B31292">
        <w:rPr>
          <w:rFonts w:ascii="Garamond" w:hAnsi="Garamond" w:cs="Times New Roman"/>
          <w:sz w:val="24"/>
          <w:szCs w:val="24"/>
        </w:rPr>
        <w:t xml:space="preserve">. </w:t>
      </w:r>
    </w:p>
    <w:p w14:paraId="10ED28CC" w14:textId="2855AEBC" w:rsidR="009F5DCC" w:rsidRPr="00B31292" w:rsidRDefault="009F5DCC" w:rsidP="003A4DBA">
      <w:pPr>
        <w:spacing w:after="0" w:line="240" w:lineRule="auto"/>
        <w:ind w:firstLine="284"/>
        <w:jc w:val="both"/>
        <w:rPr>
          <w:rFonts w:ascii="Garamond" w:hAnsi="Garamond" w:cs="Times New Roman"/>
          <w:sz w:val="24"/>
          <w:szCs w:val="24"/>
        </w:rPr>
      </w:pPr>
      <w:r w:rsidRPr="00B31292">
        <w:rPr>
          <w:rFonts w:ascii="Garamond" w:hAnsi="Garamond" w:cs="Times New Roman"/>
          <w:b/>
          <w:sz w:val="24"/>
          <w:szCs w:val="24"/>
        </w:rPr>
        <w:t xml:space="preserve">Treguesit kryesorë: </w:t>
      </w:r>
      <w:r w:rsidRPr="00B31292">
        <w:rPr>
          <w:rFonts w:ascii="Garamond" w:hAnsi="Garamond" w:cs="Times New Roman"/>
          <w:sz w:val="24"/>
          <w:szCs w:val="24"/>
        </w:rPr>
        <w:t xml:space="preserve">Statistika mbi numrin e shfaqjeve dhe spektatorëve në institucionet qendrore të kulturës; numri i vizitorëve vendas dhe të huaj në muze, kala dhe parqe arkeologjike, tregues nga biblioteka kombëtare; </w:t>
      </w:r>
      <w:r w:rsidR="007F4AF2" w:rsidRPr="00B31292">
        <w:rPr>
          <w:rFonts w:ascii="Garamond" w:hAnsi="Garamond" w:cs="Times New Roman"/>
          <w:sz w:val="24"/>
          <w:szCs w:val="24"/>
        </w:rPr>
        <w:t xml:space="preserve">statistikat </w:t>
      </w:r>
      <w:r w:rsidRPr="00B31292">
        <w:rPr>
          <w:rFonts w:ascii="Garamond" w:hAnsi="Garamond" w:cs="Times New Roman"/>
          <w:sz w:val="24"/>
          <w:szCs w:val="24"/>
        </w:rPr>
        <w:t>mbi edukimin për fusha të lidhura me kulturën; punësimin në kulturë, lidhur me profesione dhe aktivitete ekonomike të lidhura me kulturën, statistika mbi përdorimin e internetit për qëllime kulturore, tregues mbi sportin etj.</w:t>
      </w:r>
    </w:p>
    <w:p w14:paraId="3B58AFEC" w14:textId="1A6CB1EA" w:rsidR="00DF4CAE" w:rsidRPr="00B31292" w:rsidRDefault="009F5DCC" w:rsidP="003A4DBA">
      <w:pPr>
        <w:spacing w:after="0" w:line="240" w:lineRule="auto"/>
        <w:ind w:firstLine="284"/>
        <w:jc w:val="both"/>
        <w:rPr>
          <w:rFonts w:ascii="Garamond" w:eastAsia="Times New Roman" w:hAnsi="Garamond" w:cs="Times New Roman"/>
          <w:sz w:val="24"/>
          <w:szCs w:val="24"/>
        </w:rPr>
      </w:pPr>
      <w:bookmarkStart w:id="27" w:name="_Toc85376995"/>
      <w:bookmarkStart w:id="28" w:name="_Toc85380327"/>
      <w:bookmarkStart w:id="29" w:name="_Toc186909557"/>
      <w:bookmarkStart w:id="30" w:name="_Toc87780257"/>
      <w:r w:rsidRPr="00B31292">
        <w:rPr>
          <w:rFonts w:ascii="Garamond" w:hAnsi="Garamond" w:cs="Times New Roman"/>
          <w:b/>
          <w:sz w:val="24"/>
          <w:szCs w:val="24"/>
        </w:rPr>
        <w:t xml:space="preserve">Përputhshmëria me </w:t>
      </w:r>
      <w:r w:rsidRPr="00B31292">
        <w:rPr>
          <w:rFonts w:ascii="Garamond" w:hAnsi="Garamond" w:cs="Times New Roman"/>
          <w:b/>
          <w:i/>
          <w:sz w:val="24"/>
          <w:szCs w:val="24"/>
        </w:rPr>
        <w:t>acquis</w:t>
      </w:r>
      <w:bookmarkEnd w:id="27"/>
      <w:bookmarkEnd w:id="28"/>
      <w:bookmarkEnd w:id="29"/>
      <w:bookmarkEnd w:id="30"/>
      <w:r w:rsidRPr="00B31292">
        <w:rPr>
          <w:rFonts w:ascii="Garamond" w:hAnsi="Garamond" w:cs="Times New Roman"/>
          <w:b/>
          <w:sz w:val="24"/>
          <w:szCs w:val="24"/>
        </w:rPr>
        <w:t xml:space="preserve">: </w:t>
      </w:r>
      <w:r w:rsidRPr="00B31292">
        <w:rPr>
          <w:rFonts w:ascii="Garamond" w:eastAsia="Times New Roman" w:hAnsi="Garamond" w:cs="Times New Roman"/>
          <w:i/>
          <w:sz w:val="24"/>
          <w:szCs w:val="24"/>
        </w:rPr>
        <w:t>Statistikat e kulturës</w:t>
      </w:r>
      <w:r w:rsidRPr="00B31292">
        <w:rPr>
          <w:rFonts w:ascii="Garamond" w:eastAsia="Times New Roman" w:hAnsi="Garamond" w:cs="Times New Roman"/>
          <w:sz w:val="24"/>
          <w:szCs w:val="24"/>
        </w:rPr>
        <w:t xml:space="preserve"> janë pjesërisht të përafruara me </w:t>
      </w:r>
      <w:r w:rsidR="0037387B" w:rsidRPr="00B31292">
        <w:rPr>
          <w:rFonts w:ascii="Garamond" w:eastAsia="Times New Roman" w:hAnsi="Garamond" w:cs="Times New Roman"/>
          <w:sz w:val="24"/>
          <w:szCs w:val="24"/>
        </w:rPr>
        <w:t>r</w:t>
      </w:r>
      <w:r w:rsidRPr="00B31292">
        <w:rPr>
          <w:rFonts w:ascii="Garamond" w:eastAsia="Times New Roman" w:hAnsi="Garamond" w:cs="Times New Roman"/>
          <w:sz w:val="24"/>
          <w:szCs w:val="24"/>
        </w:rPr>
        <w:t>regulloren (</w:t>
      </w:r>
      <w:r w:rsidR="009C0CE9" w:rsidRPr="00B31292">
        <w:rPr>
          <w:rFonts w:ascii="Garamond" w:eastAsia="Times New Roman" w:hAnsi="Garamond" w:cs="Times New Roman"/>
          <w:sz w:val="24"/>
          <w:szCs w:val="24"/>
        </w:rPr>
        <w:t>BE</w:t>
      </w:r>
      <w:r w:rsidRPr="00B31292">
        <w:rPr>
          <w:rFonts w:ascii="Garamond" w:eastAsia="Times New Roman" w:hAnsi="Garamond" w:cs="Times New Roman"/>
          <w:sz w:val="24"/>
          <w:szCs w:val="24"/>
        </w:rPr>
        <w:t xml:space="preserve">) </w:t>
      </w:r>
      <w:r w:rsidR="00120B26" w:rsidRPr="00B31292">
        <w:rPr>
          <w:rFonts w:ascii="Garamond" w:eastAsia="Times New Roman" w:hAnsi="Garamond" w:cs="Times New Roman"/>
          <w:sz w:val="24"/>
          <w:szCs w:val="24"/>
        </w:rPr>
        <w:t>n</w:t>
      </w:r>
      <w:r w:rsidRPr="00B31292">
        <w:rPr>
          <w:rFonts w:ascii="Garamond" w:eastAsia="Times New Roman" w:hAnsi="Garamond" w:cs="Times New Roman"/>
          <w:sz w:val="24"/>
          <w:szCs w:val="24"/>
        </w:rPr>
        <w:t>r. 1295/2013</w:t>
      </w:r>
      <w:r w:rsidR="00120B26" w:rsidRPr="00B31292">
        <w:rPr>
          <w:rFonts w:ascii="Garamond" w:eastAsia="Times New Roman" w:hAnsi="Garamond" w:cs="Times New Roman"/>
          <w:sz w:val="24"/>
          <w:szCs w:val="24"/>
        </w:rPr>
        <w:t>,</w:t>
      </w:r>
      <w:r w:rsidRPr="00B31292">
        <w:rPr>
          <w:rFonts w:ascii="Garamond" w:eastAsia="Times New Roman" w:hAnsi="Garamond" w:cs="Times New Roman"/>
          <w:sz w:val="24"/>
          <w:szCs w:val="24"/>
        </w:rPr>
        <w:t xml:space="preserve"> </w:t>
      </w:r>
      <w:r w:rsidR="00BA12C3" w:rsidRPr="00B31292">
        <w:rPr>
          <w:rFonts w:ascii="Garamond" w:eastAsia="Times New Roman" w:hAnsi="Garamond" w:cs="Times New Roman"/>
          <w:sz w:val="24"/>
          <w:szCs w:val="24"/>
        </w:rPr>
        <w:t>“</w:t>
      </w:r>
      <w:r w:rsidRPr="00B31292">
        <w:rPr>
          <w:rFonts w:ascii="Garamond" w:eastAsia="Times New Roman" w:hAnsi="Garamond" w:cs="Times New Roman"/>
          <w:sz w:val="24"/>
          <w:szCs w:val="24"/>
        </w:rPr>
        <w:t>Për statistikat e kulturës</w:t>
      </w:r>
      <w:r w:rsidR="00BA12C3" w:rsidRPr="00B31292">
        <w:rPr>
          <w:rFonts w:ascii="Garamond" w:eastAsia="Times New Roman" w:hAnsi="Garamond" w:cs="Times New Roman"/>
          <w:sz w:val="24"/>
          <w:szCs w:val="24"/>
        </w:rPr>
        <w:t>”</w:t>
      </w:r>
      <w:r w:rsidRPr="00B31292">
        <w:rPr>
          <w:rFonts w:ascii="Garamond" w:eastAsia="Times New Roman" w:hAnsi="Garamond" w:cs="Times New Roman"/>
          <w:sz w:val="24"/>
          <w:szCs w:val="24"/>
        </w:rPr>
        <w:t>. Për zhvillimin e mëtejshëm të statistikave në linjë me rregulloren, INSTAT</w:t>
      </w:r>
      <w:r w:rsidR="00BA12C3" w:rsidRPr="00B31292">
        <w:rPr>
          <w:rFonts w:ascii="Garamond" w:eastAsia="Times New Roman" w:hAnsi="Garamond" w:cs="Times New Roman"/>
          <w:sz w:val="24"/>
          <w:szCs w:val="24"/>
        </w:rPr>
        <w:t>-i</w:t>
      </w:r>
      <w:r w:rsidRPr="00B31292">
        <w:rPr>
          <w:rFonts w:ascii="Garamond" w:eastAsia="Times New Roman" w:hAnsi="Garamond" w:cs="Times New Roman"/>
          <w:sz w:val="24"/>
          <w:szCs w:val="24"/>
        </w:rPr>
        <w:t xml:space="preserve"> do të </w:t>
      </w:r>
      <w:r w:rsidR="009C0CE9" w:rsidRPr="00B31292">
        <w:rPr>
          <w:rFonts w:ascii="Garamond" w:eastAsia="Times New Roman" w:hAnsi="Garamond" w:cs="Times New Roman"/>
          <w:sz w:val="24"/>
          <w:szCs w:val="24"/>
        </w:rPr>
        <w:t xml:space="preserve">vijojë </w:t>
      </w:r>
      <w:r w:rsidRPr="00B31292">
        <w:rPr>
          <w:rFonts w:ascii="Garamond" w:eastAsia="Times New Roman" w:hAnsi="Garamond" w:cs="Times New Roman"/>
          <w:sz w:val="24"/>
          <w:szCs w:val="24"/>
        </w:rPr>
        <w:t>ndjek</w:t>
      </w:r>
      <w:r w:rsidR="009C0CE9" w:rsidRPr="00B31292">
        <w:rPr>
          <w:rFonts w:ascii="Garamond" w:eastAsia="Times New Roman" w:hAnsi="Garamond" w:cs="Times New Roman"/>
          <w:sz w:val="24"/>
          <w:szCs w:val="24"/>
        </w:rPr>
        <w:t>jen d</w:t>
      </w:r>
      <w:r w:rsidRPr="00B31292">
        <w:rPr>
          <w:rFonts w:ascii="Garamond" w:eastAsia="Times New Roman" w:hAnsi="Garamond" w:cs="Times New Roman"/>
          <w:sz w:val="24"/>
          <w:szCs w:val="24"/>
        </w:rPr>
        <w:t>he konsult</w:t>
      </w:r>
      <w:r w:rsidR="009C0CE9" w:rsidRPr="00B31292">
        <w:rPr>
          <w:rFonts w:ascii="Garamond" w:eastAsia="Times New Roman" w:hAnsi="Garamond" w:cs="Times New Roman"/>
          <w:sz w:val="24"/>
          <w:szCs w:val="24"/>
        </w:rPr>
        <w:t>imin</w:t>
      </w:r>
      <w:r w:rsidRPr="00B31292">
        <w:rPr>
          <w:rFonts w:ascii="Garamond" w:eastAsia="Times New Roman" w:hAnsi="Garamond" w:cs="Times New Roman"/>
          <w:sz w:val="24"/>
          <w:szCs w:val="24"/>
        </w:rPr>
        <w:t xml:space="preserve"> me metodologjinë e </w:t>
      </w:r>
      <w:r w:rsidR="009C0CE9" w:rsidRPr="00B31292">
        <w:rPr>
          <w:rFonts w:ascii="Garamond" w:eastAsia="Times New Roman" w:hAnsi="Garamond" w:cs="Times New Roman"/>
          <w:sz w:val="24"/>
          <w:szCs w:val="24"/>
        </w:rPr>
        <w:t>Eurostat</w:t>
      </w:r>
      <w:r w:rsidRPr="00B31292">
        <w:rPr>
          <w:rFonts w:ascii="Garamond" w:eastAsia="Times New Roman" w:hAnsi="Garamond" w:cs="Times New Roman"/>
          <w:sz w:val="24"/>
          <w:szCs w:val="24"/>
        </w:rPr>
        <w:t>it.</w:t>
      </w:r>
    </w:p>
    <w:p w14:paraId="5461D031" w14:textId="3BBB9D51" w:rsidR="00DF4CAE" w:rsidRPr="00B31292" w:rsidRDefault="00DF4CAE" w:rsidP="003A4DBA">
      <w:pPr>
        <w:spacing w:after="0" w:line="240" w:lineRule="auto"/>
        <w:ind w:firstLine="284"/>
        <w:jc w:val="both"/>
        <w:rPr>
          <w:rFonts w:ascii="Garamond" w:hAnsi="Garamond" w:cs="Times New Roman"/>
          <w:bCs/>
          <w:i/>
          <w:sz w:val="24"/>
          <w:szCs w:val="24"/>
        </w:rPr>
      </w:pPr>
      <w:r w:rsidRPr="00B31292">
        <w:rPr>
          <w:rFonts w:ascii="Garamond" w:hAnsi="Garamond" w:cs="Times New Roman"/>
          <w:bCs/>
          <w:i/>
          <w:sz w:val="24"/>
          <w:szCs w:val="24"/>
        </w:rPr>
        <w:t>Tabela nr. 9</w:t>
      </w:r>
      <w:r w:rsidR="00BA12C3" w:rsidRPr="00B31292">
        <w:rPr>
          <w:rFonts w:ascii="Garamond" w:hAnsi="Garamond" w:cs="Times New Roman"/>
          <w:bCs/>
          <w:i/>
          <w:sz w:val="24"/>
          <w:szCs w:val="24"/>
        </w:rPr>
        <w:t>:</w:t>
      </w:r>
      <w:r w:rsidRPr="00B31292">
        <w:rPr>
          <w:rFonts w:ascii="Garamond" w:hAnsi="Garamond" w:cs="Times New Roman"/>
          <w:bCs/>
          <w:i/>
          <w:sz w:val="24"/>
          <w:szCs w:val="24"/>
        </w:rPr>
        <w:t xml:space="preserve"> Lista e </w:t>
      </w:r>
      <w:r w:rsidR="00C0635B" w:rsidRPr="00B31292">
        <w:rPr>
          <w:rFonts w:ascii="Garamond" w:hAnsi="Garamond" w:cs="Times New Roman"/>
          <w:bCs/>
          <w:i/>
          <w:sz w:val="24"/>
          <w:szCs w:val="24"/>
        </w:rPr>
        <w:t xml:space="preserve">vrojtimeve </w:t>
      </w:r>
      <w:r w:rsidRPr="00B31292">
        <w:rPr>
          <w:rFonts w:ascii="Garamond" w:hAnsi="Garamond" w:cs="Times New Roman"/>
          <w:bCs/>
          <w:i/>
          <w:sz w:val="24"/>
          <w:szCs w:val="24"/>
        </w:rPr>
        <w:t xml:space="preserve">për </w:t>
      </w:r>
      <w:r w:rsidR="00120B26" w:rsidRPr="00B31292">
        <w:rPr>
          <w:rFonts w:ascii="Garamond" w:hAnsi="Garamond" w:cs="Times New Roman"/>
          <w:bCs/>
          <w:i/>
          <w:sz w:val="24"/>
          <w:szCs w:val="24"/>
        </w:rPr>
        <w:t>f</w:t>
      </w:r>
      <w:r w:rsidRPr="00B31292">
        <w:rPr>
          <w:rFonts w:ascii="Garamond" w:hAnsi="Garamond" w:cs="Times New Roman"/>
          <w:bCs/>
          <w:i/>
          <w:sz w:val="24"/>
          <w:szCs w:val="24"/>
        </w:rPr>
        <w:t xml:space="preserve">ushën </w:t>
      </w:r>
      <w:r w:rsidR="00BA12C3" w:rsidRPr="00B31292">
        <w:rPr>
          <w:rFonts w:ascii="Garamond" w:hAnsi="Garamond" w:cs="Times New Roman"/>
          <w:bCs/>
          <w:i/>
          <w:sz w:val="24"/>
          <w:szCs w:val="24"/>
        </w:rPr>
        <w:t>“</w:t>
      </w:r>
      <w:r w:rsidRPr="00B31292">
        <w:rPr>
          <w:rFonts w:ascii="Garamond" w:hAnsi="Garamond" w:cs="Times New Roman"/>
          <w:bCs/>
          <w:i/>
          <w:sz w:val="24"/>
          <w:szCs w:val="24"/>
        </w:rPr>
        <w:t xml:space="preserve">Statistikat </w:t>
      </w:r>
      <w:r w:rsidR="0037387B" w:rsidRPr="00B31292">
        <w:rPr>
          <w:rFonts w:ascii="Garamond" w:hAnsi="Garamond" w:cs="Times New Roman"/>
          <w:bCs/>
          <w:i/>
          <w:sz w:val="24"/>
          <w:szCs w:val="24"/>
        </w:rPr>
        <w:t>sociale dhe demografike</w:t>
      </w:r>
      <w:r w:rsidR="00BA12C3" w:rsidRPr="00B31292">
        <w:rPr>
          <w:rFonts w:ascii="Garamond" w:hAnsi="Garamond" w:cs="Times New Roman"/>
          <w:bCs/>
          <w:i/>
          <w:sz w:val="24"/>
          <w:szCs w:val="24"/>
        </w:rPr>
        <w:t>”</w:t>
      </w:r>
    </w:p>
    <w:p w14:paraId="46155F2C" w14:textId="10FC8566" w:rsidR="009508C8" w:rsidRPr="00B31292" w:rsidRDefault="00D87FF8" w:rsidP="00120B26">
      <w:pPr>
        <w:spacing w:after="0" w:line="240" w:lineRule="auto"/>
        <w:jc w:val="both"/>
        <w:rPr>
          <w:rFonts w:ascii="Garamond" w:hAnsi="Garamond" w:cs="Times New Roman"/>
          <w:b/>
          <w:i/>
          <w:sz w:val="24"/>
          <w:szCs w:val="24"/>
        </w:rPr>
      </w:pPr>
      <w:r w:rsidRPr="00B31292">
        <w:rPr>
          <w:rFonts w:ascii="Garamond" w:hAnsi="Garamond" w:cs="Times New Roman"/>
          <w:b/>
          <w:i/>
          <w:noProof/>
          <w:sz w:val="24"/>
          <w:szCs w:val="24"/>
          <w:lang w:val="en-US"/>
        </w:rPr>
        <w:drawing>
          <wp:inline distT="0" distB="0" distL="0" distR="0" wp14:anchorId="43BF80D3" wp14:editId="5DE0B03C">
            <wp:extent cx="5731510" cy="1133475"/>
            <wp:effectExtent l="0" t="0" r="254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731510" cy="1133475"/>
                    </a:xfrm>
                    <a:prstGeom prst="rect">
                      <a:avLst/>
                    </a:prstGeom>
                  </pic:spPr>
                </pic:pic>
              </a:graphicData>
            </a:graphic>
          </wp:inline>
        </w:drawing>
      </w:r>
      <w:bookmarkStart w:id="31" w:name="_Hlk182551447"/>
    </w:p>
    <w:p w14:paraId="64C62B02" w14:textId="4421A0E9" w:rsidR="00D42812" w:rsidRPr="00B31292" w:rsidRDefault="00B33894" w:rsidP="003A4DBA">
      <w:pPr>
        <w:spacing w:after="0" w:line="240" w:lineRule="auto"/>
        <w:ind w:firstLine="284"/>
        <w:jc w:val="both"/>
        <w:rPr>
          <w:rFonts w:ascii="Garamond" w:hAnsi="Garamond" w:cs="Times New Roman"/>
          <w:bCs/>
          <w:i/>
          <w:sz w:val="24"/>
          <w:szCs w:val="24"/>
        </w:rPr>
      </w:pPr>
      <w:r w:rsidRPr="00B31292">
        <w:rPr>
          <w:rFonts w:ascii="Garamond" w:hAnsi="Garamond" w:cs="Times New Roman"/>
          <w:bCs/>
          <w:i/>
          <w:sz w:val="24"/>
          <w:szCs w:val="24"/>
        </w:rPr>
        <w:t>Tabela nr.</w:t>
      </w:r>
      <w:r w:rsidR="00BA12C3" w:rsidRPr="00B31292">
        <w:rPr>
          <w:rFonts w:ascii="Garamond" w:hAnsi="Garamond" w:cs="Times New Roman"/>
          <w:bCs/>
          <w:i/>
          <w:sz w:val="24"/>
          <w:szCs w:val="24"/>
        </w:rPr>
        <w:t xml:space="preserve"> </w:t>
      </w:r>
      <w:r w:rsidRPr="00B31292">
        <w:rPr>
          <w:rFonts w:ascii="Garamond" w:hAnsi="Garamond" w:cs="Times New Roman"/>
          <w:bCs/>
          <w:i/>
          <w:sz w:val="24"/>
          <w:szCs w:val="24"/>
        </w:rPr>
        <w:t>10</w:t>
      </w:r>
      <w:r w:rsidR="00BA12C3" w:rsidRPr="00B31292">
        <w:rPr>
          <w:rFonts w:ascii="Garamond" w:hAnsi="Garamond" w:cs="Times New Roman"/>
          <w:bCs/>
          <w:i/>
          <w:sz w:val="24"/>
          <w:szCs w:val="24"/>
        </w:rPr>
        <w:t>:</w:t>
      </w:r>
      <w:r w:rsidRPr="00B31292">
        <w:rPr>
          <w:rFonts w:ascii="Garamond" w:hAnsi="Garamond" w:cs="Times New Roman"/>
          <w:bCs/>
          <w:i/>
          <w:sz w:val="24"/>
          <w:szCs w:val="24"/>
        </w:rPr>
        <w:t xml:space="preserve"> </w:t>
      </w:r>
      <w:r w:rsidR="00D42812" w:rsidRPr="00B31292">
        <w:rPr>
          <w:rFonts w:ascii="Garamond" w:hAnsi="Garamond" w:cs="Times New Roman"/>
          <w:bCs/>
          <w:i/>
          <w:sz w:val="24"/>
          <w:szCs w:val="24"/>
        </w:rPr>
        <w:t xml:space="preserve">Niveli i </w:t>
      </w:r>
      <w:r w:rsidR="00BA12C3" w:rsidRPr="00B31292">
        <w:rPr>
          <w:rFonts w:ascii="Garamond" w:hAnsi="Garamond" w:cs="Times New Roman"/>
          <w:bCs/>
          <w:i/>
          <w:sz w:val="24"/>
          <w:szCs w:val="24"/>
        </w:rPr>
        <w:t>përputhshmërisë</w:t>
      </w:r>
      <w:r w:rsidR="00D42812" w:rsidRPr="00B31292">
        <w:rPr>
          <w:rFonts w:ascii="Garamond" w:hAnsi="Garamond" w:cs="Times New Roman"/>
          <w:bCs/>
          <w:i/>
          <w:sz w:val="24"/>
          <w:szCs w:val="24"/>
        </w:rPr>
        <w:t xml:space="preserve"> me acquis </w:t>
      </w:r>
      <w:r w:rsidR="00BA12C3" w:rsidRPr="00B31292">
        <w:rPr>
          <w:rFonts w:ascii="Garamond" w:hAnsi="Garamond" w:cs="Times New Roman"/>
          <w:bCs/>
          <w:i/>
          <w:sz w:val="24"/>
          <w:szCs w:val="24"/>
        </w:rPr>
        <w:t>për</w:t>
      </w:r>
      <w:r w:rsidR="00D42812" w:rsidRPr="00B31292">
        <w:rPr>
          <w:rFonts w:ascii="Garamond" w:hAnsi="Garamond" w:cs="Times New Roman"/>
          <w:bCs/>
          <w:i/>
          <w:sz w:val="24"/>
          <w:szCs w:val="24"/>
        </w:rPr>
        <w:t xml:space="preserve"> fushën </w:t>
      </w:r>
      <w:r w:rsidR="00BA12C3" w:rsidRPr="00B31292">
        <w:rPr>
          <w:rFonts w:ascii="Garamond" w:hAnsi="Garamond" w:cs="Times New Roman"/>
          <w:bCs/>
          <w:i/>
          <w:sz w:val="24"/>
          <w:szCs w:val="24"/>
        </w:rPr>
        <w:t>“</w:t>
      </w:r>
      <w:r w:rsidR="00D42812" w:rsidRPr="00B31292">
        <w:rPr>
          <w:rFonts w:ascii="Garamond" w:hAnsi="Garamond" w:cs="Times New Roman"/>
          <w:bCs/>
          <w:i/>
          <w:sz w:val="24"/>
          <w:szCs w:val="24"/>
        </w:rPr>
        <w:t xml:space="preserve">Statistikat </w:t>
      </w:r>
      <w:r w:rsidR="007F4AF2" w:rsidRPr="00B31292">
        <w:rPr>
          <w:rFonts w:ascii="Garamond" w:hAnsi="Garamond" w:cs="Times New Roman"/>
          <w:bCs/>
          <w:i/>
          <w:sz w:val="24"/>
          <w:szCs w:val="24"/>
        </w:rPr>
        <w:t>sociale dhe demografike</w:t>
      </w:r>
      <w:r w:rsidR="00BA12C3" w:rsidRPr="00B31292">
        <w:rPr>
          <w:rFonts w:ascii="Garamond" w:hAnsi="Garamond" w:cs="Times New Roman"/>
          <w:bCs/>
          <w:i/>
          <w:sz w:val="24"/>
          <w:szCs w:val="24"/>
        </w:rPr>
        <w:t>”</w:t>
      </w:r>
    </w:p>
    <w:p w14:paraId="6D8AFED2" w14:textId="66E24892" w:rsidR="00D87FF8" w:rsidRPr="00B31292" w:rsidRDefault="00D87FF8" w:rsidP="003A4DBA">
      <w:pPr>
        <w:spacing w:after="0" w:line="240" w:lineRule="auto"/>
        <w:jc w:val="both"/>
        <w:rPr>
          <w:rFonts w:ascii="Garamond" w:hAnsi="Garamond" w:cs="Times New Roman"/>
          <w:b/>
          <w:i/>
          <w:sz w:val="24"/>
          <w:szCs w:val="24"/>
        </w:rPr>
      </w:pPr>
      <w:r w:rsidRPr="00B31292">
        <w:rPr>
          <w:rFonts w:ascii="Garamond" w:hAnsi="Garamond" w:cs="Times New Roman"/>
          <w:b/>
          <w:i/>
          <w:noProof/>
          <w:sz w:val="24"/>
          <w:szCs w:val="24"/>
          <w:lang w:val="en-US"/>
        </w:rPr>
        <w:drawing>
          <wp:inline distT="0" distB="0" distL="0" distR="0" wp14:anchorId="1206FE4E" wp14:editId="61CA8CF2">
            <wp:extent cx="5731510" cy="2120900"/>
            <wp:effectExtent l="0" t="0" r="254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731510" cy="2120900"/>
                    </a:xfrm>
                    <a:prstGeom prst="rect">
                      <a:avLst/>
                    </a:prstGeom>
                  </pic:spPr>
                </pic:pic>
              </a:graphicData>
            </a:graphic>
          </wp:inline>
        </w:drawing>
      </w:r>
    </w:p>
    <w:p w14:paraId="0BDBBFF9" w14:textId="6E52604D" w:rsidR="00D72293" w:rsidRPr="00B31292" w:rsidRDefault="00D72293" w:rsidP="003A4DBA">
      <w:pPr>
        <w:pStyle w:val="Heading2"/>
        <w:spacing w:before="0" w:line="240" w:lineRule="auto"/>
        <w:ind w:firstLine="284"/>
        <w:rPr>
          <w:rFonts w:ascii="Garamond" w:hAnsi="Garamond"/>
          <w:color w:val="auto"/>
          <w:sz w:val="24"/>
          <w:szCs w:val="24"/>
        </w:rPr>
      </w:pPr>
      <w:bookmarkStart w:id="32" w:name="_Toc182991972"/>
      <w:bookmarkEnd w:id="31"/>
      <w:r w:rsidRPr="00B31292">
        <w:rPr>
          <w:rFonts w:ascii="Garamond" w:hAnsi="Garamond"/>
          <w:color w:val="auto"/>
          <w:sz w:val="24"/>
          <w:szCs w:val="24"/>
        </w:rPr>
        <w:t xml:space="preserve">Fusha 2 </w:t>
      </w:r>
      <w:r w:rsidR="00BA12C3" w:rsidRPr="00B31292">
        <w:rPr>
          <w:rFonts w:ascii="Garamond" w:hAnsi="Garamond"/>
          <w:color w:val="auto"/>
          <w:sz w:val="24"/>
          <w:szCs w:val="24"/>
        </w:rPr>
        <w:t>“</w:t>
      </w:r>
      <w:r w:rsidRPr="00B31292">
        <w:rPr>
          <w:rFonts w:ascii="Garamond" w:hAnsi="Garamond"/>
          <w:color w:val="auto"/>
          <w:sz w:val="24"/>
          <w:szCs w:val="24"/>
        </w:rPr>
        <w:t xml:space="preserve">Statistikat </w:t>
      </w:r>
      <w:r w:rsidR="007F4AF2" w:rsidRPr="00B31292">
        <w:rPr>
          <w:rFonts w:ascii="Garamond" w:hAnsi="Garamond"/>
          <w:color w:val="auto"/>
          <w:sz w:val="24"/>
          <w:szCs w:val="24"/>
        </w:rPr>
        <w:t>ekonomike</w:t>
      </w:r>
      <w:r w:rsidR="00BA12C3" w:rsidRPr="00B31292">
        <w:rPr>
          <w:rFonts w:ascii="Garamond" w:hAnsi="Garamond"/>
          <w:color w:val="auto"/>
          <w:sz w:val="24"/>
          <w:szCs w:val="24"/>
        </w:rPr>
        <w:t>”</w:t>
      </w:r>
      <w:bookmarkEnd w:id="32"/>
    </w:p>
    <w:p w14:paraId="08606CEE" w14:textId="4CDD0BEB" w:rsidR="00D72293" w:rsidRPr="00B31292" w:rsidRDefault="00D72293" w:rsidP="003A4DBA">
      <w:pPr>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Statistikat ekonomike përfshijnë temat statistikore</w:t>
      </w:r>
      <w:r w:rsidR="00120B26" w:rsidRPr="00B31292">
        <w:rPr>
          <w:rFonts w:ascii="Garamond" w:hAnsi="Garamond" w:cs="Times New Roman"/>
          <w:sz w:val="24"/>
          <w:szCs w:val="24"/>
        </w:rPr>
        <w:t>,</w:t>
      </w:r>
      <w:r w:rsidRPr="00B31292">
        <w:rPr>
          <w:rFonts w:ascii="Garamond" w:hAnsi="Garamond" w:cs="Times New Roman"/>
          <w:sz w:val="24"/>
          <w:szCs w:val="24"/>
        </w:rPr>
        <w:t xml:space="preserve"> si: </w:t>
      </w:r>
      <w:r w:rsidR="007F4AF2" w:rsidRPr="00B31292">
        <w:rPr>
          <w:rFonts w:ascii="Garamond" w:hAnsi="Garamond" w:cs="Times New Roman"/>
          <w:sz w:val="24"/>
          <w:szCs w:val="24"/>
        </w:rPr>
        <w:t>statistikat makroekonomike, statistikat financiare të qeverisë, fiskale dhe sektorit publik dhe statistikat e biznesit</w:t>
      </w:r>
      <w:r w:rsidRPr="00B31292">
        <w:rPr>
          <w:rFonts w:ascii="Garamond" w:hAnsi="Garamond" w:cs="Times New Roman"/>
          <w:sz w:val="24"/>
          <w:szCs w:val="24"/>
        </w:rPr>
        <w:t>, të cilat luajnë një rol të rëndësishëm në hartimin e politikave ekonomike dhe përbëjnë bazën kryesore të informacionit për analiza të mëtejshme mbi zhvillimin dhe ndryshimet strukturore të ekonomisë së vendit.</w:t>
      </w:r>
    </w:p>
    <w:p w14:paraId="763FA626" w14:textId="77777777" w:rsidR="00D72293" w:rsidRPr="00B31292" w:rsidRDefault="00D72293" w:rsidP="003A4DBA">
      <w:pPr>
        <w:spacing w:after="0" w:line="240" w:lineRule="auto"/>
        <w:ind w:firstLine="284"/>
        <w:contextualSpacing/>
        <w:jc w:val="both"/>
        <w:rPr>
          <w:rFonts w:ascii="Garamond" w:hAnsi="Garamond" w:cs="Times New Roman"/>
          <w:sz w:val="24"/>
          <w:szCs w:val="24"/>
        </w:rPr>
      </w:pPr>
      <w:r w:rsidRPr="00B31292">
        <w:rPr>
          <w:rFonts w:ascii="Garamond" w:hAnsi="Garamond" w:cs="Times New Roman"/>
          <w:sz w:val="24"/>
          <w:szCs w:val="24"/>
        </w:rPr>
        <w:t>Qëllimi kryesor i statistikave ekonomike është që të sigurojnë të dhëna në kohë dhe me cilësi të lartë të treguesve statistikorë, të cilët ndihmojnë në hartimin e politikave ekonomike, si dhe në monitorimin dhe menaxhimin e këtyre fushave.</w:t>
      </w:r>
    </w:p>
    <w:p w14:paraId="02D5E8C9" w14:textId="0F3A6B51" w:rsidR="00D72293" w:rsidRPr="00B31292" w:rsidRDefault="00D72293" w:rsidP="003A4DBA">
      <w:pPr>
        <w:spacing w:after="0" w:line="240" w:lineRule="auto"/>
        <w:ind w:firstLine="284"/>
        <w:contextualSpacing/>
        <w:jc w:val="both"/>
        <w:rPr>
          <w:rFonts w:ascii="Garamond" w:hAnsi="Garamond" w:cs="Times New Roman"/>
          <w:sz w:val="24"/>
          <w:szCs w:val="24"/>
        </w:rPr>
      </w:pPr>
      <w:r w:rsidRPr="00B31292">
        <w:rPr>
          <w:rFonts w:ascii="Garamond" w:hAnsi="Garamond" w:cs="Times New Roman"/>
          <w:sz w:val="24"/>
          <w:szCs w:val="24"/>
        </w:rPr>
        <w:lastRenderedPageBreak/>
        <w:t>Ob</w:t>
      </w:r>
      <w:r w:rsidR="00EF6550" w:rsidRPr="00B31292">
        <w:rPr>
          <w:rFonts w:ascii="Garamond" w:hAnsi="Garamond" w:cs="Times New Roman"/>
          <w:sz w:val="24"/>
          <w:szCs w:val="24"/>
        </w:rPr>
        <w:t xml:space="preserve">jektivi kryesor për vitin 2025 për statistikat ekonomike </w:t>
      </w:r>
      <w:r w:rsidR="0039014C" w:rsidRPr="00B31292">
        <w:rPr>
          <w:rFonts w:ascii="Garamond" w:hAnsi="Garamond" w:cs="Times New Roman"/>
          <w:sz w:val="24"/>
          <w:szCs w:val="24"/>
        </w:rPr>
        <w:t>është realizimi i të gjithë objektivave</w:t>
      </w:r>
      <w:r w:rsidR="007F4AF2" w:rsidRPr="00B31292">
        <w:rPr>
          <w:rFonts w:ascii="Garamond" w:hAnsi="Garamond" w:cs="Times New Roman"/>
          <w:sz w:val="24"/>
          <w:szCs w:val="24"/>
        </w:rPr>
        <w:t>,</w:t>
      </w:r>
      <w:r w:rsidR="0039014C" w:rsidRPr="00B31292">
        <w:rPr>
          <w:rFonts w:ascii="Garamond" w:hAnsi="Garamond" w:cs="Times New Roman"/>
          <w:sz w:val="24"/>
          <w:szCs w:val="24"/>
        </w:rPr>
        <w:t xml:space="preserve"> sipas Programit të Statistikave Zyrtare </w:t>
      </w:r>
      <w:r w:rsidR="002277EC" w:rsidRPr="00B31292">
        <w:rPr>
          <w:rFonts w:ascii="Garamond" w:hAnsi="Garamond" w:cs="Times New Roman"/>
          <w:sz w:val="24"/>
          <w:szCs w:val="24"/>
        </w:rPr>
        <w:t>2022–2026</w:t>
      </w:r>
      <w:r w:rsidR="00120B26" w:rsidRPr="00B31292">
        <w:rPr>
          <w:rFonts w:ascii="Garamond" w:hAnsi="Garamond" w:cs="Times New Roman"/>
          <w:sz w:val="24"/>
          <w:szCs w:val="24"/>
        </w:rPr>
        <w:t>,</w:t>
      </w:r>
      <w:r w:rsidR="00D53432" w:rsidRPr="00B31292">
        <w:rPr>
          <w:rFonts w:ascii="Garamond" w:hAnsi="Garamond" w:cs="Times New Roman"/>
          <w:sz w:val="24"/>
          <w:szCs w:val="24"/>
        </w:rPr>
        <w:t xml:space="preserve"> me fokus</w:t>
      </w:r>
      <w:r w:rsidR="0039014C" w:rsidRPr="00B31292">
        <w:rPr>
          <w:rFonts w:ascii="Garamond" w:hAnsi="Garamond" w:cs="Times New Roman"/>
          <w:sz w:val="24"/>
          <w:szCs w:val="24"/>
        </w:rPr>
        <w:t xml:space="preserve"> </w:t>
      </w:r>
      <w:r w:rsidRPr="00B31292">
        <w:rPr>
          <w:rFonts w:ascii="Garamond" w:hAnsi="Garamond" w:cs="Times New Roman"/>
          <w:sz w:val="24"/>
          <w:szCs w:val="24"/>
        </w:rPr>
        <w:t>rritj</w:t>
      </w:r>
      <w:r w:rsidR="0039014C" w:rsidRPr="00B31292">
        <w:rPr>
          <w:rFonts w:ascii="Garamond" w:hAnsi="Garamond" w:cs="Times New Roman"/>
          <w:sz w:val="24"/>
          <w:szCs w:val="24"/>
        </w:rPr>
        <w:t xml:space="preserve">en </w:t>
      </w:r>
      <w:r w:rsidRPr="00B31292">
        <w:rPr>
          <w:rFonts w:ascii="Garamond" w:hAnsi="Garamond" w:cs="Times New Roman"/>
          <w:sz w:val="24"/>
          <w:szCs w:val="24"/>
        </w:rPr>
        <w:t>e cilësisë dhe plotshmërisë së serive kohore për treguesit me frekuencë mujore, tremujore dhe vjetore, duke synuar rritjen e nivelit të përafrimit me</w:t>
      </w:r>
      <w:r w:rsidR="00DD20C8" w:rsidRPr="00B31292">
        <w:rPr>
          <w:rFonts w:ascii="Garamond" w:hAnsi="Garamond" w:cs="Times New Roman"/>
          <w:sz w:val="24"/>
          <w:szCs w:val="24"/>
        </w:rPr>
        <w:t xml:space="preserve"> </w:t>
      </w:r>
      <w:r w:rsidRPr="00B31292">
        <w:rPr>
          <w:rFonts w:ascii="Garamond" w:hAnsi="Garamond" w:cs="Times New Roman"/>
          <w:i/>
          <w:sz w:val="24"/>
          <w:szCs w:val="24"/>
        </w:rPr>
        <w:t>acquis</w:t>
      </w:r>
      <w:r w:rsidRPr="00B31292">
        <w:rPr>
          <w:rFonts w:ascii="Garamond" w:hAnsi="Garamond" w:cs="Times New Roman"/>
          <w:sz w:val="24"/>
          <w:szCs w:val="24"/>
        </w:rPr>
        <w:t xml:space="preserve"> përkatëse. Një ndër </w:t>
      </w:r>
      <w:r w:rsidR="003E2CD1" w:rsidRPr="00B31292">
        <w:rPr>
          <w:rFonts w:ascii="Garamond" w:hAnsi="Garamond" w:cs="Times New Roman"/>
          <w:sz w:val="24"/>
          <w:szCs w:val="24"/>
        </w:rPr>
        <w:t>zhvill</w:t>
      </w:r>
      <w:r w:rsidR="007C7CBB" w:rsidRPr="00B31292">
        <w:rPr>
          <w:rFonts w:ascii="Garamond" w:hAnsi="Garamond" w:cs="Times New Roman"/>
          <w:sz w:val="24"/>
          <w:szCs w:val="24"/>
        </w:rPr>
        <w:t>im</w:t>
      </w:r>
      <w:r w:rsidR="003E2CD1" w:rsidRPr="00B31292">
        <w:rPr>
          <w:rFonts w:ascii="Garamond" w:hAnsi="Garamond" w:cs="Times New Roman"/>
          <w:sz w:val="24"/>
          <w:szCs w:val="24"/>
        </w:rPr>
        <w:t>et e reja t</w:t>
      </w:r>
      <w:r w:rsidR="007C7CBB" w:rsidRPr="00B31292">
        <w:rPr>
          <w:rFonts w:ascii="Garamond" w:hAnsi="Garamond" w:cs="Times New Roman"/>
          <w:sz w:val="24"/>
          <w:szCs w:val="24"/>
        </w:rPr>
        <w:t>ë</w:t>
      </w:r>
      <w:r w:rsidR="003E2CD1" w:rsidRPr="00B31292">
        <w:rPr>
          <w:rFonts w:ascii="Garamond" w:hAnsi="Garamond" w:cs="Times New Roman"/>
          <w:sz w:val="24"/>
          <w:szCs w:val="24"/>
        </w:rPr>
        <w:t xml:space="preserve"> paras</w:t>
      </w:r>
      <w:r w:rsidR="007C7CBB" w:rsidRPr="00B31292">
        <w:rPr>
          <w:rFonts w:ascii="Garamond" w:hAnsi="Garamond" w:cs="Times New Roman"/>
          <w:sz w:val="24"/>
          <w:szCs w:val="24"/>
        </w:rPr>
        <w:t>h</w:t>
      </w:r>
      <w:r w:rsidR="003E2CD1" w:rsidRPr="00B31292">
        <w:rPr>
          <w:rFonts w:ascii="Garamond" w:hAnsi="Garamond" w:cs="Times New Roman"/>
          <w:sz w:val="24"/>
          <w:szCs w:val="24"/>
        </w:rPr>
        <w:t>ikuara n</w:t>
      </w:r>
      <w:r w:rsidR="007C7CBB" w:rsidRPr="00B31292">
        <w:rPr>
          <w:rFonts w:ascii="Garamond" w:hAnsi="Garamond" w:cs="Times New Roman"/>
          <w:sz w:val="24"/>
          <w:szCs w:val="24"/>
        </w:rPr>
        <w:t>ë</w:t>
      </w:r>
      <w:r w:rsidR="003E2CD1" w:rsidRPr="00B31292">
        <w:rPr>
          <w:rFonts w:ascii="Garamond" w:hAnsi="Garamond" w:cs="Times New Roman"/>
          <w:sz w:val="24"/>
          <w:szCs w:val="24"/>
        </w:rPr>
        <w:t xml:space="preserve"> vitin 2025, </w:t>
      </w:r>
      <w:r w:rsidRPr="00B31292">
        <w:rPr>
          <w:rFonts w:ascii="Garamond" w:hAnsi="Garamond" w:cs="Times New Roman"/>
          <w:sz w:val="24"/>
          <w:szCs w:val="24"/>
        </w:rPr>
        <w:t>do të jetë përgatitja</w:t>
      </w:r>
      <w:r w:rsidR="007C7CBB" w:rsidRPr="00B31292">
        <w:rPr>
          <w:rFonts w:ascii="Garamond" w:hAnsi="Garamond" w:cs="Times New Roman"/>
          <w:sz w:val="24"/>
          <w:szCs w:val="24"/>
        </w:rPr>
        <w:t xml:space="preserve"> e</w:t>
      </w:r>
      <w:r w:rsidRPr="00B31292">
        <w:rPr>
          <w:rFonts w:ascii="Garamond" w:hAnsi="Garamond" w:cs="Times New Roman"/>
          <w:sz w:val="24"/>
          <w:szCs w:val="24"/>
        </w:rPr>
        <w:t xml:space="preserve"> </w:t>
      </w:r>
      <w:r w:rsidR="003E2CD1" w:rsidRPr="00B31292">
        <w:rPr>
          <w:rFonts w:ascii="Garamond" w:hAnsi="Garamond" w:cs="Times New Roman"/>
          <w:sz w:val="24"/>
          <w:szCs w:val="24"/>
        </w:rPr>
        <w:t>serive kohore 1995</w:t>
      </w:r>
      <w:r w:rsidR="00BA12C3" w:rsidRPr="00B31292">
        <w:rPr>
          <w:rFonts w:ascii="Garamond" w:eastAsia="Times New Roman" w:hAnsi="Garamond" w:cs="Times New Roman"/>
          <w:sz w:val="24"/>
          <w:szCs w:val="24"/>
        </w:rPr>
        <w:t>–</w:t>
      </w:r>
      <w:r w:rsidR="003E2CD1" w:rsidRPr="00B31292">
        <w:rPr>
          <w:rFonts w:ascii="Garamond" w:hAnsi="Garamond" w:cs="Times New Roman"/>
          <w:sz w:val="24"/>
          <w:szCs w:val="24"/>
        </w:rPr>
        <w:t>2017, n</w:t>
      </w:r>
      <w:r w:rsidR="007C7CBB" w:rsidRPr="00B31292">
        <w:rPr>
          <w:rFonts w:ascii="Garamond" w:hAnsi="Garamond" w:cs="Times New Roman"/>
          <w:sz w:val="24"/>
          <w:szCs w:val="24"/>
        </w:rPr>
        <w:t>ë</w:t>
      </w:r>
      <w:r w:rsidR="003E2CD1" w:rsidRPr="00B31292">
        <w:rPr>
          <w:rFonts w:ascii="Garamond" w:hAnsi="Garamond" w:cs="Times New Roman"/>
          <w:sz w:val="24"/>
          <w:szCs w:val="24"/>
        </w:rPr>
        <w:t xml:space="preserve"> kuad</w:t>
      </w:r>
      <w:r w:rsidR="007C7CBB" w:rsidRPr="00B31292">
        <w:rPr>
          <w:rFonts w:ascii="Garamond" w:hAnsi="Garamond" w:cs="Times New Roman"/>
          <w:sz w:val="24"/>
          <w:szCs w:val="24"/>
        </w:rPr>
        <w:t>ë</w:t>
      </w:r>
      <w:r w:rsidR="003E2CD1" w:rsidRPr="00B31292">
        <w:rPr>
          <w:rFonts w:ascii="Garamond" w:hAnsi="Garamond" w:cs="Times New Roman"/>
          <w:sz w:val="24"/>
          <w:szCs w:val="24"/>
        </w:rPr>
        <w:t>r t</w:t>
      </w:r>
      <w:r w:rsidR="007C7CBB" w:rsidRPr="00B31292">
        <w:rPr>
          <w:rFonts w:ascii="Garamond" w:hAnsi="Garamond" w:cs="Times New Roman"/>
          <w:sz w:val="24"/>
          <w:szCs w:val="24"/>
        </w:rPr>
        <w:t>ë</w:t>
      </w:r>
      <w:r w:rsidR="003E2CD1" w:rsidRPr="00B31292">
        <w:rPr>
          <w:rFonts w:ascii="Garamond" w:hAnsi="Garamond" w:cs="Times New Roman"/>
          <w:sz w:val="24"/>
          <w:szCs w:val="24"/>
        </w:rPr>
        <w:t xml:space="preserve"> </w:t>
      </w:r>
      <w:r w:rsidR="007F4AF2" w:rsidRPr="00B31292">
        <w:rPr>
          <w:rFonts w:ascii="Garamond" w:hAnsi="Garamond" w:cs="Times New Roman"/>
          <w:sz w:val="24"/>
          <w:szCs w:val="24"/>
        </w:rPr>
        <w:t>revizionimit madhor të llogarive kombëtare</w:t>
      </w:r>
      <w:r w:rsidR="003E2CD1" w:rsidRPr="00B31292">
        <w:rPr>
          <w:rFonts w:ascii="Garamond" w:hAnsi="Garamond" w:cs="Times New Roman"/>
          <w:sz w:val="24"/>
          <w:szCs w:val="24"/>
        </w:rPr>
        <w:t>, n</w:t>
      </w:r>
      <w:r w:rsidR="007C7CBB" w:rsidRPr="00B31292">
        <w:rPr>
          <w:rFonts w:ascii="Garamond" w:hAnsi="Garamond" w:cs="Times New Roman"/>
          <w:sz w:val="24"/>
          <w:szCs w:val="24"/>
        </w:rPr>
        <w:t>ë</w:t>
      </w:r>
      <w:r w:rsidR="003E2CD1" w:rsidRPr="00B31292">
        <w:rPr>
          <w:rFonts w:ascii="Garamond" w:hAnsi="Garamond" w:cs="Times New Roman"/>
          <w:sz w:val="24"/>
          <w:szCs w:val="24"/>
        </w:rPr>
        <w:t xml:space="preserve"> t</w:t>
      </w:r>
      <w:r w:rsidR="007C7CBB" w:rsidRPr="00B31292">
        <w:rPr>
          <w:rFonts w:ascii="Garamond" w:hAnsi="Garamond" w:cs="Times New Roman"/>
          <w:sz w:val="24"/>
          <w:szCs w:val="24"/>
        </w:rPr>
        <w:t>e</w:t>
      </w:r>
      <w:r w:rsidR="003E2CD1" w:rsidRPr="00B31292">
        <w:rPr>
          <w:rFonts w:ascii="Garamond" w:hAnsi="Garamond" w:cs="Times New Roman"/>
          <w:sz w:val="24"/>
          <w:szCs w:val="24"/>
        </w:rPr>
        <w:t>rma vjetor</w:t>
      </w:r>
      <w:r w:rsidR="00DD2EF8" w:rsidRPr="00B31292">
        <w:rPr>
          <w:rFonts w:ascii="Garamond" w:hAnsi="Garamond" w:cs="Times New Roman"/>
          <w:sz w:val="24"/>
          <w:szCs w:val="24"/>
        </w:rPr>
        <w:t>ë</w:t>
      </w:r>
      <w:r w:rsidR="003E2CD1" w:rsidRPr="00B31292">
        <w:rPr>
          <w:rFonts w:ascii="Garamond" w:hAnsi="Garamond" w:cs="Times New Roman"/>
          <w:sz w:val="24"/>
          <w:szCs w:val="24"/>
        </w:rPr>
        <w:t xml:space="preserve"> dhe t</w:t>
      </w:r>
      <w:r w:rsidR="00DD2EF8" w:rsidRPr="00B31292">
        <w:rPr>
          <w:rFonts w:ascii="Garamond" w:hAnsi="Garamond" w:cs="Times New Roman"/>
          <w:sz w:val="24"/>
          <w:szCs w:val="24"/>
        </w:rPr>
        <w:t>remujorë</w:t>
      </w:r>
      <w:r w:rsidR="00EF6550" w:rsidRPr="00B31292">
        <w:rPr>
          <w:rFonts w:ascii="Garamond" w:hAnsi="Garamond" w:cs="Times New Roman"/>
          <w:sz w:val="24"/>
          <w:szCs w:val="24"/>
        </w:rPr>
        <w:t>,</w:t>
      </w:r>
      <w:r w:rsidR="00A8209B" w:rsidRPr="00B31292">
        <w:rPr>
          <w:rFonts w:ascii="Garamond" w:hAnsi="Garamond" w:cs="Times New Roman"/>
          <w:sz w:val="24"/>
          <w:szCs w:val="24"/>
        </w:rPr>
        <w:t xml:space="preserve"> </w:t>
      </w:r>
      <w:r w:rsidRPr="00B31292">
        <w:rPr>
          <w:rFonts w:ascii="Garamond" w:hAnsi="Garamond" w:cs="Times New Roman"/>
          <w:sz w:val="24"/>
          <w:szCs w:val="24"/>
        </w:rPr>
        <w:t xml:space="preserve">ku synohet integrimi i të gjithë përmirësimeve të ndërmarra në këtë fushë nën asistencën e </w:t>
      </w:r>
      <w:r w:rsidR="009C0CE9" w:rsidRPr="00B31292">
        <w:rPr>
          <w:rFonts w:ascii="Garamond" w:hAnsi="Garamond" w:cs="Times New Roman"/>
          <w:sz w:val="24"/>
          <w:szCs w:val="24"/>
        </w:rPr>
        <w:t>Eurostat</w:t>
      </w:r>
      <w:r w:rsidRPr="00B31292">
        <w:rPr>
          <w:rFonts w:ascii="Garamond" w:hAnsi="Garamond" w:cs="Times New Roman"/>
          <w:sz w:val="24"/>
          <w:szCs w:val="24"/>
        </w:rPr>
        <w:t xml:space="preserve">it. </w:t>
      </w:r>
    </w:p>
    <w:p w14:paraId="63500690" w14:textId="48507FA8" w:rsidR="00D72293" w:rsidRPr="00B31292" w:rsidRDefault="00D72293" w:rsidP="003A4DBA">
      <w:pPr>
        <w:spacing w:after="0" w:line="240" w:lineRule="auto"/>
        <w:ind w:firstLine="284"/>
        <w:jc w:val="both"/>
        <w:rPr>
          <w:rFonts w:ascii="Garamond" w:hAnsi="Garamond" w:cs="Times New Roman"/>
          <w:sz w:val="24"/>
          <w:szCs w:val="24"/>
        </w:rPr>
      </w:pPr>
      <w:r w:rsidRPr="00B31292">
        <w:rPr>
          <w:rFonts w:ascii="Garamond" w:hAnsi="Garamond" w:cs="Times New Roman"/>
          <w:b/>
          <w:sz w:val="24"/>
          <w:szCs w:val="24"/>
        </w:rPr>
        <w:t>Agjencitë statistikore përgjegjëse</w:t>
      </w:r>
      <w:r w:rsidRPr="00B31292">
        <w:rPr>
          <w:rFonts w:ascii="Garamond" w:hAnsi="Garamond" w:cs="Times New Roman"/>
          <w:sz w:val="24"/>
          <w:szCs w:val="24"/>
        </w:rPr>
        <w:t>: INSTAT</w:t>
      </w:r>
      <w:r w:rsidR="00BA12C3" w:rsidRPr="00B31292">
        <w:rPr>
          <w:rFonts w:ascii="Garamond" w:hAnsi="Garamond" w:cs="Times New Roman"/>
          <w:sz w:val="24"/>
          <w:szCs w:val="24"/>
        </w:rPr>
        <w:t>-i</w:t>
      </w:r>
      <w:r w:rsidRPr="00B31292">
        <w:rPr>
          <w:rFonts w:ascii="Garamond" w:hAnsi="Garamond" w:cs="Times New Roman"/>
          <w:sz w:val="24"/>
          <w:szCs w:val="24"/>
        </w:rPr>
        <w:t>, Banka e Shqipërisë dhe Ministria e Financave.</w:t>
      </w:r>
    </w:p>
    <w:p w14:paraId="1018AE37" w14:textId="71E0C0C1" w:rsidR="00D72293" w:rsidRPr="00B31292" w:rsidRDefault="00D72293" w:rsidP="003A4DBA">
      <w:pPr>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Në tabelën e mëposhtme (</w:t>
      </w:r>
      <w:r w:rsidR="00BA12C3" w:rsidRPr="00B31292">
        <w:rPr>
          <w:rFonts w:ascii="Garamond" w:hAnsi="Garamond" w:cs="Times New Roman"/>
          <w:sz w:val="24"/>
          <w:szCs w:val="24"/>
        </w:rPr>
        <w:t>t</w:t>
      </w:r>
      <w:r w:rsidRPr="00B31292">
        <w:rPr>
          <w:rFonts w:ascii="Garamond" w:hAnsi="Garamond" w:cs="Times New Roman"/>
          <w:sz w:val="24"/>
          <w:szCs w:val="24"/>
        </w:rPr>
        <w:t xml:space="preserve">abela nr. </w:t>
      </w:r>
      <w:r w:rsidR="009C3923" w:rsidRPr="00B31292">
        <w:rPr>
          <w:rFonts w:ascii="Garamond" w:hAnsi="Garamond" w:cs="Times New Roman"/>
          <w:sz w:val="24"/>
          <w:szCs w:val="24"/>
        </w:rPr>
        <w:t>11</w:t>
      </w:r>
      <w:r w:rsidRPr="00B31292">
        <w:rPr>
          <w:rFonts w:ascii="Garamond" w:hAnsi="Garamond" w:cs="Times New Roman"/>
          <w:sz w:val="24"/>
          <w:szCs w:val="24"/>
        </w:rPr>
        <w:t>) paraqitet numri i aktiviteteve të kësaj fushe, për kategoritë: periodiciteti/burimi i të dhënave/niveli minimal i publikimit/institucioni përgjegjës.</w:t>
      </w:r>
    </w:p>
    <w:p w14:paraId="3C451A71" w14:textId="0F2F2113" w:rsidR="00D72293" w:rsidRPr="00B31292" w:rsidRDefault="00D72293" w:rsidP="003A4DBA">
      <w:pPr>
        <w:spacing w:after="0" w:line="240" w:lineRule="auto"/>
        <w:ind w:firstLine="284"/>
        <w:jc w:val="both"/>
        <w:rPr>
          <w:rFonts w:ascii="Garamond" w:hAnsi="Garamond" w:cs="Times New Roman"/>
          <w:bCs/>
          <w:i/>
          <w:sz w:val="24"/>
          <w:szCs w:val="24"/>
        </w:rPr>
      </w:pPr>
      <w:r w:rsidRPr="00B31292">
        <w:rPr>
          <w:rFonts w:ascii="Garamond" w:hAnsi="Garamond" w:cs="Times New Roman"/>
          <w:bCs/>
          <w:i/>
          <w:sz w:val="24"/>
          <w:szCs w:val="24"/>
        </w:rPr>
        <w:t xml:space="preserve">Tabela nr. </w:t>
      </w:r>
      <w:r w:rsidR="00564155" w:rsidRPr="00B31292">
        <w:rPr>
          <w:rFonts w:ascii="Garamond" w:hAnsi="Garamond" w:cs="Times New Roman"/>
          <w:bCs/>
          <w:i/>
          <w:sz w:val="24"/>
          <w:szCs w:val="24"/>
        </w:rPr>
        <w:t>1</w:t>
      </w:r>
      <w:r w:rsidR="00EC32D0" w:rsidRPr="00B31292">
        <w:rPr>
          <w:rFonts w:ascii="Garamond" w:hAnsi="Garamond" w:cs="Times New Roman"/>
          <w:bCs/>
          <w:i/>
          <w:sz w:val="24"/>
          <w:szCs w:val="24"/>
        </w:rPr>
        <w:t>1</w:t>
      </w:r>
      <w:r w:rsidR="00BA12C3" w:rsidRPr="00B31292">
        <w:rPr>
          <w:rFonts w:ascii="Garamond" w:hAnsi="Garamond" w:cs="Times New Roman"/>
          <w:bCs/>
          <w:i/>
          <w:sz w:val="24"/>
          <w:szCs w:val="24"/>
        </w:rPr>
        <w:t>:</w:t>
      </w:r>
      <w:r w:rsidRPr="00B31292">
        <w:rPr>
          <w:rFonts w:ascii="Garamond" w:hAnsi="Garamond" w:cs="Times New Roman"/>
          <w:bCs/>
          <w:i/>
          <w:sz w:val="24"/>
          <w:szCs w:val="24"/>
        </w:rPr>
        <w:t xml:space="preserve"> Përmbledhje e numrit të aktiviteteve për </w:t>
      </w:r>
      <w:r w:rsidR="00BA12C3" w:rsidRPr="00B31292">
        <w:rPr>
          <w:rFonts w:ascii="Garamond" w:hAnsi="Garamond" w:cs="Times New Roman"/>
          <w:bCs/>
          <w:i/>
          <w:sz w:val="24"/>
          <w:szCs w:val="24"/>
        </w:rPr>
        <w:t>f</w:t>
      </w:r>
      <w:r w:rsidRPr="00B31292">
        <w:rPr>
          <w:rFonts w:ascii="Garamond" w:hAnsi="Garamond" w:cs="Times New Roman"/>
          <w:bCs/>
          <w:i/>
          <w:sz w:val="24"/>
          <w:szCs w:val="24"/>
        </w:rPr>
        <w:t xml:space="preserve">ushën </w:t>
      </w:r>
      <w:r w:rsidR="00BA12C3" w:rsidRPr="00B31292">
        <w:rPr>
          <w:rFonts w:ascii="Garamond" w:hAnsi="Garamond" w:cs="Times New Roman"/>
          <w:bCs/>
          <w:i/>
          <w:sz w:val="24"/>
          <w:szCs w:val="24"/>
        </w:rPr>
        <w:t>“</w:t>
      </w:r>
      <w:r w:rsidRPr="00B31292">
        <w:rPr>
          <w:rFonts w:ascii="Garamond" w:hAnsi="Garamond" w:cs="Times New Roman"/>
          <w:bCs/>
          <w:i/>
          <w:sz w:val="24"/>
          <w:szCs w:val="24"/>
        </w:rPr>
        <w:t xml:space="preserve">Statistikat </w:t>
      </w:r>
      <w:r w:rsidR="007F4AF2" w:rsidRPr="00B31292">
        <w:rPr>
          <w:rFonts w:ascii="Garamond" w:hAnsi="Garamond" w:cs="Times New Roman"/>
          <w:bCs/>
          <w:i/>
          <w:sz w:val="24"/>
          <w:szCs w:val="24"/>
        </w:rPr>
        <w:t>e</w:t>
      </w:r>
      <w:r w:rsidRPr="00B31292">
        <w:rPr>
          <w:rFonts w:ascii="Garamond" w:hAnsi="Garamond" w:cs="Times New Roman"/>
          <w:bCs/>
          <w:i/>
          <w:sz w:val="24"/>
          <w:szCs w:val="24"/>
        </w:rPr>
        <w:t>konomike</w:t>
      </w:r>
      <w:r w:rsidR="00BA12C3" w:rsidRPr="00B31292">
        <w:rPr>
          <w:rFonts w:ascii="Garamond" w:hAnsi="Garamond" w:cs="Times New Roman"/>
          <w:bCs/>
          <w:i/>
          <w:sz w:val="24"/>
          <w:szCs w:val="24"/>
        </w:rPr>
        <w:t>”</w:t>
      </w:r>
    </w:p>
    <w:p w14:paraId="661F7C92" w14:textId="286E6391" w:rsidR="00D87FF8" w:rsidRPr="00B31292" w:rsidRDefault="00D87FF8" w:rsidP="003A4DBA">
      <w:pPr>
        <w:spacing w:after="0" w:line="240" w:lineRule="auto"/>
        <w:jc w:val="both"/>
        <w:rPr>
          <w:rFonts w:ascii="Garamond" w:hAnsi="Garamond" w:cs="Times New Roman"/>
          <w:b/>
          <w:i/>
          <w:sz w:val="24"/>
          <w:szCs w:val="24"/>
        </w:rPr>
      </w:pPr>
      <w:r w:rsidRPr="00B31292">
        <w:rPr>
          <w:rFonts w:ascii="Garamond" w:hAnsi="Garamond" w:cs="Times New Roman"/>
          <w:b/>
          <w:i/>
          <w:noProof/>
          <w:sz w:val="24"/>
          <w:szCs w:val="24"/>
          <w:lang w:val="en-US"/>
        </w:rPr>
        <w:drawing>
          <wp:inline distT="0" distB="0" distL="0" distR="0" wp14:anchorId="2DEE8B84" wp14:editId="2CB65177">
            <wp:extent cx="5731510" cy="2409190"/>
            <wp:effectExtent l="0" t="0" r="254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731510" cy="2409190"/>
                    </a:xfrm>
                    <a:prstGeom prst="rect">
                      <a:avLst/>
                    </a:prstGeom>
                  </pic:spPr>
                </pic:pic>
              </a:graphicData>
            </a:graphic>
          </wp:inline>
        </w:drawing>
      </w:r>
    </w:p>
    <w:p w14:paraId="2103EAAB" w14:textId="5D9AE242" w:rsidR="00D72293" w:rsidRPr="00B31292" w:rsidRDefault="00D72293" w:rsidP="003A4DBA">
      <w:pPr>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*M-mujor; T-</w:t>
      </w:r>
      <w:r w:rsidR="00120B26" w:rsidRPr="00B31292">
        <w:rPr>
          <w:rFonts w:ascii="Garamond" w:hAnsi="Garamond" w:cs="Times New Roman"/>
          <w:sz w:val="24"/>
          <w:szCs w:val="24"/>
        </w:rPr>
        <w:t>t</w:t>
      </w:r>
      <w:r w:rsidRPr="00B31292">
        <w:rPr>
          <w:rFonts w:ascii="Garamond" w:hAnsi="Garamond" w:cs="Times New Roman"/>
          <w:sz w:val="24"/>
          <w:szCs w:val="24"/>
        </w:rPr>
        <w:t>remujor; V-</w:t>
      </w:r>
      <w:r w:rsidR="00120B26" w:rsidRPr="00B31292">
        <w:rPr>
          <w:rFonts w:ascii="Garamond" w:hAnsi="Garamond" w:cs="Times New Roman"/>
          <w:sz w:val="24"/>
          <w:szCs w:val="24"/>
        </w:rPr>
        <w:t>v</w:t>
      </w:r>
      <w:r w:rsidRPr="00B31292">
        <w:rPr>
          <w:rFonts w:ascii="Garamond" w:hAnsi="Garamond" w:cs="Times New Roman"/>
          <w:sz w:val="24"/>
          <w:szCs w:val="24"/>
        </w:rPr>
        <w:t xml:space="preserve">jetor; </w:t>
      </w:r>
    </w:p>
    <w:p w14:paraId="32C02D9C" w14:textId="3836490E" w:rsidR="00D72293" w:rsidRPr="00B31292" w:rsidRDefault="00D72293" w:rsidP="003A4DBA">
      <w:pPr>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 VS-</w:t>
      </w:r>
      <w:r w:rsidR="00120B26" w:rsidRPr="00B31292">
        <w:rPr>
          <w:rFonts w:ascii="Garamond" w:hAnsi="Garamond" w:cs="Times New Roman"/>
          <w:sz w:val="24"/>
          <w:szCs w:val="24"/>
        </w:rPr>
        <w:t>vrojtim s</w:t>
      </w:r>
      <w:r w:rsidRPr="00B31292">
        <w:rPr>
          <w:rFonts w:ascii="Garamond" w:hAnsi="Garamond" w:cs="Times New Roman"/>
          <w:sz w:val="24"/>
          <w:szCs w:val="24"/>
        </w:rPr>
        <w:t>tatistikor; BA-</w:t>
      </w:r>
      <w:r w:rsidR="00120B26" w:rsidRPr="00B31292">
        <w:rPr>
          <w:rFonts w:ascii="Garamond" w:hAnsi="Garamond" w:cs="Times New Roman"/>
          <w:sz w:val="24"/>
          <w:szCs w:val="24"/>
        </w:rPr>
        <w:t>burim ad</w:t>
      </w:r>
      <w:r w:rsidRPr="00B31292">
        <w:rPr>
          <w:rFonts w:ascii="Garamond" w:hAnsi="Garamond" w:cs="Times New Roman"/>
          <w:sz w:val="24"/>
          <w:szCs w:val="24"/>
        </w:rPr>
        <w:t>ministrativ; NA-</w:t>
      </w:r>
      <w:r w:rsidR="00120B26" w:rsidRPr="00B31292">
        <w:rPr>
          <w:rFonts w:ascii="Garamond" w:hAnsi="Garamond" w:cs="Times New Roman"/>
          <w:sz w:val="24"/>
          <w:szCs w:val="24"/>
        </w:rPr>
        <w:t>n</w:t>
      </w:r>
      <w:r w:rsidRPr="00B31292">
        <w:rPr>
          <w:rFonts w:ascii="Garamond" w:hAnsi="Garamond" w:cs="Times New Roman"/>
          <w:sz w:val="24"/>
          <w:szCs w:val="24"/>
        </w:rPr>
        <w:t>uk aplikohet.</w:t>
      </w:r>
    </w:p>
    <w:p w14:paraId="253877CE" w14:textId="247C1C7B" w:rsidR="006A7BFD" w:rsidRPr="0077004D" w:rsidRDefault="00D72293" w:rsidP="003A4DBA">
      <w:pPr>
        <w:spacing w:after="0" w:line="240" w:lineRule="auto"/>
        <w:ind w:firstLine="284"/>
        <w:jc w:val="both"/>
        <w:rPr>
          <w:rFonts w:ascii="Garamond" w:hAnsi="Garamond" w:cs="Times New Roman"/>
          <w:sz w:val="24"/>
          <w:szCs w:val="24"/>
        </w:rPr>
      </w:pPr>
      <w:r w:rsidRPr="0077004D">
        <w:rPr>
          <w:rFonts w:ascii="Garamond" w:hAnsi="Garamond" w:cs="Times New Roman"/>
          <w:sz w:val="24"/>
          <w:szCs w:val="24"/>
        </w:rPr>
        <w:t xml:space="preserve">Fusha </w:t>
      </w:r>
      <w:r w:rsidR="00BA12C3" w:rsidRPr="0077004D">
        <w:rPr>
          <w:rFonts w:ascii="Garamond" w:hAnsi="Garamond" w:cs="Times New Roman"/>
          <w:sz w:val="24"/>
          <w:szCs w:val="24"/>
        </w:rPr>
        <w:t>“</w:t>
      </w:r>
      <w:r w:rsidRPr="0077004D">
        <w:rPr>
          <w:rFonts w:ascii="Garamond" w:hAnsi="Garamond" w:cs="Times New Roman"/>
          <w:sz w:val="24"/>
          <w:szCs w:val="24"/>
        </w:rPr>
        <w:t>Statistikat ekonomike</w:t>
      </w:r>
      <w:r w:rsidR="00BA12C3" w:rsidRPr="0077004D">
        <w:rPr>
          <w:rFonts w:ascii="Garamond" w:hAnsi="Garamond" w:cs="Times New Roman"/>
          <w:sz w:val="24"/>
          <w:szCs w:val="24"/>
        </w:rPr>
        <w:t>”</w:t>
      </w:r>
      <w:r w:rsidRPr="0077004D">
        <w:rPr>
          <w:rFonts w:ascii="Garamond" w:hAnsi="Garamond" w:cs="Times New Roman"/>
          <w:sz w:val="24"/>
          <w:szCs w:val="24"/>
        </w:rPr>
        <w:t xml:space="preserve"> përbëhet nga 3 tema statistikore:</w:t>
      </w:r>
    </w:p>
    <w:p w14:paraId="0258F1A8" w14:textId="6DE76FC8" w:rsidR="00D72293" w:rsidRPr="0077004D" w:rsidRDefault="00D72293" w:rsidP="003A4DBA">
      <w:pPr>
        <w:keepNext/>
        <w:keepLines/>
        <w:spacing w:after="0" w:line="240" w:lineRule="auto"/>
        <w:ind w:firstLine="284"/>
        <w:outlineLvl w:val="4"/>
        <w:rPr>
          <w:rFonts w:ascii="Garamond" w:eastAsia="Times New Roman" w:hAnsi="Garamond" w:cs="Times New Roman"/>
          <w:b/>
          <w:iCs/>
          <w:sz w:val="24"/>
          <w:szCs w:val="24"/>
        </w:rPr>
      </w:pPr>
      <w:r w:rsidRPr="0077004D">
        <w:rPr>
          <w:rFonts w:ascii="Garamond" w:eastAsia="Times New Roman" w:hAnsi="Garamond" w:cs="Times New Roman"/>
          <w:b/>
          <w:iCs/>
          <w:sz w:val="24"/>
          <w:szCs w:val="24"/>
        </w:rPr>
        <w:t xml:space="preserve">Tema 2.1 </w:t>
      </w:r>
      <w:r w:rsidR="00BA12C3" w:rsidRPr="0077004D">
        <w:rPr>
          <w:rFonts w:ascii="Garamond" w:eastAsia="Times New Roman" w:hAnsi="Garamond" w:cs="Times New Roman"/>
          <w:b/>
          <w:iCs/>
          <w:sz w:val="24"/>
          <w:szCs w:val="24"/>
        </w:rPr>
        <w:t>“</w:t>
      </w:r>
      <w:r w:rsidRPr="0077004D">
        <w:rPr>
          <w:rFonts w:ascii="Garamond" w:eastAsia="Times New Roman" w:hAnsi="Garamond" w:cs="Times New Roman"/>
          <w:b/>
          <w:iCs/>
          <w:sz w:val="24"/>
          <w:szCs w:val="24"/>
        </w:rPr>
        <w:t>Makroekonomike</w:t>
      </w:r>
      <w:r w:rsidR="00BA12C3" w:rsidRPr="0077004D">
        <w:rPr>
          <w:rFonts w:ascii="Garamond" w:eastAsia="Times New Roman" w:hAnsi="Garamond" w:cs="Times New Roman"/>
          <w:b/>
          <w:iCs/>
          <w:sz w:val="24"/>
          <w:szCs w:val="24"/>
        </w:rPr>
        <w:t>”</w:t>
      </w:r>
    </w:p>
    <w:p w14:paraId="293B6903" w14:textId="006334CD" w:rsidR="00D72293" w:rsidRPr="00B31292" w:rsidRDefault="00D72293" w:rsidP="003A4DBA">
      <w:pPr>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 xml:space="preserve">Në këtë temë përfshihen statistikat e </w:t>
      </w:r>
      <w:r w:rsidR="007F4AF2" w:rsidRPr="00B31292">
        <w:rPr>
          <w:rFonts w:ascii="Garamond" w:hAnsi="Garamond" w:cs="Times New Roman"/>
          <w:sz w:val="24"/>
          <w:szCs w:val="24"/>
        </w:rPr>
        <w:t xml:space="preserve">llogarive kombëtare, </w:t>
      </w:r>
      <w:r w:rsidRPr="00B31292">
        <w:rPr>
          <w:rFonts w:ascii="Garamond" w:hAnsi="Garamond" w:cs="Times New Roman"/>
          <w:sz w:val="24"/>
          <w:szCs w:val="24"/>
        </w:rPr>
        <w:t>si:</w:t>
      </w:r>
      <w:r w:rsidR="003B7D5A" w:rsidRPr="00B31292">
        <w:rPr>
          <w:rFonts w:ascii="Garamond" w:hAnsi="Garamond" w:cs="Times New Roman"/>
          <w:sz w:val="24"/>
          <w:szCs w:val="24"/>
        </w:rPr>
        <w:t xml:space="preserve"> </w:t>
      </w:r>
      <w:r w:rsidR="007F4AF2" w:rsidRPr="00B31292">
        <w:rPr>
          <w:rFonts w:ascii="Garamond" w:hAnsi="Garamond" w:cs="Times New Roman"/>
          <w:sz w:val="24"/>
          <w:szCs w:val="24"/>
        </w:rPr>
        <w:t xml:space="preserve">llogaritë </w:t>
      </w:r>
      <w:r w:rsidRPr="00B31292">
        <w:rPr>
          <w:rFonts w:ascii="Garamond" w:hAnsi="Garamond" w:cs="Times New Roman"/>
          <w:sz w:val="24"/>
          <w:szCs w:val="24"/>
        </w:rPr>
        <w:t xml:space="preserve">jofinanciare sipas </w:t>
      </w:r>
      <w:r w:rsidR="007F4AF2" w:rsidRPr="00B31292">
        <w:rPr>
          <w:rFonts w:ascii="Garamond" w:hAnsi="Garamond" w:cs="Times New Roman"/>
          <w:sz w:val="24"/>
          <w:szCs w:val="24"/>
        </w:rPr>
        <w:t>sektorëve institucionalë, prodhimi i brendshëm bruto në terma tremujorë dhe vjetorë, tabelat burime-përdorime dhe llogaritë rajonale.</w:t>
      </w:r>
    </w:p>
    <w:p w14:paraId="67386DA9" w14:textId="0CC13FA2" w:rsidR="00D72293" w:rsidRPr="00B31292" w:rsidRDefault="00D72293" w:rsidP="003A4DBA">
      <w:pPr>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 xml:space="preserve">Llogaritë </w:t>
      </w:r>
      <w:r w:rsidR="007F4AF2" w:rsidRPr="00B31292">
        <w:rPr>
          <w:rFonts w:ascii="Garamond" w:hAnsi="Garamond" w:cs="Times New Roman"/>
          <w:sz w:val="24"/>
          <w:szCs w:val="24"/>
        </w:rPr>
        <w:t xml:space="preserve">kombëtare </w:t>
      </w:r>
      <w:r w:rsidRPr="00B31292">
        <w:rPr>
          <w:rFonts w:ascii="Garamond" w:hAnsi="Garamond" w:cs="Times New Roman"/>
          <w:sz w:val="24"/>
          <w:szCs w:val="24"/>
        </w:rPr>
        <w:t xml:space="preserve">pasqyrojnë zhvillimet makroekonomike të një vendi dhe i ofrojnë përdoruesve treguesit kryesorë dhe informacionin bazë për </w:t>
      </w:r>
      <w:r w:rsidR="00EF6550" w:rsidRPr="00B31292">
        <w:rPr>
          <w:rFonts w:ascii="Garamond" w:hAnsi="Garamond" w:cs="Times New Roman"/>
          <w:sz w:val="24"/>
          <w:szCs w:val="24"/>
        </w:rPr>
        <w:t xml:space="preserve">zhvillimin ekonomik të tij. Këto statistika </w:t>
      </w:r>
      <w:r w:rsidRPr="00B31292">
        <w:rPr>
          <w:rFonts w:ascii="Garamond" w:hAnsi="Garamond" w:cs="Times New Roman"/>
          <w:sz w:val="24"/>
          <w:szCs w:val="24"/>
        </w:rPr>
        <w:t>tregojnë se sa është kapaciteti prodhues i vendit, sa konsumohet, investohet dhe shkëmbehet me vendet e tjera të botës. Vlerësimi i këtyre treguesve realizohet duke përdorur informacionin e siguruar nga burime të ndryshme statistikore dhe administrative. Struktura e temës përbëhet nga këto nëntema:</w:t>
      </w:r>
    </w:p>
    <w:p w14:paraId="7AD3C781" w14:textId="4BD7A1C6" w:rsidR="00D72293" w:rsidRPr="00B31292" w:rsidRDefault="00D72293" w:rsidP="003A4DBA">
      <w:pPr>
        <w:spacing w:after="0" w:line="240" w:lineRule="auto"/>
        <w:ind w:firstLine="284"/>
        <w:jc w:val="both"/>
        <w:rPr>
          <w:rFonts w:ascii="Garamond" w:hAnsi="Garamond" w:cs="Times New Roman"/>
          <w:sz w:val="24"/>
          <w:szCs w:val="24"/>
        </w:rPr>
      </w:pPr>
      <w:r w:rsidRPr="00B31292">
        <w:rPr>
          <w:rFonts w:ascii="Garamond" w:hAnsi="Garamond" w:cs="Times New Roman"/>
          <w:i/>
          <w:sz w:val="24"/>
          <w:szCs w:val="24"/>
        </w:rPr>
        <w:t>2.1.1</w:t>
      </w:r>
      <w:r w:rsidR="00BA12C3" w:rsidRPr="00B31292">
        <w:rPr>
          <w:rFonts w:ascii="Garamond" w:hAnsi="Garamond" w:cs="Times New Roman"/>
          <w:i/>
          <w:sz w:val="24"/>
          <w:szCs w:val="24"/>
        </w:rPr>
        <w:t xml:space="preserve"> “</w:t>
      </w:r>
      <w:r w:rsidR="000101EB" w:rsidRPr="00B31292">
        <w:rPr>
          <w:rFonts w:ascii="Garamond" w:hAnsi="Garamond" w:cs="Times New Roman"/>
          <w:i/>
          <w:sz w:val="24"/>
          <w:szCs w:val="24"/>
        </w:rPr>
        <w:t xml:space="preserve">Llogaritë </w:t>
      </w:r>
      <w:r w:rsidR="00072D25" w:rsidRPr="00B31292">
        <w:rPr>
          <w:rFonts w:ascii="Garamond" w:hAnsi="Garamond" w:cs="Times New Roman"/>
          <w:i/>
          <w:sz w:val="24"/>
          <w:szCs w:val="24"/>
        </w:rPr>
        <w:t>jofinanciare sipas sektorëve institucionalë në terma vjetorë</w:t>
      </w:r>
      <w:r w:rsidR="00BA12C3" w:rsidRPr="00B31292">
        <w:rPr>
          <w:rFonts w:ascii="Garamond" w:hAnsi="Garamond" w:cs="Times New Roman"/>
          <w:sz w:val="24"/>
          <w:szCs w:val="24"/>
        </w:rPr>
        <w:t>”</w:t>
      </w:r>
      <w:r w:rsidR="00EF6550" w:rsidRPr="00B31292">
        <w:rPr>
          <w:rFonts w:ascii="Garamond" w:hAnsi="Garamond" w:cs="Times New Roman"/>
          <w:sz w:val="24"/>
          <w:szCs w:val="24"/>
        </w:rPr>
        <w:t xml:space="preserve"> </w:t>
      </w:r>
      <w:r w:rsidRPr="00B31292">
        <w:rPr>
          <w:rFonts w:ascii="Garamond" w:hAnsi="Garamond" w:cs="Times New Roman"/>
          <w:sz w:val="24"/>
          <w:szCs w:val="24"/>
        </w:rPr>
        <w:t>paraqesin një pasqyrë koherente të të gjitha proceseve ekonomike dhe ndërveprimet e sektorëve të ndryshëm në ekonomi, duke përfshirë lidhjet midis ekonomisë kombëtare si një e tërë dhe pjesës tjetër të botës. Aktualisht, INSTAT</w:t>
      </w:r>
      <w:r w:rsidR="00BA12C3" w:rsidRPr="00B31292">
        <w:rPr>
          <w:rFonts w:ascii="Garamond" w:hAnsi="Garamond" w:cs="Times New Roman"/>
          <w:sz w:val="24"/>
          <w:szCs w:val="24"/>
        </w:rPr>
        <w:t>-i</w:t>
      </w:r>
      <w:r w:rsidRPr="00B31292">
        <w:rPr>
          <w:rFonts w:ascii="Garamond" w:hAnsi="Garamond" w:cs="Times New Roman"/>
          <w:sz w:val="24"/>
          <w:szCs w:val="24"/>
        </w:rPr>
        <w:t xml:space="preserve"> publikon llogaritë jofinanciare sipas </w:t>
      </w:r>
      <w:r w:rsidR="007F4AF2" w:rsidRPr="00B31292">
        <w:rPr>
          <w:rFonts w:ascii="Garamond" w:hAnsi="Garamond" w:cs="Times New Roman"/>
          <w:sz w:val="24"/>
          <w:szCs w:val="24"/>
        </w:rPr>
        <w:t xml:space="preserve">sektorëve institucionalë </w:t>
      </w:r>
      <w:r w:rsidR="00072D25" w:rsidRPr="00B31292">
        <w:rPr>
          <w:rFonts w:ascii="Garamond" w:hAnsi="Garamond" w:cs="Times New Roman"/>
          <w:sz w:val="24"/>
          <w:szCs w:val="24"/>
        </w:rPr>
        <w:t>në terma vjetorë</w:t>
      </w:r>
      <w:r w:rsidRPr="00B31292">
        <w:rPr>
          <w:rFonts w:ascii="Garamond" w:hAnsi="Garamond" w:cs="Times New Roman"/>
          <w:sz w:val="24"/>
          <w:szCs w:val="24"/>
        </w:rPr>
        <w:t>, në përputhje me Sistemin Evropian të Llogarive (ESA2010). Nën asistencën e vazhdueshme të pro</w:t>
      </w:r>
      <w:r w:rsidR="002A362C" w:rsidRPr="00B31292">
        <w:rPr>
          <w:rFonts w:ascii="Garamond" w:hAnsi="Garamond" w:cs="Times New Roman"/>
          <w:sz w:val="24"/>
          <w:szCs w:val="24"/>
        </w:rPr>
        <w:t>grameve</w:t>
      </w:r>
      <w:r w:rsidRPr="00B31292">
        <w:rPr>
          <w:rFonts w:ascii="Garamond" w:hAnsi="Garamond" w:cs="Times New Roman"/>
          <w:sz w:val="24"/>
          <w:szCs w:val="24"/>
        </w:rPr>
        <w:t xml:space="preserve"> IPA shumëpërfituese është punuar për përpilimin e sekuencës së plotë të llogarive</w:t>
      </w:r>
      <w:r w:rsidR="007F4AF2" w:rsidRPr="00B31292">
        <w:rPr>
          <w:rFonts w:ascii="Garamond" w:hAnsi="Garamond" w:cs="Times New Roman"/>
          <w:sz w:val="24"/>
          <w:szCs w:val="24"/>
        </w:rPr>
        <w:t>,</w:t>
      </w:r>
      <w:r w:rsidRPr="00B31292">
        <w:rPr>
          <w:rFonts w:ascii="Garamond" w:hAnsi="Garamond" w:cs="Times New Roman"/>
          <w:sz w:val="24"/>
          <w:szCs w:val="24"/>
        </w:rPr>
        <w:t xml:space="preserve"> me qëllim krijimin e plotshmërisë në seri kohore dhe tregues statistikorë.</w:t>
      </w:r>
      <w:r w:rsidR="00EF6550" w:rsidRPr="00B31292">
        <w:rPr>
          <w:rFonts w:ascii="Garamond" w:hAnsi="Garamond" w:cs="Times New Roman"/>
          <w:sz w:val="24"/>
          <w:szCs w:val="24"/>
        </w:rPr>
        <w:t xml:space="preserve"> Në vitin 2025 </w:t>
      </w:r>
      <w:r w:rsidR="00DD20C8" w:rsidRPr="00B31292">
        <w:rPr>
          <w:rFonts w:ascii="Garamond" w:hAnsi="Garamond" w:cs="Times New Roman"/>
          <w:sz w:val="24"/>
          <w:szCs w:val="24"/>
        </w:rPr>
        <w:t>do të</w:t>
      </w:r>
      <w:r w:rsidRPr="00B31292">
        <w:rPr>
          <w:rFonts w:ascii="Garamond" w:hAnsi="Garamond" w:cs="Times New Roman"/>
          <w:sz w:val="24"/>
          <w:szCs w:val="24"/>
        </w:rPr>
        <w:t xml:space="preserve"> realizohet publikimi dhe transmetimi në </w:t>
      </w:r>
      <w:r w:rsidR="009C0CE9" w:rsidRPr="00B31292">
        <w:rPr>
          <w:rFonts w:ascii="Garamond" w:hAnsi="Garamond" w:cs="Times New Roman"/>
          <w:sz w:val="24"/>
          <w:szCs w:val="24"/>
        </w:rPr>
        <w:t>E</w:t>
      </w:r>
      <w:r w:rsidR="009C3923" w:rsidRPr="00B31292">
        <w:rPr>
          <w:rFonts w:ascii="Garamond" w:hAnsi="Garamond" w:cs="Times New Roman"/>
          <w:sz w:val="24"/>
          <w:szCs w:val="24"/>
        </w:rPr>
        <w:t>urostat</w:t>
      </w:r>
      <w:r w:rsidRPr="00B31292">
        <w:rPr>
          <w:rFonts w:ascii="Garamond" w:hAnsi="Garamond" w:cs="Times New Roman"/>
          <w:sz w:val="24"/>
          <w:szCs w:val="24"/>
        </w:rPr>
        <w:t xml:space="preserve"> i sekuencës së plotë të </w:t>
      </w:r>
      <w:r w:rsidR="007F4AF2" w:rsidRPr="00B31292">
        <w:rPr>
          <w:rFonts w:ascii="Garamond" w:hAnsi="Garamond" w:cs="Times New Roman"/>
          <w:sz w:val="24"/>
          <w:szCs w:val="24"/>
        </w:rPr>
        <w:t xml:space="preserve">llogarive </w:t>
      </w:r>
      <w:r w:rsidR="00072D25" w:rsidRPr="00B31292">
        <w:rPr>
          <w:rFonts w:ascii="Garamond" w:hAnsi="Garamond" w:cs="Times New Roman"/>
          <w:sz w:val="24"/>
          <w:szCs w:val="24"/>
        </w:rPr>
        <w:t xml:space="preserve">jofinanciare sipas </w:t>
      </w:r>
      <w:r w:rsidR="007F4AF2" w:rsidRPr="00B31292">
        <w:rPr>
          <w:rFonts w:ascii="Garamond" w:hAnsi="Garamond" w:cs="Times New Roman"/>
          <w:sz w:val="24"/>
          <w:szCs w:val="24"/>
        </w:rPr>
        <w:t xml:space="preserve">sektorëve institucionalë </w:t>
      </w:r>
      <w:r w:rsidRPr="00B31292">
        <w:rPr>
          <w:rFonts w:ascii="Garamond" w:hAnsi="Garamond" w:cs="Times New Roman"/>
          <w:sz w:val="24"/>
          <w:szCs w:val="24"/>
        </w:rPr>
        <w:t>për periudhën 2013–</w:t>
      </w:r>
      <w:r w:rsidR="00072D25" w:rsidRPr="00B31292">
        <w:rPr>
          <w:rFonts w:ascii="Garamond" w:hAnsi="Garamond" w:cs="Times New Roman"/>
          <w:sz w:val="24"/>
          <w:szCs w:val="24"/>
        </w:rPr>
        <w:t>2017, duke rritur nivelin e plotshmërisë në seri kohore sipas programit të transmetimit ESA 2010.</w:t>
      </w:r>
    </w:p>
    <w:p w14:paraId="29999B46" w14:textId="22E13EF6" w:rsidR="00C76CC0" w:rsidRPr="00B31292" w:rsidRDefault="00D72293" w:rsidP="003A4DBA">
      <w:pPr>
        <w:spacing w:after="0" w:line="240" w:lineRule="auto"/>
        <w:ind w:firstLine="284"/>
        <w:jc w:val="both"/>
        <w:rPr>
          <w:rFonts w:ascii="Garamond" w:hAnsi="Garamond" w:cs="Times New Roman"/>
          <w:sz w:val="24"/>
          <w:szCs w:val="24"/>
        </w:rPr>
      </w:pPr>
      <w:r w:rsidRPr="00B31292">
        <w:rPr>
          <w:rFonts w:ascii="Garamond" w:hAnsi="Garamond" w:cs="Times New Roman"/>
          <w:i/>
          <w:sz w:val="24"/>
          <w:szCs w:val="24"/>
        </w:rPr>
        <w:t xml:space="preserve">2.1.2 </w:t>
      </w:r>
      <w:r w:rsidR="00BA12C3" w:rsidRPr="00B31292">
        <w:rPr>
          <w:rFonts w:ascii="Garamond" w:hAnsi="Garamond" w:cs="Times New Roman"/>
          <w:i/>
          <w:sz w:val="24"/>
          <w:szCs w:val="24"/>
        </w:rPr>
        <w:t>“</w:t>
      </w:r>
      <w:r w:rsidRPr="00B31292">
        <w:rPr>
          <w:rFonts w:ascii="Garamond" w:hAnsi="Garamond" w:cs="Times New Roman"/>
          <w:i/>
          <w:sz w:val="24"/>
          <w:szCs w:val="24"/>
        </w:rPr>
        <w:t xml:space="preserve">Llogaritë </w:t>
      </w:r>
      <w:r w:rsidR="007F4AF2" w:rsidRPr="00B31292">
        <w:rPr>
          <w:rFonts w:ascii="Garamond" w:hAnsi="Garamond" w:cs="Times New Roman"/>
          <w:i/>
          <w:sz w:val="24"/>
          <w:szCs w:val="24"/>
        </w:rPr>
        <w:t xml:space="preserve">kombëtare tremujore dhe vjetore, agregatët </w:t>
      </w:r>
      <w:r w:rsidRPr="00B31292">
        <w:rPr>
          <w:rFonts w:ascii="Garamond" w:hAnsi="Garamond" w:cs="Times New Roman"/>
          <w:i/>
          <w:sz w:val="24"/>
          <w:szCs w:val="24"/>
        </w:rPr>
        <w:t>kryesorë</w:t>
      </w:r>
      <w:r w:rsidR="00BA12C3" w:rsidRPr="00B31292">
        <w:rPr>
          <w:rFonts w:ascii="Garamond" w:hAnsi="Garamond" w:cs="Times New Roman"/>
          <w:i/>
          <w:sz w:val="24"/>
          <w:szCs w:val="24"/>
        </w:rPr>
        <w:t>”</w:t>
      </w:r>
      <w:r w:rsidRPr="00B31292">
        <w:rPr>
          <w:rFonts w:ascii="Garamond" w:hAnsi="Garamond" w:cs="Times New Roman"/>
          <w:sz w:val="24"/>
          <w:szCs w:val="24"/>
        </w:rPr>
        <w:t>, e cila ndahet në dy aktivitete kryesore, duke u bazuar në frekuencën e treguesit.</w:t>
      </w:r>
    </w:p>
    <w:p w14:paraId="04E68634" w14:textId="767AEABA" w:rsidR="00C76CC0" w:rsidRPr="00B31292" w:rsidRDefault="00BA12C3" w:rsidP="003A4DBA">
      <w:pPr>
        <w:spacing w:after="0" w:line="240" w:lineRule="auto"/>
        <w:ind w:firstLine="284"/>
        <w:jc w:val="both"/>
        <w:rPr>
          <w:rFonts w:ascii="Garamond" w:hAnsi="Garamond" w:cs="Times New Roman"/>
          <w:sz w:val="24"/>
          <w:szCs w:val="24"/>
        </w:rPr>
      </w:pPr>
      <w:r w:rsidRPr="00B31292">
        <w:rPr>
          <w:rFonts w:ascii="Garamond" w:hAnsi="Garamond" w:cs="Times New Roman"/>
          <w:i/>
          <w:sz w:val="24"/>
          <w:szCs w:val="24"/>
        </w:rPr>
        <w:lastRenderedPageBreak/>
        <w:t>“</w:t>
      </w:r>
      <w:r w:rsidR="00D72293" w:rsidRPr="00B31292">
        <w:rPr>
          <w:rFonts w:ascii="Garamond" w:hAnsi="Garamond" w:cs="Times New Roman"/>
          <w:i/>
          <w:sz w:val="24"/>
          <w:szCs w:val="24"/>
        </w:rPr>
        <w:t xml:space="preserve">Llogaritë </w:t>
      </w:r>
      <w:r w:rsidR="007F4AF2" w:rsidRPr="00B31292">
        <w:rPr>
          <w:rFonts w:ascii="Garamond" w:hAnsi="Garamond" w:cs="Times New Roman"/>
          <w:i/>
          <w:sz w:val="24"/>
          <w:szCs w:val="24"/>
        </w:rPr>
        <w:t>kombëtare tremujore</w:t>
      </w:r>
      <w:r w:rsidRPr="00B31292">
        <w:rPr>
          <w:rFonts w:ascii="Garamond" w:hAnsi="Garamond" w:cs="Times New Roman"/>
          <w:i/>
          <w:sz w:val="24"/>
          <w:szCs w:val="24"/>
        </w:rPr>
        <w:t>”</w:t>
      </w:r>
      <w:r w:rsidR="00D72293" w:rsidRPr="00B31292">
        <w:rPr>
          <w:rFonts w:ascii="Garamond" w:hAnsi="Garamond" w:cs="Times New Roman"/>
          <w:sz w:val="24"/>
          <w:szCs w:val="24"/>
        </w:rPr>
        <w:t xml:space="preserve"> pasqyrojnë në frekuenca tremujore ecurinë e treguesit të </w:t>
      </w:r>
      <w:r w:rsidR="007F4AF2" w:rsidRPr="00B31292">
        <w:rPr>
          <w:rFonts w:ascii="Garamond" w:hAnsi="Garamond" w:cs="Times New Roman"/>
          <w:sz w:val="24"/>
          <w:szCs w:val="24"/>
        </w:rPr>
        <w:t xml:space="preserve">produktit të brendshëm bruto </w:t>
      </w:r>
      <w:r w:rsidR="00D72293" w:rsidRPr="00B31292">
        <w:rPr>
          <w:rFonts w:ascii="Garamond" w:hAnsi="Garamond" w:cs="Times New Roman"/>
          <w:sz w:val="24"/>
          <w:szCs w:val="24"/>
        </w:rPr>
        <w:t xml:space="preserve">(PBB), i vlerësuar me metodën e prodhimit, si dhe vlerësimin e disa prej komponentëve kryesorë të metodës së shpenzimeve me çmime korrente, çmimet e vitit paraardhës dhe lidhje zinxhir, të përshtatura dhe jo të përshtatura sezonalisht. </w:t>
      </w:r>
    </w:p>
    <w:p w14:paraId="1AB72E18" w14:textId="59A17099" w:rsidR="00D72293" w:rsidRPr="00B31292" w:rsidRDefault="00D72293" w:rsidP="003A4DBA">
      <w:pPr>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 xml:space="preserve"> </w:t>
      </w:r>
      <w:r w:rsidR="00BA12C3" w:rsidRPr="00B31292">
        <w:rPr>
          <w:rFonts w:ascii="Garamond" w:hAnsi="Garamond" w:cs="Times New Roman"/>
          <w:i/>
          <w:sz w:val="24"/>
          <w:szCs w:val="24"/>
        </w:rPr>
        <w:t>“</w:t>
      </w:r>
      <w:r w:rsidRPr="00B31292">
        <w:rPr>
          <w:rFonts w:ascii="Garamond" w:hAnsi="Garamond" w:cs="Times New Roman"/>
          <w:i/>
          <w:sz w:val="24"/>
          <w:szCs w:val="24"/>
        </w:rPr>
        <w:t xml:space="preserve">Llogaritë </w:t>
      </w:r>
      <w:r w:rsidR="007F4AF2" w:rsidRPr="00B31292">
        <w:rPr>
          <w:rFonts w:ascii="Garamond" w:hAnsi="Garamond" w:cs="Times New Roman"/>
          <w:i/>
          <w:sz w:val="24"/>
          <w:szCs w:val="24"/>
        </w:rPr>
        <w:t>kombëtare vjet</w:t>
      </w:r>
      <w:r w:rsidRPr="00B31292">
        <w:rPr>
          <w:rFonts w:ascii="Garamond" w:hAnsi="Garamond" w:cs="Times New Roman"/>
          <w:i/>
          <w:sz w:val="24"/>
          <w:szCs w:val="24"/>
        </w:rPr>
        <w:t>ore</w:t>
      </w:r>
      <w:r w:rsidR="00BA12C3" w:rsidRPr="00B31292">
        <w:rPr>
          <w:rFonts w:ascii="Garamond" w:hAnsi="Garamond" w:cs="Times New Roman"/>
          <w:i/>
          <w:sz w:val="24"/>
          <w:szCs w:val="24"/>
        </w:rPr>
        <w:t>”</w:t>
      </w:r>
      <w:r w:rsidRPr="00B31292">
        <w:rPr>
          <w:rFonts w:ascii="Garamond" w:hAnsi="Garamond" w:cs="Times New Roman"/>
          <w:sz w:val="24"/>
          <w:szCs w:val="24"/>
        </w:rPr>
        <w:t xml:space="preserve"> pasqyrojnë në frekuencë vjetore treguesin </w:t>
      </w:r>
      <w:r w:rsidR="00BA12C3" w:rsidRPr="00B31292">
        <w:rPr>
          <w:rFonts w:ascii="Garamond" w:hAnsi="Garamond" w:cs="Times New Roman"/>
          <w:sz w:val="24"/>
          <w:szCs w:val="24"/>
        </w:rPr>
        <w:t>“</w:t>
      </w:r>
      <w:r w:rsidRPr="00B31292">
        <w:rPr>
          <w:rFonts w:ascii="Garamond" w:hAnsi="Garamond" w:cs="Times New Roman"/>
          <w:sz w:val="24"/>
          <w:szCs w:val="24"/>
        </w:rPr>
        <w:t xml:space="preserve">Produkti i </w:t>
      </w:r>
      <w:r w:rsidR="001461C2" w:rsidRPr="00B31292">
        <w:rPr>
          <w:rFonts w:ascii="Garamond" w:hAnsi="Garamond" w:cs="Times New Roman"/>
          <w:sz w:val="24"/>
          <w:szCs w:val="24"/>
        </w:rPr>
        <w:t xml:space="preserve">brendshëm bruto </w:t>
      </w:r>
      <w:r w:rsidRPr="00B31292">
        <w:rPr>
          <w:rFonts w:ascii="Garamond" w:hAnsi="Garamond" w:cs="Times New Roman"/>
          <w:sz w:val="24"/>
          <w:szCs w:val="24"/>
        </w:rPr>
        <w:t>(PBB)</w:t>
      </w:r>
      <w:r w:rsidR="00BA12C3" w:rsidRPr="00B31292">
        <w:rPr>
          <w:rFonts w:ascii="Garamond" w:hAnsi="Garamond" w:cs="Times New Roman"/>
          <w:sz w:val="24"/>
          <w:szCs w:val="24"/>
        </w:rPr>
        <w:t>”</w:t>
      </w:r>
      <w:r w:rsidRPr="00B31292">
        <w:rPr>
          <w:rFonts w:ascii="Garamond" w:hAnsi="Garamond" w:cs="Times New Roman"/>
          <w:sz w:val="24"/>
          <w:szCs w:val="24"/>
        </w:rPr>
        <w:t>, i vlerësuar me metodën e prodhimit</w:t>
      </w:r>
      <w:r w:rsidR="00072D25" w:rsidRPr="00B31292">
        <w:rPr>
          <w:rFonts w:ascii="Garamond" w:hAnsi="Garamond" w:cs="Times New Roman"/>
          <w:sz w:val="24"/>
          <w:szCs w:val="24"/>
        </w:rPr>
        <w:t xml:space="preserve">, </w:t>
      </w:r>
      <w:r w:rsidRPr="00B31292">
        <w:rPr>
          <w:rFonts w:ascii="Garamond" w:hAnsi="Garamond" w:cs="Times New Roman"/>
          <w:sz w:val="24"/>
          <w:szCs w:val="24"/>
        </w:rPr>
        <w:t>të shpenzimeve</w:t>
      </w:r>
      <w:r w:rsidR="002251ED" w:rsidRPr="00B31292">
        <w:rPr>
          <w:rFonts w:ascii="Garamond" w:hAnsi="Garamond" w:cs="Times New Roman"/>
          <w:sz w:val="24"/>
          <w:szCs w:val="24"/>
        </w:rPr>
        <w:t xml:space="preserve"> dhe të të ardhurave.</w:t>
      </w:r>
      <w:r w:rsidRPr="00B31292">
        <w:rPr>
          <w:rFonts w:ascii="Garamond" w:hAnsi="Garamond" w:cs="Times New Roman"/>
          <w:sz w:val="24"/>
          <w:szCs w:val="24"/>
        </w:rPr>
        <w:t xml:space="preserve"> Vlerësimi i të dhënave bazohet në kombinimin e burimeve të siguruara nga INSTAT</w:t>
      </w:r>
      <w:r w:rsidR="00BA12C3" w:rsidRPr="00B31292">
        <w:rPr>
          <w:rFonts w:ascii="Garamond" w:hAnsi="Garamond" w:cs="Times New Roman"/>
          <w:sz w:val="24"/>
          <w:szCs w:val="24"/>
        </w:rPr>
        <w:t>-i</w:t>
      </w:r>
      <w:r w:rsidRPr="00B31292">
        <w:rPr>
          <w:rFonts w:ascii="Garamond" w:hAnsi="Garamond" w:cs="Times New Roman"/>
          <w:sz w:val="24"/>
          <w:szCs w:val="24"/>
        </w:rPr>
        <w:t>, Ministria e Financav</w:t>
      </w:r>
      <w:r w:rsidR="008E639F" w:rsidRPr="00B31292">
        <w:rPr>
          <w:rFonts w:ascii="Garamond" w:hAnsi="Garamond" w:cs="Times New Roman"/>
          <w:sz w:val="24"/>
          <w:szCs w:val="24"/>
        </w:rPr>
        <w:t>e</w:t>
      </w:r>
      <w:r w:rsidRPr="00B31292">
        <w:rPr>
          <w:rFonts w:ascii="Garamond" w:hAnsi="Garamond" w:cs="Times New Roman"/>
          <w:sz w:val="24"/>
          <w:szCs w:val="24"/>
        </w:rPr>
        <w:t xml:space="preserve">, Drejtoria e Përgjithshme e Tatimeve, Qendra Kombëtare e Biznesit, Banka e Shqipërisë, Autoriteti i Mbikëqyrjes Financiare, Korporata </w:t>
      </w:r>
      <w:r w:rsidR="00B31292" w:rsidRPr="00B31292">
        <w:rPr>
          <w:rFonts w:ascii="Garamond" w:hAnsi="Garamond" w:cs="Times New Roman"/>
          <w:sz w:val="24"/>
          <w:szCs w:val="24"/>
        </w:rPr>
        <w:t>Elektroe</w:t>
      </w:r>
      <w:r w:rsidRPr="00B31292">
        <w:rPr>
          <w:rFonts w:ascii="Garamond" w:hAnsi="Garamond" w:cs="Times New Roman"/>
          <w:sz w:val="24"/>
          <w:szCs w:val="24"/>
        </w:rPr>
        <w:t>nergj</w:t>
      </w:r>
      <w:r w:rsidR="00B31292" w:rsidRPr="00B31292">
        <w:rPr>
          <w:rFonts w:ascii="Garamond" w:hAnsi="Garamond" w:cs="Times New Roman"/>
          <w:sz w:val="24"/>
          <w:szCs w:val="24"/>
        </w:rPr>
        <w:t>e</w:t>
      </w:r>
      <w:r w:rsidRPr="00B31292">
        <w:rPr>
          <w:rFonts w:ascii="Garamond" w:hAnsi="Garamond" w:cs="Times New Roman"/>
          <w:sz w:val="24"/>
          <w:szCs w:val="24"/>
        </w:rPr>
        <w:t>tike Shqiptare, Operatori i Shpërndarjes së Energjisë Elektrike, Agjencia Kombëtare e Burimeve Natyrore, në varësi të frekuencës së treguesit.</w:t>
      </w:r>
      <w:r w:rsidR="008E639F" w:rsidRPr="00B31292">
        <w:rPr>
          <w:rFonts w:ascii="Garamond" w:hAnsi="Garamond" w:cs="Times New Roman"/>
          <w:sz w:val="24"/>
          <w:szCs w:val="24"/>
        </w:rPr>
        <w:t xml:space="preserve"> </w:t>
      </w:r>
      <w:r w:rsidRPr="00B31292">
        <w:rPr>
          <w:rFonts w:ascii="Garamond" w:hAnsi="Garamond" w:cs="Times New Roman"/>
          <w:sz w:val="24"/>
          <w:szCs w:val="24"/>
        </w:rPr>
        <w:t>Gjatë vitit 2025</w:t>
      </w:r>
      <w:r w:rsidR="008E639F" w:rsidRPr="00B31292">
        <w:rPr>
          <w:rFonts w:ascii="Garamond" w:hAnsi="Garamond" w:cs="Times New Roman"/>
          <w:sz w:val="24"/>
          <w:szCs w:val="24"/>
        </w:rPr>
        <w:t>, nën asistencën e</w:t>
      </w:r>
      <w:r w:rsidR="00625A4C" w:rsidRPr="00B31292">
        <w:rPr>
          <w:rFonts w:ascii="Garamond" w:hAnsi="Garamond" w:cs="Times New Roman"/>
          <w:sz w:val="24"/>
          <w:szCs w:val="24"/>
        </w:rPr>
        <w:t xml:space="preserve"> programit</w:t>
      </w:r>
      <w:r w:rsidR="008E639F" w:rsidRPr="00B31292">
        <w:rPr>
          <w:rFonts w:ascii="Garamond" w:hAnsi="Garamond" w:cs="Times New Roman"/>
          <w:sz w:val="24"/>
          <w:szCs w:val="24"/>
        </w:rPr>
        <w:t xml:space="preserve"> IPA 2022 shumëpërfituese,</w:t>
      </w:r>
      <w:r w:rsidRPr="00B31292">
        <w:rPr>
          <w:rFonts w:ascii="Garamond" w:hAnsi="Garamond" w:cs="Times New Roman"/>
          <w:sz w:val="24"/>
          <w:szCs w:val="24"/>
        </w:rPr>
        <w:t xml:space="preserve"> do të vijojë puna për rritjen e nivelit të përputhshmërisë me kërkesat e BE</w:t>
      </w:r>
      <w:r w:rsidR="00F851B0" w:rsidRPr="00B31292">
        <w:rPr>
          <w:rFonts w:ascii="Garamond" w:hAnsi="Garamond" w:cs="Times New Roman"/>
          <w:sz w:val="24"/>
          <w:szCs w:val="24"/>
        </w:rPr>
        <w:t>-së</w:t>
      </w:r>
      <w:r w:rsidRPr="00B31292">
        <w:rPr>
          <w:rFonts w:ascii="Garamond" w:hAnsi="Garamond" w:cs="Times New Roman"/>
          <w:sz w:val="24"/>
          <w:szCs w:val="24"/>
        </w:rPr>
        <w:t xml:space="preserve"> sipas programit të transmetimit ESA 2010. </w:t>
      </w:r>
    </w:p>
    <w:p w14:paraId="007000DA" w14:textId="21015B04" w:rsidR="00651BDA" w:rsidRPr="00B31292" w:rsidRDefault="00D72293" w:rsidP="003A4DBA">
      <w:pPr>
        <w:spacing w:after="0" w:line="240" w:lineRule="auto"/>
        <w:ind w:firstLine="284"/>
        <w:jc w:val="both"/>
        <w:rPr>
          <w:rFonts w:ascii="Garamond" w:hAnsi="Garamond" w:cs="Times New Roman"/>
          <w:sz w:val="24"/>
          <w:szCs w:val="24"/>
        </w:rPr>
      </w:pPr>
      <w:r w:rsidRPr="00B31292">
        <w:rPr>
          <w:rFonts w:ascii="Garamond" w:hAnsi="Garamond" w:cs="Times New Roman"/>
          <w:i/>
          <w:sz w:val="24"/>
          <w:szCs w:val="24"/>
        </w:rPr>
        <w:t xml:space="preserve">2.1.3 </w:t>
      </w:r>
      <w:r w:rsidR="00BA12C3" w:rsidRPr="00B31292">
        <w:rPr>
          <w:rFonts w:ascii="Garamond" w:hAnsi="Garamond" w:cs="Times New Roman"/>
          <w:i/>
          <w:sz w:val="24"/>
          <w:szCs w:val="24"/>
        </w:rPr>
        <w:t>“</w:t>
      </w:r>
      <w:r w:rsidRPr="00B31292">
        <w:rPr>
          <w:rFonts w:ascii="Garamond" w:hAnsi="Garamond" w:cs="Times New Roman"/>
          <w:i/>
          <w:sz w:val="24"/>
          <w:szCs w:val="24"/>
        </w:rPr>
        <w:t xml:space="preserve">Tabelat </w:t>
      </w:r>
      <w:r w:rsidR="001461C2" w:rsidRPr="00B31292">
        <w:rPr>
          <w:rFonts w:ascii="Garamond" w:hAnsi="Garamond" w:cs="Times New Roman"/>
          <w:i/>
          <w:sz w:val="24"/>
          <w:szCs w:val="24"/>
        </w:rPr>
        <w:t>burime-përdorime dhe tabelat input-output</w:t>
      </w:r>
      <w:r w:rsidR="00BA12C3" w:rsidRPr="00B31292">
        <w:rPr>
          <w:rFonts w:ascii="Garamond" w:hAnsi="Garamond" w:cs="Times New Roman"/>
          <w:i/>
          <w:sz w:val="24"/>
          <w:szCs w:val="24"/>
        </w:rPr>
        <w:t>”</w:t>
      </w:r>
      <w:r w:rsidRPr="00B31292">
        <w:rPr>
          <w:rFonts w:ascii="Garamond" w:hAnsi="Garamond" w:cs="Times New Roman"/>
          <w:sz w:val="24"/>
          <w:szCs w:val="24"/>
        </w:rPr>
        <w:t>, pasqyrojnë në mënyrë të detajuar qarkullimin e produkteve dhe shërbimeve sipas aktiviteteve ekonomike gjatë vitit. Nga ana e burimeve paraqitet outputi, importet, marzhet tregtare dhe të transportit, ndërsa nga ana e përdorimeve paraqitet konsumi ndërmjetës, konsumi final, formimi bruto i kapitalit fiks dhe eksportet. Këto tabela prodhohen me frekuencë vjetore nëpërmjet përpunimit të të dhënave administrative dhe të dhënave të mbledhura nga vrojtimet statistikore. Në vitin 2025</w:t>
      </w:r>
      <w:r w:rsidR="00651BDA" w:rsidRPr="00B31292">
        <w:rPr>
          <w:rFonts w:ascii="Garamond" w:hAnsi="Garamond" w:cs="Times New Roman"/>
          <w:sz w:val="24"/>
          <w:szCs w:val="24"/>
        </w:rPr>
        <w:t>, nën asistencën e IPA 2022 shumëpërfituese,</w:t>
      </w:r>
      <w:r w:rsidRPr="00B31292">
        <w:rPr>
          <w:rFonts w:ascii="Garamond" w:hAnsi="Garamond" w:cs="Times New Roman"/>
          <w:sz w:val="24"/>
          <w:szCs w:val="24"/>
        </w:rPr>
        <w:t xml:space="preserve"> do të vijojë puna në drejtim të përmirësimeve metodologjike për rritjen e nivelit të përputhshmërisë me ESA 2010 për përpilimin e këtyre tabelave.</w:t>
      </w:r>
    </w:p>
    <w:p w14:paraId="63DD4C29" w14:textId="4CCB328E" w:rsidR="00D72293" w:rsidRPr="00B31292" w:rsidRDefault="00D72293" w:rsidP="003A4DBA">
      <w:pPr>
        <w:spacing w:after="0" w:line="240" w:lineRule="auto"/>
        <w:ind w:firstLine="284"/>
        <w:jc w:val="both"/>
        <w:rPr>
          <w:rFonts w:ascii="Garamond" w:hAnsi="Garamond" w:cs="Times New Roman"/>
          <w:sz w:val="24"/>
          <w:szCs w:val="24"/>
        </w:rPr>
      </w:pPr>
      <w:r w:rsidRPr="00B31292">
        <w:rPr>
          <w:rFonts w:ascii="Garamond" w:hAnsi="Garamond" w:cs="Times New Roman"/>
          <w:i/>
          <w:sz w:val="24"/>
          <w:szCs w:val="24"/>
        </w:rPr>
        <w:t xml:space="preserve">2.1.4 </w:t>
      </w:r>
      <w:r w:rsidR="00BA12C3" w:rsidRPr="00B31292">
        <w:rPr>
          <w:rFonts w:ascii="Garamond" w:hAnsi="Garamond" w:cs="Times New Roman"/>
          <w:i/>
          <w:sz w:val="24"/>
          <w:szCs w:val="24"/>
        </w:rPr>
        <w:t>“</w:t>
      </w:r>
      <w:r w:rsidRPr="00B31292">
        <w:rPr>
          <w:rFonts w:ascii="Garamond" w:hAnsi="Garamond" w:cs="Times New Roman"/>
          <w:i/>
          <w:sz w:val="24"/>
          <w:szCs w:val="24"/>
        </w:rPr>
        <w:t xml:space="preserve">Llogaritë </w:t>
      </w:r>
      <w:r w:rsidR="001461C2" w:rsidRPr="00B31292">
        <w:rPr>
          <w:rFonts w:ascii="Garamond" w:hAnsi="Garamond" w:cs="Times New Roman"/>
          <w:i/>
          <w:sz w:val="24"/>
          <w:szCs w:val="24"/>
        </w:rPr>
        <w:t>rajonale</w:t>
      </w:r>
      <w:r w:rsidR="00BA12C3" w:rsidRPr="00B31292">
        <w:rPr>
          <w:rFonts w:ascii="Garamond" w:hAnsi="Garamond" w:cs="Times New Roman"/>
          <w:i/>
          <w:sz w:val="24"/>
          <w:szCs w:val="24"/>
        </w:rPr>
        <w:t>”</w:t>
      </w:r>
      <w:r w:rsidRPr="00B31292">
        <w:rPr>
          <w:rFonts w:ascii="Garamond" w:hAnsi="Garamond" w:cs="Times New Roman"/>
          <w:i/>
          <w:sz w:val="24"/>
          <w:szCs w:val="24"/>
        </w:rPr>
        <w:t xml:space="preserve"> </w:t>
      </w:r>
      <w:r w:rsidRPr="00B31292">
        <w:rPr>
          <w:rFonts w:ascii="Garamond" w:hAnsi="Garamond" w:cs="Times New Roman"/>
          <w:sz w:val="24"/>
          <w:szCs w:val="24"/>
        </w:rPr>
        <w:t>pasqyrojnë zhvillimet makroekonomike sipas rajoneve statistikore të një vendi dhe i ofrojnë përdoruesve treguesit kryesorë dhe informacionin bazë për zhvillimin ekonomik rajonal. Këto statistika janë</w:t>
      </w:r>
      <w:r w:rsidR="00F851B0" w:rsidRPr="00B31292">
        <w:rPr>
          <w:rFonts w:ascii="Garamond" w:hAnsi="Garamond" w:cs="Times New Roman"/>
          <w:sz w:val="24"/>
          <w:szCs w:val="24"/>
        </w:rPr>
        <w:t>,</w:t>
      </w:r>
      <w:r w:rsidRPr="00B31292">
        <w:rPr>
          <w:rFonts w:ascii="Garamond" w:hAnsi="Garamond" w:cs="Times New Roman"/>
          <w:sz w:val="24"/>
          <w:szCs w:val="24"/>
        </w:rPr>
        <w:t xml:space="preserve"> gjithashtu</w:t>
      </w:r>
      <w:r w:rsidR="00F851B0" w:rsidRPr="00B31292">
        <w:rPr>
          <w:rFonts w:ascii="Garamond" w:hAnsi="Garamond" w:cs="Times New Roman"/>
          <w:sz w:val="24"/>
          <w:szCs w:val="24"/>
        </w:rPr>
        <w:t>,</w:t>
      </w:r>
      <w:r w:rsidRPr="00B31292">
        <w:rPr>
          <w:rFonts w:ascii="Garamond" w:hAnsi="Garamond" w:cs="Times New Roman"/>
          <w:sz w:val="24"/>
          <w:szCs w:val="24"/>
        </w:rPr>
        <w:t xml:space="preserve"> me frekuencë vjetore dhe prodhohen nëpërmjet kombinimit të të dhënave administrative dhe të dhënave të siguruara nga vrojtimet statistikore që zhvillon INSTAT</w:t>
      </w:r>
      <w:r w:rsidR="00BA12C3" w:rsidRPr="00B31292">
        <w:rPr>
          <w:rFonts w:ascii="Garamond" w:hAnsi="Garamond" w:cs="Times New Roman"/>
          <w:sz w:val="24"/>
          <w:szCs w:val="24"/>
        </w:rPr>
        <w:t>-i</w:t>
      </w:r>
      <w:r w:rsidRPr="00B31292">
        <w:rPr>
          <w:rFonts w:ascii="Garamond" w:hAnsi="Garamond" w:cs="Times New Roman"/>
          <w:sz w:val="24"/>
          <w:szCs w:val="24"/>
        </w:rPr>
        <w:t xml:space="preserve">. Llogaritë </w:t>
      </w:r>
      <w:r w:rsidR="001461C2" w:rsidRPr="00B31292">
        <w:rPr>
          <w:rFonts w:ascii="Garamond" w:hAnsi="Garamond" w:cs="Times New Roman"/>
          <w:sz w:val="24"/>
          <w:szCs w:val="24"/>
        </w:rPr>
        <w:t xml:space="preserve">rajonale </w:t>
      </w:r>
      <w:r w:rsidRPr="00B31292">
        <w:rPr>
          <w:rFonts w:ascii="Garamond" w:hAnsi="Garamond" w:cs="Times New Roman"/>
          <w:sz w:val="24"/>
          <w:szCs w:val="24"/>
        </w:rPr>
        <w:t>mbështeten në klasifikimin sipas rajoneve statistikore në nivel 1, 2 dhe 3, i cili bazohet në Nomenklaturën e Njësive Territoriale për Statistikat (NUTS) të Bashkimit</w:t>
      </w:r>
      <w:r w:rsidR="00651BDA" w:rsidRPr="00B31292">
        <w:rPr>
          <w:rFonts w:ascii="Garamond" w:hAnsi="Garamond" w:cs="Times New Roman"/>
          <w:sz w:val="24"/>
          <w:szCs w:val="24"/>
        </w:rPr>
        <w:t xml:space="preserve"> </w:t>
      </w:r>
      <w:r w:rsidRPr="00B31292">
        <w:rPr>
          <w:rFonts w:ascii="Garamond" w:hAnsi="Garamond" w:cs="Times New Roman"/>
          <w:sz w:val="24"/>
          <w:szCs w:val="24"/>
        </w:rPr>
        <w:t>Evropian.</w:t>
      </w:r>
      <w:r w:rsidR="00651BDA" w:rsidRPr="00B31292">
        <w:rPr>
          <w:rFonts w:ascii="Garamond" w:hAnsi="Garamond" w:cs="Times New Roman"/>
          <w:sz w:val="24"/>
          <w:szCs w:val="24"/>
        </w:rPr>
        <w:t xml:space="preserve"> </w:t>
      </w:r>
      <w:r w:rsidRPr="00B31292">
        <w:rPr>
          <w:rFonts w:ascii="Garamond" w:hAnsi="Garamond" w:cs="Times New Roman"/>
          <w:sz w:val="24"/>
          <w:szCs w:val="24"/>
        </w:rPr>
        <w:t xml:space="preserve">Në vitin 2025 fokusi do të jetë në drejtim të implementimit të përmirësimeve metodologjike të </w:t>
      </w:r>
      <w:r w:rsidR="00BA12C3" w:rsidRPr="00B31292">
        <w:rPr>
          <w:rFonts w:ascii="Garamond" w:hAnsi="Garamond" w:cs="Times New Roman"/>
          <w:sz w:val="24"/>
          <w:szCs w:val="24"/>
        </w:rPr>
        <w:t>treguesve</w:t>
      </w:r>
      <w:r w:rsidRPr="00B31292">
        <w:rPr>
          <w:rFonts w:ascii="Garamond" w:hAnsi="Garamond" w:cs="Times New Roman"/>
          <w:sz w:val="24"/>
          <w:szCs w:val="24"/>
        </w:rPr>
        <w:t xml:space="preserve"> të llogarive rajonale, si dhe në përmirësimin e treguesve</w:t>
      </w:r>
      <w:r w:rsidR="00651BDA" w:rsidRPr="00B31292">
        <w:rPr>
          <w:rFonts w:ascii="Garamond" w:hAnsi="Garamond" w:cs="Times New Roman"/>
          <w:sz w:val="24"/>
          <w:szCs w:val="24"/>
        </w:rPr>
        <w:t xml:space="preserve"> si:</w:t>
      </w:r>
      <w:r w:rsidRPr="00B31292">
        <w:rPr>
          <w:rFonts w:ascii="Garamond" w:hAnsi="Garamond" w:cs="Times New Roman"/>
          <w:sz w:val="24"/>
          <w:szCs w:val="24"/>
        </w:rPr>
        <w:t xml:space="preserve"> formimi bruto i kapitalit, të ardhurat e familjeve dhe kompensimi i punonjësve</w:t>
      </w:r>
      <w:r w:rsidR="006A7BFD" w:rsidRPr="00B31292">
        <w:rPr>
          <w:rFonts w:ascii="Garamond" w:hAnsi="Garamond" w:cs="Times New Roman"/>
          <w:sz w:val="24"/>
          <w:szCs w:val="24"/>
        </w:rPr>
        <w:t>,</w:t>
      </w:r>
      <w:r w:rsidRPr="00B31292">
        <w:rPr>
          <w:rFonts w:ascii="Garamond" w:hAnsi="Garamond" w:cs="Times New Roman"/>
          <w:sz w:val="24"/>
          <w:szCs w:val="24"/>
        </w:rPr>
        <w:t xml:space="preserve"> në </w:t>
      </w:r>
      <w:r w:rsidR="00BA12C3" w:rsidRPr="00B31292">
        <w:rPr>
          <w:rFonts w:ascii="Garamond" w:hAnsi="Garamond" w:cs="Times New Roman"/>
          <w:sz w:val="24"/>
          <w:szCs w:val="24"/>
        </w:rPr>
        <w:t>nivel</w:t>
      </w:r>
      <w:r w:rsidRPr="00B31292">
        <w:rPr>
          <w:rFonts w:ascii="Garamond" w:hAnsi="Garamond" w:cs="Times New Roman"/>
          <w:sz w:val="24"/>
          <w:szCs w:val="24"/>
        </w:rPr>
        <w:t xml:space="preserve"> rajonal</w:t>
      </w:r>
      <w:r w:rsidR="006A7BFD" w:rsidRPr="00B31292">
        <w:rPr>
          <w:rFonts w:ascii="Garamond" w:hAnsi="Garamond" w:cs="Times New Roman"/>
          <w:sz w:val="24"/>
          <w:szCs w:val="24"/>
        </w:rPr>
        <w:t>,</w:t>
      </w:r>
      <w:r w:rsidRPr="00B31292">
        <w:rPr>
          <w:rFonts w:ascii="Garamond" w:hAnsi="Garamond" w:cs="Times New Roman"/>
          <w:sz w:val="24"/>
          <w:szCs w:val="24"/>
        </w:rPr>
        <w:t xml:space="preserve"> sipas kërkesave të programit të transmetimit ESA 2010 për llogaritë rajonale.</w:t>
      </w:r>
    </w:p>
    <w:p w14:paraId="3BBFBE1A" w14:textId="779E2754" w:rsidR="00D72293" w:rsidRPr="00B31292" w:rsidRDefault="00D72293" w:rsidP="003A4DBA">
      <w:pPr>
        <w:spacing w:after="0" w:line="240" w:lineRule="auto"/>
        <w:ind w:firstLine="284"/>
        <w:jc w:val="both"/>
        <w:rPr>
          <w:rFonts w:ascii="Garamond" w:hAnsi="Garamond" w:cs="Times New Roman"/>
          <w:sz w:val="24"/>
          <w:szCs w:val="24"/>
        </w:rPr>
      </w:pPr>
      <w:r w:rsidRPr="00B31292">
        <w:rPr>
          <w:rFonts w:ascii="Garamond" w:hAnsi="Garamond" w:cs="Times New Roman"/>
          <w:b/>
          <w:sz w:val="24"/>
          <w:szCs w:val="24"/>
        </w:rPr>
        <w:t xml:space="preserve">Treguesit kryesorë: </w:t>
      </w:r>
      <w:r w:rsidR="00B97C3E" w:rsidRPr="00B31292">
        <w:rPr>
          <w:rFonts w:ascii="Garamond" w:hAnsi="Garamond" w:cs="Times New Roman"/>
          <w:sz w:val="24"/>
          <w:szCs w:val="24"/>
        </w:rPr>
        <w:t>Seti i plotë i llogarive</w:t>
      </w:r>
      <w:r w:rsidR="00B97C3E" w:rsidRPr="00B31292">
        <w:rPr>
          <w:rFonts w:ascii="Garamond" w:hAnsi="Garamond" w:cs="Times New Roman"/>
          <w:b/>
          <w:sz w:val="24"/>
          <w:szCs w:val="24"/>
        </w:rPr>
        <w:t xml:space="preserve"> </w:t>
      </w:r>
      <w:r w:rsidRPr="00B31292">
        <w:rPr>
          <w:rFonts w:ascii="Garamond" w:hAnsi="Garamond" w:cs="Times New Roman"/>
          <w:sz w:val="24"/>
          <w:szCs w:val="24"/>
        </w:rPr>
        <w:t xml:space="preserve">sipas </w:t>
      </w:r>
      <w:r w:rsidR="001461C2" w:rsidRPr="00B31292">
        <w:rPr>
          <w:rFonts w:ascii="Garamond" w:hAnsi="Garamond" w:cs="Times New Roman"/>
          <w:sz w:val="24"/>
          <w:szCs w:val="24"/>
        </w:rPr>
        <w:t>sektorëve institucionalë</w:t>
      </w:r>
      <w:r w:rsidRPr="00B31292">
        <w:rPr>
          <w:rFonts w:ascii="Garamond" w:hAnsi="Garamond" w:cs="Times New Roman"/>
          <w:sz w:val="24"/>
          <w:szCs w:val="24"/>
        </w:rPr>
        <w:t>: PBB</w:t>
      </w:r>
      <w:r w:rsidR="00F851B0" w:rsidRPr="00B31292">
        <w:rPr>
          <w:rFonts w:ascii="Garamond" w:hAnsi="Garamond" w:cs="Times New Roman"/>
          <w:sz w:val="24"/>
          <w:szCs w:val="24"/>
        </w:rPr>
        <w:t>-ja</w:t>
      </w:r>
      <w:r w:rsidRPr="00B31292">
        <w:rPr>
          <w:rFonts w:ascii="Garamond" w:hAnsi="Garamond" w:cs="Times New Roman"/>
          <w:sz w:val="24"/>
          <w:szCs w:val="24"/>
        </w:rPr>
        <w:t xml:space="preserve"> </w:t>
      </w:r>
      <w:r w:rsidR="001461C2" w:rsidRPr="00B31292">
        <w:rPr>
          <w:rFonts w:ascii="Garamond" w:hAnsi="Garamond" w:cs="Times New Roman"/>
          <w:sz w:val="24"/>
          <w:szCs w:val="24"/>
        </w:rPr>
        <w:t xml:space="preserve">vjetore </w:t>
      </w:r>
      <w:r w:rsidRPr="00B31292">
        <w:rPr>
          <w:rFonts w:ascii="Garamond" w:hAnsi="Garamond" w:cs="Times New Roman"/>
          <w:sz w:val="24"/>
          <w:szCs w:val="24"/>
        </w:rPr>
        <w:t>me metodën e prodhimit</w:t>
      </w:r>
      <w:r w:rsidR="00072D25" w:rsidRPr="00B31292">
        <w:rPr>
          <w:rFonts w:ascii="Garamond" w:hAnsi="Garamond" w:cs="Times New Roman"/>
          <w:sz w:val="24"/>
          <w:szCs w:val="24"/>
        </w:rPr>
        <w:t>,</w:t>
      </w:r>
      <w:r w:rsidR="00BA12C3" w:rsidRPr="00B31292">
        <w:rPr>
          <w:rFonts w:ascii="Garamond" w:hAnsi="Garamond" w:cs="Times New Roman"/>
          <w:sz w:val="24"/>
          <w:szCs w:val="24"/>
        </w:rPr>
        <w:t xml:space="preserve"> </w:t>
      </w:r>
      <w:r w:rsidRPr="00B31292">
        <w:rPr>
          <w:rFonts w:ascii="Garamond" w:hAnsi="Garamond" w:cs="Times New Roman"/>
          <w:sz w:val="24"/>
          <w:szCs w:val="24"/>
        </w:rPr>
        <w:t>metodën e shpenzimeve</w:t>
      </w:r>
      <w:r w:rsidR="00B97C3E" w:rsidRPr="00B31292">
        <w:rPr>
          <w:rFonts w:ascii="Garamond" w:hAnsi="Garamond" w:cs="Times New Roman"/>
          <w:sz w:val="24"/>
          <w:szCs w:val="24"/>
        </w:rPr>
        <w:t xml:space="preserve"> dhe të ardhurave</w:t>
      </w:r>
      <w:r w:rsidRPr="00B31292">
        <w:rPr>
          <w:rFonts w:ascii="Garamond" w:hAnsi="Garamond" w:cs="Times New Roman"/>
          <w:sz w:val="24"/>
          <w:szCs w:val="24"/>
        </w:rPr>
        <w:t>; PBB</w:t>
      </w:r>
      <w:r w:rsidR="00F851B0" w:rsidRPr="00B31292">
        <w:rPr>
          <w:rFonts w:ascii="Garamond" w:hAnsi="Garamond" w:cs="Times New Roman"/>
          <w:sz w:val="24"/>
          <w:szCs w:val="24"/>
        </w:rPr>
        <w:t>-ja</w:t>
      </w:r>
      <w:r w:rsidRPr="00B31292">
        <w:rPr>
          <w:rFonts w:ascii="Garamond" w:hAnsi="Garamond" w:cs="Times New Roman"/>
          <w:sz w:val="24"/>
          <w:szCs w:val="24"/>
        </w:rPr>
        <w:t xml:space="preserve"> tremujore me metodën e prodhimit dhe shpenzimeve, me çmime korrente, çmimet e vitit të mëparshëm dhe </w:t>
      </w:r>
      <w:r w:rsidR="00BA12C3" w:rsidRPr="00B31292">
        <w:rPr>
          <w:rFonts w:ascii="Garamond" w:hAnsi="Garamond" w:cs="Times New Roman"/>
          <w:sz w:val="24"/>
          <w:szCs w:val="24"/>
        </w:rPr>
        <w:t>“</w:t>
      </w:r>
      <w:r w:rsidRPr="00B31292">
        <w:rPr>
          <w:rFonts w:ascii="Garamond" w:hAnsi="Garamond" w:cs="Times New Roman"/>
          <w:i/>
          <w:sz w:val="24"/>
          <w:szCs w:val="24"/>
        </w:rPr>
        <w:t>të lidhura zinxhir</w:t>
      </w:r>
      <w:r w:rsidR="00BA12C3" w:rsidRPr="00B31292">
        <w:rPr>
          <w:rFonts w:ascii="Garamond" w:hAnsi="Garamond" w:cs="Times New Roman"/>
          <w:sz w:val="24"/>
          <w:szCs w:val="24"/>
        </w:rPr>
        <w:t>”</w:t>
      </w:r>
      <w:r w:rsidR="001461C2" w:rsidRPr="00B31292">
        <w:rPr>
          <w:rFonts w:ascii="Garamond" w:hAnsi="Garamond" w:cs="Times New Roman"/>
          <w:sz w:val="24"/>
          <w:szCs w:val="24"/>
        </w:rPr>
        <w:t>,</w:t>
      </w:r>
      <w:r w:rsidRPr="00B31292">
        <w:rPr>
          <w:rFonts w:ascii="Garamond" w:hAnsi="Garamond" w:cs="Times New Roman"/>
          <w:sz w:val="24"/>
          <w:szCs w:val="24"/>
        </w:rPr>
        <w:t xml:space="preserve"> sipas aktivitetit ekonomik, të përshtatura dhe jo të përshtatura sezonalisht; </w:t>
      </w:r>
      <w:r w:rsidR="001461C2" w:rsidRPr="00B31292">
        <w:rPr>
          <w:rFonts w:ascii="Garamond" w:hAnsi="Garamond" w:cs="Times New Roman"/>
          <w:sz w:val="24"/>
          <w:szCs w:val="24"/>
        </w:rPr>
        <w:t xml:space="preserve">tabelat </w:t>
      </w:r>
      <w:r w:rsidRPr="00B31292">
        <w:rPr>
          <w:rFonts w:ascii="Garamond" w:hAnsi="Garamond" w:cs="Times New Roman"/>
          <w:sz w:val="24"/>
          <w:szCs w:val="24"/>
        </w:rPr>
        <w:t xml:space="preserve">burime -përdorime me çmime korrente dhe me çmimet e vitit të mëparshëm; </w:t>
      </w:r>
      <w:r w:rsidR="001461C2" w:rsidRPr="00B31292">
        <w:rPr>
          <w:rFonts w:ascii="Garamond" w:hAnsi="Garamond" w:cs="Times New Roman"/>
          <w:sz w:val="24"/>
          <w:szCs w:val="24"/>
        </w:rPr>
        <w:t xml:space="preserve">tabela </w:t>
      </w:r>
      <w:r w:rsidRPr="00B31292">
        <w:rPr>
          <w:rFonts w:ascii="Garamond" w:hAnsi="Garamond" w:cs="Times New Roman"/>
          <w:sz w:val="24"/>
          <w:szCs w:val="24"/>
        </w:rPr>
        <w:t>input</w:t>
      </w:r>
      <w:r w:rsidR="00BA12C3" w:rsidRPr="00B31292">
        <w:rPr>
          <w:rFonts w:ascii="Garamond" w:hAnsi="Garamond" w:cs="Times New Roman"/>
          <w:sz w:val="24"/>
          <w:szCs w:val="24"/>
        </w:rPr>
        <w:t>-</w:t>
      </w:r>
      <w:r w:rsidRPr="00B31292">
        <w:rPr>
          <w:rFonts w:ascii="Garamond" w:hAnsi="Garamond" w:cs="Times New Roman"/>
          <w:sz w:val="24"/>
          <w:szCs w:val="24"/>
        </w:rPr>
        <w:t xml:space="preserve">output, prodhim i brendshëm, importe me çmime bazë; </w:t>
      </w:r>
      <w:r w:rsidR="001461C2" w:rsidRPr="00B31292">
        <w:rPr>
          <w:rFonts w:ascii="Garamond" w:hAnsi="Garamond" w:cs="Times New Roman"/>
          <w:sz w:val="24"/>
          <w:szCs w:val="24"/>
        </w:rPr>
        <w:t xml:space="preserve">treguesi </w:t>
      </w:r>
      <w:r w:rsidRPr="00B31292">
        <w:rPr>
          <w:rFonts w:ascii="Garamond" w:hAnsi="Garamond" w:cs="Times New Roman"/>
          <w:sz w:val="24"/>
          <w:szCs w:val="24"/>
        </w:rPr>
        <w:t xml:space="preserve">i PBB-së dhe i </w:t>
      </w:r>
      <w:r w:rsidR="001461C2" w:rsidRPr="00B31292">
        <w:rPr>
          <w:rFonts w:ascii="Garamond" w:hAnsi="Garamond" w:cs="Times New Roman"/>
          <w:sz w:val="24"/>
          <w:szCs w:val="24"/>
        </w:rPr>
        <w:t xml:space="preserve">vlerës së shtuar bruto </w:t>
      </w:r>
      <w:r w:rsidRPr="00B31292">
        <w:rPr>
          <w:rFonts w:ascii="Garamond" w:hAnsi="Garamond" w:cs="Times New Roman"/>
          <w:sz w:val="24"/>
          <w:szCs w:val="24"/>
        </w:rPr>
        <w:t xml:space="preserve">(VSHB-së), sipas rajoneve statistikore dhe degëve kryesore të ekonomisë në seri kohore; </w:t>
      </w:r>
      <w:r w:rsidR="001461C2" w:rsidRPr="00B31292">
        <w:rPr>
          <w:rFonts w:ascii="Garamond" w:hAnsi="Garamond" w:cs="Times New Roman"/>
          <w:sz w:val="24"/>
          <w:szCs w:val="24"/>
        </w:rPr>
        <w:t xml:space="preserve">vlerësim </w:t>
      </w:r>
      <w:r w:rsidRPr="00B31292">
        <w:rPr>
          <w:rFonts w:ascii="Garamond" w:hAnsi="Garamond" w:cs="Times New Roman"/>
          <w:sz w:val="24"/>
          <w:szCs w:val="24"/>
        </w:rPr>
        <w:t xml:space="preserve">i PBB-së dhe PBB-së për frymë, sipas rajoneve statistikore dhe aktiviteteve ekonomike; </w:t>
      </w:r>
      <w:r w:rsidR="001461C2" w:rsidRPr="00B31292">
        <w:rPr>
          <w:rFonts w:ascii="Garamond" w:hAnsi="Garamond" w:cs="Times New Roman"/>
          <w:sz w:val="24"/>
          <w:szCs w:val="24"/>
        </w:rPr>
        <w:t xml:space="preserve">vlerësimi </w:t>
      </w:r>
      <w:r w:rsidRPr="00B31292">
        <w:rPr>
          <w:rFonts w:ascii="Garamond" w:hAnsi="Garamond" w:cs="Times New Roman"/>
          <w:sz w:val="24"/>
          <w:szCs w:val="24"/>
        </w:rPr>
        <w:t>i PBB-së për frymë sipas rajoneve statistikore shprehur në termat e paritetit.</w:t>
      </w:r>
    </w:p>
    <w:p w14:paraId="2650DF17" w14:textId="33F887F1" w:rsidR="00D72293" w:rsidRPr="00B31292" w:rsidRDefault="00D72293" w:rsidP="003A4DBA">
      <w:pPr>
        <w:spacing w:after="0" w:line="240" w:lineRule="auto"/>
        <w:ind w:firstLine="284"/>
        <w:contextualSpacing/>
        <w:jc w:val="both"/>
        <w:rPr>
          <w:rFonts w:ascii="Garamond" w:eastAsia="Times New Roman" w:hAnsi="Garamond" w:cs="Times New Roman"/>
          <w:sz w:val="24"/>
          <w:szCs w:val="24"/>
        </w:rPr>
      </w:pPr>
      <w:r w:rsidRPr="00B31292">
        <w:rPr>
          <w:rFonts w:ascii="Garamond" w:hAnsi="Garamond" w:cs="Times New Roman"/>
          <w:b/>
          <w:bCs/>
          <w:sz w:val="24"/>
          <w:szCs w:val="24"/>
        </w:rPr>
        <w:t xml:space="preserve">Përputhshmëria </w:t>
      </w:r>
      <w:r w:rsidRPr="00B31292">
        <w:rPr>
          <w:rFonts w:ascii="Garamond" w:eastAsia="Times New Roman" w:hAnsi="Garamond" w:cs="Times New Roman"/>
          <w:b/>
          <w:sz w:val="24"/>
          <w:szCs w:val="24"/>
        </w:rPr>
        <w:t xml:space="preserve">me </w:t>
      </w:r>
      <w:r w:rsidRPr="00B31292">
        <w:rPr>
          <w:rFonts w:ascii="Garamond" w:eastAsia="Times New Roman" w:hAnsi="Garamond" w:cs="Times New Roman"/>
          <w:b/>
          <w:i/>
          <w:sz w:val="24"/>
          <w:szCs w:val="24"/>
        </w:rPr>
        <w:t>acquis</w:t>
      </w:r>
      <w:r w:rsidRPr="00B31292">
        <w:rPr>
          <w:rFonts w:ascii="Garamond" w:eastAsia="Times New Roman" w:hAnsi="Garamond" w:cs="Times New Roman"/>
          <w:sz w:val="24"/>
          <w:szCs w:val="24"/>
        </w:rPr>
        <w:t xml:space="preserve">: </w:t>
      </w:r>
      <w:r w:rsidR="009C0CE9" w:rsidRPr="00B31292">
        <w:rPr>
          <w:rFonts w:ascii="Garamond" w:eastAsia="Times New Roman" w:hAnsi="Garamond" w:cs="Times New Roman"/>
          <w:sz w:val="24"/>
          <w:szCs w:val="24"/>
          <w:lang w:eastAsia="ja-JP"/>
        </w:rPr>
        <w:t>Eurostat</w:t>
      </w:r>
      <w:r w:rsidRPr="00B31292">
        <w:rPr>
          <w:rFonts w:ascii="Garamond" w:eastAsia="Times New Roman" w:hAnsi="Garamond" w:cs="Times New Roman"/>
          <w:sz w:val="24"/>
          <w:szCs w:val="24"/>
          <w:lang w:eastAsia="ja-JP"/>
        </w:rPr>
        <w:t xml:space="preserve">i vlerëson </w:t>
      </w:r>
      <w:r w:rsidR="00113DB2" w:rsidRPr="00B31292">
        <w:rPr>
          <w:rFonts w:ascii="Garamond" w:eastAsia="Times New Roman" w:hAnsi="Garamond" w:cs="Times New Roman"/>
          <w:sz w:val="24"/>
          <w:szCs w:val="24"/>
          <w:lang w:eastAsia="ja-JP"/>
        </w:rPr>
        <w:t>llogaritë kombëtare pjesërisht në përputhje me</w:t>
      </w:r>
      <w:r w:rsidRPr="00B31292">
        <w:rPr>
          <w:rFonts w:ascii="Garamond" w:eastAsia="Times New Roman" w:hAnsi="Garamond" w:cs="Times New Roman"/>
          <w:sz w:val="24"/>
          <w:szCs w:val="24"/>
          <w:lang w:eastAsia="ja-JP"/>
        </w:rPr>
        <w:t xml:space="preserve"> nivelin e përputhshmërisë të </w:t>
      </w:r>
      <w:r w:rsidR="001461C2" w:rsidRPr="00B31292">
        <w:rPr>
          <w:rFonts w:ascii="Garamond" w:eastAsia="Times New Roman" w:hAnsi="Garamond" w:cs="Times New Roman"/>
          <w:sz w:val="24"/>
          <w:szCs w:val="24"/>
          <w:lang w:eastAsia="ja-JP"/>
        </w:rPr>
        <w:t>llogarive k</w:t>
      </w:r>
      <w:r w:rsidRPr="00B31292">
        <w:rPr>
          <w:rFonts w:ascii="Garamond" w:eastAsia="Times New Roman" w:hAnsi="Garamond" w:cs="Times New Roman"/>
          <w:sz w:val="24"/>
          <w:szCs w:val="24"/>
          <w:lang w:eastAsia="ja-JP"/>
        </w:rPr>
        <w:t>ombëtare me standar</w:t>
      </w:r>
      <w:r w:rsidR="00FD5539" w:rsidRPr="00B31292">
        <w:rPr>
          <w:rFonts w:ascii="Garamond" w:eastAsia="Times New Roman" w:hAnsi="Garamond" w:cs="Times New Roman"/>
          <w:sz w:val="24"/>
          <w:szCs w:val="24"/>
          <w:lang w:eastAsia="ja-JP"/>
        </w:rPr>
        <w:t>d</w:t>
      </w:r>
      <w:r w:rsidRPr="00B31292">
        <w:rPr>
          <w:rFonts w:ascii="Garamond" w:eastAsia="Times New Roman" w:hAnsi="Garamond" w:cs="Times New Roman"/>
          <w:sz w:val="24"/>
          <w:szCs w:val="24"/>
          <w:lang w:eastAsia="ja-JP"/>
        </w:rPr>
        <w:t xml:space="preserve">et e </w:t>
      </w:r>
      <w:r w:rsidR="00BA12C3" w:rsidRPr="00B31292">
        <w:rPr>
          <w:rFonts w:ascii="Garamond" w:eastAsia="Times New Roman" w:hAnsi="Garamond" w:cs="Times New Roman"/>
          <w:i/>
          <w:iCs/>
          <w:sz w:val="24"/>
          <w:szCs w:val="24"/>
          <w:lang w:eastAsia="ja-JP"/>
        </w:rPr>
        <w:t>acquis</w:t>
      </w:r>
      <w:r w:rsidR="00BA12C3" w:rsidRPr="00B31292">
        <w:rPr>
          <w:rFonts w:ascii="Garamond" w:eastAsia="Times New Roman" w:hAnsi="Garamond" w:cs="Times New Roman"/>
          <w:sz w:val="24"/>
          <w:szCs w:val="24"/>
          <w:lang w:eastAsia="ja-JP"/>
        </w:rPr>
        <w:t xml:space="preserve"> </w:t>
      </w:r>
      <w:r w:rsidR="00BA12C3" w:rsidRPr="00B31292">
        <w:rPr>
          <w:rFonts w:ascii="Garamond" w:eastAsia="Times New Roman" w:hAnsi="Garamond" w:cs="Times New Roman"/>
          <w:i/>
          <w:iCs/>
          <w:sz w:val="24"/>
          <w:szCs w:val="24"/>
          <w:lang w:eastAsia="ja-JP"/>
        </w:rPr>
        <w:t>communautaire</w:t>
      </w:r>
      <w:r w:rsidRPr="00B31292">
        <w:rPr>
          <w:rFonts w:ascii="Garamond" w:eastAsia="Times New Roman" w:hAnsi="Garamond" w:cs="Times New Roman"/>
          <w:sz w:val="24"/>
          <w:szCs w:val="24"/>
          <w:lang w:eastAsia="ja-JP"/>
        </w:rPr>
        <w:t>.</w:t>
      </w:r>
      <w:r w:rsidR="0088449D" w:rsidRPr="00B31292">
        <w:rPr>
          <w:rFonts w:ascii="Garamond" w:eastAsia="Times New Roman" w:hAnsi="Garamond" w:cs="Times New Roman"/>
          <w:sz w:val="24"/>
          <w:szCs w:val="24"/>
          <w:lang w:eastAsia="ja-JP"/>
        </w:rPr>
        <w:t xml:space="preserve"> </w:t>
      </w:r>
      <w:r w:rsidRPr="00B31292">
        <w:rPr>
          <w:rFonts w:ascii="Garamond" w:eastAsia="Times New Roman" w:hAnsi="Garamond" w:cs="Times New Roman"/>
          <w:sz w:val="24"/>
          <w:szCs w:val="24"/>
          <w:lang w:eastAsia="ja-JP"/>
        </w:rPr>
        <w:t>Mbështetur në programin e monitorimit të përputhshmërisë, Shqipëria nën asistencën teknike</w:t>
      </w:r>
      <w:r w:rsidR="00CB5C27" w:rsidRPr="00B31292">
        <w:rPr>
          <w:rFonts w:ascii="Garamond" w:eastAsia="Times New Roman" w:hAnsi="Garamond" w:cs="Times New Roman"/>
          <w:sz w:val="24"/>
          <w:szCs w:val="24"/>
          <w:lang w:eastAsia="ja-JP"/>
        </w:rPr>
        <w:t xml:space="preserve"> </w:t>
      </w:r>
      <w:r w:rsidRPr="00B31292">
        <w:rPr>
          <w:rFonts w:ascii="Garamond" w:eastAsia="Times New Roman" w:hAnsi="Garamond" w:cs="Times New Roman"/>
          <w:sz w:val="24"/>
          <w:szCs w:val="24"/>
          <w:lang w:eastAsia="ja-JP"/>
        </w:rPr>
        <w:t xml:space="preserve">të </w:t>
      </w:r>
      <w:r w:rsidR="009C0CE9" w:rsidRPr="00B31292">
        <w:rPr>
          <w:rFonts w:ascii="Garamond" w:eastAsia="Times New Roman" w:hAnsi="Garamond" w:cs="Times New Roman"/>
          <w:sz w:val="24"/>
          <w:szCs w:val="24"/>
          <w:lang w:eastAsia="ja-JP"/>
        </w:rPr>
        <w:t>Eurostat</w:t>
      </w:r>
      <w:r w:rsidRPr="00B31292">
        <w:rPr>
          <w:rFonts w:ascii="Garamond" w:eastAsia="Times New Roman" w:hAnsi="Garamond" w:cs="Times New Roman"/>
          <w:sz w:val="24"/>
          <w:szCs w:val="24"/>
          <w:lang w:eastAsia="ja-JP"/>
        </w:rPr>
        <w:t xml:space="preserve">it, ka rritur në mënyrë të ndjeshme nivelin e përputhshmërisë së statistikave të </w:t>
      </w:r>
      <w:r w:rsidR="001461C2" w:rsidRPr="00B31292">
        <w:rPr>
          <w:rFonts w:ascii="Garamond" w:eastAsia="Times New Roman" w:hAnsi="Garamond" w:cs="Times New Roman"/>
          <w:sz w:val="24"/>
          <w:szCs w:val="24"/>
          <w:lang w:eastAsia="ja-JP"/>
        </w:rPr>
        <w:t>llogarive kom</w:t>
      </w:r>
      <w:r w:rsidRPr="00B31292">
        <w:rPr>
          <w:rFonts w:ascii="Garamond" w:eastAsia="Times New Roman" w:hAnsi="Garamond" w:cs="Times New Roman"/>
          <w:sz w:val="24"/>
          <w:szCs w:val="24"/>
          <w:lang w:eastAsia="ja-JP"/>
        </w:rPr>
        <w:t>bëtare veçanërisht me rritjen e plotshmërisë së treguesve statistikorë, serive kohore</w:t>
      </w:r>
      <w:r w:rsidR="00B2180C" w:rsidRPr="00B31292">
        <w:rPr>
          <w:rFonts w:ascii="Garamond" w:eastAsia="Times New Roman" w:hAnsi="Garamond" w:cs="Times New Roman"/>
          <w:sz w:val="24"/>
          <w:szCs w:val="24"/>
          <w:lang w:eastAsia="ja-JP"/>
        </w:rPr>
        <w:t xml:space="preserve"> </w:t>
      </w:r>
      <w:r w:rsidRPr="00B31292">
        <w:rPr>
          <w:rFonts w:ascii="Garamond" w:eastAsia="Times New Roman" w:hAnsi="Garamond" w:cs="Times New Roman"/>
          <w:sz w:val="24"/>
          <w:szCs w:val="24"/>
          <w:lang w:eastAsia="ja-JP"/>
        </w:rPr>
        <w:t>dhe përmirësimeve metodologjike të implementuara</w:t>
      </w:r>
      <w:r w:rsidR="00B97C3E" w:rsidRPr="00B31292">
        <w:rPr>
          <w:rFonts w:ascii="Garamond" w:eastAsia="Times New Roman" w:hAnsi="Garamond" w:cs="Times New Roman"/>
          <w:sz w:val="24"/>
          <w:szCs w:val="24"/>
          <w:lang w:eastAsia="ja-JP"/>
        </w:rPr>
        <w:t>.</w:t>
      </w:r>
    </w:p>
    <w:p w14:paraId="078B4A41" w14:textId="36927F20" w:rsidR="00D72293" w:rsidRPr="0077004D" w:rsidRDefault="00D72293" w:rsidP="003A4DBA">
      <w:pPr>
        <w:keepNext/>
        <w:keepLines/>
        <w:spacing w:after="0" w:line="240" w:lineRule="auto"/>
        <w:ind w:firstLine="284"/>
        <w:outlineLvl w:val="4"/>
        <w:rPr>
          <w:rFonts w:ascii="Garamond" w:eastAsia="Times New Roman" w:hAnsi="Garamond" w:cs="Times New Roman"/>
          <w:b/>
          <w:iCs/>
          <w:sz w:val="24"/>
          <w:szCs w:val="24"/>
        </w:rPr>
      </w:pPr>
      <w:r w:rsidRPr="0077004D">
        <w:rPr>
          <w:rFonts w:ascii="Garamond" w:eastAsia="Times New Roman" w:hAnsi="Garamond" w:cs="Times New Roman"/>
          <w:b/>
          <w:iCs/>
          <w:sz w:val="24"/>
          <w:szCs w:val="24"/>
        </w:rPr>
        <w:t xml:space="preserve">Tema 2.2 </w:t>
      </w:r>
      <w:r w:rsidR="00BA12C3" w:rsidRPr="0077004D">
        <w:rPr>
          <w:rFonts w:ascii="Garamond" w:eastAsia="Times New Roman" w:hAnsi="Garamond" w:cs="Times New Roman"/>
          <w:b/>
          <w:iCs/>
          <w:sz w:val="24"/>
          <w:szCs w:val="24"/>
        </w:rPr>
        <w:t>“</w:t>
      </w:r>
      <w:r w:rsidRPr="0077004D">
        <w:rPr>
          <w:rFonts w:ascii="Garamond" w:eastAsia="Times New Roman" w:hAnsi="Garamond" w:cs="Times New Roman"/>
          <w:b/>
          <w:iCs/>
          <w:sz w:val="24"/>
          <w:szCs w:val="24"/>
        </w:rPr>
        <w:t>Statistikat financiare të qeverisë, fiskale dhe të sektorit publik</w:t>
      </w:r>
      <w:r w:rsidR="00BA12C3" w:rsidRPr="0077004D">
        <w:rPr>
          <w:rFonts w:ascii="Garamond" w:eastAsia="Times New Roman" w:hAnsi="Garamond" w:cs="Times New Roman"/>
          <w:b/>
          <w:iCs/>
          <w:sz w:val="24"/>
          <w:szCs w:val="24"/>
        </w:rPr>
        <w:t>”</w:t>
      </w:r>
    </w:p>
    <w:p w14:paraId="05AC4B60" w14:textId="055D2FEA" w:rsidR="00B41AA5" w:rsidRPr="00B31292" w:rsidRDefault="00B41AA5" w:rsidP="003A4DBA">
      <w:pPr>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Për prodhimin e statistikave të kësaj teme janë përgjegjës INSTAT</w:t>
      </w:r>
      <w:r w:rsidR="00BA12C3" w:rsidRPr="00B31292">
        <w:rPr>
          <w:rFonts w:ascii="Garamond" w:hAnsi="Garamond" w:cs="Times New Roman"/>
          <w:sz w:val="24"/>
          <w:szCs w:val="24"/>
        </w:rPr>
        <w:t>-i</w:t>
      </w:r>
      <w:r w:rsidRPr="00B31292">
        <w:rPr>
          <w:rFonts w:ascii="Garamond" w:hAnsi="Garamond" w:cs="Times New Roman"/>
          <w:sz w:val="24"/>
          <w:szCs w:val="24"/>
        </w:rPr>
        <w:t>, Banka e Shqipërisë dhe Ministria e Financav</w:t>
      </w:r>
      <w:r w:rsidR="00A44710" w:rsidRPr="00B31292">
        <w:rPr>
          <w:rFonts w:ascii="Garamond" w:hAnsi="Garamond" w:cs="Times New Roman"/>
          <w:sz w:val="24"/>
          <w:szCs w:val="24"/>
        </w:rPr>
        <w:t>e</w:t>
      </w:r>
      <w:r w:rsidRPr="00B31292">
        <w:rPr>
          <w:rFonts w:ascii="Garamond" w:hAnsi="Garamond" w:cs="Times New Roman"/>
          <w:sz w:val="24"/>
          <w:szCs w:val="24"/>
        </w:rPr>
        <w:t>, sipas nëntemave si vijon:</w:t>
      </w:r>
    </w:p>
    <w:p w14:paraId="3DD45859" w14:textId="470880AF" w:rsidR="00B41AA5" w:rsidRPr="00B31292" w:rsidRDefault="00B41AA5" w:rsidP="003A4DBA">
      <w:pPr>
        <w:spacing w:after="0" w:line="240" w:lineRule="auto"/>
        <w:ind w:firstLine="284"/>
        <w:jc w:val="both"/>
        <w:rPr>
          <w:rFonts w:ascii="Garamond" w:hAnsi="Garamond" w:cs="Times New Roman"/>
          <w:sz w:val="24"/>
          <w:szCs w:val="24"/>
        </w:rPr>
      </w:pPr>
      <w:r w:rsidRPr="00B31292">
        <w:rPr>
          <w:rFonts w:ascii="Garamond" w:hAnsi="Garamond" w:cs="Times New Roman"/>
          <w:i/>
          <w:sz w:val="24"/>
          <w:szCs w:val="24"/>
        </w:rPr>
        <w:t xml:space="preserve">2.2.1 </w:t>
      </w:r>
      <w:r w:rsidR="00BA12C3" w:rsidRPr="00B31292">
        <w:rPr>
          <w:rFonts w:ascii="Garamond" w:hAnsi="Garamond" w:cs="Times New Roman"/>
          <w:i/>
          <w:sz w:val="24"/>
          <w:szCs w:val="24"/>
        </w:rPr>
        <w:t>“</w:t>
      </w:r>
      <w:r w:rsidRPr="00B31292">
        <w:rPr>
          <w:rFonts w:ascii="Garamond" w:hAnsi="Garamond" w:cs="Times New Roman"/>
          <w:i/>
          <w:sz w:val="24"/>
          <w:szCs w:val="24"/>
        </w:rPr>
        <w:t xml:space="preserve">Llogaritë financiare sipas </w:t>
      </w:r>
      <w:r w:rsidR="005D017E" w:rsidRPr="00B31292">
        <w:rPr>
          <w:rFonts w:ascii="Garamond" w:hAnsi="Garamond" w:cs="Times New Roman"/>
          <w:i/>
          <w:sz w:val="24"/>
          <w:szCs w:val="24"/>
        </w:rPr>
        <w:t>sektorëve institucionalë</w:t>
      </w:r>
      <w:r w:rsidR="00BA12C3" w:rsidRPr="00B31292">
        <w:rPr>
          <w:rFonts w:ascii="Garamond" w:hAnsi="Garamond" w:cs="Times New Roman"/>
          <w:i/>
          <w:sz w:val="24"/>
          <w:szCs w:val="24"/>
        </w:rPr>
        <w:t>”</w:t>
      </w:r>
      <w:r w:rsidRPr="00B31292">
        <w:rPr>
          <w:rFonts w:ascii="Garamond" w:hAnsi="Garamond" w:cs="Times New Roman"/>
          <w:sz w:val="24"/>
          <w:szCs w:val="24"/>
        </w:rPr>
        <w:t xml:space="preserve"> – janë një sistem statistikor i integruar, që pasqyron marrëdhëniet financiare ndërm</w:t>
      </w:r>
      <w:r w:rsidR="00E1636E" w:rsidRPr="00B31292">
        <w:rPr>
          <w:rFonts w:ascii="Garamond" w:hAnsi="Garamond" w:cs="Times New Roman"/>
          <w:sz w:val="24"/>
          <w:szCs w:val="24"/>
        </w:rPr>
        <w:t xml:space="preserve">jet sektorëve të ekonomisë. Këto statistika paraqesin </w:t>
      </w:r>
      <w:r w:rsidRPr="00B31292">
        <w:rPr>
          <w:rFonts w:ascii="Garamond" w:hAnsi="Garamond" w:cs="Times New Roman"/>
          <w:sz w:val="24"/>
          <w:szCs w:val="24"/>
        </w:rPr>
        <w:t xml:space="preserve">një </w:t>
      </w:r>
      <w:r w:rsidRPr="00B31292">
        <w:rPr>
          <w:rFonts w:ascii="Garamond" w:hAnsi="Garamond" w:cs="Times New Roman"/>
          <w:sz w:val="24"/>
          <w:szCs w:val="24"/>
        </w:rPr>
        <w:lastRenderedPageBreak/>
        <w:t>pamje të plotë dhe gjithëpërfshirëse të situatës financiare dhe marrëdhënieve financiare në ekonomi, për</w:t>
      </w:r>
      <w:r w:rsidR="00BA12C3" w:rsidRPr="00B31292">
        <w:rPr>
          <w:rFonts w:ascii="Garamond" w:hAnsi="Garamond" w:cs="Times New Roman"/>
          <w:sz w:val="24"/>
          <w:szCs w:val="24"/>
        </w:rPr>
        <w:t xml:space="preserve"> </w:t>
      </w:r>
      <w:r w:rsidRPr="00B31292">
        <w:rPr>
          <w:rFonts w:ascii="Garamond" w:hAnsi="Garamond" w:cs="Times New Roman"/>
          <w:sz w:val="24"/>
          <w:szCs w:val="24"/>
        </w:rPr>
        <w:t>sa i përket sektorëve ekonomikë dhe instrumenteve financiar</w:t>
      </w:r>
      <w:r w:rsidR="00F851B0" w:rsidRPr="00B31292">
        <w:rPr>
          <w:rFonts w:ascii="Garamond" w:hAnsi="Garamond" w:cs="Times New Roman"/>
          <w:sz w:val="24"/>
          <w:szCs w:val="24"/>
        </w:rPr>
        <w:t>ë</w:t>
      </w:r>
      <w:r w:rsidRPr="00B31292">
        <w:rPr>
          <w:rFonts w:ascii="Garamond" w:hAnsi="Garamond" w:cs="Times New Roman"/>
          <w:sz w:val="24"/>
          <w:szCs w:val="24"/>
        </w:rPr>
        <w:t>, përfshirë edhe marrëdhëniet me jorezidentët. Llogaritë financiare ofrojnë një pasqyrë mbi operacionet dhe strukturën e sistemit financiar duke identifikuar kanalet kryesor</w:t>
      </w:r>
      <w:r w:rsidR="00F851B0" w:rsidRPr="00B31292">
        <w:rPr>
          <w:rFonts w:ascii="Garamond" w:hAnsi="Garamond" w:cs="Times New Roman"/>
          <w:sz w:val="24"/>
          <w:szCs w:val="24"/>
        </w:rPr>
        <w:t>ë</w:t>
      </w:r>
      <w:r w:rsidRPr="00B31292">
        <w:rPr>
          <w:rFonts w:ascii="Garamond" w:hAnsi="Garamond" w:cs="Times New Roman"/>
          <w:sz w:val="24"/>
          <w:szCs w:val="24"/>
        </w:rPr>
        <w:t xml:space="preserve"> të përdorura për të përftuar dhe investuar burimet financiare.</w:t>
      </w:r>
    </w:p>
    <w:p w14:paraId="164E2A32" w14:textId="75DE1977" w:rsidR="00B41AA5" w:rsidRPr="00B31292" w:rsidRDefault="00B41AA5" w:rsidP="003A4DBA">
      <w:pPr>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Llogaritë financiare sipas sektorëve institucionalë, me frekuencë vjetore, hartohen nga Banka e Shqipërisë. Për hartimin dhe raportimin e tyre, Banka mbështetet në standardet metodologjike ndërkombëtare mbi të cilat është ngritur dhe funksionon hartimi dhe raportimi i llogarive financiare në vendet anëtare të Bashkimit Evropian, si më poshtë:</w:t>
      </w:r>
      <w:r w:rsidR="00EE716C" w:rsidRPr="00B31292">
        <w:rPr>
          <w:rFonts w:ascii="Garamond" w:hAnsi="Garamond" w:cs="Times New Roman"/>
          <w:sz w:val="24"/>
          <w:szCs w:val="24"/>
        </w:rPr>
        <w:t xml:space="preserve"> </w:t>
      </w:r>
    </w:p>
    <w:p w14:paraId="4FB58E2A" w14:textId="30A939F8" w:rsidR="00B41AA5" w:rsidRPr="00B31292" w:rsidRDefault="00B41AA5" w:rsidP="003A4DBA">
      <w:pPr>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w:t>
      </w:r>
      <w:r w:rsidR="00EE716C" w:rsidRPr="00B31292">
        <w:rPr>
          <w:rFonts w:ascii="Garamond" w:hAnsi="Garamond" w:cs="Times New Roman"/>
          <w:sz w:val="24"/>
          <w:szCs w:val="24"/>
        </w:rPr>
        <w:t xml:space="preserve"> </w:t>
      </w:r>
      <w:r w:rsidRPr="00B31292">
        <w:rPr>
          <w:rFonts w:ascii="Garamond" w:hAnsi="Garamond" w:cs="Times New Roman"/>
          <w:sz w:val="24"/>
          <w:szCs w:val="24"/>
        </w:rPr>
        <w:t>Sistemi Evropian i Llogarive Kombëtare, ESA 2010;</w:t>
      </w:r>
    </w:p>
    <w:p w14:paraId="031BBE79" w14:textId="77398003" w:rsidR="00B41AA5" w:rsidRPr="00B31292" w:rsidRDefault="00B41AA5" w:rsidP="003A4DBA">
      <w:pPr>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w:t>
      </w:r>
      <w:r w:rsidR="00EE716C" w:rsidRPr="00B31292">
        <w:rPr>
          <w:rFonts w:ascii="Garamond" w:hAnsi="Garamond" w:cs="Times New Roman"/>
          <w:sz w:val="24"/>
          <w:szCs w:val="24"/>
        </w:rPr>
        <w:t xml:space="preserve"> </w:t>
      </w:r>
      <w:r w:rsidRPr="00B31292">
        <w:rPr>
          <w:rFonts w:ascii="Garamond" w:hAnsi="Garamond" w:cs="Times New Roman"/>
          <w:sz w:val="24"/>
          <w:szCs w:val="24"/>
        </w:rPr>
        <w:t xml:space="preserve">Manuali mbi </w:t>
      </w:r>
      <w:r w:rsidR="005D017E" w:rsidRPr="00B31292">
        <w:rPr>
          <w:rFonts w:ascii="Garamond" w:hAnsi="Garamond" w:cs="Times New Roman"/>
          <w:sz w:val="24"/>
          <w:szCs w:val="24"/>
        </w:rPr>
        <w:t>burimet dhe metodat e hartimit të llogarive financiare – edicioni i dytë</w:t>
      </w:r>
      <w:r w:rsidRPr="00B31292">
        <w:rPr>
          <w:rFonts w:ascii="Garamond" w:hAnsi="Garamond" w:cs="Times New Roman"/>
          <w:sz w:val="24"/>
          <w:szCs w:val="24"/>
        </w:rPr>
        <w:t>;</w:t>
      </w:r>
    </w:p>
    <w:p w14:paraId="5A66D9EF" w14:textId="592D4180" w:rsidR="00B41AA5" w:rsidRPr="00B31292" w:rsidRDefault="00B41AA5" w:rsidP="003A4DBA">
      <w:pPr>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w:t>
      </w:r>
      <w:r w:rsidR="00EE716C" w:rsidRPr="00B31292">
        <w:rPr>
          <w:rFonts w:ascii="Garamond" w:hAnsi="Garamond" w:cs="Times New Roman"/>
          <w:sz w:val="24"/>
          <w:szCs w:val="24"/>
        </w:rPr>
        <w:t xml:space="preserve"> </w:t>
      </w:r>
      <w:r w:rsidRPr="00B31292">
        <w:rPr>
          <w:rFonts w:ascii="Garamond" w:hAnsi="Garamond" w:cs="Times New Roman"/>
          <w:sz w:val="24"/>
          <w:szCs w:val="24"/>
        </w:rPr>
        <w:t>Rregullorja 549/2013 (BE)</w:t>
      </w:r>
      <w:r w:rsidR="00F851B0" w:rsidRPr="00B31292">
        <w:rPr>
          <w:rFonts w:ascii="Garamond" w:hAnsi="Garamond" w:cs="Times New Roman"/>
          <w:sz w:val="24"/>
          <w:szCs w:val="24"/>
        </w:rPr>
        <w:t>,</w:t>
      </w:r>
      <w:r w:rsidRPr="00B31292">
        <w:rPr>
          <w:rFonts w:ascii="Garamond" w:hAnsi="Garamond" w:cs="Times New Roman"/>
          <w:sz w:val="24"/>
          <w:szCs w:val="24"/>
        </w:rPr>
        <w:t xml:space="preserve"> mbi </w:t>
      </w:r>
      <w:r w:rsidR="005D017E" w:rsidRPr="00B31292">
        <w:rPr>
          <w:rFonts w:ascii="Garamond" w:hAnsi="Garamond" w:cs="Times New Roman"/>
          <w:sz w:val="24"/>
          <w:szCs w:val="24"/>
        </w:rPr>
        <w:t xml:space="preserve">Sistemin Evropian të Llogarive Kombëtare dhe Rajonale </w:t>
      </w:r>
      <w:r w:rsidRPr="00B31292">
        <w:rPr>
          <w:rFonts w:ascii="Garamond" w:hAnsi="Garamond" w:cs="Times New Roman"/>
          <w:sz w:val="24"/>
          <w:szCs w:val="24"/>
        </w:rPr>
        <w:t>në Bashkimin Evropian.</w:t>
      </w:r>
    </w:p>
    <w:p w14:paraId="36C38596" w14:textId="4CCCD900" w:rsidR="00B41AA5" w:rsidRPr="00B31292" w:rsidRDefault="00B41AA5" w:rsidP="003A4DBA">
      <w:pPr>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Hartimi i të dhënave bazohet në kombinimin e burimeve të siguruara nga Banka e Shqipërisë, INSTAT</w:t>
      </w:r>
      <w:r w:rsidR="00BA12C3" w:rsidRPr="00B31292">
        <w:rPr>
          <w:rFonts w:ascii="Garamond" w:hAnsi="Garamond" w:cs="Times New Roman"/>
          <w:sz w:val="24"/>
          <w:szCs w:val="24"/>
        </w:rPr>
        <w:t>-i</w:t>
      </w:r>
      <w:r w:rsidRPr="00B31292">
        <w:rPr>
          <w:rFonts w:ascii="Garamond" w:hAnsi="Garamond" w:cs="Times New Roman"/>
          <w:sz w:val="24"/>
          <w:szCs w:val="24"/>
        </w:rPr>
        <w:t xml:space="preserve">, Ministria e Financave, Qendra Kombëtare e Biznesit, Autoriteti i Mbikëqyrjes Financiare dhe burime të tjera administrative. Të dhënat merren në mënyrë direkte nga institucionet raportuese si burim primar ose në mënyrë indirekte nga informacioni kundërparti. Për mbledhjen e të dhënave primare, statistikat e llogarive financiare përdorin gjerësisht të dhënat, të cilat Banka e Shqipërisë i mbledh nëpërmjet </w:t>
      </w:r>
      <w:r w:rsidR="005D017E" w:rsidRPr="00B31292">
        <w:rPr>
          <w:rFonts w:ascii="Garamond" w:hAnsi="Garamond" w:cs="Times New Roman"/>
          <w:sz w:val="24"/>
          <w:szCs w:val="24"/>
        </w:rPr>
        <w:t xml:space="preserve">Sistemit </w:t>
      </w:r>
      <w:r w:rsidRPr="00B31292">
        <w:rPr>
          <w:rFonts w:ascii="Garamond" w:hAnsi="Garamond" w:cs="Times New Roman"/>
          <w:sz w:val="24"/>
          <w:szCs w:val="24"/>
        </w:rPr>
        <w:t xml:space="preserve">të </w:t>
      </w:r>
      <w:r w:rsidR="005D017E" w:rsidRPr="00B31292">
        <w:rPr>
          <w:rFonts w:ascii="Garamond" w:hAnsi="Garamond" w:cs="Times New Roman"/>
          <w:sz w:val="24"/>
          <w:szCs w:val="24"/>
        </w:rPr>
        <w:t xml:space="preserve">Unifikuar </w:t>
      </w:r>
      <w:r w:rsidRPr="00B31292">
        <w:rPr>
          <w:rFonts w:ascii="Garamond" w:hAnsi="Garamond" w:cs="Times New Roman"/>
          <w:sz w:val="24"/>
          <w:szCs w:val="24"/>
        </w:rPr>
        <w:t xml:space="preserve">të </w:t>
      </w:r>
      <w:r w:rsidR="005D017E" w:rsidRPr="00B31292">
        <w:rPr>
          <w:rFonts w:ascii="Garamond" w:hAnsi="Garamond" w:cs="Times New Roman"/>
          <w:sz w:val="24"/>
          <w:szCs w:val="24"/>
        </w:rPr>
        <w:t xml:space="preserve">Raportimit Rregullator </w:t>
      </w:r>
      <w:r w:rsidRPr="00B31292">
        <w:rPr>
          <w:rFonts w:ascii="Garamond" w:hAnsi="Garamond" w:cs="Times New Roman"/>
          <w:sz w:val="24"/>
          <w:szCs w:val="24"/>
        </w:rPr>
        <w:t>(ERRS) dhe raportimeve të tjera në Bankën e Shqipërisë.</w:t>
      </w:r>
      <w:r w:rsidR="00744A3B" w:rsidRPr="00B31292">
        <w:rPr>
          <w:rFonts w:ascii="Garamond" w:hAnsi="Garamond" w:cs="Times New Roman"/>
          <w:sz w:val="24"/>
          <w:szCs w:val="24"/>
        </w:rPr>
        <w:t xml:space="preserve"> </w:t>
      </w:r>
      <w:r w:rsidRPr="00B31292">
        <w:rPr>
          <w:rFonts w:ascii="Garamond" w:hAnsi="Garamond" w:cs="Times New Roman"/>
          <w:sz w:val="24"/>
          <w:szCs w:val="24"/>
        </w:rPr>
        <w:t>Ndërkohë që burime suplementare përdoren për të plotësuar mangësitë në burimet primare ose për të përmirësuar cilësinë e statistikave. Banka e Shqipërisë bashkëpunon me Institutin e</w:t>
      </w:r>
      <w:r w:rsidR="00744A3B" w:rsidRPr="00B31292">
        <w:rPr>
          <w:rFonts w:ascii="Garamond" w:hAnsi="Garamond" w:cs="Times New Roman"/>
          <w:sz w:val="24"/>
          <w:szCs w:val="24"/>
        </w:rPr>
        <w:t xml:space="preserve"> </w:t>
      </w:r>
      <w:r w:rsidRPr="00B31292">
        <w:rPr>
          <w:rFonts w:ascii="Garamond" w:hAnsi="Garamond" w:cs="Times New Roman"/>
          <w:sz w:val="24"/>
          <w:szCs w:val="24"/>
        </w:rPr>
        <w:t>Statistikave dhe Ministrinë e Financave në mënyrë që të përdoren maksimalisht dhe në mënyrë eficiente të dhënat administrative,</w:t>
      </w:r>
      <w:r w:rsidR="00744A3B" w:rsidRPr="00B31292">
        <w:rPr>
          <w:rFonts w:ascii="Garamond" w:hAnsi="Garamond" w:cs="Times New Roman"/>
          <w:sz w:val="24"/>
          <w:szCs w:val="24"/>
        </w:rPr>
        <w:t xml:space="preserve"> </w:t>
      </w:r>
      <w:r w:rsidRPr="00B31292">
        <w:rPr>
          <w:rFonts w:ascii="Garamond" w:hAnsi="Garamond" w:cs="Times New Roman"/>
          <w:sz w:val="24"/>
          <w:szCs w:val="24"/>
        </w:rPr>
        <w:t>veçanërisht për hartimin e të dhënave të sektorit të qeverisë së përgjithshme dhe korporatave jofinanciare.</w:t>
      </w:r>
    </w:p>
    <w:p w14:paraId="05E89B38" w14:textId="7A59E324" w:rsidR="00B41AA5" w:rsidRPr="00B31292" w:rsidRDefault="00B41AA5" w:rsidP="003A4DBA">
      <w:pPr>
        <w:spacing w:after="0" w:line="240" w:lineRule="auto"/>
        <w:ind w:firstLine="284"/>
        <w:jc w:val="both"/>
        <w:rPr>
          <w:rFonts w:ascii="Garamond" w:hAnsi="Garamond" w:cs="Times New Roman"/>
          <w:sz w:val="24"/>
          <w:szCs w:val="24"/>
        </w:rPr>
      </w:pPr>
      <w:r w:rsidRPr="00B31292">
        <w:rPr>
          <w:rFonts w:ascii="Garamond" w:hAnsi="Garamond" w:cs="Times New Roman"/>
          <w:i/>
          <w:sz w:val="24"/>
          <w:szCs w:val="24"/>
        </w:rPr>
        <w:t xml:space="preserve">2.2.2 </w:t>
      </w:r>
      <w:r w:rsidR="00BA12C3" w:rsidRPr="00B31292">
        <w:rPr>
          <w:rFonts w:ascii="Garamond" w:hAnsi="Garamond" w:cs="Times New Roman"/>
          <w:i/>
          <w:sz w:val="24"/>
          <w:szCs w:val="24"/>
        </w:rPr>
        <w:t>“</w:t>
      </w:r>
      <w:r w:rsidRPr="00B31292">
        <w:rPr>
          <w:rFonts w:ascii="Garamond" w:hAnsi="Garamond" w:cs="Times New Roman"/>
          <w:i/>
          <w:sz w:val="24"/>
          <w:szCs w:val="24"/>
        </w:rPr>
        <w:t xml:space="preserve">Tregues </w:t>
      </w:r>
      <w:r w:rsidR="005D017E" w:rsidRPr="00B31292">
        <w:rPr>
          <w:rFonts w:ascii="Garamond" w:hAnsi="Garamond" w:cs="Times New Roman"/>
          <w:i/>
          <w:sz w:val="24"/>
          <w:szCs w:val="24"/>
        </w:rPr>
        <w:t>monetarë dhe financiarë</w:t>
      </w:r>
      <w:r w:rsidR="00BA12C3" w:rsidRPr="00B31292">
        <w:rPr>
          <w:rFonts w:ascii="Garamond" w:hAnsi="Garamond" w:cs="Times New Roman"/>
          <w:i/>
          <w:sz w:val="24"/>
          <w:szCs w:val="24"/>
        </w:rPr>
        <w:t>”</w:t>
      </w:r>
      <w:r w:rsidRPr="00B31292">
        <w:rPr>
          <w:rFonts w:ascii="Garamond" w:hAnsi="Garamond" w:cs="Times New Roman"/>
          <w:sz w:val="24"/>
          <w:szCs w:val="24"/>
        </w:rPr>
        <w:t xml:space="preserve"> - Banka e Shqipërisë prodhon dhe publikon treguesit monetarë me frekuencë mujore dhe tremujore, që lidhen me agregatët monetarë, depozitat, kreditë, normat e interesit, si dhe bilancet sektoriale dhe paraqitjet monetare të korporatave depozituese. Për përgatitjen e statistikave monetare dhe financiare si burim informacioni shërbejnë pasqyrat financiare të Bankës së Shqipërisë, </w:t>
      </w:r>
      <w:r w:rsidR="005D017E" w:rsidRPr="00B31292">
        <w:rPr>
          <w:rFonts w:ascii="Garamond" w:hAnsi="Garamond" w:cs="Times New Roman"/>
          <w:sz w:val="24"/>
          <w:szCs w:val="24"/>
        </w:rPr>
        <w:t xml:space="preserve">Sistemi Raportues </w:t>
      </w:r>
      <w:r w:rsidRPr="00B31292">
        <w:rPr>
          <w:rFonts w:ascii="Garamond" w:hAnsi="Garamond" w:cs="Times New Roman"/>
          <w:sz w:val="24"/>
          <w:szCs w:val="24"/>
        </w:rPr>
        <w:t xml:space="preserve">i </w:t>
      </w:r>
      <w:r w:rsidR="005D017E" w:rsidRPr="00B31292">
        <w:rPr>
          <w:rFonts w:ascii="Garamond" w:hAnsi="Garamond" w:cs="Times New Roman"/>
          <w:sz w:val="24"/>
          <w:szCs w:val="24"/>
        </w:rPr>
        <w:t xml:space="preserve">Unifikuar Rregullator </w:t>
      </w:r>
      <w:r w:rsidRPr="00B31292">
        <w:rPr>
          <w:rFonts w:ascii="Garamond" w:hAnsi="Garamond" w:cs="Times New Roman"/>
          <w:sz w:val="24"/>
          <w:szCs w:val="24"/>
        </w:rPr>
        <w:t xml:space="preserve">(ERRS) për bankat para-depozituese, sistemi raportues për shoqëritë e kursim-kreditit dhe unionet e tyre, sistemi raportues nga institucionet financiare jobanka, si dhe informacion i mbledhur nga Autoriteti për </w:t>
      </w:r>
      <w:r w:rsidR="005D017E" w:rsidRPr="00B31292">
        <w:rPr>
          <w:rFonts w:ascii="Garamond" w:hAnsi="Garamond" w:cs="Times New Roman"/>
          <w:sz w:val="24"/>
          <w:szCs w:val="24"/>
        </w:rPr>
        <w:t xml:space="preserve">Mbikëqyrjen </w:t>
      </w:r>
      <w:r w:rsidRPr="00B31292">
        <w:rPr>
          <w:rFonts w:ascii="Garamond" w:hAnsi="Garamond" w:cs="Times New Roman"/>
          <w:sz w:val="24"/>
          <w:szCs w:val="24"/>
        </w:rPr>
        <w:t xml:space="preserve">Financiare, në përputhje me formatet metodologjike dhe udhëzimet e Bankës së Shqipërisë për kompanitë e sigurimit, fondet e pensioneve dhe fondet e investimeve. Në kuadër të harmonizimit të standardeve të raportimit me kërkesat e BE-së, statistikat e normave të interesit të </w:t>
      </w:r>
      <w:r w:rsidR="005D017E" w:rsidRPr="00B31292">
        <w:rPr>
          <w:rFonts w:ascii="Garamond" w:hAnsi="Garamond" w:cs="Times New Roman"/>
          <w:sz w:val="24"/>
          <w:szCs w:val="24"/>
        </w:rPr>
        <w:t xml:space="preserve">institucioneve monetare financiare </w:t>
      </w:r>
      <w:r w:rsidRPr="00B31292">
        <w:rPr>
          <w:rFonts w:ascii="Garamond" w:hAnsi="Garamond" w:cs="Times New Roman"/>
          <w:sz w:val="24"/>
          <w:szCs w:val="24"/>
        </w:rPr>
        <w:t>(bankat e nivelit të dytë) hartohen bazuar në rregulloren nr. 48/2017</w:t>
      </w:r>
      <w:r w:rsidR="00BA12C3" w:rsidRPr="00B31292">
        <w:rPr>
          <w:rFonts w:ascii="Garamond" w:hAnsi="Garamond" w:cs="Times New Roman"/>
          <w:sz w:val="24"/>
          <w:szCs w:val="24"/>
        </w:rPr>
        <w:t>,</w:t>
      </w:r>
      <w:r w:rsidRPr="00B31292">
        <w:rPr>
          <w:rFonts w:ascii="Garamond" w:hAnsi="Garamond" w:cs="Times New Roman"/>
          <w:sz w:val="24"/>
          <w:szCs w:val="24"/>
        </w:rPr>
        <w:t xml:space="preserve"> </w:t>
      </w:r>
      <w:r w:rsidR="00BA12C3" w:rsidRPr="00B31292">
        <w:rPr>
          <w:rFonts w:ascii="Garamond" w:hAnsi="Garamond" w:cs="Times New Roman"/>
          <w:sz w:val="24"/>
          <w:szCs w:val="24"/>
        </w:rPr>
        <w:t>“</w:t>
      </w:r>
      <w:r w:rsidRPr="00B31292">
        <w:rPr>
          <w:rFonts w:ascii="Garamond" w:hAnsi="Garamond" w:cs="Times New Roman"/>
          <w:sz w:val="24"/>
          <w:szCs w:val="24"/>
        </w:rPr>
        <w:t>Për raportimet në Bankën e Shqipërisë të statistikave të normave të interesit</w:t>
      </w:r>
      <w:r w:rsidR="00BA12C3" w:rsidRPr="00B31292">
        <w:rPr>
          <w:rFonts w:ascii="Garamond" w:hAnsi="Garamond" w:cs="Times New Roman"/>
          <w:sz w:val="24"/>
          <w:szCs w:val="24"/>
        </w:rPr>
        <w:t>”</w:t>
      </w:r>
      <w:r w:rsidRPr="00B31292">
        <w:rPr>
          <w:rFonts w:ascii="Garamond" w:hAnsi="Garamond" w:cs="Times New Roman"/>
          <w:sz w:val="24"/>
          <w:szCs w:val="24"/>
        </w:rPr>
        <w:t xml:space="preserve"> e cila përafron </w:t>
      </w:r>
      <w:r w:rsidR="005D017E" w:rsidRPr="00B31292">
        <w:rPr>
          <w:rFonts w:ascii="Garamond" w:hAnsi="Garamond" w:cs="Times New Roman"/>
          <w:sz w:val="24"/>
          <w:szCs w:val="24"/>
        </w:rPr>
        <w:t>r</w:t>
      </w:r>
      <w:r w:rsidRPr="00B31292">
        <w:rPr>
          <w:rFonts w:ascii="Garamond" w:hAnsi="Garamond" w:cs="Times New Roman"/>
          <w:sz w:val="24"/>
          <w:szCs w:val="24"/>
        </w:rPr>
        <w:t>regulloren (</w:t>
      </w:r>
      <w:r w:rsidR="009C3923" w:rsidRPr="00B31292">
        <w:rPr>
          <w:rFonts w:ascii="Garamond" w:hAnsi="Garamond" w:cs="Times New Roman"/>
          <w:sz w:val="24"/>
          <w:szCs w:val="24"/>
        </w:rPr>
        <w:t>KE</w:t>
      </w:r>
      <w:r w:rsidRPr="00B31292">
        <w:rPr>
          <w:rFonts w:ascii="Garamond" w:hAnsi="Garamond" w:cs="Times New Roman"/>
          <w:sz w:val="24"/>
          <w:szCs w:val="24"/>
        </w:rPr>
        <w:t xml:space="preserve">) </w:t>
      </w:r>
      <w:r w:rsidR="00BA12C3" w:rsidRPr="00B31292">
        <w:rPr>
          <w:rFonts w:ascii="Garamond" w:hAnsi="Garamond" w:cs="Times New Roman"/>
          <w:sz w:val="24"/>
          <w:szCs w:val="24"/>
        </w:rPr>
        <w:t>n</w:t>
      </w:r>
      <w:r w:rsidRPr="00B31292">
        <w:rPr>
          <w:rFonts w:ascii="Garamond" w:hAnsi="Garamond" w:cs="Times New Roman"/>
          <w:sz w:val="24"/>
          <w:szCs w:val="24"/>
        </w:rPr>
        <w:t>r. 1072/2003, 24.9.2013 (ECB/2013/34), ndryshuar me rregulloren e Bankës Q</w:t>
      </w:r>
      <w:r w:rsidR="009C3923" w:rsidRPr="00B31292">
        <w:rPr>
          <w:rFonts w:ascii="Garamond" w:hAnsi="Garamond" w:cs="Times New Roman"/>
          <w:sz w:val="24"/>
          <w:szCs w:val="24"/>
        </w:rPr>
        <w:t>e</w:t>
      </w:r>
      <w:r w:rsidRPr="00B31292">
        <w:rPr>
          <w:rFonts w:ascii="Garamond" w:hAnsi="Garamond" w:cs="Times New Roman"/>
          <w:sz w:val="24"/>
          <w:szCs w:val="24"/>
        </w:rPr>
        <w:t xml:space="preserve">ndrore Evropiane të datës 8.7.2014 (ECB/2014/30), ndërsa në </w:t>
      </w:r>
      <w:r w:rsidR="00BA12C3" w:rsidRPr="00B31292">
        <w:rPr>
          <w:rFonts w:ascii="Garamond" w:hAnsi="Garamond" w:cs="Times New Roman"/>
          <w:sz w:val="24"/>
          <w:szCs w:val="24"/>
        </w:rPr>
        <w:t>d</w:t>
      </w:r>
      <w:r w:rsidRPr="00B31292">
        <w:rPr>
          <w:rFonts w:ascii="Garamond" w:hAnsi="Garamond" w:cs="Times New Roman"/>
          <w:sz w:val="24"/>
          <w:szCs w:val="24"/>
        </w:rPr>
        <w:t xml:space="preserve">hjetor </w:t>
      </w:r>
      <w:r w:rsidR="00E65883" w:rsidRPr="00B31292">
        <w:rPr>
          <w:rFonts w:ascii="Garamond" w:hAnsi="Garamond" w:cs="Times New Roman"/>
          <w:sz w:val="24"/>
          <w:szCs w:val="24"/>
        </w:rPr>
        <w:t xml:space="preserve">të vitit </w:t>
      </w:r>
      <w:r w:rsidRPr="00B31292">
        <w:rPr>
          <w:rFonts w:ascii="Garamond" w:hAnsi="Garamond" w:cs="Times New Roman"/>
          <w:sz w:val="24"/>
          <w:szCs w:val="24"/>
        </w:rPr>
        <w:t>2021</w:t>
      </w:r>
      <w:r w:rsidR="00BA12C3" w:rsidRPr="00B31292">
        <w:rPr>
          <w:rFonts w:ascii="Garamond" w:hAnsi="Garamond" w:cs="Times New Roman"/>
          <w:sz w:val="24"/>
          <w:szCs w:val="24"/>
        </w:rPr>
        <w:t>,</w:t>
      </w:r>
      <w:r w:rsidRPr="00B31292">
        <w:rPr>
          <w:rFonts w:ascii="Garamond" w:hAnsi="Garamond" w:cs="Times New Roman"/>
          <w:sz w:val="24"/>
          <w:szCs w:val="24"/>
        </w:rPr>
        <w:t xml:space="preserve"> u miratua rregullorja nr.</w:t>
      </w:r>
      <w:r w:rsidR="00BA12C3" w:rsidRPr="00B31292">
        <w:rPr>
          <w:rFonts w:ascii="Garamond" w:hAnsi="Garamond" w:cs="Times New Roman"/>
          <w:sz w:val="24"/>
          <w:szCs w:val="24"/>
        </w:rPr>
        <w:t xml:space="preserve"> </w:t>
      </w:r>
      <w:r w:rsidRPr="00B31292">
        <w:rPr>
          <w:rFonts w:ascii="Garamond" w:hAnsi="Garamond" w:cs="Times New Roman"/>
          <w:sz w:val="24"/>
          <w:szCs w:val="24"/>
        </w:rPr>
        <w:t xml:space="preserve">73, datë 22.12.2021, </w:t>
      </w:r>
      <w:r w:rsidR="00BA12C3" w:rsidRPr="00B31292">
        <w:rPr>
          <w:rFonts w:ascii="Garamond" w:hAnsi="Garamond" w:cs="Times New Roman"/>
          <w:sz w:val="24"/>
          <w:szCs w:val="24"/>
        </w:rPr>
        <w:t>“</w:t>
      </w:r>
      <w:r w:rsidRPr="00B31292">
        <w:rPr>
          <w:rFonts w:ascii="Garamond" w:hAnsi="Garamond" w:cs="Times New Roman"/>
          <w:sz w:val="24"/>
          <w:szCs w:val="24"/>
        </w:rPr>
        <w:t>Për raportimet në Bankën e Shqipërisë të zërave të bilancit të institucioneve të kreditit dhe të institucioneve monetare financiare</w:t>
      </w:r>
      <w:r w:rsidR="00BA12C3" w:rsidRPr="00B31292">
        <w:rPr>
          <w:rFonts w:ascii="Garamond" w:hAnsi="Garamond" w:cs="Times New Roman"/>
          <w:sz w:val="24"/>
          <w:szCs w:val="24"/>
        </w:rPr>
        <w:t>”</w:t>
      </w:r>
      <w:r w:rsidRPr="00B31292">
        <w:rPr>
          <w:rFonts w:ascii="Garamond" w:hAnsi="Garamond" w:cs="Times New Roman"/>
          <w:sz w:val="24"/>
          <w:szCs w:val="24"/>
        </w:rPr>
        <w:t>, e cila përafroi rregulloren e Bankës Q</w:t>
      </w:r>
      <w:r w:rsidR="009C3923" w:rsidRPr="00B31292">
        <w:rPr>
          <w:rFonts w:ascii="Garamond" w:hAnsi="Garamond" w:cs="Times New Roman"/>
          <w:sz w:val="24"/>
          <w:szCs w:val="24"/>
        </w:rPr>
        <w:t>e</w:t>
      </w:r>
      <w:r w:rsidRPr="00B31292">
        <w:rPr>
          <w:rFonts w:ascii="Garamond" w:hAnsi="Garamond" w:cs="Times New Roman"/>
          <w:sz w:val="24"/>
          <w:szCs w:val="24"/>
        </w:rPr>
        <w:t xml:space="preserve">ndrore Evropiane (BE) </w:t>
      </w:r>
      <w:r w:rsidR="00BA12C3" w:rsidRPr="00B31292">
        <w:rPr>
          <w:rFonts w:ascii="Garamond" w:hAnsi="Garamond" w:cs="Times New Roman"/>
          <w:sz w:val="24"/>
          <w:szCs w:val="24"/>
        </w:rPr>
        <w:t>n</w:t>
      </w:r>
      <w:r w:rsidRPr="00B31292">
        <w:rPr>
          <w:rFonts w:ascii="Garamond" w:hAnsi="Garamond" w:cs="Times New Roman"/>
          <w:sz w:val="24"/>
          <w:szCs w:val="24"/>
        </w:rPr>
        <w:t>r. 2021/379.</w:t>
      </w:r>
    </w:p>
    <w:p w14:paraId="47977102" w14:textId="3D5C30FA" w:rsidR="00707143" w:rsidRPr="00B31292" w:rsidRDefault="00707143" w:rsidP="003A4DBA">
      <w:pPr>
        <w:spacing w:after="0" w:line="240" w:lineRule="auto"/>
        <w:ind w:firstLine="284"/>
        <w:jc w:val="both"/>
        <w:rPr>
          <w:rFonts w:ascii="Garamond" w:hAnsi="Garamond" w:cs="Times New Roman"/>
          <w:sz w:val="24"/>
          <w:szCs w:val="24"/>
        </w:rPr>
      </w:pPr>
      <w:r w:rsidRPr="00B31292">
        <w:rPr>
          <w:rFonts w:ascii="Garamond" w:hAnsi="Garamond" w:cs="Times New Roman"/>
          <w:i/>
          <w:sz w:val="24"/>
          <w:szCs w:val="24"/>
        </w:rPr>
        <w:t xml:space="preserve">2.2.3 </w:t>
      </w:r>
      <w:r w:rsidR="00BA12C3" w:rsidRPr="00B31292">
        <w:rPr>
          <w:rFonts w:ascii="Garamond" w:hAnsi="Garamond" w:cs="Times New Roman"/>
          <w:i/>
          <w:sz w:val="24"/>
          <w:szCs w:val="24"/>
        </w:rPr>
        <w:t>“</w:t>
      </w:r>
      <w:r w:rsidRPr="00B31292">
        <w:rPr>
          <w:rFonts w:ascii="Garamond" w:hAnsi="Garamond" w:cs="Times New Roman"/>
          <w:i/>
          <w:sz w:val="24"/>
          <w:szCs w:val="24"/>
        </w:rPr>
        <w:t xml:space="preserve">Statistikat </w:t>
      </w:r>
      <w:r w:rsidR="005D017E" w:rsidRPr="00B31292">
        <w:rPr>
          <w:rFonts w:ascii="Garamond" w:hAnsi="Garamond" w:cs="Times New Roman"/>
          <w:i/>
          <w:sz w:val="24"/>
          <w:szCs w:val="24"/>
        </w:rPr>
        <w:t>f</w:t>
      </w:r>
      <w:r w:rsidRPr="00B31292">
        <w:rPr>
          <w:rFonts w:ascii="Garamond" w:hAnsi="Garamond" w:cs="Times New Roman"/>
          <w:i/>
          <w:sz w:val="24"/>
          <w:szCs w:val="24"/>
        </w:rPr>
        <w:t xml:space="preserve">inanciare të </w:t>
      </w:r>
      <w:r w:rsidR="00BA12C3" w:rsidRPr="00B31292">
        <w:rPr>
          <w:rFonts w:ascii="Garamond" w:hAnsi="Garamond" w:cs="Times New Roman"/>
          <w:i/>
          <w:sz w:val="24"/>
          <w:szCs w:val="24"/>
        </w:rPr>
        <w:t>q</w:t>
      </w:r>
      <w:r w:rsidRPr="00B31292">
        <w:rPr>
          <w:rFonts w:ascii="Garamond" w:hAnsi="Garamond" w:cs="Times New Roman"/>
          <w:i/>
          <w:sz w:val="24"/>
          <w:szCs w:val="24"/>
        </w:rPr>
        <w:t xml:space="preserve">everisë sipas GFSM2014 dhe </w:t>
      </w:r>
      <w:r w:rsidR="005D017E" w:rsidRPr="00B31292">
        <w:rPr>
          <w:rFonts w:ascii="Garamond" w:hAnsi="Garamond" w:cs="Times New Roman"/>
          <w:i/>
          <w:sz w:val="24"/>
          <w:szCs w:val="24"/>
        </w:rPr>
        <w:t>pasqyrat financiare të konsoliduara të qeve</w:t>
      </w:r>
      <w:r w:rsidRPr="00B31292">
        <w:rPr>
          <w:rFonts w:ascii="Garamond" w:hAnsi="Garamond" w:cs="Times New Roman"/>
          <w:i/>
          <w:sz w:val="24"/>
          <w:szCs w:val="24"/>
        </w:rPr>
        <w:t>risë</w:t>
      </w:r>
      <w:r w:rsidR="00BA12C3" w:rsidRPr="00B31292">
        <w:rPr>
          <w:rFonts w:ascii="Garamond" w:hAnsi="Garamond" w:cs="Times New Roman"/>
          <w:i/>
          <w:sz w:val="24"/>
          <w:szCs w:val="24"/>
        </w:rPr>
        <w:t>”</w:t>
      </w:r>
      <w:r w:rsidRPr="00B31292">
        <w:rPr>
          <w:rFonts w:ascii="Garamond" w:hAnsi="Garamond" w:cs="Times New Roman"/>
          <w:sz w:val="24"/>
          <w:szCs w:val="24"/>
        </w:rPr>
        <w:t xml:space="preserve"> është nëntemë e cila mbulohet nga Ministria e Financave në bashkëpunim me INSTAT</w:t>
      </w:r>
      <w:r w:rsidR="00BA12C3" w:rsidRPr="00B31292">
        <w:rPr>
          <w:rFonts w:ascii="Garamond" w:hAnsi="Garamond" w:cs="Times New Roman"/>
          <w:sz w:val="24"/>
          <w:szCs w:val="24"/>
        </w:rPr>
        <w:t>-in</w:t>
      </w:r>
      <w:r w:rsidRPr="00B31292">
        <w:rPr>
          <w:rFonts w:ascii="Garamond" w:hAnsi="Garamond" w:cs="Times New Roman"/>
          <w:sz w:val="24"/>
          <w:szCs w:val="24"/>
        </w:rPr>
        <w:t xml:space="preserve"> dhe Bankën e Shqipërisë. Kjo ministri, nën cilësinë e agjencisë statistikore</w:t>
      </w:r>
      <w:r w:rsidR="00122B67" w:rsidRPr="00B31292">
        <w:rPr>
          <w:rFonts w:ascii="Garamond" w:hAnsi="Garamond" w:cs="Times New Roman"/>
          <w:sz w:val="24"/>
          <w:szCs w:val="24"/>
        </w:rPr>
        <w:t>,</w:t>
      </w:r>
      <w:r w:rsidRPr="00B31292">
        <w:rPr>
          <w:rFonts w:ascii="Garamond" w:hAnsi="Garamond" w:cs="Times New Roman"/>
          <w:sz w:val="24"/>
          <w:szCs w:val="24"/>
        </w:rPr>
        <w:t xml:space="preserve"> kryen aktivitetin e prodhimit të statistikave financiare të qeverisë sipas GFSM</w:t>
      </w:r>
      <w:r w:rsidR="009C3923" w:rsidRPr="00B31292">
        <w:rPr>
          <w:rFonts w:ascii="Garamond" w:hAnsi="Garamond" w:cs="Times New Roman"/>
          <w:sz w:val="24"/>
          <w:szCs w:val="24"/>
        </w:rPr>
        <w:t>-</w:t>
      </w:r>
      <w:r w:rsidRPr="00B31292">
        <w:rPr>
          <w:rFonts w:ascii="Garamond" w:hAnsi="Garamond" w:cs="Times New Roman"/>
          <w:sz w:val="24"/>
          <w:szCs w:val="24"/>
        </w:rPr>
        <w:t>2014 dhe pasqyrave financiare të konsoliduara të qeverisë, të cilat publikohen me frekuencë vjetore.</w:t>
      </w:r>
      <w:r w:rsidR="00122B67" w:rsidRPr="00B31292">
        <w:rPr>
          <w:rFonts w:ascii="Garamond" w:hAnsi="Garamond" w:cs="Times New Roman"/>
          <w:sz w:val="24"/>
          <w:szCs w:val="24"/>
        </w:rPr>
        <w:t xml:space="preserve"> </w:t>
      </w:r>
      <w:r w:rsidRPr="00B31292">
        <w:rPr>
          <w:rFonts w:ascii="Garamond" w:hAnsi="Garamond" w:cs="Times New Roman"/>
          <w:sz w:val="24"/>
          <w:szCs w:val="24"/>
        </w:rPr>
        <w:t>Prodhimi i këtyre statistikave mundësohet nëpërmjet përpunimit të informacionit të ofruar nga njësitë e qeverisjes së përgjithshme (institucione qendrore, vendore dhe fondet speciale).</w:t>
      </w:r>
    </w:p>
    <w:p w14:paraId="17D74660" w14:textId="312C4274" w:rsidR="00707143" w:rsidRPr="00B31292" w:rsidRDefault="00707143" w:rsidP="003A4DBA">
      <w:pPr>
        <w:spacing w:after="0" w:line="240" w:lineRule="auto"/>
        <w:ind w:firstLine="284"/>
        <w:jc w:val="both"/>
        <w:rPr>
          <w:rFonts w:ascii="Garamond" w:hAnsi="Garamond" w:cs="Times New Roman"/>
          <w:i/>
          <w:sz w:val="24"/>
          <w:szCs w:val="24"/>
        </w:rPr>
      </w:pPr>
      <w:r w:rsidRPr="00B31292">
        <w:rPr>
          <w:rFonts w:ascii="Garamond" w:hAnsi="Garamond" w:cs="Times New Roman"/>
          <w:i/>
          <w:sz w:val="24"/>
          <w:szCs w:val="24"/>
        </w:rPr>
        <w:t xml:space="preserve">2.2.4 </w:t>
      </w:r>
      <w:r w:rsidR="00BA12C3" w:rsidRPr="00B31292">
        <w:rPr>
          <w:rFonts w:ascii="Garamond" w:hAnsi="Garamond" w:cs="Times New Roman"/>
          <w:i/>
          <w:sz w:val="24"/>
          <w:szCs w:val="24"/>
        </w:rPr>
        <w:t>“</w:t>
      </w:r>
      <w:r w:rsidRPr="00B31292">
        <w:rPr>
          <w:rFonts w:ascii="Garamond" w:hAnsi="Garamond" w:cs="Times New Roman"/>
          <w:i/>
          <w:sz w:val="24"/>
          <w:szCs w:val="24"/>
        </w:rPr>
        <w:t xml:space="preserve">Statistikat e </w:t>
      </w:r>
      <w:r w:rsidR="005D017E" w:rsidRPr="00B31292">
        <w:rPr>
          <w:rFonts w:ascii="Garamond" w:hAnsi="Garamond" w:cs="Times New Roman"/>
          <w:i/>
          <w:sz w:val="24"/>
          <w:szCs w:val="24"/>
        </w:rPr>
        <w:t>b</w:t>
      </w:r>
      <w:r w:rsidRPr="00B31292">
        <w:rPr>
          <w:rFonts w:ascii="Garamond" w:hAnsi="Garamond" w:cs="Times New Roman"/>
          <w:i/>
          <w:sz w:val="24"/>
          <w:szCs w:val="24"/>
        </w:rPr>
        <w:t>orxhit të sektorit buxhetor të qeverisë dhe borxhit të garantuar</w:t>
      </w:r>
      <w:r w:rsidR="00BA12C3" w:rsidRPr="00B31292">
        <w:rPr>
          <w:rFonts w:ascii="Garamond" w:hAnsi="Garamond" w:cs="Times New Roman"/>
          <w:i/>
          <w:sz w:val="24"/>
          <w:szCs w:val="24"/>
        </w:rPr>
        <w:t>”</w:t>
      </w:r>
      <w:r w:rsidRPr="00B31292">
        <w:rPr>
          <w:rFonts w:ascii="Garamond" w:hAnsi="Garamond" w:cs="Times New Roman"/>
          <w:sz w:val="24"/>
          <w:szCs w:val="24"/>
        </w:rPr>
        <w:t xml:space="preserve"> është nëntemë e cila mbulohet</w:t>
      </w:r>
      <w:r w:rsidR="005D017E" w:rsidRPr="00B31292">
        <w:rPr>
          <w:rFonts w:ascii="Garamond" w:hAnsi="Garamond" w:cs="Times New Roman"/>
          <w:sz w:val="24"/>
          <w:szCs w:val="24"/>
        </w:rPr>
        <w:t>,</w:t>
      </w:r>
      <w:r w:rsidRPr="00B31292">
        <w:rPr>
          <w:rFonts w:ascii="Garamond" w:hAnsi="Garamond" w:cs="Times New Roman"/>
          <w:sz w:val="24"/>
          <w:szCs w:val="24"/>
        </w:rPr>
        <w:t xml:space="preserve"> gjithashtu</w:t>
      </w:r>
      <w:r w:rsidR="005D017E" w:rsidRPr="00B31292">
        <w:rPr>
          <w:rFonts w:ascii="Garamond" w:hAnsi="Garamond" w:cs="Times New Roman"/>
          <w:sz w:val="24"/>
          <w:szCs w:val="24"/>
        </w:rPr>
        <w:t>,</w:t>
      </w:r>
      <w:r w:rsidRPr="00B31292">
        <w:rPr>
          <w:rFonts w:ascii="Garamond" w:hAnsi="Garamond" w:cs="Times New Roman"/>
          <w:sz w:val="24"/>
          <w:szCs w:val="24"/>
        </w:rPr>
        <w:t xml:space="preserve"> nga Ministria e Financave duke prodhuar statistikat e borxhit të sektorit buxhetor të qeverisë dhe borxhit të garantuar, me frekuencë tremujore dhe vjetore. Për prodhimin </w:t>
      </w:r>
      <w:r w:rsidRPr="00B31292">
        <w:rPr>
          <w:rFonts w:ascii="Garamond" w:hAnsi="Garamond" w:cs="Times New Roman"/>
          <w:sz w:val="24"/>
          <w:szCs w:val="24"/>
        </w:rPr>
        <w:lastRenderedPageBreak/>
        <w:t>e këtyre statistikave, ministrisë i duhet të shfrytëzojë të dhënat që disponon INSTAT</w:t>
      </w:r>
      <w:r w:rsidR="005D017E" w:rsidRPr="00B31292">
        <w:rPr>
          <w:rFonts w:ascii="Garamond" w:hAnsi="Garamond" w:cs="Times New Roman"/>
          <w:sz w:val="24"/>
          <w:szCs w:val="24"/>
        </w:rPr>
        <w:t>-i</w:t>
      </w:r>
      <w:r w:rsidR="002D09C6" w:rsidRPr="00B31292">
        <w:rPr>
          <w:rFonts w:ascii="Garamond" w:hAnsi="Garamond" w:cs="Times New Roman"/>
          <w:sz w:val="24"/>
          <w:szCs w:val="24"/>
        </w:rPr>
        <w:t xml:space="preserve"> </w:t>
      </w:r>
      <w:r w:rsidRPr="00B31292">
        <w:rPr>
          <w:rFonts w:ascii="Garamond" w:hAnsi="Garamond" w:cs="Times New Roman"/>
          <w:sz w:val="24"/>
          <w:szCs w:val="24"/>
        </w:rPr>
        <w:t>dhe nga Banka e Shqipërisë.</w:t>
      </w:r>
    </w:p>
    <w:p w14:paraId="38B392E3" w14:textId="72C0BBF4" w:rsidR="008F7C54" w:rsidRPr="00B31292" w:rsidRDefault="00D72293" w:rsidP="003A4DBA">
      <w:pPr>
        <w:spacing w:after="0" w:line="240" w:lineRule="auto"/>
        <w:ind w:firstLine="284"/>
        <w:jc w:val="both"/>
        <w:rPr>
          <w:rFonts w:ascii="Garamond" w:hAnsi="Garamond" w:cs="Times New Roman"/>
          <w:sz w:val="24"/>
          <w:szCs w:val="24"/>
        </w:rPr>
      </w:pPr>
      <w:r w:rsidRPr="00B31292">
        <w:rPr>
          <w:rFonts w:ascii="Garamond" w:hAnsi="Garamond" w:cs="Times New Roman"/>
          <w:i/>
          <w:sz w:val="24"/>
          <w:szCs w:val="24"/>
        </w:rPr>
        <w:t xml:space="preserve">2.2.5 </w:t>
      </w:r>
      <w:r w:rsidR="00BA12C3" w:rsidRPr="00B31292">
        <w:rPr>
          <w:rFonts w:ascii="Garamond" w:hAnsi="Garamond" w:cs="Times New Roman"/>
          <w:i/>
          <w:sz w:val="24"/>
          <w:szCs w:val="24"/>
        </w:rPr>
        <w:t>“</w:t>
      </w:r>
      <w:r w:rsidRPr="00B31292">
        <w:rPr>
          <w:rFonts w:ascii="Garamond" w:hAnsi="Garamond" w:cs="Times New Roman"/>
          <w:i/>
          <w:sz w:val="24"/>
          <w:szCs w:val="24"/>
        </w:rPr>
        <w:t xml:space="preserve">Statistikat </w:t>
      </w:r>
      <w:r w:rsidR="005D017E" w:rsidRPr="00B31292">
        <w:rPr>
          <w:rFonts w:ascii="Garamond" w:hAnsi="Garamond" w:cs="Times New Roman"/>
          <w:i/>
          <w:sz w:val="24"/>
          <w:szCs w:val="24"/>
        </w:rPr>
        <w:t xml:space="preserve">financiare të qeverisë </w:t>
      </w:r>
      <w:r w:rsidRPr="00B31292">
        <w:rPr>
          <w:rFonts w:ascii="Garamond" w:hAnsi="Garamond" w:cs="Times New Roman"/>
          <w:i/>
          <w:sz w:val="24"/>
          <w:szCs w:val="24"/>
        </w:rPr>
        <w:t>sipas ESA</w:t>
      </w:r>
      <w:r w:rsidR="009C3923" w:rsidRPr="00B31292">
        <w:rPr>
          <w:rFonts w:ascii="Garamond" w:hAnsi="Garamond" w:cs="Times New Roman"/>
          <w:i/>
          <w:sz w:val="24"/>
          <w:szCs w:val="24"/>
        </w:rPr>
        <w:t>-</w:t>
      </w:r>
      <w:r w:rsidRPr="00B31292">
        <w:rPr>
          <w:rFonts w:ascii="Garamond" w:hAnsi="Garamond" w:cs="Times New Roman"/>
          <w:i/>
          <w:sz w:val="24"/>
          <w:szCs w:val="24"/>
        </w:rPr>
        <w:t>2010</w:t>
      </w:r>
      <w:r w:rsidR="00BA12C3" w:rsidRPr="00B31292">
        <w:rPr>
          <w:rFonts w:ascii="Garamond" w:hAnsi="Garamond" w:cs="Times New Roman"/>
          <w:i/>
          <w:sz w:val="24"/>
          <w:szCs w:val="24"/>
        </w:rPr>
        <w:t>”</w:t>
      </w:r>
      <w:r w:rsidR="009C3923" w:rsidRPr="00B31292">
        <w:rPr>
          <w:rFonts w:ascii="Garamond" w:hAnsi="Garamond" w:cs="Times New Roman"/>
          <w:i/>
          <w:sz w:val="24"/>
          <w:szCs w:val="24"/>
        </w:rPr>
        <w:t xml:space="preserve"> </w:t>
      </w:r>
      <w:r w:rsidRPr="00B31292">
        <w:rPr>
          <w:rFonts w:ascii="Garamond" w:hAnsi="Garamond" w:cs="Times New Roman"/>
          <w:sz w:val="24"/>
          <w:szCs w:val="24"/>
        </w:rPr>
        <w:t>është nëntemë e cila mbulohet nga INSTAT</w:t>
      </w:r>
      <w:r w:rsidR="00BA12C3" w:rsidRPr="00B31292">
        <w:rPr>
          <w:rFonts w:ascii="Garamond" w:hAnsi="Garamond" w:cs="Times New Roman"/>
          <w:sz w:val="24"/>
          <w:szCs w:val="24"/>
        </w:rPr>
        <w:t>-i</w:t>
      </w:r>
      <w:r w:rsidRPr="00B31292">
        <w:rPr>
          <w:rFonts w:ascii="Garamond" w:hAnsi="Garamond" w:cs="Times New Roman"/>
          <w:sz w:val="24"/>
          <w:szCs w:val="24"/>
        </w:rPr>
        <w:t xml:space="preserve"> në bashkëpunim të ngushtë me Ministrinë e Financave dhe Bankën e Shqipërisë. INSTAT</w:t>
      </w:r>
      <w:r w:rsidR="00BA12C3" w:rsidRPr="00B31292">
        <w:rPr>
          <w:rFonts w:ascii="Garamond" w:hAnsi="Garamond" w:cs="Times New Roman"/>
          <w:sz w:val="24"/>
          <w:szCs w:val="24"/>
        </w:rPr>
        <w:t>-i</w:t>
      </w:r>
      <w:r w:rsidRPr="00B31292">
        <w:rPr>
          <w:rFonts w:ascii="Garamond" w:hAnsi="Garamond" w:cs="Times New Roman"/>
          <w:sz w:val="24"/>
          <w:szCs w:val="24"/>
        </w:rPr>
        <w:t xml:space="preserve"> kryen aktivitetin e prodhimit statistikor mbi statistikat financiare të qeverisë sipas ESA2010, me status </w:t>
      </w:r>
      <w:r w:rsidR="00BA12C3" w:rsidRPr="00B31292">
        <w:rPr>
          <w:rFonts w:ascii="Garamond" w:hAnsi="Garamond" w:cs="Times New Roman"/>
          <w:sz w:val="24"/>
          <w:szCs w:val="24"/>
        </w:rPr>
        <w:t>“</w:t>
      </w:r>
      <w:r w:rsidRPr="00B31292">
        <w:rPr>
          <w:rFonts w:ascii="Garamond" w:hAnsi="Garamond" w:cs="Times New Roman"/>
          <w:sz w:val="24"/>
          <w:szCs w:val="24"/>
        </w:rPr>
        <w:t>jo për publikim</w:t>
      </w:r>
      <w:r w:rsidR="00BA12C3" w:rsidRPr="00B31292">
        <w:rPr>
          <w:rFonts w:ascii="Garamond" w:hAnsi="Garamond" w:cs="Times New Roman"/>
          <w:sz w:val="24"/>
          <w:szCs w:val="24"/>
        </w:rPr>
        <w:t>”</w:t>
      </w:r>
      <w:r w:rsidRPr="00B31292">
        <w:rPr>
          <w:rFonts w:ascii="Garamond" w:hAnsi="Garamond" w:cs="Times New Roman"/>
          <w:sz w:val="24"/>
          <w:szCs w:val="24"/>
        </w:rPr>
        <w:t>. Të dhënat janë me frekuencë tremujore dhe vjetore referuar Programi të Transmetimit ESA</w:t>
      </w:r>
      <w:r w:rsidR="009C3923" w:rsidRPr="00B31292">
        <w:rPr>
          <w:rFonts w:ascii="Garamond" w:hAnsi="Garamond" w:cs="Times New Roman"/>
          <w:sz w:val="24"/>
          <w:szCs w:val="24"/>
        </w:rPr>
        <w:t>-</w:t>
      </w:r>
      <w:r w:rsidRPr="00B31292">
        <w:rPr>
          <w:rFonts w:ascii="Garamond" w:hAnsi="Garamond" w:cs="Times New Roman"/>
          <w:sz w:val="24"/>
          <w:szCs w:val="24"/>
        </w:rPr>
        <w:t xml:space="preserve">2010. Statistikat </w:t>
      </w:r>
      <w:r w:rsidR="005D017E" w:rsidRPr="00B31292">
        <w:rPr>
          <w:rFonts w:ascii="Garamond" w:hAnsi="Garamond" w:cs="Times New Roman"/>
          <w:sz w:val="24"/>
          <w:szCs w:val="24"/>
        </w:rPr>
        <w:t xml:space="preserve">financiare të qeverisë </w:t>
      </w:r>
      <w:r w:rsidRPr="00B31292">
        <w:rPr>
          <w:rFonts w:ascii="Garamond" w:hAnsi="Garamond" w:cs="Times New Roman"/>
          <w:sz w:val="24"/>
          <w:szCs w:val="24"/>
        </w:rPr>
        <w:t xml:space="preserve">vlerësohen nëpërmjet përpunimit të informacionit të marrë për të gjitha njësitë e klasifikuara në </w:t>
      </w:r>
      <w:r w:rsidR="005D017E" w:rsidRPr="00B31292">
        <w:rPr>
          <w:rFonts w:ascii="Garamond" w:hAnsi="Garamond" w:cs="Times New Roman"/>
          <w:sz w:val="24"/>
          <w:szCs w:val="24"/>
        </w:rPr>
        <w:t xml:space="preserve">sektorin e qeverisjes së përgjithshme </w:t>
      </w:r>
      <w:r w:rsidRPr="00B31292">
        <w:rPr>
          <w:rFonts w:ascii="Garamond" w:hAnsi="Garamond" w:cs="Times New Roman"/>
          <w:sz w:val="24"/>
          <w:szCs w:val="24"/>
        </w:rPr>
        <w:t>(S.13) sipas metodologjisë ESA</w:t>
      </w:r>
      <w:r w:rsidR="009C3923" w:rsidRPr="00B31292">
        <w:rPr>
          <w:rFonts w:ascii="Garamond" w:hAnsi="Garamond" w:cs="Times New Roman"/>
          <w:sz w:val="24"/>
          <w:szCs w:val="24"/>
        </w:rPr>
        <w:t>-</w:t>
      </w:r>
      <w:r w:rsidRPr="00B31292">
        <w:rPr>
          <w:rFonts w:ascii="Garamond" w:hAnsi="Garamond" w:cs="Times New Roman"/>
          <w:sz w:val="24"/>
          <w:szCs w:val="24"/>
        </w:rPr>
        <w:t xml:space="preserve">2010. Vlerësimet janë të ndara dhe sipas nënsektorëve të qeverisë: </w:t>
      </w:r>
      <w:r w:rsidR="005D017E" w:rsidRPr="00B31292">
        <w:rPr>
          <w:rFonts w:ascii="Garamond" w:hAnsi="Garamond" w:cs="Times New Roman"/>
          <w:sz w:val="24"/>
          <w:szCs w:val="24"/>
        </w:rPr>
        <w:t xml:space="preserve">qeveria qendrore </w:t>
      </w:r>
      <w:r w:rsidRPr="00B31292">
        <w:rPr>
          <w:rFonts w:ascii="Garamond" w:hAnsi="Garamond" w:cs="Times New Roman"/>
          <w:sz w:val="24"/>
          <w:szCs w:val="24"/>
        </w:rPr>
        <w:t xml:space="preserve">(S.1311), </w:t>
      </w:r>
      <w:r w:rsidR="005D017E" w:rsidRPr="00B31292">
        <w:rPr>
          <w:rFonts w:ascii="Garamond" w:hAnsi="Garamond" w:cs="Times New Roman"/>
          <w:sz w:val="24"/>
          <w:szCs w:val="24"/>
        </w:rPr>
        <w:t xml:space="preserve">qeveria federale </w:t>
      </w:r>
      <w:r w:rsidRPr="00B31292">
        <w:rPr>
          <w:rFonts w:ascii="Garamond" w:hAnsi="Garamond" w:cs="Times New Roman"/>
          <w:sz w:val="24"/>
          <w:szCs w:val="24"/>
        </w:rPr>
        <w:t xml:space="preserve">(S.1312), </w:t>
      </w:r>
      <w:r w:rsidR="005D017E" w:rsidRPr="00B31292">
        <w:rPr>
          <w:rFonts w:ascii="Garamond" w:hAnsi="Garamond" w:cs="Times New Roman"/>
          <w:sz w:val="24"/>
          <w:szCs w:val="24"/>
        </w:rPr>
        <w:t xml:space="preserve">qeveria lokale </w:t>
      </w:r>
      <w:r w:rsidRPr="00B31292">
        <w:rPr>
          <w:rFonts w:ascii="Garamond" w:hAnsi="Garamond" w:cs="Times New Roman"/>
          <w:sz w:val="24"/>
          <w:szCs w:val="24"/>
        </w:rPr>
        <w:t xml:space="preserve">(S.1313) dhe </w:t>
      </w:r>
      <w:r w:rsidR="005D017E" w:rsidRPr="00B31292">
        <w:rPr>
          <w:rFonts w:ascii="Garamond" w:hAnsi="Garamond" w:cs="Times New Roman"/>
          <w:sz w:val="24"/>
          <w:szCs w:val="24"/>
        </w:rPr>
        <w:t xml:space="preserve">fondet </w:t>
      </w:r>
      <w:r w:rsidRPr="00B31292">
        <w:rPr>
          <w:rFonts w:ascii="Garamond" w:hAnsi="Garamond" w:cs="Times New Roman"/>
          <w:sz w:val="24"/>
          <w:szCs w:val="24"/>
        </w:rPr>
        <w:t xml:space="preserve">e </w:t>
      </w:r>
      <w:r w:rsidR="005D017E" w:rsidRPr="00B31292">
        <w:rPr>
          <w:rFonts w:ascii="Garamond" w:hAnsi="Garamond" w:cs="Times New Roman"/>
          <w:sz w:val="24"/>
          <w:szCs w:val="24"/>
        </w:rPr>
        <w:t xml:space="preserve">sigurimeve </w:t>
      </w:r>
      <w:r w:rsidRPr="00B31292">
        <w:rPr>
          <w:rFonts w:ascii="Garamond" w:hAnsi="Garamond" w:cs="Times New Roman"/>
          <w:sz w:val="24"/>
          <w:szCs w:val="24"/>
        </w:rPr>
        <w:t>(S.1314).</w:t>
      </w:r>
      <w:r w:rsidR="008F7C54" w:rsidRPr="00B31292">
        <w:rPr>
          <w:rFonts w:ascii="Garamond" w:hAnsi="Garamond" w:cs="Times New Roman"/>
          <w:sz w:val="24"/>
          <w:szCs w:val="24"/>
        </w:rPr>
        <w:t xml:space="preserve"> </w:t>
      </w:r>
    </w:p>
    <w:p w14:paraId="5C16E947" w14:textId="486E7FFF" w:rsidR="00D72293" w:rsidRPr="00B31292" w:rsidRDefault="00D72293" w:rsidP="003A4DBA">
      <w:pPr>
        <w:spacing w:after="0" w:line="240" w:lineRule="auto"/>
        <w:ind w:firstLine="284"/>
        <w:jc w:val="both"/>
        <w:rPr>
          <w:rFonts w:ascii="Garamond" w:hAnsi="Garamond" w:cs="Times New Roman"/>
          <w:sz w:val="24"/>
          <w:szCs w:val="24"/>
        </w:rPr>
      </w:pPr>
      <w:r w:rsidRPr="00B31292">
        <w:rPr>
          <w:rFonts w:ascii="Garamond" w:hAnsi="Garamond" w:cs="Times New Roman"/>
          <w:i/>
          <w:sz w:val="24"/>
          <w:szCs w:val="24"/>
        </w:rPr>
        <w:t xml:space="preserve">2.2.6 </w:t>
      </w:r>
      <w:r w:rsidR="00BA12C3" w:rsidRPr="00B31292">
        <w:rPr>
          <w:rFonts w:ascii="Garamond" w:hAnsi="Garamond" w:cs="Times New Roman"/>
          <w:i/>
          <w:sz w:val="24"/>
          <w:szCs w:val="24"/>
        </w:rPr>
        <w:t>“</w:t>
      </w:r>
      <w:r w:rsidRPr="00B31292">
        <w:rPr>
          <w:rFonts w:ascii="Garamond" w:hAnsi="Garamond" w:cs="Times New Roman"/>
          <w:i/>
          <w:sz w:val="24"/>
          <w:szCs w:val="24"/>
        </w:rPr>
        <w:t xml:space="preserve">Procedura e </w:t>
      </w:r>
      <w:r w:rsidR="005D017E" w:rsidRPr="00B31292">
        <w:rPr>
          <w:rFonts w:ascii="Garamond" w:hAnsi="Garamond" w:cs="Times New Roman"/>
          <w:i/>
          <w:sz w:val="24"/>
          <w:szCs w:val="24"/>
        </w:rPr>
        <w:t>deficitit të tejkaluar</w:t>
      </w:r>
      <w:r w:rsidR="00BA12C3" w:rsidRPr="00B31292">
        <w:rPr>
          <w:rFonts w:ascii="Garamond" w:hAnsi="Garamond" w:cs="Times New Roman"/>
          <w:i/>
          <w:sz w:val="24"/>
          <w:szCs w:val="24"/>
        </w:rPr>
        <w:t>”</w:t>
      </w:r>
      <w:r w:rsidRPr="00B31292">
        <w:rPr>
          <w:rFonts w:ascii="Garamond" w:hAnsi="Garamond" w:cs="Times New Roman"/>
          <w:sz w:val="24"/>
          <w:szCs w:val="24"/>
        </w:rPr>
        <w:t xml:space="preserve"> është nëntemë e cila mbulohet</w:t>
      </w:r>
      <w:r w:rsidR="005D017E" w:rsidRPr="00B31292">
        <w:rPr>
          <w:rFonts w:ascii="Garamond" w:hAnsi="Garamond" w:cs="Times New Roman"/>
          <w:sz w:val="24"/>
          <w:szCs w:val="24"/>
        </w:rPr>
        <w:t>,</w:t>
      </w:r>
      <w:r w:rsidRPr="00B31292">
        <w:rPr>
          <w:rFonts w:ascii="Garamond" w:hAnsi="Garamond" w:cs="Times New Roman"/>
          <w:sz w:val="24"/>
          <w:szCs w:val="24"/>
        </w:rPr>
        <w:t xml:space="preserve"> gjithashtu</w:t>
      </w:r>
      <w:r w:rsidR="005D017E" w:rsidRPr="00B31292">
        <w:rPr>
          <w:rFonts w:ascii="Garamond" w:hAnsi="Garamond" w:cs="Times New Roman"/>
          <w:sz w:val="24"/>
          <w:szCs w:val="24"/>
        </w:rPr>
        <w:t>,</w:t>
      </w:r>
      <w:r w:rsidRPr="00B31292">
        <w:rPr>
          <w:rFonts w:ascii="Garamond" w:hAnsi="Garamond" w:cs="Times New Roman"/>
          <w:sz w:val="24"/>
          <w:szCs w:val="24"/>
        </w:rPr>
        <w:t xml:space="preserve"> nga INSTAT</w:t>
      </w:r>
      <w:r w:rsidR="00BA12C3" w:rsidRPr="00B31292">
        <w:rPr>
          <w:rFonts w:ascii="Garamond" w:hAnsi="Garamond" w:cs="Times New Roman"/>
          <w:sz w:val="24"/>
          <w:szCs w:val="24"/>
        </w:rPr>
        <w:t>-i</w:t>
      </w:r>
      <w:r w:rsidR="005D017E" w:rsidRPr="00B31292">
        <w:rPr>
          <w:rFonts w:ascii="Garamond" w:hAnsi="Garamond" w:cs="Times New Roman"/>
          <w:sz w:val="24"/>
          <w:szCs w:val="24"/>
        </w:rPr>
        <w:t>,</w:t>
      </w:r>
      <w:r w:rsidRPr="00B31292">
        <w:rPr>
          <w:rFonts w:ascii="Garamond" w:hAnsi="Garamond" w:cs="Times New Roman"/>
          <w:sz w:val="24"/>
          <w:szCs w:val="24"/>
        </w:rPr>
        <w:t xml:space="preserve"> në bashkëpunim të ngushtë me Ministrinë e Financave dhe Bankën e Shqipërisë. INSTAT</w:t>
      </w:r>
      <w:r w:rsidR="00BA12C3" w:rsidRPr="00B31292">
        <w:rPr>
          <w:rFonts w:ascii="Garamond" w:hAnsi="Garamond" w:cs="Times New Roman"/>
          <w:sz w:val="24"/>
          <w:szCs w:val="24"/>
        </w:rPr>
        <w:t>-i</w:t>
      </w:r>
      <w:r w:rsidRPr="00B31292">
        <w:rPr>
          <w:rFonts w:ascii="Garamond" w:hAnsi="Garamond" w:cs="Times New Roman"/>
          <w:sz w:val="24"/>
          <w:szCs w:val="24"/>
        </w:rPr>
        <w:t xml:space="preserve"> kryen aktivitetin e prodhimit statistikor mbi tabelat e </w:t>
      </w:r>
      <w:r w:rsidR="005D017E" w:rsidRPr="00B31292">
        <w:rPr>
          <w:rFonts w:ascii="Garamond" w:hAnsi="Garamond" w:cs="Times New Roman"/>
          <w:sz w:val="24"/>
          <w:szCs w:val="24"/>
        </w:rPr>
        <w:t xml:space="preserve">procedurës së deficitit të tejkaluar </w:t>
      </w:r>
      <w:r w:rsidRPr="00B31292">
        <w:rPr>
          <w:rFonts w:ascii="Garamond" w:hAnsi="Garamond" w:cs="Times New Roman"/>
          <w:sz w:val="24"/>
          <w:szCs w:val="24"/>
        </w:rPr>
        <w:t xml:space="preserve">sipas formatit të përcaktuar nga </w:t>
      </w:r>
      <w:r w:rsidR="009C0CE9" w:rsidRPr="00B31292">
        <w:rPr>
          <w:rFonts w:ascii="Garamond" w:hAnsi="Garamond" w:cs="Times New Roman"/>
          <w:sz w:val="24"/>
          <w:szCs w:val="24"/>
        </w:rPr>
        <w:t>Eurostat</w:t>
      </w:r>
      <w:r w:rsidR="005D017E" w:rsidRPr="00B31292">
        <w:rPr>
          <w:rFonts w:ascii="Garamond" w:hAnsi="Garamond" w:cs="Times New Roman"/>
          <w:sz w:val="24"/>
          <w:szCs w:val="24"/>
        </w:rPr>
        <w:t>i</w:t>
      </w:r>
      <w:r w:rsidRPr="00B31292">
        <w:rPr>
          <w:rFonts w:ascii="Garamond" w:hAnsi="Garamond" w:cs="Times New Roman"/>
          <w:sz w:val="24"/>
          <w:szCs w:val="24"/>
        </w:rPr>
        <w:t>, duke ndjekur metodologjinë ESA</w:t>
      </w:r>
      <w:r w:rsidR="009C3923" w:rsidRPr="00B31292">
        <w:rPr>
          <w:rFonts w:ascii="Garamond" w:hAnsi="Garamond" w:cs="Times New Roman"/>
          <w:sz w:val="24"/>
          <w:szCs w:val="24"/>
        </w:rPr>
        <w:t>-</w:t>
      </w:r>
      <w:r w:rsidRPr="00B31292">
        <w:rPr>
          <w:rFonts w:ascii="Garamond" w:hAnsi="Garamond" w:cs="Times New Roman"/>
          <w:sz w:val="24"/>
          <w:szCs w:val="24"/>
        </w:rPr>
        <w:t xml:space="preserve">2010. Këto të dhëna kanë status </w:t>
      </w:r>
      <w:r w:rsidR="00BA12C3" w:rsidRPr="00B31292">
        <w:rPr>
          <w:rFonts w:ascii="Garamond" w:hAnsi="Garamond" w:cs="Times New Roman"/>
          <w:sz w:val="24"/>
          <w:szCs w:val="24"/>
        </w:rPr>
        <w:t>“</w:t>
      </w:r>
      <w:r w:rsidRPr="00B31292">
        <w:rPr>
          <w:rFonts w:ascii="Garamond" w:hAnsi="Garamond" w:cs="Times New Roman"/>
          <w:sz w:val="24"/>
          <w:szCs w:val="24"/>
        </w:rPr>
        <w:t>jo për publikim</w:t>
      </w:r>
      <w:r w:rsidR="00BA12C3" w:rsidRPr="00B31292">
        <w:rPr>
          <w:rFonts w:ascii="Garamond" w:hAnsi="Garamond" w:cs="Times New Roman"/>
          <w:sz w:val="24"/>
          <w:szCs w:val="24"/>
        </w:rPr>
        <w:t>”</w:t>
      </w:r>
      <w:r w:rsidRPr="00B31292">
        <w:rPr>
          <w:rFonts w:ascii="Garamond" w:hAnsi="Garamond" w:cs="Times New Roman"/>
          <w:sz w:val="24"/>
          <w:szCs w:val="24"/>
        </w:rPr>
        <w:t xml:space="preserve">. Të dhënat transmetohen dy herë në </w:t>
      </w:r>
      <w:r w:rsidR="005D017E" w:rsidRPr="00B31292">
        <w:rPr>
          <w:rFonts w:ascii="Garamond" w:hAnsi="Garamond" w:cs="Times New Roman"/>
          <w:sz w:val="24"/>
          <w:szCs w:val="24"/>
        </w:rPr>
        <w:t xml:space="preserve">vit prill/tetor, </w:t>
      </w:r>
      <w:r w:rsidRPr="00B31292">
        <w:rPr>
          <w:rFonts w:ascii="Garamond" w:hAnsi="Garamond" w:cs="Times New Roman"/>
          <w:sz w:val="24"/>
          <w:szCs w:val="24"/>
        </w:rPr>
        <w:t xml:space="preserve">sikurse kërkohen nga </w:t>
      </w:r>
      <w:r w:rsidR="009C0CE9" w:rsidRPr="00B31292">
        <w:rPr>
          <w:rFonts w:ascii="Garamond" w:hAnsi="Garamond" w:cs="Times New Roman"/>
          <w:sz w:val="24"/>
          <w:szCs w:val="24"/>
        </w:rPr>
        <w:t>Eurostat</w:t>
      </w:r>
      <w:r w:rsidR="005D017E" w:rsidRPr="00B31292">
        <w:rPr>
          <w:rFonts w:ascii="Garamond" w:hAnsi="Garamond" w:cs="Times New Roman"/>
          <w:sz w:val="24"/>
          <w:szCs w:val="24"/>
        </w:rPr>
        <w:t>i</w:t>
      </w:r>
      <w:r w:rsidRPr="00B31292">
        <w:rPr>
          <w:rFonts w:ascii="Garamond" w:hAnsi="Garamond" w:cs="Times New Roman"/>
          <w:sz w:val="24"/>
          <w:szCs w:val="24"/>
        </w:rPr>
        <w:t xml:space="preserve"> për vendet kandidate të Bashkimit Evropian.</w:t>
      </w:r>
      <w:r w:rsidR="008F7C54" w:rsidRPr="00B31292">
        <w:rPr>
          <w:rFonts w:ascii="Garamond" w:hAnsi="Garamond" w:cs="Times New Roman"/>
          <w:sz w:val="24"/>
          <w:szCs w:val="24"/>
        </w:rPr>
        <w:t xml:space="preserve"> </w:t>
      </w:r>
    </w:p>
    <w:p w14:paraId="76002853" w14:textId="77777777" w:rsidR="00072D25" w:rsidRPr="00B31292" w:rsidRDefault="00072D25" w:rsidP="003A4DBA">
      <w:pPr>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Në vitin 2025, nën asistencën e IPA 2022 shumëpërfituese, do të vijojë puna në drejtim të përmirësimeve metodologjike për rritjen e nivelit të përputhshmërisë me ESA</w:t>
      </w:r>
      <w:r w:rsidR="009C3923" w:rsidRPr="00B31292">
        <w:rPr>
          <w:rFonts w:ascii="Garamond" w:hAnsi="Garamond" w:cs="Times New Roman"/>
          <w:sz w:val="24"/>
          <w:szCs w:val="24"/>
        </w:rPr>
        <w:t>-</w:t>
      </w:r>
      <w:r w:rsidRPr="00B31292">
        <w:rPr>
          <w:rFonts w:ascii="Garamond" w:hAnsi="Garamond" w:cs="Times New Roman"/>
          <w:sz w:val="24"/>
          <w:szCs w:val="24"/>
        </w:rPr>
        <w:t xml:space="preserve">2010 për përpilimin e këtyre tabelave. </w:t>
      </w:r>
    </w:p>
    <w:p w14:paraId="7F17E8B1" w14:textId="767621A6" w:rsidR="00D72293" w:rsidRPr="00B31292" w:rsidRDefault="00D72293" w:rsidP="003A4DBA">
      <w:pPr>
        <w:spacing w:after="0" w:line="240" w:lineRule="auto"/>
        <w:ind w:firstLine="284"/>
        <w:jc w:val="both"/>
        <w:rPr>
          <w:rFonts w:ascii="Garamond" w:hAnsi="Garamond" w:cs="Times New Roman"/>
          <w:sz w:val="24"/>
          <w:szCs w:val="24"/>
        </w:rPr>
      </w:pPr>
      <w:r w:rsidRPr="00B31292">
        <w:rPr>
          <w:rFonts w:ascii="Garamond" w:hAnsi="Garamond" w:cs="Times New Roman"/>
          <w:b/>
          <w:sz w:val="24"/>
          <w:szCs w:val="24"/>
        </w:rPr>
        <w:t xml:space="preserve">Treguesit kryesorë: </w:t>
      </w:r>
      <w:r w:rsidRPr="00B31292">
        <w:rPr>
          <w:rFonts w:ascii="Garamond" w:hAnsi="Garamond" w:cs="Times New Roman"/>
          <w:sz w:val="24"/>
          <w:szCs w:val="24"/>
        </w:rPr>
        <w:t xml:space="preserve">Përgatitja e informacionit shpjegues metodologjik; </w:t>
      </w:r>
      <w:r w:rsidR="005D017E" w:rsidRPr="00B31292">
        <w:rPr>
          <w:rFonts w:ascii="Garamond" w:hAnsi="Garamond" w:cs="Times New Roman"/>
          <w:sz w:val="24"/>
          <w:szCs w:val="24"/>
        </w:rPr>
        <w:t xml:space="preserve">tregues </w:t>
      </w:r>
      <w:r w:rsidRPr="00B31292">
        <w:rPr>
          <w:rFonts w:ascii="Garamond" w:hAnsi="Garamond" w:cs="Times New Roman"/>
          <w:sz w:val="24"/>
          <w:szCs w:val="24"/>
        </w:rPr>
        <w:t xml:space="preserve">statistikorë mbi </w:t>
      </w:r>
      <w:r w:rsidR="005D017E" w:rsidRPr="00B31292">
        <w:rPr>
          <w:rFonts w:ascii="Garamond" w:hAnsi="Garamond" w:cs="Times New Roman"/>
          <w:sz w:val="24"/>
          <w:szCs w:val="24"/>
        </w:rPr>
        <w:t xml:space="preserve">llogaritë </w:t>
      </w:r>
      <w:r w:rsidRPr="00B31292">
        <w:rPr>
          <w:rFonts w:ascii="Garamond" w:hAnsi="Garamond" w:cs="Times New Roman"/>
          <w:sz w:val="24"/>
          <w:szCs w:val="24"/>
        </w:rPr>
        <w:t xml:space="preserve">financiare të sektorit të korporatave financiare, të jorezidentëve (pjesës tjetër të botës), të sektorit të qeverisë së përgjithshme, sektorit të korporatave jofinanciare, të ekonomive familjare dhe institucioneve jo me qëllim fitimi, në shërbim të ekonomive familjare; </w:t>
      </w:r>
      <w:r w:rsidR="005D017E" w:rsidRPr="00B31292">
        <w:rPr>
          <w:rFonts w:ascii="Garamond" w:hAnsi="Garamond" w:cs="Times New Roman"/>
          <w:sz w:val="24"/>
          <w:szCs w:val="24"/>
        </w:rPr>
        <w:t xml:space="preserve">tregues </w:t>
      </w:r>
      <w:r w:rsidRPr="00B31292">
        <w:rPr>
          <w:rFonts w:ascii="Garamond" w:hAnsi="Garamond" w:cs="Times New Roman"/>
          <w:sz w:val="24"/>
          <w:szCs w:val="24"/>
        </w:rPr>
        <w:t xml:space="preserve">statistikorë mbi </w:t>
      </w:r>
      <w:r w:rsidR="005D017E" w:rsidRPr="00B31292">
        <w:rPr>
          <w:rFonts w:ascii="Garamond" w:hAnsi="Garamond" w:cs="Times New Roman"/>
          <w:sz w:val="24"/>
          <w:szCs w:val="24"/>
        </w:rPr>
        <w:t>agregatët monetarë</w:t>
      </w:r>
      <w:r w:rsidRPr="00B31292">
        <w:rPr>
          <w:rFonts w:ascii="Garamond" w:hAnsi="Garamond" w:cs="Times New Roman"/>
          <w:sz w:val="24"/>
          <w:szCs w:val="24"/>
        </w:rPr>
        <w:t xml:space="preserve">; </w:t>
      </w:r>
      <w:r w:rsidR="005D017E" w:rsidRPr="00B31292">
        <w:rPr>
          <w:rFonts w:ascii="Garamond" w:hAnsi="Garamond" w:cs="Times New Roman"/>
          <w:sz w:val="24"/>
          <w:szCs w:val="24"/>
        </w:rPr>
        <w:t xml:space="preserve">bilancin sektorial </w:t>
      </w:r>
      <w:r w:rsidRPr="00B31292">
        <w:rPr>
          <w:rFonts w:ascii="Garamond" w:hAnsi="Garamond" w:cs="Times New Roman"/>
          <w:sz w:val="24"/>
          <w:szCs w:val="24"/>
        </w:rPr>
        <w:t xml:space="preserve">dhe paraqitjen monetare të bankës qendrore, të bankave paradepozituese të bankave të tjera depozituese; </w:t>
      </w:r>
      <w:r w:rsidR="005D017E" w:rsidRPr="00B31292">
        <w:rPr>
          <w:rFonts w:ascii="Garamond" w:hAnsi="Garamond" w:cs="Times New Roman"/>
          <w:sz w:val="24"/>
          <w:szCs w:val="24"/>
        </w:rPr>
        <w:t xml:space="preserve">paraqitjen </w:t>
      </w:r>
      <w:r w:rsidRPr="00B31292">
        <w:rPr>
          <w:rFonts w:ascii="Garamond" w:hAnsi="Garamond" w:cs="Times New Roman"/>
          <w:sz w:val="24"/>
          <w:szCs w:val="24"/>
        </w:rPr>
        <w:t xml:space="preserve">monetare të korporatave depozituese; </w:t>
      </w:r>
      <w:r w:rsidR="005D017E" w:rsidRPr="00B31292">
        <w:rPr>
          <w:rFonts w:ascii="Garamond" w:hAnsi="Garamond" w:cs="Times New Roman"/>
          <w:sz w:val="24"/>
          <w:szCs w:val="24"/>
        </w:rPr>
        <w:t xml:space="preserve">depozitat </w:t>
      </w:r>
      <w:r w:rsidRPr="00B31292">
        <w:rPr>
          <w:rFonts w:ascii="Garamond" w:hAnsi="Garamond" w:cs="Times New Roman"/>
          <w:sz w:val="24"/>
          <w:szCs w:val="24"/>
        </w:rPr>
        <w:t xml:space="preserve">e përfshira në paranë e gjerë; </w:t>
      </w:r>
      <w:r w:rsidR="005D017E" w:rsidRPr="00B31292">
        <w:rPr>
          <w:rFonts w:ascii="Garamond" w:hAnsi="Garamond" w:cs="Times New Roman"/>
          <w:sz w:val="24"/>
          <w:szCs w:val="24"/>
        </w:rPr>
        <w:t xml:space="preserve">kredinë </w:t>
      </w:r>
      <w:r w:rsidRPr="00B31292">
        <w:rPr>
          <w:rFonts w:ascii="Garamond" w:hAnsi="Garamond" w:cs="Times New Roman"/>
          <w:sz w:val="24"/>
          <w:szCs w:val="24"/>
        </w:rPr>
        <w:t xml:space="preserve">për ekonominë; </w:t>
      </w:r>
      <w:r w:rsidR="005D017E" w:rsidRPr="00B31292">
        <w:rPr>
          <w:rFonts w:ascii="Garamond" w:hAnsi="Garamond" w:cs="Times New Roman"/>
          <w:sz w:val="24"/>
          <w:szCs w:val="24"/>
        </w:rPr>
        <w:t xml:space="preserve">tregues </w:t>
      </w:r>
      <w:r w:rsidRPr="00B31292">
        <w:rPr>
          <w:rFonts w:ascii="Garamond" w:hAnsi="Garamond" w:cs="Times New Roman"/>
          <w:sz w:val="24"/>
          <w:szCs w:val="24"/>
        </w:rPr>
        <w:t xml:space="preserve">statistikorë mbi normat e interesit për depozitat e reja, huat e reja, depozitat gjendje në fund të periudhës, kreditë gjendje në fund të periudhës; </w:t>
      </w:r>
      <w:r w:rsidR="005D017E" w:rsidRPr="00B31292">
        <w:rPr>
          <w:rFonts w:ascii="Garamond" w:hAnsi="Garamond" w:cs="Times New Roman"/>
          <w:sz w:val="24"/>
          <w:szCs w:val="24"/>
        </w:rPr>
        <w:t xml:space="preserve">tregues </w:t>
      </w:r>
      <w:r w:rsidRPr="00B31292">
        <w:rPr>
          <w:rFonts w:ascii="Garamond" w:hAnsi="Garamond" w:cs="Times New Roman"/>
          <w:sz w:val="24"/>
          <w:szCs w:val="24"/>
        </w:rPr>
        <w:t xml:space="preserve">statistikorë mbi </w:t>
      </w:r>
      <w:r w:rsidR="005D017E" w:rsidRPr="00B31292">
        <w:rPr>
          <w:rFonts w:ascii="Garamond" w:hAnsi="Garamond" w:cs="Times New Roman"/>
          <w:sz w:val="24"/>
          <w:szCs w:val="24"/>
        </w:rPr>
        <w:t xml:space="preserve">bilancin </w:t>
      </w:r>
      <w:r w:rsidRPr="00B31292">
        <w:rPr>
          <w:rFonts w:ascii="Garamond" w:hAnsi="Garamond" w:cs="Times New Roman"/>
          <w:sz w:val="24"/>
          <w:szCs w:val="24"/>
        </w:rPr>
        <w:t xml:space="preserve">sektorial dhe paraqitjen monetare të korporatave të tjera financiare. </w:t>
      </w:r>
      <w:r w:rsidR="00982755" w:rsidRPr="00B31292">
        <w:rPr>
          <w:rFonts w:ascii="Garamond" w:hAnsi="Garamond" w:cs="Times New Roman"/>
          <w:sz w:val="24"/>
          <w:szCs w:val="24"/>
        </w:rPr>
        <w:t xml:space="preserve">Tregues </w:t>
      </w:r>
      <w:r w:rsidR="005D017E" w:rsidRPr="00B31292">
        <w:rPr>
          <w:rFonts w:ascii="Garamond" w:hAnsi="Garamond" w:cs="Times New Roman"/>
          <w:sz w:val="24"/>
          <w:szCs w:val="24"/>
        </w:rPr>
        <w:t xml:space="preserve">statistikorë financiare të qeverisë </w:t>
      </w:r>
      <w:r w:rsidR="00982755" w:rsidRPr="00B31292">
        <w:rPr>
          <w:rFonts w:ascii="Garamond" w:hAnsi="Garamond" w:cs="Times New Roman"/>
          <w:sz w:val="24"/>
          <w:szCs w:val="24"/>
        </w:rPr>
        <w:t xml:space="preserve">sipas GFSM 2014 dhe mbi </w:t>
      </w:r>
      <w:r w:rsidR="005D017E" w:rsidRPr="00B31292">
        <w:rPr>
          <w:rFonts w:ascii="Garamond" w:hAnsi="Garamond" w:cs="Times New Roman"/>
          <w:sz w:val="24"/>
          <w:szCs w:val="24"/>
        </w:rPr>
        <w:t>pasqyrat financiare të konsoliduara të qeverisë</w:t>
      </w:r>
      <w:r w:rsidR="00982755" w:rsidRPr="00B31292">
        <w:rPr>
          <w:rFonts w:ascii="Garamond" w:hAnsi="Garamond" w:cs="Times New Roman"/>
          <w:sz w:val="24"/>
          <w:szCs w:val="24"/>
        </w:rPr>
        <w:t xml:space="preserve">; </w:t>
      </w:r>
      <w:r w:rsidR="005D017E" w:rsidRPr="00B31292">
        <w:rPr>
          <w:rFonts w:ascii="Garamond" w:hAnsi="Garamond" w:cs="Times New Roman"/>
          <w:sz w:val="24"/>
          <w:szCs w:val="24"/>
        </w:rPr>
        <w:t xml:space="preserve">informacion </w:t>
      </w:r>
      <w:r w:rsidR="00982755" w:rsidRPr="00B31292">
        <w:rPr>
          <w:rFonts w:ascii="Garamond" w:hAnsi="Garamond" w:cs="Times New Roman"/>
          <w:sz w:val="24"/>
          <w:szCs w:val="24"/>
        </w:rPr>
        <w:t xml:space="preserve">mbi borxhin e qeverisë </w:t>
      </w:r>
      <w:r w:rsidR="00BA12C3" w:rsidRPr="00B31292">
        <w:rPr>
          <w:rFonts w:ascii="Garamond" w:hAnsi="Garamond" w:cs="Times New Roman"/>
          <w:sz w:val="24"/>
          <w:szCs w:val="24"/>
        </w:rPr>
        <w:t>qendrore</w:t>
      </w:r>
      <w:r w:rsidR="00982755" w:rsidRPr="00B31292">
        <w:rPr>
          <w:rFonts w:ascii="Garamond" w:hAnsi="Garamond" w:cs="Times New Roman"/>
          <w:sz w:val="24"/>
          <w:szCs w:val="24"/>
        </w:rPr>
        <w:t xml:space="preserve"> buxhetore dhe borxhin e garantuar sipas </w:t>
      </w:r>
      <w:r w:rsidR="00BA12C3" w:rsidRPr="00B31292">
        <w:rPr>
          <w:rFonts w:ascii="Garamond" w:hAnsi="Garamond" w:cs="Times New Roman"/>
          <w:sz w:val="24"/>
          <w:szCs w:val="24"/>
        </w:rPr>
        <w:t>instrumenteve</w:t>
      </w:r>
      <w:r w:rsidR="00982755" w:rsidRPr="00B31292">
        <w:rPr>
          <w:rFonts w:ascii="Garamond" w:hAnsi="Garamond" w:cs="Times New Roman"/>
          <w:sz w:val="24"/>
          <w:szCs w:val="24"/>
        </w:rPr>
        <w:t>, maturimit dhe monedhës, tipit të interesit, koncensionalitetit</w:t>
      </w:r>
      <w:r w:rsidR="00BA12C3" w:rsidRPr="00B31292">
        <w:rPr>
          <w:rFonts w:ascii="Garamond" w:hAnsi="Garamond" w:cs="Times New Roman"/>
          <w:sz w:val="24"/>
          <w:szCs w:val="24"/>
        </w:rPr>
        <w:t>,</w:t>
      </w:r>
      <w:r w:rsidR="00982755" w:rsidRPr="00B31292">
        <w:rPr>
          <w:rFonts w:ascii="Garamond" w:hAnsi="Garamond" w:cs="Times New Roman"/>
          <w:sz w:val="24"/>
          <w:szCs w:val="24"/>
        </w:rPr>
        <w:t xml:space="preserve"> si dhe borxhin e pushtetit lokal ndaj sektorit bankar (kredi). </w:t>
      </w:r>
      <w:r w:rsidRPr="00B31292">
        <w:rPr>
          <w:rFonts w:ascii="Garamond" w:hAnsi="Garamond" w:cs="Times New Roman"/>
          <w:sz w:val="24"/>
          <w:szCs w:val="24"/>
        </w:rPr>
        <w:t xml:space="preserve">Tregues </w:t>
      </w:r>
      <w:r w:rsidR="005D017E" w:rsidRPr="00B31292">
        <w:rPr>
          <w:rFonts w:ascii="Garamond" w:hAnsi="Garamond" w:cs="Times New Roman"/>
          <w:sz w:val="24"/>
          <w:szCs w:val="24"/>
        </w:rPr>
        <w:t xml:space="preserve">statistikorë financiare të qeverisë </w:t>
      </w:r>
      <w:r w:rsidRPr="00B31292">
        <w:rPr>
          <w:rFonts w:ascii="Garamond" w:hAnsi="Garamond" w:cs="Times New Roman"/>
          <w:sz w:val="24"/>
          <w:szCs w:val="24"/>
        </w:rPr>
        <w:t>sipas ESA</w:t>
      </w:r>
      <w:r w:rsidR="009C3923" w:rsidRPr="00B31292">
        <w:rPr>
          <w:rFonts w:ascii="Garamond" w:hAnsi="Garamond" w:cs="Times New Roman"/>
          <w:sz w:val="24"/>
          <w:szCs w:val="24"/>
        </w:rPr>
        <w:t>-</w:t>
      </w:r>
      <w:r w:rsidRPr="00B31292">
        <w:rPr>
          <w:rFonts w:ascii="Garamond" w:hAnsi="Garamond" w:cs="Times New Roman"/>
          <w:sz w:val="24"/>
          <w:szCs w:val="24"/>
        </w:rPr>
        <w:t xml:space="preserve">2010; </w:t>
      </w:r>
      <w:r w:rsidR="005D017E" w:rsidRPr="00B31292">
        <w:rPr>
          <w:rFonts w:ascii="Garamond" w:hAnsi="Garamond" w:cs="Times New Roman"/>
          <w:sz w:val="24"/>
          <w:szCs w:val="24"/>
        </w:rPr>
        <w:t xml:space="preserve">informacion </w:t>
      </w:r>
      <w:r w:rsidRPr="00B31292">
        <w:rPr>
          <w:rFonts w:ascii="Garamond" w:hAnsi="Garamond" w:cs="Times New Roman"/>
          <w:sz w:val="24"/>
          <w:szCs w:val="24"/>
        </w:rPr>
        <w:t xml:space="preserve">mbi treguesit e borxhit të qeverisë të tabelave të </w:t>
      </w:r>
      <w:r w:rsidR="005D017E" w:rsidRPr="00B31292">
        <w:rPr>
          <w:rFonts w:ascii="Garamond" w:hAnsi="Garamond" w:cs="Times New Roman"/>
          <w:sz w:val="24"/>
          <w:szCs w:val="24"/>
        </w:rPr>
        <w:t xml:space="preserve">procedurës së deficitit të tejkaluar </w:t>
      </w:r>
      <w:r w:rsidRPr="00B31292">
        <w:rPr>
          <w:rFonts w:ascii="Garamond" w:hAnsi="Garamond" w:cs="Times New Roman"/>
          <w:sz w:val="24"/>
          <w:szCs w:val="24"/>
        </w:rPr>
        <w:t>etj.</w:t>
      </w:r>
    </w:p>
    <w:p w14:paraId="5D7007FD" w14:textId="46E0C46F" w:rsidR="00ED61B0" w:rsidRPr="00B31292" w:rsidRDefault="00D72293" w:rsidP="003A4DBA">
      <w:pPr>
        <w:spacing w:after="0" w:line="240" w:lineRule="auto"/>
        <w:ind w:firstLine="284"/>
        <w:jc w:val="both"/>
        <w:rPr>
          <w:rFonts w:ascii="Garamond" w:eastAsia="Times New Roman" w:hAnsi="Garamond" w:cs="Times New Roman"/>
          <w:sz w:val="24"/>
          <w:szCs w:val="24"/>
          <w:lang w:eastAsia="ja-JP"/>
        </w:rPr>
      </w:pPr>
      <w:r w:rsidRPr="00B31292">
        <w:rPr>
          <w:rFonts w:ascii="Garamond" w:hAnsi="Garamond" w:cs="Times New Roman"/>
          <w:b/>
          <w:sz w:val="24"/>
          <w:szCs w:val="24"/>
        </w:rPr>
        <w:t xml:space="preserve">Përputhshmëria me </w:t>
      </w:r>
      <w:r w:rsidRPr="00B31292">
        <w:rPr>
          <w:rFonts w:ascii="Garamond" w:hAnsi="Garamond" w:cs="Times New Roman"/>
          <w:b/>
          <w:i/>
          <w:sz w:val="24"/>
          <w:szCs w:val="24"/>
        </w:rPr>
        <w:t>acquis</w:t>
      </w:r>
      <w:r w:rsidRPr="00B31292">
        <w:rPr>
          <w:rFonts w:ascii="Garamond" w:hAnsi="Garamond" w:cs="Times New Roman"/>
          <w:b/>
          <w:sz w:val="24"/>
          <w:szCs w:val="24"/>
        </w:rPr>
        <w:t xml:space="preserve">: </w:t>
      </w:r>
      <w:r w:rsidRPr="00B31292">
        <w:rPr>
          <w:rFonts w:ascii="Garamond" w:eastAsia="Times New Roman" w:hAnsi="Garamond" w:cs="Times New Roman"/>
          <w:sz w:val="24"/>
          <w:szCs w:val="24"/>
          <w:lang w:eastAsia="ja-JP"/>
        </w:rPr>
        <w:t xml:space="preserve">Mbështetur në </w:t>
      </w:r>
      <w:r w:rsidR="000158D4" w:rsidRPr="00B31292">
        <w:rPr>
          <w:rFonts w:ascii="Garamond" w:eastAsia="Times New Roman" w:hAnsi="Garamond" w:cs="Times New Roman"/>
          <w:sz w:val="24"/>
          <w:szCs w:val="24"/>
          <w:lang w:eastAsia="ja-JP"/>
        </w:rPr>
        <w:t>p</w:t>
      </w:r>
      <w:r w:rsidRPr="00B31292">
        <w:rPr>
          <w:rFonts w:ascii="Garamond" w:eastAsia="Times New Roman" w:hAnsi="Garamond" w:cs="Times New Roman"/>
          <w:sz w:val="24"/>
          <w:szCs w:val="24"/>
          <w:lang w:eastAsia="ja-JP"/>
        </w:rPr>
        <w:t xml:space="preserve">rogramin e monitorimit të përputhshmërisë, </w:t>
      </w:r>
      <w:r w:rsidR="009C0CE9" w:rsidRPr="00B31292">
        <w:rPr>
          <w:rFonts w:ascii="Garamond" w:eastAsia="Times New Roman" w:hAnsi="Garamond" w:cs="Times New Roman"/>
          <w:sz w:val="24"/>
          <w:szCs w:val="24"/>
          <w:lang w:eastAsia="ja-JP"/>
        </w:rPr>
        <w:t>Eurostat</w:t>
      </w:r>
      <w:r w:rsidR="001E4972" w:rsidRPr="00B31292">
        <w:rPr>
          <w:rFonts w:ascii="Garamond" w:eastAsia="Times New Roman" w:hAnsi="Garamond" w:cs="Times New Roman"/>
          <w:sz w:val="24"/>
          <w:szCs w:val="24"/>
          <w:lang w:eastAsia="ja-JP"/>
        </w:rPr>
        <w:t>-</w:t>
      </w:r>
      <w:r w:rsidRPr="00B31292">
        <w:rPr>
          <w:rFonts w:ascii="Garamond" w:eastAsia="Times New Roman" w:hAnsi="Garamond" w:cs="Times New Roman"/>
          <w:sz w:val="24"/>
          <w:szCs w:val="24"/>
          <w:lang w:eastAsia="ja-JP"/>
        </w:rPr>
        <w:t xml:space="preserve">i vlerëson </w:t>
      </w:r>
      <w:r w:rsidR="00130FF2" w:rsidRPr="00B31292">
        <w:rPr>
          <w:rFonts w:ascii="Garamond" w:eastAsia="Times New Roman" w:hAnsi="Garamond" w:cs="Times New Roman"/>
          <w:sz w:val="24"/>
          <w:szCs w:val="24"/>
          <w:lang w:eastAsia="ja-JP"/>
        </w:rPr>
        <w:t xml:space="preserve">mesatarisht të përputhshëm </w:t>
      </w:r>
      <w:r w:rsidRPr="00B31292">
        <w:rPr>
          <w:rFonts w:ascii="Garamond" w:eastAsia="Times New Roman" w:hAnsi="Garamond" w:cs="Times New Roman"/>
          <w:sz w:val="24"/>
          <w:szCs w:val="24"/>
          <w:lang w:eastAsia="ja-JP"/>
        </w:rPr>
        <w:t xml:space="preserve">nivelin e implementimit të ESA 2010 në </w:t>
      </w:r>
      <w:r w:rsidR="005D017E" w:rsidRPr="00B31292">
        <w:rPr>
          <w:rFonts w:ascii="Garamond" w:eastAsia="Times New Roman" w:hAnsi="Garamond" w:cs="Times New Roman"/>
          <w:sz w:val="24"/>
          <w:szCs w:val="24"/>
          <w:lang w:eastAsia="ja-JP"/>
        </w:rPr>
        <w:t>llogaritë financiare të qeve</w:t>
      </w:r>
      <w:r w:rsidRPr="00B31292">
        <w:rPr>
          <w:rFonts w:ascii="Garamond" w:eastAsia="Times New Roman" w:hAnsi="Garamond" w:cs="Times New Roman"/>
          <w:sz w:val="24"/>
          <w:szCs w:val="24"/>
          <w:lang w:eastAsia="ja-JP"/>
        </w:rPr>
        <w:t>risë</w:t>
      </w:r>
      <w:r w:rsidR="00130FF2" w:rsidRPr="00B31292">
        <w:rPr>
          <w:rFonts w:ascii="Garamond" w:eastAsia="Times New Roman" w:hAnsi="Garamond" w:cs="Times New Roman"/>
          <w:sz w:val="24"/>
          <w:szCs w:val="24"/>
          <w:lang w:eastAsia="ja-JP"/>
        </w:rPr>
        <w:t>.</w:t>
      </w:r>
      <w:r w:rsidRPr="00B31292">
        <w:rPr>
          <w:rFonts w:ascii="Garamond" w:eastAsia="Times New Roman" w:hAnsi="Garamond" w:cs="Times New Roman"/>
          <w:sz w:val="24"/>
          <w:szCs w:val="24"/>
          <w:lang w:eastAsia="ja-JP"/>
        </w:rPr>
        <w:t xml:space="preserve"> INSTAT</w:t>
      </w:r>
      <w:r w:rsidR="00BA12C3" w:rsidRPr="00B31292">
        <w:rPr>
          <w:rFonts w:ascii="Garamond" w:eastAsia="Times New Roman" w:hAnsi="Garamond" w:cs="Times New Roman"/>
          <w:sz w:val="24"/>
          <w:szCs w:val="24"/>
          <w:lang w:eastAsia="ja-JP"/>
        </w:rPr>
        <w:t>-i</w:t>
      </w:r>
      <w:r w:rsidRPr="00B31292">
        <w:rPr>
          <w:rFonts w:ascii="Garamond" w:eastAsia="Times New Roman" w:hAnsi="Garamond" w:cs="Times New Roman"/>
          <w:sz w:val="24"/>
          <w:szCs w:val="24"/>
          <w:lang w:eastAsia="ja-JP"/>
        </w:rPr>
        <w:t xml:space="preserve"> do të punojë në drejtim të rritjes së përputhshmërisë së kuadrit ligjor</w:t>
      </w:r>
      <w:r w:rsidR="00C80F62" w:rsidRPr="00B31292">
        <w:rPr>
          <w:rFonts w:ascii="Garamond" w:eastAsia="Times New Roman" w:hAnsi="Garamond" w:cs="Times New Roman"/>
          <w:sz w:val="24"/>
          <w:szCs w:val="24"/>
          <w:lang w:eastAsia="ja-JP"/>
        </w:rPr>
        <w:t xml:space="preserve"> </w:t>
      </w:r>
      <w:r w:rsidRPr="00B31292">
        <w:rPr>
          <w:rFonts w:ascii="Garamond" w:eastAsia="Times New Roman" w:hAnsi="Garamond" w:cs="Times New Roman"/>
          <w:sz w:val="24"/>
          <w:szCs w:val="24"/>
          <w:lang w:eastAsia="ja-JP"/>
        </w:rPr>
        <w:t>dhe të intensifikimit të bashkëpunimit ndërinstitucional</w:t>
      </w:r>
      <w:r w:rsidR="005D017E" w:rsidRPr="00B31292">
        <w:rPr>
          <w:rFonts w:ascii="Garamond" w:eastAsia="Times New Roman" w:hAnsi="Garamond" w:cs="Times New Roman"/>
          <w:sz w:val="24"/>
          <w:szCs w:val="24"/>
          <w:lang w:eastAsia="ja-JP"/>
        </w:rPr>
        <w:t>,</w:t>
      </w:r>
      <w:r w:rsidRPr="00B31292">
        <w:rPr>
          <w:rFonts w:ascii="Garamond" w:eastAsia="Times New Roman" w:hAnsi="Garamond" w:cs="Times New Roman"/>
          <w:sz w:val="24"/>
          <w:szCs w:val="24"/>
          <w:lang w:eastAsia="ja-JP"/>
        </w:rPr>
        <w:t xml:space="preserve"> me qëllim përpilimin e tabelave të </w:t>
      </w:r>
      <w:r w:rsidR="005D017E" w:rsidRPr="00B31292">
        <w:rPr>
          <w:rFonts w:ascii="Garamond" w:eastAsia="Times New Roman" w:hAnsi="Garamond" w:cs="Times New Roman"/>
          <w:sz w:val="24"/>
          <w:szCs w:val="24"/>
          <w:lang w:eastAsia="ja-JP"/>
        </w:rPr>
        <w:t xml:space="preserve">statistikave financiare të qeverisë </w:t>
      </w:r>
      <w:r w:rsidRPr="00B31292">
        <w:rPr>
          <w:rFonts w:ascii="Garamond" w:eastAsia="Times New Roman" w:hAnsi="Garamond" w:cs="Times New Roman"/>
          <w:sz w:val="24"/>
          <w:szCs w:val="24"/>
          <w:lang w:eastAsia="ja-JP"/>
        </w:rPr>
        <w:t xml:space="preserve">(GFS </w:t>
      </w:r>
      <w:r w:rsidR="009C3923" w:rsidRPr="00B31292">
        <w:rPr>
          <w:rFonts w:ascii="Garamond" w:eastAsia="Times New Roman" w:hAnsi="Garamond" w:cs="Times New Roman"/>
          <w:sz w:val="24"/>
          <w:szCs w:val="24"/>
          <w:lang w:eastAsia="ja-JP"/>
        </w:rPr>
        <w:t>(</w:t>
      </w:r>
      <w:r w:rsidRPr="00B31292">
        <w:rPr>
          <w:rFonts w:ascii="Garamond" w:eastAsia="Times New Roman" w:hAnsi="Garamond" w:cs="Times New Roman"/>
          <w:sz w:val="24"/>
          <w:szCs w:val="24"/>
          <w:lang w:eastAsia="ja-JP"/>
        </w:rPr>
        <w:t>angl.</w:t>
      </w:r>
      <w:r w:rsidR="009C3923" w:rsidRPr="00B31292">
        <w:rPr>
          <w:rFonts w:ascii="Garamond" w:eastAsia="Times New Roman" w:hAnsi="Garamond" w:cs="Times New Roman"/>
          <w:sz w:val="24"/>
          <w:szCs w:val="24"/>
          <w:lang w:eastAsia="ja-JP"/>
        </w:rPr>
        <w:t>)</w:t>
      </w:r>
      <w:r w:rsidRPr="00B31292">
        <w:rPr>
          <w:rFonts w:ascii="Garamond" w:eastAsia="Times New Roman" w:hAnsi="Garamond" w:cs="Times New Roman"/>
          <w:sz w:val="24"/>
          <w:szCs w:val="24"/>
          <w:lang w:eastAsia="ja-JP"/>
        </w:rPr>
        <w:t xml:space="preserve">) dhe tabelave të </w:t>
      </w:r>
      <w:r w:rsidR="005D017E" w:rsidRPr="00B31292">
        <w:rPr>
          <w:rFonts w:ascii="Garamond" w:eastAsia="Times New Roman" w:hAnsi="Garamond" w:cs="Times New Roman"/>
          <w:sz w:val="24"/>
          <w:szCs w:val="24"/>
          <w:lang w:eastAsia="ja-JP"/>
        </w:rPr>
        <w:t xml:space="preserve">procedurës së deficitit të tejkaluar </w:t>
      </w:r>
      <w:r w:rsidRPr="00B31292">
        <w:rPr>
          <w:rFonts w:ascii="Garamond" w:eastAsia="Times New Roman" w:hAnsi="Garamond" w:cs="Times New Roman"/>
          <w:sz w:val="24"/>
          <w:szCs w:val="24"/>
          <w:lang w:eastAsia="ja-JP"/>
        </w:rPr>
        <w:t xml:space="preserve">(EDP </w:t>
      </w:r>
      <w:r w:rsidR="009C3923" w:rsidRPr="00B31292">
        <w:rPr>
          <w:rFonts w:ascii="Garamond" w:eastAsia="Times New Roman" w:hAnsi="Garamond" w:cs="Times New Roman"/>
          <w:sz w:val="24"/>
          <w:szCs w:val="24"/>
          <w:lang w:eastAsia="ja-JP"/>
        </w:rPr>
        <w:t>(</w:t>
      </w:r>
      <w:r w:rsidRPr="00B31292">
        <w:rPr>
          <w:rFonts w:ascii="Garamond" w:eastAsia="Times New Roman" w:hAnsi="Garamond" w:cs="Times New Roman"/>
          <w:sz w:val="24"/>
          <w:szCs w:val="24"/>
          <w:lang w:eastAsia="ja-JP"/>
        </w:rPr>
        <w:t>angl.</w:t>
      </w:r>
      <w:r w:rsidR="009C3923" w:rsidRPr="00B31292">
        <w:rPr>
          <w:rFonts w:ascii="Garamond" w:eastAsia="Times New Roman" w:hAnsi="Garamond" w:cs="Times New Roman"/>
          <w:sz w:val="24"/>
          <w:szCs w:val="24"/>
          <w:lang w:eastAsia="ja-JP"/>
        </w:rPr>
        <w:t>)</w:t>
      </w:r>
      <w:r w:rsidRPr="00B31292">
        <w:rPr>
          <w:rFonts w:ascii="Garamond" w:eastAsia="Times New Roman" w:hAnsi="Garamond" w:cs="Times New Roman"/>
          <w:sz w:val="24"/>
          <w:szCs w:val="24"/>
          <w:lang w:eastAsia="ja-JP"/>
        </w:rPr>
        <w:t xml:space="preserve">) sipas standardeve </w:t>
      </w:r>
      <w:r w:rsidR="002D09C6" w:rsidRPr="00B31292">
        <w:rPr>
          <w:rFonts w:ascii="Garamond" w:eastAsia="Times New Roman" w:hAnsi="Garamond" w:cs="Times New Roman"/>
          <w:sz w:val="24"/>
          <w:szCs w:val="24"/>
          <w:lang w:eastAsia="ja-JP"/>
        </w:rPr>
        <w:t>e</w:t>
      </w:r>
      <w:r w:rsidRPr="00B31292">
        <w:rPr>
          <w:rFonts w:ascii="Garamond" w:eastAsia="Times New Roman" w:hAnsi="Garamond" w:cs="Times New Roman"/>
          <w:sz w:val="24"/>
          <w:szCs w:val="24"/>
          <w:lang w:eastAsia="ja-JP"/>
        </w:rPr>
        <w:t>vropiane.</w:t>
      </w:r>
      <w:r w:rsidR="008F7C54" w:rsidRPr="00B31292">
        <w:rPr>
          <w:rFonts w:ascii="Garamond" w:eastAsia="Times New Roman" w:hAnsi="Garamond" w:cs="Times New Roman"/>
          <w:sz w:val="24"/>
          <w:szCs w:val="24"/>
          <w:lang w:eastAsia="ja-JP"/>
        </w:rPr>
        <w:t xml:space="preserve"> </w:t>
      </w:r>
      <w:r w:rsidRPr="00B31292">
        <w:rPr>
          <w:rFonts w:ascii="Garamond" w:eastAsia="Times New Roman" w:hAnsi="Garamond" w:cs="Times New Roman"/>
          <w:sz w:val="24"/>
          <w:szCs w:val="24"/>
          <w:lang w:eastAsia="ja-JP"/>
        </w:rPr>
        <w:t>Statistikat monetare hartohen në përputhje të plotë me standardet ndërkombëtare bazuar në manualin e Statistikave Monetare dhe Financiare, FMN 2016 dhe manualin e Statistikave të Institucioneve Monetare Financiare, ECB, 2019.</w:t>
      </w:r>
    </w:p>
    <w:p w14:paraId="2DEF66A7" w14:textId="2DB4A5AD" w:rsidR="0039014C" w:rsidRPr="00B31292" w:rsidRDefault="0039014C" w:rsidP="003A4DBA">
      <w:pPr>
        <w:keepNext/>
        <w:keepLines/>
        <w:spacing w:after="0" w:line="240" w:lineRule="auto"/>
        <w:ind w:firstLine="284"/>
        <w:outlineLvl w:val="4"/>
        <w:rPr>
          <w:rFonts w:ascii="Garamond" w:eastAsiaTheme="majorEastAsia" w:hAnsi="Garamond" w:cstheme="majorBidi"/>
          <w:b/>
          <w:iCs/>
          <w:sz w:val="24"/>
          <w:szCs w:val="24"/>
        </w:rPr>
      </w:pPr>
      <w:r w:rsidRPr="00B31292">
        <w:rPr>
          <w:rFonts w:ascii="Garamond" w:eastAsiaTheme="majorEastAsia" w:hAnsi="Garamond" w:cstheme="majorBidi"/>
          <w:b/>
          <w:iCs/>
          <w:sz w:val="24"/>
          <w:szCs w:val="24"/>
        </w:rPr>
        <w:t xml:space="preserve">Tema 2.3 </w:t>
      </w:r>
      <w:r w:rsidR="00BA12C3" w:rsidRPr="00B31292">
        <w:rPr>
          <w:rFonts w:ascii="Garamond" w:eastAsiaTheme="majorEastAsia" w:hAnsi="Garamond" w:cstheme="majorBidi"/>
          <w:b/>
          <w:iCs/>
          <w:sz w:val="24"/>
          <w:szCs w:val="24"/>
        </w:rPr>
        <w:t>“</w:t>
      </w:r>
      <w:r w:rsidRPr="00B31292">
        <w:rPr>
          <w:rFonts w:ascii="Garamond" w:eastAsiaTheme="majorEastAsia" w:hAnsi="Garamond" w:cstheme="majorBidi"/>
          <w:b/>
          <w:iCs/>
          <w:sz w:val="24"/>
          <w:szCs w:val="24"/>
        </w:rPr>
        <w:t xml:space="preserve">Statistikat e </w:t>
      </w:r>
      <w:r w:rsidR="005D017E" w:rsidRPr="00B31292">
        <w:rPr>
          <w:rFonts w:ascii="Garamond" w:eastAsiaTheme="majorEastAsia" w:hAnsi="Garamond" w:cstheme="majorBidi"/>
          <w:b/>
          <w:iCs/>
          <w:sz w:val="24"/>
          <w:szCs w:val="24"/>
        </w:rPr>
        <w:t>b</w:t>
      </w:r>
      <w:r w:rsidRPr="00B31292">
        <w:rPr>
          <w:rFonts w:ascii="Garamond" w:eastAsiaTheme="majorEastAsia" w:hAnsi="Garamond" w:cstheme="majorBidi"/>
          <w:b/>
          <w:iCs/>
          <w:sz w:val="24"/>
          <w:szCs w:val="24"/>
        </w:rPr>
        <w:t>iznesit</w:t>
      </w:r>
      <w:r w:rsidR="00BA12C3" w:rsidRPr="00B31292">
        <w:rPr>
          <w:rFonts w:ascii="Garamond" w:eastAsiaTheme="majorEastAsia" w:hAnsi="Garamond" w:cstheme="majorBidi"/>
          <w:b/>
          <w:iCs/>
          <w:sz w:val="24"/>
          <w:szCs w:val="24"/>
        </w:rPr>
        <w:t>”</w:t>
      </w:r>
    </w:p>
    <w:p w14:paraId="5441E42A" w14:textId="10F4FE67" w:rsidR="00E94972" w:rsidRPr="00B31292" w:rsidRDefault="0039014C" w:rsidP="003A4DBA">
      <w:pPr>
        <w:spacing w:after="0" w:line="240" w:lineRule="auto"/>
        <w:ind w:firstLine="284"/>
        <w:jc w:val="both"/>
        <w:rPr>
          <w:rFonts w:ascii="Garamond" w:hAnsi="Garamond" w:cs="Times New Roman"/>
          <w:sz w:val="24"/>
          <w:szCs w:val="24"/>
        </w:rPr>
      </w:pPr>
      <w:bookmarkStart w:id="33" w:name="_Hlk168042020"/>
      <w:r w:rsidRPr="00B31292">
        <w:rPr>
          <w:rFonts w:ascii="Garamond" w:hAnsi="Garamond" w:cs="Times New Roman"/>
          <w:sz w:val="24"/>
          <w:szCs w:val="24"/>
        </w:rPr>
        <w:t xml:space="preserve">Statistikat e </w:t>
      </w:r>
      <w:r w:rsidR="005D017E" w:rsidRPr="00B31292">
        <w:rPr>
          <w:rFonts w:ascii="Garamond" w:hAnsi="Garamond" w:cs="Times New Roman"/>
          <w:sz w:val="24"/>
          <w:szCs w:val="24"/>
        </w:rPr>
        <w:t>b</w:t>
      </w:r>
      <w:r w:rsidRPr="00B31292">
        <w:rPr>
          <w:rFonts w:ascii="Garamond" w:hAnsi="Garamond" w:cs="Times New Roman"/>
          <w:sz w:val="24"/>
          <w:szCs w:val="24"/>
        </w:rPr>
        <w:t>iznesit prodhohen nga INSTAT</w:t>
      </w:r>
      <w:r w:rsidR="00BA12C3" w:rsidRPr="00B31292">
        <w:rPr>
          <w:rFonts w:ascii="Garamond" w:hAnsi="Garamond" w:cs="Times New Roman"/>
          <w:sz w:val="24"/>
          <w:szCs w:val="24"/>
        </w:rPr>
        <w:t>-i</w:t>
      </w:r>
      <w:r w:rsidRPr="00B31292">
        <w:rPr>
          <w:rFonts w:ascii="Garamond" w:hAnsi="Garamond" w:cs="Times New Roman"/>
          <w:sz w:val="24"/>
          <w:szCs w:val="24"/>
        </w:rPr>
        <w:t xml:space="preserve"> dhe ndahen në nëntemat si vijon: </w:t>
      </w:r>
      <w:bookmarkStart w:id="34" w:name="_Hlk167892093"/>
    </w:p>
    <w:p w14:paraId="7EDB14BE" w14:textId="0865DC66" w:rsidR="0039014C" w:rsidRPr="00B31292" w:rsidRDefault="0039014C" w:rsidP="003A4DBA">
      <w:pPr>
        <w:spacing w:after="0" w:line="240" w:lineRule="auto"/>
        <w:ind w:firstLine="284"/>
        <w:jc w:val="both"/>
        <w:rPr>
          <w:rFonts w:ascii="Garamond" w:hAnsi="Garamond" w:cs="Times New Roman"/>
          <w:sz w:val="24"/>
          <w:szCs w:val="24"/>
        </w:rPr>
      </w:pPr>
      <w:r w:rsidRPr="00B31292">
        <w:rPr>
          <w:rFonts w:ascii="Garamond" w:hAnsi="Garamond" w:cs="Times New Roman"/>
          <w:i/>
          <w:sz w:val="24"/>
          <w:szCs w:val="24"/>
        </w:rPr>
        <w:t xml:space="preserve">2.3.1 </w:t>
      </w:r>
      <w:r w:rsidR="00BA12C3" w:rsidRPr="00B31292">
        <w:rPr>
          <w:rFonts w:ascii="Garamond" w:hAnsi="Garamond" w:cs="Times New Roman"/>
          <w:i/>
          <w:sz w:val="24"/>
          <w:szCs w:val="24"/>
        </w:rPr>
        <w:t>“</w:t>
      </w:r>
      <w:r w:rsidRPr="00B31292">
        <w:rPr>
          <w:rFonts w:ascii="Garamond" w:hAnsi="Garamond" w:cs="Times New Roman"/>
          <w:i/>
          <w:sz w:val="24"/>
          <w:szCs w:val="24"/>
        </w:rPr>
        <w:t xml:space="preserve">Statistikat </w:t>
      </w:r>
      <w:r w:rsidR="005D017E" w:rsidRPr="00B31292">
        <w:rPr>
          <w:rFonts w:ascii="Garamond" w:hAnsi="Garamond" w:cs="Times New Roman"/>
          <w:i/>
          <w:sz w:val="24"/>
          <w:szCs w:val="24"/>
        </w:rPr>
        <w:t>strukturore të ndërmarrjeve</w:t>
      </w:r>
      <w:r w:rsidR="00BA12C3" w:rsidRPr="00B31292">
        <w:rPr>
          <w:rFonts w:ascii="Garamond" w:hAnsi="Garamond" w:cs="Times New Roman"/>
          <w:i/>
          <w:sz w:val="24"/>
          <w:szCs w:val="24"/>
        </w:rPr>
        <w:t>”</w:t>
      </w:r>
      <w:r w:rsidR="00DF10E9" w:rsidRPr="00B31292">
        <w:rPr>
          <w:rFonts w:ascii="Garamond" w:hAnsi="Garamond" w:cs="Times New Roman"/>
          <w:i/>
          <w:sz w:val="24"/>
          <w:szCs w:val="24"/>
        </w:rPr>
        <w:t>,</w:t>
      </w:r>
      <w:r w:rsidRPr="00B31292">
        <w:rPr>
          <w:rFonts w:ascii="Garamond" w:hAnsi="Garamond" w:cs="Times New Roman"/>
          <w:i/>
          <w:sz w:val="24"/>
          <w:szCs w:val="24"/>
        </w:rPr>
        <w:t xml:space="preserve"> </w:t>
      </w:r>
      <w:r w:rsidRPr="00B31292">
        <w:rPr>
          <w:rFonts w:ascii="Garamond" w:hAnsi="Garamond" w:cs="Times New Roman"/>
          <w:sz w:val="24"/>
          <w:szCs w:val="24"/>
        </w:rPr>
        <w:t>INSTAT</w:t>
      </w:r>
      <w:r w:rsidR="00BA12C3" w:rsidRPr="00B31292">
        <w:rPr>
          <w:rFonts w:ascii="Garamond" w:hAnsi="Garamond" w:cs="Times New Roman"/>
          <w:sz w:val="24"/>
          <w:szCs w:val="24"/>
        </w:rPr>
        <w:t>-i</w:t>
      </w:r>
      <w:r w:rsidRPr="00B31292">
        <w:rPr>
          <w:rFonts w:ascii="Garamond" w:hAnsi="Garamond" w:cs="Times New Roman"/>
          <w:sz w:val="24"/>
          <w:szCs w:val="24"/>
        </w:rPr>
        <w:t xml:space="preserve"> kryen vrojtimin vjetor pranë ndërmarrjeve ekonomike, për prodhimin e statistikave strukturore në nivel kombëtar dhe rajonal për treguesit kryesorë. Për të siguruar vazhdimësinë dhe përmirësimin e cilësisë së treguesve statistikorë të ndërmarrjeve, INSTAT</w:t>
      </w:r>
      <w:r w:rsidR="00BA12C3" w:rsidRPr="00B31292">
        <w:rPr>
          <w:rFonts w:ascii="Garamond" w:hAnsi="Garamond" w:cs="Times New Roman"/>
          <w:sz w:val="24"/>
          <w:szCs w:val="24"/>
        </w:rPr>
        <w:t>-i</w:t>
      </w:r>
      <w:r w:rsidRPr="00B31292">
        <w:rPr>
          <w:rFonts w:ascii="Garamond" w:hAnsi="Garamond" w:cs="Times New Roman"/>
          <w:sz w:val="24"/>
          <w:szCs w:val="24"/>
        </w:rPr>
        <w:t xml:space="preserve"> do të shfrytëzojë gjithnjë e më shumë burimet administrative për kontrollin, llogaritjen dhe publikimin e të dhënave. Gjatë vitit 2025, n</w:t>
      </w:r>
      <w:r w:rsidRPr="00B31292">
        <w:rPr>
          <w:rFonts w:ascii="Garamond" w:hAnsi="Garamond"/>
          <w:sz w:val="24"/>
          <w:szCs w:val="24"/>
        </w:rPr>
        <w:t xml:space="preserve">ë mënyrë që </w:t>
      </w:r>
      <w:r w:rsidR="005D017E" w:rsidRPr="00B31292">
        <w:rPr>
          <w:rFonts w:ascii="Garamond" w:hAnsi="Garamond" w:cs="Times New Roman"/>
          <w:sz w:val="24"/>
          <w:szCs w:val="24"/>
        </w:rPr>
        <w:t>statistikat strukturore të ndërmarrjeve të përafrohen</w:t>
      </w:r>
      <w:r w:rsidR="005D017E" w:rsidRPr="00B31292">
        <w:rPr>
          <w:rFonts w:ascii="Garamond" w:hAnsi="Garamond"/>
          <w:sz w:val="24"/>
          <w:szCs w:val="24"/>
        </w:rPr>
        <w:t xml:space="preserve"> më shumë me rregulloren evr</w:t>
      </w:r>
      <w:r w:rsidRPr="00B31292">
        <w:rPr>
          <w:rFonts w:ascii="Garamond" w:hAnsi="Garamond"/>
          <w:sz w:val="24"/>
          <w:szCs w:val="24"/>
        </w:rPr>
        <w:t>opiane t</w:t>
      </w:r>
      <w:r w:rsidRPr="00B31292">
        <w:rPr>
          <w:rFonts w:ascii="Garamond" w:hAnsi="Garamond" w:cs="Times New Roman"/>
          <w:sz w:val="24"/>
          <w:szCs w:val="24"/>
        </w:rPr>
        <w:t xml:space="preserve">ë </w:t>
      </w:r>
      <w:r w:rsidR="005D017E" w:rsidRPr="00B31292">
        <w:rPr>
          <w:rFonts w:ascii="Garamond" w:hAnsi="Garamond"/>
          <w:sz w:val="24"/>
          <w:szCs w:val="24"/>
        </w:rPr>
        <w:t xml:space="preserve">statistikave </w:t>
      </w:r>
      <w:r w:rsidRPr="00B31292">
        <w:rPr>
          <w:rFonts w:ascii="Garamond" w:hAnsi="Garamond"/>
          <w:sz w:val="24"/>
          <w:szCs w:val="24"/>
        </w:rPr>
        <w:t xml:space="preserve">të </w:t>
      </w:r>
      <w:r w:rsidR="005D017E" w:rsidRPr="00B31292">
        <w:rPr>
          <w:rFonts w:ascii="Garamond" w:hAnsi="Garamond"/>
          <w:sz w:val="24"/>
          <w:szCs w:val="24"/>
        </w:rPr>
        <w:lastRenderedPageBreak/>
        <w:t>biznesit</w:t>
      </w:r>
      <w:r w:rsidRPr="00B31292">
        <w:rPr>
          <w:rFonts w:ascii="Garamond" w:hAnsi="Garamond"/>
          <w:sz w:val="24"/>
          <w:szCs w:val="24"/>
        </w:rPr>
        <w:t>, fokus do të jetë rritja e mbulimit t</w:t>
      </w:r>
      <w:r w:rsidRPr="00B31292">
        <w:rPr>
          <w:rFonts w:ascii="Garamond" w:hAnsi="Garamond" w:cs="Times New Roman"/>
          <w:sz w:val="24"/>
          <w:szCs w:val="24"/>
        </w:rPr>
        <w:t xml:space="preserve">ë sa më shumë </w:t>
      </w:r>
      <w:r w:rsidRPr="00B31292">
        <w:rPr>
          <w:rFonts w:ascii="Garamond" w:hAnsi="Garamond"/>
          <w:sz w:val="24"/>
          <w:szCs w:val="24"/>
        </w:rPr>
        <w:t>aktiviteteve ekonomike me synimin për të kaluar nga një nivel 2-shifror në një nivel 4-shifro</w:t>
      </w:r>
      <w:r w:rsidR="00DD2EF8" w:rsidRPr="00B31292">
        <w:rPr>
          <w:rFonts w:ascii="Garamond" w:hAnsi="Garamond"/>
          <w:sz w:val="24"/>
          <w:szCs w:val="24"/>
        </w:rPr>
        <w:t xml:space="preserve">r për zgjedhjen e kampionit të </w:t>
      </w:r>
      <w:r w:rsidR="005D017E" w:rsidRPr="00B31292">
        <w:rPr>
          <w:rFonts w:ascii="Garamond" w:hAnsi="Garamond"/>
          <w:sz w:val="24"/>
          <w:szCs w:val="24"/>
        </w:rPr>
        <w:t>vrojtimit strukturor të ndërmarrje</w:t>
      </w:r>
      <w:r w:rsidR="00E72AA2" w:rsidRPr="00B31292">
        <w:rPr>
          <w:rFonts w:ascii="Garamond" w:hAnsi="Garamond"/>
          <w:sz w:val="24"/>
          <w:szCs w:val="24"/>
        </w:rPr>
        <w:t>ve</w:t>
      </w:r>
      <w:r w:rsidRPr="00B31292">
        <w:rPr>
          <w:rFonts w:ascii="Garamond" w:hAnsi="Garamond"/>
          <w:sz w:val="24"/>
          <w:szCs w:val="24"/>
        </w:rPr>
        <w:t>. Gjithashtu</w:t>
      </w:r>
      <w:r w:rsidR="005D017E" w:rsidRPr="00B31292">
        <w:rPr>
          <w:rFonts w:ascii="Garamond" w:hAnsi="Garamond"/>
          <w:sz w:val="24"/>
          <w:szCs w:val="24"/>
        </w:rPr>
        <w:t>,</w:t>
      </w:r>
      <w:r w:rsidRPr="00B31292">
        <w:rPr>
          <w:rFonts w:ascii="Garamond" w:hAnsi="Garamond"/>
          <w:sz w:val="24"/>
          <w:szCs w:val="24"/>
        </w:rPr>
        <w:t xml:space="preserve"> do të analizohen burimet e mundshme administrative në dispozicion</w:t>
      </w:r>
      <w:r w:rsidR="00AE4AFD" w:rsidRPr="00B31292">
        <w:rPr>
          <w:rFonts w:ascii="Garamond" w:hAnsi="Garamond"/>
          <w:sz w:val="24"/>
          <w:szCs w:val="24"/>
        </w:rPr>
        <w:t>,</w:t>
      </w:r>
      <w:r w:rsidRPr="00B31292">
        <w:rPr>
          <w:rFonts w:ascii="Garamond" w:hAnsi="Garamond"/>
          <w:sz w:val="24"/>
          <w:szCs w:val="24"/>
        </w:rPr>
        <w:t xml:space="preserve"> me qëlli</w:t>
      </w:r>
      <w:r w:rsidR="00AE4AFD" w:rsidRPr="00B31292">
        <w:rPr>
          <w:rFonts w:ascii="Garamond" w:hAnsi="Garamond"/>
          <w:sz w:val="24"/>
          <w:szCs w:val="24"/>
        </w:rPr>
        <w:t xml:space="preserve">m zgjerimin e mbulimit të ASN-së </w:t>
      </w:r>
      <w:r w:rsidRPr="00B31292">
        <w:rPr>
          <w:rFonts w:ascii="Garamond" w:hAnsi="Garamond"/>
          <w:sz w:val="24"/>
          <w:szCs w:val="24"/>
        </w:rPr>
        <w:t>për s</w:t>
      </w:r>
      <w:r w:rsidR="00AE4AFD" w:rsidRPr="00B31292">
        <w:rPr>
          <w:rFonts w:ascii="Garamond" w:hAnsi="Garamond"/>
          <w:sz w:val="24"/>
          <w:szCs w:val="24"/>
        </w:rPr>
        <w:t xml:space="preserve">a i përket aktivitetit ekonomik, </w:t>
      </w:r>
      <w:r w:rsidRPr="00B31292">
        <w:rPr>
          <w:rFonts w:ascii="Garamond" w:hAnsi="Garamond"/>
          <w:sz w:val="24"/>
          <w:szCs w:val="24"/>
        </w:rPr>
        <w:t>duke përfshirë ndërmarrjet financiare.</w:t>
      </w:r>
      <w:r w:rsidRPr="00B31292">
        <w:rPr>
          <w:rFonts w:ascii="Garamond" w:hAnsi="Garamond" w:cs="Times New Roman"/>
          <w:sz w:val="24"/>
          <w:szCs w:val="24"/>
        </w:rPr>
        <w:t xml:space="preserve"> Gjat</w:t>
      </w:r>
      <w:r w:rsidRPr="00B31292">
        <w:rPr>
          <w:rFonts w:ascii="Garamond" w:hAnsi="Garamond"/>
          <w:sz w:val="24"/>
          <w:szCs w:val="24"/>
        </w:rPr>
        <w:t>ë</w:t>
      </w:r>
      <w:r w:rsidRPr="00B31292">
        <w:rPr>
          <w:rFonts w:ascii="Garamond" w:hAnsi="Garamond" w:cs="Times New Roman"/>
          <w:sz w:val="24"/>
          <w:szCs w:val="24"/>
        </w:rPr>
        <w:t xml:space="preserve"> 2025, puna do të vijojë me analizën e statistikave rajonale dhe vlerësimin e situatës aktuale për prodhimin e statistikave rajonale të biznesit në nivel të disagreguar.</w:t>
      </w:r>
    </w:p>
    <w:p w14:paraId="35B7B609" w14:textId="2D87BD35" w:rsidR="0039014C" w:rsidRPr="00B31292" w:rsidRDefault="00231942" w:rsidP="003A4DBA">
      <w:pPr>
        <w:spacing w:after="0" w:line="240" w:lineRule="auto"/>
        <w:ind w:firstLine="284"/>
        <w:jc w:val="both"/>
        <w:rPr>
          <w:rFonts w:ascii="Garamond" w:hAnsi="Garamond"/>
          <w:sz w:val="24"/>
          <w:szCs w:val="24"/>
        </w:rPr>
      </w:pPr>
      <w:r w:rsidRPr="00B31292">
        <w:rPr>
          <w:rFonts w:ascii="Garamond" w:hAnsi="Garamond"/>
          <w:i/>
          <w:sz w:val="24"/>
          <w:szCs w:val="24"/>
        </w:rPr>
        <w:t>2.3.2</w:t>
      </w:r>
      <w:r w:rsidR="0039014C" w:rsidRPr="00B31292">
        <w:rPr>
          <w:rFonts w:ascii="Garamond" w:hAnsi="Garamond"/>
          <w:i/>
          <w:sz w:val="24"/>
          <w:szCs w:val="24"/>
        </w:rPr>
        <w:t xml:space="preserve"> </w:t>
      </w:r>
      <w:r w:rsidR="00BA12C3" w:rsidRPr="00B31292">
        <w:rPr>
          <w:rFonts w:ascii="Garamond" w:hAnsi="Garamond"/>
          <w:i/>
          <w:sz w:val="24"/>
          <w:szCs w:val="24"/>
        </w:rPr>
        <w:t>“</w:t>
      </w:r>
      <w:r w:rsidR="0039014C" w:rsidRPr="00B31292">
        <w:rPr>
          <w:rFonts w:ascii="Garamond" w:hAnsi="Garamond" w:cs="Times New Roman"/>
          <w:i/>
          <w:sz w:val="24"/>
          <w:szCs w:val="24"/>
        </w:rPr>
        <w:t>Statistikat mbi produktet industriale të ndërmarrjeve (PRODCOM)</w:t>
      </w:r>
      <w:r w:rsidR="00BA12C3" w:rsidRPr="00B31292">
        <w:rPr>
          <w:rFonts w:ascii="Garamond" w:hAnsi="Garamond" w:cs="Times New Roman"/>
          <w:sz w:val="24"/>
          <w:szCs w:val="24"/>
        </w:rPr>
        <w:t>”</w:t>
      </w:r>
      <w:r w:rsidR="0039014C" w:rsidRPr="00B31292">
        <w:rPr>
          <w:rFonts w:ascii="Garamond" w:hAnsi="Garamond" w:cs="Times New Roman"/>
          <w:sz w:val="24"/>
          <w:szCs w:val="24"/>
        </w:rPr>
        <w:t xml:space="preserve">, </w:t>
      </w:r>
      <w:r w:rsidR="00DF10E9" w:rsidRPr="00B31292">
        <w:rPr>
          <w:rFonts w:ascii="Garamond" w:hAnsi="Garamond" w:cs="Times New Roman"/>
          <w:sz w:val="24"/>
          <w:szCs w:val="24"/>
        </w:rPr>
        <w:t xml:space="preserve">këto </w:t>
      </w:r>
      <w:r w:rsidR="0039014C" w:rsidRPr="00B31292">
        <w:rPr>
          <w:rFonts w:ascii="Garamond" w:hAnsi="Garamond" w:cs="Times New Roman"/>
          <w:sz w:val="24"/>
          <w:szCs w:val="24"/>
        </w:rPr>
        <w:t xml:space="preserve">statistika të cilat </w:t>
      </w:r>
      <w:r w:rsidR="00DF10E9" w:rsidRPr="00B31292">
        <w:rPr>
          <w:rFonts w:ascii="Garamond" w:hAnsi="Garamond" w:cs="Times New Roman"/>
          <w:sz w:val="24"/>
          <w:szCs w:val="24"/>
        </w:rPr>
        <w:t>prodhohen nga INSTAT</w:t>
      </w:r>
      <w:r w:rsidR="005D017E" w:rsidRPr="00B31292">
        <w:rPr>
          <w:rFonts w:ascii="Garamond" w:hAnsi="Garamond" w:cs="Times New Roman"/>
          <w:sz w:val="24"/>
          <w:szCs w:val="24"/>
        </w:rPr>
        <w:t>-i</w:t>
      </w:r>
      <w:r w:rsidR="00DF10E9" w:rsidRPr="00B31292">
        <w:rPr>
          <w:rFonts w:ascii="Garamond" w:hAnsi="Garamond" w:cs="Times New Roman"/>
          <w:sz w:val="24"/>
          <w:szCs w:val="24"/>
        </w:rPr>
        <w:t xml:space="preserve"> </w:t>
      </w:r>
      <w:r w:rsidR="0039014C" w:rsidRPr="00B31292">
        <w:rPr>
          <w:rFonts w:ascii="Garamond" w:hAnsi="Garamond" w:cs="Times New Roman"/>
          <w:sz w:val="24"/>
          <w:szCs w:val="24"/>
        </w:rPr>
        <w:t xml:space="preserve">janë rezultat i të dhënave nga vrojtimi vjetor që kryhet për listën e produkteve industriale. Duke filluar nga viti 2023, në </w:t>
      </w:r>
      <w:r w:rsidR="00AE4AFD" w:rsidRPr="00B31292">
        <w:rPr>
          <w:rFonts w:ascii="Garamond" w:hAnsi="Garamond" w:cs="Times New Roman"/>
          <w:sz w:val="24"/>
          <w:szCs w:val="24"/>
        </w:rPr>
        <w:t xml:space="preserve">vrojtimin </w:t>
      </w:r>
      <w:r w:rsidR="0039014C" w:rsidRPr="00B31292">
        <w:rPr>
          <w:rFonts w:ascii="Garamond" w:hAnsi="Garamond" w:cs="Times New Roman"/>
          <w:sz w:val="24"/>
          <w:szCs w:val="24"/>
        </w:rPr>
        <w:t>PRODCOM janë bërë disa përmirësime në metodologjinë e mbledhjes së të dhënave. Ky vrojtim realizohet me metodën CAPI dhe me një kampion të zgjeruar me përfaqësim në nivel produkti</w:t>
      </w:r>
      <w:r w:rsidR="00EC7498" w:rsidRPr="00B31292">
        <w:rPr>
          <w:rFonts w:ascii="Garamond" w:hAnsi="Garamond" w:cs="Times New Roman"/>
          <w:sz w:val="24"/>
          <w:szCs w:val="24"/>
        </w:rPr>
        <w:t>,</w:t>
      </w:r>
      <w:r w:rsidR="0039014C" w:rsidRPr="00B31292">
        <w:rPr>
          <w:rFonts w:ascii="Garamond" w:hAnsi="Garamond" w:cs="Times New Roman"/>
          <w:sz w:val="24"/>
          <w:szCs w:val="24"/>
        </w:rPr>
        <w:t xml:space="preserve"> duke përdorur versionin më t</w:t>
      </w:r>
      <w:r w:rsidR="0039014C" w:rsidRPr="00B31292">
        <w:rPr>
          <w:rFonts w:ascii="Garamond" w:hAnsi="Garamond"/>
          <w:sz w:val="24"/>
          <w:szCs w:val="24"/>
        </w:rPr>
        <w:t>ë</w:t>
      </w:r>
      <w:r w:rsidR="0039014C" w:rsidRPr="00B31292">
        <w:rPr>
          <w:rFonts w:ascii="Garamond" w:hAnsi="Garamond" w:cs="Times New Roman"/>
          <w:sz w:val="24"/>
          <w:szCs w:val="24"/>
        </w:rPr>
        <w:t xml:space="preserve"> fundit t</w:t>
      </w:r>
      <w:r w:rsidR="0039014C" w:rsidRPr="00B31292">
        <w:rPr>
          <w:rFonts w:ascii="Garamond" w:hAnsi="Garamond"/>
          <w:sz w:val="24"/>
          <w:szCs w:val="24"/>
        </w:rPr>
        <w:t>ë</w:t>
      </w:r>
      <w:r w:rsidR="0039014C" w:rsidRPr="00B31292">
        <w:rPr>
          <w:rFonts w:ascii="Garamond" w:hAnsi="Garamond" w:cs="Times New Roman"/>
          <w:sz w:val="24"/>
          <w:szCs w:val="24"/>
        </w:rPr>
        <w:t xml:space="preserve"> </w:t>
      </w:r>
      <w:r w:rsidR="005D017E" w:rsidRPr="00B31292">
        <w:rPr>
          <w:rFonts w:ascii="Garamond" w:hAnsi="Garamond" w:cs="Times New Roman"/>
          <w:sz w:val="24"/>
          <w:szCs w:val="24"/>
        </w:rPr>
        <w:t xml:space="preserve">listës së produkteve industriale </w:t>
      </w:r>
      <w:r w:rsidR="0039014C" w:rsidRPr="00B31292">
        <w:rPr>
          <w:rFonts w:ascii="Garamond" w:hAnsi="Garamond" w:cs="Times New Roman"/>
          <w:sz w:val="24"/>
          <w:szCs w:val="24"/>
        </w:rPr>
        <w:t>t</w:t>
      </w:r>
      <w:r w:rsidR="0039014C" w:rsidRPr="00B31292">
        <w:rPr>
          <w:rFonts w:ascii="Garamond" w:hAnsi="Garamond"/>
          <w:sz w:val="24"/>
          <w:szCs w:val="24"/>
        </w:rPr>
        <w:t xml:space="preserve">ë miratuar nga </w:t>
      </w:r>
      <w:r w:rsidR="009C0CE9" w:rsidRPr="00B31292">
        <w:rPr>
          <w:rFonts w:ascii="Garamond" w:hAnsi="Garamond"/>
          <w:sz w:val="24"/>
          <w:szCs w:val="24"/>
        </w:rPr>
        <w:t>Eurostat</w:t>
      </w:r>
      <w:r w:rsidR="0039014C" w:rsidRPr="00B31292">
        <w:rPr>
          <w:rFonts w:ascii="Garamond" w:hAnsi="Garamond"/>
          <w:sz w:val="24"/>
          <w:szCs w:val="24"/>
        </w:rPr>
        <w:t>.</w:t>
      </w:r>
      <w:r w:rsidR="0039014C" w:rsidRPr="00B31292">
        <w:rPr>
          <w:rFonts w:ascii="Garamond" w:hAnsi="Garamond" w:cs="Times New Roman"/>
          <w:sz w:val="24"/>
          <w:szCs w:val="24"/>
        </w:rPr>
        <w:t xml:space="preserve"> Duke filluar nga viti 2023 është realizuar për herë të parë publikimi dhe transmetimi i të dhënave të PRODCOM</w:t>
      </w:r>
      <w:r w:rsidR="00BA12C3" w:rsidRPr="00B31292">
        <w:rPr>
          <w:rFonts w:ascii="Garamond" w:hAnsi="Garamond" w:cs="Times New Roman"/>
          <w:sz w:val="24"/>
          <w:szCs w:val="24"/>
        </w:rPr>
        <w:t>-it</w:t>
      </w:r>
      <w:r w:rsidR="0039014C" w:rsidRPr="00B31292">
        <w:rPr>
          <w:rFonts w:ascii="Garamond" w:hAnsi="Garamond" w:cs="Times New Roman"/>
          <w:sz w:val="24"/>
          <w:szCs w:val="24"/>
        </w:rPr>
        <w:t xml:space="preserve"> në </w:t>
      </w:r>
      <w:r w:rsidR="009C0CE9" w:rsidRPr="00B31292">
        <w:rPr>
          <w:rFonts w:ascii="Garamond" w:hAnsi="Garamond"/>
          <w:sz w:val="24"/>
          <w:szCs w:val="24"/>
        </w:rPr>
        <w:t>Eurostat</w:t>
      </w:r>
      <w:r w:rsidR="0039014C" w:rsidRPr="00B31292">
        <w:rPr>
          <w:rFonts w:ascii="Garamond" w:hAnsi="Garamond" w:cs="Times New Roman"/>
          <w:sz w:val="24"/>
          <w:szCs w:val="24"/>
        </w:rPr>
        <w:t>, duke respektuar afatet e përcaktuara në rregullore. Gjatë vitit 2025 do të vijohet me vrojtimin, publikimin dhe transmetimin e rregullt të treguesve sasior të produkteve industriale.</w:t>
      </w:r>
      <w:bookmarkEnd w:id="33"/>
      <w:bookmarkEnd w:id="34"/>
    </w:p>
    <w:p w14:paraId="63CF383B" w14:textId="0C2EC3DB" w:rsidR="005D2477" w:rsidRPr="00B31292" w:rsidRDefault="0039014C" w:rsidP="003A4DBA">
      <w:pPr>
        <w:spacing w:after="0" w:line="240" w:lineRule="auto"/>
        <w:ind w:firstLine="284"/>
        <w:jc w:val="both"/>
        <w:rPr>
          <w:rFonts w:ascii="Garamond" w:hAnsi="Garamond" w:cs="Times New Roman"/>
          <w:sz w:val="24"/>
          <w:szCs w:val="24"/>
        </w:rPr>
      </w:pPr>
      <w:r w:rsidRPr="00B31292">
        <w:rPr>
          <w:rFonts w:ascii="Garamond" w:hAnsi="Garamond" w:cs="Times New Roman"/>
          <w:i/>
          <w:sz w:val="24"/>
          <w:szCs w:val="24"/>
        </w:rPr>
        <w:t xml:space="preserve">2.3.3 </w:t>
      </w:r>
      <w:r w:rsidR="00BA12C3" w:rsidRPr="00B31292">
        <w:rPr>
          <w:rFonts w:ascii="Garamond" w:hAnsi="Garamond" w:cs="Times New Roman"/>
          <w:i/>
          <w:sz w:val="24"/>
          <w:szCs w:val="24"/>
        </w:rPr>
        <w:t>“</w:t>
      </w:r>
      <w:r w:rsidRPr="00B31292">
        <w:rPr>
          <w:rFonts w:ascii="Garamond" w:hAnsi="Garamond" w:cs="Times New Roman"/>
          <w:i/>
          <w:sz w:val="24"/>
          <w:szCs w:val="24"/>
        </w:rPr>
        <w:t xml:space="preserve">Statistikat </w:t>
      </w:r>
      <w:r w:rsidR="00667306" w:rsidRPr="00B31292">
        <w:rPr>
          <w:rFonts w:ascii="Garamond" w:hAnsi="Garamond" w:cs="Times New Roman"/>
          <w:i/>
          <w:sz w:val="24"/>
          <w:szCs w:val="24"/>
        </w:rPr>
        <w:t>afatshkurtra të ndërmarrjeve</w:t>
      </w:r>
      <w:r w:rsidR="00BA12C3" w:rsidRPr="00B31292">
        <w:rPr>
          <w:rFonts w:ascii="Garamond" w:hAnsi="Garamond" w:cs="Times New Roman"/>
          <w:i/>
          <w:sz w:val="24"/>
          <w:szCs w:val="24"/>
        </w:rPr>
        <w:t>”</w:t>
      </w:r>
      <w:r w:rsidRPr="00B31292">
        <w:rPr>
          <w:rFonts w:ascii="Garamond" w:hAnsi="Garamond" w:cs="Times New Roman"/>
          <w:sz w:val="24"/>
          <w:szCs w:val="24"/>
        </w:rPr>
        <w:t>, ku përfshihen tr</w:t>
      </w:r>
      <w:r w:rsidR="00667306" w:rsidRPr="00B31292">
        <w:rPr>
          <w:rFonts w:ascii="Garamond" w:hAnsi="Garamond" w:cs="Times New Roman"/>
          <w:sz w:val="24"/>
          <w:szCs w:val="24"/>
        </w:rPr>
        <w:t>i</w:t>
      </w:r>
      <w:r w:rsidRPr="00B31292">
        <w:rPr>
          <w:rFonts w:ascii="Garamond" w:hAnsi="Garamond" w:cs="Times New Roman"/>
          <w:sz w:val="24"/>
          <w:szCs w:val="24"/>
        </w:rPr>
        <w:t xml:space="preserve"> aktivitete statistikore që kryen INSTAT</w:t>
      </w:r>
      <w:r w:rsidR="00BA12C3" w:rsidRPr="00B31292">
        <w:rPr>
          <w:rFonts w:ascii="Garamond" w:hAnsi="Garamond" w:cs="Times New Roman"/>
          <w:sz w:val="24"/>
          <w:szCs w:val="24"/>
        </w:rPr>
        <w:t>-i</w:t>
      </w:r>
      <w:r w:rsidRPr="00B31292">
        <w:rPr>
          <w:rFonts w:ascii="Garamond" w:hAnsi="Garamond" w:cs="Times New Roman"/>
          <w:sz w:val="24"/>
          <w:szCs w:val="24"/>
        </w:rPr>
        <w:t xml:space="preserve">: </w:t>
      </w:r>
    </w:p>
    <w:p w14:paraId="1FAD1BC8" w14:textId="1B4B0AA9" w:rsidR="0039014C" w:rsidRPr="00B31292" w:rsidRDefault="0039014C" w:rsidP="003A4DBA">
      <w:pPr>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i</w:t>
      </w:r>
      <w:r w:rsidR="00BA12C3" w:rsidRPr="00B31292">
        <w:rPr>
          <w:rFonts w:ascii="Garamond" w:hAnsi="Garamond" w:cs="Times New Roman"/>
          <w:sz w:val="24"/>
          <w:szCs w:val="24"/>
        </w:rPr>
        <w:t>.</w:t>
      </w:r>
      <w:r w:rsidRPr="00B31292">
        <w:rPr>
          <w:rFonts w:ascii="Garamond" w:hAnsi="Garamond" w:cs="Times New Roman"/>
          <w:sz w:val="24"/>
          <w:szCs w:val="24"/>
        </w:rPr>
        <w:t xml:space="preserve"> Statistikat afatshku</w:t>
      </w:r>
      <w:r w:rsidR="00230E00" w:rsidRPr="00B31292">
        <w:rPr>
          <w:rFonts w:ascii="Garamond" w:hAnsi="Garamond" w:cs="Times New Roman"/>
          <w:sz w:val="24"/>
          <w:szCs w:val="24"/>
        </w:rPr>
        <w:t xml:space="preserve">rtra të ndërmarrjeve ekonomike </w:t>
      </w:r>
      <w:r w:rsidR="00667306" w:rsidRPr="00B31292">
        <w:rPr>
          <w:rFonts w:ascii="Garamond" w:hAnsi="Garamond" w:cs="Times New Roman"/>
          <w:sz w:val="24"/>
          <w:szCs w:val="24"/>
        </w:rPr>
        <w:t>–</w:t>
      </w:r>
      <w:r w:rsidR="00230E00" w:rsidRPr="00B31292">
        <w:rPr>
          <w:rFonts w:ascii="Garamond" w:hAnsi="Garamond" w:cs="Times New Roman"/>
          <w:sz w:val="24"/>
          <w:szCs w:val="24"/>
        </w:rPr>
        <w:t xml:space="preserve"> </w:t>
      </w:r>
      <w:r w:rsidRPr="00B31292">
        <w:rPr>
          <w:rFonts w:ascii="Garamond" w:hAnsi="Garamond" w:cs="Times New Roman"/>
          <w:sz w:val="24"/>
          <w:szCs w:val="24"/>
        </w:rPr>
        <w:t>për prodhimin e statistikave tremujore të kësaj kategorie. Gjatë vitit 2025, burimet administrative do të vazhdojnë të përdoren për analizën dhe prodhimin e treguesve afatshkurtër</w:t>
      </w:r>
      <w:r w:rsidR="00230E00" w:rsidRPr="00B31292">
        <w:rPr>
          <w:rFonts w:ascii="Garamond" w:hAnsi="Garamond" w:cs="Times New Roman"/>
          <w:sz w:val="24"/>
          <w:szCs w:val="24"/>
        </w:rPr>
        <w:t>,</w:t>
      </w:r>
      <w:r w:rsidRPr="00B31292">
        <w:rPr>
          <w:rFonts w:ascii="Garamond" w:hAnsi="Garamond" w:cs="Times New Roman"/>
          <w:sz w:val="24"/>
          <w:szCs w:val="24"/>
        </w:rPr>
        <w:t xml:space="preserve"> duke marrë në konsideratë ndryshimet e kuadrit ligjor në institucionet ofruese të të dhënave administrative. Në rast të mungesës së burimit administrativ do të përdoret kontakti me anketues me metodën CAPI për ndërmarrjet. Gjithashtu</w:t>
      </w:r>
      <w:r w:rsidR="005D2477" w:rsidRPr="00B31292">
        <w:rPr>
          <w:rFonts w:ascii="Garamond" w:hAnsi="Garamond" w:cs="Times New Roman"/>
          <w:sz w:val="24"/>
          <w:szCs w:val="24"/>
        </w:rPr>
        <w:t xml:space="preserve">, </w:t>
      </w:r>
      <w:r w:rsidRPr="00B31292">
        <w:rPr>
          <w:rFonts w:ascii="Garamond" w:hAnsi="Garamond" w:cs="Times New Roman"/>
          <w:sz w:val="24"/>
          <w:szCs w:val="24"/>
        </w:rPr>
        <w:t>pas vlerësimit dhe analizës së të dhënave të pesë aktiviteteve të përfshira në fushën e shërbimeve për statistikat afatshkurtra për një periudhë kohore trevjeçare (INSTAT</w:t>
      </w:r>
      <w:r w:rsidR="00BA12C3" w:rsidRPr="00B31292">
        <w:rPr>
          <w:rFonts w:ascii="Garamond" w:hAnsi="Garamond" w:cs="Times New Roman"/>
          <w:sz w:val="24"/>
          <w:szCs w:val="24"/>
        </w:rPr>
        <w:t>-i</w:t>
      </w:r>
      <w:r w:rsidRPr="00B31292">
        <w:rPr>
          <w:rFonts w:ascii="Garamond" w:hAnsi="Garamond" w:cs="Times New Roman"/>
          <w:sz w:val="24"/>
          <w:szCs w:val="24"/>
        </w:rPr>
        <w:t xml:space="preserve"> ka nxjerrë në terren pyetësorët për mbledhjen e të dhënave që prej </w:t>
      </w:r>
      <w:r w:rsidR="002D09C6" w:rsidRPr="00B31292">
        <w:rPr>
          <w:rFonts w:ascii="Garamond" w:hAnsi="Garamond" w:cs="Times New Roman"/>
          <w:sz w:val="24"/>
          <w:szCs w:val="24"/>
        </w:rPr>
        <w:t xml:space="preserve">muajit </w:t>
      </w:r>
      <w:r w:rsidR="00667306" w:rsidRPr="00B31292">
        <w:rPr>
          <w:rFonts w:ascii="Garamond" w:hAnsi="Garamond" w:cs="Times New Roman"/>
          <w:sz w:val="24"/>
          <w:szCs w:val="24"/>
        </w:rPr>
        <w:t>j</w:t>
      </w:r>
      <w:r w:rsidRPr="00B31292">
        <w:rPr>
          <w:rFonts w:ascii="Garamond" w:hAnsi="Garamond" w:cs="Times New Roman"/>
          <w:sz w:val="24"/>
          <w:szCs w:val="24"/>
        </w:rPr>
        <w:t xml:space="preserve">anar 2022), do të bëhet përpunimi i tyre në mënyrë që seritë të publikohen dhe të transmetohen në </w:t>
      </w:r>
      <w:r w:rsidR="009C0CE9" w:rsidRPr="00B31292">
        <w:rPr>
          <w:rFonts w:ascii="Garamond" w:hAnsi="Garamond" w:cs="Times New Roman"/>
          <w:sz w:val="24"/>
          <w:szCs w:val="24"/>
        </w:rPr>
        <w:t>Eurostat</w:t>
      </w:r>
      <w:r w:rsidRPr="00B31292">
        <w:rPr>
          <w:rFonts w:ascii="Garamond" w:hAnsi="Garamond" w:cs="Times New Roman"/>
          <w:sz w:val="24"/>
          <w:szCs w:val="24"/>
        </w:rPr>
        <w:t>.</w:t>
      </w:r>
    </w:p>
    <w:p w14:paraId="4F0F9428" w14:textId="28E4B6CF" w:rsidR="0039014C" w:rsidRPr="00B31292" w:rsidRDefault="00230E00" w:rsidP="003A4DBA">
      <w:pPr>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Gjatë këtij viti</w:t>
      </w:r>
      <w:r w:rsidR="005D2477" w:rsidRPr="00B31292">
        <w:rPr>
          <w:rFonts w:ascii="Garamond" w:hAnsi="Garamond" w:cs="Times New Roman"/>
          <w:sz w:val="24"/>
          <w:szCs w:val="24"/>
        </w:rPr>
        <w:t xml:space="preserve"> </w:t>
      </w:r>
      <w:r w:rsidRPr="00B31292">
        <w:rPr>
          <w:rFonts w:ascii="Garamond" w:hAnsi="Garamond" w:cs="Times New Roman"/>
          <w:sz w:val="24"/>
          <w:szCs w:val="24"/>
        </w:rPr>
        <w:t>do të vijojë</w:t>
      </w:r>
      <w:r w:rsidR="0039014C" w:rsidRPr="00B31292">
        <w:rPr>
          <w:rFonts w:ascii="Garamond" w:hAnsi="Garamond" w:cs="Times New Roman"/>
          <w:sz w:val="24"/>
          <w:szCs w:val="24"/>
        </w:rPr>
        <w:t xml:space="preserve"> </w:t>
      </w:r>
      <w:r w:rsidRPr="00B31292">
        <w:rPr>
          <w:rFonts w:ascii="Garamond" w:hAnsi="Garamond" w:cs="Times New Roman"/>
          <w:sz w:val="24"/>
          <w:szCs w:val="24"/>
        </w:rPr>
        <w:t>puna për</w:t>
      </w:r>
      <w:r w:rsidR="005D2477" w:rsidRPr="00B31292">
        <w:rPr>
          <w:rFonts w:ascii="Garamond" w:hAnsi="Garamond" w:cs="Times New Roman"/>
          <w:sz w:val="24"/>
          <w:szCs w:val="24"/>
        </w:rPr>
        <w:t xml:space="preserve"> </w:t>
      </w:r>
      <w:r w:rsidR="0039014C" w:rsidRPr="00B31292">
        <w:rPr>
          <w:rFonts w:ascii="Garamond" w:hAnsi="Garamond" w:cs="Times New Roman"/>
          <w:sz w:val="24"/>
          <w:szCs w:val="24"/>
        </w:rPr>
        <w:t>llogaritj</w:t>
      </w:r>
      <w:r w:rsidR="00007C52" w:rsidRPr="00B31292">
        <w:rPr>
          <w:rFonts w:ascii="Garamond" w:hAnsi="Garamond" w:cs="Times New Roman"/>
          <w:sz w:val="24"/>
          <w:szCs w:val="24"/>
        </w:rPr>
        <w:t>en</w:t>
      </w:r>
      <w:r w:rsidR="0039014C" w:rsidRPr="00B31292">
        <w:rPr>
          <w:rFonts w:ascii="Garamond" w:hAnsi="Garamond" w:cs="Times New Roman"/>
          <w:sz w:val="24"/>
          <w:szCs w:val="24"/>
        </w:rPr>
        <w:t xml:space="preserve"> e indekseve mujore për treguesit e shitjeve në industri në statistikat afatshkurtra</w:t>
      </w:r>
      <w:r w:rsidR="00007C52" w:rsidRPr="00B31292">
        <w:rPr>
          <w:rFonts w:ascii="Garamond" w:hAnsi="Garamond" w:cs="Times New Roman"/>
          <w:sz w:val="24"/>
          <w:szCs w:val="24"/>
        </w:rPr>
        <w:t xml:space="preserve"> </w:t>
      </w:r>
      <w:r w:rsidR="0039014C" w:rsidRPr="00B31292">
        <w:rPr>
          <w:rFonts w:ascii="Garamond" w:hAnsi="Garamond" w:cs="Times New Roman"/>
          <w:sz w:val="24"/>
          <w:szCs w:val="24"/>
        </w:rPr>
        <w:t>dhe treguesve të demografisë së biznesit</w:t>
      </w:r>
      <w:r w:rsidR="00667306" w:rsidRPr="00B31292">
        <w:rPr>
          <w:rFonts w:ascii="Garamond" w:hAnsi="Garamond" w:cs="Times New Roman"/>
          <w:sz w:val="24"/>
          <w:szCs w:val="24"/>
        </w:rPr>
        <w:t>,</w:t>
      </w:r>
      <w:r w:rsidR="0039014C" w:rsidRPr="00B31292">
        <w:rPr>
          <w:rFonts w:ascii="Garamond" w:hAnsi="Garamond" w:cs="Times New Roman"/>
          <w:sz w:val="24"/>
          <w:szCs w:val="24"/>
        </w:rPr>
        <w:t xml:space="preserve"> si</w:t>
      </w:r>
      <w:r w:rsidR="005D2477" w:rsidRPr="00B31292">
        <w:rPr>
          <w:rFonts w:ascii="Garamond" w:hAnsi="Garamond" w:cs="Times New Roman"/>
          <w:sz w:val="24"/>
          <w:szCs w:val="24"/>
        </w:rPr>
        <w:t>:</w:t>
      </w:r>
      <w:r w:rsidR="0039014C" w:rsidRPr="00B31292">
        <w:rPr>
          <w:rFonts w:ascii="Garamond" w:hAnsi="Garamond" w:cs="Times New Roman"/>
          <w:sz w:val="24"/>
          <w:szCs w:val="24"/>
        </w:rPr>
        <w:t xml:space="preserve"> regjistrimet dhe falimentimet. Në kuadër të p</w:t>
      </w:r>
      <w:r w:rsidR="00007C52" w:rsidRPr="00B31292">
        <w:rPr>
          <w:rFonts w:ascii="Garamond" w:hAnsi="Garamond" w:cs="Times New Roman"/>
          <w:sz w:val="24"/>
          <w:szCs w:val="24"/>
        </w:rPr>
        <w:t>rogramit</w:t>
      </w:r>
      <w:r w:rsidR="0039014C" w:rsidRPr="00B31292">
        <w:rPr>
          <w:rFonts w:ascii="Garamond" w:hAnsi="Garamond" w:cs="Times New Roman"/>
          <w:sz w:val="24"/>
          <w:szCs w:val="24"/>
        </w:rPr>
        <w:t xml:space="preserve"> IPA 2022</w:t>
      </w:r>
      <w:r w:rsidR="00007C52" w:rsidRPr="00B31292">
        <w:rPr>
          <w:rFonts w:ascii="Garamond" w:hAnsi="Garamond" w:cs="Times New Roman"/>
          <w:sz w:val="24"/>
          <w:szCs w:val="24"/>
        </w:rPr>
        <w:t xml:space="preserve"> shumëpërfitues</w:t>
      </w:r>
      <w:r w:rsidR="0039014C" w:rsidRPr="00B31292">
        <w:rPr>
          <w:rFonts w:ascii="Garamond" w:hAnsi="Garamond" w:cs="Times New Roman"/>
          <w:sz w:val="24"/>
          <w:szCs w:val="24"/>
        </w:rPr>
        <w:t xml:space="preserve"> për statistikat afatshkurtra do të punohet lidhur me analizën dhe krijimin e një tabele korrespondence për të evidentuar se cilat aktivitete në NACE Rev. 2.1 riklasifikohen me NACE Rev. 2, dhe si do të ndikojë ky ndryshim në disa grupe dhe aktivitete.</w:t>
      </w:r>
      <w:r w:rsidRPr="00B31292">
        <w:rPr>
          <w:rFonts w:ascii="Garamond" w:hAnsi="Garamond" w:cs="Times New Roman"/>
          <w:sz w:val="24"/>
          <w:szCs w:val="24"/>
        </w:rPr>
        <w:t xml:space="preserve"> </w:t>
      </w:r>
      <w:r w:rsidR="00007C52" w:rsidRPr="00B31292">
        <w:rPr>
          <w:rFonts w:ascii="Garamond" w:hAnsi="Garamond" w:cs="Times New Roman"/>
          <w:sz w:val="24"/>
          <w:szCs w:val="24"/>
        </w:rPr>
        <w:t>Ç</w:t>
      </w:r>
      <w:r w:rsidR="0039014C" w:rsidRPr="00B31292">
        <w:rPr>
          <w:rFonts w:ascii="Garamond" w:hAnsi="Garamond" w:cs="Times New Roman"/>
          <w:sz w:val="24"/>
          <w:szCs w:val="24"/>
        </w:rPr>
        <w:t>ështje që janë në fokus për t</w:t>
      </w:r>
      <w:r w:rsidR="00CD213A" w:rsidRPr="00B31292">
        <w:rPr>
          <w:rFonts w:ascii="Garamond" w:hAnsi="Garamond" w:cs="Times New Roman"/>
          <w:sz w:val="24"/>
          <w:szCs w:val="24"/>
        </w:rPr>
        <w:t>’</w:t>
      </w:r>
      <w:r w:rsidR="0039014C" w:rsidRPr="00B31292">
        <w:rPr>
          <w:rFonts w:ascii="Garamond" w:hAnsi="Garamond" w:cs="Times New Roman"/>
          <w:sz w:val="24"/>
          <w:szCs w:val="24"/>
        </w:rPr>
        <w:t>u arritur gjatë vitit 2025, kanë të bëjnë me prodhimin e indeksit mujor të vëllimit të shitjeve për sektorin e tregtisë dhe për sektorët e shërbimeve;</w:t>
      </w:r>
    </w:p>
    <w:p w14:paraId="23B3ADD5" w14:textId="6E0EA27D" w:rsidR="0039014C" w:rsidRPr="00B31292" w:rsidRDefault="0039014C" w:rsidP="003A4DBA">
      <w:pPr>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i</w:t>
      </w:r>
      <w:r w:rsidR="00B31292">
        <w:rPr>
          <w:rFonts w:ascii="Garamond" w:hAnsi="Garamond" w:cs="Times New Roman"/>
          <w:sz w:val="24"/>
          <w:szCs w:val="24"/>
        </w:rPr>
        <w:t>i</w:t>
      </w:r>
      <w:r w:rsidR="00BA12C3" w:rsidRPr="00B31292">
        <w:rPr>
          <w:rFonts w:ascii="Garamond" w:hAnsi="Garamond" w:cs="Times New Roman"/>
          <w:sz w:val="24"/>
          <w:szCs w:val="24"/>
        </w:rPr>
        <w:t>.</w:t>
      </w:r>
      <w:r w:rsidRPr="00B31292">
        <w:rPr>
          <w:rFonts w:ascii="Garamond" w:hAnsi="Garamond" w:cs="Times New Roman"/>
          <w:sz w:val="24"/>
          <w:szCs w:val="24"/>
        </w:rPr>
        <w:t xml:space="preserve"> </w:t>
      </w:r>
      <w:r w:rsidR="00B31292" w:rsidRPr="00B31292">
        <w:rPr>
          <w:rFonts w:ascii="Garamond" w:hAnsi="Garamond" w:cs="Times New Roman"/>
          <w:sz w:val="24"/>
          <w:szCs w:val="24"/>
        </w:rPr>
        <w:t xml:space="preserve">Vrojtimi </w:t>
      </w:r>
      <w:r w:rsidRPr="00B31292">
        <w:rPr>
          <w:rFonts w:ascii="Garamond" w:hAnsi="Garamond" w:cs="Times New Roman"/>
          <w:sz w:val="24"/>
          <w:szCs w:val="24"/>
        </w:rPr>
        <w:t>tremujor për statistikat e çmimeve në ndërmarrjet ekonomike;</w:t>
      </w:r>
    </w:p>
    <w:p w14:paraId="3F207C0D" w14:textId="4119F30F" w:rsidR="0039014C" w:rsidRPr="00B31292" w:rsidRDefault="0039014C" w:rsidP="003A4DBA">
      <w:pPr>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ii</w:t>
      </w:r>
      <w:r w:rsidR="00B31292">
        <w:rPr>
          <w:rFonts w:ascii="Garamond" w:hAnsi="Garamond" w:cs="Times New Roman"/>
          <w:sz w:val="24"/>
          <w:szCs w:val="24"/>
        </w:rPr>
        <w:t>i</w:t>
      </w:r>
      <w:r w:rsidR="00BA12C3" w:rsidRPr="00B31292">
        <w:rPr>
          <w:rFonts w:ascii="Garamond" w:hAnsi="Garamond" w:cs="Times New Roman"/>
          <w:sz w:val="24"/>
          <w:szCs w:val="24"/>
        </w:rPr>
        <w:t>.</w:t>
      </w:r>
      <w:r w:rsidRPr="00B31292">
        <w:rPr>
          <w:rFonts w:ascii="Garamond" w:hAnsi="Garamond" w:cs="Times New Roman"/>
          <w:sz w:val="24"/>
          <w:szCs w:val="24"/>
        </w:rPr>
        <w:t xml:space="preserve"> </w:t>
      </w:r>
      <w:r w:rsidR="00B31292" w:rsidRPr="00B31292">
        <w:rPr>
          <w:rFonts w:ascii="Garamond" w:hAnsi="Garamond" w:cs="Times New Roman"/>
          <w:sz w:val="24"/>
          <w:szCs w:val="24"/>
        </w:rPr>
        <w:t xml:space="preserve">Prodhimi </w:t>
      </w:r>
      <w:r w:rsidRPr="00B31292">
        <w:rPr>
          <w:rFonts w:ascii="Garamond" w:hAnsi="Garamond" w:cs="Times New Roman"/>
          <w:sz w:val="24"/>
          <w:szCs w:val="24"/>
        </w:rPr>
        <w:t>i statistikave mbi lejet e ndërtimit, të miratuara në territorin e Republikës së Shqipërisë, me frekuencë tremujore, duke shfrytëzuar të dhënat administrative nga njësitë e vetëqeverisjes vendore dhe INSTAT-it.</w:t>
      </w:r>
    </w:p>
    <w:p w14:paraId="5C43D6FD" w14:textId="0790C211" w:rsidR="0039014C" w:rsidRPr="00B31292" w:rsidRDefault="0039014C" w:rsidP="003A4DBA">
      <w:pPr>
        <w:spacing w:after="0" w:line="240" w:lineRule="auto"/>
        <w:ind w:firstLine="284"/>
        <w:jc w:val="both"/>
        <w:rPr>
          <w:rFonts w:ascii="Garamond" w:hAnsi="Garamond" w:cs="Times New Roman"/>
          <w:sz w:val="24"/>
          <w:szCs w:val="24"/>
        </w:rPr>
      </w:pPr>
      <w:r w:rsidRPr="00B31292">
        <w:rPr>
          <w:rFonts w:ascii="Garamond" w:hAnsi="Garamond" w:cs="Times New Roman"/>
          <w:i/>
          <w:sz w:val="24"/>
          <w:szCs w:val="24"/>
        </w:rPr>
        <w:t xml:space="preserve">2.3.4 </w:t>
      </w:r>
      <w:r w:rsidR="00BA12C3" w:rsidRPr="00B31292">
        <w:rPr>
          <w:rFonts w:ascii="Garamond" w:hAnsi="Garamond" w:cs="Times New Roman"/>
          <w:i/>
          <w:sz w:val="24"/>
          <w:szCs w:val="24"/>
        </w:rPr>
        <w:t>“</w:t>
      </w:r>
      <w:r w:rsidRPr="00B31292">
        <w:rPr>
          <w:rFonts w:ascii="Garamond" w:hAnsi="Garamond" w:cs="Times New Roman"/>
          <w:i/>
          <w:sz w:val="24"/>
          <w:szCs w:val="24"/>
        </w:rPr>
        <w:t xml:space="preserve">Statistikat e </w:t>
      </w:r>
      <w:r w:rsidR="00667306" w:rsidRPr="00B31292">
        <w:rPr>
          <w:rFonts w:ascii="Garamond" w:hAnsi="Garamond" w:cs="Times New Roman"/>
          <w:i/>
          <w:sz w:val="24"/>
          <w:szCs w:val="24"/>
        </w:rPr>
        <w:t xml:space="preserve">regjistrave të biznesit” </w:t>
      </w:r>
      <w:r w:rsidRPr="00B31292">
        <w:rPr>
          <w:rFonts w:ascii="Garamond" w:hAnsi="Garamond" w:cs="Times New Roman"/>
          <w:sz w:val="24"/>
          <w:szCs w:val="24"/>
        </w:rPr>
        <w:t>përfshijnë aktivitetet mbi mbledhjen dhe përpunimin e të dhënave administrative</w:t>
      </w:r>
      <w:r w:rsidR="00667306" w:rsidRPr="00B31292">
        <w:rPr>
          <w:rFonts w:ascii="Garamond" w:hAnsi="Garamond" w:cs="Times New Roman"/>
          <w:sz w:val="24"/>
          <w:szCs w:val="24"/>
        </w:rPr>
        <w:t>,</w:t>
      </w:r>
      <w:r w:rsidRPr="00B31292">
        <w:rPr>
          <w:rFonts w:ascii="Garamond" w:hAnsi="Garamond" w:cs="Times New Roman"/>
          <w:sz w:val="24"/>
          <w:szCs w:val="24"/>
        </w:rPr>
        <w:t xml:space="preserve"> dhe statistikore për përditësimin e tyre.</w:t>
      </w:r>
      <w:r w:rsidR="005D2477" w:rsidRPr="00B31292">
        <w:rPr>
          <w:rFonts w:ascii="Garamond" w:hAnsi="Garamond" w:cs="Times New Roman"/>
          <w:sz w:val="24"/>
          <w:szCs w:val="24"/>
        </w:rPr>
        <w:t xml:space="preserve"> </w:t>
      </w:r>
      <w:r w:rsidRPr="00B31292">
        <w:rPr>
          <w:rFonts w:ascii="Garamond" w:hAnsi="Garamond" w:cs="Times New Roman"/>
          <w:sz w:val="24"/>
          <w:szCs w:val="24"/>
        </w:rPr>
        <w:t>INSTAT</w:t>
      </w:r>
      <w:r w:rsidR="00BA12C3" w:rsidRPr="00B31292">
        <w:rPr>
          <w:rFonts w:ascii="Garamond" w:hAnsi="Garamond" w:cs="Times New Roman"/>
          <w:sz w:val="24"/>
          <w:szCs w:val="24"/>
        </w:rPr>
        <w:t>-i</w:t>
      </w:r>
      <w:r w:rsidRPr="00B31292">
        <w:rPr>
          <w:rFonts w:ascii="Garamond" w:hAnsi="Garamond" w:cs="Times New Roman"/>
          <w:sz w:val="24"/>
          <w:szCs w:val="24"/>
        </w:rPr>
        <w:t xml:space="preserve"> mirëmban dhe përditëson:</w:t>
      </w:r>
    </w:p>
    <w:p w14:paraId="6FAE2361" w14:textId="1E2EBF91" w:rsidR="000A2254" w:rsidRPr="00B31292" w:rsidRDefault="009508C8" w:rsidP="009508C8">
      <w:pPr>
        <w:autoSpaceDE w:val="0"/>
        <w:autoSpaceDN w:val="0"/>
        <w:adjustRightInd w:val="0"/>
        <w:spacing w:after="0" w:line="240" w:lineRule="auto"/>
        <w:ind w:firstLine="284"/>
        <w:jc w:val="both"/>
        <w:rPr>
          <w:rFonts w:ascii="Garamond" w:hAnsi="Garamond" w:cs="Garamond"/>
          <w:color w:val="000000"/>
          <w:sz w:val="24"/>
          <w:szCs w:val="24"/>
        </w:rPr>
      </w:pPr>
      <w:r w:rsidRPr="00B31292">
        <w:rPr>
          <w:rFonts w:ascii="Garamond" w:hAnsi="Garamond" w:cs="Cambria"/>
          <w:color w:val="000000"/>
          <w:sz w:val="24"/>
          <w:szCs w:val="24"/>
        </w:rPr>
        <w:t xml:space="preserve">- </w:t>
      </w:r>
      <w:r w:rsidR="000A2254" w:rsidRPr="00B31292">
        <w:rPr>
          <w:rFonts w:ascii="Garamond" w:hAnsi="Garamond" w:cs="Garamond"/>
          <w:color w:val="000000"/>
          <w:sz w:val="24"/>
          <w:szCs w:val="24"/>
        </w:rPr>
        <w:t>Regjistrin e Ndërmarrjeve</w:t>
      </w:r>
      <w:r w:rsidR="00BA12C3" w:rsidRPr="00B31292">
        <w:rPr>
          <w:rFonts w:ascii="Garamond" w:hAnsi="Garamond" w:cs="Garamond"/>
          <w:color w:val="000000"/>
          <w:sz w:val="24"/>
          <w:szCs w:val="24"/>
        </w:rPr>
        <w:t>;</w:t>
      </w:r>
    </w:p>
    <w:p w14:paraId="06903B33" w14:textId="0277DD72" w:rsidR="000A2254" w:rsidRPr="00B31292" w:rsidRDefault="009508C8" w:rsidP="009508C8">
      <w:pPr>
        <w:autoSpaceDE w:val="0"/>
        <w:autoSpaceDN w:val="0"/>
        <w:adjustRightInd w:val="0"/>
        <w:spacing w:after="0" w:line="240" w:lineRule="auto"/>
        <w:ind w:firstLine="284"/>
        <w:jc w:val="both"/>
        <w:rPr>
          <w:rFonts w:ascii="Garamond" w:hAnsi="Garamond" w:cs="Garamond"/>
          <w:color w:val="000000"/>
          <w:sz w:val="24"/>
          <w:szCs w:val="24"/>
        </w:rPr>
      </w:pPr>
      <w:r w:rsidRPr="00B31292">
        <w:rPr>
          <w:rFonts w:ascii="Garamond" w:hAnsi="Garamond" w:cs="Cambria"/>
          <w:color w:val="000000"/>
          <w:sz w:val="24"/>
          <w:szCs w:val="24"/>
        </w:rPr>
        <w:t xml:space="preserve">- </w:t>
      </w:r>
      <w:r w:rsidR="000A2254" w:rsidRPr="00B31292">
        <w:rPr>
          <w:rFonts w:ascii="Garamond" w:hAnsi="Garamond" w:cs="Garamond"/>
          <w:color w:val="000000"/>
          <w:sz w:val="24"/>
          <w:szCs w:val="24"/>
        </w:rPr>
        <w:t>Regjistrin e Njësive Lokale</w:t>
      </w:r>
      <w:r w:rsidR="00BA12C3" w:rsidRPr="00B31292">
        <w:rPr>
          <w:rFonts w:ascii="Garamond" w:hAnsi="Garamond" w:cs="Garamond"/>
          <w:color w:val="000000"/>
          <w:sz w:val="24"/>
          <w:szCs w:val="24"/>
        </w:rPr>
        <w:t>;</w:t>
      </w:r>
    </w:p>
    <w:p w14:paraId="1E1E6228" w14:textId="4B7701A1" w:rsidR="00E94972" w:rsidRPr="00B31292" w:rsidRDefault="009508C8" w:rsidP="009508C8">
      <w:pPr>
        <w:autoSpaceDE w:val="0"/>
        <w:autoSpaceDN w:val="0"/>
        <w:adjustRightInd w:val="0"/>
        <w:spacing w:after="0" w:line="240" w:lineRule="auto"/>
        <w:ind w:firstLine="284"/>
        <w:jc w:val="both"/>
        <w:rPr>
          <w:rFonts w:ascii="Garamond" w:hAnsi="Garamond" w:cs="Garamond"/>
          <w:color w:val="000000"/>
          <w:sz w:val="24"/>
          <w:szCs w:val="24"/>
        </w:rPr>
      </w:pPr>
      <w:r w:rsidRPr="00B31292">
        <w:rPr>
          <w:rFonts w:ascii="Garamond" w:hAnsi="Garamond" w:cs="Garamond"/>
          <w:color w:val="000000"/>
          <w:sz w:val="24"/>
          <w:szCs w:val="24"/>
        </w:rPr>
        <w:t xml:space="preserve">- </w:t>
      </w:r>
      <w:r w:rsidR="000A2254" w:rsidRPr="00B31292">
        <w:rPr>
          <w:rFonts w:ascii="Garamond" w:hAnsi="Garamond" w:cs="Garamond"/>
          <w:color w:val="000000"/>
          <w:sz w:val="24"/>
          <w:szCs w:val="24"/>
        </w:rPr>
        <w:t>Regjistrin e Grupeve të Ndërmarrjeve</w:t>
      </w:r>
      <w:r w:rsidR="00BA12C3" w:rsidRPr="00B31292">
        <w:rPr>
          <w:rFonts w:ascii="Garamond" w:hAnsi="Garamond" w:cs="Garamond"/>
          <w:color w:val="000000"/>
          <w:sz w:val="24"/>
          <w:szCs w:val="24"/>
        </w:rPr>
        <w:t>.</w:t>
      </w:r>
    </w:p>
    <w:p w14:paraId="0EA86184" w14:textId="2EA81A7A" w:rsidR="0039014C" w:rsidRPr="00B31292" w:rsidRDefault="0039014C" w:rsidP="003A4DBA">
      <w:pPr>
        <w:spacing w:after="0" w:line="240" w:lineRule="auto"/>
        <w:ind w:firstLine="284"/>
        <w:contextualSpacing/>
        <w:jc w:val="both"/>
        <w:rPr>
          <w:rFonts w:ascii="Garamond" w:hAnsi="Garamond" w:cs="Times New Roman"/>
          <w:sz w:val="24"/>
          <w:szCs w:val="24"/>
        </w:rPr>
      </w:pPr>
      <w:r w:rsidRPr="00B31292">
        <w:rPr>
          <w:rFonts w:ascii="Garamond" w:hAnsi="Garamond" w:cs="Times New Roman"/>
          <w:sz w:val="24"/>
          <w:szCs w:val="24"/>
        </w:rPr>
        <w:t xml:space="preserve">Anketa e regjistrave të biznesit zhvilluar në </w:t>
      </w:r>
      <w:r w:rsidR="00667306" w:rsidRPr="00B31292">
        <w:rPr>
          <w:rFonts w:ascii="Garamond" w:hAnsi="Garamond" w:cs="Times New Roman"/>
          <w:sz w:val="24"/>
          <w:szCs w:val="24"/>
        </w:rPr>
        <w:t>s</w:t>
      </w:r>
      <w:r w:rsidRPr="00B31292">
        <w:rPr>
          <w:rFonts w:ascii="Garamond" w:hAnsi="Garamond" w:cs="Times New Roman"/>
          <w:sz w:val="24"/>
          <w:szCs w:val="24"/>
        </w:rPr>
        <w:t>htator 2024, shërbeu për përditësimin e regjistrave dhe njësive statistikore</w:t>
      </w:r>
      <w:r w:rsidR="003E7929" w:rsidRPr="00B31292">
        <w:rPr>
          <w:rFonts w:ascii="Garamond" w:hAnsi="Garamond" w:cs="Times New Roman"/>
          <w:sz w:val="24"/>
          <w:szCs w:val="24"/>
        </w:rPr>
        <w:t>,</w:t>
      </w:r>
      <w:r w:rsidRPr="00B31292">
        <w:rPr>
          <w:rFonts w:ascii="Garamond" w:hAnsi="Garamond" w:cs="Times New Roman"/>
          <w:sz w:val="24"/>
          <w:szCs w:val="24"/>
        </w:rPr>
        <w:t xml:space="preserve"> si dhe vlerësimin e cilësisë së tyre. Gjatë vitit 2024</w:t>
      </w:r>
      <w:r w:rsidRPr="00B31292">
        <w:rPr>
          <w:rFonts w:ascii="Garamond" w:hAnsi="Garamond" w:cs="Times New Roman"/>
          <w:b/>
          <w:sz w:val="24"/>
          <w:szCs w:val="24"/>
        </w:rPr>
        <w:t xml:space="preserve"> </w:t>
      </w:r>
      <w:r w:rsidRPr="00B31292">
        <w:rPr>
          <w:rFonts w:ascii="Garamond" w:hAnsi="Garamond" w:cs="Times New Roman"/>
          <w:sz w:val="24"/>
          <w:szCs w:val="24"/>
        </w:rPr>
        <w:t>është punuar për të</w:t>
      </w:r>
      <w:r w:rsidR="002E2911" w:rsidRPr="00B31292">
        <w:rPr>
          <w:rFonts w:ascii="Garamond" w:hAnsi="Garamond" w:cs="Times New Roman"/>
          <w:sz w:val="24"/>
          <w:szCs w:val="24"/>
        </w:rPr>
        <w:t xml:space="preserve"> </w:t>
      </w:r>
      <w:r w:rsidRPr="00B31292">
        <w:rPr>
          <w:rFonts w:ascii="Garamond" w:hAnsi="Garamond" w:cs="Times New Roman"/>
          <w:sz w:val="24"/>
          <w:szCs w:val="24"/>
        </w:rPr>
        <w:t>kodifikuar regjistrat e biznesit edhe në Nome</w:t>
      </w:r>
      <w:r w:rsidR="000F0D03" w:rsidRPr="00B31292">
        <w:rPr>
          <w:rFonts w:ascii="Garamond" w:hAnsi="Garamond" w:cs="Times New Roman"/>
          <w:sz w:val="24"/>
          <w:szCs w:val="24"/>
        </w:rPr>
        <w:t>n</w:t>
      </w:r>
      <w:r w:rsidRPr="00B31292">
        <w:rPr>
          <w:rFonts w:ascii="Garamond" w:hAnsi="Garamond" w:cs="Times New Roman"/>
          <w:sz w:val="24"/>
          <w:szCs w:val="24"/>
        </w:rPr>
        <w:t>klaturën e Veprimtarive Ekonomike Rev.2.1. Ky kodifikim i dyfishtë në NVE Rev</w:t>
      </w:r>
      <w:r w:rsidR="00667306" w:rsidRPr="00B31292">
        <w:rPr>
          <w:rFonts w:ascii="Garamond" w:hAnsi="Garamond" w:cs="Times New Roman"/>
          <w:sz w:val="24"/>
          <w:szCs w:val="24"/>
        </w:rPr>
        <w:t xml:space="preserve"> </w:t>
      </w:r>
      <w:r w:rsidRPr="00B31292">
        <w:rPr>
          <w:rFonts w:ascii="Garamond" w:hAnsi="Garamond" w:cs="Times New Roman"/>
          <w:sz w:val="24"/>
          <w:szCs w:val="24"/>
        </w:rPr>
        <w:t>2 dhe NVE Rev 2.1 do të realizohet për tre vite. Lidhur me aktivitetin</w:t>
      </w:r>
      <w:r w:rsidR="005D2477" w:rsidRPr="00B31292">
        <w:rPr>
          <w:rFonts w:ascii="Garamond" w:hAnsi="Garamond" w:cs="Times New Roman"/>
          <w:sz w:val="24"/>
          <w:szCs w:val="24"/>
        </w:rPr>
        <w:t xml:space="preserve"> </w:t>
      </w:r>
      <w:r w:rsidR="00BA12C3" w:rsidRPr="00B31292">
        <w:rPr>
          <w:rFonts w:ascii="Garamond" w:hAnsi="Garamond" w:cs="Times New Roman"/>
          <w:sz w:val="24"/>
          <w:szCs w:val="24"/>
        </w:rPr>
        <w:t>“</w:t>
      </w:r>
      <w:r w:rsidRPr="00B31292">
        <w:rPr>
          <w:rFonts w:ascii="Garamond" w:hAnsi="Garamond" w:cs="Times New Roman"/>
          <w:sz w:val="24"/>
          <w:szCs w:val="24"/>
        </w:rPr>
        <w:t xml:space="preserve">Regjistri i </w:t>
      </w:r>
      <w:r w:rsidR="00667306" w:rsidRPr="00B31292">
        <w:rPr>
          <w:rFonts w:ascii="Garamond" w:hAnsi="Garamond" w:cs="Times New Roman"/>
          <w:sz w:val="24"/>
          <w:szCs w:val="24"/>
        </w:rPr>
        <w:t>n</w:t>
      </w:r>
      <w:r w:rsidRPr="00B31292">
        <w:rPr>
          <w:rFonts w:ascii="Garamond" w:hAnsi="Garamond" w:cs="Times New Roman"/>
          <w:sz w:val="24"/>
          <w:szCs w:val="24"/>
        </w:rPr>
        <w:t>dërmarrjeve</w:t>
      </w:r>
      <w:r w:rsidR="00BA12C3" w:rsidRPr="00B31292">
        <w:rPr>
          <w:rFonts w:ascii="Garamond" w:hAnsi="Garamond" w:cs="Times New Roman"/>
          <w:sz w:val="24"/>
          <w:szCs w:val="24"/>
        </w:rPr>
        <w:t>”</w:t>
      </w:r>
      <w:r w:rsidRPr="00B31292">
        <w:rPr>
          <w:rFonts w:ascii="Garamond" w:hAnsi="Garamond" w:cs="Times New Roman"/>
          <w:sz w:val="24"/>
          <w:szCs w:val="24"/>
        </w:rPr>
        <w:t>, në vitin 2025, INSTAT</w:t>
      </w:r>
      <w:r w:rsidR="00BA12C3" w:rsidRPr="00B31292">
        <w:rPr>
          <w:rFonts w:ascii="Garamond" w:hAnsi="Garamond" w:cs="Times New Roman"/>
          <w:sz w:val="24"/>
          <w:szCs w:val="24"/>
        </w:rPr>
        <w:t>-i</w:t>
      </w:r>
      <w:r w:rsidRPr="00B31292">
        <w:rPr>
          <w:rFonts w:ascii="Garamond" w:hAnsi="Garamond" w:cs="Times New Roman"/>
          <w:sz w:val="24"/>
          <w:szCs w:val="24"/>
        </w:rPr>
        <w:t xml:space="preserve"> do të përditësojë Regjistrin e Ndërmarrjeve në kohë reale për qëllime të metodologjisë së vrojtimeve statistikore. Burimet </w:t>
      </w:r>
      <w:r w:rsidRPr="00B31292">
        <w:rPr>
          <w:rFonts w:ascii="Garamond" w:hAnsi="Garamond" w:cs="Times New Roman"/>
          <w:sz w:val="24"/>
          <w:szCs w:val="24"/>
        </w:rPr>
        <w:lastRenderedPageBreak/>
        <w:t>kryesore janë institucionet</w:t>
      </w:r>
      <w:r w:rsidR="00667306" w:rsidRPr="00B31292">
        <w:rPr>
          <w:rFonts w:ascii="Garamond" w:hAnsi="Garamond" w:cs="Times New Roman"/>
          <w:sz w:val="24"/>
          <w:szCs w:val="24"/>
        </w:rPr>
        <w:t>,</w:t>
      </w:r>
      <w:r w:rsidRPr="00B31292">
        <w:rPr>
          <w:rFonts w:ascii="Garamond" w:hAnsi="Garamond" w:cs="Times New Roman"/>
          <w:sz w:val="24"/>
          <w:szCs w:val="24"/>
        </w:rPr>
        <w:t xml:space="preserve"> si: Drejtoria e Përgjithshme e Tatimeve, Qendra Kombëtare e Biznesit, Banka e Shqipërisë, Drejtoria e Përgjithshme e Doganave dhe të dhënat e vrojtimeve të INSTAT</w:t>
      </w:r>
      <w:r w:rsidR="00BA12C3" w:rsidRPr="00B31292">
        <w:rPr>
          <w:rFonts w:ascii="Garamond" w:hAnsi="Garamond" w:cs="Times New Roman"/>
          <w:sz w:val="24"/>
          <w:szCs w:val="24"/>
        </w:rPr>
        <w:t>-it</w:t>
      </w:r>
      <w:r w:rsidRPr="00B31292">
        <w:rPr>
          <w:rFonts w:ascii="Garamond" w:hAnsi="Garamond" w:cs="Times New Roman"/>
          <w:sz w:val="24"/>
          <w:szCs w:val="24"/>
        </w:rPr>
        <w:t>.</w:t>
      </w:r>
      <w:r w:rsidR="005D2477" w:rsidRPr="00B31292">
        <w:rPr>
          <w:rFonts w:ascii="Garamond" w:hAnsi="Garamond" w:cs="Times New Roman"/>
          <w:sz w:val="24"/>
          <w:szCs w:val="24"/>
        </w:rPr>
        <w:t xml:space="preserve"> </w:t>
      </w:r>
      <w:r w:rsidRPr="00B31292">
        <w:rPr>
          <w:rFonts w:ascii="Garamond" w:hAnsi="Garamond" w:cs="Times New Roman"/>
          <w:sz w:val="24"/>
          <w:szCs w:val="24"/>
        </w:rPr>
        <w:t xml:space="preserve">Nga regjistri i ndërmarrjeve janë prodhuar dhe transmetuar në </w:t>
      </w:r>
      <w:r w:rsidR="009C0CE9" w:rsidRPr="00B31292">
        <w:rPr>
          <w:rFonts w:ascii="Garamond" w:hAnsi="Garamond" w:cs="Times New Roman"/>
          <w:sz w:val="24"/>
          <w:szCs w:val="24"/>
        </w:rPr>
        <w:t>Eurostat</w:t>
      </w:r>
      <w:r w:rsidRPr="00B31292">
        <w:rPr>
          <w:rFonts w:ascii="Garamond" w:hAnsi="Garamond" w:cs="Times New Roman"/>
          <w:sz w:val="24"/>
          <w:szCs w:val="24"/>
        </w:rPr>
        <w:t xml:space="preserve"> dy tabela lidhur me ndërmarrjet e reja dhe falimentimet. INSTAT</w:t>
      </w:r>
      <w:r w:rsidR="00BA12C3" w:rsidRPr="00B31292">
        <w:rPr>
          <w:rFonts w:ascii="Garamond" w:hAnsi="Garamond" w:cs="Times New Roman"/>
          <w:sz w:val="24"/>
          <w:szCs w:val="24"/>
        </w:rPr>
        <w:t>-i</w:t>
      </w:r>
      <w:r w:rsidRPr="00B31292">
        <w:rPr>
          <w:rFonts w:ascii="Garamond" w:hAnsi="Garamond" w:cs="Times New Roman"/>
          <w:sz w:val="24"/>
          <w:szCs w:val="24"/>
        </w:rPr>
        <w:t xml:space="preserve"> me mbështetjen e ekspertizës së </w:t>
      </w:r>
      <w:r w:rsidR="009C0CE9" w:rsidRPr="00B31292">
        <w:rPr>
          <w:rFonts w:ascii="Garamond" w:hAnsi="Garamond" w:cs="Times New Roman"/>
          <w:sz w:val="24"/>
          <w:szCs w:val="24"/>
        </w:rPr>
        <w:t>Eurostat</w:t>
      </w:r>
      <w:r w:rsidRPr="00B31292">
        <w:rPr>
          <w:rFonts w:ascii="Garamond" w:hAnsi="Garamond" w:cs="Times New Roman"/>
          <w:sz w:val="24"/>
          <w:szCs w:val="24"/>
        </w:rPr>
        <w:t xml:space="preserve"> gjatë vitit 2025 do të shtojë treguesit lidhur me ngjarjet demografike të ndërmarrjeve.</w:t>
      </w:r>
    </w:p>
    <w:p w14:paraId="6CB1B548" w14:textId="3BD661E9" w:rsidR="0039014C" w:rsidRPr="00B31292" w:rsidRDefault="0039014C" w:rsidP="003A4DBA">
      <w:pPr>
        <w:spacing w:after="0" w:line="240" w:lineRule="auto"/>
        <w:ind w:firstLine="284"/>
        <w:jc w:val="both"/>
        <w:rPr>
          <w:rFonts w:ascii="Garamond" w:hAnsi="Garamond" w:cs="Times New Roman"/>
          <w:sz w:val="24"/>
          <w:szCs w:val="24"/>
          <w:lang w:eastAsia="en-GB"/>
        </w:rPr>
      </w:pPr>
      <w:r w:rsidRPr="00B31292">
        <w:rPr>
          <w:rFonts w:ascii="Garamond" w:hAnsi="Garamond" w:cs="Times New Roman"/>
          <w:sz w:val="24"/>
          <w:szCs w:val="24"/>
        </w:rPr>
        <w:t xml:space="preserve">Sa i përket aktivitetit </w:t>
      </w:r>
      <w:r w:rsidR="00BA12C3" w:rsidRPr="00B31292">
        <w:rPr>
          <w:rFonts w:ascii="Garamond" w:hAnsi="Garamond" w:cs="Times New Roman"/>
          <w:sz w:val="24"/>
          <w:szCs w:val="24"/>
        </w:rPr>
        <w:t>“</w:t>
      </w:r>
      <w:r w:rsidRPr="00B31292">
        <w:rPr>
          <w:rFonts w:ascii="Garamond" w:hAnsi="Garamond" w:cs="Times New Roman"/>
          <w:sz w:val="24"/>
          <w:szCs w:val="24"/>
        </w:rPr>
        <w:t>Regjistri i Njësive Lokale</w:t>
      </w:r>
      <w:r w:rsidR="00BA12C3" w:rsidRPr="00B31292">
        <w:rPr>
          <w:rFonts w:ascii="Garamond" w:hAnsi="Garamond" w:cs="Times New Roman"/>
          <w:sz w:val="24"/>
          <w:szCs w:val="24"/>
        </w:rPr>
        <w:t>”</w:t>
      </w:r>
      <w:r w:rsidRPr="00B31292">
        <w:rPr>
          <w:rFonts w:ascii="Garamond" w:hAnsi="Garamond" w:cs="Times New Roman"/>
          <w:sz w:val="24"/>
          <w:szCs w:val="24"/>
        </w:rPr>
        <w:t xml:space="preserve">, ky regjistër </w:t>
      </w:r>
      <w:r w:rsidRPr="00B31292">
        <w:rPr>
          <w:rFonts w:ascii="Garamond" w:hAnsi="Garamond" w:cs="Times New Roman"/>
          <w:sz w:val="24"/>
          <w:szCs w:val="24"/>
          <w:lang w:eastAsia="en-GB"/>
        </w:rPr>
        <w:t>është ndërtuar në vitin 2010 dhe përditësohet çdo vit. Anketa e regjistrave t</w:t>
      </w:r>
      <w:r w:rsidRPr="00B31292">
        <w:rPr>
          <w:rFonts w:ascii="Garamond" w:hAnsi="Garamond" w:cs="Times New Roman"/>
          <w:sz w:val="24"/>
          <w:szCs w:val="24"/>
        </w:rPr>
        <w:t>ë</w:t>
      </w:r>
      <w:r w:rsidRPr="00B31292">
        <w:rPr>
          <w:rFonts w:ascii="Garamond" w:hAnsi="Garamond" w:cs="Times New Roman"/>
          <w:sz w:val="24"/>
          <w:szCs w:val="24"/>
          <w:lang w:eastAsia="en-GB"/>
        </w:rPr>
        <w:t xml:space="preserve"> biznesit e zhvilluar në vitin 2024 do të sh</w:t>
      </w:r>
      <w:r w:rsidRPr="00B31292">
        <w:rPr>
          <w:rFonts w:ascii="Garamond" w:hAnsi="Garamond" w:cs="Times New Roman"/>
          <w:sz w:val="24"/>
          <w:szCs w:val="24"/>
        </w:rPr>
        <w:t>ë</w:t>
      </w:r>
      <w:r w:rsidRPr="00B31292">
        <w:rPr>
          <w:rFonts w:ascii="Garamond" w:hAnsi="Garamond" w:cs="Times New Roman"/>
          <w:sz w:val="24"/>
          <w:szCs w:val="24"/>
          <w:lang w:eastAsia="en-GB"/>
        </w:rPr>
        <w:t>rbejë p</w:t>
      </w:r>
      <w:r w:rsidRPr="00B31292">
        <w:rPr>
          <w:rFonts w:ascii="Garamond" w:hAnsi="Garamond" w:cs="Times New Roman"/>
          <w:sz w:val="24"/>
          <w:szCs w:val="24"/>
        </w:rPr>
        <w:t>ë</w:t>
      </w:r>
      <w:r w:rsidRPr="00B31292">
        <w:rPr>
          <w:rFonts w:ascii="Garamond" w:hAnsi="Garamond" w:cs="Times New Roman"/>
          <w:sz w:val="24"/>
          <w:szCs w:val="24"/>
          <w:lang w:eastAsia="en-GB"/>
        </w:rPr>
        <w:t>r p</w:t>
      </w:r>
      <w:r w:rsidRPr="00B31292">
        <w:rPr>
          <w:rFonts w:ascii="Garamond" w:hAnsi="Garamond" w:cs="Times New Roman"/>
          <w:sz w:val="24"/>
          <w:szCs w:val="24"/>
        </w:rPr>
        <w:t>ë</w:t>
      </w:r>
      <w:r w:rsidRPr="00B31292">
        <w:rPr>
          <w:rFonts w:ascii="Garamond" w:hAnsi="Garamond" w:cs="Times New Roman"/>
          <w:sz w:val="24"/>
          <w:szCs w:val="24"/>
          <w:lang w:eastAsia="en-GB"/>
        </w:rPr>
        <w:t>rdit</w:t>
      </w:r>
      <w:r w:rsidRPr="00B31292">
        <w:rPr>
          <w:rFonts w:ascii="Garamond" w:hAnsi="Garamond" w:cs="Times New Roman"/>
          <w:sz w:val="24"/>
          <w:szCs w:val="24"/>
        </w:rPr>
        <w:t>ë</w:t>
      </w:r>
      <w:r w:rsidRPr="00B31292">
        <w:rPr>
          <w:rFonts w:ascii="Garamond" w:hAnsi="Garamond" w:cs="Times New Roman"/>
          <w:sz w:val="24"/>
          <w:szCs w:val="24"/>
          <w:lang w:eastAsia="en-GB"/>
        </w:rPr>
        <w:t>simin e tij dhe përmirësimin e cilësisë.</w:t>
      </w:r>
    </w:p>
    <w:p w14:paraId="78846B10" w14:textId="2142C35B" w:rsidR="0039014C" w:rsidRPr="00B31292" w:rsidRDefault="0039014C" w:rsidP="003A4DBA">
      <w:pPr>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 xml:space="preserve">Regjistri i </w:t>
      </w:r>
      <w:r w:rsidR="00667306" w:rsidRPr="00B31292">
        <w:rPr>
          <w:rFonts w:ascii="Garamond" w:hAnsi="Garamond" w:cs="Times New Roman"/>
          <w:sz w:val="24"/>
          <w:szCs w:val="24"/>
        </w:rPr>
        <w:t xml:space="preserve">grupeve të ndërmarrjeve shumëkombëshe </w:t>
      </w:r>
      <w:r w:rsidRPr="00B31292">
        <w:rPr>
          <w:rFonts w:ascii="Garamond" w:hAnsi="Garamond" w:cs="Times New Roman"/>
          <w:sz w:val="24"/>
          <w:szCs w:val="24"/>
        </w:rPr>
        <w:t xml:space="preserve">është ndërtuar në vitit 2018. Për shkak të globalizimit, krahasueshmëria ndërkombëtare e të dhënave statistikore është bërë shumë e rëndësishme dhe </w:t>
      </w:r>
      <w:r w:rsidRPr="00B31292">
        <w:rPr>
          <w:rFonts w:ascii="Garamond" w:hAnsi="Garamond" w:cs="Times New Roman"/>
          <w:sz w:val="24"/>
          <w:szCs w:val="24"/>
          <w:lang w:eastAsia="en-GB"/>
        </w:rPr>
        <w:t>anketa e regjistrave t</w:t>
      </w:r>
      <w:r w:rsidRPr="00B31292">
        <w:rPr>
          <w:rFonts w:ascii="Garamond" w:hAnsi="Garamond" w:cs="Times New Roman"/>
          <w:sz w:val="24"/>
          <w:szCs w:val="24"/>
        </w:rPr>
        <w:t>ë</w:t>
      </w:r>
      <w:r w:rsidRPr="00B31292">
        <w:rPr>
          <w:rFonts w:ascii="Garamond" w:hAnsi="Garamond" w:cs="Times New Roman"/>
          <w:sz w:val="24"/>
          <w:szCs w:val="24"/>
          <w:lang w:eastAsia="en-GB"/>
        </w:rPr>
        <w:t xml:space="preserve"> biznesit sh</w:t>
      </w:r>
      <w:r w:rsidRPr="00B31292">
        <w:rPr>
          <w:rFonts w:ascii="Garamond" w:hAnsi="Garamond" w:cs="Times New Roman"/>
          <w:sz w:val="24"/>
          <w:szCs w:val="24"/>
        </w:rPr>
        <w:t>ë</w:t>
      </w:r>
      <w:r w:rsidRPr="00B31292">
        <w:rPr>
          <w:rFonts w:ascii="Garamond" w:hAnsi="Garamond" w:cs="Times New Roman"/>
          <w:sz w:val="24"/>
          <w:szCs w:val="24"/>
          <w:lang w:eastAsia="en-GB"/>
        </w:rPr>
        <w:t>rben p</w:t>
      </w:r>
      <w:r w:rsidRPr="00B31292">
        <w:rPr>
          <w:rFonts w:ascii="Garamond" w:hAnsi="Garamond" w:cs="Times New Roman"/>
          <w:sz w:val="24"/>
          <w:szCs w:val="24"/>
        </w:rPr>
        <w:t>ë</w:t>
      </w:r>
      <w:r w:rsidRPr="00B31292">
        <w:rPr>
          <w:rFonts w:ascii="Garamond" w:hAnsi="Garamond" w:cs="Times New Roman"/>
          <w:sz w:val="24"/>
          <w:szCs w:val="24"/>
          <w:lang w:eastAsia="en-GB"/>
        </w:rPr>
        <w:t>r p</w:t>
      </w:r>
      <w:r w:rsidRPr="00B31292">
        <w:rPr>
          <w:rFonts w:ascii="Garamond" w:hAnsi="Garamond" w:cs="Times New Roman"/>
          <w:sz w:val="24"/>
          <w:szCs w:val="24"/>
        </w:rPr>
        <w:t>ë</w:t>
      </w:r>
      <w:r w:rsidRPr="00B31292">
        <w:rPr>
          <w:rFonts w:ascii="Garamond" w:hAnsi="Garamond" w:cs="Times New Roman"/>
          <w:sz w:val="24"/>
          <w:szCs w:val="24"/>
          <w:lang w:eastAsia="en-GB"/>
        </w:rPr>
        <w:t>rdit</w:t>
      </w:r>
      <w:r w:rsidRPr="00B31292">
        <w:rPr>
          <w:rFonts w:ascii="Garamond" w:hAnsi="Garamond" w:cs="Times New Roman"/>
          <w:sz w:val="24"/>
          <w:szCs w:val="24"/>
        </w:rPr>
        <w:t>ë</w:t>
      </w:r>
      <w:r w:rsidRPr="00B31292">
        <w:rPr>
          <w:rFonts w:ascii="Garamond" w:hAnsi="Garamond" w:cs="Times New Roman"/>
          <w:sz w:val="24"/>
          <w:szCs w:val="24"/>
          <w:lang w:eastAsia="en-GB"/>
        </w:rPr>
        <w:t>simin e tij.</w:t>
      </w:r>
      <w:r w:rsidRPr="00B31292">
        <w:rPr>
          <w:rFonts w:ascii="Garamond" w:hAnsi="Garamond" w:cs="Times New Roman"/>
          <w:sz w:val="24"/>
          <w:szCs w:val="24"/>
        </w:rPr>
        <w:t xml:space="preserve"> Gjatë vitit 2025 do të analizohen</w:t>
      </w:r>
      <w:r w:rsidR="00C80F62" w:rsidRPr="00B31292">
        <w:rPr>
          <w:rFonts w:ascii="Garamond" w:hAnsi="Garamond" w:cs="Times New Roman"/>
          <w:sz w:val="24"/>
          <w:szCs w:val="24"/>
        </w:rPr>
        <w:t xml:space="preserve"> </w:t>
      </w:r>
      <w:r w:rsidRPr="00B31292">
        <w:rPr>
          <w:rFonts w:ascii="Garamond" w:hAnsi="Garamond" w:cs="Times New Roman"/>
          <w:sz w:val="24"/>
          <w:szCs w:val="24"/>
        </w:rPr>
        <w:t>burimet administrative për përditësimin e tij.</w:t>
      </w:r>
    </w:p>
    <w:p w14:paraId="0B0C31D6" w14:textId="77777777" w:rsidR="0039014C" w:rsidRPr="00B31292" w:rsidRDefault="0039014C" w:rsidP="003A4DBA">
      <w:pPr>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 xml:space="preserve">Ndërtimi i infrastrukturës IT për dokumentimin, ruajtjen, mirëmbajtjen dhe përditësimin e regjistrave të biznesit në kohë reale do të përmirësojë cilësinë e statistikave ekonomike gjatë vitit 2025. </w:t>
      </w:r>
    </w:p>
    <w:p w14:paraId="6DE09D4E" w14:textId="4CCB5E77" w:rsidR="0039014C" w:rsidRPr="00B31292" w:rsidRDefault="0039014C" w:rsidP="003A4DBA">
      <w:pPr>
        <w:spacing w:after="0" w:line="240" w:lineRule="auto"/>
        <w:ind w:firstLine="284"/>
        <w:jc w:val="both"/>
        <w:rPr>
          <w:rFonts w:ascii="Garamond" w:hAnsi="Garamond" w:cs="Times New Roman"/>
          <w:sz w:val="24"/>
          <w:szCs w:val="24"/>
        </w:rPr>
      </w:pPr>
      <w:r w:rsidRPr="00B31292">
        <w:rPr>
          <w:rFonts w:ascii="Garamond" w:hAnsi="Garamond" w:cs="Times New Roman"/>
          <w:b/>
          <w:sz w:val="24"/>
          <w:szCs w:val="24"/>
        </w:rPr>
        <w:t>Treguesit kryesorë:</w:t>
      </w:r>
      <w:r w:rsidRPr="00B31292">
        <w:rPr>
          <w:rFonts w:ascii="Garamond" w:hAnsi="Garamond" w:cs="Times New Roman"/>
          <w:sz w:val="24"/>
          <w:szCs w:val="24"/>
        </w:rPr>
        <w:t xml:space="preserve"> Tregues mbi aktivitetet ekonomike, punësimin, të ardhurat e shpenzimet, investimet, dhe të dhëna specifike për ndërtimin, tregtinë dhe bar-kafetë e restorantet etj</w:t>
      </w:r>
      <w:r w:rsidR="00BA12C3" w:rsidRPr="00B31292">
        <w:rPr>
          <w:rFonts w:ascii="Garamond" w:hAnsi="Garamond" w:cs="Times New Roman"/>
          <w:sz w:val="24"/>
          <w:szCs w:val="24"/>
        </w:rPr>
        <w:t>.</w:t>
      </w:r>
      <w:r w:rsidRPr="00B31292">
        <w:rPr>
          <w:rFonts w:ascii="Garamond" w:hAnsi="Garamond" w:cs="Times New Roman"/>
          <w:sz w:val="24"/>
          <w:szCs w:val="24"/>
        </w:rPr>
        <w:t xml:space="preserve">; </w:t>
      </w:r>
      <w:r w:rsidR="00667306" w:rsidRPr="00B31292">
        <w:rPr>
          <w:rFonts w:ascii="Garamond" w:hAnsi="Garamond" w:cs="Times New Roman"/>
          <w:sz w:val="24"/>
          <w:szCs w:val="24"/>
        </w:rPr>
        <w:t>t</w:t>
      </w:r>
      <w:r w:rsidRPr="00B31292">
        <w:rPr>
          <w:rFonts w:ascii="Garamond" w:hAnsi="Garamond" w:cs="Times New Roman"/>
          <w:sz w:val="24"/>
          <w:szCs w:val="24"/>
        </w:rPr>
        <w:t xml:space="preserve">regues statistikorë kryesorë ekonomikë në nivel rajonal; </w:t>
      </w:r>
      <w:r w:rsidR="00667306" w:rsidRPr="00B31292">
        <w:rPr>
          <w:rFonts w:ascii="Garamond" w:hAnsi="Garamond" w:cs="Times New Roman"/>
          <w:sz w:val="24"/>
          <w:szCs w:val="24"/>
        </w:rPr>
        <w:t>t</w:t>
      </w:r>
      <w:r w:rsidRPr="00B31292">
        <w:rPr>
          <w:rFonts w:ascii="Garamond" w:hAnsi="Garamond" w:cs="Times New Roman"/>
          <w:sz w:val="24"/>
          <w:szCs w:val="24"/>
        </w:rPr>
        <w:t xml:space="preserve">regues në volum dhe vlerë mbi produktet industriale; </w:t>
      </w:r>
      <w:r w:rsidR="00667306" w:rsidRPr="00B31292">
        <w:rPr>
          <w:rFonts w:ascii="Garamond" w:hAnsi="Garamond" w:cs="Times New Roman"/>
          <w:sz w:val="24"/>
          <w:szCs w:val="24"/>
        </w:rPr>
        <w:t>t</w:t>
      </w:r>
      <w:r w:rsidRPr="00B31292">
        <w:rPr>
          <w:rFonts w:ascii="Garamond" w:hAnsi="Garamond" w:cs="Times New Roman"/>
          <w:sz w:val="24"/>
          <w:szCs w:val="24"/>
        </w:rPr>
        <w:t>regues statistikorë mbi aktivitetin ekonomik, shitjet, prodhimin, numrin e personave të punësuar, fondin e pagave, treguesit specifikë të ndërtimit</w:t>
      </w:r>
      <w:r w:rsidR="00667306" w:rsidRPr="00B31292">
        <w:rPr>
          <w:rFonts w:ascii="Garamond" w:hAnsi="Garamond" w:cs="Times New Roman"/>
          <w:sz w:val="24"/>
          <w:szCs w:val="24"/>
        </w:rPr>
        <w:t>,</w:t>
      </w:r>
      <w:r w:rsidRPr="00B31292">
        <w:rPr>
          <w:rFonts w:ascii="Garamond" w:hAnsi="Garamond" w:cs="Times New Roman"/>
          <w:sz w:val="24"/>
          <w:szCs w:val="24"/>
        </w:rPr>
        <w:t xml:space="preserve"> si dhe statistikat e grupeve kryesore industriale; </w:t>
      </w:r>
      <w:r w:rsidR="00667306" w:rsidRPr="00B31292">
        <w:rPr>
          <w:rFonts w:ascii="Garamond" w:hAnsi="Garamond" w:cs="Times New Roman"/>
          <w:sz w:val="24"/>
          <w:szCs w:val="24"/>
        </w:rPr>
        <w:t>t</w:t>
      </w:r>
      <w:r w:rsidRPr="00B31292">
        <w:rPr>
          <w:rFonts w:ascii="Garamond" w:hAnsi="Garamond" w:cs="Times New Roman"/>
          <w:sz w:val="24"/>
          <w:szCs w:val="24"/>
        </w:rPr>
        <w:t xml:space="preserve">regues mbi numrin, sipërfaqen dhe vlerën e lejeve të ndërtimit të miratuara në territorin e Republikës së Shqipërisë; </w:t>
      </w:r>
      <w:r w:rsidR="00667306" w:rsidRPr="00B31292">
        <w:rPr>
          <w:rFonts w:ascii="Garamond" w:hAnsi="Garamond" w:cs="Times New Roman"/>
          <w:sz w:val="24"/>
          <w:szCs w:val="24"/>
        </w:rPr>
        <w:t>t</w:t>
      </w:r>
      <w:r w:rsidRPr="00B31292">
        <w:rPr>
          <w:rFonts w:ascii="Garamond" w:hAnsi="Garamond" w:cs="Times New Roman"/>
          <w:sz w:val="24"/>
          <w:szCs w:val="24"/>
        </w:rPr>
        <w:t xml:space="preserve">regues lidhur me regjistrat e biznesit, si: numrin e ndërmarrjeve dhe njësive lokale, pronësinë, formën ligjore, tregues të ngjarjeve demografike, aktivitetin ekonomik, xhiro vjetore, të punësuar gjithsej dhe të punësuar me pagesë, </w:t>
      </w:r>
      <w:r w:rsidR="0013570C" w:rsidRPr="00B31292">
        <w:rPr>
          <w:rFonts w:ascii="Garamond" w:hAnsi="Garamond" w:cs="Times New Roman"/>
          <w:sz w:val="24"/>
          <w:szCs w:val="24"/>
        </w:rPr>
        <w:t xml:space="preserve">si </w:t>
      </w:r>
      <w:r w:rsidRPr="00B31292">
        <w:rPr>
          <w:rFonts w:ascii="Garamond" w:hAnsi="Garamond" w:cs="Times New Roman"/>
          <w:sz w:val="24"/>
          <w:szCs w:val="24"/>
        </w:rPr>
        <w:t>dhe tregues të tjerë për përditësimin dhe matjen e cilësisë së regjistrave statistikorë të njësive ekonomike.</w:t>
      </w:r>
    </w:p>
    <w:p w14:paraId="5797EACF" w14:textId="5AD994E8" w:rsidR="00564155" w:rsidRPr="00B31292" w:rsidRDefault="0039014C" w:rsidP="003A4DBA">
      <w:pPr>
        <w:spacing w:after="0" w:line="240" w:lineRule="auto"/>
        <w:ind w:firstLine="284"/>
        <w:jc w:val="both"/>
        <w:rPr>
          <w:rFonts w:ascii="Garamond" w:eastAsia="Times New Roman" w:hAnsi="Garamond" w:cs="Times New Roman"/>
          <w:sz w:val="24"/>
          <w:szCs w:val="24"/>
        </w:rPr>
      </w:pPr>
      <w:r w:rsidRPr="00B31292">
        <w:rPr>
          <w:rFonts w:ascii="Garamond" w:hAnsi="Garamond" w:cs="Times New Roman"/>
          <w:b/>
          <w:sz w:val="24"/>
          <w:szCs w:val="24"/>
        </w:rPr>
        <w:t xml:space="preserve">Përputhshmëria me </w:t>
      </w:r>
      <w:r w:rsidRPr="00B31292">
        <w:rPr>
          <w:rFonts w:ascii="Garamond" w:hAnsi="Garamond" w:cs="Times New Roman"/>
          <w:b/>
          <w:i/>
          <w:sz w:val="24"/>
          <w:szCs w:val="24"/>
        </w:rPr>
        <w:t>acquis</w:t>
      </w:r>
      <w:r w:rsidRPr="00B31292">
        <w:rPr>
          <w:rFonts w:ascii="Garamond" w:hAnsi="Garamond" w:cs="Times New Roman"/>
          <w:b/>
          <w:bCs/>
          <w:iCs/>
          <w:sz w:val="24"/>
          <w:szCs w:val="24"/>
        </w:rPr>
        <w:t xml:space="preserve">: </w:t>
      </w:r>
      <w:r w:rsidRPr="00B31292">
        <w:rPr>
          <w:rFonts w:ascii="Garamond" w:hAnsi="Garamond" w:cs="Times New Roman"/>
          <w:bCs/>
          <w:i/>
          <w:iCs/>
          <w:sz w:val="24"/>
          <w:szCs w:val="24"/>
        </w:rPr>
        <w:t>Statistikat e biznesit</w:t>
      </w:r>
      <w:r w:rsidRPr="00B31292">
        <w:rPr>
          <w:rFonts w:ascii="Garamond" w:hAnsi="Garamond" w:cs="Times New Roman"/>
          <w:bCs/>
          <w:iCs/>
          <w:sz w:val="24"/>
          <w:szCs w:val="24"/>
        </w:rPr>
        <w:t xml:space="preserve"> janë pjesërisht në përputhje me </w:t>
      </w:r>
      <w:r w:rsidR="00667306" w:rsidRPr="00B31292">
        <w:rPr>
          <w:rFonts w:ascii="Garamond" w:hAnsi="Garamond" w:cs="Times New Roman"/>
          <w:bCs/>
          <w:iCs/>
          <w:sz w:val="24"/>
          <w:szCs w:val="24"/>
        </w:rPr>
        <w:t>r</w:t>
      </w:r>
      <w:r w:rsidRPr="00B31292">
        <w:rPr>
          <w:rFonts w:ascii="Garamond" w:hAnsi="Garamond" w:cs="Times New Roman"/>
          <w:bCs/>
          <w:iCs/>
          <w:sz w:val="24"/>
          <w:szCs w:val="24"/>
        </w:rPr>
        <w:t xml:space="preserve">regulloren (EC) </w:t>
      </w:r>
      <w:r w:rsidR="00BA12C3" w:rsidRPr="00B31292">
        <w:rPr>
          <w:rFonts w:ascii="Garamond" w:hAnsi="Garamond" w:cs="Times New Roman"/>
          <w:bCs/>
          <w:iCs/>
          <w:sz w:val="24"/>
          <w:szCs w:val="24"/>
        </w:rPr>
        <w:t>n</w:t>
      </w:r>
      <w:r w:rsidRPr="00B31292">
        <w:rPr>
          <w:rFonts w:ascii="Garamond" w:hAnsi="Garamond" w:cs="Times New Roman"/>
          <w:bCs/>
          <w:iCs/>
          <w:sz w:val="24"/>
          <w:szCs w:val="24"/>
        </w:rPr>
        <w:t>r. 2019/2152</w:t>
      </w:r>
      <w:r w:rsidR="00BA12C3" w:rsidRPr="00B31292">
        <w:rPr>
          <w:rFonts w:ascii="Garamond" w:hAnsi="Garamond" w:cs="Times New Roman"/>
          <w:bCs/>
          <w:iCs/>
          <w:sz w:val="24"/>
          <w:szCs w:val="24"/>
        </w:rPr>
        <w:t>,</w:t>
      </w:r>
      <w:r w:rsidRPr="00B31292">
        <w:rPr>
          <w:rFonts w:ascii="Garamond" w:hAnsi="Garamond" w:cs="Times New Roman"/>
          <w:bCs/>
          <w:iCs/>
          <w:sz w:val="24"/>
          <w:szCs w:val="24"/>
        </w:rPr>
        <w:t xml:space="preserve"> </w:t>
      </w:r>
      <w:r w:rsidR="00BA12C3" w:rsidRPr="00B31292">
        <w:rPr>
          <w:rFonts w:ascii="Garamond" w:hAnsi="Garamond" w:cs="Times New Roman"/>
          <w:bCs/>
          <w:iCs/>
          <w:sz w:val="24"/>
          <w:szCs w:val="24"/>
        </w:rPr>
        <w:t>“</w:t>
      </w:r>
      <w:r w:rsidRPr="00B31292">
        <w:rPr>
          <w:rFonts w:ascii="Garamond" w:hAnsi="Garamond" w:cs="Times New Roman"/>
          <w:bCs/>
          <w:iCs/>
          <w:sz w:val="24"/>
          <w:szCs w:val="24"/>
        </w:rPr>
        <w:t>Për statistikat evropiane të biznesit</w:t>
      </w:r>
      <w:r w:rsidR="00BA12C3" w:rsidRPr="00B31292">
        <w:rPr>
          <w:rFonts w:ascii="Garamond" w:hAnsi="Garamond" w:cs="Times New Roman"/>
          <w:bCs/>
          <w:iCs/>
          <w:sz w:val="24"/>
          <w:szCs w:val="24"/>
        </w:rPr>
        <w:t>”</w:t>
      </w:r>
      <w:r w:rsidRPr="00B31292">
        <w:rPr>
          <w:rFonts w:ascii="Garamond" w:hAnsi="Garamond" w:cs="Times New Roman"/>
          <w:bCs/>
          <w:iCs/>
          <w:sz w:val="24"/>
          <w:szCs w:val="24"/>
        </w:rPr>
        <w:t xml:space="preserve"> dhe rregulloret tjera zbatuese të saj, ndërkohë që zbatojnë të njëjtat përkufizime dhe klasifikime.</w:t>
      </w:r>
      <w:r w:rsidR="001B27D2" w:rsidRPr="00B31292">
        <w:rPr>
          <w:rFonts w:ascii="Garamond" w:hAnsi="Garamond" w:cs="Times New Roman"/>
          <w:bCs/>
          <w:iCs/>
          <w:sz w:val="24"/>
          <w:szCs w:val="24"/>
        </w:rPr>
        <w:t xml:space="preserve"> </w:t>
      </w:r>
      <w:r w:rsidRPr="00B31292">
        <w:rPr>
          <w:rFonts w:ascii="Garamond" w:eastAsia="Times New Roman" w:hAnsi="Garamond" w:cs="Times New Roman"/>
          <w:sz w:val="24"/>
          <w:szCs w:val="24"/>
        </w:rPr>
        <w:t xml:space="preserve">Projekte statistikore të ndryshme të programit IPA shumëpërfitues kanë ndihmuar dhe vazhdojnë të ndihmojnë në zhvillimin e statistikave të biznesit. </w:t>
      </w:r>
    </w:p>
    <w:p w14:paraId="7A17F471" w14:textId="70E525AE" w:rsidR="00564155" w:rsidRPr="00B31292" w:rsidRDefault="00564155" w:rsidP="003A4DBA">
      <w:pPr>
        <w:spacing w:after="0" w:line="240" w:lineRule="auto"/>
        <w:ind w:firstLine="284"/>
        <w:jc w:val="both"/>
        <w:rPr>
          <w:rFonts w:ascii="Garamond" w:hAnsi="Garamond" w:cs="Times New Roman"/>
          <w:bCs/>
          <w:i/>
          <w:sz w:val="24"/>
          <w:szCs w:val="24"/>
        </w:rPr>
      </w:pPr>
      <w:r w:rsidRPr="00B31292">
        <w:rPr>
          <w:rFonts w:ascii="Garamond" w:hAnsi="Garamond" w:cs="Times New Roman"/>
          <w:bCs/>
          <w:i/>
          <w:sz w:val="24"/>
          <w:szCs w:val="24"/>
        </w:rPr>
        <w:t>Tabela nr. 1</w:t>
      </w:r>
      <w:r w:rsidR="00EC32D0" w:rsidRPr="00B31292">
        <w:rPr>
          <w:rFonts w:ascii="Garamond" w:hAnsi="Garamond" w:cs="Times New Roman"/>
          <w:bCs/>
          <w:i/>
          <w:sz w:val="24"/>
          <w:szCs w:val="24"/>
        </w:rPr>
        <w:t>2</w:t>
      </w:r>
      <w:r w:rsidR="00BA12C3" w:rsidRPr="00B31292">
        <w:rPr>
          <w:rFonts w:ascii="Garamond" w:hAnsi="Garamond" w:cs="Times New Roman"/>
          <w:bCs/>
          <w:i/>
          <w:sz w:val="24"/>
          <w:szCs w:val="24"/>
        </w:rPr>
        <w:t>:</w:t>
      </w:r>
      <w:r w:rsidR="002E2911" w:rsidRPr="00B31292">
        <w:rPr>
          <w:rFonts w:ascii="Garamond" w:hAnsi="Garamond" w:cs="Times New Roman"/>
          <w:bCs/>
          <w:i/>
          <w:sz w:val="24"/>
          <w:szCs w:val="24"/>
        </w:rPr>
        <w:t xml:space="preserve"> </w:t>
      </w:r>
      <w:r w:rsidR="00DD2EF8" w:rsidRPr="00B31292">
        <w:rPr>
          <w:rFonts w:ascii="Garamond" w:hAnsi="Garamond" w:cs="Times New Roman"/>
          <w:bCs/>
          <w:i/>
          <w:sz w:val="24"/>
          <w:szCs w:val="24"/>
        </w:rPr>
        <w:t>Lista e vrojtimeve</w:t>
      </w:r>
      <w:r w:rsidRPr="00B31292">
        <w:rPr>
          <w:rFonts w:ascii="Garamond" w:hAnsi="Garamond" w:cs="Times New Roman"/>
          <w:bCs/>
          <w:i/>
          <w:sz w:val="24"/>
          <w:szCs w:val="24"/>
        </w:rPr>
        <w:t xml:space="preserve"> për fushën </w:t>
      </w:r>
      <w:r w:rsidR="00BA12C3" w:rsidRPr="00B31292">
        <w:rPr>
          <w:rFonts w:ascii="Garamond" w:hAnsi="Garamond" w:cs="Times New Roman"/>
          <w:bCs/>
          <w:i/>
          <w:sz w:val="24"/>
          <w:szCs w:val="24"/>
        </w:rPr>
        <w:t>“</w:t>
      </w:r>
      <w:r w:rsidRPr="00B31292">
        <w:rPr>
          <w:rFonts w:ascii="Garamond" w:hAnsi="Garamond" w:cs="Times New Roman"/>
          <w:bCs/>
          <w:i/>
          <w:sz w:val="24"/>
          <w:szCs w:val="24"/>
        </w:rPr>
        <w:t xml:space="preserve">Statistikat </w:t>
      </w:r>
      <w:r w:rsidR="00667306" w:rsidRPr="00B31292">
        <w:rPr>
          <w:rFonts w:ascii="Garamond" w:hAnsi="Garamond" w:cs="Times New Roman"/>
          <w:bCs/>
          <w:i/>
          <w:sz w:val="24"/>
          <w:szCs w:val="24"/>
        </w:rPr>
        <w:t>e</w:t>
      </w:r>
      <w:r w:rsidRPr="00B31292">
        <w:rPr>
          <w:rFonts w:ascii="Garamond" w:hAnsi="Garamond" w:cs="Times New Roman"/>
          <w:bCs/>
          <w:i/>
          <w:sz w:val="24"/>
          <w:szCs w:val="24"/>
        </w:rPr>
        <w:t>konomike</w:t>
      </w:r>
      <w:r w:rsidR="00BA12C3" w:rsidRPr="00B31292">
        <w:rPr>
          <w:rFonts w:ascii="Garamond" w:hAnsi="Garamond" w:cs="Times New Roman"/>
          <w:bCs/>
          <w:i/>
          <w:sz w:val="24"/>
          <w:szCs w:val="24"/>
        </w:rPr>
        <w:t>”</w:t>
      </w:r>
    </w:p>
    <w:p w14:paraId="549C46CB" w14:textId="6BB0F16F" w:rsidR="00564155" w:rsidRPr="00B31292" w:rsidRDefault="00D87FF8" w:rsidP="003A4DBA">
      <w:pPr>
        <w:spacing w:after="0" w:line="240" w:lineRule="auto"/>
        <w:jc w:val="both"/>
        <w:rPr>
          <w:rFonts w:ascii="Garamond" w:hAnsi="Garamond" w:cs="Times New Roman"/>
          <w:b/>
          <w:i/>
          <w:sz w:val="24"/>
          <w:szCs w:val="24"/>
        </w:rPr>
      </w:pPr>
      <w:r w:rsidRPr="00B31292">
        <w:rPr>
          <w:rFonts w:ascii="Garamond" w:hAnsi="Garamond" w:cs="Times New Roman"/>
          <w:b/>
          <w:i/>
          <w:noProof/>
          <w:sz w:val="24"/>
          <w:szCs w:val="24"/>
          <w:lang w:val="en-US"/>
        </w:rPr>
        <w:drawing>
          <wp:inline distT="0" distB="0" distL="0" distR="0" wp14:anchorId="6F191441" wp14:editId="289A4ABC">
            <wp:extent cx="5731510" cy="1343025"/>
            <wp:effectExtent l="0" t="0" r="254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731510" cy="1343025"/>
                    </a:xfrm>
                    <a:prstGeom prst="rect">
                      <a:avLst/>
                    </a:prstGeom>
                  </pic:spPr>
                </pic:pic>
              </a:graphicData>
            </a:graphic>
          </wp:inline>
        </w:drawing>
      </w:r>
    </w:p>
    <w:p w14:paraId="6DCAFB0D" w14:textId="2E4D9FD9" w:rsidR="00FB1121" w:rsidRPr="00B31292" w:rsidRDefault="00FB1121" w:rsidP="003A4DBA">
      <w:pPr>
        <w:spacing w:after="0" w:line="240" w:lineRule="auto"/>
        <w:ind w:firstLine="284"/>
        <w:jc w:val="both"/>
        <w:rPr>
          <w:rFonts w:ascii="Garamond" w:hAnsi="Garamond" w:cs="Times New Roman"/>
          <w:bCs/>
          <w:i/>
          <w:sz w:val="24"/>
          <w:szCs w:val="24"/>
        </w:rPr>
      </w:pPr>
      <w:bookmarkStart w:id="35" w:name="_Hlk182551737"/>
      <w:r w:rsidRPr="00B31292">
        <w:rPr>
          <w:rFonts w:ascii="Garamond" w:hAnsi="Garamond" w:cs="Times New Roman"/>
          <w:bCs/>
          <w:i/>
          <w:sz w:val="24"/>
          <w:szCs w:val="24"/>
        </w:rPr>
        <w:t>Tabela nr.</w:t>
      </w:r>
      <w:r w:rsidR="00BA12C3" w:rsidRPr="00B31292">
        <w:rPr>
          <w:rFonts w:ascii="Garamond" w:hAnsi="Garamond" w:cs="Times New Roman"/>
          <w:bCs/>
          <w:i/>
          <w:sz w:val="24"/>
          <w:szCs w:val="24"/>
        </w:rPr>
        <w:t xml:space="preserve"> </w:t>
      </w:r>
      <w:r w:rsidRPr="00B31292">
        <w:rPr>
          <w:rFonts w:ascii="Garamond" w:hAnsi="Garamond" w:cs="Times New Roman"/>
          <w:bCs/>
          <w:i/>
          <w:sz w:val="24"/>
          <w:szCs w:val="24"/>
        </w:rPr>
        <w:t>1</w:t>
      </w:r>
      <w:r w:rsidR="009C3923" w:rsidRPr="00B31292">
        <w:rPr>
          <w:rFonts w:ascii="Garamond" w:hAnsi="Garamond" w:cs="Times New Roman"/>
          <w:bCs/>
          <w:i/>
          <w:sz w:val="24"/>
          <w:szCs w:val="24"/>
        </w:rPr>
        <w:t>3</w:t>
      </w:r>
      <w:r w:rsidR="00BA12C3" w:rsidRPr="00B31292">
        <w:rPr>
          <w:rFonts w:ascii="Garamond" w:hAnsi="Garamond" w:cs="Times New Roman"/>
          <w:bCs/>
          <w:i/>
          <w:sz w:val="24"/>
          <w:szCs w:val="24"/>
        </w:rPr>
        <w:t>:</w:t>
      </w:r>
      <w:r w:rsidRPr="00B31292">
        <w:rPr>
          <w:rFonts w:ascii="Garamond" w:hAnsi="Garamond" w:cs="Times New Roman"/>
          <w:bCs/>
          <w:i/>
          <w:sz w:val="24"/>
          <w:szCs w:val="24"/>
        </w:rPr>
        <w:t xml:space="preserve"> Niveli i përputhshmëris</w:t>
      </w:r>
      <w:r w:rsidR="00E042A9" w:rsidRPr="00B31292">
        <w:rPr>
          <w:rFonts w:ascii="Garamond" w:hAnsi="Garamond" w:cs="Times New Roman"/>
          <w:bCs/>
          <w:i/>
          <w:sz w:val="24"/>
          <w:szCs w:val="24"/>
        </w:rPr>
        <w:t>ë</w:t>
      </w:r>
      <w:r w:rsidRPr="00B31292">
        <w:rPr>
          <w:rFonts w:ascii="Garamond" w:hAnsi="Garamond" w:cs="Times New Roman"/>
          <w:bCs/>
          <w:i/>
          <w:sz w:val="24"/>
          <w:szCs w:val="24"/>
        </w:rPr>
        <w:t xml:space="preserve"> me acquis p</w:t>
      </w:r>
      <w:r w:rsidR="00E042A9" w:rsidRPr="00B31292">
        <w:rPr>
          <w:rFonts w:ascii="Garamond" w:hAnsi="Garamond" w:cs="Times New Roman"/>
          <w:bCs/>
          <w:i/>
          <w:sz w:val="24"/>
          <w:szCs w:val="24"/>
        </w:rPr>
        <w:t>ë</w:t>
      </w:r>
      <w:r w:rsidRPr="00B31292">
        <w:rPr>
          <w:rFonts w:ascii="Garamond" w:hAnsi="Garamond" w:cs="Times New Roman"/>
          <w:bCs/>
          <w:i/>
          <w:sz w:val="24"/>
          <w:szCs w:val="24"/>
        </w:rPr>
        <w:t xml:space="preserve">r fushën </w:t>
      </w:r>
      <w:r w:rsidR="00BA12C3" w:rsidRPr="00B31292">
        <w:rPr>
          <w:rFonts w:ascii="Garamond" w:hAnsi="Garamond" w:cs="Times New Roman"/>
          <w:bCs/>
          <w:i/>
          <w:sz w:val="24"/>
          <w:szCs w:val="24"/>
        </w:rPr>
        <w:t>“</w:t>
      </w:r>
      <w:r w:rsidRPr="00B31292">
        <w:rPr>
          <w:rFonts w:ascii="Garamond" w:hAnsi="Garamond" w:cs="Times New Roman"/>
          <w:bCs/>
          <w:i/>
          <w:sz w:val="24"/>
          <w:szCs w:val="24"/>
        </w:rPr>
        <w:t xml:space="preserve">Statistikat </w:t>
      </w:r>
      <w:r w:rsidR="00667306" w:rsidRPr="00B31292">
        <w:rPr>
          <w:rFonts w:ascii="Garamond" w:hAnsi="Garamond" w:cs="Times New Roman"/>
          <w:bCs/>
          <w:i/>
          <w:sz w:val="24"/>
          <w:szCs w:val="24"/>
        </w:rPr>
        <w:t>e</w:t>
      </w:r>
      <w:r w:rsidRPr="00B31292">
        <w:rPr>
          <w:rFonts w:ascii="Garamond" w:hAnsi="Garamond" w:cs="Times New Roman"/>
          <w:bCs/>
          <w:i/>
          <w:sz w:val="24"/>
          <w:szCs w:val="24"/>
        </w:rPr>
        <w:t>konomike</w:t>
      </w:r>
      <w:r w:rsidR="00BA12C3" w:rsidRPr="00B31292">
        <w:rPr>
          <w:rFonts w:ascii="Garamond" w:hAnsi="Garamond" w:cs="Times New Roman"/>
          <w:bCs/>
          <w:i/>
          <w:sz w:val="24"/>
          <w:szCs w:val="24"/>
        </w:rPr>
        <w:t>”</w:t>
      </w:r>
    </w:p>
    <w:p w14:paraId="1C39CB0A" w14:textId="3CF10070" w:rsidR="00FB1121" w:rsidRPr="00B31292" w:rsidRDefault="00D87FF8" w:rsidP="009508C8">
      <w:pPr>
        <w:spacing w:after="0" w:line="240" w:lineRule="auto"/>
        <w:jc w:val="both"/>
        <w:rPr>
          <w:rFonts w:ascii="Garamond" w:hAnsi="Garamond" w:cs="Times New Roman"/>
          <w:b/>
          <w:i/>
          <w:sz w:val="24"/>
          <w:szCs w:val="24"/>
        </w:rPr>
      </w:pPr>
      <w:r w:rsidRPr="00B31292">
        <w:rPr>
          <w:rFonts w:ascii="Garamond" w:hAnsi="Garamond" w:cs="Times New Roman"/>
          <w:b/>
          <w:i/>
          <w:noProof/>
          <w:sz w:val="24"/>
          <w:szCs w:val="24"/>
          <w:lang w:val="en-US"/>
        </w:rPr>
        <w:lastRenderedPageBreak/>
        <w:drawing>
          <wp:inline distT="0" distB="0" distL="0" distR="0" wp14:anchorId="676E1EA3" wp14:editId="073E751A">
            <wp:extent cx="5295569" cy="2357368"/>
            <wp:effectExtent l="0" t="0" r="635" b="508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338879" cy="2376648"/>
                    </a:xfrm>
                    <a:prstGeom prst="rect">
                      <a:avLst/>
                    </a:prstGeom>
                  </pic:spPr>
                </pic:pic>
              </a:graphicData>
            </a:graphic>
          </wp:inline>
        </w:drawing>
      </w:r>
      <w:bookmarkEnd w:id="35"/>
    </w:p>
    <w:p w14:paraId="702F0A28" w14:textId="7EE24C90" w:rsidR="0039014C" w:rsidRPr="00B31292" w:rsidRDefault="0039014C" w:rsidP="003A4DBA">
      <w:pPr>
        <w:pStyle w:val="Heading2"/>
        <w:spacing w:before="0" w:line="240" w:lineRule="auto"/>
        <w:ind w:firstLine="284"/>
        <w:rPr>
          <w:rFonts w:ascii="Garamond" w:hAnsi="Garamond"/>
          <w:color w:val="auto"/>
          <w:sz w:val="24"/>
          <w:szCs w:val="24"/>
        </w:rPr>
      </w:pPr>
      <w:bookmarkStart w:id="36" w:name="_Toc182991973"/>
      <w:r w:rsidRPr="00B31292">
        <w:rPr>
          <w:rFonts w:ascii="Garamond" w:hAnsi="Garamond"/>
          <w:color w:val="auto"/>
          <w:sz w:val="24"/>
          <w:szCs w:val="24"/>
        </w:rPr>
        <w:t xml:space="preserve">Fusha 3 </w:t>
      </w:r>
      <w:r w:rsidR="00BA12C3" w:rsidRPr="00B31292">
        <w:rPr>
          <w:rFonts w:ascii="Garamond" w:hAnsi="Garamond"/>
          <w:color w:val="auto"/>
          <w:sz w:val="24"/>
          <w:szCs w:val="24"/>
        </w:rPr>
        <w:t>“</w:t>
      </w:r>
      <w:r w:rsidRPr="00B31292">
        <w:rPr>
          <w:rFonts w:ascii="Garamond" w:hAnsi="Garamond"/>
          <w:color w:val="auto"/>
          <w:sz w:val="24"/>
          <w:szCs w:val="24"/>
        </w:rPr>
        <w:t xml:space="preserve">Statistikat </w:t>
      </w:r>
      <w:r w:rsidR="00667306" w:rsidRPr="00B31292">
        <w:rPr>
          <w:rFonts w:ascii="Garamond" w:hAnsi="Garamond"/>
          <w:color w:val="auto"/>
          <w:sz w:val="24"/>
          <w:szCs w:val="24"/>
        </w:rPr>
        <w:t>s</w:t>
      </w:r>
      <w:r w:rsidRPr="00B31292">
        <w:rPr>
          <w:rFonts w:ascii="Garamond" w:hAnsi="Garamond"/>
          <w:color w:val="auto"/>
          <w:sz w:val="24"/>
          <w:szCs w:val="24"/>
        </w:rPr>
        <w:t>ektoriale</w:t>
      </w:r>
      <w:r w:rsidR="00BA12C3" w:rsidRPr="00B31292">
        <w:rPr>
          <w:rFonts w:ascii="Garamond" w:hAnsi="Garamond"/>
          <w:color w:val="auto"/>
          <w:sz w:val="24"/>
          <w:szCs w:val="24"/>
        </w:rPr>
        <w:t>”</w:t>
      </w:r>
      <w:bookmarkEnd w:id="36"/>
    </w:p>
    <w:p w14:paraId="57A5A454" w14:textId="06F236F9" w:rsidR="0039014C" w:rsidRPr="00B31292" w:rsidRDefault="0039014C" w:rsidP="003A4DBA">
      <w:pPr>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Statistikat sektoriale përfshijnë një sërë nënfushash heterogjene</w:t>
      </w:r>
      <w:r w:rsidR="00BA12C3" w:rsidRPr="00B31292">
        <w:rPr>
          <w:rFonts w:ascii="Garamond" w:hAnsi="Garamond" w:cs="Times New Roman"/>
          <w:sz w:val="24"/>
          <w:szCs w:val="24"/>
        </w:rPr>
        <w:t>,</w:t>
      </w:r>
      <w:r w:rsidRPr="00B31292">
        <w:rPr>
          <w:rFonts w:ascii="Garamond" w:hAnsi="Garamond" w:cs="Times New Roman"/>
          <w:sz w:val="24"/>
          <w:szCs w:val="24"/>
        </w:rPr>
        <w:t xml:space="preserve"> si: statistikat e bujqësisë, peshkimit dhe pyjeve, statistikat e energjisë, transportit, turizmit, statistikat mbi tregtinë e jashtme dhe bilancin e pagesave, statistikat e çmimeve, shkencës dhe teknologjisë, inovacionit. </w:t>
      </w:r>
    </w:p>
    <w:p w14:paraId="089E17D7" w14:textId="4AA01AC9" w:rsidR="0039014C" w:rsidRPr="00B31292" w:rsidRDefault="0039014C" w:rsidP="003A4DBA">
      <w:pPr>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Qëllimi kryesor i statistikave sektoriale është që të sigurojnë të dhëna në kohë dhe me cilësi të treguesve statistikorë të cilët ndihmojnë në hartimin e politikave të përbashkëta mbi fushat e sipërpërmendura, si dhe në monitorimin dhe menaxhimin e tyre.</w:t>
      </w:r>
    </w:p>
    <w:p w14:paraId="3405471B" w14:textId="536D4886" w:rsidR="0039014C" w:rsidRPr="00B31292" w:rsidRDefault="0039014C" w:rsidP="003A4DBA">
      <w:pPr>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 xml:space="preserve">Objektivi kryesor për vitin 2025, për statistikat sektoriale, realizimi i të gjithë objektivave sipas Programit të Statistikave Zyrtare </w:t>
      </w:r>
      <w:r w:rsidR="002277EC" w:rsidRPr="00B31292">
        <w:rPr>
          <w:rFonts w:ascii="Garamond" w:hAnsi="Garamond" w:cs="Times New Roman"/>
          <w:sz w:val="24"/>
          <w:szCs w:val="24"/>
        </w:rPr>
        <w:t>2022–2026</w:t>
      </w:r>
      <w:r w:rsidRPr="00B31292">
        <w:rPr>
          <w:rFonts w:ascii="Garamond" w:hAnsi="Garamond" w:cs="Times New Roman"/>
          <w:sz w:val="24"/>
          <w:szCs w:val="24"/>
        </w:rPr>
        <w:t>, me fokus rritjen e cilësisë dhe plotshmërisë së serive kohore për treguesit me frekuencë mujore, tremujore dhe vjetore, duke synuar rritjen e nivelit të përafrimit me</w:t>
      </w:r>
      <w:r w:rsidR="00451AA7" w:rsidRPr="00B31292">
        <w:rPr>
          <w:rFonts w:ascii="Garamond" w:hAnsi="Garamond" w:cs="Times New Roman"/>
          <w:sz w:val="24"/>
          <w:szCs w:val="24"/>
        </w:rPr>
        <w:t xml:space="preserve"> </w:t>
      </w:r>
      <w:r w:rsidRPr="00B31292">
        <w:rPr>
          <w:rFonts w:ascii="Garamond" w:hAnsi="Garamond" w:cs="Times New Roman"/>
          <w:i/>
          <w:sz w:val="24"/>
          <w:szCs w:val="24"/>
        </w:rPr>
        <w:t>acquis</w:t>
      </w:r>
      <w:r w:rsidRPr="00B31292">
        <w:rPr>
          <w:rFonts w:ascii="Garamond" w:hAnsi="Garamond" w:cs="Times New Roman"/>
          <w:sz w:val="24"/>
          <w:szCs w:val="24"/>
        </w:rPr>
        <w:t xml:space="preserve"> përkatëse.</w:t>
      </w:r>
    </w:p>
    <w:p w14:paraId="4985B2E5" w14:textId="765FBBF2" w:rsidR="0039014C" w:rsidRPr="00B31292" w:rsidRDefault="0039014C" w:rsidP="003A4DBA">
      <w:pPr>
        <w:spacing w:after="0" w:line="240" w:lineRule="auto"/>
        <w:ind w:firstLine="284"/>
        <w:jc w:val="both"/>
        <w:rPr>
          <w:rFonts w:ascii="Garamond" w:hAnsi="Garamond" w:cs="Times New Roman"/>
          <w:sz w:val="24"/>
          <w:szCs w:val="24"/>
        </w:rPr>
      </w:pPr>
      <w:r w:rsidRPr="00B31292">
        <w:rPr>
          <w:rFonts w:ascii="Garamond" w:hAnsi="Garamond" w:cs="Times New Roman"/>
          <w:b/>
          <w:sz w:val="24"/>
          <w:szCs w:val="24"/>
        </w:rPr>
        <w:t>Agjencitë statistikore përgjegjëse</w:t>
      </w:r>
      <w:r w:rsidRPr="00B31292">
        <w:rPr>
          <w:rFonts w:ascii="Garamond" w:hAnsi="Garamond" w:cs="Times New Roman"/>
          <w:sz w:val="24"/>
          <w:szCs w:val="24"/>
        </w:rPr>
        <w:t>: INSTAT</w:t>
      </w:r>
      <w:r w:rsidR="00BA12C3" w:rsidRPr="00B31292">
        <w:rPr>
          <w:rFonts w:ascii="Garamond" w:hAnsi="Garamond" w:cs="Times New Roman"/>
          <w:sz w:val="24"/>
          <w:szCs w:val="24"/>
        </w:rPr>
        <w:t>-i</w:t>
      </w:r>
      <w:r w:rsidR="009D22E3" w:rsidRPr="00B31292">
        <w:rPr>
          <w:rFonts w:ascii="Garamond" w:hAnsi="Garamond" w:cs="Times New Roman"/>
          <w:sz w:val="24"/>
          <w:szCs w:val="24"/>
        </w:rPr>
        <w:t xml:space="preserve">, </w:t>
      </w:r>
      <w:r w:rsidRPr="00B31292">
        <w:rPr>
          <w:rFonts w:ascii="Garamond" w:hAnsi="Garamond" w:cs="Times New Roman"/>
          <w:sz w:val="24"/>
          <w:szCs w:val="24"/>
        </w:rPr>
        <w:t>Banka e Shqipërisë</w:t>
      </w:r>
      <w:r w:rsidR="005B6949" w:rsidRPr="00B31292">
        <w:rPr>
          <w:rFonts w:ascii="Garamond" w:hAnsi="Garamond" w:cs="Times New Roman"/>
          <w:sz w:val="24"/>
          <w:szCs w:val="24"/>
        </w:rPr>
        <w:t>, Agjencia Kombëtare e Burimeve Natyrore.</w:t>
      </w:r>
    </w:p>
    <w:p w14:paraId="292CDE19" w14:textId="4FD4DD44" w:rsidR="00F3226E" w:rsidRPr="00B31292" w:rsidRDefault="0039014C" w:rsidP="003A4DBA">
      <w:pPr>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Në tabelën e mëposhtme (</w:t>
      </w:r>
      <w:r w:rsidR="00667306" w:rsidRPr="00B31292">
        <w:rPr>
          <w:rFonts w:ascii="Garamond" w:hAnsi="Garamond" w:cs="Times New Roman"/>
          <w:sz w:val="24"/>
          <w:szCs w:val="24"/>
        </w:rPr>
        <w:t>t</w:t>
      </w:r>
      <w:r w:rsidRPr="00B31292">
        <w:rPr>
          <w:rFonts w:ascii="Garamond" w:hAnsi="Garamond" w:cs="Times New Roman"/>
          <w:sz w:val="24"/>
          <w:szCs w:val="24"/>
        </w:rPr>
        <w:t>abela nr. 1</w:t>
      </w:r>
      <w:r w:rsidR="0051781F" w:rsidRPr="00B31292">
        <w:rPr>
          <w:rFonts w:ascii="Garamond" w:hAnsi="Garamond" w:cs="Times New Roman"/>
          <w:sz w:val="24"/>
          <w:szCs w:val="24"/>
        </w:rPr>
        <w:t>4</w:t>
      </w:r>
      <w:r w:rsidRPr="00B31292">
        <w:rPr>
          <w:rFonts w:ascii="Garamond" w:hAnsi="Garamond" w:cs="Times New Roman"/>
          <w:sz w:val="24"/>
          <w:szCs w:val="24"/>
        </w:rPr>
        <w:t>) paraqitet numri i aktiviteteve të kësaj fushe, për kategoritë: periodiciteti/burimi i të dhënave/niveli minimal i publikimit/institucioni</w:t>
      </w:r>
      <w:r w:rsidR="00667306" w:rsidRPr="00B31292">
        <w:rPr>
          <w:rFonts w:ascii="Garamond" w:hAnsi="Garamond" w:cs="Times New Roman"/>
          <w:sz w:val="24"/>
          <w:szCs w:val="24"/>
        </w:rPr>
        <w:t>.</w:t>
      </w:r>
    </w:p>
    <w:p w14:paraId="7B8EC4EC" w14:textId="117002FF" w:rsidR="00F3226E" w:rsidRPr="00B31292" w:rsidRDefault="00F3226E" w:rsidP="003A4DBA">
      <w:pPr>
        <w:spacing w:after="0" w:line="240" w:lineRule="auto"/>
        <w:ind w:firstLine="284"/>
        <w:jc w:val="both"/>
        <w:rPr>
          <w:rFonts w:ascii="Garamond" w:hAnsi="Garamond" w:cs="Times New Roman"/>
          <w:bCs/>
          <w:i/>
          <w:sz w:val="24"/>
          <w:szCs w:val="24"/>
        </w:rPr>
      </w:pPr>
      <w:r w:rsidRPr="00B31292">
        <w:rPr>
          <w:rFonts w:ascii="Garamond" w:hAnsi="Garamond" w:cs="Times New Roman"/>
          <w:bCs/>
          <w:i/>
          <w:sz w:val="24"/>
          <w:szCs w:val="24"/>
        </w:rPr>
        <w:t>Tabela nr. 1</w:t>
      </w:r>
      <w:r w:rsidR="0051781F" w:rsidRPr="00B31292">
        <w:rPr>
          <w:rFonts w:ascii="Garamond" w:hAnsi="Garamond" w:cs="Times New Roman"/>
          <w:bCs/>
          <w:i/>
          <w:sz w:val="24"/>
          <w:szCs w:val="24"/>
        </w:rPr>
        <w:t>4</w:t>
      </w:r>
      <w:r w:rsidR="00BA12C3" w:rsidRPr="00B31292">
        <w:rPr>
          <w:rFonts w:ascii="Garamond" w:hAnsi="Garamond" w:cs="Times New Roman"/>
          <w:bCs/>
          <w:i/>
          <w:sz w:val="24"/>
          <w:szCs w:val="24"/>
        </w:rPr>
        <w:t>:</w:t>
      </w:r>
      <w:r w:rsidRPr="00B31292">
        <w:rPr>
          <w:rFonts w:ascii="Garamond" w:hAnsi="Garamond" w:cs="Times New Roman"/>
          <w:bCs/>
          <w:i/>
          <w:sz w:val="24"/>
          <w:szCs w:val="24"/>
        </w:rPr>
        <w:t xml:space="preserve"> Përmbledhje e numrit të aktiviteteve për </w:t>
      </w:r>
      <w:r w:rsidR="00667306" w:rsidRPr="00B31292">
        <w:rPr>
          <w:rFonts w:ascii="Garamond" w:hAnsi="Garamond" w:cs="Times New Roman"/>
          <w:bCs/>
          <w:i/>
          <w:sz w:val="24"/>
          <w:szCs w:val="24"/>
        </w:rPr>
        <w:t>f</w:t>
      </w:r>
      <w:r w:rsidRPr="00B31292">
        <w:rPr>
          <w:rFonts w:ascii="Garamond" w:hAnsi="Garamond" w:cs="Times New Roman"/>
          <w:bCs/>
          <w:i/>
          <w:sz w:val="24"/>
          <w:szCs w:val="24"/>
        </w:rPr>
        <w:t xml:space="preserve">ushën </w:t>
      </w:r>
      <w:r w:rsidR="00BA12C3" w:rsidRPr="00B31292">
        <w:rPr>
          <w:rFonts w:ascii="Garamond" w:hAnsi="Garamond" w:cs="Times New Roman"/>
          <w:bCs/>
          <w:i/>
          <w:sz w:val="24"/>
          <w:szCs w:val="24"/>
        </w:rPr>
        <w:t>“</w:t>
      </w:r>
      <w:r w:rsidRPr="00B31292">
        <w:rPr>
          <w:rFonts w:ascii="Garamond" w:hAnsi="Garamond" w:cs="Times New Roman"/>
          <w:bCs/>
          <w:i/>
          <w:sz w:val="24"/>
          <w:szCs w:val="24"/>
        </w:rPr>
        <w:t xml:space="preserve">Statistikat </w:t>
      </w:r>
      <w:r w:rsidR="00667306" w:rsidRPr="00B31292">
        <w:rPr>
          <w:rFonts w:ascii="Garamond" w:hAnsi="Garamond" w:cs="Times New Roman"/>
          <w:bCs/>
          <w:i/>
          <w:sz w:val="24"/>
          <w:szCs w:val="24"/>
        </w:rPr>
        <w:t>s</w:t>
      </w:r>
      <w:r w:rsidRPr="00B31292">
        <w:rPr>
          <w:rFonts w:ascii="Garamond" w:hAnsi="Garamond" w:cs="Times New Roman"/>
          <w:bCs/>
          <w:i/>
          <w:sz w:val="24"/>
          <w:szCs w:val="24"/>
        </w:rPr>
        <w:t>ektoriale</w:t>
      </w:r>
      <w:r w:rsidR="00BA12C3" w:rsidRPr="00B31292">
        <w:rPr>
          <w:rFonts w:ascii="Garamond" w:hAnsi="Garamond" w:cs="Times New Roman"/>
          <w:bCs/>
          <w:i/>
          <w:sz w:val="24"/>
          <w:szCs w:val="24"/>
        </w:rPr>
        <w:t>”</w:t>
      </w:r>
      <w:r w:rsidR="00667306" w:rsidRPr="00B31292">
        <w:rPr>
          <w:rFonts w:ascii="Garamond" w:hAnsi="Garamond" w:cs="Times New Roman"/>
          <w:bCs/>
          <w:i/>
          <w:sz w:val="24"/>
          <w:szCs w:val="24"/>
        </w:rPr>
        <w:t>.</w:t>
      </w:r>
    </w:p>
    <w:p w14:paraId="2560A11F" w14:textId="6C2D62CA" w:rsidR="00D87FF8" w:rsidRPr="00B31292" w:rsidRDefault="00D87FF8" w:rsidP="003A4DBA">
      <w:pPr>
        <w:spacing w:after="0" w:line="240" w:lineRule="auto"/>
        <w:jc w:val="both"/>
        <w:rPr>
          <w:rFonts w:ascii="Garamond" w:hAnsi="Garamond" w:cs="Times New Roman"/>
          <w:b/>
          <w:i/>
          <w:sz w:val="24"/>
          <w:szCs w:val="24"/>
        </w:rPr>
      </w:pPr>
      <w:r w:rsidRPr="00B31292">
        <w:rPr>
          <w:rFonts w:ascii="Garamond" w:hAnsi="Garamond" w:cs="Times New Roman"/>
          <w:b/>
          <w:i/>
          <w:noProof/>
          <w:sz w:val="24"/>
          <w:szCs w:val="24"/>
          <w:lang w:val="en-US"/>
        </w:rPr>
        <w:drawing>
          <wp:inline distT="0" distB="0" distL="0" distR="0" wp14:anchorId="2433CA4F" wp14:editId="7BFEC19E">
            <wp:extent cx="5731510" cy="3219450"/>
            <wp:effectExtent l="0" t="0" r="254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736984" cy="3222525"/>
                    </a:xfrm>
                    <a:prstGeom prst="rect">
                      <a:avLst/>
                    </a:prstGeom>
                  </pic:spPr>
                </pic:pic>
              </a:graphicData>
            </a:graphic>
          </wp:inline>
        </w:drawing>
      </w:r>
    </w:p>
    <w:p w14:paraId="7E0E3CA6" w14:textId="77777777" w:rsidR="00F3226E" w:rsidRPr="00B31292" w:rsidRDefault="00F3226E" w:rsidP="003A4DBA">
      <w:pPr>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 xml:space="preserve">*M-mujor; T-Tremujor; V-Vjetor; </w:t>
      </w:r>
    </w:p>
    <w:p w14:paraId="0339AAB6" w14:textId="5C1D78C9" w:rsidR="00F3226E" w:rsidRPr="00B31292" w:rsidRDefault="00F3226E" w:rsidP="003A4DBA">
      <w:pPr>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 VS-</w:t>
      </w:r>
      <w:r w:rsidR="00667306" w:rsidRPr="00B31292">
        <w:rPr>
          <w:rFonts w:ascii="Garamond" w:hAnsi="Garamond" w:cs="Times New Roman"/>
          <w:sz w:val="24"/>
          <w:szCs w:val="24"/>
        </w:rPr>
        <w:t>vrojtim statistikor</w:t>
      </w:r>
      <w:r w:rsidRPr="00B31292">
        <w:rPr>
          <w:rFonts w:ascii="Garamond" w:hAnsi="Garamond" w:cs="Times New Roman"/>
          <w:sz w:val="24"/>
          <w:szCs w:val="24"/>
        </w:rPr>
        <w:t>; BA-</w:t>
      </w:r>
      <w:r w:rsidR="00667306" w:rsidRPr="00B31292">
        <w:rPr>
          <w:rFonts w:ascii="Garamond" w:hAnsi="Garamond" w:cs="Times New Roman"/>
          <w:sz w:val="24"/>
          <w:szCs w:val="24"/>
        </w:rPr>
        <w:t>burim administrativ</w:t>
      </w:r>
      <w:r w:rsidRPr="00B31292">
        <w:rPr>
          <w:rFonts w:ascii="Garamond" w:hAnsi="Garamond" w:cs="Times New Roman"/>
          <w:sz w:val="24"/>
          <w:szCs w:val="24"/>
        </w:rPr>
        <w:t>; NA-</w:t>
      </w:r>
      <w:r w:rsidR="00667306" w:rsidRPr="00B31292">
        <w:rPr>
          <w:rFonts w:ascii="Garamond" w:hAnsi="Garamond" w:cs="Times New Roman"/>
          <w:sz w:val="24"/>
          <w:szCs w:val="24"/>
        </w:rPr>
        <w:t>n</w:t>
      </w:r>
      <w:r w:rsidRPr="00B31292">
        <w:rPr>
          <w:rFonts w:ascii="Garamond" w:hAnsi="Garamond" w:cs="Times New Roman"/>
          <w:sz w:val="24"/>
          <w:szCs w:val="24"/>
        </w:rPr>
        <w:t>uk aplikohet.</w:t>
      </w:r>
    </w:p>
    <w:p w14:paraId="5B58262A" w14:textId="49072814" w:rsidR="00F3226E" w:rsidRPr="00B31292" w:rsidRDefault="00F3226E" w:rsidP="003A4DBA">
      <w:pPr>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lastRenderedPageBreak/>
        <w:t xml:space="preserve">Fusha </w:t>
      </w:r>
      <w:r w:rsidR="00BA12C3" w:rsidRPr="00B31292">
        <w:rPr>
          <w:rFonts w:ascii="Garamond" w:hAnsi="Garamond" w:cs="Times New Roman"/>
          <w:sz w:val="24"/>
          <w:szCs w:val="24"/>
        </w:rPr>
        <w:t>“</w:t>
      </w:r>
      <w:r w:rsidRPr="00B31292">
        <w:rPr>
          <w:rFonts w:ascii="Garamond" w:hAnsi="Garamond" w:cs="Times New Roman"/>
          <w:sz w:val="24"/>
          <w:szCs w:val="24"/>
        </w:rPr>
        <w:t>Statistikat sektoriale</w:t>
      </w:r>
      <w:r w:rsidR="00BA12C3" w:rsidRPr="00B31292">
        <w:rPr>
          <w:rFonts w:ascii="Garamond" w:hAnsi="Garamond" w:cs="Times New Roman"/>
          <w:sz w:val="24"/>
          <w:szCs w:val="24"/>
        </w:rPr>
        <w:t>”</w:t>
      </w:r>
      <w:r w:rsidRPr="00B31292">
        <w:rPr>
          <w:rFonts w:ascii="Garamond" w:hAnsi="Garamond" w:cs="Times New Roman"/>
          <w:sz w:val="24"/>
          <w:szCs w:val="24"/>
        </w:rPr>
        <w:t xml:space="preserve"> përbëhet nga 8 tema statistikore:</w:t>
      </w:r>
    </w:p>
    <w:p w14:paraId="7247AF67" w14:textId="553F0DB9" w:rsidR="00F3226E" w:rsidRPr="00B31292" w:rsidRDefault="00F3226E" w:rsidP="003A4DBA">
      <w:pPr>
        <w:keepNext/>
        <w:keepLines/>
        <w:spacing w:after="0" w:line="240" w:lineRule="auto"/>
        <w:ind w:firstLine="284"/>
        <w:outlineLvl w:val="4"/>
        <w:rPr>
          <w:rFonts w:ascii="Garamond" w:eastAsia="Times New Roman" w:hAnsi="Garamond" w:cs="Times New Roman"/>
          <w:b/>
          <w:iCs/>
          <w:sz w:val="24"/>
          <w:szCs w:val="24"/>
        </w:rPr>
      </w:pPr>
      <w:r w:rsidRPr="00B31292">
        <w:rPr>
          <w:rFonts w:ascii="Garamond" w:eastAsia="Times New Roman" w:hAnsi="Garamond" w:cs="Times New Roman"/>
          <w:b/>
          <w:iCs/>
          <w:sz w:val="24"/>
          <w:szCs w:val="24"/>
        </w:rPr>
        <w:t xml:space="preserve">Tema 3.1 </w:t>
      </w:r>
      <w:r w:rsidR="00BA12C3" w:rsidRPr="00B31292">
        <w:rPr>
          <w:rFonts w:ascii="Garamond" w:eastAsia="Times New Roman" w:hAnsi="Garamond" w:cs="Times New Roman"/>
          <w:b/>
          <w:iCs/>
          <w:sz w:val="24"/>
          <w:szCs w:val="24"/>
        </w:rPr>
        <w:t>“</w:t>
      </w:r>
      <w:r w:rsidRPr="00B31292">
        <w:rPr>
          <w:rFonts w:ascii="Garamond" w:eastAsia="Times New Roman" w:hAnsi="Garamond" w:cs="Times New Roman"/>
          <w:b/>
          <w:iCs/>
          <w:sz w:val="24"/>
          <w:szCs w:val="24"/>
        </w:rPr>
        <w:t xml:space="preserve">Statistikat e </w:t>
      </w:r>
      <w:r w:rsidR="00667306" w:rsidRPr="00B31292">
        <w:rPr>
          <w:rFonts w:ascii="Garamond" w:eastAsia="Times New Roman" w:hAnsi="Garamond" w:cs="Times New Roman"/>
          <w:b/>
          <w:iCs/>
          <w:sz w:val="24"/>
          <w:szCs w:val="24"/>
        </w:rPr>
        <w:t>bujqësisë, peshkimit dhe pyjeve</w:t>
      </w:r>
      <w:r w:rsidR="00BA12C3" w:rsidRPr="00B31292">
        <w:rPr>
          <w:rFonts w:ascii="Garamond" w:eastAsia="Times New Roman" w:hAnsi="Garamond" w:cs="Times New Roman"/>
          <w:b/>
          <w:iCs/>
          <w:sz w:val="24"/>
          <w:szCs w:val="24"/>
        </w:rPr>
        <w:t>”</w:t>
      </w:r>
      <w:r w:rsidRPr="00B31292">
        <w:rPr>
          <w:rFonts w:ascii="Garamond" w:eastAsia="Times New Roman" w:hAnsi="Garamond" w:cs="Times New Roman"/>
          <w:b/>
          <w:iCs/>
          <w:sz w:val="24"/>
          <w:szCs w:val="24"/>
        </w:rPr>
        <w:t xml:space="preserve"> </w:t>
      </w:r>
    </w:p>
    <w:p w14:paraId="4320EE64" w14:textId="6EFE4C91" w:rsidR="00580F38" w:rsidRPr="00B31292" w:rsidRDefault="00F3226E" w:rsidP="003A4DBA">
      <w:pPr>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Kjo temë përfshin nënte</w:t>
      </w:r>
      <w:r w:rsidR="00582AD1" w:rsidRPr="00B31292">
        <w:rPr>
          <w:rFonts w:ascii="Garamond" w:hAnsi="Garamond" w:cs="Times New Roman"/>
          <w:sz w:val="24"/>
          <w:szCs w:val="24"/>
        </w:rPr>
        <w:t>mat</w:t>
      </w:r>
      <w:r w:rsidR="00667306" w:rsidRPr="00B31292">
        <w:rPr>
          <w:rFonts w:ascii="Garamond" w:hAnsi="Garamond" w:cs="Times New Roman"/>
          <w:sz w:val="24"/>
          <w:szCs w:val="24"/>
        </w:rPr>
        <w:t>,</w:t>
      </w:r>
      <w:r w:rsidR="00582AD1" w:rsidRPr="00B31292">
        <w:rPr>
          <w:rFonts w:ascii="Garamond" w:hAnsi="Garamond" w:cs="Times New Roman"/>
          <w:sz w:val="24"/>
          <w:szCs w:val="24"/>
        </w:rPr>
        <w:t xml:space="preserve"> si: </w:t>
      </w:r>
    </w:p>
    <w:p w14:paraId="6166426D" w14:textId="3684039B" w:rsidR="006507CD" w:rsidRPr="00B31292" w:rsidRDefault="00F3226E" w:rsidP="003A4DBA">
      <w:pPr>
        <w:spacing w:after="0" w:line="240" w:lineRule="auto"/>
        <w:ind w:firstLine="284"/>
        <w:jc w:val="both"/>
        <w:rPr>
          <w:rFonts w:ascii="Garamond" w:hAnsi="Garamond" w:cs="Times New Roman"/>
          <w:sz w:val="24"/>
          <w:szCs w:val="24"/>
        </w:rPr>
      </w:pPr>
      <w:r w:rsidRPr="00B31292">
        <w:rPr>
          <w:rFonts w:ascii="Garamond" w:hAnsi="Garamond" w:cs="Times New Roman"/>
          <w:i/>
          <w:sz w:val="24"/>
          <w:szCs w:val="24"/>
        </w:rPr>
        <w:t xml:space="preserve">3.1.1 </w:t>
      </w:r>
      <w:r w:rsidR="00BA12C3" w:rsidRPr="00B31292">
        <w:rPr>
          <w:rFonts w:ascii="Garamond" w:hAnsi="Garamond" w:cs="Times New Roman"/>
          <w:i/>
          <w:sz w:val="24"/>
          <w:szCs w:val="24"/>
        </w:rPr>
        <w:t>“</w:t>
      </w:r>
      <w:r w:rsidRPr="00B31292">
        <w:rPr>
          <w:rFonts w:ascii="Garamond" w:hAnsi="Garamond" w:cs="Times New Roman"/>
          <w:i/>
          <w:sz w:val="24"/>
          <w:szCs w:val="24"/>
        </w:rPr>
        <w:t>Statistikat e pyjeve</w:t>
      </w:r>
      <w:r w:rsidR="00BA12C3" w:rsidRPr="00B31292">
        <w:rPr>
          <w:rFonts w:ascii="Garamond" w:hAnsi="Garamond" w:cs="Times New Roman"/>
          <w:i/>
          <w:sz w:val="24"/>
          <w:szCs w:val="24"/>
        </w:rPr>
        <w:t>”</w:t>
      </w:r>
      <w:r w:rsidRPr="00B31292">
        <w:rPr>
          <w:rFonts w:ascii="Garamond" w:hAnsi="Garamond" w:cs="Times New Roman"/>
          <w:sz w:val="24"/>
          <w:szCs w:val="24"/>
        </w:rPr>
        <w:t>, për prodhimin e statistikave të kësaj kategorie me frekuencë vjetore, INSTAT</w:t>
      </w:r>
      <w:r w:rsidR="00667306" w:rsidRPr="00B31292">
        <w:rPr>
          <w:rFonts w:ascii="Garamond" w:hAnsi="Garamond" w:cs="Times New Roman"/>
          <w:sz w:val="24"/>
          <w:szCs w:val="24"/>
        </w:rPr>
        <w:t>-i</w:t>
      </w:r>
      <w:r w:rsidRPr="00B31292">
        <w:rPr>
          <w:rFonts w:ascii="Garamond" w:hAnsi="Garamond" w:cs="Times New Roman"/>
          <w:sz w:val="24"/>
          <w:szCs w:val="24"/>
        </w:rPr>
        <w:t xml:space="preserve"> mbledh dhe përpunon të dhëna administrative nga Ministria e Turizmit dhe Mjedisit dhe Agjencia Kombëtare e Pyjeve</w:t>
      </w:r>
      <w:r w:rsidR="006507CD" w:rsidRPr="00B31292">
        <w:rPr>
          <w:rFonts w:ascii="Garamond" w:hAnsi="Garamond" w:cs="Times New Roman"/>
          <w:sz w:val="24"/>
          <w:szCs w:val="24"/>
        </w:rPr>
        <w:t xml:space="preserve">, si dhe realizon </w:t>
      </w:r>
      <w:r w:rsidR="00BA12C3" w:rsidRPr="00B31292">
        <w:rPr>
          <w:rFonts w:ascii="Garamond" w:hAnsi="Garamond" w:cs="Times New Roman"/>
          <w:sz w:val="24"/>
          <w:szCs w:val="24"/>
        </w:rPr>
        <w:t>vrojtimin</w:t>
      </w:r>
      <w:r w:rsidR="006507CD" w:rsidRPr="00B31292">
        <w:rPr>
          <w:rFonts w:ascii="Garamond" w:hAnsi="Garamond" w:cs="Times New Roman"/>
          <w:sz w:val="24"/>
          <w:szCs w:val="24"/>
        </w:rPr>
        <w:t xml:space="preserve"> vjetor mbi përdorimin e lëndës drusore në industri.</w:t>
      </w:r>
    </w:p>
    <w:p w14:paraId="2B0F301B" w14:textId="18E150AA" w:rsidR="00F3226E" w:rsidRPr="00B31292" w:rsidRDefault="00F3226E" w:rsidP="003A4DBA">
      <w:pPr>
        <w:spacing w:after="0" w:line="240" w:lineRule="auto"/>
        <w:ind w:firstLine="284"/>
        <w:jc w:val="both"/>
        <w:rPr>
          <w:rFonts w:ascii="Garamond" w:hAnsi="Garamond" w:cs="Times New Roman"/>
          <w:sz w:val="24"/>
          <w:szCs w:val="24"/>
        </w:rPr>
      </w:pPr>
      <w:r w:rsidRPr="00B31292">
        <w:rPr>
          <w:rFonts w:ascii="Garamond" w:hAnsi="Garamond" w:cs="Times New Roman"/>
          <w:i/>
          <w:sz w:val="24"/>
          <w:szCs w:val="24"/>
        </w:rPr>
        <w:t xml:space="preserve">3.1.2 </w:t>
      </w:r>
      <w:r w:rsidR="00BA12C3" w:rsidRPr="00B31292">
        <w:rPr>
          <w:rFonts w:ascii="Garamond" w:hAnsi="Garamond" w:cs="Times New Roman"/>
          <w:i/>
          <w:sz w:val="24"/>
          <w:szCs w:val="24"/>
        </w:rPr>
        <w:t>“</w:t>
      </w:r>
      <w:r w:rsidRPr="00B31292">
        <w:rPr>
          <w:rFonts w:ascii="Garamond" w:hAnsi="Garamond" w:cs="Times New Roman"/>
          <w:i/>
          <w:sz w:val="24"/>
          <w:szCs w:val="24"/>
        </w:rPr>
        <w:t xml:space="preserve">Statistikat e </w:t>
      </w:r>
      <w:r w:rsidR="00667306" w:rsidRPr="00B31292">
        <w:rPr>
          <w:rFonts w:ascii="Garamond" w:hAnsi="Garamond" w:cs="Times New Roman"/>
          <w:i/>
          <w:sz w:val="24"/>
          <w:szCs w:val="24"/>
        </w:rPr>
        <w:t>b</w:t>
      </w:r>
      <w:r w:rsidRPr="00B31292">
        <w:rPr>
          <w:rFonts w:ascii="Garamond" w:hAnsi="Garamond" w:cs="Times New Roman"/>
          <w:i/>
          <w:sz w:val="24"/>
          <w:szCs w:val="24"/>
        </w:rPr>
        <w:t>ujqësisë</w:t>
      </w:r>
      <w:r w:rsidR="00BA12C3" w:rsidRPr="00B31292">
        <w:rPr>
          <w:rFonts w:ascii="Garamond" w:hAnsi="Garamond" w:cs="Times New Roman"/>
          <w:i/>
          <w:sz w:val="24"/>
          <w:szCs w:val="24"/>
        </w:rPr>
        <w:t>”</w:t>
      </w:r>
      <w:r w:rsidRPr="00B31292">
        <w:rPr>
          <w:rFonts w:ascii="Garamond" w:hAnsi="Garamond" w:cs="Times New Roman"/>
          <w:sz w:val="24"/>
          <w:szCs w:val="24"/>
        </w:rPr>
        <w:t xml:space="preserve"> nëndarja sipas specifikave që kjo temë mbulon është si vijon:</w:t>
      </w:r>
    </w:p>
    <w:p w14:paraId="00B553DB" w14:textId="42AC8558" w:rsidR="00F3226E" w:rsidRPr="00B31292" w:rsidRDefault="00BA12C3" w:rsidP="003A4DBA">
      <w:pPr>
        <w:spacing w:after="0" w:line="240" w:lineRule="auto"/>
        <w:ind w:firstLine="284"/>
        <w:jc w:val="both"/>
        <w:rPr>
          <w:rFonts w:ascii="Garamond" w:hAnsi="Garamond" w:cs="Times New Roman"/>
          <w:sz w:val="24"/>
          <w:szCs w:val="24"/>
        </w:rPr>
      </w:pPr>
      <w:r w:rsidRPr="00B31292">
        <w:rPr>
          <w:rFonts w:ascii="Garamond" w:hAnsi="Garamond" w:cs="Times New Roman"/>
          <w:i/>
          <w:iCs/>
          <w:sz w:val="24"/>
          <w:szCs w:val="24"/>
        </w:rPr>
        <w:t>“</w:t>
      </w:r>
      <w:r w:rsidR="00F3226E" w:rsidRPr="00B31292">
        <w:rPr>
          <w:rFonts w:ascii="Garamond" w:hAnsi="Garamond" w:cs="Times New Roman"/>
          <w:i/>
          <w:iCs/>
          <w:sz w:val="24"/>
          <w:szCs w:val="24"/>
        </w:rPr>
        <w:t>Statistikat e produkteve bimore</w:t>
      </w:r>
      <w:r w:rsidRPr="00B31292">
        <w:rPr>
          <w:rFonts w:ascii="Garamond" w:hAnsi="Garamond" w:cs="Times New Roman"/>
          <w:i/>
          <w:iCs/>
          <w:sz w:val="24"/>
          <w:szCs w:val="24"/>
        </w:rPr>
        <w:t>”</w:t>
      </w:r>
      <w:r w:rsidR="00F3226E" w:rsidRPr="00B31292">
        <w:rPr>
          <w:rFonts w:ascii="Garamond" w:hAnsi="Garamond" w:cs="Times New Roman"/>
          <w:i/>
          <w:iCs/>
          <w:sz w:val="24"/>
          <w:szCs w:val="24"/>
        </w:rPr>
        <w:t>.</w:t>
      </w:r>
      <w:r w:rsidR="00F3226E" w:rsidRPr="00B31292">
        <w:rPr>
          <w:rFonts w:ascii="Garamond" w:hAnsi="Garamond" w:cs="Times New Roman"/>
          <w:sz w:val="24"/>
          <w:szCs w:val="24"/>
        </w:rPr>
        <w:t xml:space="preserve"> INSTAT</w:t>
      </w:r>
      <w:r w:rsidR="00667306" w:rsidRPr="00B31292">
        <w:rPr>
          <w:rFonts w:ascii="Garamond" w:hAnsi="Garamond" w:cs="Times New Roman"/>
          <w:sz w:val="24"/>
          <w:szCs w:val="24"/>
        </w:rPr>
        <w:t>-i</w:t>
      </w:r>
      <w:r w:rsidR="00F3226E" w:rsidRPr="00B31292">
        <w:rPr>
          <w:rFonts w:ascii="Garamond" w:hAnsi="Garamond" w:cs="Times New Roman"/>
          <w:sz w:val="24"/>
          <w:szCs w:val="24"/>
        </w:rPr>
        <w:t xml:space="preserve"> është </w:t>
      </w:r>
      <w:r w:rsidR="004A04BA" w:rsidRPr="00B31292">
        <w:rPr>
          <w:rFonts w:ascii="Garamond" w:hAnsi="Garamond" w:cs="Times New Roman"/>
          <w:sz w:val="24"/>
          <w:szCs w:val="24"/>
        </w:rPr>
        <w:t>përgjegjës</w:t>
      </w:r>
      <w:r w:rsidR="00F3226E" w:rsidRPr="00B31292">
        <w:rPr>
          <w:rFonts w:ascii="Garamond" w:hAnsi="Garamond" w:cs="Times New Roman"/>
          <w:sz w:val="24"/>
          <w:szCs w:val="24"/>
        </w:rPr>
        <w:t xml:space="preserve"> të prodhojë statistikat e kësaj kategorie nëpërmjet mbledhjes dhe përpunimit të të dhënave </w:t>
      </w:r>
      <w:r w:rsidRPr="00B31292">
        <w:rPr>
          <w:rFonts w:ascii="Garamond" w:hAnsi="Garamond" w:cs="Times New Roman"/>
          <w:sz w:val="24"/>
          <w:szCs w:val="24"/>
        </w:rPr>
        <w:t>administrative</w:t>
      </w:r>
      <w:r w:rsidR="00F3226E" w:rsidRPr="00B31292">
        <w:rPr>
          <w:rFonts w:ascii="Garamond" w:hAnsi="Garamond" w:cs="Times New Roman"/>
          <w:sz w:val="24"/>
          <w:szCs w:val="24"/>
        </w:rPr>
        <w:t xml:space="preserve"> të siguruara nga burimi administrativ. Gjithash</w:t>
      </w:r>
      <w:r w:rsidR="004A04BA" w:rsidRPr="00B31292">
        <w:rPr>
          <w:rFonts w:ascii="Garamond" w:hAnsi="Garamond" w:cs="Times New Roman"/>
          <w:sz w:val="24"/>
          <w:szCs w:val="24"/>
        </w:rPr>
        <w:t>tu,</w:t>
      </w:r>
      <w:r w:rsidR="00F3226E" w:rsidRPr="00B31292">
        <w:rPr>
          <w:rFonts w:ascii="Garamond" w:hAnsi="Garamond" w:cs="Times New Roman"/>
          <w:sz w:val="24"/>
          <w:szCs w:val="24"/>
        </w:rPr>
        <w:t xml:space="preserve"> INSTAT</w:t>
      </w:r>
      <w:r w:rsidRPr="00B31292">
        <w:rPr>
          <w:rFonts w:ascii="Garamond" w:hAnsi="Garamond" w:cs="Times New Roman"/>
          <w:sz w:val="24"/>
          <w:szCs w:val="24"/>
        </w:rPr>
        <w:t>-i</w:t>
      </w:r>
      <w:r w:rsidR="00F3226E" w:rsidRPr="00B31292">
        <w:rPr>
          <w:rFonts w:ascii="Garamond" w:hAnsi="Garamond" w:cs="Times New Roman"/>
          <w:sz w:val="24"/>
          <w:szCs w:val="24"/>
        </w:rPr>
        <w:t xml:space="preserve"> bashkëpunon me Ministrinë e Bujqësisë dhe Zhvillimit Rural për sigurimin e të dhënave nga </w:t>
      </w:r>
      <w:r w:rsidRPr="00B31292">
        <w:rPr>
          <w:rFonts w:ascii="Garamond" w:hAnsi="Garamond" w:cs="Times New Roman"/>
          <w:sz w:val="24"/>
          <w:szCs w:val="24"/>
        </w:rPr>
        <w:t>“</w:t>
      </w:r>
      <w:r w:rsidR="00F3226E" w:rsidRPr="00B31292">
        <w:rPr>
          <w:rFonts w:ascii="Garamond" w:hAnsi="Garamond" w:cs="Times New Roman"/>
          <w:sz w:val="24"/>
          <w:szCs w:val="24"/>
        </w:rPr>
        <w:t xml:space="preserve">Vrojtimi </w:t>
      </w:r>
      <w:r w:rsidR="00667306" w:rsidRPr="00B31292">
        <w:rPr>
          <w:rFonts w:ascii="Garamond" w:hAnsi="Garamond" w:cs="Times New Roman"/>
          <w:sz w:val="24"/>
          <w:szCs w:val="24"/>
        </w:rPr>
        <w:t>vjetor në bujqësi</w:t>
      </w:r>
      <w:r w:rsidRPr="00B31292">
        <w:rPr>
          <w:rFonts w:ascii="Garamond" w:hAnsi="Garamond" w:cs="Times New Roman"/>
          <w:sz w:val="24"/>
          <w:szCs w:val="24"/>
        </w:rPr>
        <w:t>”</w:t>
      </w:r>
      <w:r w:rsidR="00DD0B77" w:rsidRPr="00B31292">
        <w:rPr>
          <w:rFonts w:ascii="Garamond" w:hAnsi="Garamond" w:cs="Times New Roman"/>
          <w:sz w:val="24"/>
          <w:szCs w:val="24"/>
        </w:rPr>
        <w:t>,</w:t>
      </w:r>
      <w:r w:rsidR="00F3226E" w:rsidRPr="00B31292">
        <w:rPr>
          <w:rFonts w:ascii="Garamond" w:hAnsi="Garamond" w:cs="Times New Roman"/>
          <w:sz w:val="24"/>
          <w:szCs w:val="24"/>
        </w:rPr>
        <w:t xml:space="preserve"> </w:t>
      </w:r>
      <w:r w:rsidR="00DD0B77" w:rsidRPr="00B31292">
        <w:rPr>
          <w:rFonts w:ascii="Garamond" w:hAnsi="Garamond" w:cs="Times New Roman"/>
          <w:sz w:val="24"/>
          <w:szCs w:val="24"/>
        </w:rPr>
        <w:t>të cilat</w:t>
      </w:r>
      <w:r w:rsidR="0099626F" w:rsidRPr="00B31292">
        <w:rPr>
          <w:rFonts w:ascii="Garamond" w:hAnsi="Garamond" w:cs="Times New Roman"/>
          <w:sz w:val="24"/>
          <w:szCs w:val="24"/>
        </w:rPr>
        <w:t xml:space="preserve"> </w:t>
      </w:r>
      <w:r w:rsidR="00F3226E" w:rsidRPr="00B31292">
        <w:rPr>
          <w:rFonts w:ascii="Garamond" w:hAnsi="Garamond" w:cs="Times New Roman"/>
          <w:sz w:val="24"/>
          <w:szCs w:val="24"/>
        </w:rPr>
        <w:t xml:space="preserve">parashikohen të mblidhen nga Ministria e Bujqësisë dhe Zhvillimit Rural me mbështetjen </w:t>
      </w:r>
      <w:r w:rsidRPr="00B31292">
        <w:rPr>
          <w:rFonts w:ascii="Garamond" w:hAnsi="Garamond" w:cs="Times New Roman"/>
          <w:sz w:val="24"/>
          <w:szCs w:val="24"/>
        </w:rPr>
        <w:t>metodologjikë</w:t>
      </w:r>
      <w:r w:rsidR="00F3226E" w:rsidRPr="00B31292">
        <w:rPr>
          <w:rFonts w:ascii="Garamond" w:hAnsi="Garamond" w:cs="Times New Roman"/>
          <w:sz w:val="24"/>
          <w:szCs w:val="24"/>
        </w:rPr>
        <w:t xml:space="preserve"> të INSTAT</w:t>
      </w:r>
      <w:r w:rsidRPr="00B31292">
        <w:rPr>
          <w:rFonts w:ascii="Garamond" w:hAnsi="Garamond" w:cs="Times New Roman"/>
          <w:sz w:val="24"/>
          <w:szCs w:val="24"/>
        </w:rPr>
        <w:t>-it</w:t>
      </w:r>
      <w:r w:rsidR="00F3226E" w:rsidRPr="00B31292">
        <w:rPr>
          <w:rFonts w:ascii="Garamond" w:hAnsi="Garamond" w:cs="Times New Roman"/>
          <w:sz w:val="24"/>
          <w:szCs w:val="24"/>
        </w:rPr>
        <w:t xml:space="preserve">. Gjatë vitit 2025 do të vazhdojë realizimi i aktivitetit </w:t>
      </w:r>
      <w:r w:rsidRPr="00B31292">
        <w:rPr>
          <w:rFonts w:ascii="Garamond" w:hAnsi="Garamond" w:cs="Times New Roman"/>
          <w:sz w:val="24"/>
          <w:szCs w:val="24"/>
        </w:rPr>
        <w:t>“</w:t>
      </w:r>
      <w:r w:rsidR="00F3226E" w:rsidRPr="00B31292">
        <w:rPr>
          <w:rFonts w:ascii="Garamond" w:hAnsi="Garamond" w:cs="Times New Roman"/>
          <w:sz w:val="24"/>
          <w:szCs w:val="24"/>
        </w:rPr>
        <w:t>Statistikat e produkteve bimore</w:t>
      </w:r>
      <w:r w:rsidRPr="00B31292">
        <w:rPr>
          <w:rFonts w:ascii="Garamond" w:hAnsi="Garamond" w:cs="Times New Roman"/>
          <w:sz w:val="24"/>
          <w:szCs w:val="24"/>
        </w:rPr>
        <w:t>”</w:t>
      </w:r>
      <w:r w:rsidR="00F3226E" w:rsidRPr="00B31292">
        <w:rPr>
          <w:rFonts w:ascii="Garamond" w:hAnsi="Garamond" w:cs="Times New Roman"/>
          <w:sz w:val="24"/>
          <w:szCs w:val="24"/>
        </w:rPr>
        <w:t xml:space="preserve"> të gjeneruara nga </w:t>
      </w:r>
      <w:r w:rsidRPr="00B31292">
        <w:rPr>
          <w:rFonts w:ascii="Garamond" w:hAnsi="Garamond" w:cs="Times New Roman"/>
          <w:sz w:val="24"/>
          <w:szCs w:val="24"/>
        </w:rPr>
        <w:t>“</w:t>
      </w:r>
      <w:r w:rsidR="00F3226E" w:rsidRPr="00B31292">
        <w:rPr>
          <w:rFonts w:ascii="Garamond" w:hAnsi="Garamond" w:cs="Times New Roman"/>
          <w:sz w:val="24"/>
          <w:szCs w:val="24"/>
        </w:rPr>
        <w:t>Vrojtimi mbi sipërfaqen e mbjellë</w:t>
      </w:r>
      <w:r w:rsidRPr="00B31292">
        <w:rPr>
          <w:rFonts w:ascii="Garamond" w:hAnsi="Garamond" w:cs="Times New Roman"/>
          <w:sz w:val="24"/>
          <w:szCs w:val="24"/>
        </w:rPr>
        <w:t>”</w:t>
      </w:r>
      <w:r w:rsidR="00F3226E" w:rsidRPr="00B31292">
        <w:rPr>
          <w:rFonts w:ascii="Garamond" w:hAnsi="Garamond" w:cs="Times New Roman"/>
          <w:sz w:val="24"/>
          <w:szCs w:val="24"/>
        </w:rPr>
        <w:t>, i cili</w:t>
      </w:r>
      <w:r w:rsidR="00667306" w:rsidRPr="00B31292">
        <w:rPr>
          <w:rFonts w:ascii="Garamond" w:hAnsi="Garamond" w:cs="Times New Roman"/>
          <w:sz w:val="24"/>
          <w:szCs w:val="24"/>
        </w:rPr>
        <w:t>,</w:t>
      </w:r>
      <w:r w:rsidR="00F3226E" w:rsidRPr="00B31292">
        <w:rPr>
          <w:rFonts w:ascii="Garamond" w:hAnsi="Garamond" w:cs="Times New Roman"/>
          <w:sz w:val="24"/>
          <w:szCs w:val="24"/>
        </w:rPr>
        <w:t xml:space="preserve"> gjithashtu</w:t>
      </w:r>
      <w:r w:rsidR="00667306" w:rsidRPr="00B31292">
        <w:rPr>
          <w:rFonts w:ascii="Garamond" w:hAnsi="Garamond" w:cs="Times New Roman"/>
          <w:sz w:val="24"/>
          <w:szCs w:val="24"/>
        </w:rPr>
        <w:t>,</w:t>
      </w:r>
      <w:r w:rsidR="00F3226E" w:rsidRPr="00B31292">
        <w:rPr>
          <w:rFonts w:ascii="Garamond" w:hAnsi="Garamond" w:cs="Times New Roman"/>
          <w:sz w:val="24"/>
          <w:szCs w:val="24"/>
        </w:rPr>
        <w:t xml:space="preserve"> realizohet nga bashkëpunim i INSTAT</w:t>
      </w:r>
      <w:r w:rsidRPr="00B31292">
        <w:rPr>
          <w:rFonts w:ascii="Garamond" w:hAnsi="Garamond" w:cs="Times New Roman"/>
          <w:sz w:val="24"/>
          <w:szCs w:val="24"/>
        </w:rPr>
        <w:t>-it</w:t>
      </w:r>
      <w:r w:rsidR="00F3226E" w:rsidRPr="00B31292">
        <w:rPr>
          <w:rFonts w:ascii="Garamond" w:hAnsi="Garamond" w:cs="Times New Roman"/>
          <w:sz w:val="24"/>
          <w:szCs w:val="24"/>
        </w:rPr>
        <w:t xml:space="preserve"> me Ministrinë e Bujqësisë dhe Zhvillimit Rural.</w:t>
      </w:r>
    </w:p>
    <w:p w14:paraId="475E9615" w14:textId="7C6F58CD" w:rsidR="00F3226E" w:rsidRPr="00B31292" w:rsidRDefault="00BA12C3" w:rsidP="003A4DBA">
      <w:pPr>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w:t>
      </w:r>
      <w:r w:rsidR="00F3226E" w:rsidRPr="00B31292">
        <w:rPr>
          <w:rFonts w:ascii="Garamond" w:hAnsi="Garamond" w:cs="Times New Roman"/>
          <w:sz w:val="24"/>
          <w:szCs w:val="24"/>
        </w:rPr>
        <w:t>Statistikat e blegtorisë, mishit dhe vezëve</w:t>
      </w:r>
      <w:r w:rsidRPr="00B31292">
        <w:rPr>
          <w:rFonts w:ascii="Garamond" w:hAnsi="Garamond" w:cs="Times New Roman"/>
          <w:sz w:val="24"/>
          <w:szCs w:val="24"/>
        </w:rPr>
        <w:t>”</w:t>
      </w:r>
      <w:r w:rsidR="00F3226E" w:rsidRPr="00B31292">
        <w:rPr>
          <w:rFonts w:ascii="Garamond" w:hAnsi="Garamond" w:cs="Times New Roman"/>
          <w:sz w:val="24"/>
          <w:szCs w:val="24"/>
        </w:rPr>
        <w:t>. Statistikat e blegtorisë, mishit dhe vezëve do të sigurohen nga burimi administrativ</w:t>
      </w:r>
      <w:r w:rsidR="004A04BA" w:rsidRPr="00B31292">
        <w:rPr>
          <w:rFonts w:ascii="Garamond" w:hAnsi="Garamond" w:cs="Times New Roman"/>
          <w:sz w:val="24"/>
          <w:szCs w:val="24"/>
        </w:rPr>
        <w:t xml:space="preserve"> </w:t>
      </w:r>
      <w:r w:rsidR="00F3226E" w:rsidRPr="00B31292">
        <w:rPr>
          <w:rFonts w:ascii="Garamond" w:hAnsi="Garamond" w:cs="Times New Roman"/>
          <w:sz w:val="24"/>
          <w:szCs w:val="24"/>
        </w:rPr>
        <w:t xml:space="preserve">dhe </w:t>
      </w:r>
      <w:r w:rsidRPr="00B31292">
        <w:rPr>
          <w:rFonts w:ascii="Garamond" w:hAnsi="Garamond" w:cs="Times New Roman"/>
          <w:sz w:val="24"/>
          <w:szCs w:val="24"/>
        </w:rPr>
        <w:t>“</w:t>
      </w:r>
      <w:r w:rsidR="00F3226E" w:rsidRPr="00B31292">
        <w:rPr>
          <w:rFonts w:ascii="Garamond" w:hAnsi="Garamond" w:cs="Times New Roman"/>
          <w:sz w:val="24"/>
          <w:szCs w:val="24"/>
        </w:rPr>
        <w:t>Vrojtimi vjetor në bujqësi</w:t>
      </w:r>
      <w:r w:rsidRPr="00B31292">
        <w:rPr>
          <w:rFonts w:ascii="Garamond" w:hAnsi="Garamond" w:cs="Times New Roman"/>
          <w:sz w:val="24"/>
          <w:szCs w:val="24"/>
        </w:rPr>
        <w:t>”</w:t>
      </w:r>
      <w:r w:rsidR="00F3226E" w:rsidRPr="00B31292">
        <w:rPr>
          <w:rFonts w:ascii="Garamond" w:hAnsi="Garamond" w:cs="Times New Roman"/>
          <w:sz w:val="24"/>
          <w:szCs w:val="24"/>
        </w:rPr>
        <w:t>. Sipas metodologjisë së parashikuar, mbledhja e të dhënave do të kryhet nga Ministria e Bujqësisë dhe Zhvillimit Rural, ndërkohë që INSTAT</w:t>
      </w:r>
      <w:r w:rsidRPr="00B31292">
        <w:rPr>
          <w:rFonts w:ascii="Garamond" w:hAnsi="Garamond" w:cs="Times New Roman"/>
          <w:sz w:val="24"/>
          <w:szCs w:val="24"/>
        </w:rPr>
        <w:t>-i</w:t>
      </w:r>
      <w:r w:rsidR="00F3226E" w:rsidRPr="00B31292">
        <w:rPr>
          <w:rFonts w:ascii="Garamond" w:hAnsi="Garamond" w:cs="Times New Roman"/>
          <w:sz w:val="24"/>
          <w:szCs w:val="24"/>
        </w:rPr>
        <w:t xml:space="preserve"> do të kryejë përpunimin e tyre si institucion që gëzon statusin e prodhuesit të statistikave zyrtare. Përveç këtyre dy aktiviteteve, me qëllim nxjerrjen e statistikave të kësaj kategorie me frekuencë mujore, INSTAT</w:t>
      </w:r>
      <w:r w:rsidRPr="00B31292">
        <w:rPr>
          <w:rFonts w:ascii="Garamond" w:hAnsi="Garamond" w:cs="Times New Roman"/>
          <w:sz w:val="24"/>
          <w:szCs w:val="24"/>
        </w:rPr>
        <w:t>-i</w:t>
      </w:r>
      <w:r w:rsidR="00F3226E" w:rsidRPr="00B31292">
        <w:rPr>
          <w:rFonts w:ascii="Garamond" w:hAnsi="Garamond" w:cs="Times New Roman"/>
          <w:sz w:val="24"/>
          <w:szCs w:val="24"/>
        </w:rPr>
        <w:t xml:space="preserve"> do të kryejë aktivitetin </w:t>
      </w:r>
      <w:r w:rsidRPr="00B31292">
        <w:rPr>
          <w:rFonts w:ascii="Garamond" w:hAnsi="Garamond" w:cs="Times New Roman"/>
          <w:sz w:val="24"/>
          <w:szCs w:val="24"/>
        </w:rPr>
        <w:t>“</w:t>
      </w:r>
      <w:r w:rsidR="00F3226E" w:rsidRPr="00B31292">
        <w:rPr>
          <w:rFonts w:ascii="Garamond" w:hAnsi="Garamond" w:cs="Times New Roman"/>
          <w:sz w:val="24"/>
          <w:szCs w:val="24"/>
        </w:rPr>
        <w:t>Statistikat e blegtorisë, mishit dhe vezëve</w:t>
      </w:r>
      <w:r w:rsidRPr="00B31292">
        <w:rPr>
          <w:rFonts w:ascii="Garamond" w:hAnsi="Garamond" w:cs="Times New Roman"/>
          <w:sz w:val="24"/>
          <w:szCs w:val="24"/>
        </w:rPr>
        <w:t>”</w:t>
      </w:r>
      <w:r w:rsidR="00F3226E" w:rsidRPr="00B31292">
        <w:rPr>
          <w:rFonts w:ascii="Garamond" w:hAnsi="Garamond" w:cs="Times New Roman"/>
          <w:sz w:val="24"/>
          <w:szCs w:val="24"/>
        </w:rPr>
        <w:t>, të siguruara nga vrojtimet mujore mbi monitorimin e aktivitetit të thertoreve (për gjedhë, derra dhe të imta dhe shpendë) dhe aktivitetit të pularive për prodhimin e vezëve (konsum njerëzor).</w:t>
      </w:r>
    </w:p>
    <w:p w14:paraId="12B06CD7" w14:textId="6F846140" w:rsidR="00F3226E" w:rsidRPr="00B31292" w:rsidRDefault="00BA12C3" w:rsidP="003A4DBA">
      <w:pPr>
        <w:spacing w:after="0" w:line="240" w:lineRule="auto"/>
        <w:ind w:firstLine="284"/>
        <w:jc w:val="both"/>
        <w:rPr>
          <w:rFonts w:ascii="Garamond" w:hAnsi="Garamond" w:cs="Times New Roman"/>
          <w:sz w:val="24"/>
          <w:szCs w:val="24"/>
        </w:rPr>
      </w:pPr>
      <w:r w:rsidRPr="00B31292">
        <w:rPr>
          <w:rFonts w:ascii="Garamond" w:hAnsi="Garamond" w:cs="Times New Roman"/>
          <w:i/>
          <w:iCs/>
          <w:sz w:val="24"/>
          <w:szCs w:val="24"/>
        </w:rPr>
        <w:t>“</w:t>
      </w:r>
      <w:r w:rsidR="00F3226E" w:rsidRPr="00B31292">
        <w:rPr>
          <w:rFonts w:ascii="Garamond" w:hAnsi="Garamond" w:cs="Times New Roman"/>
          <w:i/>
          <w:iCs/>
          <w:sz w:val="24"/>
          <w:szCs w:val="24"/>
        </w:rPr>
        <w:t>Statistikat e qumështit dhe nënprodukteve të tij</w:t>
      </w:r>
      <w:r w:rsidRPr="00B31292">
        <w:rPr>
          <w:rFonts w:ascii="Garamond" w:hAnsi="Garamond" w:cs="Times New Roman"/>
          <w:i/>
          <w:iCs/>
          <w:sz w:val="24"/>
          <w:szCs w:val="24"/>
        </w:rPr>
        <w:t>”</w:t>
      </w:r>
      <w:r w:rsidR="00F3226E" w:rsidRPr="00B31292">
        <w:rPr>
          <w:rFonts w:ascii="Garamond" w:hAnsi="Garamond" w:cs="Times New Roman"/>
          <w:i/>
          <w:iCs/>
          <w:sz w:val="24"/>
          <w:szCs w:val="24"/>
        </w:rPr>
        <w:t>.</w:t>
      </w:r>
      <w:r w:rsidR="00F3226E" w:rsidRPr="00B31292">
        <w:rPr>
          <w:rFonts w:ascii="Garamond" w:hAnsi="Garamond" w:cs="Times New Roman"/>
          <w:sz w:val="24"/>
          <w:szCs w:val="24"/>
        </w:rPr>
        <w:t xml:space="preserve"> Për prodhimin e statistikave të kësaj kategorie, ashtu si dhe për kategoritë e tjera të sipërpërmendura, do të ketë një bashkëpunim të ngushtë ndërmjet INSTAT-it dhe Ministrisë së Bujqësisë dhe Zhvillimit Rural. INSTAT</w:t>
      </w:r>
      <w:r w:rsidRPr="00B31292">
        <w:rPr>
          <w:rFonts w:ascii="Garamond" w:hAnsi="Garamond" w:cs="Times New Roman"/>
          <w:sz w:val="24"/>
          <w:szCs w:val="24"/>
        </w:rPr>
        <w:t>-i</w:t>
      </w:r>
      <w:r w:rsidR="00F3226E" w:rsidRPr="00B31292">
        <w:rPr>
          <w:rFonts w:ascii="Garamond" w:hAnsi="Garamond" w:cs="Times New Roman"/>
          <w:sz w:val="24"/>
          <w:szCs w:val="24"/>
        </w:rPr>
        <w:t xml:space="preserve"> do të kryejë aktivitetin statistikor, me frekuencë vjetore, </w:t>
      </w:r>
      <w:r w:rsidRPr="00B31292">
        <w:rPr>
          <w:rFonts w:ascii="Garamond" w:hAnsi="Garamond" w:cs="Times New Roman"/>
          <w:sz w:val="24"/>
          <w:szCs w:val="24"/>
        </w:rPr>
        <w:t>“</w:t>
      </w:r>
      <w:r w:rsidR="00F3226E" w:rsidRPr="00B31292">
        <w:rPr>
          <w:rFonts w:ascii="Garamond" w:hAnsi="Garamond" w:cs="Times New Roman"/>
          <w:sz w:val="24"/>
          <w:szCs w:val="24"/>
        </w:rPr>
        <w:t>Statistikat e qumështit dhe nënprodukteve të tij</w:t>
      </w:r>
      <w:r w:rsidRPr="00B31292">
        <w:rPr>
          <w:rFonts w:ascii="Garamond" w:hAnsi="Garamond" w:cs="Times New Roman"/>
          <w:sz w:val="24"/>
          <w:szCs w:val="24"/>
        </w:rPr>
        <w:t>”</w:t>
      </w:r>
      <w:r w:rsidR="00F3226E" w:rsidRPr="00B31292">
        <w:rPr>
          <w:rFonts w:ascii="Garamond" w:hAnsi="Garamond" w:cs="Times New Roman"/>
          <w:sz w:val="24"/>
          <w:szCs w:val="24"/>
        </w:rPr>
        <w:t xml:space="preserve">, të prodhuara nga vrojtimi vjetor në të gjitha fabrikat dhe baxhot që grumbullojnë dhe përpunojnë qumësht dhe aktivitetin me frekuencë mujore </w:t>
      </w:r>
      <w:r w:rsidRPr="00B31292">
        <w:rPr>
          <w:rFonts w:ascii="Garamond" w:hAnsi="Garamond" w:cs="Times New Roman"/>
          <w:sz w:val="24"/>
          <w:szCs w:val="24"/>
        </w:rPr>
        <w:t>“</w:t>
      </w:r>
      <w:r w:rsidR="00F3226E" w:rsidRPr="00B31292">
        <w:rPr>
          <w:rFonts w:ascii="Garamond" w:hAnsi="Garamond" w:cs="Times New Roman"/>
          <w:sz w:val="24"/>
          <w:szCs w:val="24"/>
        </w:rPr>
        <w:t>Statistikat e qumështit dhe nënprodukteve të tij</w:t>
      </w:r>
      <w:r w:rsidRPr="00B31292">
        <w:rPr>
          <w:rFonts w:ascii="Garamond" w:hAnsi="Garamond" w:cs="Times New Roman"/>
          <w:sz w:val="24"/>
          <w:szCs w:val="24"/>
        </w:rPr>
        <w:t>”</w:t>
      </w:r>
      <w:r w:rsidR="00F3226E" w:rsidRPr="00B31292">
        <w:rPr>
          <w:rFonts w:ascii="Garamond" w:hAnsi="Garamond" w:cs="Times New Roman"/>
          <w:sz w:val="24"/>
          <w:szCs w:val="24"/>
        </w:rPr>
        <w:t xml:space="preserve"> të siguruara nga vrojtimi mujor në fabrikat që grumbullojnë dhe përpunojnë qumështin e lopës. Ndërkohë, do të vazhdojë mbledhja dhe përpunimi i statistikave vjetore të qumështit dhe nënprodukteve të tij, të siguruara nga burimi administrativ.</w:t>
      </w:r>
    </w:p>
    <w:p w14:paraId="154C1E71" w14:textId="242E392E" w:rsidR="00F3226E" w:rsidRPr="00B31292" w:rsidRDefault="00BA12C3" w:rsidP="003A4DBA">
      <w:pPr>
        <w:spacing w:after="0" w:line="240" w:lineRule="auto"/>
        <w:ind w:firstLine="284"/>
        <w:jc w:val="both"/>
        <w:rPr>
          <w:rFonts w:ascii="Garamond" w:hAnsi="Garamond" w:cs="Times New Roman"/>
          <w:sz w:val="24"/>
          <w:szCs w:val="24"/>
        </w:rPr>
      </w:pPr>
      <w:r w:rsidRPr="00B31292">
        <w:rPr>
          <w:rFonts w:ascii="Garamond" w:hAnsi="Garamond" w:cs="Times New Roman"/>
          <w:i/>
          <w:iCs/>
          <w:sz w:val="24"/>
          <w:szCs w:val="24"/>
        </w:rPr>
        <w:t>“</w:t>
      </w:r>
      <w:r w:rsidR="00F3226E" w:rsidRPr="00B31292">
        <w:rPr>
          <w:rFonts w:ascii="Garamond" w:hAnsi="Garamond" w:cs="Times New Roman"/>
          <w:i/>
          <w:iCs/>
          <w:sz w:val="24"/>
          <w:szCs w:val="24"/>
        </w:rPr>
        <w:t xml:space="preserve">Statistikat </w:t>
      </w:r>
      <w:r w:rsidR="00667306" w:rsidRPr="00B31292">
        <w:rPr>
          <w:rFonts w:ascii="Garamond" w:hAnsi="Garamond" w:cs="Times New Roman"/>
          <w:i/>
          <w:iCs/>
          <w:sz w:val="24"/>
          <w:szCs w:val="24"/>
        </w:rPr>
        <w:t>strukturore të fermës</w:t>
      </w:r>
      <w:r w:rsidRPr="00B31292">
        <w:rPr>
          <w:rFonts w:ascii="Garamond" w:hAnsi="Garamond" w:cs="Times New Roman"/>
          <w:i/>
          <w:iCs/>
          <w:sz w:val="24"/>
          <w:szCs w:val="24"/>
        </w:rPr>
        <w:t>”</w:t>
      </w:r>
      <w:r w:rsidR="00F3226E" w:rsidRPr="00B31292">
        <w:rPr>
          <w:rFonts w:ascii="Garamond" w:hAnsi="Garamond" w:cs="Times New Roman"/>
          <w:sz w:val="24"/>
          <w:szCs w:val="24"/>
        </w:rPr>
        <w:t xml:space="preserve"> përfshijnë përpunimin në tërësi të të dhënave të siguruara nga Censi i Bujqësisë dhe Fermave Bujqësore. Nëpërmjet kryerjes së këtij aktiviteti madhor, si dhe vrojtimeve të tjera ndërmjet dy censeve, sigurohet informacion thelbësor në aspektet e përgjithshme statistikore</w:t>
      </w:r>
      <w:r w:rsidR="00667306" w:rsidRPr="00B31292">
        <w:rPr>
          <w:rFonts w:ascii="Garamond" w:hAnsi="Garamond" w:cs="Times New Roman"/>
          <w:sz w:val="24"/>
          <w:szCs w:val="24"/>
        </w:rPr>
        <w:t>,</w:t>
      </w:r>
      <w:r w:rsidR="00F3226E" w:rsidRPr="00B31292">
        <w:rPr>
          <w:rFonts w:ascii="Garamond" w:hAnsi="Garamond" w:cs="Times New Roman"/>
          <w:sz w:val="24"/>
          <w:szCs w:val="24"/>
        </w:rPr>
        <w:t xml:space="preserve"> të tilla si</w:t>
      </w:r>
      <w:r w:rsidR="00667306" w:rsidRPr="00B31292">
        <w:rPr>
          <w:rFonts w:ascii="Garamond" w:hAnsi="Garamond" w:cs="Times New Roman"/>
          <w:sz w:val="24"/>
          <w:szCs w:val="24"/>
        </w:rPr>
        <w:t>:</w:t>
      </w:r>
      <w:r w:rsidR="00F3226E" w:rsidRPr="00B31292">
        <w:rPr>
          <w:rFonts w:ascii="Garamond" w:hAnsi="Garamond" w:cs="Times New Roman"/>
          <w:sz w:val="24"/>
          <w:szCs w:val="24"/>
        </w:rPr>
        <w:t xml:space="preserve"> toka, blegtoria, forca e punës bujqësore dhe aktivitete të tjera fitimprurëse, masat e zhvillimit rural, makineritë dhe pajisjet, ujitja, strehimi i kafshëve dhe administrimi i plehut, administrimi i tokës, vreshtat dhe </w:t>
      </w:r>
      <w:r w:rsidRPr="00B31292">
        <w:rPr>
          <w:rFonts w:ascii="Garamond" w:hAnsi="Garamond" w:cs="Times New Roman"/>
          <w:sz w:val="24"/>
          <w:szCs w:val="24"/>
        </w:rPr>
        <w:t>pemëtaria</w:t>
      </w:r>
      <w:r w:rsidR="00F3226E" w:rsidRPr="00B31292">
        <w:rPr>
          <w:rFonts w:ascii="Garamond" w:hAnsi="Garamond" w:cs="Times New Roman"/>
          <w:sz w:val="24"/>
          <w:szCs w:val="24"/>
        </w:rPr>
        <w:t>.</w:t>
      </w:r>
    </w:p>
    <w:p w14:paraId="2438A095" w14:textId="571898AE" w:rsidR="00F3226E" w:rsidRPr="00B31292" w:rsidRDefault="00BA12C3" w:rsidP="003A4DBA">
      <w:pPr>
        <w:spacing w:after="0" w:line="240" w:lineRule="auto"/>
        <w:ind w:firstLine="284"/>
        <w:jc w:val="both"/>
        <w:rPr>
          <w:rFonts w:ascii="Garamond" w:hAnsi="Garamond" w:cs="Times New Roman"/>
          <w:sz w:val="24"/>
          <w:szCs w:val="24"/>
        </w:rPr>
      </w:pPr>
      <w:r w:rsidRPr="00B31292">
        <w:rPr>
          <w:rFonts w:ascii="Garamond" w:hAnsi="Garamond" w:cs="Times New Roman"/>
          <w:i/>
          <w:iCs/>
          <w:sz w:val="24"/>
          <w:szCs w:val="24"/>
        </w:rPr>
        <w:t>“</w:t>
      </w:r>
      <w:r w:rsidR="00F3226E" w:rsidRPr="00B31292">
        <w:rPr>
          <w:rFonts w:ascii="Garamond" w:hAnsi="Garamond" w:cs="Times New Roman"/>
          <w:i/>
          <w:iCs/>
          <w:sz w:val="24"/>
          <w:szCs w:val="24"/>
        </w:rPr>
        <w:t>Llogaritë ekonomike në bujqësi</w:t>
      </w:r>
      <w:r w:rsidRPr="00B31292">
        <w:rPr>
          <w:rFonts w:ascii="Garamond" w:hAnsi="Garamond" w:cs="Times New Roman"/>
          <w:i/>
          <w:iCs/>
          <w:sz w:val="24"/>
          <w:szCs w:val="24"/>
        </w:rPr>
        <w:t>”</w:t>
      </w:r>
      <w:r w:rsidR="00D80044" w:rsidRPr="00B31292">
        <w:rPr>
          <w:rFonts w:ascii="Garamond" w:hAnsi="Garamond" w:cs="Times New Roman"/>
          <w:sz w:val="24"/>
          <w:szCs w:val="24"/>
        </w:rPr>
        <w:t xml:space="preserve">, aktiviteti </w:t>
      </w:r>
      <w:r w:rsidR="00F3226E" w:rsidRPr="00B31292">
        <w:rPr>
          <w:rFonts w:ascii="Garamond" w:hAnsi="Garamond" w:cs="Times New Roman"/>
          <w:sz w:val="24"/>
          <w:szCs w:val="24"/>
        </w:rPr>
        <w:t>përfshin përpunimin në tërësi të të dhënave të siguruara nga burimi administrativ</w:t>
      </w:r>
      <w:r w:rsidR="004A04BA" w:rsidRPr="00B31292">
        <w:rPr>
          <w:rFonts w:ascii="Garamond" w:hAnsi="Garamond" w:cs="Times New Roman"/>
          <w:sz w:val="24"/>
          <w:szCs w:val="24"/>
        </w:rPr>
        <w:t xml:space="preserve"> </w:t>
      </w:r>
      <w:r w:rsidR="00BB4498" w:rsidRPr="00B31292">
        <w:rPr>
          <w:rFonts w:ascii="Garamond" w:hAnsi="Garamond" w:cs="Times New Roman"/>
          <w:sz w:val="24"/>
          <w:szCs w:val="24"/>
        </w:rPr>
        <w:t>dhe nga tre vrojtimet</w:t>
      </w:r>
      <w:r w:rsidR="00F3226E" w:rsidRPr="00B31292">
        <w:rPr>
          <w:rFonts w:ascii="Garamond" w:hAnsi="Garamond" w:cs="Times New Roman"/>
          <w:sz w:val="24"/>
          <w:szCs w:val="24"/>
        </w:rPr>
        <w:t xml:space="preserve"> që INSTAT</w:t>
      </w:r>
      <w:r w:rsidRPr="00B31292">
        <w:rPr>
          <w:rFonts w:ascii="Garamond" w:hAnsi="Garamond" w:cs="Times New Roman"/>
          <w:sz w:val="24"/>
          <w:szCs w:val="24"/>
        </w:rPr>
        <w:t>-i</w:t>
      </w:r>
      <w:r w:rsidR="00F3226E" w:rsidRPr="00B31292">
        <w:rPr>
          <w:rFonts w:ascii="Garamond" w:hAnsi="Garamond" w:cs="Times New Roman"/>
          <w:sz w:val="24"/>
          <w:szCs w:val="24"/>
        </w:rPr>
        <w:t xml:space="preserve"> kryen në përmbu</w:t>
      </w:r>
      <w:r w:rsidR="00BB4498" w:rsidRPr="00B31292">
        <w:rPr>
          <w:rFonts w:ascii="Garamond" w:hAnsi="Garamond" w:cs="Times New Roman"/>
          <w:sz w:val="24"/>
          <w:szCs w:val="24"/>
        </w:rPr>
        <w:t>shje të këtij aktiviteti, vrojtimet</w:t>
      </w:r>
      <w:r w:rsidR="00F3226E" w:rsidRPr="00B31292">
        <w:rPr>
          <w:rFonts w:ascii="Garamond" w:hAnsi="Garamond" w:cs="Times New Roman"/>
          <w:sz w:val="24"/>
          <w:szCs w:val="24"/>
        </w:rPr>
        <w:t xml:space="preserve"> mujore </w:t>
      </w:r>
      <w:r w:rsidR="00667306" w:rsidRPr="00B31292">
        <w:rPr>
          <w:rFonts w:ascii="Garamond" w:hAnsi="Garamond" w:cs="Times New Roman"/>
          <w:sz w:val="24"/>
          <w:szCs w:val="24"/>
        </w:rPr>
        <w:t>të</w:t>
      </w:r>
      <w:r w:rsidR="00F3226E" w:rsidRPr="00B31292">
        <w:rPr>
          <w:rFonts w:ascii="Garamond" w:hAnsi="Garamond" w:cs="Times New Roman"/>
          <w:sz w:val="24"/>
          <w:szCs w:val="24"/>
        </w:rPr>
        <w:t xml:space="preserve"> çmimeve</w:t>
      </w:r>
      <w:r w:rsidR="00BB4498" w:rsidRPr="00B31292">
        <w:rPr>
          <w:rFonts w:ascii="Garamond" w:hAnsi="Garamond" w:cs="Times New Roman"/>
          <w:sz w:val="24"/>
          <w:szCs w:val="24"/>
        </w:rPr>
        <w:t xml:space="preserve"> të prodhimeve bujqësore, vrojtimi tremujor i</w:t>
      </w:r>
      <w:r w:rsidR="00F3226E" w:rsidRPr="00B31292">
        <w:rPr>
          <w:rFonts w:ascii="Garamond" w:hAnsi="Garamond" w:cs="Times New Roman"/>
          <w:sz w:val="24"/>
          <w:szCs w:val="24"/>
        </w:rPr>
        <w:t xml:space="preserve"> çmimeve t</w:t>
      </w:r>
      <w:r w:rsidR="00BB4498" w:rsidRPr="00B31292">
        <w:rPr>
          <w:rFonts w:ascii="Garamond" w:hAnsi="Garamond" w:cs="Times New Roman"/>
          <w:sz w:val="24"/>
          <w:szCs w:val="24"/>
        </w:rPr>
        <w:t>ë inputeve në bujqësi dhe vrojtimi tremujor i</w:t>
      </w:r>
      <w:r w:rsidR="00F3226E" w:rsidRPr="00B31292">
        <w:rPr>
          <w:rFonts w:ascii="Garamond" w:hAnsi="Garamond" w:cs="Times New Roman"/>
          <w:sz w:val="24"/>
          <w:szCs w:val="24"/>
        </w:rPr>
        <w:t xml:space="preserve"> kafshëve për mbarështim.</w:t>
      </w:r>
    </w:p>
    <w:p w14:paraId="2B752B34" w14:textId="65A62F03" w:rsidR="00F3226E" w:rsidRPr="00B31292" w:rsidRDefault="00F3226E" w:rsidP="003A4DBA">
      <w:pPr>
        <w:spacing w:after="0" w:line="240" w:lineRule="auto"/>
        <w:ind w:firstLine="284"/>
        <w:jc w:val="both"/>
        <w:rPr>
          <w:rFonts w:ascii="Garamond" w:hAnsi="Garamond" w:cs="Times New Roman"/>
          <w:sz w:val="24"/>
          <w:szCs w:val="24"/>
        </w:rPr>
      </w:pPr>
      <w:r w:rsidRPr="00B31292">
        <w:rPr>
          <w:rFonts w:ascii="Garamond" w:hAnsi="Garamond" w:cs="Times New Roman"/>
          <w:i/>
          <w:sz w:val="24"/>
          <w:szCs w:val="24"/>
        </w:rPr>
        <w:t xml:space="preserve">3.1.3 </w:t>
      </w:r>
      <w:r w:rsidR="00BA12C3" w:rsidRPr="00B31292">
        <w:rPr>
          <w:rFonts w:ascii="Garamond" w:hAnsi="Garamond" w:cs="Times New Roman"/>
          <w:i/>
          <w:sz w:val="24"/>
          <w:szCs w:val="24"/>
        </w:rPr>
        <w:t>“</w:t>
      </w:r>
      <w:r w:rsidRPr="00B31292">
        <w:rPr>
          <w:rFonts w:ascii="Garamond" w:hAnsi="Garamond" w:cs="Times New Roman"/>
          <w:i/>
          <w:sz w:val="24"/>
          <w:szCs w:val="24"/>
        </w:rPr>
        <w:t>Statistikat e peshkimit</w:t>
      </w:r>
      <w:r w:rsidR="00BA12C3" w:rsidRPr="00B31292">
        <w:rPr>
          <w:rFonts w:ascii="Garamond" w:hAnsi="Garamond" w:cs="Times New Roman"/>
          <w:i/>
          <w:sz w:val="24"/>
          <w:szCs w:val="24"/>
        </w:rPr>
        <w:t>”</w:t>
      </w:r>
      <w:r w:rsidR="00D80044" w:rsidRPr="00B31292">
        <w:rPr>
          <w:rFonts w:ascii="Garamond" w:hAnsi="Garamond" w:cs="Times New Roman"/>
          <w:sz w:val="24"/>
          <w:szCs w:val="24"/>
        </w:rPr>
        <w:t xml:space="preserve">, për realizimin </w:t>
      </w:r>
      <w:r w:rsidRPr="00B31292">
        <w:rPr>
          <w:rFonts w:ascii="Garamond" w:hAnsi="Garamond" w:cs="Times New Roman"/>
          <w:sz w:val="24"/>
          <w:szCs w:val="24"/>
        </w:rPr>
        <w:t xml:space="preserve">objektivave </w:t>
      </w:r>
      <w:r w:rsidR="00D80044" w:rsidRPr="00B31292">
        <w:rPr>
          <w:rFonts w:ascii="Garamond" w:hAnsi="Garamond" w:cs="Times New Roman"/>
          <w:sz w:val="24"/>
          <w:szCs w:val="24"/>
        </w:rPr>
        <w:t>të së cilës</w:t>
      </w:r>
      <w:r w:rsidRPr="00B31292">
        <w:rPr>
          <w:rFonts w:ascii="Garamond" w:hAnsi="Garamond" w:cs="Times New Roman"/>
          <w:sz w:val="24"/>
          <w:szCs w:val="24"/>
        </w:rPr>
        <w:t>, INSTAT</w:t>
      </w:r>
      <w:r w:rsidR="00BA12C3" w:rsidRPr="00B31292">
        <w:rPr>
          <w:rFonts w:ascii="Garamond" w:hAnsi="Garamond" w:cs="Times New Roman"/>
          <w:sz w:val="24"/>
          <w:szCs w:val="24"/>
        </w:rPr>
        <w:t>-i</w:t>
      </w:r>
      <w:r w:rsidRPr="00B31292">
        <w:rPr>
          <w:rFonts w:ascii="Garamond" w:hAnsi="Garamond" w:cs="Times New Roman"/>
          <w:sz w:val="24"/>
          <w:szCs w:val="24"/>
        </w:rPr>
        <w:t xml:space="preserve"> do të kryejë aktivitetet: </w:t>
      </w:r>
      <w:r w:rsidR="00BA12C3" w:rsidRPr="00B31292">
        <w:rPr>
          <w:rFonts w:ascii="Garamond" w:hAnsi="Garamond" w:cs="Times New Roman"/>
          <w:sz w:val="24"/>
          <w:szCs w:val="24"/>
        </w:rPr>
        <w:t>“</w:t>
      </w:r>
      <w:r w:rsidRPr="00B31292">
        <w:rPr>
          <w:rFonts w:ascii="Garamond" w:hAnsi="Garamond" w:cs="Times New Roman"/>
          <w:sz w:val="24"/>
          <w:szCs w:val="24"/>
        </w:rPr>
        <w:t>Statistikat e peshkimit</w:t>
      </w:r>
      <w:r w:rsidR="00BA12C3" w:rsidRPr="00B31292">
        <w:rPr>
          <w:rFonts w:ascii="Garamond" w:hAnsi="Garamond" w:cs="Times New Roman"/>
          <w:sz w:val="24"/>
          <w:szCs w:val="24"/>
        </w:rPr>
        <w:t>”</w:t>
      </w:r>
      <w:r w:rsidRPr="00B31292">
        <w:rPr>
          <w:rFonts w:ascii="Garamond" w:hAnsi="Garamond" w:cs="Times New Roman"/>
          <w:sz w:val="24"/>
          <w:szCs w:val="24"/>
        </w:rPr>
        <w:t xml:space="preserve"> të siguruara nga burimi administrativ, për prodhimin e statistikave mbi prodhimin e peshkut me frekuencë tremujore dhe </w:t>
      </w:r>
      <w:r w:rsidR="00BA12C3" w:rsidRPr="00B31292">
        <w:rPr>
          <w:rFonts w:ascii="Garamond" w:hAnsi="Garamond" w:cs="Times New Roman"/>
          <w:i/>
          <w:sz w:val="24"/>
          <w:szCs w:val="24"/>
        </w:rPr>
        <w:t>“</w:t>
      </w:r>
      <w:r w:rsidRPr="00B31292">
        <w:rPr>
          <w:rFonts w:ascii="Garamond" w:hAnsi="Garamond" w:cs="Times New Roman"/>
          <w:i/>
          <w:sz w:val="24"/>
          <w:szCs w:val="24"/>
        </w:rPr>
        <w:t>Statistikat e peshkimit dhe akuakulturës</w:t>
      </w:r>
      <w:r w:rsidR="00BA12C3" w:rsidRPr="00B31292">
        <w:rPr>
          <w:rFonts w:ascii="Garamond" w:hAnsi="Garamond" w:cs="Times New Roman"/>
          <w:i/>
          <w:sz w:val="24"/>
          <w:szCs w:val="24"/>
        </w:rPr>
        <w:t>”</w:t>
      </w:r>
      <w:r w:rsidRPr="00B31292">
        <w:rPr>
          <w:rFonts w:ascii="Garamond" w:hAnsi="Garamond" w:cs="Times New Roman"/>
          <w:sz w:val="24"/>
          <w:szCs w:val="24"/>
        </w:rPr>
        <w:t xml:space="preserve"> të siguruara nga burimi administrativ për prodhimin e statistikave me frekuencë vjetore. </w:t>
      </w:r>
    </w:p>
    <w:p w14:paraId="490730C6" w14:textId="42BC8108" w:rsidR="00F3226E" w:rsidRPr="00B31292" w:rsidRDefault="00F3226E" w:rsidP="003A4DBA">
      <w:pPr>
        <w:spacing w:after="0" w:line="240" w:lineRule="auto"/>
        <w:ind w:firstLine="284"/>
        <w:jc w:val="both"/>
        <w:rPr>
          <w:rFonts w:ascii="Garamond" w:hAnsi="Garamond" w:cs="Times New Roman"/>
          <w:sz w:val="24"/>
          <w:szCs w:val="24"/>
        </w:rPr>
      </w:pPr>
      <w:r w:rsidRPr="00B31292">
        <w:rPr>
          <w:rFonts w:ascii="Garamond" w:hAnsi="Garamond" w:cs="Times New Roman"/>
          <w:i/>
          <w:sz w:val="24"/>
          <w:szCs w:val="24"/>
        </w:rPr>
        <w:lastRenderedPageBreak/>
        <w:t>3.1.4</w:t>
      </w:r>
      <w:r w:rsidR="00BA12C3" w:rsidRPr="00B31292">
        <w:rPr>
          <w:rFonts w:ascii="Garamond" w:hAnsi="Garamond" w:cs="Times New Roman"/>
          <w:i/>
          <w:sz w:val="24"/>
          <w:szCs w:val="24"/>
        </w:rPr>
        <w:t xml:space="preserve"> “</w:t>
      </w:r>
      <w:r w:rsidRPr="00B31292">
        <w:rPr>
          <w:rFonts w:ascii="Garamond" w:hAnsi="Garamond" w:cs="Times New Roman"/>
          <w:i/>
          <w:sz w:val="24"/>
          <w:szCs w:val="24"/>
        </w:rPr>
        <w:t>Statistikat e prodhimeve organike në bujqësi</w:t>
      </w:r>
      <w:r w:rsidR="00BA12C3" w:rsidRPr="00B31292">
        <w:rPr>
          <w:rFonts w:ascii="Garamond" w:hAnsi="Garamond" w:cs="Times New Roman"/>
          <w:i/>
          <w:sz w:val="24"/>
          <w:szCs w:val="24"/>
        </w:rPr>
        <w:t>”</w:t>
      </w:r>
      <w:r w:rsidRPr="00B31292">
        <w:rPr>
          <w:rFonts w:ascii="Garamond" w:hAnsi="Garamond" w:cs="Times New Roman"/>
          <w:sz w:val="24"/>
          <w:szCs w:val="24"/>
        </w:rPr>
        <w:t xml:space="preserve"> të siguruara nga burimi administrativ do të mblidhen gjatë vitit 2025, sipas legjislacionit </w:t>
      </w:r>
      <w:r w:rsidR="00880838" w:rsidRPr="00B31292">
        <w:rPr>
          <w:rFonts w:ascii="Garamond" w:hAnsi="Garamond" w:cs="Times New Roman"/>
          <w:sz w:val="24"/>
          <w:szCs w:val="24"/>
        </w:rPr>
        <w:t>s</w:t>
      </w:r>
      <w:r w:rsidRPr="00B31292">
        <w:rPr>
          <w:rFonts w:ascii="Garamond" w:hAnsi="Garamond" w:cs="Times New Roman"/>
          <w:sz w:val="24"/>
          <w:szCs w:val="24"/>
        </w:rPr>
        <w:t xml:space="preserve">hqiptar dhe do të publikohen bazuar në kërkesat ndërkombëtare. </w:t>
      </w:r>
    </w:p>
    <w:p w14:paraId="33E6EF53" w14:textId="76527676" w:rsidR="00F3226E" w:rsidRPr="00B31292" w:rsidRDefault="00F3226E" w:rsidP="003A4DBA">
      <w:pPr>
        <w:spacing w:after="0" w:line="240" w:lineRule="auto"/>
        <w:ind w:firstLine="284"/>
        <w:jc w:val="both"/>
        <w:rPr>
          <w:rFonts w:ascii="Garamond" w:hAnsi="Garamond" w:cs="Times New Roman"/>
          <w:sz w:val="24"/>
          <w:szCs w:val="24"/>
        </w:rPr>
      </w:pPr>
      <w:r w:rsidRPr="00B31292">
        <w:rPr>
          <w:rFonts w:ascii="Garamond" w:hAnsi="Garamond" w:cs="Times New Roman"/>
          <w:i/>
          <w:sz w:val="24"/>
          <w:szCs w:val="24"/>
        </w:rPr>
        <w:t xml:space="preserve">3.1.5 </w:t>
      </w:r>
      <w:r w:rsidR="00BA12C3" w:rsidRPr="00B31292">
        <w:rPr>
          <w:rFonts w:ascii="Garamond" w:hAnsi="Garamond" w:cs="Times New Roman"/>
          <w:i/>
          <w:sz w:val="24"/>
          <w:szCs w:val="24"/>
        </w:rPr>
        <w:t>“</w:t>
      </w:r>
      <w:r w:rsidRPr="00B31292">
        <w:rPr>
          <w:rFonts w:ascii="Garamond" w:hAnsi="Garamond" w:cs="Times New Roman"/>
          <w:i/>
          <w:sz w:val="24"/>
          <w:szCs w:val="24"/>
        </w:rPr>
        <w:t>Statistikat e agromjedisit</w:t>
      </w:r>
      <w:r w:rsidR="00BA12C3" w:rsidRPr="00B31292">
        <w:rPr>
          <w:rFonts w:ascii="Garamond" w:hAnsi="Garamond" w:cs="Times New Roman"/>
          <w:i/>
          <w:sz w:val="24"/>
          <w:szCs w:val="24"/>
        </w:rPr>
        <w:t>”</w:t>
      </w:r>
      <w:r w:rsidRPr="00B31292">
        <w:rPr>
          <w:rFonts w:ascii="Garamond" w:hAnsi="Garamond" w:cs="Times New Roman"/>
          <w:sz w:val="24"/>
          <w:szCs w:val="24"/>
        </w:rPr>
        <w:t xml:space="preserve"> të siguruara nga burimi administrativ. Për realizimin e këtij aktiviteti</w:t>
      </w:r>
      <w:r w:rsidR="00D80044" w:rsidRPr="00B31292">
        <w:rPr>
          <w:rFonts w:ascii="Garamond" w:hAnsi="Garamond" w:cs="Times New Roman"/>
          <w:sz w:val="24"/>
          <w:szCs w:val="24"/>
        </w:rPr>
        <w:t xml:space="preserve"> </w:t>
      </w:r>
      <w:r w:rsidRPr="00B31292">
        <w:rPr>
          <w:rFonts w:ascii="Garamond" w:hAnsi="Garamond" w:cs="Times New Roman"/>
          <w:sz w:val="24"/>
          <w:szCs w:val="24"/>
        </w:rPr>
        <w:t>INSTAT</w:t>
      </w:r>
      <w:r w:rsidR="00BA12C3" w:rsidRPr="00B31292">
        <w:rPr>
          <w:rFonts w:ascii="Garamond" w:hAnsi="Garamond" w:cs="Times New Roman"/>
          <w:sz w:val="24"/>
          <w:szCs w:val="24"/>
        </w:rPr>
        <w:t>-i</w:t>
      </w:r>
      <w:r w:rsidRPr="00B31292">
        <w:rPr>
          <w:rFonts w:ascii="Garamond" w:hAnsi="Garamond" w:cs="Times New Roman"/>
          <w:sz w:val="24"/>
          <w:szCs w:val="24"/>
        </w:rPr>
        <w:t xml:space="preserve"> do të kryejë përpunimin e të dhënave të marra nga Ministria e Bujqësisë dhe Zhvillimit Rural për prodhimin e indikatorëve përkatës.</w:t>
      </w:r>
    </w:p>
    <w:p w14:paraId="3D78235C" w14:textId="1F7BDD22" w:rsidR="00F3226E" w:rsidRPr="00B31292" w:rsidRDefault="00F3226E" w:rsidP="003A4DBA">
      <w:pPr>
        <w:spacing w:after="0" w:line="240" w:lineRule="auto"/>
        <w:ind w:firstLine="284"/>
        <w:jc w:val="both"/>
        <w:rPr>
          <w:rFonts w:ascii="Garamond" w:hAnsi="Garamond" w:cs="Times New Roman"/>
          <w:sz w:val="24"/>
          <w:szCs w:val="24"/>
        </w:rPr>
      </w:pPr>
      <w:r w:rsidRPr="00B31292">
        <w:rPr>
          <w:rFonts w:ascii="Garamond" w:hAnsi="Garamond" w:cs="Times New Roman"/>
          <w:b/>
          <w:sz w:val="24"/>
          <w:szCs w:val="24"/>
        </w:rPr>
        <w:t xml:space="preserve">Treguesit kryesorë: </w:t>
      </w:r>
      <w:r w:rsidRPr="00B31292">
        <w:rPr>
          <w:rFonts w:ascii="Garamond" w:hAnsi="Garamond" w:cs="Times New Roman"/>
          <w:sz w:val="24"/>
          <w:szCs w:val="24"/>
        </w:rPr>
        <w:t xml:space="preserve">Tregues mbi pyjet, kullotat; të dhënat kadastrale të fondit për pyjet, kullotat dhe kundërvajtjet në pyje, strukturën dhe bilancet në pyje e kullota, si dhe bilanci burim-përdorim i produkteve pyjore; </w:t>
      </w:r>
      <w:r w:rsidR="00880838" w:rsidRPr="00B31292">
        <w:rPr>
          <w:rFonts w:ascii="Garamond" w:hAnsi="Garamond" w:cs="Times New Roman"/>
          <w:sz w:val="24"/>
          <w:szCs w:val="24"/>
        </w:rPr>
        <w:t>t</w:t>
      </w:r>
      <w:r w:rsidRPr="00B31292">
        <w:rPr>
          <w:rFonts w:ascii="Garamond" w:hAnsi="Garamond" w:cs="Times New Roman"/>
          <w:sz w:val="24"/>
          <w:szCs w:val="24"/>
        </w:rPr>
        <w:t xml:space="preserve">regues mbi sipërfaqen, prodhimin, rendimentin dhe përmbajtjen e lagështisë për drithërat dhe bishtajoret, në nivel kombëtar dhe rajonal; bimët </w:t>
      </w:r>
      <w:r w:rsidR="00880838" w:rsidRPr="00B31292">
        <w:rPr>
          <w:rFonts w:ascii="Garamond" w:hAnsi="Garamond" w:cs="Times New Roman"/>
          <w:sz w:val="24"/>
          <w:szCs w:val="24"/>
        </w:rPr>
        <w:t xml:space="preserve">e </w:t>
      </w:r>
      <w:r w:rsidRPr="00B31292">
        <w:rPr>
          <w:rFonts w:ascii="Garamond" w:hAnsi="Garamond" w:cs="Times New Roman"/>
          <w:sz w:val="24"/>
          <w:szCs w:val="24"/>
        </w:rPr>
        <w:t xml:space="preserve">tjera të mbjella në tokë arë, në nivel rajonal; pemët frutore, vreshtat, agrumet dhe ullirin, në nivel rajonal; </w:t>
      </w:r>
      <w:r w:rsidR="00880838" w:rsidRPr="00B31292">
        <w:rPr>
          <w:rFonts w:ascii="Garamond" w:hAnsi="Garamond" w:cs="Times New Roman"/>
          <w:sz w:val="24"/>
          <w:szCs w:val="24"/>
        </w:rPr>
        <w:t>t</w:t>
      </w:r>
      <w:r w:rsidRPr="00B31292">
        <w:rPr>
          <w:rFonts w:ascii="Garamond" w:hAnsi="Garamond" w:cs="Times New Roman"/>
          <w:sz w:val="24"/>
          <w:szCs w:val="24"/>
        </w:rPr>
        <w:t>regues statistikorë</w:t>
      </w:r>
      <w:r w:rsidR="00880838" w:rsidRPr="00B31292">
        <w:rPr>
          <w:rFonts w:ascii="Garamond" w:hAnsi="Garamond" w:cs="Times New Roman"/>
          <w:sz w:val="24"/>
          <w:szCs w:val="24"/>
        </w:rPr>
        <w:t>,</w:t>
      </w:r>
      <w:r w:rsidRPr="00B31292">
        <w:rPr>
          <w:rFonts w:ascii="Garamond" w:hAnsi="Garamond" w:cs="Times New Roman"/>
          <w:sz w:val="24"/>
          <w:szCs w:val="24"/>
        </w:rPr>
        <w:t xml:space="preserve"> mbi: a) numrin e krerëve, prodhimin e mishit sipas kategorive të blegtorisë dhe produktet e tjera blegtorale; b) strukturën e blegtorisë dhe shpendëve, peshën e gjallë dhe peshë e therur sipas kategorive statistikore përkatëse të therura në fermë/thertore; </w:t>
      </w:r>
      <w:r w:rsidR="00880838" w:rsidRPr="00B31292">
        <w:rPr>
          <w:rFonts w:ascii="Garamond" w:hAnsi="Garamond" w:cs="Times New Roman"/>
          <w:sz w:val="24"/>
          <w:szCs w:val="24"/>
        </w:rPr>
        <w:t>t</w:t>
      </w:r>
      <w:r w:rsidR="00C85833" w:rsidRPr="00B31292">
        <w:rPr>
          <w:rFonts w:ascii="Garamond" w:hAnsi="Garamond" w:cs="Times New Roman"/>
          <w:sz w:val="24"/>
          <w:szCs w:val="24"/>
        </w:rPr>
        <w:t>regues</w:t>
      </w:r>
      <w:r w:rsidRPr="00B31292">
        <w:rPr>
          <w:rFonts w:ascii="Garamond" w:hAnsi="Garamond" w:cs="Times New Roman"/>
          <w:sz w:val="24"/>
          <w:szCs w:val="24"/>
        </w:rPr>
        <w:t xml:space="preserve"> mbi numrin e shpendëve të therur gjatë vitit në thertore sipas llojeve, peshën e gjallë dhe peshën e therur; </w:t>
      </w:r>
      <w:r w:rsidR="00880838" w:rsidRPr="00B31292">
        <w:rPr>
          <w:rFonts w:ascii="Garamond" w:hAnsi="Garamond" w:cs="Times New Roman"/>
          <w:sz w:val="24"/>
          <w:szCs w:val="24"/>
        </w:rPr>
        <w:t>t</w:t>
      </w:r>
      <w:r w:rsidR="00C85833" w:rsidRPr="00B31292">
        <w:rPr>
          <w:rFonts w:ascii="Garamond" w:hAnsi="Garamond" w:cs="Times New Roman"/>
          <w:sz w:val="24"/>
          <w:szCs w:val="24"/>
        </w:rPr>
        <w:t>regues</w:t>
      </w:r>
      <w:r w:rsidRPr="00B31292">
        <w:rPr>
          <w:rFonts w:ascii="Garamond" w:hAnsi="Garamond" w:cs="Times New Roman"/>
          <w:sz w:val="24"/>
          <w:szCs w:val="24"/>
        </w:rPr>
        <w:t xml:space="preserve"> mbi prodhimin e shpendëve dhe vezëve për treg; </w:t>
      </w:r>
      <w:r w:rsidR="00880838" w:rsidRPr="00B31292">
        <w:rPr>
          <w:rFonts w:ascii="Garamond" w:hAnsi="Garamond" w:cs="Times New Roman"/>
          <w:sz w:val="24"/>
          <w:szCs w:val="24"/>
        </w:rPr>
        <w:t>t</w:t>
      </w:r>
      <w:r w:rsidRPr="00B31292">
        <w:rPr>
          <w:rFonts w:ascii="Garamond" w:hAnsi="Garamond" w:cs="Times New Roman"/>
          <w:sz w:val="24"/>
          <w:szCs w:val="24"/>
        </w:rPr>
        <w:t xml:space="preserve">regues mbi qumështin dhe produktet e tij sipas përmbajtjes së yndyrës dhe proteinave, mbi strukturën e fabrikave dhe baxhove që grumbullojnë dhe përpunojnë qumësht; </w:t>
      </w:r>
      <w:r w:rsidR="00880838" w:rsidRPr="00B31292">
        <w:rPr>
          <w:rFonts w:ascii="Garamond" w:hAnsi="Garamond" w:cs="Times New Roman"/>
          <w:sz w:val="24"/>
          <w:szCs w:val="24"/>
        </w:rPr>
        <w:t>t</w:t>
      </w:r>
      <w:r w:rsidR="00C85833" w:rsidRPr="00B31292">
        <w:rPr>
          <w:rFonts w:ascii="Garamond" w:hAnsi="Garamond" w:cs="Times New Roman"/>
          <w:sz w:val="24"/>
          <w:szCs w:val="24"/>
        </w:rPr>
        <w:t>regues</w:t>
      </w:r>
      <w:r w:rsidRPr="00B31292">
        <w:rPr>
          <w:rFonts w:ascii="Garamond" w:hAnsi="Garamond" w:cs="Times New Roman"/>
          <w:sz w:val="24"/>
          <w:szCs w:val="24"/>
        </w:rPr>
        <w:t xml:space="preserve"> mbi sasinë e qumështit të lopës të grumbulluar</w:t>
      </w:r>
      <w:r w:rsidR="00C85833" w:rsidRPr="00B31292">
        <w:rPr>
          <w:rFonts w:ascii="Garamond" w:hAnsi="Garamond" w:cs="Times New Roman"/>
          <w:sz w:val="24"/>
          <w:szCs w:val="24"/>
        </w:rPr>
        <w:t>,</w:t>
      </w:r>
      <w:r w:rsidRPr="00B31292">
        <w:rPr>
          <w:rFonts w:ascii="Garamond" w:hAnsi="Garamond" w:cs="Times New Roman"/>
          <w:sz w:val="24"/>
          <w:szCs w:val="24"/>
        </w:rPr>
        <w:t xml:space="preserve"> si dhe sasinë e nënprodukteve kryesore të prodhuara; </w:t>
      </w:r>
      <w:r w:rsidR="00880838" w:rsidRPr="00B31292">
        <w:rPr>
          <w:rFonts w:ascii="Garamond" w:hAnsi="Garamond" w:cs="Times New Roman"/>
          <w:sz w:val="24"/>
          <w:szCs w:val="24"/>
        </w:rPr>
        <w:t>t</w:t>
      </w:r>
      <w:r w:rsidRPr="00B31292">
        <w:rPr>
          <w:rFonts w:ascii="Garamond" w:hAnsi="Garamond" w:cs="Times New Roman"/>
          <w:sz w:val="24"/>
          <w:szCs w:val="24"/>
        </w:rPr>
        <w:t xml:space="preserve">regues mbi sasinë e qumështit të prodhuar në fermë sipas llojeve: lopë, dele, dhi, me periodicitet vjetor në nivel prefekture dhe bashkie; </w:t>
      </w:r>
      <w:r w:rsidR="00880838" w:rsidRPr="00B31292">
        <w:rPr>
          <w:rFonts w:ascii="Garamond" w:hAnsi="Garamond" w:cs="Times New Roman"/>
          <w:sz w:val="24"/>
          <w:szCs w:val="24"/>
        </w:rPr>
        <w:t>t</w:t>
      </w:r>
      <w:r w:rsidRPr="00B31292">
        <w:rPr>
          <w:rFonts w:ascii="Garamond" w:hAnsi="Garamond" w:cs="Times New Roman"/>
          <w:sz w:val="24"/>
          <w:szCs w:val="24"/>
        </w:rPr>
        <w:t xml:space="preserve">regues mbi llogaritë ekonomike në bujqësi; </w:t>
      </w:r>
      <w:r w:rsidR="00880838" w:rsidRPr="00B31292">
        <w:rPr>
          <w:rFonts w:ascii="Garamond" w:hAnsi="Garamond" w:cs="Times New Roman"/>
          <w:sz w:val="24"/>
          <w:szCs w:val="24"/>
        </w:rPr>
        <w:t>i</w:t>
      </w:r>
      <w:r w:rsidRPr="00B31292">
        <w:rPr>
          <w:rFonts w:ascii="Garamond" w:hAnsi="Garamond" w:cs="Times New Roman"/>
          <w:sz w:val="24"/>
          <w:szCs w:val="24"/>
        </w:rPr>
        <w:t xml:space="preserve">ndeksi i çmimeve të produkteve bujqësore; </w:t>
      </w:r>
      <w:r w:rsidR="00880838" w:rsidRPr="00B31292">
        <w:rPr>
          <w:rFonts w:ascii="Garamond" w:hAnsi="Garamond" w:cs="Times New Roman"/>
          <w:sz w:val="24"/>
          <w:szCs w:val="24"/>
        </w:rPr>
        <w:t>i</w:t>
      </w:r>
      <w:r w:rsidRPr="00B31292">
        <w:rPr>
          <w:rFonts w:ascii="Garamond" w:hAnsi="Garamond" w:cs="Times New Roman"/>
          <w:sz w:val="24"/>
          <w:szCs w:val="24"/>
        </w:rPr>
        <w:t xml:space="preserve">ndeksi i çmimeve të inputeve në bujqësi; </w:t>
      </w:r>
      <w:r w:rsidR="00880838" w:rsidRPr="00B31292">
        <w:rPr>
          <w:rFonts w:ascii="Garamond" w:hAnsi="Garamond" w:cs="Times New Roman"/>
          <w:sz w:val="24"/>
          <w:szCs w:val="24"/>
        </w:rPr>
        <w:t>t</w:t>
      </w:r>
      <w:r w:rsidRPr="00B31292">
        <w:rPr>
          <w:rFonts w:ascii="Garamond" w:hAnsi="Garamond" w:cs="Times New Roman"/>
          <w:sz w:val="24"/>
          <w:szCs w:val="24"/>
        </w:rPr>
        <w:t>regues mbi prodhimin e peshkut, molusqeve, strukturën e ndërmarrjeve prodhuese</w:t>
      </w:r>
      <w:r w:rsidR="00AC3930" w:rsidRPr="00B31292">
        <w:rPr>
          <w:rFonts w:ascii="Garamond" w:hAnsi="Garamond" w:cs="Times New Roman"/>
          <w:sz w:val="24"/>
          <w:szCs w:val="24"/>
        </w:rPr>
        <w:t>,</w:t>
      </w:r>
      <w:r w:rsidRPr="00B31292">
        <w:rPr>
          <w:rFonts w:ascii="Garamond" w:hAnsi="Garamond" w:cs="Times New Roman"/>
          <w:sz w:val="24"/>
          <w:szCs w:val="24"/>
        </w:rPr>
        <w:t xml:space="preserve"> si dhe numrin e të punësuarve; peshkimin detar sipas porteve; numrin e anijeve dhe zënien e peshkut sipas porteve; </w:t>
      </w:r>
      <w:r w:rsidR="00880838" w:rsidRPr="00B31292">
        <w:rPr>
          <w:rFonts w:ascii="Garamond" w:hAnsi="Garamond" w:cs="Times New Roman"/>
          <w:sz w:val="24"/>
          <w:szCs w:val="24"/>
        </w:rPr>
        <w:t>t</w:t>
      </w:r>
      <w:r w:rsidRPr="00B31292">
        <w:rPr>
          <w:rFonts w:ascii="Garamond" w:hAnsi="Garamond" w:cs="Times New Roman"/>
          <w:sz w:val="24"/>
          <w:szCs w:val="24"/>
        </w:rPr>
        <w:t xml:space="preserve">regues për peshkimin në ujërat e brendshme dhe për numrin e subjekteve që ushtrojnë aktivitet në akuakulturë dhe molusqe; </w:t>
      </w:r>
      <w:r w:rsidR="00880838" w:rsidRPr="00B31292">
        <w:rPr>
          <w:rFonts w:ascii="Garamond" w:hAnsi="Garamond" w:cs="Times New Roman"/>
          <w:sz w:val="24"/>
          <w:szCs w:val="24"/>
        </w:rPr>
        <w:t>t</w:t>
      </w:r>
      <w:r w:rsidRPr="00B31292">
        <w:rPr>
          <w:rFonts w:ascii="Garamond" w:hAnsi="Garamond" w:cs="Times New Roman"/>
          <w:sz w:val="24"/>
          <w:szCs w:val="24"/>
        </w:rPr>
        <w:t xml:space="preserve">regues mbi sasitë e zënies së peshkut sipas kategorive ujore; </w:t>
      </w:r>
      <w:r w:rsidR="00880838" w:rsidRPr="00B31292">
        <w:rPr>
          <w:rFonts w:ascii="Garamond" w:hAnsi="Garamond" w:cs="Times New Roman"/>
          <w:sz w:val="24"/>
          <w:szCs w:val="24"/>
        </w:rPr>
        <w:t>t</w:t>
      </w:r>
      <w:r w:rsidR="00AC3930" w:rsidRPr="00B31292">
        <w:rPr>
          <w:rFonts w:ascii="Garamond" w:hAnsi="Garamond" w:cs="Times New Roman"/>
          <w:sz w:val="24"/>
          <w:szCs w:val="24"/>
        </w:rPr>
        <w:t>regues</w:t>
      </w:r>
      <w:r w:rsidRPr="00B31292">
        <w:rPr>
          <w:rFonts w:ascii="Garamond" w:hAnsi="Garamond" w:cs="Times New Roman"/>
          <w:sz w:val="24"/>
          <w:szCs w:val="24"/>
        </w:rPr>
        <w:t xml:space="preserve"> mbi operatorë organikë të regjistruar dhe </w:t>
      </w:r>
      <w:r w:rsidR="00BA12C3" w:rsidRPr="00B31292">
        <w:rPr>
          <w:rFonts w:ascii="Garamond" w:hAnsi="Garamond" w:cs="Times New Roman"/>
          <w:sz w:val="24"/>
          <w:szCs w:val="24"/>
        </w:rPr>
        <w:t>certifikuar</w:t>
      </w:r>
      <w:r w:rsidRPr="00B31292">
        <w:rPr>
          <w:rFonts w:ascii="Garamond" w:hAnsi="Garamond" w:cs="Times New Roman"/>
          <w:sz w:val="24"/>
          <w:szCs w:val="24"/>
        </w:rPr>
        <w:t xml:space="preserve">, si: prodhues, përpunues, importues dhe të tjerë, gjatë vitit referues, si dhe të rinj gjatë vitit, të cilët nuk kanë plotësuar kriteret e </w:t>
      </w:r>
      <w:r w:rsidR="00BA12C3" w:rsidRPr="00B31292">
        <w:rPr>
          <w:rFonts w:ascii="Garamond" w:hAnsi="Garamond" w:cs="Times New Roman"/>
          <w:sz w:val="24"/>
          <w:szCs w:val="24"/>
        </w:rPr>
        <w:t>certifikimit</w:t>
      </w:r>
      <w:r w:rsidRPr="00B31292">
        <w:rPr>
          <w:rFonts w:ascii="Garamond" w:hAnsi="Garamond" w:cs="Times New Roman"/>
          <w:sz w:val="24"/>
          <w:szCs w:val="24"/>
        </w:rPr>
        <w:t xml:space="preserve"> me periodicitet vjetor; sipërfaqet organike të </w:t>
      </w:r>
      <w:r w:rsidR="00BA12C3" w:rsidRPr="00B31292">
        <w:rPr>
          <w:rFonts w:ascii="Garamond" w:hAnsi="Garamond" w:cs="Times New Roman"/>
          <w:sz w:val="24"/>
          <w:szCs w:val="24"/>
        </w:rPr>
        <w:t>certifikuara</w:t>
      </w:r>
      <w:r w:rsidRPr="00B31292">
        <w:rPr>
          <w:rFonts w:ascii="Garamond" w:hAnsi="Garamond" w:cs="Times New Roman"/>
          <w:sz w:val="24"/>
          <w:szCs w:val="24"/>
        </w:rPr>
        <w:t xml:space="preserve"> dhe në proces konvertimi dhe prodhimet organike bimore me periodicitet vjetor; blegtorinë e </w:t>
      </w:r>
      <w:r w:rsidR="00BA12C3" w:rsidRPr="00B31292">
        <w:rPr>
          <w:rFonts w:ascii="Garamond" w:hAnsi="Garamond" w:cs="Times New Roman"/>
          <w:sz w:val="24"/>
          <w:szCs w:val="24"/>
        </w:rPr>
        <w:t>certifikuar</w:t>
      </w:r>
      <w:r w:rsidRPr="00B31292">
        <w:rPr>
          <w:rFonts w:ascii="Garamond" w:hAnsi="Garamond" w:cs="Times New Roman"/>
          <w:sz w:val="24"/>
          <w:szCs w:val="24"/>
        </w:rPr>
        <w:t xml:space="preserve">, prodhimin e produkteve organike me origjinë blegtorale me periodicitet vjetor; përpunimin e produkteve organike sipas aktivitetit ekonomik; </w:t>
      </w:r>
      <w:r w:rsidR="00880838" w:rsidRPr="00B31292">
        <w:rPr>
          <w:rFonts w:ascii="Garamond" w:hAnsi="Garamond" w:cs="Times New Roman"/>
          <w:sz w:val="24"/>
          <w:szCs w:val="24"/>
        </w:rPr>
        <w:t>t</w:t>
      </w:r>
      <w:r w:rsidRPr="00B31292">
        <w:rPr>
          <w:rFonts w:ascii="Garamond" w:hAnsi="Garamond" w:cs="Times New Roman"/>
          <w:sz w:val="24"/>
          <w:szCs w:val="24"/>
        </w:rPr>
        <w:t>regues mbi: sasinë e plehrave kimike të përdorura sipas grup</w:t>
      </w:r>
      <w:r w:rsidR="00880838" w:rsidRPr="00B31292">
        <w:rPr>
          <w:rFonts w:ascii="Garamond" w:hAnsi="Garamond" w:cs="Times New Roman"/>
          <w:sz w:val="24"/>
          <w:szCs w:val="24"/>
        </w:rPr>
        <w:t>-</w:t>
      </w:r>
      <w:r w:rsidRPr="00B31292">
        <w:rPr>
          <w:rFonts w:ascii="Garamond" w:hAnsi="Garamond" w:cs="Times New Roman"/>
          <w:sz w:val="24"/>
          <w:szCs w:val="24"/>
        </w:rPr>
        <w:t xml:space="preserve">kulturave </w:t>
      </w:r>
      <w:r w:rsidR="00880838" w:rsidRPr="00B31292">
        <w:rPr>
          <w:rFonts w:ascii="Garamond" w:hAnsi="Garamond" w:cs="Times New Roman"/>
          <w:sz w:val="24"/>
          <w:szCs w:val="24"/>
        </w:rPr>
        <w:t xml:space="preserve">me </w:t>
      </w:r>
      <w:r w:rsidRPr="00B31292">
        <w:rPr>
          <w:rFonts w:ascii="Garamond" w:hAnsi="Garamond" w:cs="Times New Roman"/>
          <w:sz w:val="24"/>
          <w:szCs w:val="24"/>
        </w:rPr>
        <w:t xml:space="preserve">periodicitet vjetor; sipërfaqet e plehëruara me plehra kimike </w:t>
      </w:r>
      <w:r w:rsidR="00880838" w:rsidRPr="00B31292">
        <w:rPr>
          <w:rFonts w:ascii="Garamond" w:hAnsi="Garamond" w:cs="Times New Roman"/>
          <w:sz w:val="24"/>
          <w:szCs w:val="24"/>
        </w:rPr>
        <w:t xml:space="preserve">me </w:t>
      </w:r>
      <w:r w:rsidRPr="00B31292">
        <w:rPr>
          <w:rFonts w:ascii="Garamond" w:hAnsi="Garamond" w:cs="Times New Roman"/>
          <w:sz w:val="24"/>
          <w:szCs w:val="24"/>
        </w:rPr>
        <w:t xml:space="preserve">periodicitet vjetor; sasinë e pesticideve të përdorura sipas grup kulturave me periodicitet vjetor; sipërfaqet e trajtuara me pesticide sipas llojit të pesticideve dhe grup kulturave me periodicitet vjetor; </w:t>
      </w:r>
      <w:r w:rsidR="00880838" w:rsidRPr="00B31292">
        <w:rPr>
          <w:rFonts w:ascii="Garamond" w:hAnsi="Garamond" w:cs="Times New Roman"/>
          <w:sz w:val="24"/>
          <w:szCs w:val="24"/>
        </w:rPr>
        <w:t>t</w:t>
      </w:r>
      <w:r w:rsidRPr="00B31292">
        <w:rPr>
          <w:rFonts w:ascii="Garamond" w:hAnsi="Garamond" w:cs="Times New Roman"/>
          <w:sz w:val="24"/>
          <w:szCs w:val="24"/>
        </w:rPr>
        <w:t>regues mbi: mbulimin dhe përdorimin e tokës me periodicitet vjetor; tokën e punueshme, livadhet dhe kullotat, tokën e zënë me pemëtore (pemë frutore, ullinj, agrume dhe vreshta) dhe tokë tjetër jobujqësore me periodicitet vjetor.</w:t>
      </w:r>
    </w:p>
    <w:p w14:paraId="44F162F4" w14:textId="6183027C" w:rsidR="00F3226E" w:rsidRPr="00B31292" w:rsidRDefault="00F3226E" w:rsidP="003A4DBA">
      <w:pPr>
        <w:spacing w:after="0" w:line="240" w:lineRule="auto"/>
        <w:ind w:firstLine="284"/>
        <w:contextualSpacing/>
        <w:jc w:val="both"/>
        <w:rPr>
          <w:rFonts w:ascii="Garamond" w:hAnsi="Garamond" w:cs="Times New Roman"/>
          <w:b/>
          <w:sz w:val="24"/>
          <w:szCs w:val="24"/>
        </w:rPr>
      </w:pPr>
      <w:r w:rsidRPr="00B31292">
        <w:rPr>
          <w:rFonts w:ascii="Garamond" w:hAnsi="Garamond" w:cs="Times New Roman"/>
          <w:b/>
          <w:sz w:val="24"/>
          <w:szCs w:val="24"/>
        </w:rPr>
        <w:t xml:space="preserve">Përputhshmëria me </w:t>
      </w:r>
      <w:r w:rsidRPr="00B31292">
        <w:rPr>
          <w:rFonts w:ascii="Garamond" w:hAnsi="Garamond" w:cs="Times New Roman"/>
          <w:b/>
          <w:i/>
          <w:sz w:val="24"/>
          <w:szCs w:val="24"/>
        </w:rPr>
        <w:t>acquis</w:t>
      </w:r>
      <w:r w:rsidRPr="00B31292">
        <w:rPr>
          <w:rFonts w:ascii="Garamond" w:hAnsi="Garamond" w:cs="Times New Roman"/>
          <w:b/>
          <w:sz w:val="24"/>
          <w:szCs w:val="24"/>
        </w:rPr>
        <w:t xml:space="preserve">: </w:t>
      </w:r>
      <w:r w:rsidRPr="00B31292">
        <w:rPr>
          <w:rFonts w:ascii="Garamond" w:hAnsi="Garamond" w:cs="Times New Roman"/>
          <w:i/>
          <w:sz w:val="24"/>
          <w:szCs w:val="24"/>
          <w:lang w:eastAsia="en-GB"/>
        </w:rPr>
        <w:t>Statistikat në fushën e prodhimit bimor</w:t>
      </w:r>
      <w:r w:rsidRPr="00B31292">
        <w:rPr>
          <w:rFonts w:ascii="Garamond" w:hAnsi="Garamond" w:cs="Times New Roman"/>
          <w:sz w:val="24"/>
          <w:szCs w:val="24"/>
          <w:lang w:eastAsia="en-GB"/>
        </w:rPr>
        <w:t xml:space="preserve"> realizohen duke zbatuar metodologjitë sipas standardeve evropiane, konkretisht bazuar në </w:t>
      </w:r>
      <w:r w:rsidR="00880838" w:rsidRPr="00B31292">
        <w:rPr>
          <w:rFonts w:ascii="Garamond" w:hAnsi="Garamond" w:cs="Times New Roman"/>
          <w:sz w:val="24"/>
          <w:szCs w:val="24"/>
          <w:lang w:eastAsia="en-GB"/>
        </w:rPr>
        <w:t>r</w:t>
      </w:r>
      <w:r w:rsidRPr="00B31292">
        <w:rPr>
          <w:rFonts w:ascii="Garamond" w:hAnsi="Garamond" w:cs="Times New Roman"/>
          <w:sz w:val="24"/>
          <w:szCs w:val="24"/>
          <w:lang w:eastAsia="en-GB"/>
        </w:rPr>
        <w:t xml:space="preserve">regulloren (KE) </w:t>
      </w:r>
      <w:r w:rsidR="00BA12C3" w:rsidRPr="00B31292">
        <w:rPr>
          <w:rFonts w:ascii="Garamond" w:hAnsi="Garamond" w:cs="Times New Roman"/>
          <w:sz w:val="24"/>
          <w:szCs w:val="24"/>
          <w:lang w:eastAsia="en-GB"/>
        </w:rPr>
        <w:t>n</w:t>
      </w:r>
      <w:r w:rsidRPr="00B31292">
        <w:rPr>
          <w:rFonts w:ascii="Garamond" w:hAnsi="Garamond" w:cs="Times New Roman"/>
          <w:sz w:val="24"/>
          <w:szCs w:val="24"/>
          <w:lang w:eastAsia="en-GB"/>
        </w:rPr>
        <w:t>r. 543/2009</w:t>
      </w:r>
      <w:r w:rsidR="00BA12C3" w:rsidRPr="00B31292">
        <w:rPr>
          <w:rFonts w:ascii="Garamond" w:hAnsi="Garamond" w:cs="Times New Roman"/>
          <w:sz w:val="24"/>
          <w:szCs w:val="24"/>
          <w:lang w:eastAsia="en-GB"/>
        </w:rPr>
        <w:t>,</w:t>
      </w:r>
      <w:r w:rsidRPr="00B31292">
        <w:rPr>
          <w:rFonts w:ascii="Garamond" w:hAnsi="Garamond" w:cs="Times New Roman"/>
          <w:sz w:val="24"/>
          <w:szCs w:val="24"/>
          <w:lang w:eastAsia="en-GB"/>
        </w:rPr>
        <w:t xml:space="preserve"> </w:t>
      </w:r>
      <w:r w:rsidR="00BA12C3" w:rsidRPr="00B31292">
        <w:rPr>
          <w:rFonts w:ascii="Garamond" w:hAnsi="Garamond" w:cs="Times New Roman"/>
          <w:sz w:val="24"/>
          <w:szCs w:val="24"/>
          <w:lang w:eastAsia="en-GB"/>
        </w:rPr>
        <w:t>“</w:t>
      </w:r>
      <w:r w:rsidRPr="00B31292">
        <w:rPr>
          <w:rFonts w:ascii="Garamond" w:hAnsi="Garamond" w:cs="Times New Roman"/>
          <w:sz w:val="24"/>
          <w:szCs w:val="24"/>
          <w:lang w:eastAsia="en-GB"/>
        </w:rPr>
        <w:t>Për statistikat vjetore të bimëve</w:t>
      </w:r>
      <w:r w:rsidR="00BA12C3" w:rsidRPr="00B31292">
        <w:rPr>
          <w:rFonts w:ascii="Garamond" w:hAnsi="Garamond" w:cs="Times New Roman"/>
          <w:sz w:val="24"/>
          <w:szCs w:val="24"/>
          <w:lang w:eastAsia="en-GB"/>
        </w:rPr>
        <w:t>”</w:t>
      </w:r>
      <w:r w:rsidR="00880838" w:rsidRPr="00B31292">
        <w:rPr>
          <w:rFonts w:ascii="Garamond" w:hAnsi="Garamond" w:cs="Times New Roman"/>
          <w:sz w:val="24"/>
          <w:szCs w:val="24"/>
          <w:lang w:eastAsia="en-GB"/>
        </w:rPr>
        <w:t>,</w:t>
      </w:r>
      <w:r w:rsidRPr="00B31292">
        <w:rPr>
          <w:rFonts w:ascii="Garamond" w:hAnsi="Garamond" w:cs="Times New Roman"/>
          <w:sz w:val="24"/>
          <w:szCs w:val="24"/>
          <w:lang w:eastAsia="en-GB"/>
        </w:rPr>
        <w:t xml:space="preserve"> ku mbulohen anekset 1.2.3.4 dhe vlerësohen si të pjesshme</w:t>
      </w:r>
      <w:r w:rsidR="003B1CA8" w:rsidRPr="00B31292">
        <w:rPr>
          <w:rFonts w:ascii="Garamond" w:hAnsi="Garamond" w:cs="Times New Roman"/>
          <w:sz w:val="24"/>
          <w:szCs w:val="24"/>
          <w:lang w:eastAsia="en-GB"/>
        </w:rPr>
        <w:t xml:space="preserve"> </w:t>
      </w:r>
      <w:r w:rsidRPr="00B31292">
        <w:rPr>
          <w:rFonts w:ascii="Garamond" w:hAnsi="Garamond" w:cs="Times New Roman"/>
          <w:sz w:val="24"/>
          <w:szCs w:val="24"/>
          <w:lang w:eastAsia="en-GB"/>
        </w:rPr>
        <w:t>në rregulloren e KE 834/2007</w:t>
      </w:r>
      <w:r w:rsidR="00880838" w:rsidRPr="00B31292">
        <w:rPr>
          <w:rFonts w:ascii="Garamond" w:hAnsi="Garamond" w:cs="Times New Roman"/>
          <w:sz w:val="24"/>
          <w:szCs w:val="24"/>
          <w:lang w:eastAsia="en-GB"/>
        </w:rPr>
        <w:t>,</w:t>
      </w:r>
      <w:r w:rsidRPr="00B31292">
        <w:rPr>
          <w:rFonts w:ascii="Garamond" w:hAnsi="Garamond" w:cs="Times New Roman"/>
          <w:sz w:val="24"/>
          <w:szCs w:val="24"/>
          <w:lang w:eastAsia="en-GB"/>
        </w:rPr>
        <w:t xml:space="preserve"> </w:t>
      </w:r>
      <w:r w:rsidR="00BA12C3" w:rsidRPr="00B31292">
        <w:rPr>
          <w:rFonts w:ascii="Garamond" w:hAnsi="Garamond" w:cs="Times New Roman"/>
          <w:sz w:val="24"/>
          <w:szCs w:val="24"/>
          <w:lang w:eastAsia="en-GB"/>
        </w:rPr>
        <w:t>“</w:t>
      </w:r>
      <w:r w:rsidRPr="00B31292">
        <w:rPr>
          <w:rFonts w:ascii="Garamond" w:hAnsi="Garamond" w:cs="Times New Roman"/>
          <w:sz w:val="24"/>
          <w:szCs w:val="24"/>
          <w:lang w:eastAsia="en-GB"/>
        </w:rPr>
        <w:t>Statistikat për prodhimet organike</w:t>
      </w:r>
      <w:r w:rsidR="00BA12C3" w:rsidRPr="00B31292">
        <w:rPr>
          <w:rFonts w:ascii="Garamond" w:hAnsi="Garamond" w:cs="Times New Roman"/>
          <w:sz w:val="24"/>
          <w:szCs w:val="24"/>
          <w:lang w:eastAsia="en-GB"/>
        </w:rPr>
        <w:t>”</w:t>
      </w:r>
      <w:r w:rsidRPr="00B31292">
        <w:rPr>
          <w:rFonts w:ascii="Garamond" w:hAnsi="Garamond" w:cs="Times New Roman"/>
          <w:sz w:val="24"/>
          <w:szCs w:val="24"/>
          <w:lang w:eastAsia="en-GB"/>
        </w:rPr>
        <w:t xml:space="preserve"> që mbulohet </w:t>
      </w:r>
      <w:r w:rsidR="00AC3930" w:rsidRPr="00B31292">
        <w:rPr>
          <w:rFonts w:ascii="Garamond" w:hAnsi="Garamond" w:cs="Times New Roman"/>
          <w:sz w:val="24"/>
          <w:szCs w:val="24"/>
          <w:lang w:eastAsia="en-GB"/>
        </w:rPr>
        <w:t xml:space="preserve">po ashtu </w:t>
      </w:r>
      <w:r w:rsidRPr="00B31292">
        <w:rPr>
          <w:rFonts w:ascii="Garamond" w:hAnsi="Garamond" w:cs="Times New Roman"/>
          <w:sz w:val="24"/>
          <w:szCs w:val="24"/>
          <w:lang w:eastAsia="en-GB"/>
        </w:rPr>
        <w:t>në mënyrë të pjesshme.</w:t>
      </w:r>
    </w:p>
    <w:p w14:paraId="7B6DFF02" w14:textId="10743E80" w:rsidR="00F3226E" w:rsidRPr="00B31292" w:rsidRDefault="00F3226E" w:rsidP="003A4DBA">
      <w:pPr>
        <w:spacing w:after="0" w:line="240" w:lineRule="auto"/>
        <w:ind w:firstLine="284"/>
        <w:contextualSpacing/>
        <w:jc w:val="both"/>
        <w:rPr>
          <w:rFonts w:ascii="Garamond" w:hAnsi="Garamond" w:cs="Times New Roman"/>
          <w:sz w:val="24"/>
          <w:szCs w:val="24"/>
          <w:lang w:eastAsia="en-GB"/>
        </w:rPr>
      </w:pPr>
      <w:r w:rsidRPr="00B31292">
        <w:rPr>
          <w:rFonts w:ascii="Garamond" w:hAnsi="Garamond" w:cs="Times New Roman"/>
          <w:i/>
          <w:sz w:val="24"/>
          <w:szCs w:val="24"/>
          <w:lang w:eastAsia="en-GB"/>
        </w:rPr>
        <w:t>Statistikat e blegtorisë, mishit dhe vezëve</w:t>
      </w:r>
      <w:r w:rsidRPr="00B31292">
        <w:rPr>
          <w:rFonts w:ascii="Garamond" w:hAnsi="Garamond" w:cs="Times New Roman"/>
          <w:sz w:val="24"/>
          <w:szCs w:val="24"/>
          <w:lang w:eastAsia="en-GB"/>
        </w:rPr>
        <w:t xml:space="preserve"> përputhen pjesërisht me </w:t>
      </w:r>
      <w:r w:rsidR="00880838" w:rsidRPr="00B31292">
        <w:rPr>
          <w:rFonts w:ascii="Garamond" w:hAnsi="Garamond" w:cs="Times New Roman"/>
          <w:sz w:val="24"/>
          <w:szCs w:val="24"/>
          <w:lang w:eastAsia="en-GB"/>
        </w:rPr>
        <w:t>r</w:t>
      </w:r>
      <w:r w:rsidRPr="00B31292">
        <w:rPr>
          <w:rFonts w:ascii="Garamond" w:hAnsi="Garamond" w:cs="Times New Roman"/>
          <w:sz w:val="24"/>
          <w:szCs w:val="24"/>
          <w:lang w:eastAsia="en-GB"/>
        </w:rPr>
        <w:t xml:space="preserve">regulloren (KE) </w:t>
      </w:r>
      <w:r w:rsidR="00BA12C3" w:rsidRPr="00B31292">
        <w:rPr>
          <w:rFonts w:ascii="Garamond" w:hAnsi="Garamond" w:cs="Times New Roman"/>
          <w:sz w:val="24"/>
          <w:szCs w:val="24"/>
          <w:lang w:eastAsia="en-GB"/>
        </w:rPr>
        <w:t>n</w:t>
      </w:r>
      <w:r w:rsidRPr="00B31292">
        <w:rPr>
          <w:rFonts w:ascii="Garamond" w:hAnsi="Garamond" w:cs="Times New Roman"/>
          <w:sz w:val="24"/>
          <w:szCs w:val="24"/>
          <w:lang w:eastAsia="en-GB"/>
        </w:rPr>
        <w:t>r. 1165/2008</w:t>
      </w:r>
      <w:r w:rsidR="00BA12C3" w:rsidRPr="00B31292">
        <w:rPr>
          <w:rFonts w:ascii="Garamond" w:hAnsi="Garamond" w:cs="Times New Roman"/>
          <w:sz w:val="24"/>
          <w:szCs w:val="24"/>
          <w:lang w:eastAsia="en-GB"/>
        </w:rPr>
        <w:t>,</w:t>
      </w:r>
      <w:r w:rsidRPr="00B31292">
        <w:rPr>
          <w:rFonts w:ascii="Garamond" w:hAnsi="Garamond" w:cs="Times New Roman"/>
          <w:sz w:val="24"/>
          <w:szCs w:val="24"/>
          <w:lang w:eastAsia="en-GB"/>
        </w:rPr>
        <w:t xml:space="preserve"> e Parlamentit Evropian dhe e Këshillit </w:t>
      </w:r>
      <w:r w:rsidR="00BA12C3" w:rsidRPr="00B31292">
        <w:rPr>
          <w:rFonts w:ascii="Garamond" w:hAnsi="Garamond" w:cs="Times New Roman"/>
          <w:sz w:val="24"/>
          <w:szCs w:val="24"/>
          <w:lang w:eastAsia="en-GB"/>
        </w:rPr>
        <w:t>“</w:t>
      </w:r>
      <w:r w:rsidRPr="00B31292">
        <w:rPr>
          <w:rFonts w:ascii="Garamond" w:hAnsi="Garamond" w:cs="Times New Roman"/>
          <w:sz w:val="24"/>
          <w:szCs w:val="24"/>
          <w:lang w:eastAsia="en-GB"/>
        </w:rPr>
        <w:t>Për statistikat e blegtorisë dhe të mishit</w:t>
      </w:r>
      <w:r w:rsidR="00BA12C3" w:rsidRPr="00B31292">
        <w:rPr>
          <w:rFonts w:ascii="Garamond" w:hAnsi="Garamond" w:cs="Times New Roman"/>
          <w:sz w:val="24"/>
          <w:szCs w:val="24"/>
          <w:lang w:eastAsia="en-GB"/>
        </w:rPr>
        <w:t>”</w:t>
      </w:r>
      <w:r w:rsidRPr="00B31292">
        <w:rPr>
          <w:rFonts w:ascii="Garamond" w:hAnsi="Garamond" w:cs="Times New Roman"/>
          <w:sz w:val="24"/>
          <w:szCs w:val="24"/>
          <w:lang w:eastAsia="en-GB"/>
        </w:rPr>
        <w:t>, ku mbulohen anekset I</w:t>
      </w:r>
      <w:r w:rsidR="00880838" w:rsidRPr="00B31292">
        <w:rPr>
          <w:rFonts w:ascii="Garamond" w:hAnsi="Garamond" w:cs="Times New Roman"/>
          <w:sz w:val="24"/>
          <w:szCs w:val="24"/>
          <w:lang w:eastAsia="en-GB"/>
        </w:rPr>
        <w:t>–</w:t>
      </w:r>
      <w:r w:rsidRPr="00B31292">
        <w:rPr>
          <w:rFonts w:ascii="Garamond" w:hAnsi="Garamond" w:cs="Times New Roman"/>
          <w:sz w:val="24"/>
          <w:szCs w:val="24"/>
          <w:lang w:eastAsia="en-GB"/>
        </w:rPr>
        <w:t>IV</w:t>
      </w:r>
      <w:r w:rsidR="00880838" w:rsidRPr="00B31292">
        <w:rPr>
          <w:rFonts w:ascii="Garamond" w:hAnsi="Garamond" w:cs="Times New Roman"/>
          <w:sz w:val="24"/>
          <w:szCs w:val="24"/>
          <w:lang w:eastAsia="en-GB"/>
        </w:rPr>
        <w:t>,</w:t>
      </w:r>
      <w:r w:rsidRPr="00B31292">
        <w:rPr>
          <w:rFonts w:ascii="Garamond" w:hAnsi="Garamond" w:cs="Times New Roman"/>
          <w:sz w:val="24"/>
          <w:szCs w:val="24"/>
          <w:lang w:eastAsia="en-GB"/>
        </w:rPr>
        <w:t xml:space="preserve"> si dhe synohet mbulimi i aneksit V. Përkufizimet e përdorura janë kryesisht në përputhje me rregulloret e KE-së.</w:t>
      </w:r>
    </w:p>
    <w:p w14:paraId="45DCDDCC" w14:textId="6C5A8C5E" w:rsidR="00F3226E" w:rsidRPr="00B31292" w:rsidRDefault="00F3226E" w:rsidP="003A4DBA">
      <w:pPr>
        <w:spacing w:after="0" w:line="240" w:lineRule="auto"/>
        <w:ind w:firstLine="284"/>
        <w:contextualSpacing/>
        <w:jc w:val="both"/>
        <w:rPr>
          <w:rFonts w:ascii="Garamond" w:hAnsi="Garamond" w:cs="Times New Roman"/>
          <w:sz w:val="24"/>
          <w:szCs w:val="24"/>
          <w:lang w:eastAsia="en-GB"/>
        </w:rPr>
      </w:pPr>
      <w:r w:rsidRPr="00B31292">
        <w:rPr>
          <w:rFonts w:ascii="Garamond" w:hAnsi="Garamond" w:cs="Times New Roman"/>
          <w:i/>
          <w:sz w:val="24"/>
          <w:szCs w:val="24"/>
          <w:lang w:eastAsia="en-GB"/>
        </w:rPr>
        <w:t>Statistikat e qumështit dhe nënprodukteve të qumështit</w:t>
      </w:r>
      <w:r w:rsidRPr="00B31292">
        <w:rPr>
          <w:rFonts w:ascii="Garamond" w:hAnsi="Garamond" w:cs="Times New Roman"/>
          <w:sz w:val="24"/>
          <w:szCs w:val="24"/>
          <w:lang w:eastAsia="en-GB"/>
        </w:rPr>
        <w:t xml:space="preserve"> bazohen dhe janë pjesërisht të përafruara me </w:t>
      </w:r>
      <w:r w:rsidR="00880838" w:rsidRPr="00B31292">
        <w:rPr>
          <w:rFonts w:ascii="Garamond" w:hAnsi="Garamond" w:cs="Times New Roman"/>
          <w:sz w:val="24"/>
          <w:szCs w:val="24"/>
          <w:lang w:eastAsia="en-GB"/>
        </w:rPr>
        <w:t>rregulloren n</w:t>
      </w:r>
      <w:r w:rsidRPr="00B31292">
        <w:rPr>
          <w:rFonts w:ascii="Garamond" w:hAnsi="Garamond" w:cs="Times New Roman"/>
          <w:sz w:val="24"/>
          <w:szCs w:val="24"/>
          <w:lang w:eastAsia="en-GB"/>
        </w:rPr>
        <w:t>r. 1165/2008 e Parlamentit Evropian dhe e Këshillit</w:t>
      </w:r>
      <w:r w:rsidR="00880838" w:rsidRPr="00B31292">
        <w:rPr>
          <w:rFonts w:ascii="Garamond" w:hAnsi="Garamond" w:cs="Times New Roman"/>
          <w:sz w:val="24"/>
          <w:szCs w:val="24"/>
          <w:lang w:eastAsia="en-GB"/>
        </w:rPr>
        <w:t>,</w:t>
      </w:r>
      <w:r w:rsidRPr="00B31292">
        <w:rPr>
          <w:rFonts w:ascii="Garamond" w:hAnsi="Garamond" w:cs="Times New Roman"/>
          <w:sz w:val="24"/>
          <w:szCs w:val="24"/>
          <w:lang w:eastAsia="en-GB"/>
        </w:rPr>
        <w:t xml:space="preserve"> </w:t>
      </w:r>
      <w:r w:rsidR="00BA12C3" w:rsidRPr="00B31292">
        <w:rPr>
          <w:rFonts w:ascii="Garamond" w:hAnsi="Garamond" w:cs="Times New Roman"/>
          <w:sz w:val="24"/>
          <w:szCs w:val="24"/>
          <w:lang w:eastAsia="en-GB"/>
        </w:rPr>
        <w:t>“</w:t>
      </w:r>
      <w:r w:rsidRPr="00B31292">
        <w:rPr>
          <w:rFonts w:ascii="Garamond" w:hAnsi="Garamond" w:cs="Times New Roman"/>
          <w:sz w:val="24"/>
          <w:szCs w:val="24"/>
          <w:lang w:eastAsia="en-GB"/>
        </w:rPr>
        <w:t xml:space="preserve">Për </w:t>
      </w:r>
      <w:r w:rsidR="00880838" w:rsidRPr="00B31292">
        <w:rPr>
          <w:rFonts w:ascii="Garamond" w:hAnsi="Garamond" w:cs="Times New Roman"/>
          <w:sz w:val="24"/>
          <w:szCs w:val="24"/>
          <w:lang w:eastAsia="en-GB"/>
        </w:rPr>
        <w:t>statistikat e blegtorisë dhe të mishi</w:t>
      </w:r>
      <w:r w:rsidRPr="00B31292">
        <w:rPr>
          <w:rFonts w:ascii="Garamond" w:hAnsi="Garamond" w:cs="Times New Roman"/>
          <w:sz w:val="24"/>
          <w:szCs w:val="24"/>
          <w:lang w:eastAsia="en-GB"/>
        </w:rPr>
        <w:t>t</w:t>
      </w:r>
      <w:r w:rsidR="00BA12C3" w:rsidRPr="00B31292">
        <w:rPr>
          <w:rFonts w:ascii="Garamond" w:hAnsi="Garamond" w:cs="Times New Roman"/>
          <w:sz w:val="24"/>
          <w:szCs w:val="24"/>
          <w:lang w:eastAsia="en-GB"/>
        </w:rPr>
        <w:t>”</w:t>
      </w:r>
      <w:r w:rsidRPr="00B31292">
        <w:rPr>
          <w:rFonts w:ascii="Garamond" w:hAnsi="Garamond" w:cs="Times New Roman"/>
          <w:sz w:val="24"/>
          <w:szCs w:val="24"/>
          <w:lang w:eastAsia="en-GB"/>
        </w:rPr>
        <w:t xml:space="preserve">, si dhe </w:t>
      </w:r>
      <w:r w:rsidR="00880838" w:rsidRPr="00B31292">
        <w:rPr>
          <w:rFonts w:ascii="Garamond" w:hAnsi="Garamond" w:cs="Times New Roman"/>
          <w:sz w:val="24"/>
          <w:szCs w:val="24"/>
          <w:lang w:eastAsia="en-GB"/>
        </w:rPr>
        <w:t>d</w:t>
      </w:r>
      <w:r w:rsidRPr="00B31292">
        <w:rPr>
          <w:rFonts w:ascii="Garamond" w:hAnsi="Garamond" w:cs="Times New Roman"/>
          <w:sz w:val="24"/>
          <w:szCs w:val="24"/>
          <w:lang w:eastAsia="en-GB"/>
        </w:rPr>
        <w:t>irektiva 96/16/KE në vrojtimet statistikore për qumështin dhe produktet e tij.</w:t>
      </w:r>
    </w:p>
    <w:p w14:paraId="4535AE81" w14:textId="1B005BDC" w:rsidR="00F3226E" w:rsidRPr="00B31292" w:rsidRDefault="00F3226E" w:rsidP="003A4DBA">
      <w:pPr>
        <w:spacing w:after="0" w:line="240" w:lineRule="auto"/>
        <w:ind w:firstLine="284"/>
        <w:contextualSpacing/>
        <w:jc w:val="both"/>
        <w:rPr>
          <w:rFonts w:ascii="Garamond" w:hAnsi="Garamond" w:cs="Times New Roman"/>
          <w:sz w:val="24"/>
          <w:szCs w:val="24"/>
          <w:lang w:eastAsia="en-GB"/>
        </w:rPr>
      </w:pPr>
      <w:r w:rsidRPr="00B31292">
        <w:rPr>
          <w:rFonts w:ascii="Garamond" w:hAnsi="Garamond" w:cs="Times New Roman"/>
          <w:i/>
          <w:sz w:val="24"/>
          <w:szCs w:val="24"/>
          <w:lang w:eastAsia="en-GB"/>
        </w:rPr>
        <w:t>Statistikat e strukturës së njësive ekonomike bujqësore</w:t>
      </w:r>
      <w:r w:rsidR="00E84B95" w:rsidRPr="00B31292">
        <w:rPr>
          <w:rFonts w:ascii="Garamond" w:hAnsi="Garamond" w:cs="Times New Roman"/>
          <w:sz w:val="24"/>
          <w:szCs w:val="24"/>
          <w:lang w:eastAsia="en-GB"/>
        </w:rPr>
        <w:t>.</w:t>
      </w:r>
      <w:r w:rsidRPr="00B31292">
        <w:rPr>
          <w:rFonts w:ascii="Garamond" w:hAnsi="Garamond" w:cs="Times New Roman"/>
          <w:sz w:val="24"/>
          <w:szCs w:val="24"/>
          <w:lang w:eastAsia="en-GB"/>
        </w:rPr>
        <w:t xml:space="preserve"> INSTAT</w:t>
      </w:r>
      <w:r w:rsidR="00BA12C3" w:rsidRPr="00B31292">
        <w:rPr>
          <w:rFonts w:ascii="Garamond" w:hAnsi="Garamond" w:cs="Times New Roman"/>
          <w:sz w:val="24"/>
          <w:szCs w:val="24"/>
          <w:lang w:eastAsia="en-GB"/>
        </w:rPr>
        <w:t>-i</w:t>
      </w:r>
      <w:r w:rsidRPr="00B31292">
        <w:rPr>
          <w:rFonts w:ascii="Garamond" w:hAnsi="Garamond" w:cs="Times New Roman"/>
          <w:sz w:val="24"/>
          <w:szCs w:val="24"/>
          <w:lang w:eastAsia="en-GB"/>
        </w:rPr>
        <w:t xml:space="preserve"> do të punojë për përafrimin e këtyre statistikave me rregulloren e re: </w:t>
      </w:r>
      <w:r w:rsidR="00880838" w:rsidRPr="00B31292">
        <w:rPr>
          <w:rFonts w:ascii="Garamond" w:hAnsi="Garamond" w:cs="Times New Roman"/>
          <w:sz w:val="24"/>
          <w:szCs w:val="24"/>
          <w:lang w:eastAsia="en-GB"/>
        </w:rPr>
        <w:t>r</w:t>
      </w:r>
      <w:r w:rsidRPr="00B31292">
        <w:rPr>
          <w:rFonts w:ascii="Garamond" w:hAnsi="Garamond" w:cs="Times New Roman"/>
          <w:sz w:val="24"/>
          <w:szCs w:val="24"/>
          <w:lang w:eastAsia="en-GB"/>
        </w:rPr>
        <w:t xml:space="preserve">regullorja (BE) 2018/1091 e Parlamentit Evropian dhe e Këshillit </w:t>
      </w:r>
      <w:r w:rsidR="00BA12C3" w:rsidRPr="00B31292">
        <w:rPr>
          <w:rFonts w:ascii="Garamond" w:hAnsi="Garamond" w:cs="Times New Roman"/>
          <w:sz w:val="24"/>
          <w:szCs w:val="24"/>
          <w:lang w:eastAsia="en-GB"/>
        </w:rPr>
        <w:lastRenderedPageBreak/>
        <w:t>“</w:t>
      </w:r>
      <w:r w:rsidRPr="00B31292">
        <w:rPr>
          <w:rFonts w:ascii="Garamond" w:hAnsi="Garamond" w:cs="Times New Roman"/>
          <w:sz w:val="24"/>
          <w:szCs w:val="24"/>
          <w:lang w:eastAsia="en-GB"/>
        </w:rPr>
        <w:t xml:space="preserve">Për </w:t>
      </w:r>
      <w:r w:rsidR="00880838" w:rsidRPr="00B31292">
        <w:rPr>
          <w:rFonts w:ascii="Garamond" w:hAnsi="Garamond" w:cs="Times New Roman"/>
          <w:sz w:val="24"/>
          <w:szCs w:val="24"/>
          <w:lang w:eastAsia="en-GB"/>
        </w:rPr>
        <w:t>statistikat e integruara të fermave</w:t>
      </w:r>
      <w:r w:rsidR="00BA12C3" w:rsidRPr="00B31292">
        <w:rPr>
          <w:rFonts w:ascii="Garamond" w:hAnsi="Garamond" w:cs="Times New Roman"/>
          <w:sz w:val="24"/>
          <w:szCs w:val="24"/>
          <w:lang w:eastAsia="en-GB"/>
        </w:rPr>
        <w:t>”</w:t>
      </w:r>
      <w:r w:rsidRPr="00B31292">
        <w:rPr>
          <w:rFonts w:ascii="Garamond" w:hAnsi="Garamond" w:cs="Times New Roman"/>
          <w:sz w:val="24"/>
          <w:szCs w:val="24"/>
          <w:lang w:eastAsia="en-GB"/>
        </w:rPr>
        <w:t xml:space="preserve"> </w:t>
      </w:r>
      <w:r w:rsidR="00880838" w:rsidRPr="00B31292">
        <w:rPr>
          <w:rFonts w:ascii="Garamond" w:hAnsi="Garamond" w:cs="Times New Roman"/>
          <w:sz w:val="24"/>
          <w:szCs w:val="24"/>
          <w:lang w:eastAsia="en-GB"/>
        </w:rPr>
        <w:t>p</w:t>
      </w:r>
      <w:r w:rsidRPr="00B31292">
        <w:rPr>
          <w:rFonts w:ascii="Garamond" w:hAnsi="Garamond" w:cs="Times New Roman"/>
          <w:sz w:val="24"/>
          <w:szCs w:val="24"/>
          <w:lang w:eastAsia="en-GB"/>
        </w:rPr>
        <w:t xml:space="preserve">ërkufizimet që do të përdoren do të jenë në përputhje me rregulloret e KE-së. </w:t>
      </w:r>
    </w:p>
    <w:p w14:paraId="37746B12" w14:textId="30A76787" w:rsidR="00F3226E" w:rsidRPr="00B31292" w:rsidRDefault="00F3226E" w:rsidP="003A4DBA">
      <w:pPr>
        <w:spacing w:after="0" w:line="240" w:lineRule="auto"/>
        <w:ind w:firstLine="284"/>
        <w:contextualSpacing/>
        <w:jc w:val="both"/>
        <w:rPr>
          <w:rFonts w:ascii="Garamond" w:hAnsi="Garamond" w:cs="Times New Roman"/>
          <w:sz w:val="24"/>
          <w:szCs w:val="24"/>
          <w:lang w:eastAsia="en-GB"/>
        </w:rPr>
      </w:pPr>
      <w:r w:rsidRPr="00B31292">
        <w:rPr>
          <w:rFonts w:ascii="Garamond" w:hAnsi="Garamond" w:cs="Times New Roman"/>
          <w:i/>
          <w:sz w:val="24"/>
          <w:szCs w:val="24"/>
          <w:lang w:eastAsia="en-GB"/>
        </w:rPr>
        <w:t>Llogaritë ekonomike në bujqësi dhe çmimet</w:t>
      </w:r>
      <w:r w:rsidRPr="00B31292">
        <w:rPr>
          <w:rFonts w:ascii="Garamond" w:hAnsi="Garamond" w:cs="Times New Roman"/>
          <w:sz w:val="24"/>
          <w:szCs w:val="24"/>
          <w:lang w:eastAsia="en-GB"/>
        </w:rPr>
        <w:t xml:space="preserve"> bazohen në </w:t>
      </w:r>
      <w:r w:rsidR="00880838" w:rsidRPr="00B31292">
        <w:rPr>
          <w:rFonts w:ascii="Garamond" w:hAnsi="Garamond" w:cs="Times New Roman"/>
          <w:sz w:val="24"/>
          <w:szCs w:val="24"/>
          <w:lang w:eastAsia="en-GB"/>
        </w:rPr>
        <w:t>r</w:t>
      </w:r>
      <w:r w:rsidRPr="00B31292">
        <w:rPr>
          <w:rFonts w:ascii="Garamond" w:hAnsi="Garamond" w:cs="Times New Roman"/>
          <w:sz w:val="24"/>
          <w:szCs w:val="24"/>
          <w:lang w:eastAsia="en-GB"/>
        </w:rPr>
        <w:t xml:space="preserve">regulloren e (KE) </w:t>
      </w:r>
      <w:r w:rsidR="00BA12C3" w:rsidRPr="00B31292">
        <w:rPr>
          <w:rFonts w:ascii="Garamond" w:hAnsi="Garamond" w:cs="Times New Roman"/>
          <w:sz w:val="24"/>
          <w:szCs w:val="24"/>
          <w:lang w:eastAsia="en-GB"/>
        </w:rPr>
        <w:t>n</w:t>
      </w:r>
      <w:r w:rsidRPr="00B31292">
        <w:rPr>
          <w:rFonts w:ascii="Garamond" w:hAnsi="Garamond" w:cs="Times New Roman"/>
          <w:sz w:val="24"/>
          <w:szCs w:val="24"/>
          <w:lang w:eastAsia="en-GB"/>
        </w:rPr>
        <w:t>r. 138/2004</w:t>
      </w:r>
      <w:r w:rsidR="00BA12C3" w:rsidRPr="00B31292">
        <w:rPr>
          <w:rFonts w:ascii="Garamond" w:hAnsi="Garamond" w:cs="Times New Roman"/>
          <w:sz w:val="24"/>
          <w:szCs w:val="24"/>
          <w:lang w:eastAsia="en-GB"/>
        </w:rPr>
        <w:t>,</w:t>
      </w:r>
      <w:r w:rsidRPr="00B31292">
        <w:rPr>
          <w:rFonts w:ascii="Garamond" w:hAnsi="Garamond" w:cs="Times New Roman"/>
          <w:sz w:val="24"/>
          <w:szCs w:val="24"/>
          <w:lang w:eastAsia="en-GB"/>
        </w:rPr>
        <w:t xml:space="preserve"> e Parlamentit Evropian dhe e Këshillit </w:t>
      </w:r>
      <w:r w:rsidR="00BA12C3" w:rsidRPr="00B31292">
        <w:rPr>
          <w:rFonts w:ascii="Garamond" w:hAnsi="Garamond" w:cs="Times New Roman"/>
          <w:sz w:val="24"/>
          <w:szCs w:val="24"/>
          <w:lang w:eastAsia="en-GB"/>
        </w:rPr>
        <w:t>“</w:t>
      </w:r>
      <w:r w:rsidRPr="00B31292">
        <w:rPr>
          <w:rFonts w:ascii="Garamond" w:hAnsi="Garamond" w:cs="Times New Roman"/>
          <w:sz w:val="24"/>
          <w:szCs w:val="24"/>
          <w:lang w:eastAsia="en-GB"/>
        </w:rPr>
        <w:t xml:space="preserve">Për </w:t>
      </w:r>
      <w:r w:rsidR="00880838" w:rsidRPr="00B31292">
        <w:rPr>
          <w:rFonts w:ascii="Garamond" w:hAnsi="Garamond" w:cs="Times New Roman"/>
          <w:sz w:val="24"/>
          <w:szCs w:val="24"/>
          <w:lang w:eastAsia="en-GB"/>
        </w:rPr>
        <w:t>llogaritë ekonomike në bujqësi</w:t>
      </w:r>
      <w:r w:rsidR="00BA12C3" w:rsidRPr="00B31292">
        <w:rPr>
          <w:rFonts w:ascii="Garamond" w:hAnsi="Garamond" w:cs="Times New Roman"/>
          <w:sz w:val="24"/>
          <w:szCs w:val="24"/>
          <w:lang w:eastAsia="en-GB"/>
        </w:rPr>
        <w:t>”</w:t>
      </w:r>
      <w:r w:rsidRPr="00B31292">
        <w:rPr>
          <w:rFonts w:ascii="Garamond" w:hAnsi="Garamond" w:cs="Times New Roman"/>
          <w:sz w:val="24"/>
          <w:szCs w:val="24"/>
          <w:lang w:eastAsia="en-GB"/>
        </w:rPr>
        <w:t xml:space="preserve">. Në zbatim të kërkesave të kësaj rregulloreje, llogaritë ekonomike në bujqësi dhe çmimet klasifikohen si pjesërisht të përafruara. Përkufizimet e përdorura janë kryesisht në përputhje me rregulloren e KE-së. </w:t>
      </w:r>
      <w:r w:rsidRPr="00B31292">
        <w:rPr>
          <w:rFonts w:ascii="Garamond" w:hAnsi="Garamond" w:cs="Times New Roman"/>
          <w:i/>
          <w:sz w:val="24"/>
          <w:szCs w:val="24"/>
          <w:lang w:eastAsia="en-GB"/>
        </w:rPr>
        <w:t>Indeksi i Çmimeve të Prodhimeve Bujqësore</w:t>
      </w:r>
      <w:r w:rsidRPr="00B31292">
        <w:rPr>
          <w:rFonts w:ascii="Garamond" w:hAnsi="Garamond" w:cs="Times New Roman"/>
          <w:sz w:val="24"/>
          <w:szCs w:val="24"/>
          <w:lang w:eastAsia="en-GB"/>
        </w:rPr>
        <w:t xml:space="preserve"> publikohet në përputhje me rregulloren e KE</w:t>
      </w:r>
      <w:r w:rsidR="00880838" w:rsidRPr="00B31292">
        <w:rPr>
          <w:rFonts w:ascii="Garamond" w:hAnsi="Garamond" w:cs="Times New Roman"/>
          <w:sz w:val="24"/>
          <w:szCs w:val="24"/>
          <w:lang w:eastAsia="en-GB"/>
        </w:rPr>
        <w:t>-së</w:t>
      </w:r>
      <w:r w:rsidRPr="00B31292">
        <w:rPr>
          <w:rFonts w:ascii="Garamond" w:hAnsi="Garamond" w:cs="Times New Roman"/>
          <w:sz w:val="24"/>
          <w:szCs w:val="24"/>
          <w:lang w:eastAsia="en-GB"/>
        </w:rPr>
        <w:t xml:space="preserve"> me periodicitet vjetor dhe tremujor.</w:t>
      </w:r>
    </w:p>
    <w:p w14:paraId="083C7413" w14:textId="69507A75" w:rsidR="00F3226E" w:rsidRPr="00B31292" w:rsidRDefault="00F3226E" w:rsidP="003A4DBA">
      <w:pPr>
        <w:spacing w:after="0" w:line="240" w:lineRule="auto"/>
        <w:ind w:firstLine="284"/>
        <w:contextualSpacing/>
        <w:jc w:val="both"/>
        <w:rPr>
          <w:rFonts w:ascii="Garamond" w:hAnsi="Garamond" w:cs="Times New Roman"/>
          <w:sz w:val="24"/>
          <w:szCs w:val="24"/>
          <w:lang w:eastAsia="en-GB"/>
        </w:rPr>
      </w:pPr>
      <w:r w:rsidRPr="00B31292">
        <w:rPr>
          <w:rFonts w:ascii="Garamond" w:hAnsi="Garamond" w:cs="Times New Roman"/>
          <w:i/>
          <w:sz w:val="24"/>
          <w:szCs w:val="24"/>
          <w:lang w:eastAsia="en-GB"/>
        </w:rPr>
        <w:t xml:space="preserve">Statistikat e peshkimit </w:t>
      </w:r>
      <w:r w:rsidRPr="00B31292">
        <w:rPr>
          <w:rFonts w:ascii="Garamond" w:hAnsi="Garamond" w:cs="Times New Roman"/>
          <w:sz w:val="24"/>
          <w:szCs w:val="24"/>
          <w:lang w:eastAsia="en-GB"/>
        </w:rPr>
        <w:t>bazohen në rekomandimet e FAO-s</w:t>
      </w:r>
      <w:r w:rsidR="003B1CA8" w:rsidRPr="00B31292">
        <w:rPr>
          <w:rFonts w:ascii="Garamond" w:hAnsi="Garamond" w:cs="Times New Roman"/>
          <w:sz w:val="24"/>
          <w:szCs w:val="24"/>
          <w:lang w:eastAsia="en-GB"/>
        </w:rPr>
        <w:t xml:space="preserve"> </w:t>
      </w:r>
      <w:r w:rsidRPr="00B31292">
        <w:rPr>
          <w:rFonts w:ascii="Garamond" w:hAnsi="Garamond" w:cs="Times New Roman"/>
          <w:sz w:val="24"/>
          <w:szCs w:val="24"/>
          <w:lang w:eastAsia="en-GB"/>
        </w:rPr>
        <w:t xml:space="preserve">dhe rregulloret: </w:t>
      </w:r>
      <w:r w:rsidR="00880838" w:rsidRPr="00B31292">
        <w:rPr>
          <w:rFonts w:ascii="Garamond" w:hAnsi="Garamond" w:cs="Times New Roman"/>
          <w:sz w:val="24"/>
          <w:szCs w:val="24"/>
          <w:lang w:eastAsia="en-GB"/>
        </w:rPr>
        <w:t>r</w:t>
      </w:r>
      <w:r w:rsidR="00BA12C3" w:rsidRPr="00B31292">
        <w:rPr>
          <w:rFonts w:ascii="Garamond" w:hAnsi="Garamond" w:cs="Times New Roman"/>
          <w:sz w:val="24"/>
          <w:szCs w:val="24"/>
          <w:lang w:eastAsia="en-GB"/>
        </w:rPr>
        <w:t>r</w:t>
      </w:r>
      <w:r w:rsidRPr="00B31292">
        <w:rPr>
          <w:rFonts w:ascii="Garamond" w:hAnsi="Garamond" w:cs="Times New Roman"/>
          <w:sz w:val="24"/>
          <w:szCs w:val="24"/>
          <w:lang w:eastAsia="en-GB"/>
        </w:rPr>
        <w:t xml:space="preserve">egullorja (EC) </w:t>
      </w:r>
      <w:r w:rsidR="00880838" w:rsidRPr="00B31292">
        <w:rPr>
          <w:rFonts w:ascii="Garamond" w:hAnsi="Garamond" w:cs="Times New Roman"/>
          <w:sz w:val="24"/>
          <w:szCs w:val="24"/>
          <w:lang w:eastAsia="en-GB"/>
        </w:rPr>
        <w:t>n</w:t>
      </w:r>
      <w:r w:rsidRPr="00B31292">
        <w:rPr>
          <w:rFonts w:ascii="Garamond" w:hAnsi="Garamond" w:cs="Times New Roman"/>
          <w:sz w:val="24"/>
          <w:szCs w:val="24"/>
          <w:lang w:eastAsia="en-GB"/>
        </w:rPr>
        <w:t>r. 216/2009</w:t>
      </w:r>
      <w:r w:rsidR="00880838" w:rsidRPr="00B31292">
        <w:rPr>
          <w:rFonts w:ascii="Garamond" w:hAnsi="Garamond" w:cs="Times New Roman"/>
          <w:sz w:val="24"/>
          <w:szCs w:val="24"/>
          <w:lang w:eastAsia="en-GB"/>
        </w:rPr>
        <w:t>,</w:t>
      </w:r>
      <w:r w:rsidRPr="00B31292">
        <w:rPr>
          <w:rFonts w:ascii="Garamond" w:hAnsi="Garamond" w:cs="Times New Roman"/>
          <w:sz w:val="24"/>
          <w:szCs w:val="24"/>
          <w:lang w:eastAsia="en-GB"/>
        </w:rPr>
        <w:t xml:space="preserve"> mbi </w:t>
      </w:r>
      <w:r w:rsidR="00BA12C3" w:rsidRPr="00B31292">
        <w:rPr>
          <w:rFonts w:ascii="Garamond" w:hAnsi="Garamond" w:cs="Times New Roman"/>
          <w:sz w:val="24"/>
          <w:szCs w:val="24"/>
          <w:lang w:eastAsia="en-GB"/>
        </w:rPr>
        <w:t>“</w:t>
      </w:r>
      <w:r w:rsidRPr="00B31292">
        <w:rPr>
          <w:rFonts w:ascii="Garamond" w:hAnsi="Garamond" w:cs="Times New Roman"/>
          <w:sz w:val="24"/>
          <w:szCs w:val="24"/>
          <w:lang w:eastAsia="en-GB"/>
        </w:rPr>
        <w:t xml:space="preserve">Statistikat e </w:t>
      </w:r>
      <w:r w:rsidR="00880838" w:rsidRPr="00B31292">
        <w:rPr>
          <w:rFonts w:ascii="Garamond" w:hAnsi="Garamond" w:cs="Times New Roman"/>
          <w:sz w:val="24"/>
          <w:szCs w:val="24"/>
          <w:lang w:eastAsia="en-GB"/>
        </w:rPr>
        <w:t>zënieve të peshkut</w:t>
      </w:r>
      <w:r w:rsidRPr="00B31292">
        <w:rPr>
          <w:rFonts w:ascii="Garamond" w:hAnsi="Garamond" w:cs="Times New Roman"/>
          <w:sz w:val="24"/>
          <w:szCs w:val="24"/>
          <w:lang w:eastAsia="en-GB"/>
        </w:rPr>
        <w:t>, për peshkimin në zona të caktuar përveç Atlantikut të Veriut</w:t>
      </w:r>
      <w:r w:rsidR="00BA12C3" w:rsidRPr="00B31292">
        <w:rPr>
          <w:rFonts w:ascii="Garamond" w:hAnsi="Garamond" w:cs="Times New Roman"/>
          <w:sz w:val="24"/>
          <w:szCs w:val="24"/>
          <w:lang w:eastAsia="en-GB"/>
        </w:rPr>
        <w:t>”</w:t>
      </w:r>
      <w:r w:rsidRPr="00B31292">
        <w:rPr>
          <w:rFonts w:ascii="Garamond" w:hAnsi="Garamond" w:cs="Times New Roman"/>
          <w:sz w:val="24"/>
          <w:szCs w:val="24"/>
          <w:lang w:eastAsia="en-GB"/>
        </w:rPr>
        <w:t xml:space="preserve"> dhe </w:t>
      </w:r>
      <w:r w:rsidR="00880838" w:rsidRPr="00B31292">
        <w:rPr>
          <w:rFonts w:ascii="Garamond" w:hAnsi="Garamond" w:cs="Times New Roman"/>
          <w:sz w:val="24"/>
          <w:szCs w:val="24"/>
          <w:lang w:eastAsia="en-GB"/>
        </w:rPr>
        <w:t>r</w:t>
      </w:r>
      <w:r w:rsidR="00BA12C3" w:rsidRPr="00B31292">
        <w:rPr>
          <w:rFonts w:ascii="Garamond" w:hAnsi="Garamond" w:cs="Times New Roman"/>
          <w:sz w:val="24"/>
          <w:szCs w:val="24"/>
          <w:lang w:eastAsia="en-GB"/>
        </w:rPr>
        <w:t>regullorja</w:t>
      </w:r>
      <w:r w:rsidRPr="00B31292">
        <w:rPr>
          <w:rFonts w:ascii="Garamond" w:hAnsi="Garamond" w:cs="Times New Roman"/>
          <w:sz w:val="24"/>
          <w:szCs w:val="24"/>
          <w:lang w:eastAsia="en-GB"/>
        </w:rPr>
        <w:t xml:space="preserve"> (</w:t>
      </w:r>
      <w:r w:rsidR="0051781F" w:rsidRPr="00B31292">
        <w:rPr>
          <w:rFonts w:ascii="Garamond" w:hAnsi="Garamond" w:cs="Times New Roman"/>
          <w:sz w:val="24"/>
          <w:szCs w:val="24"/>
          <w:lang w:eastAsia="en-GB"/>
        </w:rPr>
        <w:t>KE</w:t>
      </w:r>
      <w:r w:rsidRPr="00B31292">
        <w:rPr>
          <w:rFonts w:ascii="Garamond" w:hAnsi="Garamond" w:cs="Times New Roman"/>
          <w:sz w:val="24"/>
          <w:szCs w:val="24"/>
          <w:lang w:eastAsia="en-GB"/>
        </w:rPr>
        <w:t xml:space="preserve">) </w:t>
      </w:r>
      <w:r w:rsidR="00880838" w:rsidRPr="00B31292">
        <w:rPr>
          <w:rFonts w:ascii="Garamond" w:hAnsi="Garamond" w:cs="Times New Roman"/>
          <w:sz w:val="24"/>
          <w:szCs w:val="24"/>
          <w:lang w:eastAsia="en-GB"/>
        </w:rPr>
        <w:t>n</w:t>
      </w:r>
      <w:r w:rsidRPr="00B31292">
        <w:rPr>
          <w:rFonts w:ascii="Garamond" w:hAnsi="Garamond" w:cs="Times New Roman"/>
          <w:sz w:val="24"/>
          <w:szCs w:val="24"/>
          <w:lang w:eastAsia="en-GB"/>
        </w:rPr>
        <w:t xml:space="preserve">r. 762/2008 mbi </w:t>
      </w:r>
      <w:r w:rsidR="00BA12C3" w:rsidRPr="00B31292">
        <w:rPr>
          <w:rFonts w:ascii="Garamond" w:hAnsi="Garamond" w:cs="Times New Roman"/>
          <w:sz w:val="24"/>
          <w:szCs w:val="24"/>
          <w:lang w:eastAsia="en-GB"/>
        </w:rPr>
        <w:t>“</w:t>
      </w:r>
      <w:r w:rsidRPr="00B31292">
        <w:rPr>
          <w:rFonts w:ascii="Garamond" w:hAnsi="Garamond" w:cs="Times New Roman"/>
          <w:sz w:val="24"/>
          <w:szCs w:val="24"/>
          <w:lang w:eastAsia="en-GB"/>
        </w:rPr>
        <w:t xml:space="preserve">Statistikat e </w:t>
      </w:r>
      <w:r w:rsidR="00880838" w:rsidRPr="00B31292">
        <w:rPr>
          <w:rFonts w:ascii="Garamond" w:hAnsi="Garamond" w:cs="Times New Roman"/>
          <w:sz w:val="24"/>
          <w:szCs w:val="24"/>
          <w:lang w:eastAsia="en-GB"/>
        </w:rPr>
        <w:t>a</w:t>
      </w:r>
      <w:r w:rsidRPr="00B31292">
        <w:rPr>
          <w:rFonts w:ascii="Garamond" w:hAnsi="Garamond" w:cs="Times New Roman"/>
          <w:sz w:val="24"/>
          <w:szCs w:val="24"/>
          <w:lang w:eastAsia="en-GB"/>
        </w:rPr>
        <w:t>kuakulturës</w:t>
      </w:r>
      <w:r w:rsidR="00BA12C3" w:rsidRPr="00B31292">
        <w:rPr>
          <w:rFonts w:ascii="Garamond" w:hAnsi="Garamond" w:cs="Times New Roman"/>
          <w:sz w:val="24"/>
          <w:szCs w:val="24"/>
          <w:lang w:eastAsia="en-GB"/>
        </w:rPr>
        <w:t>”</w:t>
      </w:r>
      <w:r w:rsidRPr="00B31292">
        <w:rPr>
          <w:rFonts w:ascii="Garamond" w:hAnsi="Garamond" w:cs="Times New Roman"/>
          <w:sz w:val="24"/>
          <w:szCs w:val="24"/>
          <w:lang w:eastAsia="en-GB"/>
        </w:rPr>
        <w:t>. Përkufizimet e përdorura janë kryesisht në përputhje me rregulloret e KE-së.</w:t>
      </w:r>
    </w:p>
    <w:p w14:paraId="123DAAE9" w14:textId="17EE6AC3" w:rsidR="00F3226E" w:rsidRPr="00B31292" w:rsidRDefault="00BA12C3" w:rsidP="003A4DBA">
      <w:pPr>
        <w:spacing w:after="0" w:line="240" w:lineRule="auto"/>
        <w:ind w:firstLine="284"/>
        <w:contextualSpacing/>
        <w:jc w:val="both"/>
        <w:rPr>
          <w:rFonts w:ascii="Garamond" w:hAnsi="Garamond" w:cs="Times New Roman"/>
          <w:sz w:val="24"/>
          <w:szCs w:val="24"/>
          <w:lang w:eastAsia="en-GB"/>
        </w:rPr>
      </w:pPr>
      <w:r w:rsidRPr="00B31292">
        <w:rPr>
          <w:rFonts w:ascii="Garamond" w:hAnsi="Garamond" w:cs="Times New Roman"/>
          <w:i/>
          <w:sz w:val="24"/>
          <w:szCs w:val="24"/>
          <w:lang w:eastAsia="en-GB"/>
        </w:rPr>
        <w:t>Certifikimi</w:t>
      </w:r>
      <w:r w:rsidR="00F3226E" w:rsidRPr="00B31292">
        <w:rPr>
          <w:rFonts w:ascii="Garamond" w:hAnsi="Garamond" w:cs="Times New Roman"/>
          <w:i/>
          <w:sz w:val="24"/>
          <w:szCs w:val="24"/>
          <w:lang w:eastAsia="en-GB"/>
        </w:rPr>
        <w:t xml:space="preserve"> i fermave organike</w:t>
      </w:r>
      <w:r w:rsidR="00F3226E" w:rsidRPr="00B31292">
        <w:rPr>
          <w:rFonts w:ascii="Garamond" w:hAnsi="Garamond" w:cs="Times New Roman"/>
          <w:sz w:val="24"/>
          <w:szCs w:val="24"/>
        </w:rPr>
        <w:t xml:space="preserve"> nga trupat e </w:t>
      </w:r>
      <w:r w:rsidRPr="00B31292">
        <w:rPr>
          <w:rFonts w:ascii="Garamond" w:hAnsi="Garamond" w:cs="Times New Roman"/>
          <w:sz w:val="24"/>
          <w:szCs w:val="24"/>
        </w:rPr>
        <w:t>certifikimit</w:t>
      </w:r>
      <w:r w:rsidR="00F3226E" w:rsidRPr="00B31292">
        <w:rPr>
          <w:rFonts w:ascii="Garamond" w:hAnsi="Garamond" w:cs="Times New Roman"/>
          <w:sz w:val="24"/>
          <w:szCs w:val="24"/>
        </w:rPr>
        <w:t xml:space="preserve"> bazohet në </w:t>
      </w:r>
      <w:r w:rsidRPr="00B31292">
        <w:rPr>
          <w:rFonts w:ascii="Garamond" w:hAnsi="Garamond" w:cs="Times New Roman"/>
          <w:sz w:val="24"/>
          <w:szCs w:val="24"/>
        </w:rPr>
        <w:t>ligjin n</w:t>
      </w:r>
      <w:r w:rsidR="00F3226E" w:rsidRPr="00B31292">
        <w:rPr>
          <w:rFonts w:ascii="Garamond" w:hAnsi="Garamond" w:cs="Times New Roman"/>
          <w:sz w:val="24"/>
          <w:szCs w:val="24"/>
        </w:rPr>
        <w:t>r. 106/2016</w:t>
      </w:r>
      <w:r w:rsidRPr="00B31292">
        <w:rPr>
          <w:rFonts w:ascii="Garamond" w:hAnsi="Garamond" w:cs="Times New Roman"/>
          <w:sz w:val="24"/>
          <w:szCs w:val="24"/>
        </w:rPr>
        <w:t>,</w:t>
      </w:r>
      <w:r w:rsidR="00F3226E" w:rsidRPr="00B31292">
        <w:rPr>
          <w:rFonts w:ascii="Garamond" w:hAnsi="Garamond" w:cs="Times New Roman"/>
          <w:sz w:val="24"/>
          <w:szCs w:val="24"/>
        </w:rPr>
        <w:t xml:space="preserve"> </w:t>
      </w:r>
      <w:r w:rsidRPr="00B31292">
        <w:rPr>
          <w:rFonts w:ascii="Garamond" w:hAnsi="Garamond" w:cs="Times New Roman"/>
          <w:sz w:val="24"/>
          <w:szCs w:val="24"/>
        </w:rPr>
        <w:t>“</w:t>
      </w:r>
      <w:r w:rsidR="00F3226E" w:rsidRPr="00B31292">
        <w:rPr>
          <w:rFonts w:ascii="Garamond" w:hAnsi="Garamond" w:cs="Times New Roman"/>
          <w:sz w:val="24"/>
          <w:szCs w:val="24"/>
        </w:rPr>
        <w:t xml:space="preserve">Për </w:t>
      </w:r>
      <w:r w:rsidR="00880838" w:rsidRPr="00B31292">
        <w:rPr>
          <w:rFonts w:ascii="Garamond" w:hAnsi="Garamond" w:cs="Times New Roman"/>
          <w:sz w:val="24"/>
          <w:szCs w:val="24"/>
        </w:rPr>
        <w:t>prodhimin biologjik, etiketimin e produkteve biologjike dhe kontrollin e tyre</w:t>
      </w:r>
      <w:r w:rsidRPr="00B31292">
        <w:rPr>
          <w:rFonts w:ascii="Garamond" w:hAnsi="Garamond" w:cs="Times New Roman"/>
          <w:sz w:val="24"/>
          <w:szCs w:val="24"/>
        </w:rPr>
        <w:t>”</w:t>
      </w:r>
      <w:r w:rsidR="001F73B2" w:rsidRPr="00B31292">
        <w:rPr>
          <w:rFonts w:ascii="Garamond" w:hAnsi="Garamond" w:cs="Times New Roman"/>
          <w:sz w:val="24"/>
          <w:szCs w:val="24"/>
        </w:rPr>
        <w:t xml:space="preserve"> </w:t>
      </w:r>
      <w:r w:rsidR="00F3226E" w:rsidRPr="00B31292">
        <w:rPr>
          <w:rFonts w:ascii="Garamond" w:hAnsi="Garamond" w:cs="Times New Roman"/>
          <w:sz w:val="24"/>
          <w:szCs w:val="24"/>
        </w:rPr>
        <w:t xml:space="preserve">përafrimi me </w:t>
      </w:r>
      <w:r w:rsidR="00880838" w:rsidRPr="00B31292">
        <w:rPr>
          <w:rFonts w:ascii="Garamond" w:hAnsi="Garamond" w:cs="Times New Roman"/>
          <w:sz w:val="24"/>
          <w:szCs w:val="24"/>
        </w:rPr>
        <w:t>r</w:t>
      </w:r>
      <w:r w:rsidRPr="00B31292">
        <w:rPr>
          <w:rFonts w:ascii="Garamond" w:hAnsi="Garamond" w:cs="Times New Roman"/>
          <w:sz w:val="24"/>
          <w:szCs w:val="24"/>
        </w:rPr>
        <w:t>regulloren</w:t>
      </w:r>
      <w:r w:rsidR="00F3226E" w:rsidRPr="00B31292">
        <w:rPr>
          <w:rFonts w:ascii="Garamond" w:hAnsi="Garamond" w:cs="Times New Roman"/>
          <w:sz w:val="24"/>
          <w:szCs w:val="24"/>
        </w:rPr>
        <w:t xml:space="preserve"> (KE) </w:t>
      </w:r>
      <w:r w:rsidRPr="00B31292">
        <w:rPr>
          <w:rFonts w:ascii="Garamond" w:hAnsi="Garamond" w:cs="Times New Roman"/>
          <w:sz w:val="24"/>
          <w:szCs w:val="24"/>
        </w:rPr>
        <w:t>n</w:t>
      </w:r>
      <w:r w:rsidR="00F3226E" w:rsidRPr="00B31292">
        <w:rPr>
          <w:rFonts w:ascii="Garamond" w:hAnsi="Garamond" w:cs="Times New Roman"/>
          <w:sz w:val="24"/>
          <w:szCs w:val="24"/>
        </w:rPr>
        <w:t xml:space="preserve">r. 834/2007, 28 </w:t>
      </w:r>
      <w:r w:rsidRPr="00B31292">
        <w:rPr>
          <w:rFonts w:ascii="Garamond" w:hAnsi="Garamond" w:cs="Times New Roman"/>
          <w:sz w:val="24"/>
          <w:szCs w:val="24"/>
        </w:rPr>
        <w:t>q</w:t>
      </w:r>
      <w:r w:rsidR="00F3226E" w:rsidRPr="00B31292">
        <w:rPr>
          <w:rFonts w:ascii="Garamond" w:hAnsi="Garamond" w:cs="Times New Roman"/>
          <w:sz w:val="24"/>
          <w:szCs w:val="24"/>
        </w:rPr>
        <w:t>ershorit 2007</w:t>
      </w:r>
      <w:r w:rsidRPr="00B31292">
        <w:rPr>
          <w:rFonts w:ascii="Garamond" w:hAnsi="Garamond" w:cs="Times New Roman"/>
          <w:sz w:val="24"/>
          <w:szCs w:val="24"/>
        </w:rPr>
        <w:t>,</w:t>
      </w:r>
      <w:r w:rsidR="00F3226E" w:rsidRPr="00B31292">
        <w:rPr>
          <w:rFonts w:ascii="Garamond" w:hAnsi="Garamond" w:cs="Times New Roman"/>
          <w:sz w:val="24"/>
          <w:szCs w:val="24"/>
        </w:rPr>
        <w:t xml:space="preserve"> mbi </w:t>
      </w:r>
      <w:r w:rsidRPr="00B31292">
        <w:rPr>
          <w:rFonts w:ascii="Garamond" w:hAnsi="Garamond" w:cs="Times New Roman"/>
          <w:sz w:val="24"/>
          <w:szCs w:val="24"/>
        </w:rPr>
        <w:t>“</w:t>
      </w:r>
      <w:r w:rsidR="00F3226E" w:rsidRPr="00B31292">
        <w:rPr>
          <w:rFonts w:ascii="Garamond" w:hAnsi="Garamond" w:cs="Times New Roman"/>
          <w:sz w:val="24"/>
          <w:szCs w:val="24"/>
        </w:rPr>
        <w:t xml:space="preserve">Produktet </w:t>
      </w:r>
      <w:r w:rsidRPr="00B31292">
        <w:rPr>
          <w:rFonts w:ascii="Garamond" w:hAnsi="Garamond" w:cs="Times New Roman"/>
          <w:sz w:val="24"/>
          <w:szCs w:val="24"/>
        </w:rPr>
        <w:t>organike dhe etiketimin e produkteve organi</w:t>
      </w:r>
      <w:r w:rsidR="00F3226E" w:rsidRPr="00B31292">
        <w:rPr>
          <w:rFonts w:ascii="Garamond" w:hAnsi="Garamond" w:cs="Times New Roman"/>
          <w:sz w:val="24"/>
          <w:szCs w:val="24"/>
        </w:rPr>
        <w:t>ke</w:t>
      </w:r>
      <w:r w:rsidRPr="00B31292">
        <w:rPr>
          <w:rFonts w:ascii="Garamond" w:hAnsi="Garamond" w:cs="Times New Roman"/>
          <w:sz w:val="24"/>
          <w:szCs w:val="24"/>
        </w:rPr>
        <w:t>”</w:t>
      </w:r>
      <w:r w:rsidR="00F3226E" w:rsidRPr="00B31292">
        <w:rPr>
          <w:rFonts w:ascii="Garamond" w:hAnsi="Garamond" w:cs="Times New Roman"/>
          <w:sz w:val="24"/>
          <w:szCs w:val="24"/>
        </w:rPr>
        <w:t>.</w:t>
      </w:r>
    </w:p>
    <w:p w14:paraId="62D27459" w14:textId="672736A3" w:rsidR="00F3226E" w:rsidRPr="00B31292" w:rsidRDefault="00F3226E" w:rsidP="003A4DBA">
      <w:pPr>
        <w:spacing w:after="0" w:line="240" w:lineRule="auto"/>
        <w:ind w:firstLine="284"/>
        <w:contextualSpacing/>
        <w:jc w:val="both"/>
        <w:rPr>
          <w:rFonts w:ascii="Garamond" w:eastAsia="Times New Roman" w:hAnsi="Garamond" w:cs="Times New Roman"/>
          <w:sz w:val="24"/>
          <w:szCs w:val="24"/>
        </w:rPr>
      </w:pPr>
      <w:r w:rsidRPr="00B31292">
        <w:rPr>
          <w:rFonts w:ascii="Garamond" w:eastAsia="Times New Roman" w:hAnsi="Garamond" w:cs="Times New Roman"/>
          <w:i/>
          <w:sz w:val="24"/>
          <w:szCs w:val="24"/>
        </w:rPr>
        <w:t>Statistikat e agromjedisit</w:t>
      </w:r>
      <w:r w:rsidRPr="00B31292">
        <w:rPr>
          <w:rFonts w:ascii="Garamond" w:eastAsia="Times New Roman" w:hAnsi="Garamond" w:cs="Times New Roman"/>
          <w:sz w:val="24"/>
          <w:szCs w:val="24"/>
        </w:rPr>
        <w:t xml:space="preserve"> vlerësohen si pjesërisht të përafruara me </w:t>
      </w:r>
      <w:r w:rsidR="00880838" w:rsidRPr="00B31292">
        <w:rPr>
          <w:rFonts w:ascii="Garamond" w:eastAsia="Times New Roman" w:hAnsi="Garamond" w:cs="Times New Roman"/>
          <w:sz w:val="24"/>
          <w:szCs w:val="24"/>
        </w:rPr>
        <w:t>r</w:t>
      </w:r>
      <w:r w:rsidRPr="00B31292">
        <w:rPr>
          <w:rFonts w:ascii="Garamond" w:eastAsia="Times New Roman" w:hAnsi="Garamond" w:cs="Times New Roman"/>
          <w:sz w:val="24"/>
          <w:szCs w:val="24"/>
        </w:rPr>
        <w:t xml:space="preserve">regulloren (KE) </w:t>
      </w:r>
      <w:r w:rsidR="00BA12C3" w:rsidRPr="00B31292">
        <w:rPr>
          <w:rFonts w:ascii="Garamond" w:eastAsia="Times New Roman" w:hAnsi="Garamond" w:cs="Times New Roman"/>
          <w:sz w:val="24"/>
          <w:szCs w:val="24"/>
        </w:rPr>
        <w:t>n</w:t>
      </w:r>
      <w:r w:rsidRPr="00B31292">
        <w:rPr>
          <w:rFonts w:ascii="Garamond" w:eastAsia="Times New Roman" w:hAnsi="Garamond" w:cs="Times New Roman"/>
          <w:sz w:val="24"/>
          <w:szCs w:val="24"/>
        </w:rPr>
        <w:t>r. 1185/2009</w:t>
      </w:r>
      <w:r w:rsidR="00BA12C3" w:rsidRPr="00B31292">
        <w:rPr>
          <w:rFonts w:ascii="Garamond" w:eastAsia="Times New Roman" w:hAnsi="Garamond" w:cs="Times New Roman"/>
          <w:sz w:val="24"/>
          <w:szCs w:val="24"/>
        </w:rPr>
        <w:t>,</w:t>
      </w:r>
      <w:r w:rsidRPr="00B31292">
        <w:rPr>
          <w:rFonts w:ascii="Garamond" w:eastAsia="Times New Roman" w:hAnsi="Garamond" w:cs="Times New Roman"/>
          <w:sz w:val="24"/>
          <w:szCs w:val="24"/>
        </w:rPr>
        <w:t xml:space="preserve"> e Parlamentit Evropian dhe e Këshillit </w:t>
      </w:r>
      <w:r w:rsidR="00BA12C3" w:rsidRPr="00B31292">
        <w:rPr>
          <w:rFonts w:ascii="Garamond" w:eastAsia="Times New Roman" w:hAnsi="Garamond" w:cs="Times New Roman"/>
          <w:sz w:val="24"/>
          <w:szCs w:val="24"/>
        </w:rPr>
        <w:t>“</w:t>
      </w:r>
      <w:r w:rsidRPr="00B31292">
        <w:rPr>
          <w:rFonts w:ascii="Garamond" w:eastAsia="Times New Roman" w:hAnsi="Garamond" w:cs="Times New Roman"/>
          <w:sz w:val="24"/>
          <w:szCs w:val="24"/>
        </w:rPr>
        <w:t xml:space="preserve">Për </w:t>
      </w:r>
      <w:r w:rsidR="00880838" w:rsidRPr="00B31292">
        <w:rPr>
          <w:rFonts w:ascii="Garamond" w:eastAsia="Times New Roman" w:hAnsi="Garamond" w:cs="Times New Roman"/>
          <w:sz w:val="24"/>
          <w:szCs w:val="24"/>
        </w:rPr>
        <w:t>statistikat mbi pesticidet</w:t>
      </w:r>
      <w:r w:rsidR="00BA12C3" w:rsidRPr="00B31292">
        <w:rPr>
          <w:rFonts w:ascii="Garamond" w:eastAsia="Times New Roman" w:hAnsi="Garamond" w:cs="Times New Roman"/>
          <w:sz w:val="24"/>
          <w:szCs w:val="24"/>
        </w:rPr>
        <w:t>”</w:t>
      </w:r>
      <w:r w:rsidRPr="00B31292">
        <w:rPr>
          <w:rFonts w:ascii="Garamond" w:eastAsia="Times New Roman" w:hAnsi="Garamond" w:cs="Times New Roman"/>
          <w:sz w:val="24"/>
          <w:szCs w:val="24"/>
        </w:rPr>
        <w:t>.</w:t>
      </w:r>
    </w:p>
    <w:p w14:paraId="5E5D96B1" w14:textId="3D0D5FF9" w:rsidR="003E3B90" w:rsidRPr="00B31292" w:rsidRDefault="003E3B90" w:rsidP="003A4DBA">
      <w:pPr>
        <w:keepNext/>
        <w:keepLines/>
        <w:spacing w:after="0" w:line="240" w:lineRule="auto"/>
        <w:ind w:firstLine="284"/>
        <w:outlineLvl w:val="4"/>
        <w:rPr>
          <w:rFonts w:ascii="Garamond" w:eastAsia="Times New Roman" w:hAnsi="Garamond" w:cs="Times New Roman"/>
          <w:b/>
          <w:iCs/>
          <w:sz w:val="24"/>
          <w:szCs w:val="24"/>
        </w:rPr>
      </w:pPr>
      <w:r w:rsidRPr="00B31292">
        <w:rPr>
          <w:rFonts w:ascii="Garamond" w:eastAsia="Times New Roman" w:hAnsi="Garamond" w:cs="Times New Roman"/>
          <w:b/>
          <w:iCs/>
          <w:sz w:val="24"/>
          <w:szCs w:val="24"/>
        </w:rPr>
        <w:t xml:space="preserve">Tema 3.2 </w:t>
      </w:r>
      <w:r w:rsidR="00BA12C3" w:rsidRPr="00B31292">
        <w:rPr>
          <w:rFonts w:ascii="Garamond" w:eastAsia="Times New Roman" w:hAnsi="Garamond" w:cs="Times New Roman"/>
          <w:b/>
          <w:iCs/>
          <w:sz w:val="24"/>
          <w:szCs w:val="24"/>
        </w:rPr>
        <w:t>“</w:t>
      </w:r>
      <w:r w:rsidRPr="00B31292">
        <w:rPr>
          <w:rFonts w:ascii="Garamond" w:eastAsia="Times New Roman" w:hAnsi="Garamond" w:cs="Times New Roman"/>
          <w:b/>
          <w:iCs/>
          <w:sz w:val="24"/>
          <w:szCs w:val="24"/>
        </w:rPr>
        <w:t>Energjia</w:t>
      </w:r>
      <w:r w:rsidR="00BA12C3" w:rsidRPr="00B31292">
        <w:rPr>
          <w:rFonts w:ascii="Garamond" w:eastAsia="Times New Roman" w:hAnsi="Garamond" w:cs="Times New Roman"/>
          <w:b/>
          <w:iCs/>
          <w:sz w:val="24"/>
          <w:szCs w:val="24"/>
        </w:rPr>
        <w:t>”</w:t>
      </w:r>
    </w:p>
    <w:p w14:paraId="476AEAF4" w14:textId="37829421" w:rsidR="003E3B90" w:rsidRPr="00B31292" w:rsidRDefault="003E3B90" w:rsidP="003A4DBA">
      <w:pPr>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 xml:space="preserve">Kjo temë përmban </w:t>
      </w:r>
      <w:r w:rsidR="00086E4D" w:rsidRPr="00B31292">
        <w:rPr>
          <w:rFonts w:ascii="Garamond" w:hAnsi="Garamond" w:cs="Times New Roman"/>
          <w:sz w:val="24"/>
          <w:szCs w:val="24"/>
        </w:rPr>
        <w:t xml:space="preserve">nëntemën </w:t>
      </w:r>
      <w:r w:rsidRPr="00B31292">
        <w:rPr>
          <w:rFonts w:ascii="Garamond" w:hAnsi="Garamond" w:cs="Times New Roman"/>
          <w:sz w:val="24"/>
          <w:szCs w:val="24"/>
        </w:rPr>
        <w:t xml:space="preserve">3.2.1 </w:t>
      </w:r>
      <w:r w:rsidR="00BA12C3" w:rsidRPr="00B31292">
        <w:rPr>
          <w:rFonts w:ascii="Garamond" w:hAnsi="Garamond" w:cs="Times New Roman"/>
          <w:sz w:val="24"/>
          <w:szCs w:val="24"/>
        </w:rPr>
        <w:t>“</w:t>
      </w:r>
      <w:r w:rsidRPr="00B31292">
        <w:rPr>
          <w:rFonts w:ascii="Garamond" w:hAnsi="Garamond" w:cs="Times New Roman"/>
          <w:i/>
          <w:sz w:val="24"/>
          <w:szCs w:val="24"/>
        </w:rPr>
        <w:t xml:space="preserve">Statistikat e </w:t>
      </w:r>
      <w:r w:rsidR="00880838" w:rsidRPr="00B31292">
        <w:rPr>
          <w:rFonts w:ascii="Garamond" w:hAnsi="Garamond" w:cs="Times New Roman"/>
          <w:i/>
          <w:sz w:val="24"/>
          <w:szCs w:val="24"/>
        </w:rPr>
        <w:t>e</w:t>
      </w:r>
      <w:r w:rsidRPr="00B31292">
        <w:rPr>
          <w:rFonts w:ascii="Garamond" w:hAnsi="Garamond" w:cs="Times New Roman"/>
          <w:i/>
          <w:sz w:val="24"/>
          <w:szCs w:val="24"/>
        </w:rPr>
        <w:t>nergjisë</w:t>
      </w:r>
      <w:r w:rsidR="00880838" w:rsidRPr="00B31292">
        <w:rPr>
          <w:rFonts w:ascii="Garamond" w:hAnsi="Garamond" w:cs="Times New Roman"/>
          <w:i/>
          <w:sz w:val="24"/>
          <w:szCs w:val="24"/>
        </w:rPr>
        <w:t>–</w:t>
      </w:r>
      <w:r w:rsidR="00086E4D" w:rsidRPr="00B31292">
        <w:rPr>
          <w:rFonts w:ascii="Garamond" w:hAnsi="Garamond" w:cs="Times New Roman"/>
          <w:i/>
          <w:sz w:val="24"/>
          <w:szCs w:val="24"/>
        </w:rPr>
        <w:t>prodhimi</w:t>
      </w:r>
      <w:r w:rsidR="00BA12C3" w:rsidRPr="00B31292">
        <w:rPr>
          <w:rFonts w:ascii="Garamond" w:hAnsi="Garamond" w:cs="Times New Roman"/>
          <w:i/>
          <w:sz w:val="24"/>
          <w:szCs w:val="24"/>
        </w:rPr>
        <w:t>”</w:t>
      </w:r>
      <w:r w:rsidRPr="00B31292">
        <w:rPr>
          <w:rFonts w:ascii="Garamond" w:hAnsi="Garamond" w:cs="Times New Roman"/>
          <w:i/>
          <w:sz w:val="24"/>
          <w:szCs w:val="24"/>
        </w:rPr>
        <w:t xml:space="preserve"> </w:t>
      </w:r>
    </w:p>
    <w:p w14:paraId="6BC466A2" w14:textId="4CA52273" w:rsidR="003E3B90" w:rsidRPr="00B31292" w:rsidRDefault="003E3B90" w:rsidP="003A4DBA">
      <w:pPr>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Prodhimi i statistikave të energjisë në Agjencinë Kombëtare të Burimeve Natyrore do të mbështetet nga INSTAT</w:t>
      </w:r>
      <w:r w:rsidR="00BA12C3" w:rsidRPr="00B31292">
        <w:rPr>
          <w:rFonts w:ascii="Garamond" w:hAnsi="Garamond" w:cs="Times New Roman"/>
          <w:sz w:val="24"/>
          <w:szCs w:val="24"/>
        </w:rPr>
        <w:t>-i</w:t>
      </w:r>
      <w:r w:rsidRPr="00B31292">
        <w:rPr>
          <w:rFonts w:ascii="Garamond" w:hAnsi="Garamond" w:cs="Times New Roman"/>
          <w:sz w:val="24"/>
          <w:szCs w:val="24"/>
        </w:rPr>
        <w:t>, në cilësinë e koordinatorit të Sistemit Kombëtar Statistikor. AKBN</w:t>
      </w:r>
      <w:r w:rsidR="00F353A8" w:rsidRPr="00B31292">
        <w:rPr>
          <w:rFonts w:ascii="Garamond" w:hAnsi="Garamond" w:cs="Times New Roman"/>
          <w:sz w:val="24"/>
          <w:szCs w:val="24"/>
        </w:rPr>
        <w:t>-ja</w:t>
      </w:r>
      <w:r w:rsidRPr="00B31292">
        <w:rPr>
          <w:rFonts w:ascii="Garamond" w:hAnsi="Garamond" w:cs="Times New Roman"/>
          <w:sz w:val="24"/>
          <w:szCs w:val="24"/>
        </w:rPr>
        <w:t xml:space="preserve"> do të prodhojë dhe publikojë statistikat në volum të </w:t>
      </w:r>
      <w:r w:rsidR="00F353A8" w:rsidRPr="00B31292">
        <w:rPr>
          <w:rFonts w:ascii="Garamond" w:hAnsi="Garamond" w:cs="Times New Roman"/>
          <w:sz w:val="24"/>
          <w:szCs w:val="24"/>
        </w:rPr>
        <w:t xml:space="preserve">bilancit të përgjithshëm të energjisë </w:t>
      </w:r>
      <w:r w:rsidRPr="00B31292">
        <w:rPr>
          <w:rFonts w:ascii="Garamond" w:hAnsi="Garamond" w:cs="Times New Roman"/>
          <w:sz w:val="24"/>
          <w:szCs w:val="24"/>
        </w:rPr>
        <w:t xml:space="preserve">me frekuencë vjetore, si dhe </w:t>
      </w:r>
      <w:r w:rsidR="00F353A8" w:rsidRPr="00B31292">
        <w:rPr>
          <w:rFonts w:ascii="Garamond" w:hAnsi="Garamond" w:cs="Times New Roman"/>
          <w:sz w:val="24"/>
          <w:szCs w:val="24"/>
        </w:rPr>
        <w:t>qymyrit, naftës dhe gazit</w:t>
      </w:r>
      <w:r w:rsidRPr="00B31292">
        <w:rPr>
          <w:rFonts w:ascii="Garamond" w:hAnsi="Garamond" w:cs="Times New Roman"/>
          <w:sz w:val="24"/>
          <w:szCs w:val="24"/>
        </w:rPr>
        <w:t>, me frekuencë tremujore</w:t>
      </w:r>
      <w:r w:rsidR="00497260" w:rsidRPr="00B31292">
        <w:rPr>
          <w:rFonts w:ascii="Garamond" w:hAnsi="Garamond" w:cs="Times New Roman"/>
          <w:sz w:val="24"/>
          <w:szCs w:val="24"/>
        </w:rPr>
        <w:t>,</w:t>
      </w:r>
      <w:r w:rsidRPr="00B31292">
        <w:rPr>
          <w:rFonts w:ascii="Garamond" w:hAnsi="Garamond" w:cs="Times New Roman"/>
          <w:sz w:val="24"/>
          <w:szCs w:val="24"/>
        </w:rPr>
        <w:t xml:space="preserve"> aktivitete për të cilat kontribuojnë me të dhëna administrative Ministria e Infrastrukturës dhe Energjisë, Ministria e </w:t>
      </w:r>
      <w:r w:rsidR="00BA12C3" w:rsidRPr="00B31292">
        <w:rPr>
          <w:rFonts w:ascii="Garamond" w:hAnsi="Garamond" w:cs="Times New Roman"/>
          <w:sz w:val="24"/>
          <w:szCs w:val="24"/>
        </w:rPr>
        <w:t>Turizmit</w:t>
      </w:r>
      <w:r w:rsidRPr="00B31292">
        <w:rPr>
          <w:rFonts w:ascii="Garamond" w:hAnsi="Garamond" w:cs="Times New Roman"/>
          <w:sz w:val="24"/>
          <w:szCs w:val="24"/>
        </w:rPr>
        <w:t xml:space="preserve"> dhe Mjedisit, Operatori i Sistemit të Transmetimit, Operatori i Shpërndarjes së Energjisë Elektrike, Korporata </w:t>
      </w:r>
      <w:r w:rsidR="00B31292" w:rsidRPr="00B31292">
        <w:rPr>
          <w:rFonts w:ascii="Garamond" w:hAnsi="Garamond" w:cs="Times New Roman"/>
          <w:sz w:val="24"/>
          <w:szCs w:val="24"/>
        </w:rPr>
        <w:t>Elektroenergj</w:t>
      </w:r>
      <w:r w:rsidR="00B31292">
        <w:rPr>
          <w:rFonts w:ascii="Garamond" w:hAnsi="Garamond" w:cs="Times New Roman"/>
          <w:sz w:val="24"/>
          <w:szCs w:val="24"/>
        </w:rPr>
        <w:t>e</w:t>
      </w:r>
      <w:r w:rsidR="00B31292" w:rsidRPr="00B31292">
        <w:rPr>
          <w:rFonts w:ascii="Garamond" w:hAnsi="Garamond" w:cs="Times New Roman"/>
          <w:sz w:val="24"/>
          <w:szCs w:val="24"/>
        </w:rPr>
        <w:t xml:space="preserve">tike </w:t>
      </w:r>
      <w:r w:rsidRPr="00B31292">
        <w:rPr>
          <w:rFonts w:ascii="Garamond" w:hAnsi="Garamond" w:cs="Times New Roman"/>
          <w:sz w:val="24"/>
          <w:szCs w:val="24"/>
        </w:rPr>
        <w:t xml:space="preserve">Shqiptare, Enti Rregullator i Energjisë, </w:t>
      </w:r>
      <w:r w:rsidR="00BA12C3" w:rsidRPr="00B31292">
        <w:rPr>
          <w:rFonts w:ascii="Garamond" w:hAnsi="Garamond" w:cs="Times New Roman"/>
          <w:sz w:val="24"/>
          <w:szCs w:val="24"/>
        </w:rPr>
        <w:t>“</w:t>
      </w:r>
      <w:r w:rsidRPr="00B31292">
        <w:rPr>
          <w:rFonts w:ascii="Garamond" w:hAnsi="Garamond" w:cs="Times New Roman"/>
          <w:sz w:val="24"/>
          <w:szCs w:val="24"/>
        </w:rPr>
        <w:t>Albpetrol</w:t>
      </w:r>
      <w:r w:rsidR="00BA12C3" w:rsidRPr="00B31292">
        <w:rPr>
          <w:rFonts w:ascii="Garamond" w:hAnsi="Garamond" w:cs="Times New Roman"/>
          <w:sz w:val="24"/>
          <w:szCs w:val="24"/>
        </w:rPr>
        <w:t>”</w:t>
      </w:r>
      <w:r w:rsidRPr="00B31292">
        <w:rPr>
          <w:rFonts w:ascii="Garamond" w:hAnsi="Garamond" w:cs="Times New Roman"/>
          <w:sz w:val="24"/>
          <w:szCs w:val="24"/>
        </w:rPr>
        <w:t xml:space="preserve"> sh</w:t>
      </w:r>
      <w:r w:rsidR="00BA12C3" w:rsidRPr="00B31292">
        <w:rPr>
          <w:rFonts w:ascii="Garamond" w:hAnsi="Garamond" w:cs="Times New Roman"/>
          <w:sz w:val="24"/>
          <w:szCs w:val="24"/>
        </w:rPr>
        <w:t>.</w:t>
      </w:r>
      <w:r w:rsidRPr="00B31292">
        <w:rPr>
          <w:rFonts w:ascii="Garamond" w:hAnsi="Garamond" w:cs="Times New Roman"/>
          <w:sz w:val="24"/>
          <w:szCs w:val="24"/>
        </w:rPr>
        <w:t>a</w:t>
      </w:r>
      <w:r w:rsidR="00BA12C3" w:rsidRPr="00B31292">
        <w:rPr>
          <w:rFonts w:ascii="Garamond" w:hAnsi="Garamond" w:cs="Times New Roman"/>
          <w:sz w:val="24"/>
          <w:szCs w:val="24"/>
        </w:rPr>
        <w:t>.</w:t>
      </w:r>
      <w:r w:rsidRPr="00B31292">
        <w:rPr>
          <w:rFonts w:ascii="Garamond" w:hAnsi="Garamond" w:cs="Times New Roman"/>
          <w:sz w:val="24"/>
          <w:szCs w:val="24"/>
        </w:rPr>
        <w:t xml:space="preserve">, Drejtoria e Përgjithshme e Doganave, </w:t>
      </w:r>
      <w:r w:rsidR="00BA12C3" w:rsidRPr="00B31292">
        <w:rPr>
          <w:rFonts w:ascii="Garamond" w:hAnsi="Garamond" w:cs="Times New Roman"/>
          <w:sz w:val="24"/>
          <w:szCs w:val="24"/>
        </w:rPr>
        <w:t>bas</w:t>
      </w:r>
      <w:r w:rsidRPr="00B31292">
        <w:rPr>
          <w:rFonts w:ascii="Garamond" w:hAnsi="Garamond" w:cs="Times New Roman"/>
          <w:sz w:val="24"/>
          <w:szCs w:val="24"/>
        </w:rPr>
        <w:t>hkitë e Shqipërisë etj.</w:t>
      </w:r>
    </w:p>
    <w:p w14:paraId="68A24671" w14:textId="44A5A19B" w:rsidR="003E3B90" w:rsidRPr="00B31292" w:rsidRDefault="003E3B90" w:rsidP="003A4DBA">
      <w:pPr>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INSTAT</w:t>
      </w:r>
      <w:r w:rsidR="00BA12C3" w:rsidRPr="00B31292">
        <w:rPr>
          <w:rFonts w:ascii="Garamond" w:hAnsi="Garamond" w:cs="Times New Roman"/>
          <w:sz w:val="24"/>
          <w:szCs w:val="24"/>
        </w:rPr>
        <w:t>-i</w:t>
      </w:r>
      <w:r w:rsidRPr="00B31292">
        <w:rPr>
          <w:rFonts w:ascii="Garamond" w:hAnsi="Garamond" w:cs="Times New Roman"/>
          <w:sz w:val="24"/>
          <w:szCs w:val="24"/>
        </w:rPr>
        <w:t xml:space="preserve"> do të vazhdojë të publikojë me periodicitet tremujor </w:t>
      </w:r>
      <w:r w:rsidR="00F353A8" w:rsidRPr="00B31292">
        <w:rPr>
          <w:rFonts w:ascii="Garamond" w:hAnsi="Garamond" w:cs="Times New Roman"/>
          <w:sz w:val="24"/>
          <w:szCs w:val="24"/>
        </w:rPr>
        <w:t>statistikat e bilancit të energjisë elektrike.</w:t>
      </w:r>
    </w:p>
    <w:p w14:paraId="347544FA" w14:textId="77777777" w:rsidR="003E3B90" w:rsidRPr="00B31292" w:rsidRDefault="003E3B90" w:rsidP="003A4DBA">
      <w:pPr>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Përmirësimet në kuadër të parafrimit me rregulloret gjatë vitit 202</w:t>
      </w:r>
      <w:r w:rsidR="00535111" w:rsidRPr="00B31292">
        <w:rPr>
          <w:rFonts w:ascii="Garamond" w:hAnsi="Garamond" w:cs="Times New Roman"/>
          <w:sz w:val="24"/>
          <w:szCs w:val="24"/>
        </w:rPr>
        <w:t>5</w:t>
      </w:r>
      <w:r w:rsidRPr="00B31292">
        <w:rPr>
          <w:rFonts w:ascii="Garamond" w:hAnsi="Garamond" w:cs="Times New Roman"/>
          <w:sz w:val="24"/>
          <w:szCs w:val="24"/>
        </w:rPr>
        <w:t xml:space="preserve"> do të fokusohen në rritjen e numrit të indikatorëve të transmetuar në </w:t>
      </w:r>
      <w:r w:rsidR="009C0CE9" w:rsidRPr="00B31292">
        <w:rPr>
          <w:rFonts w:ascii="Garamond" w:hAnsi="Garamond" w:cs="Times New Roman"/>
          <w:sz w:val="24"/>
          <w:szCs w:val="24"/>
        </w:rPr>
        <w:t>Eurostat</w:t>
      </w:r>
      <w:r w:rsidRPr="00B31292">
        <w:rPr>
          <w:rFonts w:ascii="Garamond" w:hAnsi="Garamond" w:cs="Times New Roman"/>
          <w:sz w:val="24"/>
          <w:szCs w:val="24"/>
        </w:rPr>
        <w:t>, si dhe në cilësinë e të dhënave të transmetuara.</w:t>
      </w:r>
    </w:p>
    <w:p w14:paraId="11E40231" w14:textId="22E2276D" w:rsidR="003E3B90" w:rsidRPr="00B31292" w:rsidRDefault="003E3B90" w:rsidP="003A4DBA">
      <w:pPr>
        <w:spacing w:after="0" w:line="240" w:lineRule="auto"/>
        <w:ind w:firstLine="284"/>
        <w:jc w:val="both"/>
        <w:rPr>
          <w:rFonts w:ascii="Garamond" w:hAnsi="Garamond" w:cs="Times New Roman"/>
          <w:sz w:val="24"/>
          <w:szCs w:val="24"/>
        </w:rPr>
      </w:pPr>
      <w:r w:rsidRPr="00B31292">
        <w:rPr>
          <w:rFonts w:ascii="Garamond" w:hAnsi="Garamond" w:cs="Times New Roman"/>
          <w:b/>
          <w:sz w:val="24"/>
          <w:szCs w:val="24"/>
        </w:rPr>
        <w:t xml:space="preserve">Treguesit kryesorë: </w:t>
      </w:r>
      <w:r w:rsidRPr="00B31292">
        <w:rPr>
          <w:rFonts w:ascii="Garamond" w:hAnsi="Garamond" w:cs="Times New Roman"/>
          <w:sz w:val="24"/>
          <w:szCs w:val="24"/>
        </w:rPr>
        <w:t>Tregues statistikorë mbi prodhimin neto vendas të energjisë elektrike, qymyrit, naftës dhe gazit</w:t>
      </w:r>
      <w:r w:rsidR="00F353A8" w:rsidRPr="00B31292">
        <w:rPr>
          <w:rFonts w:ascii="Garamond" w:hAnsi="Garamond" w:cs="Times New Roman"/>
          <w:sz w:val="24"/>
          <w:szCs w:val="24"/>
        </w:rPr>
        <w:t>,</w:t>
      </w:r>
      <w:r w:rsidRPr="00B31292">
        <w:rPr>
          <w:rFonts w:ascii="Garamond" w:hAnsi="Garamond" w:cs="Times New Roman"/>
          <w:sz w:val="24"/>
          <w:szCs w:val="24"/>
        </w:rPr>
        <w:t xml:space="preserve"> si dhe importin dhe eksportin bruto të energjisë elektrike, qymyrit dhe produkteve të naftës, humbjet në rrjet të </w:t>
      </w:r>
      <w:r w:rsidR="00BA12C3" w:rsidRPr="00B31292">
        <w:rPr>
          <w:rFonts w:ascii="Garamond" w:hAnsi="Garamond" w:cs="Times New Roman"/>
          <w:sz w:val="24"/>
          <w:szCs w:val="24"/>
        </w:rPr>
        <w:t>energjisë</w:t>
      </w:r>
      <w:r w:rsidRPr="00B31292">
        <w:rPr>
          <w:rFonts w:ascii="Garamond" w:hAnsi="Garamond" w:cs="Times New Roman"/>
          <w:sz w:val="24"/>
          <w:szCs w:val="24"/>
        </w:rPr>
        <w:t xml:space="preserve"> elektrike, si edhe konsumin e tyre final në vendin tonë; </w:t>
      </w:r>
      <w:r w:rsidR="00F353A8" w:rsidRPr="00B31292">
        <w:rPr>
          <w:rFonts w:ascii="Garamond" w:hAnsi="Garamond" w:cs="Times New Roman"/>
          <w:sz w:val="24"/>
          <w:szCs w:val="24"/>
        </w:rPr>
        <w:t>t</w:t>
      </w:r>
      <w:r w:rsidRPr="00B31292">
        <w:rPr>
          <w:rFonts w:ascii="Garamond" w:hAnsi="Garamond" w:cs="Times New Roman"/>
          <w:sz w:val="24"/>
          <w:szCs w:val="24"/>
        </w:rPr>
        <w:t xml:space="preserve">regues statistikorë mbi bilancin </w:t>
      </w:r>
      <w:r w:rsidR="00BA12C3" w:rsidRPr="00B31292">
        <w:rPr>
          <w:rFonts w:ascii="Garamond" w:hAnsi="Garamond" w:cs="Times New Roman"/>
          <w:sz w:val="24"/>
          <w:szCs w:val="24"/>
        </w:rPr>
        <w:t>energjetik</w:t>
      </w:r>
      <w:r w:rsidRPr="00B31292">
        <w:rPr>
          <w:rFonts w:ascii="Garamond" w:hAnsi="Garamond" w:cs="Times New Roman"/>
          <w:sz w:val="24"/>
          <w:szCs w:val="24"/>
        </w:rPr>
        <w:t>, i cili paraqet situatën aktuale në sektorin e energjisë në vend për origjinën dhe përdorimin specifik sipas burimeve të energjisë</w:t>
      </w:r>
      <w:r w:rsidR="00F353A8" w:rsidRPr="00B31292">
        <w:rPr>
          <w:rFonts w:ascii="Garamond" w:hAnsi="Garamond" w:cs="Times New Roman"/>
          <w:sz w:val="24"/>
          <w:szCs w:val="24"/>
        </w:rPr>
        <w:t>,</w:t>
      </w:r>
      <w:r w:rsidRPr="00B31292">
        <w:rPr>
          <w:rFonts w:ascii="Garamond" w:hAnsi="Garamond" w:cs="Times New Roman"/>
          <w:sz w:val="24"/>
          <w:szCs w:val="24"/>
        </w:rPr>
        <w:t xml:space="preserve"> duke siguruar të dhëna mbi konsumin e energjisë për banorë, intensitetin e energjisë, </w:t>
      </w:r>
      <w:r w:rsidR="00BA12C3" w:rsidRPr="00B31292">
        <w:rPr>
          <w:rFonts w:ascii="Garamond" w:hAnsi="Garamond" w:cs="Times New Roman"/>
          <w:sz w:val="24"/>
          <w:szCs w:val="24"/>
        </w:rPr>
        <w:t>kontributin</w:t>
      </w:r>
      <w:r w:rsidRPr="00B31292">
        <w:rPr>
          <w:rFonts w:ascii="Garamond" w:hAnsi="Garamond" w:cs="Times New Roman"/>
          <w:sz w:val="24"/>
          <w:szCs w:val="24"/>
        </w:rPr>
        <w:t xml:space="preserve"> e burimeve të rinovueshme në konsumin final etj.</w:t>
      </w:r>
    </w:p>
    <w:p w14:paraId="7334BD55" w14:textId="2E2AE1C8" w:rsidR="000C1398" w:rsidRPr="00B31292" w:rsidRDefault="003E3B90" w:rsidP="003A4DBA">
      <w:pPr>
        <w:spacing w:after="0" w:line="240" w:lineRule="auto"/>
        <w:ind w:firstLine="284"/>
        <w:contextualSpacing/>
        <w:jc w:val="both"/>
        <w:rPr>
          <w:rFonts w:ascii="Garamond" w:hAnsi="Garamond" w:cs="Times New Roman"/>
          <w:sz w:val="24"/>
          <w:szCs w:val="24"/>
        </w:rPr>
      </w:pPr>
      <w:r w:rsidRPr="00B31292">
        <w:rPr>
          <w:rFonts w:ascii="Garamond" w:eastAsia="Times New Roman" w:hAnsi="Garamond" w:cs="Times New Roman"/>
          <w:b/>
          <w:bCs/>
          <w:iCs/>
          <w:sz w:val="24"/>
          <w:szCs w:val="24"/>
        </w:rPr>
        <w:t xml:space="preserve">Përputhshmëria me </w:t>
      </w:r>
      <w:r w:rsidRPr="00B31292">
        <w:rPr>
          <w:rFonts w:ascii="Garamond" w:eastAsia="Times New Roman" w:hAnsi="Garamond" w:cs="Times New Roman"/>
          <w:b/>
          <w:bCs/>
          <w:i/>
          <w:iCs/>
          <w:sz w:val="24"/>
          <w:szCs w:val="24"/>
        </w:rPr>
        <w:t>acquis</w:t>
      </w:r>
      <w:r w:rsidRPr="00B31292">
        <w:rPr>
          <w:rFonts w:ascii="Garamond" w:eastAsia="Times New Roman" w:hAnsi="Garamond" w:cs="Times New Roman"/>
          <w:b/>
          <w:bCs/>
          <w:iCs/>
          <w:sz w:val="24"/>
          <w:szCs w:val="24"/>
        </w:rPr>
        <w:t xml:space="preserve">: </w:t>
      </w:r>
      <w:r w:rsidRPr="00B31292">
        <w:rPr>
          <w:rFonts w:ascii="Garamond" w:eastAsia="Times New Roman" w:hAnsi="Garamond" w:cs="Times New Roman"/>
          <w:bCs/>
          <w:i/>
          <w:iCs/>
          <w:sz w:val="24"/>
          <w:szCs w:val="24"/>
        </w:rPr>
        <w:t xml:space="preserve">Statistikat e </w:t>
      </w:r>
      <w:r w:rsidR="00F353A8" w:rsidRPr="00B31292">
        <w:rPr>
          <w:rFonts w:ascii="Garamond" w:eastAsia="Times New Roman" w:hAnsi="Garamond" w:cs="Times New Roman"/>
          <w:bCs/>
          <w:i/>
          <w:iCs/>
          <w:sz w:val="24"/>
          <w:szCs w:val="24"/>
        </w:rPr>
        <w:t>e</w:t>
      </w:r>
      <w:r w:rsidRPr="00B31292">
        <w:rPr>
          <w:rFonts w:ascii="Garamond" w:eastAsia="Times New Roman" w:hAnsi="Garamond" w:cs="Times New Roman"/>
          <w:bCs/>
          <w:i/>
          <w:iCs/>
          <w:sz w:val="24"/>
          <w:szCs w:val="24"/>
        </w:rPr>
        <w:t xml:space="preserve">nergjisë </w:t>
      </w:r>
      <w:r w:rsidRPr="00B31292">
        <w:rPr>
          <w:rFonts w:ascii="Garamond" w:eastAsia="Times New Roman" w:hAnsi="Garamond" w:cs="Times New Roman"/>
          <w:bCs/>
          <w:iCs/>
          <w:sz w:val="24"/>
          <w:szCs w:val="24"/>
        </w:rPr>
        <w:t xml:space="preserve">janë pjesërisht të përafruara me </w:t>
      </w:r>
      <w:r w:rsidR="00F353A8" w:rsidRPr="00B31292">
        <w:rPr>
          <w:rFonts w:ascii="Garamond" w:eastAsia="Times New Roman" w:hAnsi="Garamond" w:cs="Times New Roman"/>
          <w:bCs/>
          <w:iCs/>
          <w:sz w:val="24"/>
          <w:szCs w:val="24"/>
        </w:rPr>
        <w:t>r</w:t>
      </w:r>
      <w:r w:rsidRPr="00B31292">
        <w:rPr>
          <w:rFonts w:ascii="Garamond" w:eastAsia="Times New Roman" w:hAnsi="Garamond" w:cs="Times New Roman"/>
          <w:bCs/>
          <w:iCs/>
          <w:sz w:val="24"/>
          <w:szCs w:val="24"/>
        </w:rPr>
        <w:t xml:space="preserve">regulloren (KE) </w:t>
      </w:r>
      <w:r w:rsidR="00BA12C3" w:rsidRPr="00B31292">
        <w:rPr>
          <w:rFonts w:ascii="Garamond" w:eastAsia="Times New Roman" w:hAnsi="Garamond" w:cs="Times New Roman"/>
          <w:bCs/>
          <w:iCs/>
          <w:sz w:val="24"/>
          <w:szCs w:val="24"/>
        </w:rPr>
        <w:t>n</w:t>
      </w:r>
      <w:r w:rsidRPr="00B31292">
        <w:rPr>
          <w:rFonts w:ascii="Garamond" w:eastAsia="Times New Roman" w:hAnsi="Garamond" w:cs="Times New Roman"/>
          <w:bCs/>
          <w:iCs/>
          <w:sz w:val="24"/>
          <w:szCs w:val="24"/>
        </w:rPr>
        <w:t>r. 1099/2008</w:t>
      </w:r>
      <w:r w:rsidR="00BA12C3" w:rsidRPr="00B31292">
        <w:rPr>
          <w:rFonts w:ascii="Garamond" w:eastAsia="Times New Roman" w:hAnsi="Garamond" w:cs="Times New Roman"/>
          <w:bCs/>
          <w:iCs/>
          <w:sz w:val="24"/>
          <w:szCs w:val="24"/>
        </w:rPr>
        <w:t>,</w:t>
      </w:r>
      <w:r w:rsidRPr="00B31292">
        <w:rPr>
          <w:rFonts w:ascii="Garamond" w:eastAsia="Times New Roman" w:hAnsi="Garamond" w:cs="Times New Roman"/>
          <w:bCs/>
          <w:iCs/>
          <w:sz w:val="24"/>
          <w:szCs w:val="24"/>
        </w:rPr>
        <w:t xml:space="preserve"> të</w:t>
      </w:r>
      <w:r w:rsidRPr="00B31292">
        <w:rPr>
          <w:rFonts w:ascii="Garamond" w:hAnsi="Garamond" w:cs="Times New Roman"/>
          <w:sz w:val="24"/>
          <w:szCs w:val="24"/>
        </w:rPr>
        <w:t xml:space="preserve"> Parlamentit Evropian dhe të Këshillit </w:t>
      </w:r>
      <w:r w:rsidR="00BA12C3" w:rsidRPr="00B31292">
        <w:rPr>
          <w:rFonts w:ascii="Garamond" w:hAnsi="Garamond" w:cs="Times New Roman"/>
          <w:sz w:val="24"/>
          <w:szCs w:val="24"/>
        </w:rPr>
        <w:t>“</w:t>
      </w:r>
      <w:r w:rsidRPr="00B31292">
        <w:rPr>
          <w:rFonts w:ascii="Garamond" w:hAnsi="Garamond" w:cs="Times New Roman"/>
          <w:sz w:val="24"/>
          <w:szCs w:val="24"/>
        </w:rPr>
        <w:t>Për statistikat e energjisë</w:t>
      </w:r>
      <w:r w:rsidR="00BA12C3" w:rsidRPr="00B31292">
        <w:rPr>
          <w:rFonts w:ascii="Garamond" w:hAnsi="Garamond" w:cs="Times New Roman"/>
          <w:sz w:val="24"/>
          <w:szCs w:val="24"/>
        </w:rPr>
        <w:t>”</w:t>
      </w:r>
      <w:r w:rsidRPr="00B31292">
        <w:rPr>
          <w:rFonts w:ascii="Garamond" w:hAnsi="Garamond" w:cs="Times New Roman"/>
          <w:sz w:val="24"/>
          <w:szCs w:val="24"/>
        </w:rPr>
        <w:t xml:space="preserve">. Një numër i madh indikatorësh mbi statistikat e energjisë transmetohen aktualisht në </w:t>
      </w:r>
      <w:r w:rsidR="009C0CE9" w:rsidRPr="00B31292">
        <w:rPr>
          <w:rFonts w:ascii="Garamond" w:hAnsi="Garamond" w:cs="Times New Roman"/>
          <w:sz w:val="24"/>
          <w:szCs w:val="24"/>
        </w:rPr>
        <w:t>Eurostat</w:t>
      </w:r>
      <w:r w:rsidRPr="00B31292">
        <w:rPr>
          <w:rFonts w:ascii="Garamond" w:hAnsi="Garamond" w:cs="Times New Roman"/>
          <w:sz w:val="24"/>
          <w:szCs w:val="24"/>
        </w:rPr>
        <w:t xml:space="preserve"> përmes pyetësorëve të </w:t>
      </w:r>
      <w:r w:rsidR="00F353A8" w:rsidRPr="00B31292">
        <w:rPr>
          <w:rFonts w:ascii="Garamond" w:hAnsi="Garamond" w:cs="Times New Roman"/>
          <w:sz w:val="24"/>
          <w:szCs w:val="24"/>
        </w:rPr>
        <w:t>e</w:t>
      </w:r>
      <w:r w:rsidRPr="00B31292">
        <w:rPr>
          <w:rFonts w:ascii="Garamond" w:hAnsi="Garamond" w:cs="Times New Roman"/>
          <w:sz w:val="24"/>
          <w:szCs w:val="24"/>
        </w:rPr>
        <w:t>nergjisë. Përmirësimi dhe rritja e cilësisë</w:t>
      </w:r>
      <w:r w:rsidR="00F353A8" w:rsidRPr="00B31292">
        <w:rPr>
          <w:rFonts w:ascii="Garamond" w:hAnsi="Garamond" w:cs="Times New Roman"/>
          <w:sz w:val="24"/>
          <w:szCs w:val="24"/>
        </w:rPr>
        <w:t>,</w:t>
      </w:r>
      <w:r w:rsidRPr="00B31292">
        <w:rPr>
          <w:rFonts w:ascii="Garamond" w:hAnsi="Garamond" w:cs="Times New Roman"/>
          <w:sz w:val="24"/>
          <w:szCs w:val="24"/>
        </w:rPr>
        <w:t xml:space="preserve"> dhe numrit të indikatorëve të transmetuar në </w:t>
      </w:r>
      <w:r w:rsidR="009C0CE9" w:rsidRPr="00B31292">
        <w:rPr>
          <w:rFonts w:ascii="Garamond" w:hAnsi="Garamond" w:cs="Times New Roman"/>
          <w:sz w:val="24"/>
          <w:szCs w:val="24"/>
        </w:rPr>
        <w:t>Eurostat</w:t>
      </w:r>
      <w:r w:rsidRPr="00B31292">
        <w:rPr>
          <w:rFonts w:ascii="Garamond" w:hAnsi="Garamond" w:cs="Times New Roman"/>
          <w:sz w:val="24"/>
          <w:szCs w:val="24"/>
        </w:rPr>
        <w:t>, përmirësimi i mbledhjes së të dhënave të produkteve të naftës, si dhe përpilimi i konsumit final sipas sektorëve është një nga prioritetet kryesore në të ardhmen.</w:t>
      </w:r>
    </w:p>
    <w:p w14:paraId="29BA0436" w14:textId="499FC5A9" w:rsidR="00FC42D5" w:rsidRPr="00B31292" w:rsidRDefault="003E3B90" w:rsidP="003A4DBA">
      <w:pPr>
        <w:spacing w:after="0" w:line="240" w:lineRule="auto"/>
        <w:ind w:firstLine="284"/>
        <w:contextualSpacing/>
        <w:jc w:val="both"/>
        <w:rPr>
          <w:rFonts w:ascii="Garamond" w:eastAsiaTheme="majorEastAsia" w:hAnsi="Garamond" w:cstheme="majorBidi"/>
          <w:b/>
          <w:iCs/>
          <w:sz w:val="24"/>
          <w:szCs w:val="24"/>
        </w:rPr>
      </w:pPr>
      <w:r w:rsidRPr="00B31292">
        <w:rPr>
          <w:rFonts w:ascii="Garamond" w:hAnsi="Garamond" w:cs="Times New Roman"/>
          <w:sz w:val="24"/>
          <w:szCs w:val="24"/>
        </w:rPr>
        <w:t xml:space="preserve"> </w:t>
      </w:r>
      <w:r w:rsidR="00FC42D5" w:rsidRPr="00B31292">
        <w:rPr>
          <w:rFonts w:ascii="Garamond" w:eastAsia="Times New Roman" w:hAnsi="Garamond" w:cs="Times New Roman"/>
          <w:b/>
          <w:iCs/>
          <w:sz w:val="24"/>
          <w:szCs w:val="24"/>
        </w:rPr>
        <w:t xml:space="preserve">Tema 3.3 </w:t>
      </w:r>
      <w:r w:rsidR="00BA12C3" w:rsidRPr="00B31292">
        <w:rPr>
          <w:rFonts w:ascii="Garamond" w:eastAsia="Times New Roman" w:hAnsi="Garamond" w:cs="Times New Roman"/>
          <w:b/>
          <w:iCs/>
          <w:sz w:val="24"/>
          <w:szCs w:val="24"/>
        </w:rPr>
        <w:t>“</w:t>
      </w:r>
      <w:r w:rsidR="00FC42D5" w:rsidRPr="00B31292">
        <w:rPr>
          <w:rFonts w:ascii="Garamond" w:eastAsia="Times New Roman" w:hAnsi="Garamond" w:cs="Times New Roman"/>
          <w:b/>
          <w:iCs/>
          <w:sz w:val="24"/>
          <w:szCs w:val="24"/>
        </w:rPr>
        <w:t>Transporti</w:t>
      </w:r>
      <w:r w:rsidR="00BA12C3" w:rsidRPr="00B31292">
        <w:rPr>
          <w:rFonts w:ascii="Garamond" w:eastAsia="Times New Roman" w:hAnsi="Garamond" w:cs="Times New Roman"/>
          <w:b/>
          <w:iCs/>
          <w:sz w:val="24"/>
          <w:szCs w:val="24"/>
        </w:rPr>
        <w:t>”</w:t>
      </w:r>
    </w:p>
    <w:p w14:paraId="6040587E" w14:textId="39F4187E" w:rsidR="00FC42D5" w:rsidRPr="00B31292" w:rsidRDefault="00FC42D5" w:rsidP="003A4DBA">
      <w:pPr>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 xml:space="preserve">Tema e statistikave të transportit përfshin dy nëntema: 3.3.1 </w:t>
      </w:r>
      <w:r w:rsidR="00BA12C3" w:rsidRPr="00B31292">
        <w:rPr>
          <w:rFonts w:ascii="Garamond" w:hAnsi="Garamond" w:cs="Times New Roman"/>
          <w:sz w:val="24"/>
          <w:szCs w:val="24"/>
        </w:rPr>
        <w:t>“</w:t>
      </w:r>
      <w:r w:rsidRPr="00B31292">
        <w:rPr>
          <w:rFonts w:ascii="Garamond" w:hAnsi="Garamond" w:cs="Times New Roman"/>
          <w:i/>
          <w:sz w:val="24"/>
          <w:szCs w:val="24"/>
        </w:rPr>
        <w:t xml:space="preserve">Statistikat e </w:t>
      </w:r>
      <w:r w:rsidR="00F353A8" w:rsidRPr="00B31292">
        <w:rPr>
          <w:rFonts w:ascii="Garamond" w:hAnsi="Garamond" w:cs="Times New Roman"/>
          <w:i/>
          <w:sz w:val="24"/>
          <w:szCs w:val="24"/>
        </w:rPr>
        <w:t>t</w:t>
      </w:r>
      <w:r w:rsidRPr="00B31292">
        <w:rPr>
          <w:rFonts w:ascii="Garamond" w:hAnsi="Garamond" w:cs="Times New Roman"/>
          <w:i/>
          <w:sz w:val="24"/>
          <w:szCs w:val="24"/>
        </w:rPr>
        <w:t>ransportit</w:t>
      </w:r>
      <w:r w:rsidR="00BA12C3" w:rsidRPr="00B31292">
        <w:rPr>
          <w:rFonts w:ascii="Garamond" w:hAnsi="Garamond" w:cs="Times New Roman"/>
          <w:sz w:val="24"/>
          <w:szCs w:val="24"/>
        </w:rPr>
        <w:t>”</w:t>
      </w:r>
      <w:r w:rsidRPr="00B31292">
        <w:rPr>
          <w:rFonts w:ascii="Garamond" w:hAnsi="Garamond" w:cs="Times New Roman"/>
          <w:sz w:val="24"/>
          <w:szCs w:val="24"/>
        </w:rPr>
        <w:t xml:space="preserve"> dhe 3.3.2 </w:t>
      </w:r>
      <w:r w:rsidR="00BA12C3" w:rsidRPr="00B31292">
        <w:rPr>
          <w:rFonts w:ascii="Garamond" w:hAnsi="Garamond" w:cs="Times New Roman"/>
          <w:sz w:val="24"/>
          <w:szCs w:val="24"/>
        </w:rPr>
        <w:t>“</w:t>
      </w:r>
      <w:r w:rsidRPr="00B31292">
        <w:rPr>
          <w:rFonts w:ascii="Garamond" w:hAnsi="Garamond" w:cs="Times New Roman"/>
          <w:i/>
          <w:sz w:val="24"/>
          <w:szCs w:val="24"/>
        </w:rPr>
        <w:t>Statistikat mbi sigurinë në transport</w:t>
      </w:r>
      <w:r w:rsidR="00BA12C3" w:rsidRPr="00B31292">
        <w:rPr>
          <w:rFonts w:ascii="Garamond" w:hAnsi="Garamond" w:cs="Times New Roman"/>
          <w:sz w:val="24"/>
          <w:szCs w:val="24"/>
        </w:rPr>
        <w:t>”</w:t>
      </w:r>
      <w:r w:rsidRPr="00B31292">
        <w:rPr>
          <w:rFonts w:ascii="Garamond" w:hAnsi="Garamond" w:cs="Times New Roman"/>
          <w:sz w:val="24"/>
          <w:szCs w:val="24"/>
        </w:rPr>
        <w:t>. Statistikat e nëntemës së parë kanë përkatësisht frekuencë tremujore dhe vjetore, të cilat prodhohen nga INSTAT</w:t>
      </w:r>
      <w:r w:rsidR="00BA12C3" w:rsidRPr="00B31292">
        <w:rPr>
          <w:rFonts w:ascii="Garamond" w:hAnsi="Garamond" w:cs="Times New Roman"/>
          <w:sz w:val="24"/>
          <w:szCs w:val="24"/>
        </w:rPr>
        <w:t>-i</w:t>
      </w:r>
      <w:r w:rsidRPr="00B31292">
        <w:rPr>
          <w:rFonts w:ascii="Garamond" w:hAnsi="Garamond" w:cs="Times New Roman"/>
          <w:sz w:val="24"/>
          <w:szCs w:val="24"/>
        </w:rPr>
        <w:t xml:space="preserve">, duke kryer publikimet </w:t>
      </w:r>
      <w:r w:rsidR="00BA12C3" w:rsidRPr="00B31292">
        <w:rPr>
          <w:rFonts w:ascii="Garamond" w:hAnsi="Garamond" w:cs="Times New Roman"/>
          <w:sz w:val="24"/>
          <w:szCs w:val="24"/>
        </w:rPr>
        <w:t>“</w:t>
      </w:r>
      <w:r w:rsidRPr="00B31292">
        <w:rPr>
          <w:rFonts w:ascii="Garamond" w:hAnsi="Garamond" w:cs="Times New Roman"/>
          <w:sz w:val="24"/>
          <w:szCs w:val="24"/>
        </w:rPr>
        <w:t>Statistika mbi transportin ajror, detar, hekurudhor dhe rrugor</w:t>
      </w:r>
      <w:r w:rsidR="00BA12C3" w:rsidRPr="00B31292">
        <w:rPr>
          <w:rFonts w:ascii="Garamond" w:hAnsi="Garamond" w:cs="Times New Roman"/>
          <w:sz w:val="24"/>
          <w:szCs w:val="24"/>
        </w:rPr>
        <w:t>”</w:t>
      </w:r>
      <w:r w:rsidRPr="00B31292">
        <w:rPr>
          <w:rFonts w:ascii="Garamond" w:hAnsi="Garamond" w:cs="Times New Roman"/>
          <w:sz w:val="24"/>
          <w:szCs w:val="24"/>
        </w:rPr>
        <w:t xml:space="preserve"> dhe </w:t>
      </w:r>
      <w:r w:rsidR="00BA12C3" w:rsidRPr="00B31292">
        <w:rPr>
          <w:rFonts w:ascii="Garamond" w:hAnsi="Garamond" w:cs="Times New Roman"/>
          <w:sz w:val="24"/>
          <w:szCs w:val="24"/>
        </w:rPr>
        <w:t>“</w:t>
      </w:r>
      <w:r w:rsidRPr="00B31292">
        <w:rPr>
          <w:rFonts w:ascii="Garamond" w:hAnsi="Garamond" w:cs="Times New Roman"/>
          <w:sz w:val="24"/>
          <w:szCs w:val="24"/>
        </w:rPr>
        <w:t>Statistika mbi karakteristikat e mjeteve të transportit rrugor</w:t>
      </w:r>
      <w:r w:rsidR="00BA12C3" w:rsidRPr="00B31292">
        <w:rPr>
          <w:rFonts w:ascii="Garamond" w:hAnsi="Garamond" w:cs="Times New Roman"/>
          <w:sz w:val="24"/>
          <w:szCs w:val="24"/>
        </w:rPr>
        <w:t>”</w:t>
      </w:r>
      <w:r w:rsidRPr="00B31292">
        <w:rPr>
          <w:rFonts w:ascii="Garamond" w:hAnsi="Garamond" w:cs="Times New Roman"/>
          <w:sz w:val="24"/>
          <w:szCs w:val="24"/>
        </w:rPr>
        <w:t>. Për realizimin dhe publikimin e këtyre statistikave, INSTAT</w:t>
      </w:r>
      <w:r w:rsidR="00BA12C3" w:rsidRPr="00B31292">
        <w:rPr>
          <w:rFonts w:ascii="Garamond" w:hAnsi="Garamond" w:cs="Times New Roman"/>
          <w:sz w:val="24"/>
          <w:szCs w:val="24"/>
        </w:rPr>
        <w:t>-i</w:t>
      </w:r>
      <w:r w:rsidRPr="00B31292">
        <w:rPr>
          <w:rFonts w:ascii="Garamond" w:hAnsi="Garamond" w:cs="Times New Roman"/>
          <w:sz w:val="24"/>
          <w:szCs w:val="24"/>
        </w:rPr>
        <w:t xml:space="preserve"> përpunon të </w:t>
      </w:r>
      <w:r w:rsidRPr="00B31292">
        <w:rPr>
          <w:rFonts w:ascii="Garamond" w:hAnsi="Garamond" w:cs="Times New Roman"/>
          <w:sz w:val="24"/>
          <w:szCs w:val="24"/>
        </w:rPr>
        <w:lastRenderedPageBreak/>
        <w:t>dhënat administrative të marra nga Ministria e Infrastrukturës dhe Energjisë</w:t>
      </w:r>
      <w:r w:rsidR="00F353A8" w:rsidRPr="00B31292">
        <w:rPr>
          <w:rFonts w:ascii="Garamond" w:hAnsi="Garamond" w:cs="Times New Roman"/>
          <w:sz w:val="24"/>
          <w:szCs w:val="24"/>
        </w:rPr>
        <w:t>,</w:t>
      </w:r>
      <w:r w:rsidRPr="00B31292">
        <w:rPr>
          <w:rFonts w:ascii="Garamond" w:hAnsi="Garamond" w:cs="Times New Roman"/>
          <w:sz w:val="24"/>
          <w:szCs w:val="24"/>
        </w:rPr>
        <w:t xml:space="preserve"> si dhe nga Drejtoria e Përgjithshme e Shërbimeve të Transportit Rrugor. Për</w:t>
      </w:r>
      <w:r w:rsidR="00BA12C3" w:rsidRPr="00B31292">
        <w:rPr>
          <w:rFonts w:ascii="Garamond" w:hAnsi="Garamond" w:cs="Times New Roman"/>
          <w:sz w:val="24"/>
          <w:szCs w:val="24"/>
        </w:rPr>
        <w:t xml:space="preserve"> </w:t>
      </w:r>
      <w:r w:rsidRPr="00B31292">
        <w:rPr>
          <w:rFonts w:ascii="Garamond" w:hAnsi="Garamond" w:cs="Times New Roman"/>
          <w:sz w:val="24"/>
          <w:szCs w:val="24"/>
        </w:rPr>
        <w:t>sa i takon nëntemës 3.3.2</w:t>
      </w:r>
      <w:r w:rsidR="00EB051F" w:rsidRPr="00B31292">
        <w:rPr>
          <w:rFonts w:ascii="Garamond" w:hAnsi="Garamond" w:cs="Times New Roman"/>
          <w:sz w:val="24"/>
          <w:szCs w:val="24"/>
        </w:rPr>
        <w:t xml:space="preserve"> </w:t>
      </w:r>
      <w:r w:rsidR="00BA12C3" w:rsidRPr="00B31292">
        <w:rPr>
          <w:rFonts w:ascii="Garamond" w:hAnsi="Garamond" w:cs="Times New Roman"/>
          <w:sz w:val="24"/>
          <w:szCs w:val="24"/>
        </w:rPr>
        <w:t>“</w:t>
      </w:r>
      <w:r w:rsidR="002F5473" w:rsidRPr="00B31292">
        <w:rPr>
          <w:rFonts w:ascii="Garamond" w:hAnsi="Garamond" w:cs="Times New Roman"/>
          <w:sz w:val="24"/>
          <w:szCs w:val="24"/>
        </w:rPr>
        <w:t>Statistikat mbi sigurinë në transport</w:t>
      </w:r>
      <w:r w:rsidR="00BA12C3" w:rsidRPr="00B31292">
        <w:rPr>
          <w:rFonts w:ascii="Garamond" w:hAnsi="Garamond" w:cs="Times New Roman"/>
          <w:sz w:val="24"/>
          <w:szCs w:val="24"/>
        </w:rPr>
        <w:t>”</w:t>
      </w:r>
      <w:r w:rsidRPr="00B31292">
        <w:rPr>
          <w:rFonts w:ascii="Garamond" w:hAnsi="Garamond" w:cs="Times New Roman"/>
          <w:sz w:val="24"/>
          <w:szCs w:val="24"/>
        </w:rPr>
        <w:t>, INSTAT</w:t>
      </w:r>
      <w:r w:rsidR="00BA12C3" w:rsidRPr="00B31292">
        <w:rPr>
          <w:rFonts w:ascii="Garamond" w:hAnsi="Garamond" w:cs="Times New Roman"/>
          <w:sz w:val="24"/>
          <w:szCs w:val="24"/>
        </w:rPr>
        <w:t>-i</w:t>
      </w:r>
      <w:r w:rsidRPr="00B31292">
        <w:rPr>
          <w:rFonts w:ascii="Garamond" w:hAnsi="Garamond" w:cs="Times New Roman"/>
          <w:sz w:val="24"/>
          <w:szCs w:val="24"/>
        </w:rPr>
        <w:t xml:space="preserve"> kryen aktivitetin statistikor me frekuencë mujore </w:t>
      </w:r>
      <w:r w:rsidR="00BA12C3" w:rsidRPr="00B31292">
        <w:rPr>
          <w:rFonts w:ascii="Garamond" w:hAnsi="Garamond" w:cs="Times New Roman"/>
          <w:sz w:val="24"/>
          <w:szCs w:val="24"/>
        </w:rPr>
        <w:t>“</w:t>
      </w:r>
      <w:r w:rsidRPr="00B31292">
        <w:rPr>
          <w:rFonts w:ascii="Garamond" w:hAnsi="Garamond" w:cs="Times New Roman"/>
          <w:sz w:val="24"/>
          <w:szCs w:val="24"/>
        </w:rPr>
        <w:t>Statistika mbi aksidentet rrugore</w:t>
      </w:r>
      <w:r w:rsidR="00BA12C3" w:rsidRPr="00B31292">
        <w:rPr>
          <w:rFonts w:ascii="Garamond" w:hAnsi="Garamond" w:cs="Times New Roman"/>
          <w:sz w:val="24"/>
          <w:szCs w:val="24"/>
        </w:rPr>
        <w:t>”</w:t>
      </w:r>
      <w:r w:rsidRPr="00B31292">
        <w:rPr>
          <w:rFonts w:ascii="Garamond" w:hAnsi="Garamond" w:cs="Times New Roman"/>
          <w:sz w:val="24"/>
          <w:szCs w:val="24"/>
        </w:rPr>
        <w:t xml:space="preserve"> dhe tregues vjetor për aksidentet hekurudhore. Për realizimin e këtyre statistikave INSTAT</w:t>
      </w:r>
      <w:r w:rsidR="00BA12C3" w:rsidRPr="00B31292">
        <w:rPr>
          <w:rFonts w:ascii="Garamond" w:hAnsi="Garamond" w:cs="Times New Roman"/>
          <w:sz w:val="24"/>
          <w:szCs w:val="24"/>
        </w:rPr>
        <w:t>-i</w:t>
      </w:r>
      <w:r w:rsidRPr="00B31292">
        <w:rPr>
          <w:rFonts w:ascii="Garamond" w:hAnsi="Garamond" w:cs="Times New Roman"/>
          <w:sz w:val="24"/>
          <w:szCs w:val="24"/>
        </w:rPr>
        <w:t xml:space="preserve"> përpunon të dhënat administrative të siguruara nga Drejtoria e Përgjithshme e Policisë së Shtetit dhe Ministria e Infrastrukturës dhe Energjisë.</w:t>
      </w:r>
    </w:p>
    <w:p w14:paraId="1F8FC18D" w14:textId="46EC40D0" w:rsidR="00FC42D5" w:rsidRPr="00B31292" w:rsidRDefault="00FC42D5" w:rsidP="003A4DBA">
      <w:pPr>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 xml:space="preserve">Gjatë vitit 2025, do të rritet numri i treguesve të prodhuar mbi llojet e transportit dhe mbi sigurinë në transport bazuar në rregulloret evropiane, si dhe transmetimi i treguesve të prodhuar për statistikat e transportit në </w:t>
      </w:r>
      <w:r w:rsidR="009C0CE9" w:rsidRPr="00B31292">
        <w:rPr>
          <w:rFonts w:ascii="Garamond" w:hAnsi="Garamond" w:cs="Times New Roman"/>
          <w:sz w:val="24"/>
          <w:szCs w:val="24"/>
        </w:rPr>
        <w:t>Eurostat</w:t>
      </w:r>
      <w:r w:rsidRPr="00B31292">
        <w:rPr>
          <w:rFonts w:ascii="Garamond" w:hAnsi="Garamond" w:cs="Times New Roman"/>
          <w:sz w:val="24"/>
          <w:szCs w:val="24"/>
        </w:rPr>
        <w:t xml:space="preserve"> dhe institucionet e tjera ndërkombëtare. </w:t>
      </w:r>
      <w:r w:rsidR="00170D29" w:rsidRPr="00B31292">
        <w:rPr>
          <w:rFonts w:ascii="Garamond" w:hAnsi="Garamond" w:cs="Times New Roman"/>
          <w:sz w:val="24"/>
          <w:szCs w:val="24"/>
        </w:rPr>
        <w:t xml:space="preserve">Gjithashtu, </w:t>
      </w:r>
      <w:r w:rsidRPr="00B31292">
        <w:rPr>
          <w:rFonts w:ascii="Garamond" w:hAnsi="Garamond" w:cs="Times New Roman"/>
          <w:sz w:val="24"/>
          <w:szCs w:val="24"/>
        </w:rPr>
        <w:t>në kuadër të programit IPA 2022 shumëpërfitues</w:t>
      </w:r>
      <w:r w:rsidR="00EB051F" w:rsidRPr="00B31292">
        <w:rPr>
          <w:rFonts w:ascii="Garamond" w:hAnsi="Garamond" w:cs="Times New Roman"/>
          <w:sz w:val="24"/>
          <w:szCs w:val="24"/>
        </w:rPr>
        <w:t>,</w:t>
      </w:r>
      <w:r w:rsidRPr="00B31292">
        <w:rPr>
          <w:rFonts w:ascii="Garamond" w:hAnsi="Garamond" w:cs="Times New Roman"/>
          <w:sz w:val="24"/>
          <w:szCs w:val="24"/>
        </w:rPr>
        <w:t xml:space="preserve"> për statistikat e transportit</w:t>
      </w:r>
      <w:r w:rsidR="00A40030" w:rsidRPr="00B31292">
        <w:rPr>
          <w:rFonts w:ascii="Garamond" w:hAnsi="Garamond" w:cs="Times New Roman"/>
          <w:sz w:val="24"/>
          <w:szCs w:val="24"/>
        </w:rPr>
        <w:t xml:space="preserve"> </w:t>
      </w:r>
      <w:r w:rsidRPr="00B31292">
        <w:rPr>
          <w:rFonts w:ascii="Garamond" w:hAnsi="Garamond" w:cs="Times New Roman"/>
          <w:sz w:val="24"/>
          <w:szCs w:val="24"/>
        </w:rPr>
        <w:t>dhe në vijim</w:t>
      </w:r>
      <w:r w:rsidR="00A40030" w:rsidRPr="00B31292">
        <w:rPr>
          <w:rFonts w:ascii="Garamond" w:hAnsi="Garamond" w:cs="Times New Roman"/>
          <w:sz w:val="24"/>
          <w:szCs w:val="24"/>
        </w:rPr>
        <w:t>ësi</w:t>
      </w:r>
      <w:r w:rsidRPr="00B31292">
        <w:rPr>
          <w:rFonts w:ascii="Garamond" w:hAnsi="Garamond" w:cs="Times New Roman"/>
          <w:sz w:val="24"/>
          <w:szCs w:val="24"/>
        </w:rPr>
        <w:t xml:space="preserve"> të vrojtimit pilot të realizuar</w:t>
      </w:r>
      <w:r w:rsidR="002E2911" w:rsidRPr="00B31292">
        <w:rPr>
          <w:rFonts w:ascii="Garamond" w:hAnsi="Garamond" w:cs="Times New Roman"/>
          <w:sz w:val="24"/>
          <w:szCs w:val="24"/>
        </w:rPr>
        <w:t xml:space="preserve"> </w:t>
      </w:r>
      <w:r w:rsidRPr="00B31292">
        <w:rPr>
          <w:rFonts w:ascii="Garamond" w:hAnsi="Garamond" w:cs="Times New Roman"/>
          <w:sz w:val="24"/>
          <w:szCs w:val="24"/>
        </w:rPr>
        <w:t xml:space="preserve">për </w:t>
      </w:r>
      <w:r w:rsidR="00BA12C3" w:rsidRPr="00B31292">
        <w:rPr>
          <w:rFonts w:ascii="Garamond" w:hAnsi="Garamond" w:cs="Times New Roman"/>
          <w:sz w:val="24"/>
          <w:szCs w:val="24"/>
        </w:rPr>
        <w:t>“</w:t>
      </w:r>
      <w:r w:rsidRPr="00B31292">
        <w:rPr>
          <w:rFonts w:ascii="Garamond" w:hAnsi="Garamond" w:cs="Times New Roman"/>
          <w:sz w:val="24"/>
          <w:szCs w:val="24"/>
        </w:rPr>
        <w:t xml:space="preserve">Transportin </w:t>
      </w:r>
      <w:r w:rsidR="00F353A8" w:rsidRPr="00B31292">
        <w:rPr>
          <w:rFonts w:ascii="Garamond" w:hAnsi="Garamond" w:cs="Times New Roman"/>
          <w:sz w:val="24"/>
          <w:szCs w:val="24"/>
        </w:rPr>
        <w:t>rrugor të mallrave</w:t>
      </w:r>
      <w:r w:rsidR="00BA12C3" w:rsidRPr="00B31292">
        <w:rPr>
          <w:rFonts w:ascii="Garamond" w:hAnsi="Garamond" w:cs="Times New Roman"/>
          <w:sz w:val="24"/>
          <w:szCs w:val="24"/>
        </w:rPr>
        <w:t>”</w:t>
      </w:r>
      <w:r w:rsidR="00170D29" w:rsidRPr="00B31292">
        <w:rPr>
          <w:rFonts w:ascii="Garamond" w:hAnsi="Garamond" w:cs="Times New Roman"/>
          <w:sz w:val="24"/>
          <w:szCs w:val="24"/>
        </w:rPr>
        <w:t>, gjatë vitit 2025</w:t>
      </w:r>
      <w:r w:rsidR="00F42701" w:rsidRPr="00B31292">
        <w:rPr>
          <w:rFonts w:ascii="Garamond" w:hAnsi="Garamond" w:cs="Times New Roman"/>
          <w:sz w:val="24"/>
          <w:szCs w:val="24"/>
        </w:rPr>
        <w:t>,</w:t>
      </w:r>
      <w:r w:rsidRPr="00B31292">
        <w:rPr>
          <w:rFonts w:ascii="Garamond" w:hAnsi="Garamond" w:cs="Times New Roman"/>
          <w:sz w:val="24"/>
          <w:szCs w:val="24"/>
        </w:rPr>
        <w:t xml:space="preserve"> do të realizohet vrojtimi i plotë </w:t>
      </w:r>
      <w:r w:rsidR="00A40030" w:rsidRPr="00B31292">
        <w:rPr>
          <w:rFonts w:ascii="Garamond" w:hAnsi="Garamond" w:cs="Times New Roman"/>
          <w:sz w:val="24"/>
          <w:szCs w:val="24"/>
        </w:rPr>
        <w:t xml:space="preserve">i </w:t>
      </w:r>
      <w:r w:rsidRPr="00B31292">
        <w:rPr>
          <w:rFonts w:ascii="Garamond" w:hAnsi="Garamond" w:cs="Times New Roman"/>
          <w:sz w:val="24"/>
          <w:szCs w:val="24"/>
        </w:rPr>
        <w:t>statistika</w:t>
      </w:r>
      <w:r w:rsidR="00A40030" w:rsidRPr="00B31292">
        <w:rPr>
          <w:rFonts w:ascii="Garamond" w:hAnsi="Garamond" w:cs="Times New Roman"/>
          <w:sz w:val="24"/>
          <w:szCs w:val="24"/>
        </w:rPr>
        <w:t>ve të</w:t>
      </w:r>
      <w:r w:rsidRPr="00B31292">
        <w:rPr>
          <w:rFonts w:ascii="Garamond" w:hAnsi="Garamond" w:cs="Times New Roman"/>
          <w:sz w:val="24"/>
          <w:szCs w:val="24"/>
        </w:rPr>
        <w:t xml:space="preserve"> transporti</w:t>
      </w:r>
      <w:r w:rsidR="00E04A54" w:rsidRPr="00B31292">
        <w:rPr>
          <w:rFonts w:ascii="Garamond" w:hAnsi="Garamond" w:cs="Times New Roman"/>
          <w:sz w:val="24"/>
          <w:szCs w:val="24"/>
        </w:rPr>
        <w:t>t</w:t>
      </w:r>
      <w:r w:rsidRPr="00B31292">
        <w:rPr>
          <w:rFonts w:ascii="Garamond" w:hAnsi="Garamond" w:cs="Times New Roman"/>
          <w:sz w:val="24"/>
          <w:szCs w:val="24"/>
        </w:rPr>
        <w:t xml:space="preserve"> rrugor të mallrave.</w:t>
      </w:r>
    </w:p>
    <w:p w14:paraId="690107A6" w14:textId="656B25EB" w:rsidR="00FC42D5" w:rsidRPr="00B31292" w:rsidRDefault="00FC42D5" w:rsidP="003A4DBA">
      <w:pPr>
        <w:spacing w:after="0" w:line="240" w:lineRule="auto"/>
        <w:ind w:firstLine="284"/>
        <w:jc w:val="both"/>
        <w:rPr>
          <w:rFonts w:ascii="Garamond" w:hAnsi="Garamond" w:cs="Times New Roman"/>
          <w:sz w:val="24"/>
          <w:szCs w:val="24"/>
        </w:rPr>
      </w:pPr>
      <w:r w:rsidRPr="00B31292">
        <w:rPr>
          <w:rFonts w:ascii="Garamond" w:hAnsi="Garamond" w:cs="Times New Roman"/>
          <w:b/>
          <w:sz w:val="24"/>
          <w:szCs w:val="24"/>
        </w:rPr>
        <w:t xml:space="preserve">Treguesit kryesorë: </w:t>
      </w:r>
      <w:r w:rsidRPr="00B31292">
        <w:rPr>
          <w:rFonts w:ascii="Garamond" w:hAnsi="Garamond" w:cs="Times New Roman"/>
          <w:sz w:val="24"/>
          <w:szCs w:val="24"/>
        </w:rPr>
        <w:t xml:space="preserve">Tregues mbi transportin ajror, detar, ujor </w:t>
      </w:r>
      <w:r w:rsidR="00F353A8" w:rsidRPr="00B31292">
        <w:rPr>
          <w:rFonts w:ascii="Garamond" w:hAnsi="Garamond" w:cs="Times New Roman"/>
          <w:sz w:val="24"/>
          <w:szCs w:val="24"/>
        </w:rPr>
        <w:t>të</w:t>
      </w:r>
      <w:r w:rsidRPr="00B31292">
        <w:rPr>
          <w:rFonts w:ascii="Garamond" w:hAnsi="Garamond" w:cs="Times New Roman"/>
          <w:sz w:val="24"/>
          <w:szCs w:val="24"/>
        </w:rPr>
        <w:t xml:space="preserve"> brendshëm dhe hekurudhor, rrugor të mallrave dhe pasagjerëve, në nivel kombëtar dhe sipas rajoneve; </w:t>
      </w:r>
      <w:r w:rsidR="00F353A8" w:rsidRPr="00B31292">
        <w:rPr>
          <w:rFonts w:ascii="Garamond" w:hAnsi="Garamond" w:cs="Times New Roman"/>
          <w:sz w:val="24"/>
          <w:szCs w:val="24"/>
        </w:rPr>
        <w:t>t</w:t>
      </w:r>
      <w:r w:rsidRPr="00B31292">
        <w:rPr>
          <w:rFonts w:ascii="Garamond" w:hAnsi="Garamond" w:cs="Times New Roman"/>
          <w:sz w:val="24"/>
          <w:szCs w:val="24"/>
        </w:rPr>
        <w:t xml:space="preserve">regues mbi karakteristikat e mjeteve të transportit rrugor; </w:t>
      </w:r>
      <w:r w:rsidR="00F353A8" w:rsidRPr="00B31292">
        <w:rPr>
          <w:rFonts w:ascii="Garamond" w:hAnsi="Garamond" w:cs="Times New Roman"/>
          <w:sz w:val="24"/>
          <w:szCs w:val="24"/>
        </w:rPr>
        <w:t>t</w:t>
      </w:r>
      <w:r w:rsidRPr="00B31292">
        <w:rPr>
          <w:rFonts w:ascii="Garamond" w:hAnsi="Garamond" w:cs="Times New Roman"/>
          <w:sz w:val="24"/>
          <w:szCs w:val="24"/>
        </w:rPr>
        <w:t>regues mbi numrin e aksidenteve rrugore, numrin e të aksidentuarve (të vdekur dhe të plagosur) dhe numrin e aksidenteve hekurudhore, në nivel kombëtar dhe sipas rajoneve.</w:t>
      </w:r>
    </w:p>
    <w:p w14:paraId="678F6BCE" w14:textId="5807D610" w:rsidR="00FC42D5" w:rsidRPr="00B31292" w:rsidRDefault="00FC42D5" w:rsidP="003A4DBA">
      <w:pPr>
        <w:spacing w:after="0" w:line="240" w:lineRule="auto"/>
        <w:ind w:firstLine="284"/>
        <w:contextualSpacing/>
        <w:jc w:val="both"/>
        <w:rPr>
          <w:rFonts w:ascii="Garamond" w:hAnsi="Garamond" w:cs="Times New Roman"/>
          <w:b/>
          <w:bCs/>
          <w:i/>
          <w:iCs/>
          <w:sz w:val="24"/>
          <w:szCs w:val="24"/>
        </w:rPr>
      </w:pPr>
      <w:r w:rsidRPr="00B31292">
        <w:rPr>
          <w:rFonts w:ascii="Garamond" w:eastAsia="Times New Roman" w:hAnsi="Garamond" w:cs="Times New Roman"/>
          <w:b/>
          <w:sz w:val="24"/>
          <w:szCs w:val="24"/>
        </w:rPr>
        <w:t>Përputhshmëria</w:t>
      </w:r>
      <w:r w:rsidR="00F353A8" w:rsidRPr="00B31292">
        <w:rPr>
          <w:rFonts w:ascii="Garamond" w:eastAsia="Times New Roman" w:hAnsi="Garamond" w:cs="Times New Roman"/>
          <w:b/>
          <w:sz w:val="24"/>
          <w:szCs w:val="24"/>
        </w:rPr>
        <w:t xml:space="preserve"> </w:t>
      </w:r>
      <w:r w:rsidRPr="00B31292">
        <w:rPr>
          <w:rFonts w:ascii="Garamond" w:eastAsia="Times New Roman" w:hAnsi="Garamond" w:cs="Times New Roman"/>
          <w:b/>
          <w:sz w:val="24"/>
          <w:szCs w:val="24"/>
        </w:rPr>
        <w:t xml:space="preserve">me </w:t>
      </w:r>
      <w:r w:rsidRPr="00B31292">
        <w:rPr>
          <w:rFonts w:ascii="Garamond" w:hAnsi="Garamond" w:cs="Times New Roman"/>
          <w:b/>
          <w:bCs/>
          <w:i/>
          <w:iCs/>
          <w:sz w:val="24"/>
          <w:szCs w:val="24"/>
        </w:rPr>
        <w:t xml:space="preserve">acquis: </w:t>
      </w:r>
      <w:r w:rsidRPr="00B31292">
        <w:rPr>
          <w:rFonts w:ascii="Garamond" w:hAnsi="Garamond" w:cs="Times New Roman"/>
          <w:i/>
          <w:sz w:val="24"/>
          <w:szCs w:val="24"/>
          <w:lang w:eastAsia="en-GB"/>
        </w:rPr>
        <w:t xml:space="preserve">Statistikat mbi </w:t>
      </w:r>
      <w:r w:rsidR="00F353A8" w:rsidRPr="00B31292">
        <w:rPr>
          <w:rFonts w:ascii="Garamond" w:hAnsi="Garamond" w:cs="Times New Roman"/>
          <w:i/>
          <w:sz w:val="24"/>
          <w:szCs w:val="24"/>
          <w:lang w:eastAsia="en-GB"/>
        </w:rPr>
        <w:t>t</w:t>
      </w:r>
      <w:r w:rsidRPr="00B31292">
        <w:rPr>
          <w:rFonts w:ascii="Garamond" w:hAnsi="Garamond" w:cs="Times New Roman"/>
          <w:i/>
          <w:sz w:val="24"/>
          <w:szCs w:val="24"/>
          <w:lang w:eastAsia="en-GB"/>
        </w:rPr>
        <w:t>ransportin</w:t>
      </w:r>
      <w:r w:rsidRPr="00B31292">
        <w:rPr>
          <w:rFonts w:ascii="Garamond" w:hAnsi="Garamond" w:cs="Times New Roman"/>
          <w:sz w:val="24"/>
          <w:szCs w:val="24"/>
          <w:lang w:eastAsia="en-GB"/>
        </w:rPr>
        <w:t xml:space="preserve"> janë pjesërisht në përputhje me rregulloret e Parlamentit dhe Këshillit Evropian </w:t>
      </w:r>
      <w:r w:rsidR="00BA12C3" w:rsidRPr="00B31292">
        <w:rPr>
          <w:rFonts w:ascii="Garamond" w:hAnsi="Garamond" w:cs="Times New Roman"/>
          <w:sz w:val="24"/>
          <w:szCs w:val="24"/>
          <w:lang w:eastAsia="en-GB"/>
        </w:rPr>
        <w:t>nr</w:t>
      </w:r>
      <w:r w:rsidRPr="00B31292">
        <w:rPr>
          <w:rFonts w:ascii="Garamond" w:hAnsi="Garamond" w:cs="Times New Roman"/>
          <w:sz w:val="24"/>
          <w:szCs w:val="24"/>
          <w:lang w:eastAsia="en-GB"/>
        </w:rPr>
        <w:t>. 2018/643</w:t>
      </w:r>
      <w:r w:rsidR="00BA12C3" w:rsidRPr="00B31292">
        <w:rPr>
          <w:rFonts w:ascii="Garamond" w:hAnsi="Garamond" w:cs="Times New Roman"/>
          <w:sz w:val="24"/>
          <w:szCs w:val="24"/>
          <w:lang w:eastAsia="en-GB"/>
        </w:rPr>
        <w:t>,</w:t>
      </w:r>
      <w:r w:rsidRPr="00B31292">
        <w:rPr>
          <w:rFonts w:ascii="Garamond" w:hAnsi="Garamond" w:cs="Times New Roman"/>
          <w:sz w:val="24"/>
          <w:szCs w:val="24"/>
          <w:lang w:eastAsia="en-GB"/>
        </w:rPr>
        <w:t xml:space="preserve"> </w:t>
      </w:r>
      <w:r w:rsidR="00BA12C3" w:rsidRPr="00B31292">
        <w:rPr>
          <w:rFonts w:ascii="Garamond" w:hAnsi="Garamond" w:cs="Times New Roman"/>
          <w:sz w:val="24"/>
          <w:szCs w:val="24"/>
          <w:lang w:eastAsia="en-GB"/>
        </w:rPr>
        <w:t>“</w:t>
      </w:r>
      <w:r w:rsidRPr="00B31292">
        <w:rPr>
          <w:rFonts w:ascii="Garamond" w:hAnsi="Garamond" w:cs="Times New Roman"/>
          <w:sz w:val="24"/>
          <w:szCs w:val="24"/>
          <w:lang w:eastAsia="en-GB"/>
        </w:rPr>
        <w:t xml:space="preserve">Mbi </w:t>
      </w:r>
      <w:r w:rsidR="00F353A8" w:rsidRPr="00B31292">
        <w:rPr>
          <w:rFonts w:ascii="Garamond" w:hAnsi="Garamond" w:cs="Times New Roman"/>
          <w:sz w:val="24"/>
          <w:szCs w:val="24"/>
          <w:lang w:eastAsia="en-GB"/>
        </w:rPr>
        <w:t>statistikat e transportit hekurudho</w:t>
      </w:r>
      <w:r w:rsidRPr="00B31292">
        <w:rPr>
          <w:rFonts w:ascii="Garamond" w:hAnsi="Garamond" w:cs="Times New Roman"/>
          <w:sz w:val="24"/>
          <w:szCs w:val="24"/>
          <w:lang w:eastAsia="en-GB"/>
        </w:rPr>
        <w:t>r</w:t>
      </w:r>
      <w:r w:rsidR="00BA12C3" w:rsidRPr="00B31292">
        <w:rPr>
          <w:rFonts w:ascii="Garamond" w:hAnsi="Garamond" w:cs="Times New Roman"/>
          <w:sz w:val="24"/>
          <w:szCs w:val="24"/>
          <w:lang w:eastAsia="en-GB"/>
        </w:rPr>
        <w:t>”</w:t>
      </w:r>
      <w:r w:rsidRPr="00B31292">
        <w:rPr>
          <w:rFonts w:ascii="Garamond" w:hAnsi="Garamond" w:cs="Times New Roman"/>
          <w:sz w:val="24"/>
          <w:szCs w:val="24"/>
          <w:lang w:eastAsia="en-GB"/>
        </w:rPr>
        <w:t xml:space="preserve">, </w:t>
      </w:r>
      <w:r w:rsidR="00BA12C3" w:rsidRPr="00B31292">
        <w:rPr>
          <w:rFonts w:ascii="Garamond" w:hAnsi="Garamond" w:cs="Times New Roman"/>
          <w:sz w:val="24"/>
          <w:szCs w:val="24"/>
          <w:lang w:eastAsia="en-GB"/>
        </w:rPr>
        <w:t>nr</w:t>
      </w:r>
      <w:r w:rsidRPr="00B31292">
        <w:rPr>
          <w:rFonts w:ascii="Garamond" w:hAnsi="Garamond" w:cs="Times New Roman"/>
          <w:sz w:val="24"/>
          <w:szCs w:val="24"/>
          <w:lang w:eastAsia="en-GB"/>
        </w:rPr>
        <w:t xml:space="preserve">. 2018/974, </w:t>
      </w:r>
      <w:r w:rsidR="00BA12C3" w:rsidRPr="00B31292">
        <w:rPr>
          <w:rFonts w:ascii="Garamond" w:hAnsi="Garamond" w:cs="Times New Roman"/>
          <w:sz w:val="24"/>
          <w:szCs w:val="24"/>
          <w:lang w:eastAsia="en-GB"/>
        </w:rPr>
        <w:t>“</w:t>
      </w:r>
      <w:r w:rsidRPr="00B31292">
        <w:rPr>
          <w:rFonts w:ascii="Garamond" w:hAnsi="Garamond" w:cs="Times New Roman"/>
          <w:sz w:val="24"/>
          <w:szCs w:val="24"/>
          <w:lang w:eastAsia="en-GB"/>
        </w:rPr>
        <w:t xml:space="preserve">Mbi </w:t>
      </w:r>
      <w:r w:rsidR="00F353A8" w:rsidRPr="00B31292">
        <w:rPr>
          <w:rFonts w:ascii="Garamond" w:hAnsi="Garamond" w:cs="Times New Roman"/>
          <w:sz w:val="24"/>
          <w:szCs w:val="24"/>
          <w:lang w:eastAsia="en-GB"/>
        </w:rPr>
        <w:t xml:space="preserve">statistikat e transportit </w:t>
      </w:r>
      <w:r w:rsidRPr="00B31292">
        <w:rPr>
          <w:rFonts w:ascii="Garamond" w:hAnsi="Garamond" w:cs="Times New Roman"/>
          <w:sz w:val="24"/>
          <w:szCs w:val="24"/>
          <w:lang w:eastAsia="en-GB"/>
        </w:rPr>
        <w:t>të mallrave përmes rrugëve ujore brenda vendit</w:t>
      </w:r>
      <w:r w:rsidR="00BA12C3" w:rsidRPr="00B31292">
        <w:rPr>
          <w:rFonts w:ascii="Garamond" w:hAnsi="Garamond" w:cs="Times New Roman"/>
          <w:sz w:val="24"/>
          <w:szCs w:val="24"/>
          <w:lang w:eastAsia="en-GB"/>
        </w:rPr>
        <w:t>”</w:t>
      </w:r>
      <w:r w:rsidRPr="00B31292">
        <w:rPr>
          <w:rFonts w:ascii="Garamond" w:hAnsi="Garamond" w:cs="Times New Roman"/>
          <w:sz w:val="24"/>
          <w:szCs w:val="24"/>
          <w:lang w:eastAsia="en-GB"/>
        </w:rPr>
        <w:t xml:space="preserve">, </w:t>
      </w:r>
      <w:r w:rsidR="00BA12C3" w:rsidRPr="00B31292">
        <w:rPr>
          <w:rFonts w:ascii="Garamond" w:hAnsi="Garamond" w:cs="Times New Roman"/>
          <w:sz w:val="24"/>
          <w:szCs w:val="24"/>
          <w:lang w:eastAsia="en-GB"/>
        </w:rPr>
        <w:t>n</w:t>
      </w:r>
      <w:r w:rsidRPr="00B31292">
        <w:rPr>
          <w:rFonts w:ascii="Garamond" w:hAnsi="Garamond" w:cs="Times New Roman"/>
          <w:sz w:val="24"/>
          <w:szCs w:val="24"/>
          <w:lang w:eastAsia="en-GB"/>
        </w:rPr>
        <w:t>r</w:t>
      </w:r>
      <w:r w:rsidR="00BA12C3" w:rsidRPr="00B31292">
        <w:rPr>
          <w:rFonts w:ascii="Garamond" w:hAnsi="Garamond" w:cs="Times New Roman"/>
          <w:sz w:val="24"/>
          <w:szCs w:val="24"/>
          <w:lang w:eastAsia="en-GB"/>
        </w:rPr>
        <w:t xml:space="preserve">. </w:t>
      </w:r>
      <w:r w:rsidRPr="00B31292">
        <w:rPr>
          <w:rFonts w:ascii="Garamond" w:hAnsi="Garamond" w:cs="Times New Roman"/>
          <w:sz w:val="24"/>
          <w:szCs w:val="24"/>
          <w:lang w:eastAsia="en-GB"/>
        </w:rPr>
        <w:t xml:space="preserve">70/2012, </w:t>
      </w:r>
      <w:r w:rsidR="00BA12C3" w:rsidRPr="00B31292">
        <w:rPr>
          <w:rFonts w:ascii="Garamond" w:hAnsi="Garamond" w:cs="Times New Roman"/>
          <w:sz w:val="24"/>
          <w:szCs w:val="24"/>
          <w:lang w:eastAsia="en-GB"/>
        </w:rPr>
        <w:t>“</w:t>
      </w:r>
      <w:r w:rsidRPr="00B31292">
        <w:rPr>
          <w:rFonts w:ascii="Garamond" w:hAnsi="Garamond" w:cs="Times New Roman"/>
          <w:sz w:val="24"/>
          <w:szCs w:val="24"/>
          <w:lang w:eastAsia="en-GB"/>
        </w:rPr>
        <w:t>Mbi kthimet statistikore në lidhje me transportin e mallrave me rrugë</w:t>
      </w:r>
      <w:r w:rsidR="00BA12C3" w:rsidRPr="00B31292">
        <w:rPr>
          <w:rFonts w:ascii="Garamond" w:hAnsi="Garamond" w:cs="Times New Roman"/>
          <w:sz w:val="24"/>
          <w:szCs w:val="24"/>
          <w:lang w:eastAsia="en-GB"/>
        </w:rPr>
        <w:t>”</w:t>
      </w:r>
      <w:r w:rsidRPr="00B31292">
        <w:rPr>
          <w:rFonts w:ascii="Garamond" w:hAnsi="Garamond" w:cs="Times New Roman"/>
          <w:sz w:val="24"/>
          <w:szCs w:val="24"/>
          <w:lang w:eastAsia="en-GB"/>
        </w:rPr>
        <w:t xml:space="preserve">, </w:t>
      </w:r>
      <w:r w:rsidR="00BA12C3" w:rsidRPr="00B31292">
        <w:rPr>
          <w:rFonts w:ascii="Garamond" w:eastAsia="Times New Roman" w:hAnsi="Garamond" w:cs="Times New Roman"/>
          <w:sz w:val="24"/>
          <w:szCs w:val="24"/>
        </w:rPr>
        <w:t>nr</w:t>
      </w:r>
      <w:r w:rsidRPr="00B31292">
        <w:rPr>
          <w:rFonts w:ascii="Garamond" w:eastAsia="Times New Roman" w:hAnsi="Garamond" w:cs="Times New Roman"/>
          <w:sz w:val="24"/>
          <w:szCs w:val="24"/>
        </w:rPr>
        <w:t>. 93/704</w:t>
      </w:r>
      <w:r w:rsidR="00F353A8" w:rsidRPr="00B31292">
        <w:rPr>
          <w:rFonts w:ascii="Garamond" w:eastAsia="Times New Roman" w:hAnsi="Garamond" w:cs="Times New Roman"/>
          <w:sz w:val="24"/>
          <w:szCs w:val="24"/>
        </w:rPr>
        <w:t>,</w:t>
      </w:r>
      <w:r w:rsidRPr="00B31292">
        <w:rPr>
          <w:rFonts w:ascii="Garamond" w:eastAsia="Times New Roman" w:hAnsi="Garamond" w:cs="Times New Roman"/>
          <w:sz w:val="24"/>
          <w:szCs w:val="24"/>
        </w:rPr>
        <w:t xml:space="preserve"> </w:t>
      </w:r>
      <w:r w:rsidR="00BA12C3" w:rsidRPr="00B31292">
        <w:rPr>
          <w:rFonts w:ascii="Garamond" w:eastAsia="Times New Roman" w:hAnsi="Garamond" w:cs="Times New Roman"/>
          <w:sz w:val="24"/>
          <w:szCs w:val="24"/>
        </w:rPr>
        <w:t>“</w:t>
      </w:r>
      <w:r w:rsidRPr="00B31292">
        <w:rPr>
          <w:rFonts w:ascii="Garamond" w:hAnsi="Garamond" w:cs="Times New Roman"/>
          <w:sz w:val="24"/>
          <w:szCs w:val="24"/>
          <w:lang w:eastAsia="en-GB"/>
        </w:rPr>
        <w:t>Mbi krijimin e një baze të të dhënave të Komunitetit për aksidentet rrugore</w:t>
      </w:r>
      <w:r w:rsidR="00BA12C3" w:rsidRPr="00B31292">
        <w:rPr>
          <w:rFonts w:ascii="Garamond" w:hAnsi="Garamond" w:cs="Times New Roman"/>
          <w:sz w:val="24"/>
          <w:szCs w:val="24"/>
          <w:lang w:eastAsia="en-GB"/>
        </w:rPr>
        <w:t>”</w:t>
      </w:r>
      <w:r w:rsidRPr="00B31292">
        <w:rPr>
          <w:rFonts w:ascii="Garamond" w:hAnsi="Garamond" w:cs="Times New Roman"/>
          <w:sz w:val="24"/>
          <w:szCs w:val="24"/>
          <w:lang w:eastAsia="en-GB"/>
        </w:rPr>
        <w:t xml:space="preserve">, </w:t>
      </w:r>
      <w:r w:rsidR="00BA12C3" w:rsidRPr="00B31292">
        <w:rPr>
          <w:rFonts w:ascii="Garamond" w:hAnsi="Garamond" w:cs="Times New Roman"/>
          <w:sz w:val="24"/>
          <w:szCs w:val="24"/>
          <w:lang w:eastAsia="en-GB"/>
        </w:rPr>
        <w:t>nr</w:t>
      </w:r>
      <w:r w:rsidRPr="00B31292">
        <w:rPr>
          <w:rFonts w:ascii="Garamond" w:hAnsi="Garamond" w:cs="Times New Roman"/>
          <w:sz w:val="24"/>
          <w:szCs w:val="24"/>
          <w:lang w:eastAsia="en-GB"/>
        </w:rPr>
        <w:t xml:space="preserve">. 437/2003, </w:t>
      </w:r>
      <w:r w:rsidR="00BA12C3" w:rsidRPr="00B31292">
        <w:rPr>
          <w:rFonts w:ascii="Garamond" w:hAnsi="Garamond" w:cs="Times New Roman"/>
          <w:sz w:val="24"/>
          <w:szCs w:val="24"/>
          <w:lang w:eastAsia="en-GB"/>
        </w:rPr>
        <w:t>“</w:t>
      </w:r>
      <w:r w:rsidRPr="00B31292">
        <w:rPr>
          <w:rFonts w:ascii="Garamond" w:hAnsi="Garamond" w:cs="Times New Roman"/>
          <w:sz w:val="24"/>
          <w:szCs w:val="24"/>
          <w:lang w:eastAsia="en-GB"/>
        </w:rPr>
        <w:t>Mbi kthimet statistikore në lidhje me transportin ajror të udhëtarëve, mallrave dhe postës</w:t>
      </w:r>
      <w:r w:rsidR="00BA12C3" w:rsidRPr="00B31292">
        <w:rPr>
          <w:rFonts w:ascii="Garamond" w:hAnsi="Garamond" w:cs="Times New Roman"/>
          <w:sz w:val="24"/>
          <w:szCs w:val="24"/>
          <w:lang w:eastAsia="en-GB"/>
        </w:rPr>
        <w:t>”</w:t>
      </w:r>
      <w:r w:rsidR="007843CA" w:rsidRPr="00B31292">
        <w:rPr>
          <w:rFonts w:ascii="Garamond" w:hAnsi="Garamond" w:cs="Times New Roman"/>
          <w:sz w:val="24"/>
          <w:szCs w:val="24"/>
          <w:lang w:eastAsia="en-GB"/>
        </w:rPr>
        <w:t>,</w:t>
      </w:r>
      <w:r w:rsidRPr="00B31292">
        <w:rPr>
          <w:rFonts w:ascii="Garamond" w:hAnsi="Garamond" w:cs="Times New Roman"/>
          <w:sz w:val="24"/>
          <w:szCs w:val="24"/>
          <w:lang w:eastAsia="en-GB"/>
        </w:rPr>
        <w:t xml:space="preserve"> si dhe direktivën e Parlamentit dhe Këshillit Evropian </w:t>
      </w:r>
      <w:r w:rsidR="00BA12C3" w:rsidRPr="00B31292">
        <w:rPr>
          <w:rFonts w:ascii="Garamond" w:hAnsi="Garamond" w:cs="Times New Roman"/>
          <w:sz w:val="24"/>
          <w:szCs w:val="24"/>
          <w:lang w:eastAsia="en-GB"/>
        </w:rPr>
        <w:t>nr</w:t>
      </w:r>
      <w:r w:rsidRPr="00B31292">
        <w:rPr>
          <w:rFonts w:ascii="Garamond" w:hAnsi="Garamond" w:cs="Times New Roman"/>
          <w:sz w:val="24"/>
          <w:szCs w:val="24"/>
          <w:lang w:eastAsia="en-GB"/>
        </w:rPr>
        <w:t xml:space="preserve">. 2009/42, </w:t>
      </w:r>
      <w:r w:rsidR="00BA12C3" w:rsidRPr="00B31292">
        <w:rPr>
          <w:rFonts w:ascii="Garamond" w:hAnsi="Garamond" w:cs="Times New Roman"/>
          <w:sz w:val="24"/>
          <w:szCs w:val="24"/>
          <w:lang w:eastAsia="en-GB"/>
        </w:rPr>
        <w:t>“</w:t>
      </w:r>
      <w:r w:rsidRPr="00B31292">
        <w:rPr>
          <w:rFonts w:ascii="Garamond" w:hAnsi="Garamond" w:cs="Times New Roman"/>
          <w:sz w:val="24"/>
          <w:szCs w:val="24"/>
          <w:lang w:eastAsia="en-GB"/>
        </w:rPr>
        <w:t>Mbi kthimet statistikore në lidhje me transportin e mallrave dhe udhëtarëve nga deti</w:t>
      </w:r>
      <w:r w:rsidR="00BA12C3" w:rsidRPr="00B31292">
        <w:rPr>
          <w:rFonts w:ascii="Garamond" w:hAnsi="Garamond" w:cs="Times New Roman"/>
          <w:sz w:val="24"/>
          <w:szCs w:val="24"/>
          <w:lang w:eastAsia="en-GB"/>
        </w:rPr>
        <w:t>”</w:t>
      </w:r>
      <w:r w:rsidRPr="00B31292">
        <w:rPr>
          <w:rFonts w:ascii="Garamond" w:hAnsi="Garamond" w:cs="Times New Roman"/>
          <w:sz w:val="24"/>
          <w:szCs w:val="24"/>
          <w:lang w:eastAsia="en-GB"/>
        </w:rPr>
        <w:t>.</w:t>
      </w:r>
    </w:p>
    <w:p w14:paraId="00E69783" w14:textId="575A1E9D" w:rsidR="00FC42D5" w:rsidRPr="00B31292" w:rsidRDefault="00FC42D5" w:rsidP="003A4DBA">
      <w:pPr>
        <w:keepNext/>
        <w:keepLines/>
        <w:spacing w:after="0" w:line="240" w:lineRule="auto"/>
        <w:ind w:firstLine="284"/>
        <w:outlineLvl w:val="4"/>
        <w:rPr>
          <w:rFonts w:ascii="Garamond" w:eastAsia="Times New Roman" w:hAnsi="Garamond" w:cs="Times New Roman"/>
          <w:b/>
          <w:iCs/>
          <w:sz w:val="24"/>
          <w:szCs w:val="24"/>
        </w:rPr>
      </w:pPr>
      <w:r w:rsidRPr="00B31292">
        <w:rPr>
          <w:rFonts w:ascii="Garamond" w:eastAsia="Times New Roman" w:hAnsi="Garamond" w:cs="Times New Roman"/>
          <w:b/>
          <w:iCs/>
          <w:sz w:val="24"/>
          <w:szCs w:val="24"/>
        </w:rPr>
        <w:t xml:space="preserve">Tema 3.4 </w:t>
      </w:r>
      <w:r w:rsidR="00BA12C3" w:rsidRPr="00B31292">
        <w:rPr>
          <w:rFonts w:ascii="Garamond" w:eastAsia="Times New Roman" w:hAnsi="Garamond" w:cs="Times New Roman"/>
          <w:b/>
          <w:iCs/>
          <w:sz w:val="24"/>
          <w:szCs w:val="24"/>
        </w:rPr>
        <w:t>“</w:t>
      </w:r>
      <w:r w:rsidRPr="00B31292">
        <w:rPr>
          <w:rFonts w:ascii="Garamond" w:eastAsia="Times New Roman" w:hAnsi="Garamond" w:cs="Times New Roman"/>
          <w:b/>
          <w:iCs/>
          <w:sz w:val="24"/>
          <w:szCs w:val="24"/>
        </w:rPr>
        <w:t>Turizmi</w:t>
      </w:r>
      <w:r w:rsidR="00BA12C3" w:rsidRPr="00B31292">
        <w:rPr>
          <w:rFonts w:ascii="Garamond" w:eastAsia="Times New Roman" w:hAnsi="Garamond" w:cs="Times New Roman"/>
          <w:b/>
          <w:iCs/>
          <w:sz w:val="24"/>
          <w:szCs w:val="24"/>
        </w:rPr>
        <w:t>”</w:t>
      </w:r>
    </w:p>
    <w:p w14:paraId="294F25F4" w14:textId="065D0982" w:rsidR="00FC42D5" w:rsidRPr="00B31292" w:rsidRDefault="00FC42D5" w:rsidP="003A4DBA">
      <w:pPr>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Statistikat e kësaj kategorie përfshijnë tr</w:t>
      </w:r>
      <w:r w:rsidR="007843CA" w:rsidRPr="00B31292">
        <w:rPr>
          <w:rFonts w:ascii="Garamond" w:hAnsi="Garamond" w:cs="Times New Roman"/>
          <w:sz w:val="24"/>
          <w:szCs w:val="24"/>
        </w:rPr>
        <w:t>i</w:t>
      </w:r>
      <w:r w:rsidRPr="00B31292">
        <w:rPr>
          <w:rFonts w:ascii="Garamond" w:hAnsi="Garamond" w:cs="Times New Roman"/>
          <w:sz w:val="24"/>
          <w:szCs w:val="24"/>
        </w:rPr>
        <w:t xml:space="preserve"> nëntema:</w:t>
      </w:r>
    </w:p>
    <w:p w14:paraId="5C6FBF4E" w14:textId="52E76342" w:rsidR="00FC42D5" w:rsidRPr="00B31292" w:rsidRDefault="00FC42D5" w:rsidP="003A4DBA">
      <w:pPr>
        <w:spacing w:after="0" w:line="240" w:lineRule="auto"/>
        <w:ind w:firstLine="284"/>
        <w:jc w:val="both"/>
        <w:rPr>
          <w:rFonts w:ascii="Garamond" w:hAnsi="Garamond" w:cs="Times New Roman"/>
          <w:sz w:val="24"/>
          <w:szCs w:val="24"/>
        </w:rPr>
      </w:pPr>
      <w:r w:rsidRPr="00B31292">
        <w:rPr>
          <w:rFonts w:ascii="Garamond" w:hAnsi="Garamond" w:cs="Times New Roman"/>
          <w:i/>
          <w:sz w:val="24"/>
          <w:szCs w:val="24"/>
        </w:rPr>
        <w:t>3.4.1</w:t>
      </w:r>
      <w:r w:rsidR="007843CA" w:rsidRPr="00B31292">
        <w:rPr>
          <w:rFonts w:ascii="Garamond" w:hAnsi="Garamond" w:cs="Times New Roman"/>
          <w:i/>
          <w:sz w:val="24"/>
          <w:szCs w:val="24"/>
        </w:rPr>
        <w:t xml:space="preserve"> “</w:t>
      </w:r>
      <w:r w:rsidRPr="00B31292">
        <w:rPr>
          <w:rFonts w:ascii="Garamond" w:hAnsi="Garamond" w:cs="Times New Roman"/>
          <w:i/>
          <w:sz w:val="24"/>
          <w:szCs w:val="24"/>
        </w:rPr>
        <w:t>Statistika</w:t>
      </w:r>
      <w:r w:rsidR="007F6407" w:rsidRPr="00B31292">
        <w:rPr>
          <w:rFonts w:ascii="Garamond" w:hAnsi="Garamond" w:cs="Times New Roman"/>
          <w:i/>
          <w:sz w:val="24"/>
          <w:szCs w:val="24"/>
        </w:rPr>
        <w:t>t</w:t>
      </w:r>
      <w:r w:rsidRPr="00B31292">
        <w:rPr>
          <w:rFonts w:ascii="Garamond" w:hAnsi="Garamond" w:cs="Times New Roman"/>
          <w:i/>
          <w:sz w:val="24"/>
          <w:szCs w:val="24"/>
        </w:rPr>
        <w:t xml:space="preserve"> mbi </w:t>
      </w:r>
      <w:r w:rsidR="00F353A8" w:rsidRPr="00B31292">
        <w:rPr>
          <w:rFonts w:ascii="Garamond" w:hAnsi="Garamond" w:cs="Times New Roman"/>
          <w:i/>
          <w:sz w:val="24"/>
          <w:szCs w:val="24"/>
        </w:rPr>
        <w:t>strukturat akomoduese</w:t>
      </w:r>
      <w:r w:rsidR="00BA12C3" w:rsidRPr="00B31292">
        <w:rPr>
          <w:rFonts w:ascii="Garamond" w:hAnsi="Garamond" w:cs="Times New Roman"/>
          <w:i/>
          <w:sz w:val="24"/>
          <w:szCs w:val="24"/>
        </w:rPr>
        <w:t>”</w:t>
      </w:r>
      <w:r w:rsidRPr="00B31292">
        <w:rPr>
          <w:rFonts w:ascii="Garamond" w:hAnsi="Garamond" w:cs="Times New Roman"/>
          <w:sz w:val="24"/>
          <w:szCs w:val="24"/>
        </w:rPr>
        <w:t xml:space="preserve">, </w:t>
      </w:r>
      <w:r w:rsidR="007F6407" w:rsidRPr="00B31292">
        <w:rPr>
          <w:rFonts w:ascii="Garamond" w:hAnsi="Garamond" w:cs="Times New Roman"/>
          <w:sz w:val="24"/>
          <w:szCs w:val="24"/>
        </w:rPr>
        <w:t xml:space="preserve">për prodhimin e të cilave, </w:t>
      </w:r>
      <w:r w:rsidRPr="00B31292">
        <w:rPr>
          <w:rFonts w:ascii="Garamond" w:hAnsi="Garamond" w:cs="Times New Roman"/>
          <w:sz w:val="24"/>
          <w:szCs w:val="24"/>
        </w:rPr>
        <w:t>INSTAT</w:t>
      </w:r>
      <w:r w:rsidR="007843CA" w:rsidRPr="00B31292">
        <w:rPr>
          <w:rFonts w:ascii="Garamond" w:hAnsi="Garamond" w:cs="Times New Roman"/>
          <w:sz w:val="24"/>
          <w:szCs w:val="24"/>
        </w:rPr>
        <w:t>-i</w:t>
      </w:r>
      <w:r w:rsidRPr="00B31292">
        <w:rPr>
          <w:rFonts w:ascii="Garamond" w:hAnsi="Garamond" w:cs="Times New Roman"/>
          <w:sz w:val="24"/>
          <w:szCs w:val="24"/>
        </w:rPr>
        <w:t xml:space="preserve"> kryen vrojt</w:t>
      </w:r>
      <w:r w:rsidR="00F427DF" w:rsidRPr="00B31292">
        <w:rPr>
          <w:rFonts w:ascii="Garamond" w:hAnsi="Garamond" w:cs="Times New Roman"/>
          <w:sz w:val="24"/>
          <w:szCs w:val="24"/>
        </w:rPr>
        <w:t xml:space="preserve">imin statistikor mujor </w:t>
      </w:r>
      <w:r w:rsidR="00BA12C3" w:rsidRPr="00B31292">
        <w:rPr>
          <w:rFonts w:ascii="Garamond" w:hAnsi="Garamond" w:cs="Times New Roman"/>
          <w:sz w:val="24"/>
          <w:szCs w:val="24"/>
        </w:rPr>
        <w:t>“</w:t>
      </w:r>
      <w:r w:rsidR="00F427DF" w:rsidRPr="00B31292">
        <w:rPr>
          <w:rFonts w:ascii="Garamond" w:hAnsi="Garamond" w:cs="Times New Roman"/>
          <w:sz w:val="24"/>
          <w:szCs w:val="24"/>
        </w:rPr>
        <w:t>Vrojtimi i</w:t>
      </w:r>
      <w:r w:rsidRPr="00B31292">
        <w:rPr>
          <w:rFonts w:ascii="Garamond" w:hAnsi="Garamond" w:cs="Times New Roman"/>
          <w:sz w:val="24"/>
          <w:szCs w:val="24"/>
        </w:rPr>
        <w:t xml:space="preserve"> </w:t>
      </w:r>
      <w:r w:rsidR="00F353A8" w:rsidRPr="00B31292">
        <w:rPr>
          <w:rFonts w:ascii="Garamond" w:hAnsi="Garamond" w:cs="Times New Roman"/>
          <w:sz w:val="24"/>
          <w:szCs w:val="24"/>
        </w:rPr>
        <w:t>strukturave a</w:t>
      </w:r>
      <w:r w:rsidRPr="00B31292">
        <w:rPr>
          <w:rFonts w:ascii="Garamond" w:hAnsi="Garamond" w:cs="Times New Roman"/>
          <w:sz w:val="24"/>
          <w:szCs w:val="24"/>
        </w:rPr>
        <w:t>komoduese</w:t>
      </w:r>
      <w:r w:rsidR="00BA12C3" w:rsidRPr="00B31292">
        <w:rPr>
          <w:rFonts w:ascii="Garamond" w:hAnsi="Garamond" w:cs="Times New Roman"/>
          <w:sz w:val="24"/>
          <w:szCs w:val="24"/>
        </w:rPr>
        <w:t>”</w:t>
      </w:r>
      <w:r w:rsidRPr="00B31292">
        <w:rPr>
          <w:rFonts w:ascii="Garamond" w:hAnsi="Garamond" w:cs="Times New Roman"/>
          <w:sz w:val="24"/>
          <w:szCs w:val="24"/>
        </w:rPr>
        <w:t xml:space="preserve"> pranë hoteleve dhe strukturave të ngjashme. Informacioni do të vazhdojë të mblidhet çdo muaj nëpërmjet metodës CAPI për të gjitha strukturat akomoduese që ushtrojnë aktivitetin e tyre në vend.</w:t>
      </w:r>
      <w:r w:rsidR="00983168" w:rsidRPr="00B31292">
        <w:rPr>
          <w:rFonts w:ascii="Garamond" w:hAnsi="Garamond" w:cs="Times New Roman"/>
          <w:sz w:val="24"/>
          <w:szCs w:val="24"/>
        </w:rPr>
        <w:t xml:space="preserve"> </w:t>
      </w:r>
      <w:r w:rsidRPr="00B31292">
        <w:rPr>
          <w:rFonts w:ascii="Garamond" w:hAnsi="Garamond" w:cs="Times New Roman"/>
          <w:sz w:val="24"/>
          <w:szCs w:val="24"/>
        </w:rPr>
        <w:t>Treguesit mujor të statistikave të akomodimit që përbëjnë ofertën turistike në vend</w:t>
      </w:r>
      <w:r w:rsidR="00983168" w:rsidRPr="00B31292">
        <w:rPr>
          <w:rFonts w:ascii="Garamond" w:hAnsi="Garamond" w:cs="Times New Roman"/>
          <w:sz w:val="24"/>
          <w:szCs w:val="24"/>
        </w:rPr>
        <w:t>,</w:t>
      </w:r>
      <w:r w:rsidRPr="00B31292">
        <w:rPr>
          <w:rFonts w:ascii="Garamond" w:hAnsi="Garamond" w:cs="Times New Roman"/>
          <w:sz w:val="24"/>
          <w:szCs w:val="24"/>
        </w:rPr>
        <w:t xml:space="preserve"> gjatë</w:t>
      </w:r>
      <w:r w:rsidR="002E2911" w:rsidRPr="00B31292">
        <w:rPr>
          <w:rFonts w:ascii="Garamond" w:hAnsi="Garamond" w:cs="Times New Roman"/>
          <w:sz w:val="24"/>
          <w:szCs w:val="24"/>
        </w:rPr>
        <w:t xml:space="preserve"> </w:t>
      </w:r>
      <w:r w:rsidRPr="00B31292">
        <w:rPr>
          <w:rFonts w:ascii="Garamond" w:hAnsi="Garamond" w:cs="Times New Roman"/>
          <w:sz w:val="24"/>
          <w:szCs w:val="24"/>
        </w:rPr>
        <w:t>vitit 2025</w:t>
      </w:r>
      <w:r w:rsidR="00F353A8" w:rsidRPr="00B31292">
        <w:rPr>
          <w:rFonts w:ascii="Garamond" w:hAnsi="Garamond" w:cs="Times New Roman"/>
          <w:sz w:val="24"/>
          <w:szCs w:val="24"/>
        </w:rPr>
        <w:t>,</w:t>
      </w:r>
      <w:r w:rsidRPr="00B31292">
        <w:rPr>
          <w:rFonts w:ascii="Garamond" w:hAnsi="Garamond" w:cs="Times New Roman"/>
          <w:sz w:val="24"/>
          <w:szCs w:val="24"/>
        </w:rPr>
        <w:t xml:space="preserve"> do të publikohen në përputhje me rregulloren, 6 javë pas periudhës së referencës. Do të vazhdojë mbledhja e informacionit</w:t>
      </w:r>
      <w:r w:rsidR="00F353A8" w:rsidRPr="00B31292">
        <w:rPr>
          <w:rFonts w:ascii="Garamond" w:hAnsi="Garamond" w:cs="Times New Roman"/>
          <w:sz w:val="24"/>
          <w:szCs w:val="24"/>
        </w:rPr>
        <w:t>,</w:t>
      </w:r>
      <w:r w:rsidRPr="00B31292">
        <w:rPr>
          <w:rFonts w:ascii="Garamond" w:hAnsi="Garamond" w:cs="Times New Roman"/>
          <w:sz w:val="24"/>
          <w:szCs w:val="24"/>
        </w:rPr>
        <w:t xml:space="preserve"> lidhur me numrin e strukturave akomoduese që kanë një ose më shumë dhoma gjumi të aksesueshme nga personat me aftësi të kufizuar</w:t>
      </w:r>
      <w:r w:rsidR="00F353A8" w:rsidRPr="00B31292">
        <w:rPr>
          <w:rFonts w:ascii="Garamond" w:hAnsi="Garamond" w:cs="Times New Roman"/>
          <w:sz w:val="24"/>
          <w:szCs w:val="24"/>
        </w:rPr>
        <w:t>a</w:t>
      </w:r>
      <w:r w:rsidRPr="00B31292">
        <w:rPr>
          <w:rFonts w:ascii="Garamond" w:hAnsi="Garamond" w:cs="Times New Roman"/>
          <w:sz w:val="24"/>
          <w:szCs w:val="24"/>
        </w:rPr>
        <w:t xml:space="preserve"> (përfshirë </w:t>
      </w:r>
      <w:r w:rsidR="007843CA" w:rsidRPr="00B31292">
        <w:rPr>
          <w:rFonts w:ascii="Garamond" w:hAnsi="Garamond" w:cs="Times New Roman"/>
          <w:sz w:val="24"/>
          <w:szCs w:val="24"/>
        </w:rPr>
        <w:t>personat</w:t>
      </w:r>
      <w:r w:rsidRPr="00B31292">
        <w:rPr>
          <w:rFonts w:ascii="Garamond" w:hAnsi="Garamond" w:cs="Times New Roman"/>
          <w:sz w:val="24"/>
          <w:szCs w:val="24"/>
        </w:rPr>
        <w:t xml:space="preserve"> që përdorin karriget me rrota).</w:t>
      </w:r>
    </w:p>
    <w:p w14:paraId="460B0B7C" w14:textId="648FCF5D" w:rsidR="00F73D27" w:rsidRPr="00B31292" w:rsidRDefault="00F73D27" w:rsidP="003A4DBA">
      <w:pPr>
        <w:spacing w:after="0" w:line="240" w:lineRule="auto"/>
        <w:ind w:firstLine="284"/>
        <w:jc w:val="both"/>
        <w:rPr>
          <w:rFonts w:ascii="Garamond" w:hAnsi="Garamond"/>
          <w:sz w:val="24"/>
          <w:szCs w:val="24"/>
        </w:rPr>
      </w:pPr>
      <w:r w:rsidRPr="00B31292">
        <w:rPr>
          <w:rFonts w:ascii="Garamond" w:hAnsi="Garamond" w:cs="Times New Roman"/>
          <w:i/>
          <w:sz w:val="24"/>
          <w:szCs w:val="24"/>
        </w:rPr>
        <w:t xml:space="preserve">3.4.2 </w:t>
      </w:r>
      <w:r w:rsidR="00BA12C3" w:rsidRPr="00B31292">
        <w:rPr>
          <w:rFonts w:ascii="Garamond" w:hAnsi="Garamond" w:cs="Times New Roman"/>
          <w:i/>
          <w:sz w:val="24"/>
          <w:szCs w:val="24"/>
        </w:rPr>
        <w:t>“</w:t>
      </w:r>
      <w:r w:rsidR="007150F0" w:rsidRPr="00B31292">
        <w:rPr>
          <w:rFonts w:ascii="Garamond" w:hAnsi="Garamond" w:cs="Times New Roman"/>
          <w:i/>
          <w:sz w:val="24"/>
          <w:szCs w:val="24"/>
        </w:rPr>
        <w:t xml:space="preserve">Statistikat e </w:t>
      </w:r>
      <w:r w:rsidR="00F353A8" w:rsidRPr="00B31292">
        <w:rPr>
          <w:rFonts w:ascii="Garamond" w:hAnsi="Garamond" w:cs="Times New Roman"/>
          <w:i/>
          <w:sz w:val="24"/>
          <w:szCs w:val="24"/>
        </w:rPr>
        <w:t xml:space="preserve">turizmit në njësitë ekonomike familjare </w:t>
      </w:r>
      <w:r w:rsidR="007150F0" w:rsidRPr="00B31292">
        <w:rPr>
          <w:rFonts w:ascii="Garamond" w:hAnsi="Garamond" w:cs="Times New Roman"/>
          <w:i/>
          <w:sz w:val="24"/>
          <w:szCs w:val="24"/>
        </w:rPr>
        <w:t>(NjEF)</w:t>
      </w:r>
      <w:r w:rsidR="00BA12C3" w:rsidRPr="00B31292">
        <w:rPr>
          <w:rFonts w:ascii="Garamond" w:hAnsi="Garamond" w:cs="Times New Roman"/>
          <w:i/>
          <w:sz w:val="24"/>
          <w:szCs w:val="24"/>
        </w:rPr>
        <w:t>”</w:t>
      </w:r>
      <w:r w:rsidR="007150F0" w:rsidRPr="00B31292">
        <w:rPr>
          <w:rFonts w:ascii="Garamond" w:hAnsi="Garamond" w:cs="Times New Roman"/>
          <w:i/>
          <w:sz w:val="24"/>
          <w:szCs w:val="24"/>
        </w:rPr>
        <w:t>,</w:t>
      </w:r>
      <w:r w:rsidR="007150F0" w:rsidRPr="00B31292">
        <w:rPr>
          <w:rFonts w:ascii="Garamond" w:hAnsi="Garamond" w:cs="Times New Roman"/>
          <w:sz w:val="24"/>
          <w:szCs w:val="24"/>
        </w:rPr>
        <w:t xml:space="preserve"> statistikat vjetore të së cilës, prodhohen nëpërmjet aktivitetit të INSTAT-it si vrojtimi i turizmit pranë NjEF</w:t>
      </w:r>
      <w:r w:rsidR="00F353A8" w:rsidRPr="00B31292">
        <w:rPr>
          <w:rFonts w:ascii="Garamond" w:hAnsi="Garamond" w:cs="Times New Roman"/>
          <w:sz w:val="24"/>
          <w:szCs w:val="24"/>
        </w:rPr>
        <w:t>-ve</w:t>
      </w:r>
      <w:r w:rsidR="007150F0" w:rsidRPr="00B31292">
        <w:rPr>
          <w:rFonts w:ascii="Garamond" w:hAnsi="Garamond" w:cs="Times New Roman"/>
          <w:sz w:val="24"/>
          <w:szCs w:val="24"/>
        </w:rPr>
        <w:t xml:space="preserve">, </w:t>
      </w:r>
      <w:r w:rsidR="00BA12C3" w:rsidRPr="00B31292">
        <w:rPr>
          <w:rFonts w:ascii="Garamond" w:hAnsi="Garamond" w:cs="Times New Roman"/>
          <w:sz w:val="24"/>
          <w:szCs w:val="24"/>
        </w:rPr>
        <w:t>“</w:t>
      </w:r>
      <w:r w:rsidR="007150F0" w:rsidRPr="00B31292">
        <w:rPr>
          <w:rFonts w:ascii="Garamond" w:hAnsi="Garamond" w:cs="Times New Roman"/>
          <w:sz w:val="24"/>
          <w:szCs w:val="24"/>
        </w:rPr>
        <w:t xml:space="preserve">Pushime dhe </w:t>
      </w:r>
      <w:r w:rsidR="00F353A8" w:rsidRPr="00B31292">
        <w:rPr>
          <w:rFonts w:ascii="Garamond" w:hAnsi="Garamond" w:cs="Times New Roman"/>
          <w:sz w:val="24"/>
          <w:szCs w:val="24"/>
        </w:rPr>
        <w:t>u</w:t>
      </w:r>
      <w:r w:rsidR="007150F0" w:rsidRPr="00B31292">
        <w:rPr>
          <w:rFonts w:ascii="Garamond" w:hAnsi="Garamond" w:cs="Times New Roman"/>
          <w:sz w:val="24"/>
          <w:szCs w:val="24"/>
        </w:rPr>
        <w:t>dhëtime</w:t>
      </w:r>
      <w:r w:rsidR="00BA12C3" w:rsidRPr="00B31292">
        <w:rPr>
          <w:rFonts w:ascii="Garamond" w:hAnsi="Garamond" w:cs="Times New Roman"/>
          <w:sz w:val="24"/>
          <w:szCs w:val="24"/>
        </w:rPr>
        <w:t>”</w:t>
      </w:r>
      <w:r w:rsidR="00F353A8" w:rsidRPr="00B31292">
        <w:rPr>
          <w:rFonts w:ascii="Garamond" w:hAnsi="Garamond" w:cs="Times New Roman"/>
          <w:sz w:val="24"/>
          <w:szCs w:val="24"/>
        </w:rPr>
        <w:t>,</w:t>
      </w:r>
      <w:r w:rsidR="007150F0" w:rsidRPr="00B31292">
        <w:rPr>
          <w:rFonts w:ascii="Garamond" w:hAnsi="Garamond" w:cs="Times New Roman"/>
          <w:sz w:val="24"/>
          <w:szCs w:val="24"/>
        </w:rPr>
        <w:t xml:space="preserve"> në përputhje me </w:t>
      </w:r>
      <w:r w:rsidR="007150F0" w:rsidRPr="00B31292">
        <w:rPr>
          <w:rFonts w:ascii="Garamond" w:hAnsi="Garamond"/>
          <w:sz w:val="24"/>
          <w:szCs w:val="24"/>
        </w:rPr>
        <w:t xml:space="preserve">rekomandimet e parashikuara </w:t>
      </w:r>
      <w:r w:rsidR="007150F0" w:rsidRPr="00B31292">
        <w:rPr>
          <w:rFonts w:ascii="Garamond" w:hAnsi="Garamond" w:cs="Times New Roman"/>
          <w:sz w:val="24"/>
          <w:szCs w:val="24"/>
        </w:rPr>
        <w:t xml:space="preserve">në rregulloren (BE) </w:t>
      </w:r>
      <w:r w:rsidR="007843CA" w:rsidRPr="00B31292">
        <w:rPr>
          <w:rFonts w:ascii="Garamond" w:hAnsi="Garamond" w:cs="Times New Roman"/>
          <w:sz w:val="24"/>
          <w:szCs w:val="24"/>
        </w:rPr>
        <w:t>n</w:t>
      </w:r>
      <w:r w:rsidR="007150F0" w:rsidRPr="00B31292">
        <w:rPr>
          <w:rFonts w:ascii="Garamond" w:hAnsi="Garamond" w:cs="Times New Roman"/>
          <w:sz w:val="24"/>
          <w:szCs w:val="24"/>
        </w:rPr>
        <w:t>r</w:t>
      </w:r>
      <w:r w:rsidR="007843CA" w:rsidRPr="00B31292">
        <w:rPr>
          <w:rFonts w:ascii="Garamond" w:hAnsi="Garamond" w:cs="Times New Roman"/>
          <w:sz w:val="24"/>
          <w:szCs w:val="24"/>
        </w:rPr>
        <w:t>.</w:t>
      </w:r>
      <w:r w:rsidR="007150F0" w:rsidRPr="00B31292">
        <w:rPr>
          <w:rFonts w:ascii="Garamond" w:hAnsi="Garamond" w:cs="Times New Roman"/>
          <w:sz w:val="24"/>
          <w:szCs w:val="24"/>
        </w:rPr>
        <w:t xml:space="preserve"> 692/2011</w:t>
      </w:r>
      <w:r w:rsidR="00F353A8" w:rsidRPr="00B31292">
        <w:rPr>
          <w:rFonts w:ascii="Garamond" w:hAnsi="Garamond" w:cs="Times New Roman"/>
          <w:sz w:val="24"/>
          <w:szCs w:val="24"/>
        </w:rPr>
        <w:t>,</w:t>
      </w:r>
      <w:r w:rsidR="007150F0" w:rsidRPr="00B31292">
        <w:rPr>
          <w:rFonts w:ascii="Garamond" w:hAnsi="Garamond" w:cs="Times New Roman"/>
          <w:sz w:val="24"/>
          <w:szCs w:val="24"/>
        </w:rPr>
        <w:t xml:space="preserve"> </w:t>
      </w:r>
      <w:r w:rsidR="00BA12C3" w:rsidRPr="00B31292">
        <w:rPr>
          <w:rFonts w:ascii="Garamond" w:hAnsi="Garamond" w:cs="Times New Roman"/>
          <w:sz w:val="24"/>
          <w:szCs w:val="24"/>
        </w:rPr>
        <w:t>“</w:t>
      </w:r>
      <w:r w:rsidR="007150F0" w:rsidRPr="00B31292">
        <w:rPr>
          <w:rFonts w:ascii="Garamond" w:hAnsi="Garamond" w:cs="Times New Roman"/>
          <w:sz w:val="24"/>
          <w:szCs w:val="24"/>
        </w:rPr>
        <w:t>Për statistikat e turizmit</w:t>
      </w:r>
      <w:r w:rsidR="00BA12C3" w:rsidRPr="00B31292">
        <w:rPr>
          <w:rFonts w:ascii="Garamond" w:hAnsi="Garamond" w:cs="Times New Roman"/>
          <w:sz w:val="24"/>
          <w:szCs w:val="24"/>
        </w:rPr>
        <w:t>”</w:t>
      </w:r>
      <w:r w:rsidR="007150F0" w:rsidRPr="00B31292">
        <w:rPr>
          <w:rFonts w:ascii="Garamond" w:hAnsi="Garamond" w:cs="Times New Roman"/>
          <w:sz w:val="24"/>
          <w:szCs w:val="24"/>
        </w:rPr>
        <w:t xml:space="preserve">. </w:t>
      </w:r>
      <w:r w:rsidR="007150F0" w:rsidRPr="00B31292">
        <w:rPr>
          <w:rFonts w:ascii="Garamond" w:hAnsi="Garamond"/>
          <w:sz w:val="24"/>
          <w:szCs w:val="24"/>
        </w:rPr>
        <w:t>Publikimi i rezultateve të vitit 2024 për vrojtimin e turizmit në NjEF</w:t>
      </w:r>
      <w:r w:rsidR="00F353A8" w:rsidRPr="00B31292">
        <w:rPr>
          <w:rFonts w:ascii="Garamond" w:hAnsi="Garamond"/>
          <w:sz w:val="24"/>
          <w:szCs w:val="24"/>
        </w:rPr>
        <w:t>-të</w:t>
      </w:r>
      <w:r w:rsidR="007150F0" w:rsidRPr="00B31292">
        <w:rPr>
          <w:rFonts w:ascii="Garamond" w:hAnsi="Garamond"/>
          <w:sz w:val="24"/>
          <w:szCs w:val="24"/>
        </w:rPr>
        <w:t xml:space="preserve"> do të vijojë sipas parashikimit, në vitin 2025. Për të siguruar mbarëvajtjen e aktivitetit </w:t>
      </w:r>
      <w:r w:rsidR="007150F0" w:rsidRPr="00B31292">
        <w:rPr>
          <w:rFonts w:ascii="Garamond" w:hAnsi="Garamond" w:cs="Times New Roman"/>
          <w:sz w:val="24"/>
          <w:szCs w:val="24"/>
        </w:rPr>
        <w:t xml:space="preserve">dhe vlerësimin e të dhënave të transmetuara në </w:t>
      </w:r>
      <w:r w:rsidR="009C0CE9" w:rsidRPr="00B31292">
        <w:rPr>
          <w:rFonts w:ascii="Garamond" w:hAnsi="Garamond" w:cs="Times New Roman"/>
          <w:sz w:val="24"/>
          <w:szCs w:val="24"/>
        </w:rPr>
        <w:t>Eurostat</w:t>
      </w:r>
      <w:r w:rsidR="007150F0" w:rsidRPr="00B31292">
        <w:rPr>
          <w:rFonts w:ascii="Garamond" w:hAnsi="Garamond" w:cs="Times New Roman"/>
          <w:sz w:val="24"/>
          <w:szCs w:val="24"/>
        </w:rPr>
        <w:t>, INSTAT</w:t>
      </w:r>
      <w:r w:rsidR="007843CA" w:rsidRPr="00B31292">
        <w:rPr>
          <w:rFonts w:ascii="Garamond" w:hAnsi="Garamond" w:cs="Times New Roman"/>
          <w:sz w:val="24"/>
          <w:szCs w:val="24"/>
        </w:rPr>
        <w:t>-i</w:t>
      </w:r>
      <w:r w:rsidR="007150F0" w:rsidRPr="00B31292">
        <w:rPr>
          <w:rFonts w:ascii="Garamond" w:hAnsi="Garamond" w:cs="Times New Roman"/>
          <w:sz w:val="24"/>
          <w:szCs w:val="24"/>
        </w:rPr>
        <w:t xml:space="preserve"> do të zbatojë të gjitha rekomandimet dhe udhëzimet e </w:t>
      </w:r>
      <w:r w:rsidR="009C0CE9" w:rsidRPr="00B31292">
        <w:rPr>
          <w:rFonts w:ascii="Garamond" w:hAnsi="Garamond" w:cs="Times New Roman"/>
          <w:sz w:val="24"/>
          <w:szCs w:val="24"/>
        </w:rPr>
        <w:t>Eurostat</w:t>
      </w:r>
      <w:r w:rsidR="00F353A8" w:rsidRPr="00B31292">
        <w:rPr>
          <w:rFonts w:ascii="Garamond" w:hAnsi="Garamond" w:cs="Times New Roman"/>
          <w:sz w:val="24"/>
          <w:szCs w:val="24"/>
        </w:rPr>
        <w:t>it</w:t>
      </w:r>
      <w:r w:rsidR="007150F0" w:rsidRPr="00B31292">
        <w:rPr>
          <w:rFonts w:ascii="Garamond" w:hAnsi="Garamond" w:cs="Times New Roman"/>
          <w:sz w:val="24"/>
          <w:szCs w:val="24"/>
        </w:rPr>
        <w:t>.</w:t>
      </w:r>
    </w:p>
    <w:p w14:paraId="30C464AC" w14:textId="0B314E8D" w:rsidR="00FC42D5" w:rsidRPr="00B31292" w:rsidRDefault="00FC42D5" w:rsidP="003A4DBA">
      <w:pPr>
        <w:spacing w:after="0" w:line="240" w:lineRule="auto"/>
        <w:ind w:firstLine="284"/>
        <w:jc w:val="both"/>
        <w:rPr>
          <w:rFonts w:ascii="Garamond" w:hAnsi="Garamond" w:cs="Times New Roman"/>
          <w:sz w:val="24"/>
          <w:szCs w:val="24"/>
        </w:rPr>
      </w:pPr>
      <w:r w:rsidRPr="00B31292">
        <w:rPr>
          <w:rFonts w:ascii="Garamond" w:hAnsi="Garamond" w:cs="Times New Roman"/>
          <w:i/>
          <w:sz w:val="24"/>
          <w:szCs w:val="24"/>
        </w:rPr>
        <w:t xml:space="preserve">3.4.3 </w:t>
      </w:r>
      <w:r w:rsidR="00BA12C3" w:rsidRPr="00B31292">
        <w:rPr>
          <w:rFonts w:ascii="Garamond" w:hAnsi="Garamond" w:cs="Times New Roman"/>
          <w:i/>
          <w:sz w:val="24"/>
          <w:szCs w:val="24"/>
        </w:rPr>
        <w:t>“</w:t>
      </w:r>
      <w:r w:rsidRPr="00B31292">
        <w:rPr>
          <w:rFonts w:ascii="Garamond" w:hAnsi="Garamond" w:cs="Times New Roman"/>
          <w:i/>
          <w:sz w:val="24"/>
          <w:szCs w:val="24"/>
        </w:rPr>
        <w:t xml:space="preserve">Statistikat </w:t>
      </w:r>
      <w:r w:rsidR="00F353A8" w:rsidRPr="00B31292">
        <w:rPr>
          <w:rFonts w:ascii="Garamond" w:hAnsi="Garamond" w:cs="Times New Roman"/>
          <w:i/>
          <w:sz w:val="24"/>
          <w:szCs w:val="24"/>
        </w:rPr>
        <w:t>e lëvizjes së shtetasve</w:t>
      </w:r>
      <w:r w:rsidR="00BA12C3" w:rsidRPr="00B31292">
        <w:rPr>
          <w:rFonts w:ascii="Garamond" w:hAnsi="Garamond" w:cs="Times New Roman"/>
          <w:i/>
          <w:sz w:val="24"/>
          <w:szCs w:val="24"/>
        </w:rPr>
        <w:t>”</w:t>
      </w:r>
      <w:r w:rsidRPr="00B31292">
        <w:rPr>
          <w:rFonts w:ascii="Garamond" w:hAnsi="Garamond" w:cs="Times New Roman"/>
          <w:sz w:val="24"/>
          <w:szCs w:val="24"/>
        </w:rPr>
        <w:t>, ku përfshihet aktiviteti me frekuencë mujore për prodhimin e statistikave mbi lëvizjen (hyrje/daljet) e shtetasve të huaj dhe shqiptarë, i cili kryhet nga INSTAT</w:t>
      </w:r>
      <w:r w:rsidR="007843CA" w:rsidRPr="00B31292">
        <w:rPr>
          <w:rFonts w:ascii="Garamond" w:hAnsi="Garamond" w:cs="Times New Roman"/>
          <w:sz w:val="24"/>
          <w:szCs w:val="24"/>
        </w:rPr>
        <w:t>-i</w:t>
      </w:r>
      <w:r w:rsidRPr="00B31292">
        <w:rPr>
          <w:rFonts w:ascii="Garamond" w:hAnsi="Garamond" w:cs="Times New Roman"/>
          <w:sz w:val="24"/>
          <w:szCs w:val="24"/>
        </w:rPr>
        <w:t xml:space="preserve"> nëpërmjet përpunimit të të dhënave të siguruara nga Drejtoria e Përgjithshme e Policisë së Shtetit.</w:t>
      </w:r>
    </w:p>
    <w:p w14:paraId="7956DF0A" w14:textId="5780B8E8" w:rsidR="00FC42D5" w:rsidRPr="00B31292" w:rsidRDefault="00FC42D5" w:rsidP="003A4DBA">
      <w:pPr>
        <w:spacing w:after="0" w:line="240" w:lineRule="auto"/>
        <w:ind w:firstLine="284"/>
        <w:jc w:val="both"/>
        <w:rPr>
          <w:rFonts w:ascii="Garamond" w:hAnsi="Garamond" w:cs="Times New Roman"/>
          <w:sz w:val="24"/>
          <w:szCs w:val="24"/>
        </w:rPr>
      </w:pPr>
      <w:r w:rsidRPr="00B31292">
        <w:rPr>
          <w:rFonts w:ascii="Garamond" w:hAnsi="Garamond" w:cs="Times New Roman"/>
          <w:b/>
          <w:sz w:val="24"/>
          <w:szCs w:val="24"/>
        </w:rPr>
        <w:t xml:space="preserve">Treguesit kryesorë: </w:t>
      </w:r>
      <w:r w:rsidR="006533C0" w:rsidRPr="00B31292">
        <w:rPr>
          <w:rFonts w:ascii="Garamond" w:hAnsi="Garamond" w:cs="Times New Roman"/>
          <w:sz w:val="24"/>
          <w:szCs w:val="24"/>
        </w:rPr>
        <w:t>Tregues</w:t>
      </w:r>
      <w:r w:rsidRPr="00B31292">
        <w:rPr>
          <w:rFonts w:ascii="Garamond" w:hAnsi="Garamond" w:cs="Times New Roman"/>
          <w:sz w:val="24"/>
          <w:szCs w:val="24"/>
        </w:rPr>
        <w:t xml:space="preserve"> mbi lëvizjet (hyrje/daljet) e shtetasve të huaj dhe shqiptarë, sipas mënyrës së transportit, sipas shteteve, sipas mënyrës së qëllimit të vizitës; </w:t>
      </w:r>
      <w:r w:rsidR="00F353A8" w:rsidRPr="00B31292">
        <w:rPr>
          <w:rFonts w:ascii="Garamond" w:hAnsi="Garamond" w:cs="Times New Roman"/>
          <w:sz w:val="24"/>
          <w:szCs w:val="24"/>
        </w:rPr>
        <w:t>t</w:t>
      </w:r>
      <w:r w:rsidRPr="00B31292">
        <w:rPr>
          <w:rFonts w:ascii="Garamond" w:hAnsi="Garamond" w:cs="Times New Roman"/>
          <w:sz w:val="24"/>
          <w:szCs w:val="24"/>
        </w:rPr>
        <w:t xml:space="preserve">regues statistikorë mbi turizmin në Shqipëri; </w:t>
      </w:r>
      <w:r w:rsidR="00F353A8" w:rsidRPr="00B31292">
        <w:rPr>
          <w:rFonts w:ascii="Garamond" w:hAnsi="Garamond" w:cs="Times New Roman"/>
          <w:sz w:val="24"/>
          <w:szCs w:val="24"/>
        </w:rPr>
        <w:t>t</w:t>
      </w:r>
      <w:r w:rsidR="006533C0" w:rsidRPr="00B31292">
        <w:rPr>
          <w:rFonts w:ascii="Garamond" w:hAnsi="Garamond" w:cs="Times New Roman"/>
          <w:sz w:val="24"/>
          <w:szCs w:val="24"/>
        </w:rPr>
        <w:t>regues</w:t>
      </w:r>
      <w:r w:rsidRPr="00B31292">
        <w:rPr>
          <w:rFonts w:ascii="Garamond" w:hAnsi="Garamond" w:cs="Times New Roman"/>
          <w:sz w:val="24"/>
          <w:szCs w:val="24"/>
        </w:rPr>
        <w:t xml:space="preserve"> mbi kapacitetin e njësive akomoduese, numrin e turistëve, netë</w:t>
      </w:r>
      <w:r w:rsidR="00F353A8" w:rsidRPr="00B31292">
        <w:rPr>
          <w:rFonts w:ascii="Garamond" w:hAnsi="Garamond" w:cs="Times New Roman"/>
          <w:sz w:val="24"/>
          <w:szCs w:val="24"/>
        </w:rPr>
        <w:t>-</w:t>
      </w:r>
      <w:r w:rsidRPr="00B31292">
        <w:rPr>
          <w:rFonts w:ascii="Garamond" w:hAnsi="Garamond" w:cs="Times New Roman"/>
          <w:sz w:val="24"/>
          <w:szCs w:val="24"/>
        </w:rPr>
        <w:t xml:space="preserve">qëndrimet, numrin e turistëve sipas shteteve, kapacitetin shfrytëzues; </w:t>
      </w:r>
      <w:r w:rsidR="00F353A8" w:rsidRPr="00B31292">
        <w:rPr>
          <w:rFonts w:ascii="Garamond" w:hAnsi="Garamond" w:cs="Times New Roman"/>
          <w:sz w:val="24"/>
          <w:szCs w:val="24"/>
        </w:rPr>
        <w:t>t</w:t>
      </w:r>
      <w:r w:rsidR="006533C0" w:rsidRPr="00B31292">
        <w:rPr>
          <w:rFonts w:ascii="Garamond" w:hAnsi="Garamond" w:cs="Times New Roman"/>
          <w:sz w:val="24"/>
          <w:szCs w:val="24"/>
        </w:rPr>
        <w:t>regues</w:t>
      </w:r>
      <w:r w:rsidRPr="00B31292">
        <w:rPr>
          <w:rFonts w:ascii="Garamond" w:hAnsi="Garamond" w:cs="Times New Roman"/>
          <w:sz w:val="24"/>
          <w:szCs w:val="24"/>
        </w:rPr>
        <w:t xml:space="preserve"> mbi përshkrimin e nivelit dhe strukturës së turizmit në familje, ana e kërkesës (</w:t>
      </w:r>
      <w:r w:rsidRPr="00B31292">
        <w:rPr>
          <w:rFonts w:ascii="Garamond" w:hAnsi="Garamond" w:cs="Times New Roman"/>
          <w:i/>
          <w:sz w:val="24"/>
          <w:szCs w:val="24"/>
        </w:rPr>
        <w:t>demand side</w:t>
      </w:r>
      <w:r w:rsidRPr="00B31292">
        <w:rPr>
          <w:rFonts w:ascii="Garamond" w:hAnsi="Garamond" w:cs="Times New Roman"/>
          <w:sz w:val="24"/>
          <w:szCs w:val="24"/>
        </w:rPr>
        <w:t xml:space="preserve">) për periudha tremujore dhe </w:t>
      </w:r>
      <w:r w:rsidRPr="00B31292">
        <w:rPr>
          <w:rFonts w:ascii="Garamond" w:hAnsi="Garamond" w:cs="Times New Roman"/>
          <w:sz w:val="24"/>
          <w:szCs w:val="24"/>
        </w:rPr>
        <w:lastRenderedPageBreak/>
        <w:t xml:space="preserve">vjetore, në përputhje me kërkesat e rregullores </w:t>
      </w:r>
      <w:r w:rsidR="00F353A8" w:rsidRPr="00B31292">
        <w:rPr>
          <w:rFonts w:ascii="Garamond" w:hAnsi="Garamond" w:cs="Times New Roman"/>
          <w:sz w:val="24"/>
          <w:szCs w:val="24"/>
        </w:rPr>
        <w:t>s</w:t>
      </w:r>
      <w:r w:rsidRPr="00B31292">
        <w:rPr>
          <w:rFonts w:ascii="Garamond" w:hAnsi="Garamond" w:cs="Times New Roman"/>
          <w:sz w:val="24"/>
          <w:szCs w:val="24"/>
        </w:rPr>
        <w:t xml:space="preserve">ë KE-së </w:t>
      </w:r>
      <w:r w:rsidR="007843CA" w:rsidRPr="00B31292">
        <w:rPr>
          <w:rFonts w:ascii="Garamond" w:hAnsi="Garamond" w:cs="Times New Roman"/>
          <w:sz w:val="24"/>
          <w:szCs w:val="24"/>
        </w:rPr>
        <w:t>n</w:t>
      </w:r>
      <w:r w:rsidRPr="00B31292">
        <w:rPr>
          <w:rFonts w:ascii="Garamond" w:hAnsi="Garamond" w:cs="Times New Roman"/>
          <w:sz w:val="24"/>
          <w:szCs w:val="24"/>
        </w:rPr>
        <w:t>r. 692/2011 (</w:t>
      </w:r>
      <w:r w:rsidR="00F353A8" w:rsidRPr="00B31292">
        <w:rPr>
          <w:rFonts w:ascii="Garamond" w:hAnsi="Garamond" w:cs="Times New Roman"/>
          <w:sz w:val="24"/>
          <w:szCs w:val="24"/>
        </w:rPr>
        <w:t>a</w:t>
      </w:r>
      <w:r w:rsidRPr="00B31292">
        <w:rPr>
          <w:rFonts w:ascii="Garamond" w:hAnsi="Garamond" w:cs="Times New Roman"/>
          <w:sz w:val="24"/>
          <w:szCs w:val="24"/>
        </w:rPr>
        <w:t>neksi II) dhe kërkesave të përdoruesve të brendshëm.</w:t>
      </w:r>
    </w:p>
    <w:p w14:paraId="14B78A8E" w14:textId="47DADC66" w:rsidR="00AB66B4" w:rsidRPr="00B31292" w:rsidRDefault="00FC42D5" w:rsidP="003A4DBA">
      <w:pPr>
        <w:spacing w:after="0" w:line="240" w:lineRule="auto"/>
        <w:ind w:firstLine="284"/>
        <w:jc w:val="both"/>
        <w:rPr>
          <w:rFonts w:ascii="Garamond" w:hAnsi="Garamond" w:cs="Times New Roman"/>
          <w:sz w:val="24"/>
          <w:szCs w:val="24"/>
        </w:rPr>
      </w:pPr>
      <w:r w:rsidRPr="00B31292">
        <w:rPr>
          <w:rFonts w:ascii="Garamond" w:eastAsia="Times New Roman" w:hAnsi="Garamond" w:cs="Times New Roman"/>
          <w:b/>
          <w:bCs/>
          <w:iCs/>
          <w:sz w:val="24"/>
          <w:szCs w:val="24"/>
        </w:rPr>
        <w:t xml:space="preserve">Përputhshmëria me </w:t>
      </w:r>
      <w:r w:rsidRPr="00B31292">
        <w:rPr>
          <w:rFonts w:ascii="Garamond" w:eastAsia="Times New Roman" w:hAnsi="Garamond" w:cs="Times New Roman"/>
          <w:b/>
          <w:bCs/>
          <w:i/>
          <w:iCs/>
          <w:sz w:val="24"/>
          <w:szCs w:val="24"/>
        </w:rPr>
        <w:t>acquis</w:t>
      </w:r>
      <w:r w:rsidRPr="00B31292">
        <w:rPr>
          <w:rFonts w:ascii="Garamond" w:eastAsia="Times New Roman" w:hAnsi="Garamond" w:cs="Times New Roman"/>
          <w:b/>
          <w:bCs/>
          <w:iCs/>
          <w:sz w:val="24"/>
          <w:szCs w:val="24"/>
        </w:rPr>
        <w:t xml:space="preserve">: </w:t>
      </w:r>
      <w:r w:rsidRPr="00B31292">
        <w:rPr>
          <w:rFonts w:ascii="Garamond" w:eastAsia="Times New Roman" w:hAnsi="Garamond" w:cs="Times New Roman"/>
          <w:bCs/>
          <w:i/>
          <w:iCs/>
          <w:sz w:val="24"/>
          <w:szCs w:val="24"/>
        </w:rPr>
        <w:t xml:space="preserve">Statistikat e </w:t>
      </w:r>
      <w:r w:rsidR="00F353A8" w:rsidRPr="00B31292">
        <w:rPr>
          <w:rFonts w:ascii="Garamond" w:eastAsia="Times New Roman" w:hAnsi="Garamond" w:cs="Times New Roman"/>
          <w:bCs/>
          <w:i/>
          <w:iCs/>
          <w:sz w:val="24"/>
          <w:szCs w:val="24"/>
        </w:rPr>
        <w:t>t</w:t>
      </w:r>
      <w:r w:rsidRPr="00B31292">
        <w:rPr>
          <w:rFonts w:ascii="Garamond" w:eastAsia="Times New Roman" w:hAnsi="Garamond" w:cs="Times New Roman"/>
          <w:bCs/>
          <w:i/>
          <w:iCs/>
          <w:sz w:val="24"/>
          <w:szCs w:val="24"/>
        </w:rPr>
        <w:t xml:space="preserve">urizmit </w:t>
      </w:r>
      <w:r w:rsidRPr="00B31292">
        <w:rPr>
          <w:rFonts w:ascii="Garamond" w:eastAsia="Times New Roman" w:hAnsi="Garamond" w:cs="Times New Roman"/>
          <w:bCs/>
          <w:iCs/>
          <w:sz w:val="24"/>
          <w:szCs w:val="24"/>
        </w:rPr>
        <w:t>nga</w:t>
      </w:r>
      <w:r w:rsidR="00095F8C" w:rsidRPr="00B31292">
        <w:rPr>
          <w:rFonts w:ascii="Garamond" w:eastAsia="Times New Roman" w:hAnsi="Garamond" w:cs="Times New Roman"/>
          <w:bCs/>
          <w:iCs/>
          <w:sz w:val="24"/>
          <w:szCs w:val="24"/>
        </w:rPr>
        <w:t xml:space="preserve"> </w:t>
      </w:r>
      <w:r w:rsidRPr="00B31292">
        <w:rPr>
          <w:rFonts w:ascii="Garamond" w:hAnsi="Garamond" w:cs="Times New Roman"/>
          <w:sz w:val="24"/>
          <w:szCs w:val="24"/>
        </w:rPr>
        <w:t>ana e ofertës (</w:t>
      </w:r>
      <w:r w:rsidRPr="00B31292">
        <w:rPr>
          <w:rFonts w:ascii="Garamond" w:hAnsi="Garamond" w:cs="Times New Roman"/>
          <w:i/>
          <w:sz w:val="24"/>
          <w:szCs w:val="24"/>
        </w:rPr>
        <w:t>supply side</w:t>
      </w:r>
      <w:r w:rsidRPr="00B31292">
        <w:rPr>
          <w:rFonts w:ascii="Garamond" w:hAnsi="Garamond" w:cs="Times New Roman"/>
          <w:sz w:val="24"/>
          <w:szCs w:val="24"/>
        </w:rPr>
        <w:t>)</w:t>
      </w:r>
      <w:r w:rsidR="00095F8C" w:rsidRPr="00B31292">
        <w:rPr>
          <w:rFonts w:ascii="Garamond" w:hAnsi="Garamond" w:cs="Times New Roman"/>
          <w:sz w:val="24"/>
          <w:szCs w:val="24"/>
        </w:rPr>
        <w:t xml:space="preserve"> </w:t>
      </w:r>
      <w:r w:rsidR="002F6886" w:rsidRPr="00B31292">
        <w:rPr>
          <w:rFonts w:ascii="Garamond" w:hAnsi="Garamond" w:cs="Times New Roman"/>
          <w:sz w:val="24"/>
          <w:szCs w:val="24"/>
        </w:rPr>
        <w:t xml:space="preserve">dhe kërkesës </w:t>
      </w:r>
      <w:r w:rsidR="002F6886" w:rsidRPr="00B31292">
        <w:rPr>
          <w:rFonts w:ascii="Garamond" w:hAnsi="Garamond" w:cs="Times New Roman"/>
          <w:i/>
          <w:sz w:val="24"/>
          <w:szCs w:val="24"/>
        </w:rPr>
        <w:t>(demand side)</w:t>
      </w:r>
      <w:r w:rsidR="002F6886" w:rsidRPr="00B31292">
        <w:rPr>
          <w:rFonts w:ascii="Garamond" w:hAnsi="Garamond" w:cs="Times New Roman"/>
          <w:sz w:val="24"/>
          <w:szCs w:val="24"/>
        </w:rPr>
        <w:t xml:space="preserve"> </w:t>
      </w:r>
      <w:r w:rsidRPr="00B31292">
        <w:rPr>
          <w:rFonts w:ascii="Garamond" w:eastAsia="Times New Roman" w:hAnsi="Garamond" w:cs="Times New Roman"/>
          <w:bCs/>
          <w:iCs/>
          <w:sz w:val="24"/>
          <w:szCs w:val="24"/>
        </w:rPr>
        <w:t xml:space="preserve">janë pjesërisht të përafruara me </w:t>
      </w:r>
      <w:r w:rsidR="00F353A8" w:rsidRPr="00B31292">
        <w:rPr>
          <w:rFonts w:ascii="Garamond" w:eastAsia="Times New Roman" w:hAnsi="Garamond" w:cs="Times New Roman"/>
          <w:bCs/>
          <w:iCs/>
          <w:sz w:val="24"/>
          <w:szCs w:val="24"/>
        </w:rPr>
        <w:t>r</w:t>
      </w:r>
      <w:r w:rsidRPr="00B31292">
        <w:rPr>
          <w:rFonts w:ascii="Garamond" w:eastAsia="Times New Roman" w:hAnsi="Garamond" w:cs="Times New Roman"/>
          <w:bCs/>
          <w:iCs/>
          <w:sz w:val="24"/>
          <w:szCs w:val="24"/>
        </w:rPr>
        <w:t xml:space="preserve">regulloren (KE) </w:t>
      </w:r>
      <w:r w:rsidR="007843CA" w:rsidRPr="00B31292">
        <w:rPr>
          <w:rFonts w:ascii="Garamond" w:eastAsia="Times New Roman" w:hAnsi="Garamond" w:cs="Times New Roman"/>
          <w:bCs/>
          <w:iCs/>
          <w:sz w:val="24"/>
          <w:szCs w:val="24"/>
        </w:rPr>
        <w:t>n</w:t>
      </w:r>
      <w:r w:rsidRPr="00B31292">
        <w:rPr>
          <w:rFonts w:ascii="Garamond" w:eastAsia="Times New Roman" w:hAnsi="Garamond" w:cs="Times New Roman"/>
          <w:bCs/>
          <w:iCs/>
          <w:sz w:val="24"/>
          <w:szCs w:val="24"/>
        </w:rPr>
        <w:t>r. 692/2011</w:t>
      </w:r>
      <w:r w:rsidR="007843CA" w:rsidRPr="00B31292">
        <w:rPr>
          <w:rFonts w:ascii="Garamond" w:eastAsia="Times New Roman" w:hAnsi="Garamond" w:cs="Times New Roman"/>
          <w:bCs/>
          <w:iCs/>
          <w:sz w:val="24"/>
          <w:szCs w:val="24"/>
        </w:rPr>
        <w:t>,</w:t>
      </w:r>
      <w:r w:rsidRPr="00B31292">
        <w:rPr>
          <w:rFonts w:ascii="Garamond" w:eastAsia="Times New Roman" w:hAnsi="Garamond" w:cs="Times New Roman"/>
          <w:bCs/>
          <w:iCs/>
          <w:sz w:val="24"/>
          <w:szCs w:val="24"/>
        </w:rPr>
        <w:t xml:space="preserve"> të</w:t>
      </w:r>
      <w:r w:rsidRPr="00B31292">
        <w:rPr>
          <w:rFonts w:ascii="Garamond" w:hAnsi="Garamond" w:cs="Times New Roman"/>
          <w:sz w:val="24"/>
          <w:szCs w:val="24"/>
        </w:rPr>
        <w:t xml:space="preserve"> Parlamentit Evropian dhe të Këshillit </w:t>
      </w:r>
      <w:r w:rsidR="00BA12C3" w:rsidRPr="00B31292">
        <w:rPr>
          <w:rFonts w:ascii="Garamond" w:hAnsi="Garamond" w:cs="Times New Roman"/>
          <w:sz w:val="24"/>
          <w:szCs w:val="24"/>
        </w:rPr>
        <w:t>“</w:t>
      </w:r>
      <w:r w:rsidRPr="00B31292">
        <w:rPr>
          <w:rFonts w:ascii="Garamond" w:hAnsi="Garamond" w:cs="Times New Roman"/>
          <w:sz w:val="24"/>
          <w:szCs w:val="24"/>
        </w:rPr>
        <w:t>Për statistikat e turizmit</w:t>
      </w:r>
      <w:r w:rsidR="00BA12C3" w:rsidRPr="00B31292">
        <w:rPr>
          <w:rFonts w:ascii="Garamond" w:hAnsi="Garamond" w:cs="Times New Roman"/>
          <w:sz w:val="24"/>
          <w:szCs w:val="24"/>
        </w:rPr>
        <w:t>”</w:t>
      </w:r>
      <w:r w:rsidRPr="00B31292">
        <w:rPr>
          <w:rFonts w:ascii="Garamond" w:hAnsi="Garamond" w:cs="Times New Roman"/>
          <w:sz w:val="24"/>
          <w:szCs w:val="24"/>
        </w:rPr>
        <w:t xml:space="preserve">. Në mënyrë periodike transmetohen në </w:t>
      </w:r>
      <w:r w:rsidR="009C0CE9" w:rsidRPr="00B31292">
        <w:rPr>
          <w:rFonts w:ascii="Garamond" w:hAnsi="Garamond" w:cs="Times New Roman"/>
          <w:sz w:val="24"/>
          <w:szCs w:val="24"/>
        </w:rPr>
        <w:t>Eurostat</w:t>
      </w:r>
      <w:r w:rsidRPr="00B31292">
        <w:rPr>
          <w:rFonts w:ascii="Garamond" w:hAnsi="Garamond" w:cs="Times New Roman"/>
          <w:sz w:val="24"/>
          <w:szCs w:val="24"/>
        </w:rPr>
        <w:t xml:space="preserve"> të dhënat mujore dhe vjetore lidhur me këto statistika.</w:t>
      </w:r>
    </w:p>
    <w:p w14:paraId="3F869F61" w14:textId="44A161D2" w:rsidR="00AB66B4" w:rsidRPr="00B31292" w:rsidRDefault="00293B51" w:rsidP="003A4DBA">
      <w:pPr>
        <w:spacing w:after="0" w:line="240" w:lineRule="auto"/>
        <w:ind w:firstLine="284"/>
        <w:jc w:val="both"/>
        <w:rPr>
          <w:rFonts w:ascii="Garamond" w:hAnsi="Garamond" w:cs="Times New Roman"/>
          <w:sz w:val="24"/>
          <w:szCs w:val="24"/>
        </w:rPr>
      </w:pPr>
      <w:r w:rsidRPr="00B31292">
        <w:rPr>
          <w:rFonts w:ascii="Garamond" w:eastAsia="Times New Roman" w:hAnsi="Garamond" w:cs="Times New Roman"/>
          <w:b/>
          <w:bCs/>
          <w:iCs/>
          <w:sz w:val="24"/>
          <w:szCs w:val="24"/>
        </w:rPr>
        <w:t>Aktivitete n</w:t>
      </w:r>
      <w:r w:rsidR="00E25C33" w:rsidRPr="00B31292">
        <w:rPr>
          <w:rFonts w:ascii="Garamond" w:eastAsia="Times New Roman" w:hAnsi="Garamond" w:cs="Times New Roman"/>
          <w:b/>
          <w:bCs/>
          <w:iCs/>
          <w:sz w:val="24"/>
          <w:szCs w:val="24"/>
        </w:rPr>
        <w:t>ë</w:t>
      </w:r>
      <w:r w:rsidRPr="00B31292">
        <w:rPr>
          <w:rFonts w:ascii="Garamond" w:eastAsia="Times New Roman" w:hAnsi="Garamond" w:cs="Times New Roman"/>
          <w:b/>
          <w:bCs/>
          <w:iCs/>
          <w:sz w:val="24"/>
          <w:szCs w:val="24"/>
        </w:rPr>
        <w:t xml:space="preserve"> funk</w:t>
      </w:r>
      <w:r w:rsidR="00CB7469" w:rsidRPr="00B31292">
        <w:rPr>
          <w:rFonts w:ascii="Garamond" w:eastAsia="Times New Roman" w:hAnsi="Garamond" w:cs="Times New Roman"/>
          <w:b/>
          <w:bCs/>
          <w:iCs/>
          <w:sz w:val="24"/>
          <w:szCs w:val="24"/>
        </w:rPr>
        <w:t>s</w:t>
      </w:r>
      <w:r w:rsidRPr="00B31292">
        <w:rPr>
          <w:rFonts w:ascii="Garamond" w:eastAsia="Times New Roman" w:hAnsi="Garamond" w:cs="Times New Roman"/>
          <w:b/>
          <w:bCs/>
          <w:iCs/>
          <w:sz w:val="24"/>
          <w:szCs w:val="24"/>
        </w:rPr>
        <w:t>ion t</w:t>
      </w:r>
      <w:r w:rsidR="00E25C33" w:rsidRPr="00B31292">
        <w:rPr>
          <w:rFonts w:ascii="Garamond" w:eastAsia="Times New Roman" w:hAnsi="Garamond" w:cs="Times New Roman"/>
          <w:b/>
          <w:bCs/>
          <w:iCs/>
          <w:sz w:val="24"/>
          <w:szCs w:val="24"/>
        </w:rPr>
        <w:t>ë</w:t>
      </w:r>
      <w:r w:rsidRPr="00B31292">
        <w:rPr>
          <w:rFonts w:ascii="Garamond" w:eastAsia="Times New Roman" w:hAnsi="Garamond" w:cs="Times New Roman"/>
          <w:b/>
          <w:bCs/>
          <w:iCs/>
          <w:sz w:val="24"/>
          <w:szCs w:val="24"/>
        </w:rPr>
        <w:t xml:space="preserve"> nevojave komb</w:t>
      </w:r>
      <w:r w:rsidR="00E25C33" w:rsidRPr="00B31292">
        <w:rPr>
          <w:rFonts w:ascii="Garamond" w:eastAsia="Times New Roman" w:hAnsi="Garamond" w:cs="Times New Roman"/>
          <w:b/>
          <w:bCs/>
          <w:iCs/>
          <w:sz w:val="24"/>
          <w:szCs w:val="24"/>
        </w:rPr>
        <w:t>ë</w:t>
      </w:r>
      <w:r w:rsidRPr="00B31292">
        <w:rPr>
          <w:rFonts w:ascii="Garamond" w:eastAsia="Times New Roman" w:hAnsi="Garamond" w:cs="Times New Roman"/>
          <w:b/>
          <w:bCs/>
          <w:iCs/>
          <w:sz w:val="24"/>
          <w:szCs w:val="24"/>
        </w:rPr>
        <w:t>tare p</w:t>
      </w:r>
      <w:r w:rsidR="00E25C33" w:rsidRPr="00B31292">
        <w:rPr>
          <w:rFonts w:ascii="Garamond" w:eastAsia="Times New Roman" w:hAnsi="Garamond" w:cs="Times New Roman"/>
          <w:b/>
          <w:bCs/>
          <w:iCs/>
          <w:sz w:val="24"/>
          <w:szCs w:val="24"/>
        </w:rPr>
        <w:t>ë</w:t>
      </w:r>
      <w:r w:rsidRPr="00B31292">
        <w:rPr>
          <w:rFonts w:ascii="Garamond" w:eastAsia="Times New Roman" w:hAnsi="Garamond" w:cs="Times New Roman"/>
          <w:b/>
          <w:bCs/>
          <w:iCs/>
          <w:sz w:val="24"/>
          <w:szCs w:val="24"/>
        </w:rPr>
        <w:t>r tregues t</w:t>
      </w:r>
      <w:r w:rsidR="00E25C33" w:rsidRPr="00B31292">
        <w:rPr>
          <w:rFonts w:ascii="Garamond" w:eastAsia="Times New Roman" w:hAnsi="Garamond" w:cs="Times New Roman"/>
          <w:b/>
          <w:bCs/>
          <w:iCs/>
          <w:sz w:val="24"/>
          <w:szCs w:val="24"/>
        </w:rPr>
        <w:t>ë</w:t>
      </w:r>
      <w:r w:rsidRPr="00B31292">
        <w:rPr>
          <w:rFonts w:ascii="Garamond" w:eastAsia="Times New Roman" w:hAnsi="Garamond" w:cs="Times New Roman"/>
          <w:b/>
          <w:bCs/>
          <w:iCs/>
          <w:sz w:val="24"/>
          <w:szCs w:val="24"/>
        </w:rPr>
        <w:t xml:space="preserve"> </w:t>
      </w:r>
      <w:r w:rsidR="00F353A8" w:rsidRPr="00B31292">
        <w:rPr>
          <w:rFonts w:ascii="Garamond" w:eastAsia="Times New Roman" w:hAnsi="Garamond" w:cs="Times New Roman"/>
          <w:b/>
          <w:bCs/>
          <w:iCs/>
          <w:sz w:val="24"/>
          <w:szCs w:val="24"/>
        </w:rPr>
        <w:t>t</w:t>
      </w:r>
      <w:r w:rsidRPr="00B31292">
        <w:rPr>
          <w:rFonts w:ascii="Garamond" w:eastAsia="Times New Roman" w:hAnsi="Garamond" w:cs="Times New Roman"/>
          <w:b/>
          <w:bCs/>
          <w:iCs/>
          <w:sz w:val="24"/>
          <w:szCs w:val="24"/>
        </w:rPr>
        <w:t>urizmit</w:t>
      </w:r>
    </w:p>
    <w:p w14:paraId="2A9D1273" w14:textId="54CD2951" w:rsidR="00AB66B4" w:rsidRPr="00B31292" w:rsidRDefault="008540D7" w:rsidP="003A4DBA">
      <w:pPr>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Referuar k</w:t>
      </w:r>
      <w:r w:rsidR="0051781F" w:rsidRPr="00B31292">
        <w:rPr>
          <w:rFonts w:ascii="Garamond" w:hAnsi="Garamond" w:cs="Times New Roman"/>
          <w:sz w:val="24"/>
          <w:szCs w:val="24"/>
        </w:rPr>
        <w:t>omunikimit shkresor</w:t>
      </w:r>
      <w:r w:rsidRPr="00B31292">
        <w:rPr>
          <w:rFonts w:ascii="Garamond" w:hAnsi="Garamond" w:cs="Times New Roman"/>
          <w:sz w:val="24"/>
          <w:szCs w:val="24"/>
        </w:rPr>
        <w:t xml:space="preserve"> </w:t>
      </w:r>
      <w:r w:rsidR="0051781F" w:rsidRPr="00B31292">
        <w:rPr>
          <w:rFonts w:ascii="Garamond" w:hAnsi="Garamond" w:cs="Times New Roman"/>
          <w:sz w:val="24"/>
          <w:szCs w:val="24"/>
        </w:rPr>
        <w:t>t</w:t>
      </w:r>
      <w:r w:rsidR="00293B51" w:rsidRPr="00B31292">
        <w:rPr>
          <w:rFonts w:ascii="Garamond" w:hAnsi="Garamond" w:cs="Times New Roman"/>
          <w:sz w:val="24"/>
          <w:szCs w:val="24"/>
        </w:rPr>
        <w:t>ë Ministrisë së Turizmit dhe Mjedisit, d</w:t>
      </w:r>
      <w:r w:rsidR="007843CA" w:rsidRPr="00B31292">
        <w:rPr>
          <w:rFonts w:ascii="Garamond" w:hAnsi="Garamond" w:cs="Times New Roman"/>
          <w:sz w:val="24"/>
          <w:szCs w:val="24"/>
        </w:rPr>
        <w:t xml:space="preserve">atë </w:t>
      </w:r>
      <w:r w:rsidR="00293B51" w:rsidRPr="00B31292">
        <w:rPr>
          <w:rFonts w:ascii="Garamond" w:hAnsi="Garamond" w:cs="Times New Roman"/>
          <w:sz w:val="24"/>
          <w:szCs w:val="24"/>
        </w:rPr>
        <w:t>12</w:t>
      </w:r>
      <w:r w:rsidR="007843CA" w:rsidRPr="00B31292">
        <w:rPr>
          <w:rFonts w:ascii="Garamond" w:hAnsi="Garamond" w:cs="Times New Roman"/>
          <w:sz w:val="24"/>
          <w:szCs w:val="24"/>
        </w:rPr>
        <w:t>.</w:t>
      </w:r>
      <w:r w:rsidR="00293B51" w:rsidRPr="00B31292">
        <w:rPr>
          <w:rFonts w:ascii="Garamond" w:hAnsi="Garamond" w:cs="Times New Roman"/>
          <w:sz w:val="24"/>
          <w:szCs w:val="24"/>
        </w:rPr>
        <w:t>11</w:t>
      </w:r>
      <w:r w:rsidR="007843CA" w:rsidRPr="00B31292">
        <w:rPr>
          <w:rFonts w:ascii="Garamond" w:hAnsi="Garamond" w:cs="Times New Roman"/>
          <w:sz w:val="24"/>
          <w:szCs w:val="24"/>
        </w:rPr>
        <w:t>.</w:t>
      </w:r>
      <w:r w:rsidR="00293B51" w:rsidRPr="00B31292">
        <w:rPr>
          <w:rFonts w:ascii="Garamond" w:hAnsi="Garamond" w:cs="Times New Roman"/>
          <w:sz w:val="24"/>
          <w:szCs w:val="24"/>
        </w:rPr>
        <w:t xml:space="preserve">2024, </w:t>
      </w:r>
      <w:r w:rsidR="00F4331D" w:rsidRPr="00B31292">
        <w:rPr>
          <w:rFonts w:ascii="Garamond" w:hAnsi="Garamond" w:cs="Times New Roman"/>
          <w:sz w:val="24"/>
          <w:szCs w:val="24"/>
        </w:rPr>
        <w:t xml:space="preserve">ku kërkohet </w:t>
      </w:r>
      <w:r w:rsidR="00293B51" w:rsidRPr="00B31292">
        <w:rPr>
          <w:rFonts w:ascii="Garamond" w:hAnsi="Garamond" w:cs="Times New Roman"/>
          <w:sz w:val="24"/>
          <w:szCs w:val="24"/>
        </w:rPr>
        <w:t>marrj</w:t>
      </w:r>
      <w:r w:rsidR="00F4331D" w:rsidRPr="00B31292">
        <w:rPr>
          <w:rFonts w:ascii="Garamond" w:hAnsi="Garamond" w:cs="Times New Roman"/>
          <w:sz w:val="24"/>
          <w:szCs w:val="24"/>
        </w:rPr>
        <w:t>a</w:t>
      </w:r>
      <w:r w:rsidR="00293B51" w:rsidRPr="00B31292">
        <w:rPr>
          <w:rFonts w:ascii="Garamond" w:hAnsi="Garamond" w:cs="Times New Roman"/>
          <w:sz w:val="24"/>
          <w:szCs w:val="24"/>
        </w:rPr>
        <w:t xml:space="preserve"> e angazhimeve nga INSTAT</w:t>
      </w:r>
      <w:r w:rsidR="007843CA" w:rsidRPr="00B31292">
        <w:rPr>
          <w:rFonts w:ascii="Garamond" w:hAnsi="Garamond" w:cs="Times New Roman"/>
          <w:sz w:val="24"/>
          <w:szCs w:val="24"/>
        </w:rPr>
        <w:t>-i</w:t>
      </w:r>
      <w:r w:rsidR="00293B51" w:rsidRPr="00B31292">
        <w:rPr>
          <w:rFonts w:ascii="Garamond" w:hAnsi="Garamond" w:cs="Times New Roman"/>
          <w:sz w:val="24"/>
          <w:szCs w:val="24"/>
        </w:rPr>
        <w:t xml:space="preserve"> p</w:t>
      </w:r>
      <w:r w:rsidR="00F4331D" w:rsidRPr="00B31292">
        <w:rPr>
          <w:rFonts w:ascii="Garamond" w:hAnsi="Garamond" w:cs="Times New Roman"/>
          <w:sz w:val="24"/>
          <w:szCs w:val="24"/>
        </w:rPr>
        <w:t>ë</w:t>
      </w:r>
      <w:r w:rsidR="00293B51" w:rsidRPr="00B31292">
        <w:rPr>
          <w:rFonts w:ascii="Garamond" w:hAnsi="Garamond" w:cs="Times New Roman"/>
          <w:sz w:val="24"/>
          <w:szCs w:val="24"/>
        </w:rPr>
        <w:t>r vitin 2025 e n</w:t>
      </w:r>
      <w:r w:rsidR="00F4331D" w:rsidRPr="00B31292">
        <w:rPr>
          <w:rFonts w:ascii="Garamond" w:hAnsi="Garamond" w:cs="Times New Roman"/>
          <w:sz w:val="24"/>
          <w:szCs w:val="24"/>
        </w:rPr>
        <w:t>ë</w:t>
      </w:r>
      <w:r w:rsidR="00293B51" w:rsidRPr="00B31292">
        <w:rPr>
          <w:rFonts w:ascii="Garamond" w:hAnsi="Garamond" w:cs="Times New Roman"/>
          <w:sz w:val="24"/>
          <w:szCs w:val="24"/>
        </w:rPr>
        <w:t xml:space="preserve"> vijim, n</w:t>
      </w:r>
      <w:r w:rsidR="00F4331D" w:rsidRPr="00B31292">
        <w:rPr>
          <w:rFonts w:ascii="Garamond" w:hAnsi="Garamond" w:cs="Times New Roman"/>
          <w:sz w:val="24"/>
          <w:szCs w:val="24"/>
        </w:rPr>
        <w:t>ë</w:t>
      </w:r>
      <w:r w:rsidR="00293B51" w:rsidRPr="00B31292">
        <w:rPr>
          <w:rFonts w:ascii="Garamond" w:hAnsi="Garamond" w:cs="Times New Roman"/>
          <w:sz w:val="24"/>
          <w:szCs w:val="24"/>
        </w:rPr>
        <w:t xml:space="preserve"> lidhje me adoptimin e paket</w:t>
      </w:r>
      <w:r w:rsidR="00F4331D" w:rsidRPr="00B31292">
        <w:rPr>
          <w:rFonts w:ascii="Garamond" w:hAnsi="Garamond" w:cs="Times New Roman"/>
          <w:sz w:val="24"/>
          <w:szCs w:val="24"/>
        </w:rPr>
        <w:t>ës së</w:t>
      </w:r>
      <w:r w:rsidR="00293B51" w:rsidRPr="00B31292">
        <w:rPr>
          <w:rFonts w:ascii="Garamond" w:hAnsi="Garamond" w:cs="Times New Roman"/>
          <w:sz w:val="24"/>
          <w:szCs w:val="24"/>
        </w:rPr>
        <w:t xml:space="preserve"> </w:t>
      </w:r>
      <w:r w:rsidR="00F427DF" w:rsidRPr="00B31292">
        <w:rPr>
          <w:rFonts w:ascii="Garamond" w:hAnsi="Garamond" w:cs="Times New Roman"/>
          <w:sz w:val="24"/>
          <w:szCs w:val="24"/>
        </w:rPr>
        <w:t>vrojtimeve</w:t>
      </w:r>
      <w:r w:rsidR="00293B51" w:rsidRPr="00B31292">
        <w:rPr>
          <w:rFonts w:ascii="Garamond" w:hAnsi="Garamond" w:cs="Times New Roman"/>
          <w:sz w:val="24"/>
          <w:szCs w:val="24"/>
        </w:rPr>
        <w:t xml:space="preserve"> n</w:t>
      </w:r>
      <w:r w:rsidR="00F4331D" w:rsidRPr="00B31292">
        <w:rPr>
          <w:rFonts w:ascii="Garamond" w:hAnsi="Garamond" w:cs="Times New Roman"/>
          <w:sz w:val="24"/>
          <w:szCs w:val="24"/>
        </w:rPr>
        <w:t>ë</w:t>
      </w:r>
      <w:r w:rsidR="00293B51" w:rsidRPr="00B31292">
        <w:rPr>
          <w:rFonts w:ascii="Garamond" w:hAnsi="Garamond" w:cs="Times New Roman"/>
          <w:sz w:val="24"/>
          <w:szCs w:val="24"/>
        </w:rPr>
        <w:t xml:space="preserve"> </w:t>
      </w:r>
      <w:r w:rsidR="00F4331D" w:rsidRPr="00B31292">
        <w:rPr>
          <w:rFonts w:ascii="Garamond" w:hAnsi="Garamond" w:cs="Times New Roman"/>
          <w:sz w:val="24"/>
          <w:szCs w:val="24"/>
        </w:rPr>
        <w:t>ku</w:t>
      </w:r>
      <w:r w:rsidR="0051781F" w:rsidRPr="00B31292">
        <w:rPr>
          <w:rFonts w:ascii="Garamond" w:hAnsi="Garamond" w:cs="Times New Roman"/>
          <w:sz w:val="24"/>
          <w:szCs w:val="24"/>
        </w:rPr>
        <w:t>a</w:t>
      </w:r>
      <w:r w:rsidR="00F4331D" w:rsidRPr="00B31292">
        <w:rPr>
          <w:rFonts w:ascii="Garamond" w:hAnsi="Garamond" w:cs="Times New Roman"/>
          <w:sz w:val="24"/>
          <w:szCs w:val="24"/>
        </w:rPr>
        <w:t>dër të jetësimit të projektit të B</w:t>
      </w:r>
      <w:r w:rsidR="0051781F" w:rsidRPr="00B31292">
        <w:rPr>
          <w:rFonts w:ascii="Garamond" w:hAnsi="Garamond" w:cs="Times New Roman"/>
          <w:sz w:val="24"/>
          <w:szCs w:val="24"/>
        </w:rPr>
        <w:t xml:space="preserve">ankës </w:t>
      </w:r>
      <w:r w:rsidR="00F4331D" w:rsidRPr="00B31292">
        <w:rPr>
          <w:rFonts w:ascii="Garamond" w:hAnsi="Garamond" w:cs="Times New Roman"/>
          <w:sz w:val="24"/>
          <w:szCs w:val="24"/>
        </w:rPr>
        <w:t>B</w:t>
      </w:r>
      <w:r w:rsidR="0051781F" w:rsidRPr="00B31292">
        <w:rPr>
          <w:rFonts w:ascii="Garamond" w:hAnsi="Garamond" w:cs="Times New Roman"/>
          <w:sz w:val="24"/>
          <w:szCs w:val="24"/>
        </w:rPr>
        <w:t>otërore</w:t>
      </w:r>
      <w:r w:rsidR="00F4331D" w:rsidRPr="00B31292">
        <w:rPr>
          <w:rFonts w:ascii="Garamond" w:hAnsi="Garamond" w:cs="Times New Roman"/>
          <w:sz w:val="24"/>
          <w:szCs w:val="24"/>
        </w:rPr>
        <w:t xml:space="preserve"> për </w:t>
      </w:r>
      <w:r w:rsidR="00BA12C3" w:rsidRPr="00B31292">
        <w:rPr>
          <w:rFonts w:ascii="Garamond" w:hAnsi="Garamond" w:cs="Times New Roman"/>
          <w:sz w:val="24"/>
          <w:szCs w:val="24"/>
        </w:rPr>
        <w:t>“</w:t>
      </w:r>
      <w:r w:rsidR="00F4331D" w:rsidRPr="00B31292">
        <w:rPr>
          <w:rFonts w:ascii="Garamond" w:hAnsi="Garamond" w:cs="Times New Roman"/>
          <w:sz w:val="24"/>
          <w:szCs w:val="24"/>
        </w:rPr>
        <w:t xml:space="preserve">Sistemin e </w:t>
      </w:r>
      <w:r w:rsidR="00F353A8" w:rsidRPr="00B31292">
        <w:rPr>
          <w:rFonts w:ascii="Garamond" w:hAnsi="Garamond" w:cs="Times New Roman"/>
          <w:sz w:val="24"/>
          <w:szCs w:val="24"/>
        </w:rPr>
        <w:t>menaxhimit të informacionit të turizmit dhe përmirësimit të statistikave</w:t>
      </w:r>
      <w:r w:rsidR="00BA12C3" w:rsidRPr="00B31292">
        <w:rPr>
          <w:rFonts w:ascii="Garamond" w:hAnsi="Garamond" w:cs="Times New Roman"/>
          <w:sz w:val="24"/>
          <w:szCs w:val="24"/>
        </w:rPr>
        <w:t>”</w:t>
      </w:r>
      <w:r w:rsidR="00F4331D" w:rsidRPr="00B31292">
        <w:rPr>
          <w:rFonts w:ascii="Garamond" w:hAnsi="Garamond" w:cs="Times New Roman"/>
          <w:sz w:val="24"/>
          <w:szCs w:val="24"/>
        </w:rPr>
        <w:t xml:space="preserve">, </w:t>
      </w:r>
      <w:r w:rsidR="00293B51" w:rsidRPr="00B31292">
        <w:rPr>
          <w:rFonts w:ascii="Garamond" w:hAnsi="Garamond" w:cs="Times New Roman"/>
          <w:sz w:val="24"/>
          <w:szCs w:val="24"/>
        </w:rPr>
        <w:t>INSTAT</w:t>
      </w:r>
      <w:r w:rsidR="00F353A8" w:rsidRPr="00B31292">
        <w:rPr>
          <w:rFonts w:ascii="Garamond" w:hAnsi="Garamond" w:cs="Times New Roman"/>
          <w:sz w:val="24"/>
          <w:szCs w:val="24"/>
        </w:rPr>
        <w:t>-i</w:t>
      </w:r>
      <w:r w:rsidR="00293B51" w:rsidRPr="00B31292">
        <w:rPr>
          <w:rFonts w:ascii="Garamond" w:hAnsi="Garamond" w:cs="Times New Roman"/>
          <w:sz w:val="24"/>
          <w:szCs w:val="24"/>
        </w:rPr>
        <w:t xml:space="preserve"> do të angazhohet në realizimin e këtyre aktiviteteve</w:t>
      </w:r>
      <w:r w:rsidR="00F4331D" w:rsidRPr="00B31292">
        <w:rPr>
          <w:rFonts w:ascii="Garamond" w:hAnsi="Garamond" w:cs="Times New Roman"/>
          <w:sz w:val="24"/>
          <w:szCs w:val="24"/>
        </w:rPr>
        <w:t>.</w:t>
      </w:r>
    </w:p>
    <w:p w14:paraId="66D980D2" w14:textId="572C0C1C" w:rsidR="00F4331D" w:rsidRPr="00B31292" w:rsidRDefault="0051781F" w:rsidP="003A4DBA">
      <w:pPr>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Duke qen</w:t>
      </w:r>
      <w:r w:rsidR="00E733A4" w:rsidRPr="00B31292">
        <w:rPr>
          <w:rFonts w:ascii="Garamond" w:hAnsi="Garamond" w:cs="Times New Roman"/>
          <w:sz w:val="24"/>
          <w:szCs w:val="24"/>
        </w:rPr>
        <w:t>ë</w:t>
      </w:r>
      <w:r w:rsidRPr="00B31292">
        <w:rPr>
          <w:rFonts w:ascii="Garamond" w:hAnsi="Garamond" w:cs="Times New Roman"/>
          <w:sz w:val="24"/>
          <w:szCs w:val="24"/>
        </w:rPr>
        <w:t xml:space="preserve"> se, n</w:t>
      </w:r>
      <w:r w:rsidR="00E733A4" w:rsidRPr="00B31292">
        <w:rPr>
          <w:rFonts w:ascii="Garamond" w:hAnsi="Garamond" w:cs="Times New Roman"/>
          <w:sz w:val="24"/>
          <w:szCs w:val="24"/>
        </w:rPr>
        <w:t>ë</w:t>
      </w:r>
      <w:r w:rsidRPr="00B31292">
        <w:rPr>
          <w:rFonts w:ascii="Garamond" w:hAnsi="Garamond" w:cs="Times New Roman"/>
          <w:sz w:val="24"/>
          <w:szCs w:val="24"/>
        </w:rPr>
        <w:t xml:space="preserve"> respektim t</w:t>
      </w:r>
      <w:r w:rsidR="00E733A4" w:rsidRPr="00B31292">
        <w:rPr>
          <w:rFonts w:ascii="Garamond" w:hAnsi="Garamond" w:cs="Times New Roman"/>
          <w:sz w:val="24"/>
          <w:szCs w:val="24"/>
        </w:rPr>
        <w:t>ë</w:t>
      </w:r>
      <w:r w:rsidRPr="00B31292">
        <w:rPr>
          <w:rFonts w:ascii="Garamond" w:hAnsi="Garamond" w:cs="Times New Roman"/>
          <w:sz w:val="24"/>
          <w:szCs w:val="24"/>
        </w:rPr>
        <w:t xml:space="preserve"> afateve ligjore p</w:t>
      </w:r>
      <w:r w:rsidR="00E733A4" w:rsidRPr="00B31292">
        <w:rPr>
          <w:rFonts w:ascii="Garamond" w:hAnsi="Garamond" w:cs="Times New Roman"/>
          <w:sz w:val="24"/>
          <w:szCs w:val="24"/>
        </w:rPr>
        <w:t>ë</w:t>
      </w:r>
      <w:r w:rsidRPr="00B31292">
        <w:rPr>
          <w:rFonts w:ascii="Garamond" w:hAnsi="Garamond" w:cs="Times New Roman"/>
          <w:sz w:val="24"/>
          <w:szCs w:val="24"/>
        </w:rPr>
        <w:t>r projektbuxhetin e shtetit</w:t>
      </w:r>
      <w:r w:rsidR="00293B51" w:rsidRPr="00B31292">
        <w:rPr>
          <w:rFonts w:ascii="Garamond" w:hAnsi="Garamond" w:cs="Times New Roman"/>
          <w:sz w:val="24"/>
          <w:szCs w:val="24"/>
        </w:rPr>
        <w:t>, INSTAT</w:t>
      </w:r>
      <w:r w:rsidR="007843CA" w:rsidRPr="00B31292">
        <w:rPr>
          <w:rFonts w:ascii="Garamond" w:hAnsi="Garamond" w:cs="Times New Roman"/>
          <w:sz w:val="24"/>
          <w:szCs w:val="24"/>
        </w:rPr>
        <w:t>-i</w:t>
      </w:r>
      <w:r w:rsidR="00293B51" w:rsidRPr="00B31292">
        <w:rPr>
          <w:rFonts w:ascii="Garamond" w:hAnsi="Garamond" w:cs="Times New Roman"/>
          <w:sz w:val="24"/>
          <w:szCs w:val="24"/>
        </w:rPr>
        <w:t xml:space="preserve"> ka paraqitur </w:t>
      </w:r>
      <w:r w:rsidRPr="00B31292">
        <w:rPr>
          <w:rFonts w:ascii="Garamond" w:hAnsi="Garamond" w:cs="Times New Roman"/>
          <w:sz w:val="24"/>
          <w:szCs w:val="24"/>
        </w:rPr>
        <w:t>tashm</w:t>
      </w:r>
      <w:r w:rsidR="00E733A4" w:rsidRPr="00B31292">
        <w:rPr>
          <w:rFonts w:ascii="Garamond" w:hAnsi="Garamond" w:cs="Times New Roman"/>
          <w:sz w:val="24"/>
          <w:szCs w:val="24"/>
        </w:rPr>
        <w:t>ë</w:t>
      </w:r>
      <w:r w:rsidRPr="00B31292">
        <w:rPr>
          <w:rFonts w:ascii="Garamond" w:hAnsi="Garamond" w:cs="Times New Roman"/>
          <w:sz w:val="24"/>
          <w:szCs w:val="24"/>
        </w:rPr>
        <w:t xml:space="preserve"> </w:t>
      </w:r>
      <w:r w:rsidR="00293B51" w:rsidRPr="00B31292">
        <w:rPr>
          <w:rFonts w:ascii="Garamond" w:hAnsi="Garamond" w:cs="Times New Roman"/>
          <w:sz w:val="24"/>
          <w:szCs w:val="24"/>
        </w:rPr>
        <w:t xml:space="preserve">kërkesat buxhetore për </w:t>
      </w:r>
      <w:r w:rsidRPr="00B31292">
        <w:rPr>
          <w:rFonts w:ascii="Garamond" w:hAnsi="Garamond" w:cs="Times New Roman"/>
          <w:sz w:val="24"/>
          <w:szCs w:val="24"/>
        </w:rPr>
        <w:t>vitin 2025 n</w:t>
      </w:r>
      <w:r w:rsidR="00E733A4" w:rsidRPr="00B31292">
        <w:rPr>
          <w:rFonts w:ascii="Garamond" w:hAnsi="Garamond" w:cs="Times New Roman"/>
          <w:sz w:val="24"/>
          <w:szCs w:val="24"/>
        </w:rPr>
        <w:t>ë</w:t>
      </w:r>
      <w:r w:rsidRPr="00B31292">
        <w:rPr>
          <w:rFonts w:ascii="Garamond" w:hAnsi="Garamond" w:cs="Times New Roman"/>
          <w:sz w:val="24"/>
          <w:szCs w:val="24"/>
        </w:rPr>
        <w:t xml:space="preserve"> kuad</w:t>
      </w:r>
      <w:r w:rsidR="00E733A4" w:rsidRPr="00B31292">
        <w:rPr>
          <w:rFonts w:ascii="Garamond" w:hAnsi="Garamond" w:cs="Times New Roman"/>
          <w:sz w:val="24"/>
          <w:szCs w:val="24"/>
        </w:rPr>
        <w:t>ë</w:t>
      </w:r>
      <w:r w:rsidRPr="00B31292">
        <w:rPr>
          <w:rFonts w:ascii="Garamond" w:hAnsi="Garamond" w:cs="Times New Roman"/>
          <w:sz w:val="24"/>
          <w:szCs w:val="24"/>
        </w:rPr>
        <w:t>r t</w:t>
      </w:r>
      <w:r w:rsidR="00E733A4" w:rsidRPr="00B31292">
        <w:rPr>
          <w:rFonts w:ascii="Garamond" w:hAnsi="Garamond" w:cs="Times New Roman"/>
          <w:sz w:val="24"/>
          <w:szCs w:val="24"/>
        </w:rPr>
        <w:t>ë</w:t>
      </w:r>
      <w:r w:rsidRPr="00B31292">
        <w:rPr>
          <w:rFonts w:ascii="Garamond" w:hAnsi="Garamond" w:cs="Times New Roman"/>
          <w:sz w:val="24"/>
          <w:szCs w:val="24"/>
        </w:rPr>
        <w:t xml:space="preserve"> </w:t>
      </w:r>
      <w:r w:rsidR="00293B51" w:rsidRPr="00B31292">
        <w:rPr>
          <w:rFonts w:ascii="Garamond" w:hAnsi="Garamond" w:cs="Times New Roman"/>
          <w:sz w:val="24"/>
          <w:szCs w:val="24"/>
        </w:rPr>
        <w:t>PBA 2025</w:t>
      </w:r>
      <w:r w:rsidR="007843CA" w:rsidRPr="00B31292">
        <w:rPr>
          <w:rFonts w:ascii="Garamond" w:hAnsi="Garamond" w:cs="Times New Roman"/>
          <w:sz w:val="24"/>
          <w:szCs w:val="24"/>
        </w:rPr>
        <w:t>–</w:t>
      </w:r>
      <w:r w:rsidR="00293B51" w:rsidRPr="00B31292">
        <w:rPr>
          <w:rFonts w:ascii="Garamond" w:hAnsi="Garamond" w:cs="Times New Roman"/>
          <w:sz w:val="24"/>
          <w:szCs w:val="24"/>
        </w:rPr>
        <w:t>2027</w:t>
      </w:r>
      <w:r w:rsidRPr="00B31292">
        <w:rPr>
          <w:rFonts w:ascii="Garamond" w:hAnsi="Garamond" w:cs="Times New Roman"/>
          <w:sz w:val="24"/>
          <w:szCs w:val="24"/>
        </w:rPr>
        <w:t xml:space="preserve"> dhe n</w:t>
      </w:r>
      <w:r w:rsidR="00E733A4" w:rsidRPr="00B31292">
        <w:rPr>
          <w:rFonts w:ascii="Garamond" w:hAnsi="Garamond" w:cs="Times New Roman"/>
          <w:sz w:val="24"/>
          <w:szCs w:val="24"/>
        </w:rPr>
        <w:t>ë</w:t>
      </w:r>
      <w:r w:rsidRPr="00B31292">
        <w:rPr>
          <w:rFonts w:ascii="Garamond" w:hAnsi="Garamond" w:cs="Times New Roman"/>
          <w:sz w:val="24"/>
          <w:szCs w:val="24"/>
        </w:rPr>
        <w:t xml:space="preserve"> zbatim t</w:t>
      </w:r>
      <w:r w:rsidR="00E733A4" w:rsidRPr="00B31292">
        <w:rPr>
          <w:rFonts w:ascii="Garamond" w:hAnsi="Garamond" w:cs="Times New Roman"/>
          <w:sz w:val="24"/>
          <w:szCs w:val="24"/>
        </w:rPr>
        <w:t>ë</w:t>
      </w:r>
      <w:r w:rsidRPr="00B31292">
        <w:rPr>
          <w:rFonts w:ascii="Garamond" w:hAnsi="Garamond" w:cs="Times New Roman"/>
          <w:sz w:val="24"/>
          <w:szCs w:val="24"/>
        </w:rPr>
        <w:t xml:space="preserve"> </w:t>
      </w:r>
      <w:r w:rsidR="007843CA" w:rsidRPr="00B31292">
        <w:rPr>
          <w:rFonts w:ascii="Garamond" w:hAnsi="Garamond" w:cs="Times New Roman"/>
          <w:sz w:val="24"/>
          <w:szCs w:val="24"/>
        </w:rPr>
        <w:t>l</w:t>
      </w:r>
      <w:r w:rsidRPr="00B31292">
        <w:rPr>
          <w:rFonts w:ascii="Garamond" w:hAnsi="Garamond" w:cs="Times New Roman"/>
          <w:sz w:val="24"/>
          <w:szCs w:val="24"/>
        </w:rPr>
        <w:t>igjit nr. 30/2022</w:t>
      </w:r>
      <w:r w:rsidR="007843CA" w:rsidRPr="00B31292">
        <w:rPr>
          <w:rFonts w:ascii="Garamond" w:hAnsi="Garamond" w:cs="Times New Roman"/>
          <w:sz w:val="24"/>
          <w:szCs w:val="24"/>
        </w:rPr>
        <w:t>,</w:t>
      </w:r>
      <w:r w:rsidRPr="00B31292">
        <w:rPr>
          <w:rFonts w:ascii="Garamond" w:hAnsi="Garamond" w:cs="Times New Roman"/>
          <w:sz w:val="24"/>
          <w:szCs w:val="24"/>
        </w:rPr>
        <w:t xml:space="preserve"> </w:t>
      </w:r>
      <w:r w:rsidR="00BA12C3" w:rsidRPr="00B31292">
        <w:rPr>
          <w:rFonts w:ascii="Garamond" w:hAnsi="Garamond" w:cs="Times New Roman"/>
          <w:sz w:val="24"/>
          <w:szCs w:val="24"/>
        </w:rPr>
        <w:t>“</w:t>
      </w:r>
      <w:r w:rsidRPr="00B31292">
        <w:rPr>
          <w:rFonts w:ascii="Garamond" w:hAnsi="Garamond" w:cs="Times New Roman"/>
          <w:sz w:val="24"/>
          <w:szCs w:val="24"/>
        </w:rPr>
        <w:t>P</w:t>
      </w:r>
      <w:r w:rsidR="00E733A4" w:rsidRPr="00B31292">
        <w:rPr>
          <w:rFonts w:ascii="Garamond" w:hAnsi="Garamond" w:cs="Times New Roman"/>
          <w:sz w:val="24"/>
          <w:szCs w:val="24"/>
        </w:rPr>
        <w:t>ë</w:t>
      </w:r>
      <w:r w:rsidRPr="00B31292">
        <w:rPr>
          <w:rFonts w:ascii="Garamond" w:hAnsi="Garamond" w:cs="Times New Roman"/>
          <w:sz w:val="24"/>
          <w:szCs w:val="24"/>
        </w:rPr>
        <w:t xml:space="preserve">r </w:t>
      </w:r>
      <w:r w:rsidR="00F353A8" w:rsidRPr="00B31292">
        <w:rPr>
          <w:rFonts w:ascii="Garamond" w:hAnsi="Garamond" w:cs="Times New Roman"/>
          <w:sz w:val="24"/>
          <w:szCs w:val="24"/>
        </w:rPr>
        <w:t xml:space="preserve">programin e statistikave zyrtare </w:t>
      </w:r>
      <w:r w:rsidR="002277EC" w:rsidRPr="00B31292">
        <w:rPr>
          <w:rFonts w:ascii="Garamond" w:hAnsi="Garamond" w:cs="Times New Roman"/>
          <w:sz w:val="24"/>
          <w:szCs w:val="24"/>
        </w:rPr>
        <w:t>2022–2026</w:t>
      </w:r>
      <w:r w:rsidR="00BA12C3" w:rsidRPr="00B31292">
        <w:rPr>
          <w:rFonts w:ascii="Garamond" w:hAnsi="Garamond" w:cs="Times New Roman"/>
          <w:sz w:val="24"/>
          <w:szCs w:val="24"/>
        </w:rPr>
        <w:t>”</w:t>
      </w:r>
      <w:r w:rsidRPr="00B31292">
        <w:rPr>
          <w:rFonts w:ascii="Garamond" w:hAnsi="Garamond" w:cs="Times New Roman"/>
          <w:sz w:val="24"/>
          <w:szCs w:val="24"/>
        </w:rPr>
        <w:t>, v</w:t>
      </w:r>
      <w:r w:rsidR="00F427DF" w:rsidRPr="00B31292">
        <w:rPr>
          <w:rFonts w:ascii="Garamond" w:hAnsi="Garamond" w:cs="Times New Roman"/>
          <w:sz w:val="24"/>
          <w:szCs w:val="24"/>
        </w:rPr>
        <w:t>rojtimet</w:t>
      </w:r>
      <w:r w:rsidR="00293B51" w:rsidRPr="00B31292">
        <w:rPr>
          <w:rFonts w:ascii="Garamond" w:hAnsi="Garamond" w:cs="Times New Roman"/>
          <w:sz w:val="24"/>
          <w:szCs w:val="24"/>
        </w:rPr>
        <w:t xml:space="preserve"> e </w:t>
      </w:r>
      <w:r w:rsidRPr="00B31292">
        <w:rPr>
          <w:rFonts w:ascii="Garamond" w:hAnsi="Garamond" w:cs="Times New Roman"/>
          <w:sz w:val="24"/>
          <w:szCs w:val="24"/>
        </w:rPr>
        <w:t>k</w:t>
      </w:r>
      <w:r w:rsidR="00E733A4" w:rsidRPr="00B31292">
        <w:rPr>
          <w:rFonts w:ascii="Garamond" w:hAnsi="Garamond" w:cs="Times New Roman"/>
          <w:sz w:val="24"/>
          <w:szCs w:val="24"/>
        </w:rPr>
        <w:t>ë</w:t>
      </w:r>
      <w:r w:rsidRPr="00B31292">
        <w:rPr>
          <w:rFonts w:ascii="Garamond" w:hAnsi="Garamond" w:cs="Times New Roman"/>
          <w:sz w:val="24"/>
          <w:szCs w:val="24"/>
        </w:rPr>
        <w:t xml:space="preserve">rkuara nga </w:t>
      </w:r>
      <w:r w:rsidR="00293B51" w:rsidRPr="00B31292">
        <w:rPr>
          <w:rFonts w:ascii="Garamond" w:hAnsi="Garamond" w:cs="Times New Roman"/>
          <w:sz w:val="24"/>
          <w:szCs w:val="24"/>
        </w:rPr>
        <w:t>Ministri</w:t>
      </w:r>
      <w:r w:rsidRPr="00B31292">
        <w:rPr>
          <w:rFonts w:ascii="Garamond" w:hAnsi="Garamond" w:cs="Times New Roman"/>
          <w:sz w:val="24"/>
          <w:szCs w:val="24"/>
        </w:rPr>
        <w:t>a e</w:t>
      </w:r>
      <w:r w:rsidR="00293B51" w:rsidRPr="00B31292">
        <w:rPr>
          <w:rFonts w:ascii="Garamond" w:hAnsi="Garamond" w:cs="Times New Roman"/>
          <w:sz w:val="24"/>
          <w:szCs w:val="24"/>
        </w:rPr>
        <w:t xml:space="preserve"> Turizmit dhe Mjedisit nuk </w:t>
      </w:r>
      <w:r w:rsidRPr="00B31292">
        <w:rPr>
          <w:rFonts w:ascii="Garamond" w:hAnsi="Garamond" w:cs="Times New Roman"/>
          <w:sz w:val="24"/>
          <w:szCs w:val="24"/>
        </w:rPr>
        <w:t>kan</w:t>
      </w:r>
      <w:r w:rsidR="00E733A4" w:rsidRPr="00B31292">
        <w:rPr>
          <w:rFonts w:ascii="Garamond" w:hAnsi="Garamond" w:cs="Times New Roman"/>
          <w:sz w:val="24"/>
          <w:szCs w:val="24"/>
        </w:rPr>
        <w:t>ë</w:t>
      </w:r>
      <w:r w:rsidRPr="00B31292">
        <w:rPr>
          <w:rFonts w:ascii="Garamond" w:hAnsi="Garamond" w:cs="Times New Roman"/>
          <w:sz w:val="24"/>
          <w:szCs w:val="24"/>
        </w:rPr>
        <w:t xml:space="preserve"> mbulim financiar </w:t>
      </w:r>
      <w:r w:rsidR="00293B51" w:rsidRPr="00B31292">
        <w:rPr>
          <w:rFonts w:ascii="Garamond" w:hAnsi="Garamond" w:cs="Times New Roman"/>
          <w:sz w:val="24"/>
          <w:szCs w:val="24"/>
        </w:rPr>
        <w:t>për vitin 2025.</w:t>
      </w:r>
      <w:r w:rsidRPr="00B31292">
        <w:rPr>
          <w:rFonts w:ascii="Garamond" w:hAnsi="Garamond" w:cs="Times New Roman"/>
          <w:sz w:val="24"/>
          <w:szCs w:val="24"/>
        </w:rPr>
        <w:t xml:space="preserve"> Megjithat</w:t>
      </w:r>
      <w:r w:rsidR="00E733A4" w:rsidRPr="00B31292">
        <w:rPr>
          <w:rFonts w:ascii="Garamond" w:hAnsi="Garamond" w:cs="Times New Roman"/>
          <w:sz w:val="24"/>
          <w:szCs w:val="24"/>
        </w:rPr>
        <w:t>ë</w:t>
      </w:r>
      <w:r w:rsidRPr="00B31292">
        <w:rPr>
          <w:rFonts w:ascii="Garamond" w:hAnsi="Garamond" w:cs="Times New Roman"/>
          <w:sz w:val="24"/>
          <w:szCs w:val="24"/>
        </w:rPr>
        <w:t>, n</w:t>
      </w:r>
      <w:r w:rsidR="00F4331D" w:rsidRPr="00B31292">
        <w:rPr>
          <w:rFonts w:ascii="Garamond" w:hAnsi="Garamond" w:cs="Times New Roman"/>
          <w:sz w:val="24"/>
          <w:szCs w:val="24"/>
        </w:rPr>
        <w:t xml:space="preserve">ë kushtet e nevojave kombëtare për tregues mbi aktivitetin e </w:t>
      </w:r>
      <w:r w:rsidR="00F353A8" w:rsidRPr="00B31292">
        <w:rPr>
          <w:rFonts w:ascii="Garamond" w:hAnsi="Garamond" w:cs="Times New Roman"/>
          <w:sz w:val="24"/>
          <w:szCs w:val="24"/>
        </w:rPr>
        <w:t>t</w:t>
      </w:r>
      <w:r w:rsidR="00F4331D" w:rsidRPr="00B31292">
        <w:rPr>
          <w:rFonts w:ascii="Garamond" w:hAnsi="Garamond" w:cs="Times New Roman"/>
          <w:sz w:val="24"/>
          <w:szCs w:val="24"/>
        </w:rPr>
        <w:t xml:space="preserve">urizmit, </w:t>
      </w:r>
      <w:r w:rsidR="00E733A4" w:rsidRPr="00B31292">
        <w:rPr>
          <w:rFonts w:ascii="Garamond" w:hAnsi="Garamond" w:cs="Times New Roman"/>
          <w:sz w:val="24"/>
          <w:szCs w:val="24"/>
        </w:rPr>
        <w:t>gjatë vitit 2025</w:t>
      </w:r>
      <w:r w:rsidR="007843CA" w:rsidRPr="00B31292">
        <w:rPr>
          <w:rFonts w:ascii="Garamond" w:hAnsi="Garamond" w:cs="Times New Roman"/>
          <w:sz w:val="24"/>
          <w:szCs w:val="24"/>
        </w:rPr>
        <w:t>,</w:t>
      </w:r>
      <w:r w:rsidR="00E733A4" w:rsidRPr="00B31292">
        <w:rPr>
          <w:rFonts w:ascii="Garamond" w:hAnsi="Garamond" w:cs="Times New Roman"/>
          <w:sz w:val="24"/>
          <w:szCs w:val="24"/>
        </w:rPr>
        <w:t xml:space="preserve"> </w:t>
      </w:r>
      <w:r w:rsidR="008540D7" w:rsidRPr="00B31292">
        <w:rPr>
          <w:rFonts w:ascii="Garamond" w:hAnsi="Garamond" w:cs="Times New Roman"/>
          <w:sz w:val="24"/>
          <w:szCs w:val="24"/>
        </w:rPr>
        <w:t>INSTAT</w:t>
      </w:r>
      <w:r w:rsidR="007843CA" w:rsidRPr="00B31292">
        <w:rPr>
          <w:rFonts w:ascii="Garamond" w:hAnsi="Garamond" w:cs="Times New Roman"/>
          <w:sz w:val="24"/>
          <w:szCs w:val="24"/>
        </w:rPr>
        <w:t>-i</w:t>
      </w:r>
      <w:r w:rsidR="008540D7" w:rsidRPr="00B31292">
        <w:rPr>
          <w:rFonts w:ascii="Garamond" w:hAnsi="Garamond" w:cs="Times New Roman"/>
          <w:sz w:val="24"/>
          <w:szCs w:val="24"/>
        </w:rPr>
        <w:t xml:space="preserve"> do të </w:t>
      </w:r>
      <w:r w:rsidR="00F4331D" w:rsidRPr="00B31292">
        <w:rPr>
          <w:rFonts w:ascii="Garamond" w:hAnsi="Garamond" w:cs="Times New Roman"/>
          <w:sz w:val="24"/>
          <w:szCs w:val="24"/>
        </w:rPr>
        <w:t>kërkojë mb</w:t>
      </w:r>
      <w:r w:rsidR="008540D7" w:rsidRPr="00B31292">
        <w:rPr>
          <w:rFonts w:ascii="Garamond" w:hAnsi="Garamond" w:cs="Times New Roman"/>
          <w:sz w:val="24"/>
          <w:szCs w:val="24"/>
        </w:rPr>
        <w:t>ë</w:t>
      </w:r>
      <w:r w:rsidR="00F4331D" w:rsidRPr="00B31292">
        <w:rPr>
          <w:rFonts w:ascii="Garamond" w:hAnsi="Garamond" w:cs="Times New Roman"/>
          <w:sz w:val="24"/>
          <w:szCs w:val="24"/>
        </w:rPr>
        <w:t>shtetje financiare</w:t>
      </w:r>
      <w:r w:rsidR="009149F4" w:rsidRPr="00B31292">
        <w:rPr>
          <w:rFonts w:ascii="Garamond" w:hAnsi="Garamond" w:cs="Times New Roman"/>
          <w:sz w:val="24"/>
          <w:szCs w:val="24"/>
        </w:rPr>
        <w:t xml:space="preserve"> dhe njerëzore,</w:t>
      </w:r>
      <w:r w:rsidR="00F4331D" w:rsidRPr="00B31292">
        <w:rPr>
          <w:rFonts w:ascii="Garamond" w:hAnsi="Garamond" w:cs="Times New Roman"/>
          <w:sz w:val="24"/>
          <w:szCs w:val="24"/>
        </w:rPr>
        <w:t xml:space="preserve"> </w:t>
      </w:r>
      <w:r w:rsidR="00E733A4" w:rsidRPr="00B31292">
        <w:rPr>
          <w:rFonts w:ascii="Garamond" w:hAnsi="Garamond" w:cs="Times New Roman"/>
          <w:sz w:val="24"/>
          <w:szCs w:val="24"/>
        </w:rPr>
        <w:t xml:space="preserve">jo vetëm </w:t>
      </w:r>
      <w:r w:rsidR="00F4331D" w:rsidRPr="00B31292">
        <w:rPr>
          <w:rFonts w:ascii="Garamond" w:hAnsi="Garamond" w:cs="Times New Roman"/>
          <w:sz w:val="24"/>
          <w:szCs w:val="24"/>
        </w:rPr>
        <w:t>nga buxheti i shtetit</w:t>
      </w:r>
      <w:r w:rsidR="00E733A4" w:rsidRPr="00B31292">
        <w:rPr>
          <w:rFonts w:ascii="Garamond" w:hAnsi="Garamond" w:cs="Times New Roman"/>
          <w:sz w:val="24"/>
          <w:szCs w:val="24"/>
        </w:rPr>
        <w:t>, por edhe institucione dhe organizata të tjera donatore</w:t>
      </w:r>
      <w:r w:rsidR="00F4331D" w:rsidRPr="00B31292">
        <w:rPr>
          <w:rFonts w:ascii="Garamond" w:hAnsi="Garamond" w:cs="Times New Roman"/>
          <w:sz w:val="24"/>
          <w:szCs w:val="24"/>
        </w:rPr>
        <w:t>.</w:t>
      </w:r>
    </w:p>
    <w:p w14:paraId="636084DD" w14:textId="51C1663D" w:rsidR="00EB6FD5" w:rsidRPr="00B31292" w:rsidRDefault="00EB6FD5" w:rsidP="003A4DBA">
      <w:pPr>
        <w:keepNext/>
        <w:keepLines/>
        <w:spacing w:after="0" w:line="240" w:lineRule="auto"/>
        <w:ind w:firstLine="284"/>
        <w:outlineLvl w:val="4"/>
        <w:rPr>
          <w:rFonts w:ascii="Garamond" w:eastAsia="Times New Roman" w:hAnsi="Garamond" w:cs="Times New Roman"/>
          <w:b/>
          <w:iCs/>
          <w:sz w:val="24"/>
          <w:szCs w:val="24"/>
        </w:rPr>
      </w:pPr>
      <w:r w:rsidRPr="00B31292">
        <w:rPr>
          <w:rFonts w:ascii="Garamond" w:eastAsia="Times New Roman" w:hAnsi="Garamond" w:cs="Times New Roman"/>
          <w:b/>
          <w:iCs/>
          <w:sz w:val="24"/>
          <w:szCs w:val="24"/>
        </w:rPr>
        <w:t xml:space="preserve">Tema 3.5 </w:t>
      </w:r>
      <w:r w:rsidR="00BA12C3" w:rsidRPr="00B31292">
        <w:rPr>
          <w:rFonts w:ascii="Garamond" w:eastAsia="Times New Roman" w:hAnsi="Garamond" w:cs="Times New Roman"/>
          <w:b/>
          <w:iCs/>
          <w:sz w:val="24"/>
          <w:szCs w:val="24"/>
        </w:rPr>
        <w:t>“</w:t>
      </w:r>
      <w:r w:rsidRPr="00B31292">
        <w:rPr>
          <w:rFonts w:ascii="Garamond" w:eastAsia="Times New Roman" w:hAnsi="Garamond" w:cs="Times New Roman"/>
          <w:b/>
          <w:iCs/>
          <w:sz w:val="24"/>
          <w:szCs w:val="24"/>
        </w:rPr>
        <w:t xml:space="preserve">Tregtia e </w:t>
      </w:r>
      <w:r w:rsidR="00F353A8" w:rsidRPr="00B31292">
        <w:rPr>
          <w:rFonts w:ascii="Garamond" w:eastAsia="Times New Roman" w:hAnsi="Garamond" w:cs="Times New Roman"/>
          <w:b/>
          <w:iCs/>
          <w:sz w:val="24"/>
          <w:szCs w:val="24"/>
        </w:rPr>
        <w:t>jashtme</w:t>
      </w:r>
      <w:r w:rsidR="00BA12C3" w:rsidRPr="00B31292">
        <w:rPr>
          <w:rFonts w:ascii="Garamond" w:eastAsia="Times New Roman" w:hAnsi="Garamond" w:cs="Times New Roman"/>
          <w:b/>
          <w:iCs/>
          <w:sz w:val="24"/>
          <w:szCs w:val="24"/>
        </w:rPr>
        <w:t>”</w:t>
      </w:r>
    </w:p>
    <w:p w14:paraId="08D6065A" w14:textId="77777777" w:rsidR="00EB6FD5" w:rsidRPr="00B31292" w:rsidRDefault="00EB6FD5" w:rsidP="003A4DBA">
      <w:pPr>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 xml:space="preserve">Kjo temë është e ndarë në </w:t>
      </w:r>
      <w:r w:rsidR="004D69B4" w:rsidRPr="00B31292">
        <w:rPr>
          <w:rFonts w:ascii="Garamond" w:hAnsi="Garamond" w:cs="Times New Roman"/>
          <w:sz w:val="24"/>
          <w:szCs w:val="24"/>
        </w:rPr>
        <w:t>2</w:t>
      </w:r>
      <w:r w:rsidRPr="00B31292">
        <w:rPr>
          <w:rFonts w:ascii="Garamond" w:hAnsi="Garamond" w:cs="Times New Roman"/>
          <w:sz w:val="24"/>
          <w:szCs w:val="24"/>
        </w:rPr>
        <w:t xml:space="preserve"> nëntema: </w:t>
      </w:r>
    </w:p>
    <w:p w14:paraId="15BE6C09" w14:textId="4B3B4C35" w:rsidR="004D69B4" w:rsidRPr="00B31292" w:rsidRDefault="004008A5" w:rsidP="003A4DBA">
      <w:pPr>
        <w:spacing w:after="0" w:line="240" w:lineRule="auto"/>
        <w:ind w:firstLine="284"/>
        <w:jc w:val="both"/>
        <w:rPr>
          <w:rFonts w:ascii="Garamond" w:hAnsi="Garamond" w:cs="Times New Roman"/>
          <w:i/>
          <w:sz w:val="24"/>
          <w:szCs w:val="24"/>
        </w:rPr>
      </w:pPr>
      <w:r w:rsidRPr="00B31292">
        <w:rPr>
          <w:rFonts w:ascii="Garamond" w:hAnsi="Garamond" w:cs="Times New Roman"/>
          <w:i/>
          <w:sz w:val="24"/>
          <w:szCs w:val="24"/>
        </w:rPr>
        <w:t xml:space="preserve">3.5.1 Statistikat e </w:t>
      </w:r>
      <w:r w:rsidR="00F353A8" w:rsidRPr="00B31292">
        <w:rPr>
          <w:rFonts w:ascii="Garamond" w:hAnsi="Garamond" w:cs="Times New Roman"/>
          <w:i/>
          <w:sz w:val="24"/>
          <w:szCs w:val="24"/>
        </w:rPr>
        <w:t xml:space="preserve">investimeve </w:t>
      </w:r>
      <w:r w:rsidRPr="00B31292">
        <w:rPr>
          <w:rFonts w:ascii="Garamond" w:hAnsi="Garamond" w:cs="Times New Roman"/>
          <w:i/>
          <w:sz w:val="24"/>
          <w:szCs w:val="24"/>
        </w:rPr>
        <w:t xml:space="preserve">të huaja direkte dhe </w:t>
      </w:r>
      <w:r w:rsidR="00F353A8" w:rsidRPr="00B31292">
        <w:rPr>
          <w:rFonts w:ascii="Garamond" w:hAnsi="Garamond" w:cs="Times New Roman"/>
          <w:i/>
          <w:sz w:val="24"/>
          <w:szCs w:val="24"/>
        </w:rPr>
        <w:t xml:space="preserve">tregtisë </w:t>
      </w:r>
      <w:r w:rsidRPr="00B31292">
        <w:rPr>
          <w:rFonts w:ascii="Garamond" w:hAnsi="Garamond" w:cs="Times New Roman"/>
          <w:i/>
          <w:sz w:val="24"/>
          <w:szCs w:val="24"/>
        </w:rPr>
        <w:t>ndërkombëtare të shërbimeve</w:t>
      </w:r>
    </w:p>
    <w:p w14:paraId="454357BB" w14:textId="24AFF7D1" w:rsidR="004008A5" w:rsidRPr="00B31292" w:rsidRDefault="004008A5" w:rsidP="003A4DBA">
      <w:pPr>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Statistikat e investimeve të huaja janë pjesë integrale e statistikave të bilancit të pagesave dhe pozicionit të investimeve ndërkombëtare dhe si statistika specifike me ndarje sipas aktivitetit ekonomik NVE dhe ndarje gjeografike (shteteve), statistika të cilat prodhohen nga Banka e Shqipërisë me frekuencë tremujore. Të dhënat për llogaritjen e statistikave të investimeve të huaja, sigurohen nga raportimet mujore të sistemit bankar, nga bilancet mujore dhe tremujore të institucioneve financiare (banka dhe jobanka), nga raportimet direkte të kompanive të mëdha me kapital të huaj dhe të përbashkëta shqiptare – të huaja; nga institucione të tjera administrative, si Agjencia Kombëtare e Burimeve Natyrore dhe Qendra Kombëtare e Biznesit, dhe informacione nga shkëmbime të ndërsjella dypalëshe me Kosovën. Në përgatitjen e statistikave të investimeve të huaja, Banka e Shqipërisë zbaton kërkesat dhe standardet e manualeve metodologjik</w:t>
      </w:r>
      <w:r w:rsidR="00F353A8" w:rsidRPr="00B31292">
        <w:rPr>
          <w:rFonts w:ascii="Garamond" w:hAnsi="Garamond" w:cs="Times New Roman"/>
          <w:sz w:val="24"/>
          <w:szCs w:val="24"/>
        </w:rPr>
        <w:t>e</w:t>
      </w:r>
      <w:r w:rsidRPr="00B31292">
        <w:rPr>
          <w:rFonts w:ascii="Garamond" w:hAnsi="Garamond" w:cs="Times New Roman"/>
          <w:sz w:val="24"/>
          <w:szCs w:val="24"/>
        </w:rPr>
        <w:t xml:space="preserve"> të FMN-së (BPM6-2009) dhe OECD-së (BD4).</w:t>
      </w:r>
    </w:p>
    <w:p w14:paraId="43897F32" w14:textId="42B75FDC" w:rsidR="004008A5" w:rsidRPr="00B31292" w:rsidRDefault="004008A5" w:rsidP="003A4DBA">
      <w:pPr>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 xml:space="preserve">Statistikat e </w:t>
      </w:r>
      <w:r w:rsidR="00F353A8" w:rsidRPr="00B31292">
        <w:rPr>
          <w:rFonts w:ascii="Garamond" w:hAnsi="Garamond" w:cs="Times New Roman"/>
          <w:sz w:val="24"/>
          <w:szCs w:val="24"/>
        </w:rPr>
        <w:t>t</w:t>
      </w:r>
      <w:r w:rsidRPr="00B31292">
        <w:rPr>
          <w:rFonts w:ascii="Garamond" w:hAnsi="Garamond" w:cs="Times New Roman"/>
          <w:sz w:val="24"/>
          <w:szCs w:val="24"/>
        </w:rPr>
        <w:t>regtisë ndërkombëtare të shërbimeve mbulohen</w:t>
      </w:r>
      <w:r w:rsidR="00F353A8" w:rsidRPr="00B31292">
        <w:rPr>
          <w:rFonts w:ascii="Garamond" w:hAnsi="Garamond" w:cs="Times New Roman"/>
          <w:sz w:val="24"/>
          <w:szCs w:val="24"/>
        </w:rPr>
        <w:t>,</w:t>
      </w:r>
      <w:r w:rsidRPr="00B31292">
        <w:rPr>
          <w:rFonts w:ascii="Garamond" w:hAnsi="Garamond" w:cs="Times New Roman"/>
          <w:sz w:val="24"/>
          <w:szCs w:val="24"/>
        </w:rPr>
        <w:t xml:space="preserve"> gjithashtu</w:t>
      </w:r>
      <w:r w:rsidR="00F353A8" w:rsidRPr="00B31292">
        <w:rPr>
          <w:rFonts w:ascii="Garamond" w:hAnsi="Garamond" w:cs="Times New Roman"/>
          <w:sz w:val="24"/>
          <w:szCs w:val="24"/>
        </w:rPr>
        <w:t>,</w:t>
      </w:r>
      <w:r w:rsidRPr="00B31292">
        <w:rPr>
          <w:rFonts w:ascii="Garamond" w:hAnsi="Garamond" w:cs="Times New Roman"/>
          <w:sz w:val="24"/>
          <w:szCs w:val="24"/>
        </w:rPr>
        <w:t xml:space="preserve"> nga Banka e Shqipërisë. Statistikat e tregtisë ndërkombëtare të shërbimeve janë pjesë integrale e statistikave të bilancit të pagesave në frekuencë tremujore</w:t>
      </w:r>
      <w:r w:rsidR="00F353A8" w:rsidRPr="00B31292">
        <w:rPr>
          <w:rFonts w:ascii="Garamond" w:hAnsi="Garamond" w:cs="Times New Roman"/>
          <w:sz w:val="24"/>
          <w:szCs w:val="24"/>
        </w:rPr>
        <w:t>,</w:t>
      </w:r>
      <w:r w:rsidRPr="00B31292">
        <w:rPr>
          <w:rFonts w:ascii="Garamond" w:hAnsi="Garamond" w:cs="Times New Roman"/>
          <w:sz w:val="24"/>
          <w:szCs w:val="24"/>
        </w:rPr>
        <w:t xml:space="preserve"> si dhe si statistika specifike me ndarje gjeografike me frekuencë vjetore. Statistikat e shërbimeve prodhohen nga përpunimi i të dhënave të siguruara nga Banka e Shqipërisë, INSTAT-i, Ministria e Brendshme, Ministria e Financave, Autoriteti i Mbikëqyrjes Financiare, Qendra Kombëtare e Biznesit, Drejtoria e Përgjithshme e Doganave</w:t>
      </w:r>
      <w:r w:rsidR="00DD0FDD" w:rsidRPr="00B31292">
        <w:rPr>
          <w:rFonts w:ascii="Garamond" w:hAnsi="Garamond" w:cs="Times New Roman"/>
          <w:sz w:val="24"/>
          <w:szCs w:val="24"/>
        </w:rPr>
        <w:t>,</w:t>
      </w:r>
      <w:r w:rsidRPr="00B31292">
        <w:rPr>
          <w:rFonts w:ascii="Garamond" w:hAnsi="Garamond" w:cs="Times New Roman"/>
          <w:sz w:val="24"/>
          <w:szCs w:val="24"/>
        </w:rPr>
        <w:t xml:space="preserve"> si dhe të dhëna të tjera nga vrojtime statistikore pranë kompanive private dhe individëve. Në përgatitjen e statistikave ndërkombëtare të shërbimeve aplikohen rekomandimet e manualit për bilancin e pagesave (BPM6-FMN)</w:t>
      </w:r>
      <w:r w:rsidR="00DD0FDD" w:rsidRPr="00B31292">
        <w:rPr>
          <w:rFonts w:ascii="Garamond" w:hAnsi="Garamond" w:cs="Times New Roman"/>
          <w:sz w:val="24"/>
          <w:szCs w:val="24"/>
        </w:rPr>
        <w:t>,</w:t>
      </w:r>
      <w:r w:rsidRPr="00B31292">
        <w:rPr>
          <w:rFonts w:ascii="Garamond" w:hAnsi="Garamond" w:cs="Times New Roman"/>
          <w:sz w:val="24"/>
          <w:szCs w:val="24"/>
        </w:rPr>
        <w:t xml:space="preserve"> si dhe rekomandimet e përshkruara në manualin e tregtisë ndërkombëtare të shërbimeve (2010).</w:t>
      </w:r>
    </w:p>
    <w:p w14:paraId="0CE167FA" w14:textId="1579093D" w:rsidR="005359FE" w:rsidRPr="00B31292" w:rsidRDefault="005359FE" w:rsidP="003A4DBA">
      <w:pPr>
        <w:spacing w:after="0" w:line="240" w:lineRule="auto"/>
        <w:ind w:firstLine="284"/>
        <w:jc w:val="both"/>
        <w:rPr>
          <w:rFonts w:ascii="Garamond" w:hAnsi="Garamond"/>
          <w:sz w:val="24"/>
          <w:szCs w:val="24"/>
        </w:rPr>
      </w:pPr>
      <w:r w:rsidRPr="00B31292">
        <w:rPr>
          <w:rFonts w:ascii="Garamond" w:hAnsi="Garamond"/>
          <w:i/>
          <w:sz w:val="24"/>
          <w:szCs w:val="24"/>
        </w:rPr>
        <w:t>3.5.</w:t>
      </w:r>
      <w:r w:rsidRPr="00B31292">
        <w:rPr>
          <w:rFonts w:ascii="Garamond" w:hAnsi="Garamond" w:cs="Times New Roman"/>
          <w:i/>
          <w:sz w:val="24"/>
          <w:szCs w:val="24"/>
        </w:rPr>
        <w:t xml:space="preserve">2 </w:t>
      </w:r>
      <w:r w:rsidR="00BA12C3" w:rsidRPr="00B31292">
        <w:rPr>
          <w:rFonts w:ascii="Garamond" w:hAnsi="Garamond"/>
          <w:i/>
          <w:sz w:val="24"/>
          <w:szCs w:val="24"/>
        </w:rPr>
        <w:t>“</w:t>
      </w:r>
      <w:r w:rsidRPr="00B31292">
        <w:rPr>
          <w:rFonts w:ascii="Garamond" w:hAnsi="Garamond"/>
          <w:i/>
          <w:sz w:val="24"/>
          <w:szCs w:val="24"/>
        </w:rPr>
        <w:t>Statistikat e tregtisë së jashtme të mallrave</w:t>
      </w:r>
      <w:r w:rsidR="00BA12C3" w:rsidRPr="00B31292">
        <w:rPr>
          <w:rFonts w:ascii="Garamond" w:hAnsi="Garamond"/>
          <w:i/>
          <w:sz w:val="24"/>
          <w:szCs w:val="24"/>
        </w:rPr>
        <w:t>”</w:t>
      </w:r>
      <w:r w:rsidRPr="00B31292">
        <w:rPr>
          <w:rFonts w:ascii="Garamond" w:hAnsi="Garamond"/>
          <w:sz w:val="24"/>
          <w:szCs w:val="24"/>
        </w:rPr>
        <w:t xml:space="preserve">. Në këtë nëntemë përfshihen </w:t>
      </w:r>
      <w:r w:rsidR="00F353A8" w:rsidRPr="00B31292">
        <w:rPr>
          <w:rFonts w:ascii="Garamond" w:hAnsi="Garamond" w:cs="Times New Roman"/>
          <w:sz w:val="24"/>
          <w:szCs w:val="24"/>
        </w:rPr>
        <w:t>s</w:t>
      </w:r>
      <w:r w:rsidRPr="00B31292">
        <w:rPr>
          <w:rFonts w:ascii="Garamond" w:hAnsi="Garamond" w:cs="Times New Roman"/>
          <w:sz w:val="24"/>
          <w:szCs w:val="24"/>
        </w:rPr>
        <w:t>tatistika</w:t>
      </w:r>
      <w:r w:rsidR="00382EC5" w:rsidRPr="00B31292">
        <w:rPr>
          <w:rFonts w:ascii="Garamond" w:hAnsi="Garamond" w:cs="Times New Roman"/>
          <w:sz w:val="24"/>
          <w:szCs w:val="24"/>
        </w:rPr>
        <w:t>t</w:t>
      </w:r>
      <w:r w:rsidRPr="00B31292">
        <w:rPr>
          <w:rFonts w:ascii="Garamond" w:hAnsi="Garamond" w:cs="Times New Roman"/>
          <w:sz w:val="24"/>
          <w:szCs w:val="24"/>
        </w:rPr>
        <w:t xml:space="preserve"> mbi eksportet/importet e mallrave, </w:t>
      </w:r>
      <w:r w:rsidRPr="00B31292">
        <w:rPr>
          <w:rFonts w:ascii="Garamond" w:hAnsi="Garamond"/>
          <w:sz w:val="24"/>
          <w:szCs w:val="24"/>
        </w:rPr>
        <w:t>të cilat do të prodhohen nga INSTAT</w:t>
      </w:r>
      <w:r w:rsidR="007843CA" w:rsidRPr="00B31292">
        <w:rPr>
          <w:rFonts w:ascii="Garamond" w:hAnsi="Garamond"/>
          <w:sz w:val="24"/>
          <w:szCs w:val="24"/>
        </w:rPr>
        <w:t>-i</w:t>
      </w:r>
      <w:r w:rsidRPr="00B31292">
        <w:rPr>
          <w:rFonts w:ascii="Garamond" w:hAnsi="Garamond"/>
          <w:sz w:val="24"/>
          <w:szCs w:val="24"/>
        </w:rPr>
        <w:t xml:space="preserve"> me frekuencë mujore</w:t>
      </w:r>
      <w:r w:rsidR="00223207" w:rsidRPr="00B31292">
        <w:rPr>
          <w:rFonts w:ascii="Garamond" w:hAnsi="Garamond"/>
          <w:sz w:val="24"/>
          <w:szCs w:val="24"/>
        </w:rPr>
        <w:t>,</w:t>
      </w:r>
      <w:r w:rsidRPr="00B31292">
        <w:rPr>
          <w:rFonts w:ascii="Garamond" w:hAnsi="Garamond"/>
          <w:sz w:val="24"/>
          <w:szCs w:val="24"/>
        </w:rPr>
        <w:t xml:space="preserve"> nëpërmjet përpunimit të të dhënave të marra nga Drejtoria e Përgjithshme e Doganave</w:t>
      </w:r>
      <w:r w:rsidR="00223207" w:rsidRPr="00B31292">
        <w:rPr>
          <w:rFonts w:ascii="Garamond" w:hAnsi="Garamond"/>
          <w:sz w:val="24"/>
          <w:szCs w:val="24"/>
        </w:rPr>
        <w:t xml:space="preserve"> dhe </w:t>
      </w:r>
      <w:r w:rsidR="002044F7" w:rsidRPr="00B31292">
        <w:rPr>
          <w:rFonts w:ascii="Garamond" w:hAnsi="Garamond" w:cs="Times New Roman"/>
          <w:sz w:val="24"/>
          <w:szCs w:val="24"/>
        </w:rPr>
        <w:t xml:space="preserve">statistikat </w:t>
      </w:r>
      <w:r w:rsidRPr="00B31292">
        <w:rPr>
          <w:rFonts w:ascii="Garamond" w:hAnsi="Garamond" w:cs="Times New Roman"/>
          <w:sz w:val="24"/>
          <w:szCs w:val="24"/>
        </w:rPr>
        <w:t>mbi eksportet/importet e mallrave sipas karakteristikave të ndërmarrjeve, të cilat do të prodhohen nga INSTAT</w:t>
      </w:r>
      <w:r w:rsidR="00F353A8" w:rsidRPr="00B31292">
        <w:rPr>
          <w:rFonts w:ascii="Garamond" w:hAnsi="Garamond" w:cs="Times New Roman"/>
          <w:sz w:val="24"/>
          <w:szCs w:val="24"/>
        </w:rPr>
        <w:t>-i</w:t>
      </w:r>
      <w:r w:rsidRPr="00B31292">
        <w:rPr>
          <w:rFonts w:ascii="Garamond" w:hAnsi="Garamond" w:cs="Times New Roman"/>
          <w:sz w:val="24"/>
          <w:szCs w:val="24"/>
        </w:rPr>
        <w:t xml:space="preserve"> me frekuencë vjetore nëpërmjet përpunimit të të dhënave të marra nga Drejtoria e Përgjithshme e Doganave dhe skedarit të ndërmarrjeve që disponon INSTAT</w:t>
      </w:r>
      <w:r w:rsidR="007843CA" w:rsidRPr="00B31292">
        <w:rPr>
          <w:rFonts w:ascii="Garamond" w:hAnsi="Garamond" w:cs="Times New Roman"/>
          <w:sz w:val="24"/>
          <w:szCs w:val="24"/>
        </w:rPr>
        <w:t>-i</w:t>
      </w:r>
      <w:r w:rsidRPr="00B31292">
        <w:rPr>
          <w:rFonts w:ascii="Garamond" w:hAnsi="Garamond" w:cs="Times New Roman"/>
          <w:sz w:val="24"/>
          <w:szCs w:val="24"/>
        </w:rPr>
        <w:t>.</w:t>
      </w:r>
    </w:p>
    <w:p w14:paraId="3E5E87E2" w14:textId="6F28976D" w:rsidR="005359FE" w:rsidRPr="00B31292" w:rsidRDefault="005359FE" w:rsidP="003A4DBA">
      <w:pPr>
        <w:spacing w:after="0" w:line="240" w:lineRule="auto"/>
        <w:ind w:firstLine="284"/>
        <w:jc w:val="both"/>
        <w:rPr>
          <w:rFonts w:ascii="Garamond" w:hAnsi="Garamond" w:cs="Times New Roman"/>
          <w:sz w:val="24"/>
          <w:szCs w:val="24"/>
        </w:rPr>
      </w:pPr>
      <w:r w:rsidRPr="00B31292">
        <w:rPr>
          <w:rFonts w:ascii="Garamond" w:hAnsi="Garamond" w:cs="Times New Roman"/>
          <w:b/>
          <w:sz w:val="24"/>
          <w:szCs w:val="24"/>
        </w:rPr>
        <w:t xml:space="preserve">Treguesit kryesorë: </w:t>
      </w:r>
      <w:r w:rsidRPr="00B31292">
        <w:rPr>
          <w:rFonts w:ascii="Garamond" w:hAnsi="Garamond" w:cs="Times New Roman"/>
          <w:sz w:val="24"/>
          <w:szCs w:val="24"/>
        </w:rPr>
        <w:t xml:space="preserve">Tregues statistikorë mbi investimet e huaja fluks dhe stok sipas shteteve; </w:t>
      </w:r>
      <w:r w:rsidR="00F353A8" w:rsidRPr="00B31292">
        <w:rPr>
          <w:rFonts w:ascii="Garamond" w:hAnsi="Garamond" w:cs="Times New Roman"/>
          <w:sz w:val="24"/>
          <w:szCs w:val="24"/>
        </w:rPr>
        <w:t>t</w:t>
      </w:r>
      <w:r w:rsidRPr="00B31292">
        <w:rPr>
          <w:rFonts w:ascii="Garamond" w:hAnsi="Garamond" w:cs="Times New Roman"/>
          <w:sz w:val="24"/>
          <w:szCs w:val="24"/>
        </w:rPr>
        <w:t xml:space="preserve">regues statistikorë mbi investimet e huaja fluks dhe stok sipas aktivitetit ekonomik. Tregues </w:t>
      </w:r>
      <w:r w:rsidRPr="00B31292">
        <w:rPr>
          <w:rFonts w:ascii="Garamond" w:hAnsi="Garamond" w:cs="Times New Roman"/>
          <w:sz w:val="24"/>
          <w:szCs w:val="24"/>
        </w:rPr>
        <w:lastRenderedPageBreak/>
        <w:t xml:space="preserve">statistikorë mbi tregtinë ndërkombëtare të shërbimeve me ndarje gjeografike (sipas shteteve). </w:t>
      </w:r>
      <w:r w:rsidR="002044F7" w:rsidRPr="00B31292">
        <w:rPr>
          <w:rFonts w:ascii="Garamond" w:hAnsi="Garamond" w:cs="Times New Roman"/>
          <w:sz w:val="24"/>
          <w:szCs w:val="24"/>
        </w:rPr>
        <w:t xml:space="preserve">tregues </w:t>
      </w:r>
      <w:r w:rsidRPr="00B31292">
        <w:rPr>
          <w:rFonts w:ascii="Garamond" w:hAnsi="Garamond" w:cs="Times New Roman"/>
          <w:sz w:val="24"/>
          <w:szCs w:val="24"/>
        </w:rPr>
        <w:t xml:space="preserve">statistikorë mbi eksportet/importet e mallrave; </w:t>
      </w:r>
      <w:r w:rsidR="002044F7" w:rsidRPr="00B31292">
        <w:rPr>
          <w:rFonts w:ascii="Garamond" w:hAnsi="Garamond" w:cs="Times New Roman"/>
          <w:sz w:val="24"/>
          <w:szCs w:val="24"/>
        </w:rPr>
        <w:t xml:space="preserve">tregues </w:t>
      </w:r>
      <w:r w:rsidRPr="00B31292">
        <w:rPr>
          <w:rFonts w:ascii="Garamond" w:hAnsi="Garamond" w:cs="Times New Roman"/>
          <w:sz w:val="24"/>
          <w:szCs w:val="24"/>
        </w:rPr>
        <w:t>statistikorë mbi eksportet/</w:t>
      </w:r>
      <w:r w:rsidR="00F353A8" w:rsidRPr="00B31292">
        <w:rPr>
          <w:rFonts w:ascii="Garamond" w:hAnsi="Garamond" w:cs="Times New Roman"/>
          <w:sz w:val="24"/>
          <w:szCs w:val="24"/>
        </w:rPr>
        <w:t xml:space="preserve"> </w:t>
      </w:r>
      <w:r w:rsidRPr="00B31292">
        <w:rPr>
          <w:rFonts w:ascii="Garamond" w:hAnsi="Garamond" w:cs="Times New Roman"/>
          <w:sz w:val="24"/>
          <w:szCs w:val="24"/>
        </w:rPr>
        <w:t>importet e mallrave sipas karakteristikave të ndërmarrjeve.</w:t>
      </w:r>
    </w:p>
    <w:p w14:paraId="4B8FCD6E" w14:textId="378D290D" w:rsidR="005359FE" w:rsidRPr="00B31292" w:rsidRDefault="005359FE" w:rsidP="003A4DBA">
      <w:pPr>
        <w:spacing w:after="0" w:line="240" w:lineRule="auto"/>
        <w:ind w:firstLine="284"/>
        <w:jc w:val="both"/>
        <w:rPr>
          <w:rFonts w:ascii="Garamond" w:hAnsi="Garamond" w:cs="Times New Roman"/>
          <w:b/>
          <w:sz w:val="24"/>
          <w:szCs w:val="24"/>
        </w:rPr>
      </w:pPr>
      <w:r w:rsidRPr="00B31292">
        <w:rPr>
          <w:rFonts w:ascii="Garamond" w:hAnsi="Garamond" w:cs="Times New Roman"/>
          <w:b/>
          <w:sz w:val="24"/>
          <w:szCs w:val="24"/>
        </w:rPr>
        <w:t xml:space="preserve">Përputhshmëria me </w:t>
      </w:r>
      <w:r w:rsidRPr="00B31292">
        <w:rPr>
          <w:rFonts w:ascii="Garamond" w:hAnsi="Garamond" w:cs="Times New Roman"/>
          <w:b/>
          <w:i/>
          <w:sz w:val="24"/>
          <w:szCs w:val="24"/>
        </w:rPr>
        <w:t>acquis</w:t>
      </w:r>
      <w:r w:rsidRPr="00B31292">
        <w:rPr>
          <w:rFonts w:ascii="Garamond" w:hAnsi="Garamond" w:cs="Times New Roman"/>
          <w:b/>
          <w:sz w:val="24"/>
          <w:szCs w:val="24"/>
        </w:rPr>
        <w:t xml:space="preserve">: </w:t>
      </w:r>
      <w:r w:rsidRPr="00B31292">
        <w:rPr>
          <w:rFonts w:ascii="Garamond" w:hAnsi="Garamond" w:cs="Times New Roman"/>
          <w:bCs/>
          <w:iCs/>
          <w:sz w:val="24"/>
          <w:szCs w:val="24"/>
        </w:rPr>
        <w:t>Mbështetur në programin e monitorimit të përputhshmërisë</w:t>
      </w:r>
      <w:r w:rsidRPr="00B31292">
        <w:rPr>
          <w:rFonts w:ascii="Garamond" w:hAnsi="Garamond" w:cs="Times New Roman"/>
          <w:sz w:val="24"/>
          <w:szCs w:val="24"/>
          <w:lang w:eastAsia="en-GB"/>
        </w:rPr>
        <w:t xml:space="preserve">, </w:t>
      </w:r>
      <w:r w:rsidR="009C0CE9" w:rsidRPr="00B31292">
        <w:rPr>
          <w:rFonts w:ascii="Garamond" w:hAnsi="Garamond" w:cs="Times New Roman"/>
          <w:sz w:val="24"/>
          <w:szCs w:val="24"/>
          <w:lang w:eastAsia="en-GB"/>
        </w:rPr>
        <w:t>Eurostat</w:t>
      </w:r>
      <w:r w:rsidR="00F353A8" w:rsidRPr="00B31292">
        <w:rPr>
          <w:rFonts w:ascii="Garamond" w:hAnsi="Garamond" w:cs="Times New Roman"/>
          <w:sz w:val="24"/>
          <w:szCs w:val="24"/>
          <w:lang w:eastAsia="en-GB"/>
        </w:rPr>
        <w:t>i</w:t>
      </w:r>
      <w:r w:rsidRPr="00B31292">
        <w:rPr>
          <w:rFonts w:ascii="Garamond" w:hAnsi="Garamond" w:cs="Times New Roman"/>
          <w:sz w:val="24"/>
          <w:szCs w:val="24"/>
          <w:lang w:eastAsia="en-GB"/>
        </w:rPr>
        <w:t xml:space="preserve"> vlerëson </w:t>
      </w:r>
      <w:r w:rsidR="007554BC" w:rsidRPr="00B31292">
        <w:rPr>
          <w:rFonts w:ascii="Garamond" w:hAnsi="Garamond" w:cs="Times New Roman"/>
          <w:sz w:val="24"/>
          <w:szCs w:val="24"/>
          <w:lang w:eastAsia="en-GB"/>
        </w:rPr>
        <w:t>pjesërisht në</w:t>
      </w:r>
      <w:r w:rsidRPr="00B31292">
        <w:rPr>
          <w:rFonts w:ascii="Garamond" w:hAnsi="Garamond" w:cs="Times New Roman"/>
          <w:sz w:val="24"/>
          <w:szCs w:val="24"/>
          <w:lang w:eastAsia="en-GB"/>
        </w:rPr>
        <w:t xml:space="preserve"> përputh</w:t>
      </w:r>
      <w:r w:rsidR="007554BC" w:rsidRPr="00B31292">
        <w:rPr>
          <w:rFonts w:ascii="Garamond" w:hAnsi="Garamond" w:cs="Times New Roman"/>
          <w:sz w:val="24"/>
          <w:szCs w:val="24"/>
          <w:lang w:eastAsia="en-GB"/>
        </w:rPr>
        <w:t>je</w:t>
      </w:r>
      <w:r w:rsidRPr="00B31292">
        <w:rPr>
          <w:rFonts w:ascii="Garamond" w:hAnsi="Garamond" w:cs="Times New Roman"/>
          <w:sz w:val="24"/>
          <w:szCs w:val="24"/>
          <w:lang w:eastAsia="en-GB"/>
        </w:rPr>
        <w:t xml:space="preserve"> </w:t>
      </w:r>
      <w:r w:rsidR="00F353A8" w:rsidRPr="00B31292">
        <w:rPr>
          <w:rFonts w:ascii="Garamond" w:hAnsi="Garamond" w:cs="Times New Roman"/>
          <w:sz w:val="24"/>
          <w:szCs w:val="24"/>
          <w:lang w:eastAsia="en-GB"/>
        </w:rPr>
        <w:t xml:space="preserve">me </w:t>
      </w:r>
      <w:r w:rsidRPr="00B31292">
        <w:rPr>
          <w:rFonts w:ascii="Garamond" w:hAnsi="Garamond" w:cs="Times New Roman"/>
          <w:sz w:val="24"/>
          <w:szCs w:val="24"/>
          <w:lang w:eastAsia="en-GB"/>
        </w:rPr>
        <w:t xml:space="preserve">nivelin e implementimit të metodologjisë </w:t>
      </w:r>
      <w:r w:rsidRPr="00B31292">
        <w:rPr>
          <w:rFonts w:ascii="Garamond" w:hAnsi="Garamond" w:cs="Times New Roman"/>
          <w:i/>
          <w:sz w:val="24"/>
          <w:szCs w:val="24"/>
          <w:lang w:eastAsia="en-GB"/>
        </w:rPr>
        <w:t xml:space="preserve">së investimeve të huaja direkte </w:t>
      </w:r>
      <w:r w:rsidRPr="00B31292">
        <w:rPr>
          <w:rFonts w:ascii="Garamond" w:hAnsi="Garamond" w:cs="Times New Roman"/>
          <w:sz w:val="24"/>
          <w:szCs w:val="24"/>
          <w:lang w:eastAsia="en-GB"/>
        </w:rPr>
        <w:t xml:space="preserve">dhe </w:t>
      </w:r>
      <w:r w:rsidRPr="00B31292">
        <w:rPr>
          <w:rFonts w:ascii="Garamond" w:hAnsi="Garamond" w:cs="Times New Roman"/>
          <w:i/>
          <w:sz w:val="24"/>
          <w:szCs w:val="24"/>
          <w:lang w:eastAsia="en-GB"/>
        </w:rPr>
        <w:t>tregtisë ndërkombëtare të shërbimeve</w:t>
      </w:r>
      <w:r w:rsidRPr="00B31292">
        <w:rPr>
          <w:rFonts w:ascii="Garamond" w:hAnsi="Garamond" w:cs="Times New Roman"/>
          <w:sz w:val="24"/>
          <w:szCs w:val="24"/>
          <w:lang w:eastAsia="en-GB"/>
        </w:rPr>
        <w:t>, si dhe kritereve të transmetimit të këtyre të dhënave.</w:t>
      </w:r>
    </w:p>
    <w:p w14:paraId="66C8D71D" w14:textId="0346281D" w:rsidR="005359FE" w:rsidRPr="00B31292" w:rsidRDefault="005359FE" w:rsidP="003A4DBA">
      <w:pPr>
        <w:spacing w:after="0" w:line="240" w:lineRule="auto"/>
        <w:ind w:firstLine="284"/>
        <w:jc w:val="both"/>
        <w:rPr>
          <w:rFonts w:ascii="Garamond" w:hAnsi="Garamond" w:cs="Times New Roman"/>
          <w:b/>
          <w:sz w:val="24"/>
          <w:szCs w:val="24"/>
        </w:rPr>
      </w:pPr>
      <w:r w:rsidRPr="00B31292">
        <w:rPr>
          <w:rFonts w:ascii="Garamond" w:hAnsi="Garamond" w:cs="Times New Roman"/>
          <w:i/>
          <w:sz w:val="24"/>
          <w:szCs w:val="24"/>
        </w:rPr>
        <w:t>Statistikat e tregtisë së jashtme</w:t>
      </w:r>
      <w:r w:rsidRPr="00B31292">
        <w:rPr>
          <w:rFonts w:ascii="Garamond" w:hAnsi="Garamond" w:cs="Times New Roman"/>
          <w:sz w:val="24"/>
          <w:szCs w:val="24"/>
        </w:rPr>
        <w:t xml:space="preserve"> janë përafruar pjesërisht me </w:t>
      </w:r>
      <w:r w:rsidR="00F353A8" w:rsidRPr="00B31292">
        <w:rPr>
          <w:rFonts w:ascii="Garamond" w:hAnsi="Garamond" w:cs="Times New Roman"/>
          <w:sz w:val="24"/>
          <w:szCs w:val="24"/>
        </w:rPr>
        <w:t>r</w:t>
      </w:r>
      <w:r w:rsidRPr="00B31292">
        <w:rPr>
          <w:rFonts w:ascii="Garamond" w:hAnsi="Garamond" w:cs="Times New Roman"/>
          <w:sz w:val="24"/>
          <w:szCs w:val="24"/>
        </w:rPr>
        <w:t xml:space="preserve">regulloren (KE) </w:t>
      </w:r>
      <w:r w:rsidR="007843CA" w:rsidRPr="00B31292">
        <w:rPr>
          <w:rFonts w:ascii="Garamond" w:hAnsi="Garamond" w:cs="Times New Roman"/>
          <w:sz w:val="24"/>
          <w:szCs w:val="24"/>
        </w:rPr>
        <w:t>n</w:t>
      </w:r>
      <w:r w:rsidRPr="00B31292">
        <w:rPr>
          <w:rFonts w:ascii="Garamond" w:hAnsi="Garamond" w:cs="Times New Roman"/>
          <w:sz w:val="24"/>
          <w:szCs w:val="24"/>
        </w:rPr>
        <w:t>r. 2019/2152</w:t>
      </w:r>
      <w:r w:rsidR="007843CA" w:rsidRPr="00B31292">
        <w:rPr>
          <w:rFonts w:ascii="Garamond" w:hAnsi="Garamond" w:cs="Times New Roman"/>
          <w:sz w:val="24"/>
          <w:szCs w:val="24"/>
        </w:rPr>
        <w:t>,</w:t>
      </w:r>
      <w:r w:rsidRPr="00B31292">
        <w:rPr>
          <w:rFonts w:ascii="Garamond" w:hAnsi="Garamond" w:cs="Times New Roman"/>
          <w:sz w:val="24"/>
          <w:szCs w:val="24"/>
        </w:rPr>
        <w:t xml:space="preserve"> të Parlamentit Evropian dhe të Këshillit </w:t>
      </w:r>
      <w:r w:rsidR="00BA12C3" w:rsidRPr="00B31292">
        <w:rPr>
          <w:rFonts w:ascii="Garamond" w:hAnsi="Garamond" w:cs="Times New Roman"/>
          <w:sz w:val="24"/>
          <w:szCs w:val="24"/>
        </w:rPr>
        <w:t>“</w:t>
      </w:r>
      <w:r w:rsidRPr="00B31292">
        <w:rPr>
          <w:rFonts w:ascii="Garamond" w:hAnsi="Garamond" w:cs="Times New Roman"/>
          <w:sz w:val="24"/>
          <w:szCs w:val="24"/>
        </w:rPr>
        <w:t>Për statistikat e evropiane të biznesit</w:t>
      </w:r>
      <w:r w:rsidR="00BA12C3" w:rsidRPr="00B31292">
        <w:rPr>
          <w:rFonts w:ascii="Garamond" w:hAnsi="Garamond" w:cs="Times New Roman"/>
          <w:sz w:val="24"/>
          <w:szCs w:val="24"/>
        </w:rPr>
        <w:t>”</w:t>
      </w:r>
      <w:r w:rsidRPr="00B31292">
        <w:rPr>
          <w:rFonts w:ascii="Garamond" w:hAnsi="Garamond" w:cs="Times New Roman"/>
          <w:sz w:val="24"/>
          <w:szCs w:val="24"/>
        </w:rPr>
        <w:t xml:space="preserve">. Të dhënat e hollësishme të tregtisë së jashtme transmetohen rregullisht në </w:t>
      </w:r>
      <w:r w:rsidR="009C0CE9" w:rsidRPr="00B31292">
        <w:rPr>
          <w:rFonts w:ascii="Garamond" w:hAnsi="Garamond" w:cs="Times New Roman"/>
          <w:sz w:val="24"/>
          <w:szCs w:val="24"/>
        </w:rPr>
        <w:t>Eurostat</w:t>
      </w:r>
      <w:r w:rsidRPr="00B31292">
        <w:rPr>
          <w:rFonts w:ascii="Garamond" w:hAnsi="Garamond" w:cs="Times New Roman"/>
          <w:sz w:val="24"/>
          <w:szCs w:val="24"/>
        </w:rPr>
        <w:t xml:space="preserve"> çdo muaj. Statistikat e tregtisë sipas monedhës së faturës (tabelat TIC) dërgohen rregullisht në </w:t>
      </w:r>
      <w:r w:rsidR="009C0CE9" w:rsidRPr="00B31292">
        <w:rPr>
          <w:rFonts w:ascii="Garamond" w:hAnsi="Garamond" w:cs="Times New Roman"/>
          <w:sz w:val="24"/>
          <w:szCs w:val="24"/>
        </w:rPr>
        <w:t>Eurostat</w:t>
      </w:r>
      <w:r w:rsidRPr="00B31292">
        <w:rPr>
          <w:rFonts w:ascii="Garamond" w:hAnsi="Garamond" w:cs="Times New Roman"/>
          <w:sz w:val="24"/>
          <w:szCs w:val="24"/>
        </w:rPr>
        <w:t xml:space="preserve"> një herë në dy vjet. Statistikat e tregtisë së jashtme kanë implementuar plotësisht sistemin statistikor në formatin e ri të transmetimit</w:t>
      </w:r>
      <w:r w:rsidR="002044F7" w:rsidRPr="00B31292">
        <w:rPr>
          <w:rFonts w:ascii="Garamond" w:hAnsi="Garamond" w:cs="Times New Roman"/>
          <w:sz w:val="24"/>
          <w:szCs w:val="24"/>
        </w:rPr>
        <w:t>,</w:t>
      </w:r>
      <w:r w:rsidRPr="00B31292">
        <w:rPr>
          <w:rFonts w:ascii="Garamond" w:hAnsi="Garamond" w:cs="Times New Roman"/>
          <w:sz w:val="24"/>
          <w:szCs w:val="24"/>
        </w:rPr>
        <w:t xml:space="preserve"> të detajuar në vitin </w:t>
      </w:r>
      <w:r w:rsidR="00F353A8" w:rsidRPr="00B31292">
        <w:rPr>
          <w:rFonts w:ascii="Garamond" w:hAnsi="Garamond" w:cs="Times New Roman"/>
          <w:sz w:val="24"/>
          <w:szCs w:val="24"/>
        </w:rPr>
        <w:t>m</w:t>
      </w:r>
      <w:r w:rsidRPr="00B31292">
        <w:rPr>
          <w:rFonts w:ascii="Garamond" w:hAnsi="Garamond" w:cs="Times New Roman"/>
          <w:sz w:val="24"/>
          <w:szCs w:val="24"/>
        </w:rPr>
        <w:t xml:space="preserve">ars 2023. </w:t>
      </w:r>
    </w:p>
    <w:p w14:paraId="66A72EB1" w14:textId="6CB008EC" w:rsidR="000C1398" w:rsidRPr="00B31292" w:rsidRDefault="00EB6FD5" w:rsidP="003A4DBA">
      <w:pPr>
        <w:keepNext/>
        <w:keepLines/>
        <w:spacing w:after="0" w:line="240" w:lineRule="auto"/>
        <w:ind w:firstLine="284"/>
        <w:outlineLvl w:val="4"/>
        <w:rPr>
          <w:rFonts w:ascii="Garamond" w:eastAsia="Times New Roman" w:hAnsi="Garamond" w:cs="Times New Roman"/>
          <w:b/>
          <w:iCs/>
          <w:sz w:val="24"/>
          <w:szCs w:val="24"/>
        </w:rPr>
      </w:pPr>
      <w:r w:rsidRPr="00B31292">
        <w:rPr>
          <w:rFonts w:ascii="Garamond" w:eastAsia="Times New Roman" w:hAnsi="Garamond" w:cs="Times New Roman"/>
          <w:b/>
          <w:iCs/>
          <w:sz w:val="24"/>
          <w:szCs w:val="24"/>
        </w:rPr>
        <w:t xml:space="preserve">Tema 3.6 </w:t>
      </w:r>
      <w:r w:rsidR="00BA12C3" w:rsidRPr="00B31292">
        <w:rPr>
          <w:rFonts w:ascii="Garamond" w:eastAsia="Times New Roman" w:hAnsi="Garamond" w:cs="Times New Roman"/>
          <w:b/>
          <w:iCs/>
          <w:sz w:val="24"/>
          <w:szCs w:val="24"/>
        </w:rPr>
        <w:t>“</w:t>
      </w:r>
      <w:r w:rsidRPr="00B31292">
        <w:rPr>
          <w:rFonts w:ascii="Garamond" w:eastAsia="Times New Roman" w:hAnsi="Garamond" w:cs="Times New Roman"/>
          <w:b/>
          <w:iCs/>
          <w:sz w:val="24"/>
          <w:szCs w:val="24"/>
        </w:rPr>
        <w:t xml:space="preserve">Bilanci i </w:t>
      </w:r>
      <w:r w:rsidR="00F353A8" w:rsidRPr="00B31292">
        <w:rPr>
          <w:rFonts w:ascii="Garamond" w:eastAsia="Times New Roman" w:hAnsi="Garamond" w:cs="Times New Roman"/>
          <w:b/>
          <w:iCs/>
          <w:sz w:val="24"/>
          <w:szCs w:val="24"/>
        </w:rPr>
        <w:t>p</w:t>
      </w:r>
      <w:r w:rsidRPr="00B31292">
        <w:rPr>
          <w:rFonts w:ascii="Garamond" w:eastAsia="Times New Roman" w:hAnsi="Garamond" w:cs="Times New Roman"/>
          <w:b/>
          <w:iCs/>
          <w:sz w:val="24"/>
          <w:szCs w:val="24"/>
        </w:rPr>
        <w:t>agesave</w:t>
      </w:r>
      <w:r w:rsidR="00BA12C3" w:rsidRPr="00B31292">
        <w:rPr>
          <w:rFonts w:ascii="Garamond" w:eastAsia="Times New Roman" w:hAnsi="Garamond" w:cs="Times New Roman"/>
          <w:b/>
          <w:iCs/>
          <w:sz w:val="24"/>
          <w:szCs w:val="24"/>
        </w:rPr>
        <w:t>”</w:t>
      </w:r>
      <w:r w:rsidR="007C7EBE" w:rsidRPr="00B31292">
        <w:rPr>
          <w:rStyle w:val="FootnoteReference"/>
          <w:rFonts w:ascii="Garamond" w:eastAsia="Times New Roman" w:hAnsi="Garamond" w:cs="Times New Roman"/>
          <w:b/>
          <w:iCs/>
          <w:sz w:val="24"/>
          <w:szCs w:val="24"/>
        </w:rPr>
        <w:footnoteReference w:id="2"/>
      </w:r>
      <w:r w:rsidR="003A4DBA" w:rsidRPr="00B31292">
        <w:rPr>
          <w:rFonts w:ascii="Garamond" w:eastAsia="Times New Roman" w:hAnsi="Garamond" w:cs="Times New Roman"/>
          <w:b/>
          <w:iCs/>
          <w:sz w:val="24"/>
          <w:szCs w:val="24"/>
        </w:rPr>
        <w:t xml:space="preserve"> </w:t>
      </w:r>
    </w:p>
    <w:p w14:paraId="36B7341D" w14:textId="77777777" w:rsidR="00BD074B" w:rsidRPr="00B31292" w:rsidRDefault="00BD074B" w:rsidP="003A4DBA">
      <w:pPr>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Kjo temë përbëhet nga dy nëntema:</w:t>
      </w:r>
    </w:p>
    <w:p w14:paraId="2D570105" w14:textId="203CC055" w:rsidR="004747EF" w:rsidRPr="00B31292" w:rsidRDefault="004747EF" w:rsidP="003A4DBA">
      <w:pPr>
        <w:spacing w:after="0" w:line="240" w:lineRule="auto"/>
        <w:ind w:firstLine="284"/>
        <w:jc w:val="both"/>
        <w:rPr>
          <w:rFonts w:ascii="Garamond" w:hAnsi="Garamond" w:cs="Times New Roman"/>
          <w:sz w:val="24"/>
          <w:szCs w:val="24"/>
        </w:rPr>
      </w:pPr>
      <w:r w:rsidRPr="00B31292">
        <w:rPr>
          <w:rFonts w:ascii="Garamond" w:hAnsi="Garamond" w:cs="Times New Roman"/>
          <w:i/>
          <w:sz w:val="24"/>
          <w:szCs w:val="24"/>
        </w:rPr>
        <w:t xml:space="preserve">3.6.1 Statistikat mujore dhe tremujore të </w:t>
      </w:r>
      <w:r w:rsidR="00F353A8" w:rsidRPr="00B31292">
        <w:rPr>
          <w:rFonts w:ascii="Garamond" w:hAnsi="Garamond" w:cs="Times New Roman"/>
          <w:i/>
          <w:sz w:val="24"/>
          <w:szCs w:val="24"/>
        </w:rPr>
        <w:t>b</w:t>
      </w:r>
      <w:r w:rsidRPr="00B31292">
        <w:rPr>
          <w:rFonts w:ascii="Garamond" w:hAnsi="Garamond" w:cs="Times New Roman"/>
          <w:i/>
          <w:sz w:val="24"/>
          <w:szCs w:val="24"/>
        </w:rPr>
        <w:t>ilancit të pagesave</w:t>
      </w:r>
      <w:r w:rsidR="00BD074B" w:rsidRPr="00B31292">
        <w:rPr>
          <w:rFonts w:ascii="Garamond" w:hAnsi="Garamond" w:cs="Times New Roman"/>
          <w:sz w:val="24"/>
          <w:szCs w:val="24"/>
        </w:rPr>
        <w:t xml:space="preserve"> </w:t>
      </w:r>
      <w:r w:rsidR="00F353A8" w:rsidRPr="00B31292">
        <w:rPr>
          <w:rFonts w:ascii="Garamond" w:hAnsi="Garamond" w:cs="Times New Roman"/>
          <w:sz w:val="24"/>
          <w:szCs w:val="24"/>
        </w:rPr>
        <w:t>–</w:t>
      </w:r>
      <w:r w:rsidR="00BD074B" w:rsidRPr="00B31292">
        <w:rPr>
          <w:rFonts w:ascii="Garamond" w:hAnsi="Garamond" w:cs="Times New Roman"/>
          <w:sz w:val="24"/>
          <w:szCs w:val="24"/>
        </w:rPr>
        <w:t xml:space="preserve"> </w:t>
      </w:r>
      <w:r w:rsidRPr="00B31292">
        <w:rPr>
          <w:rFonts w:ascii="Garamond" w:hAnsi="Garamond" w:cs="Times New Roman"/>
          <w:sz w:val="24"/>
          <w:szCs w:val="24"/>
        </w:rPr>
        <w:t>Banka e Shqipërisë është institucioni përgjegjës që prodhon dhe publikon statistikat e bilancit të pagesave. Në përgatitjen e këtyre statistikave, Banka e Shqipërisë mbledh informacion nëpërmjet raportimit direkt nga institucionet financiare; raportimit direkt nga burime administrative</w:t>
      </w:r>
      <w:r w:rsidR="00F353A8" w:rsidRPr="00B31292">
        <w:rPr>
          <w:rFonts w:ascii="Garamond" w:hAnsi="Garamond" w:cs="Times New Roman"/>
          <w:sz w:val="24"/>
          <w:szCs w:val="24"/>
        </w:rPr>
        <w:t>,</w:t>
      </w:r>
      <w:r w:rsidRPr="00B31292">
        <w:rPr>
          <w:rFonts w:ascii="Garamond" w:hAnsi="Garamond" w:cs="Times New Roman"/>
          <w:sz w:val="24"/>
          <w:szCs w:val="24"/>
        </w:rPr>
        <w:t xml:space="preserve"> si: Ministria e Financav</w:t>
      </w:r>
      <w:r w:rsidR="00F327CB" w:rsidRPr="00B31292">
        <w:rPr>
          <w:rFonts w:ascii="Garamond" w:hAnsi="Garamond" w:cs="Times New Roman"/>
          <w:sz w:val="24"/>
          <w:szCs w:val="24"/>
        </w:rPr>
        <w:t>e</w:t>
      </w:r>
      <w:r w:rsidRPr="00B31292">
        <w:rPr>
          <w:rFonts w:ascii="Garamond" w:hAnsi="Garamond" w:cs="Times New Roman"/>
          <w:sz w:val="24"/>
          <w:szCs w:val="24"/>
        </w:rPr>
        <w:t>, Drejtoria e Përgjithshme e Doganave, INSTAT</w:t>
      </w:r>
      <w:r w:rsidR="007843CA" w:rsidRPr="00B31292">
        <w:rPr>
          <w:rFonts w:ascii="Garamond" w:hAnsi="Garamond" w:cs="Times New Roman"/>
          <w:sz w:val="24"/>
          <w:szCs w:val="24"/>
        </w:rPr>
        <w:t>-i</w:t>
      </w:r>
      <w:r w:rsidRPr="00B31292">
        <w:rPr>
          <w:rFonts w:ascii="Garamond" w:hAnsi="Garamond" w:cs="Times New Roman"/>
          <w:sz w:val="24"/>
          <w:szCs w:val="24"/>
        </w:rPr>
        <w:t xml:space="preserve">, Autoriteti i Mbikëqyrjes Financiare, Ministria e Brendshme, Agjencia Kombëtare e Burimeve Natyrore, Qendra Kombëtare e Biznesit, si edhe </w:t>
      </w:r>
      <w:r w:rsidR="00BD074B" w:rsidRPr="00B31292">
        <w:rPr>
          <w:rFonts w:ascii="Garamond" w:hAnsi="Garamond" w:cs="Times New Roman"/>
          <w:sz w:val="24"/>
          <w:szCs w:val="24"/>
        </w:rPr>
        <w:t xml:space="preserve">nëpërmjet </w:t>
      </w:r>
      <w:r w:rsidRPr="00B31292">
        <w:rPr>
          <w:rFonts w:ascii="Garamond" w:hAnsi="Garamond" w:cs="Times New Roman"/>
          <w:sz w:val="24"/>
          <w:szCs w:val="24"/>
        </w:rPr>
        <w:t>vrojtimeve të realizuara në kompani private dhe individë. Të dhënat e grumbulluara nga burimet e mësipërme raportohen pjesërisht me frekuencë mujore dhe në pjesën më të madhe me frekuenc</w:t>
      </w:r>
      <w:r w:rsidR="00F353A8" w:rsidRPr="00B31292">
        <w:rPr>
          <w:rFonts w:ascii="Garamond" w:hAnsi="Garamond" w:cs="Times New Roman"/>
          <w:sz w:val="24"/>
          <w:szCs w:val="24"/>
        </w:rPr>
        <w:t>ë</w:t>
      </w:r>
      <w:r w:rsidRPr="00B31292">
        <w:rPr>
          <w:rFonts w:ascii="Garamond" w:hAnsi="Garamond" w:cs="Times New Roman"/>
          <w:sz w:val="24"/>
          <w:szCs w:val="24"/>
        </w:rPr>
        <w:t xml:space="preserve"> tremujore, duke mundësuar përgatitjen dhe publikimin e statistikave të bilancit të pagesave me frekuencë tremujore</w:t>
      </w:r>
      <w:r w:rsidR="00BD074B" w:rsidRPr="00B31292">
        <w:rPr>
          <w:rFonts w:ascii="Garamond" w:hAnsi="Garamond" w:cs="Times New Roman"/>
          <w:sz w:val="24"/>
          <w:szCs w:val="24"/>
        </w:rPr>
        <w:t>,</w:t>
      </w:r>
      <w:r w:rsidRPr="00B31292">
        <w:rPr>
          <w:rFonts w:ascii="Garamond" w:hAnsi="Garamond" w:cs="Times New Roman"/>
          <w:sz w:val="24"/>
          <w:szCs w:val="24"/>
        </w:rPr>
        <w:t xml:space="preserve"> dhe duke filluar nga viti 2020 me frekuencë mujore.</w:t>
      </w:r>
      <w:r w:rsidR="00BD074B" w:rsidRPr="00B31292">
        <w:rPr>
          <w:rFonts w:ascii="Garamond" w:hAnsi="Garamond" w:cs="Times New Roman"/>
          <w:sz w:val="24"/>
          <w:szCs w:val="24"/>
        </w:rPr>
        <w:t xml:space="preserve"> </w:t>
      </w:r>
      <w:r w:rsidRPr="00B31292">
        <w:rPr>
          <w:rFonts w:ascii="Garamond" w:hAnsi="Garamond" w:cs="Times New Roman"/>
          <w:sz w:val="24"/>
          <w:szCs w:val="24"/>
        </w:rPr>
        <w:t>Statistikat e bilancit të pagesave prodhohen në bazë të manualeve metodologjike të FMN-së (BPM6-2009, EDS 2013), OECD-së (BD4), manualit të statistikave të tregtisë ndërkombëtare të shërbimeve dhe kodit evropian të statistikave.</w:t>
      </w:r>
    </w:p>
    <w:p w14:paraId="7DCEF767" w14:textId="0B7DDE78" w:rsidR="004747EF" w:rsidRPr="00B31292" w:rsidRDefault="004747EF" w:rsidP="003A4DBA">
      <w:pPr>
        <w:spacing w:after="0" w:line="240" w:lineRule="auto"/>
        <w:ind w:firstLine="284"/>
        <w:jc w:val="both"/>
        <w:rPr>
          <w:rFonts w:ascii="Garamond" w:hAnsi="Garamond" w:cs="Times New Roman"/>
          <w:sz w:val="24"/>
          <w:szCs w:val="24"/>
        </w:rPr>
      </w:pPr>
      <w:r w:rsidRPr="00B31292">
        <w:rPr>
          <w:rFonts w:ascii="Garamond" w:hAnsi="Garamond" w:cs="Times New Roman"/>
          <w:i/>
          <w:sz w:val="24"/>
          <w:szCs w:val="24"/>
        </w:rPr>
        <w:t xml:space="preserve">3.6.2 Statistikat tremujore të </w:t>
      </w:r>
      <w:r w:rsidR="00F353A8" w:rsidRPr="00B31292">
        <w:rPr>
          <w:rFonts w:ascii="Garamond" w:hAnsi="Garamond" w:cs="Times New Roman"/>
          <w:i/>
          <w:sz w:val="24"/>
          <w:szCs w:val="24"/>
        </w:rPr>
        <w:t xml:space="preserve">pozicionit të investimeve ndërkombëtare </w:t>
      </w:r>
      <w:r w:rsidR="007843CA" w:rsidRPr="00B31292">
        <w:rPr>
          <w:rFonts w:ascii="Garamond" w:hAnsi="Garamond" w:cs="Times New Roman"/>
          <w:i/>
          <w:sz w:val="24"/>
          <w:szCs w:val="24"/>
        </w:rPr>
        <w:t>–</w:t>
      </w:r>
      <w:r w:rsidRPr="00B31292">
        <w:rPr>
          <w:rFonts w:ascii="Garamond" w:hAnsi="Garamond" w:cs="Times New Roman"/>
          <w:i/>
          <w:sz w:val="24"/>
          <w:szCs w:val="24"/>
        </w:rPr>
        <w:t xml:space="preserve"> </w:t>
      </w:r>
      <w:r w:rsidRPr="00B31292">
        <w:rPr>
          <w:rFonts w:ascii="Garamond" w:hAnsi="Garamond" w:cs="Times New Roman"/>
          <w:sz w:val="24"/>
          <w:szCs w:val="24"/>
        </w:rPr>
        <w:t xml:space="preserve">Banka e Shqipërisë është institucioni përgjegjës </w:t>
      </w:r>
      <w:r w:rsidR="00E733A4" w:rsidRPr="00B31292">
        <w:rPr>
          <w:rFonts w:ascii="Garamond" w:hAnsi="Garamond" w:cs="Times New Roman"/>
          <w:sz w:val="24"/>
          <w:szCs w:val="24"/>
        </w:rPr>
        <w:t>p</w:t>
      </w:r>
      <w:r w:rsidRPr="00B31292">
        <w:rPr>
          <w:rFonts w:ascii="Garamond" w:hAnsi="Garamond" w:cs="Times New Roman"/>
          <w:sz w:val="24"/>
          <w:szCs w:val="24"/>
        </w:rPr>
        <w:t>ë</w:t>
      </w:r>
      <w:r w:rsidR="00E733A4" w:rsidRPr="00B31292">
        <w:rPr>
          <w:rFonts w:ascii="Garamond" w:hAnsi="Garamond" w:cs="Times New Roman"/>
          <w:sz w:val="24"/>
          <w:szCs w:val="24"/>
        </w:rPr>
        <w:t>r</w:t>
      </w:r>
      <w:r w:rsidRPr="00B31292">
        <w:rPr>
          <w:rFonts w:ascii="Garamond" w:hAnsi="Garamond" w:cs="Times New Roman"/>
          <w:sz w:val="24"/>
          <w:szCs w:val="24"/>
        </w:rPr>
        <w:t xml:space="preserve"> prodh</w:t>
      </w:r>
      <w:r w:rsidR="00E733A4" w:rsidRPr="00B31292">
        <w:rPr>
          <w:rFonts w:ascii="Garamond" w:hAnsi="Garamond" w:cs="Times New Roman"/>
          <w:sz w:val="24"/>
          <w:szCs w:val="24"/>
        </w:rPr>
        <w:t xml:space="preserve">imin dhe </w:t>
      </w:r>
      <w:r w:rsidRPr="00B31292">
        <w:rPr>
          <w:rFonts w:ascii="Garamond" w:hAnsi="Garamond" w:cs="Times New Roman"/>
          <w:sz w:val="24"/>
          <w:szCs w:val="24"/>
        </w:rPr>
        <w:t>publik</w:t>
      </w:r>
      <w:r w:rsidR="00E733A4" w:rsidRPr="00B31292">
        <w:rPr>
          <w:rFonts w:ascii="Garamond" w:hAnsi="Garamond" w:cs="Times New Roman"/>
          <w:sz w:val="24"/>
          <w:szCs w:val="24"/>
        </w:rPr>
        <w:t>imin e</w:t>
      </w:r>
      <w:r w:rsidRPr="00B31292">
        <w:rPr>
          <w:rFonts w:ascii="Garamond" w:hAnsi="Garamond" w:cs="Times New Roman"/>
          <w:sz w:val="24"/>
          <w:szCs w:val="24"/>
        </w:rPr>
        <w:t xml:space="preserve"> statistika</w:t>
      </w:r>
      <w:r w:rsidR="00E733A4" w:rsidRPr="00B31292">
        <w:rPr>
          <w:rFonts w:ascii="Garamond" w:hAnsi="Garamond" w:cs="Times New Roman"/>
          <w:sz w:val="24"/>
          <w:szCs w:val="24"/>
        </w:rPr>
        <w:t>ve</w:t>
      </w:r>
      <w:r w:rsidRPr="00B31292">
        <w:rPr>
          <w:rFonts w:ascii="Garamond" w:hAnsi="Garamond" w:cs="Times New Roman"/>
          <w:sz w:val="24"/>
          <w:szCs w:val="24"/>
        </w:rPr>
        <w:t xml:space="preserve"> </w:t>
      </w:r>
      <w:r w:rsidR="00E733A4" w:rsidRPr="00B31292">
        <w:rPr>
          <w:rFonts w:ascii="Garamond" w:hAnsi="Garamond" w:cs="Times New Roman"/>
          <w:sz w:val="24"/>
          <w:szCs w:val="24"/>
        </w:rPr>
        <w:t>të</w:t>
      </w:r>
      <w:r w:rsidRPr="00B31292">
        <w:rPr>
          <w:rFonts w:ascii="Garamond" w:hAnsi="Garamond" w:cs="Times New Roman"/>
          <w:sz w:val="24"/>
          <w:szCs w:val="24"/>
        </w:rPr>
        <w:t xml:space="preserve"> pozicionit të investimeve ndërkombëtare. Në përgatitjen e këtyre statistikave</w:t>
      </w:r>
      <w:r w:rsidR="000A3105" w:rsidRPr="00B31292">
        <w:rPr>
          <w:rFonts w:ascii="Garamond" w:hAnsi="Garamond" w:cs="Times New Roman"/>
          <w:sz w:val="24"/>
          <w:szCs w:val="24"/>
        </w:rPr>
        <w:t xml:space="preserve"> merren të dhënat nga </w:t>
      </w:r>
      <w:r w:rsidRPr="00B31292">
        <w:rPr>
          <w:rFonts w:ascii="Garamond" w:hAnsi="Garamond" w:cs="Times New Roman"/>
          <w:sz w:val="24"/>
          <w:szCs w:val="24"/>
        </w:rPr>
        <w:t>Banka e Shqipërisë, INSTAT</w:t>
      </w:r>
      <w:r w:rsidR="007843CA" w:rsidRPr="00B31292">
        <w:rPr>
          <w:rFonts w:ascii="Garamond" w:hAnsi="Garamond" w:cs="Times New Roman"/>
          <w:sz w:val="24"/>
          <w:szCs w:val="24"/>
        </w:rPr>
        <w:t>-i</w:t>
      </w:r>
      <w:r w:rsidR="000A3105" w:rsidRPr="00B31292">
        <w:rPr>
          <w:rFonts w:ascii="Garamond" w:hAnsi="Garamond" w:cs="Times New Roman"/>
          <w:sz w:val="24"/>
          <w:szCs w:val="24"/>
        </w:rPr>
        <w:t>,</w:t>
      </w:r>
      <w:r w:rsidRPr="00B31292">
        <w:rPr>
          <w:rFonts w:ascii="Garamond" w:hAnsi="Garamond" w:cs="Times New Roman"/>
          <w:sz w:val="24"/>
          <w:szCs w:val="24"/>
        </w:rPr>
        <w:t xml:space="preserve"> Ministria e Brendshme, Ministria e Financave, Agjencia Kombëtare e Burimeve Natyrore, Autoriteti i Mbikëqyrjes Financiare, Qendra Kombëtare e Biznesit, si dhe të dhëna nga vrojtime</w:t>
      </w:r>
      <w:r w:rsidR="000A3105" w:rsidRPr="00B31292">
        <w:rPr>
          <w:rFonts w:ascii="Garamond" w:hAnsi="Garamond" w:cs="Times New Roman"/>
          <w:sz w:val="24"/>
          <w:szCs w:val="24"/>
        </w:rPr>
        <w:t>t</w:t>
      </w:r>
      <w:r w:rsidRPr="00B31292">
        <w:rPr>
          <w:rFonts w:ascii="Garamond" w:hAnsi="Garamond" w:cs="Times New Roman"/>
          <w:sz w:val="24"/>
          <w:szCs w:val="24"/>
        </w:rPr>
        <w:t xml:space="preserve"> statistikore pranë kompanive private të huaja dhe të përbashkëta shqiptare – të huaja. Gjithashtu, për përgatitjen e këtyre statistikave përdoren të dhëna nga </w:t>
      </w:r>
      <w:r w:rsidR="00CB4B2F" w:rsidRPr="00B31292">
        <w:rPr>
          <w:rFonts w:ascii="Garamond" w:hAnsi="Garamond" w:cs="Times New Roman"/>
          <w:sz w:val="24"/>
          <w:szCs w:val="24"/>
        </w:rPr>
        <w:t>Fondi Monetar Ndërkombëtar</w:t>
      </w:r>
      <w:r w:rsidR="00E733A4" w:rsidRPr="00B31292">
        <w:rPr>
          <w:rFonts w:ascii="Garamond" w:hAnsi="Garamond" w:cs="Times New Roman"/>
          <w:sz w:val="24"/>
          <w:szCs w:val="24"/>
        </w:rPr>
        <w:t xml:space="preserve"> </w:t>
      </w:r>
      <w:r w:rsidRPr="00B31292">
        <w:rPr>
          <w:rFonts w:ascii="Garamond" w:hAnsi="Garamond" w:cs="Times New Roman"/>
          <w:sz w:val="24"/>
          <w:szCs w:val="24"/>
        </w:rPr>
        <w:t>dhe informacione nga shkëmbime të ndërsjella dypalëshe me Kosovën. Të dhënat e grumbulluara nga burimet e mësipërme raportohen pjesërisht me frekuencë mujore dhe në pjesën më të madhe me frekuen</w:t>
      </w:r>
      <w:r w:rsidR="00F353A8" w:rsidRPr="00B31292">
        <w:rPr>
          <w:rFonts w:ascii="Garamond" w:hAnsi="Garamond" w:cs="Times New Roman"/>
          <w:sz w:val="24"/>
          <w:szCs w:val="24"/>
        </w:rPr>
        <w:t>cë</w:t>
      </w:r>
      <w:r w:rsidRPr="00B31292">
        <w:rPr>
          <w:rFonts w:ascii="Garamond" w:hAnsi="Garamond" w:cs="Times New Roman"/>
          <w:sz w:val="24"/>
          <w:szCs w:val="24"/>
        </w:rPr>
        <w:t xml:space="preserve"> tremujore, duke mundësuar përgatitjen dhe publikimin e statistikave të pozicionit të investimeve ndërkombëtare me frekuencë tremujore.</w:t>
      </w:r>
    </w:p>
    <w:p w14:paraId="07F61B6A" w14:textId="2C061B63" w:rsidR="004747EF" w:rsidRPr="00B31292" w:rsidRDefault="004747EF" w:rsidP="003A4DBA">
      <w:pPr>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Statistikat e pozicionit të investimeve ndërkombëtare prodhohen në bazë të manualeve metodologjik</w:t>
      </w:r>
      <w:r w:rsidR="002044F7" w:rsidRPr="00B31292">
        <w:rPr>
          <w:rFonts w:ascii="Garamond" w:hAnsi="Garamond" w:cs="Times New Roman"/>
          <w:sz w:val="24"/>
          <w:szCs w:val="24"/>
        </w:rPr>
        <w:t>e</w:t>
      </w:r>
      <w:r w:rsidRPr="00B31292">
        <w:rPr>
          <w:rFonts w:ascii="Garamond" w:hAnsi="Garamond" w:cs="Times New Roman"/>
          <w:sz w:val="24"/>
          <w:szCs w:val="24"/>
        </w:rPr>
        <w:t xml:space="preserve"> të FMN-së (BPM6-2009, EDS 2013), OECD-së (BD4) dhe Kodit </w:t>
      </w:r>
      <w:r w:rsidR="00F353A8" w:rsidRPr="00B31292">
        <w:rPr>
          <w:rFonts w:ascii="Garamond" w:hAnsi="Garamond" w:cs="Times New Roman"/>
          <w:sz w:val="24"/>
          <w:szCs w:val="24"/>
        </w:rPr>
        <w:t xml:space="preserve">Evropian </w:t>
      </w:r>
      <w:r w:rsidRPr="00B31292">
        <w:rPr>
          <w:rFonts w:ascii="Garamond" w:hAnsi="Garamond" w:cs="Times New Roman"/>
          <w:sz w:val="24"/>
          <w:szCs w:val="24"/>
        </w:rPr>
        <w:t xml:space="preserve">të </w:t>
      </w:r>
      <w:r w:rsidR="00F353A8" w:rsidRPr="00B31292">
        <w:rPr>
          <w:rFonts w:ascii="Garamond" w:hAnsi="Garamond" w:cs="Times New Roman"/>
          <w:sz w:val="24"/>
          <w:szCs w:val="24"/>
        </w:rPr>
        <w:t>Statistikave</w:t>
      </w:r>
      <w:r w:rsidRPr="00B31292">
        <w:rPr>
          <w:rFonts w:ascii="Garamond" w:hAnsi="Garamond" w:cs="Times New Roman"/>
          <w:sz w:val="24"/>
          <w:szCs w:val="24"/>
        </w:rPr>
        <w:t>.</w:t>
      </w:r>
      <w:r w:rsidR="00A5040A" w:rsidRPr="00B31292">
        <w:rPr>
          <w:rFonts w:ascii="Garamond" w:hAnsi="Garamond" w:cs="Times New Roman"/>
          <w:sz w:val="24"/>
          <w:szCs w:val="24"/>
        </w:rPr>
        <w:t xml:space="preserve"> </w:t>
      </w:r>
      <w:r w:rsidRPr="00B31292">
        <w:rPr>
          <w:rFonts w:ascii="Garamond" w:hAnsi="Garamond" w:cs="Times New Roman"/>
          <w:sz w:val="24"/>
          <w:szCs w:val="24"/>
        </w:rPr>
        <w:t>Gjithashtu</w:t>
      </w:r>
      <w:r w:rsidR="00A5040A" w:rsidRPr="00B31292">
        <w:rPr>
          <w:rFonts w:ascii="Garamond" w:hAnsi="Garamond" w:cs="Times New Roman"/>
          <w:sz w:val="24"/>
          <w:szCs w:val="24"/>
        </w:rPr>
        <w:t>,</w:t>
      </w:r>
      <w:r w:rsidRPr="00B31292">
        <w:rPr>
          <w:rFonts w:ascii="Garamond" w:hAnsi="Garamond" w:cs="Times New Roman"/>
          <w:sz w:val="24"/>
          <w:szCs w:val="24"/>
        </w:rPr>
        <w:t xml:space="preserve"> Banka e Shqipërisë realizon aktivitetin </w:t>
      </w:r>
      <w:r w:rsidR="00A5040A" w:rsidRPr="00B31292">
        <w:rPr>
          <w:rFonts w:ascii="Garamond" w:hAnsi="Garamond" w:cs="Times New Roman"/>
          <w:sz w:val="24"/>
          <w:szCs w:val="24"/>
        </w:rPr>
        <w:t xml:space="preserve">mbi </w:t>
      </w:r>
      <w:r w:rsidR="000A3105" w:rsidRPr="00B31292">
        <w:rPr>
          <w:rFonts w:ascii="Garamond" w:hAnsi="Garamond" w:cs="Times New Roman"/>
          <w:sz w:val="24"/>
          <w:szCs w:val="24"/>
        </w:rPr>
        <w:t>s</w:t>
      </w:r>
      <w:r w:rsidRPr="00B31292">
        <w:rPr>
          <w:rFonts w:ascii="Garamond" w:hAnsi="Garamond" w:cs="Times New Roman"/>
          <w:sz w:val="24"/>
          <w:szCs w:val="24"/>
        </w:rPr>
        <w:t xml:space="preserve">tatistikat mujore të </w:t>
      </w:r>
      <w:r w:rsidR="00F353A8" w:rsidRPr="00B31292">
        <w:rPr>
          <w:rFonts w:ascii="Garamond" w:hAnsi="Garamond" w:cs="Times New Roman"/>
          <w:sz w:val="24"/>
          <w:szCs w:val="24"/>
        </w:rPr>
        <w:t xml:space="preserve">rezervës ndërkombëtare </w:t>
      </w:r>
      <w:r w:rsidRPr="00B31292">
        <w:rPr>
          <w:rFonts w:ascii="Garamond" w:hAnsi="Garamond" w:cs="Times New Roman"/>
          <w:sz w:val="24"/>
          <w:szCs w:val="24"/>
        </w:rPr>
        <w:t xml:space="preserve">dhe aktivitetin mbi </w:t>
      </w:r>
      <w:r w:rsidR="000A3105" w:rsidRPr="00B31292">
        <w:rPr>
          <w:rFonts w:ascii="Garamond" w:hAnsi="Garamond" w:cs="Times New Roman"/>
          <w:sz w:val="24"/>
          <w:szCs w:val="24"/>
        </w:rPr>
        <w:t>s</w:t>
      </w:r>
      <w:r w:rsidRPr="00B31292">
        <w:rPr>
          <w:rFonts w:ascii="Garamond" w:hAnsi="Garamond" w:cs="Times New Roman"/>
          <w:sz w:val="24"/>
          <w:szCs w:val="24"/>
        </w:rPr>
        <w:t xml:space="preserve">tatistikat tremujore të </w:t>
      </w:r>
      <w:r w:rsidR="00F353A8" w:rsidRPr="00B31292">
        <w:rPr>
          <w:rFonts w:ascii="Garamond" w:hAnsi="Garamond" w:cs="Times New Roman"/>
          <w:sz w:val="24"/>
          <w:szCs w:val="24"/>
        </w:rPr>
        <w:t>borxhit të jashtëm</w:t>
      </w:r>
      <w:r w:rsidR="00A5040A" w:rsidRPr="00B31292">
        <w:rPr>
          <w:rFonts w:ascii="Garamond" w:hAnsi="Garamond" w:cs="Times New Roman"/>
          <w:sz w:val="24"/>
          <w:szCs w:val="24"/>
        </w:rPr>
        <w:t>.</w:t>
      </w:r>
    </w:p>
    <w:p w14:paraId="078661B1" w14:textId="1D4B1CBE" w:rsidR="004747EF" w:rsidRPr="00B31292" w:rsidRDefault="004747EF" w:rsidP="003A4DBA">
      <w:pPr>
        <w:spacing w:after="0" w:line="240" w:lineRule="auto"/>
        <w:ind w:firstLine="284"/>
        <w:jc w:val="both"/>
        <w:rPr>
          <w:rFonts w:ascii="Garamond" w:hAnsi="Garamond" w:cs="Times New Roman"/>
          <w:sz w:val="24"/>
          <w:szCs w:val="24"/>
        </w:rPr>
      </w:pPr>
      <w:r w:rsidRPr="00B31292">
        <w:rPr>
          <w:rFonts w:ascii="Garamond" w:hAnsi="Garamond" w:cs="Times New Roman"/>
          <w:b/>
          <w:sz w:val="24"/>
          <w:szCs w:val="24"/>
        </w:rPr>
        <w:t xml:space="preserve">Treguesit kryesorë: </w:t>
      </w:r>
      <w:r w:rsidRPr="00B31292">
        <w:rPr>
          <w:rFonts w:ascii="Garamond" w:hAnsi="Garamond" w:cs="Times New Roman"/>
          <w:sz w:val="24"/>
          <w:szCs w:val="24"/>
        </w:rPr>
        <w:t xml:space="preserve">Tregues statistikorë mbi bilancin tremujor të pagesave; </w:t>
      </w:r>
      <w:r w:rsidR="00F353A8" w:rsidRPr="00B31292">
        <w:rPr>
          <w:rFonts w:ascii="Garamond" w:hAnsi="Garamond" w:cs="Times New Roman"/>
          <w:sz w:val="24"/>
          <w:szCs w:val="24"/>
        </w:rPr>
        <w:t>t</w:t>
      </w:r>
      <w:r w:rsidRPr="00B31292">
        <w:rPr>
          <w:rFonts w:ascii="Garamond" w:hAnsi="Garamond" w:cs="Times New Roman"/>
          <w:sz w:val="24"/>
          <w:szCs w:val="24"/>
        </w:rPr>
        <w:t xml:space="preserve">regues statistikorë mbi bilancin mujor të pagesave. Tregues statistikorë mbi pasqyrën e pozicionit të investimeve ndërkombëtare me frekuencë tremujore; tregues me frekuencë mujore mbi </w:t>
      </w:r>
      <w:r w:rsidR="00574508" w:rsidRPr="00B31292">
        <w:rPr>
          <w:rFonts w:ascii="Garamond" w:hAnsi="Garamond" w:cs="Times New Roman"/>
          <w:sz w:val="24"/>
          <w:szCs w:val="24"/>
        </w:rPr>
        <w:t>r</w:t>
      </w:r>
      <w:r w:rsidRPr="00B31292">
        <w:rPr>
          <w:rFonts w:ascii="Garamond" w:hAnsi="Garamond" w:cs="Times New Roman"/>
          <w:sz w:val="24"/>
          <w:szCs w:val="24"/>
        </w:rPr>
        <w:t xml:space="preserve">ezervën ndërkombëtare dhe tregues me frekuencë tremujore mbi </w:t>
      </w:r>
      <w:r w:rsidR="00574508" w:rsidRPr="00B31292">
        <w:rPr>
          <w:rFonts w:ascii="Garamond" w:hAnsi="Garamond" w:cs="Times New Roman"/>
          <w:sz w:val="24"/>
          <w:szCs w:val="24"/>
        </w:rPr>
        <w:t>b</w:t>
      </w:r>
      <w:r w:rsidRPr="00B31292">
        <w:rPr>
          <w:rFonts w:ascii="Garamond" w:hAnsi="Garamond" w:cs="Times New Roman"/>
          <w:sz w:val="24"/>
          <w:szCs w:val="24"/>
        </w:rPr>
        <w:t xml:space="preserve">orxhin e </w:t>
      </w:r>
      <w:r w:rsidR="00CB4B2F" w:rsidRPr="00B31292">
        <w:rPr>
          <w:rFonts w:ascii="Garamond" w:hAnsi="Garamond" w:cs="Times New Roman"/>
          <w:sz w:val="24"/>
          <w:szCs w:val="24"/>
        </w:rPr>
        <w:t>j</w:t>
      </w:r>
      <w:r w:rsidRPr="00B31292">
        <w:rPr>
          <w:rFonts w:ascii="Garamond" w:hAnsi="Garamond" w:cs="Times New Roman"/>
          <w:sz w:val="24"/>
          <w:szCs w:val="24"/>
        </w:rPr>
        <w:t>ashtëm.</w:t>
      </w:r>
    </w:p>
    <w:p w14:paraId="495E6EE9" w14:textId="158C3D94" w:rsidR="0080298A" w:rsidRPr="00B31292" w:rsidRDefault="004747EF" w:rsidP="003A4DBA">
      <w:pPr>
        <w:spacing w:after="0" w:line="240" w:lineRule="auto"/>
        <w:ind w:firstLine="284"/>
        <w:jc w:val="both"/>
        <w:rPr>
          <w:rFonts w:ascii="Garamond" w:hAnsi="Garamond" w:cstheme="majorBidi"/>
          <w:b/>
          <w:bCs/>
          <w:sz w:val="24"/>
          <w:szCs w:val="24"/>
        </w:rPr>
      </w:pPr>
      <w:r w:rsidRPr="00B31292">
        <w:rPr>
          <w:rFonts w:ascii="Garamond" w:hAnsi="Garamond" w:cs="Times New Roman"/>
          <w:b/>
          <w:sz w:val="24"/>
          <w:szCs w:val="24"/>
          <w:lang w:eastAsia="en-GB"/>
        </w:rPr>
        <w:t xml:space="preserve">Përputhshmëria me </w:t>
      </w:r>
      <w:r w:rsidRPr="00B31292">
        <w:rPr>
          <w:rFonts w:ascii="Garamond" w:hAnsi="Garamond" w:cs="Times New Roman"/>
          <w:b/>
          <w:i/>
          <w:sz w:val="24"/>
          <w:szCs w:val="24"/>
          <w:lang w:eastAsia="en-GB"/>
        </w:rPr>
        <w:t>acquis</w:t>
      </w:r>
      <w:r w:rsidRPr="00B31292">
        <w:rPr>
          <w:rFonts w:ascii="Garamond" w:hAnsi="Garamond" w:cs="Times New Roman"/>
          <w:b/>
          <w:sz w:val="24"/>
          <w:szCs w:val="24"/>
          <w:lang w:eastAsia="en-GB"/>
        </w:rPr>
        <w:t xml:space="preserve">: </w:t>
      </w:r>
      <w:r w:rsidRPr="00B31292">
        <w:rPr>
          <w:rFonts w:ascii="Garamond" w:hAnsi="Garamond" w:cs="Times New Roman"/>
          <w:sz w:val="24"/>
          <w:szCs w:val="24"/>
          <w:lang w:eastAsia="en-GB"/>
        </w:rPr>
        <w:t xml:space="preserve">Mbështetur në programin e monitorimit të përputhshmërisë, </w:t>
      </w:r>
      <w:r w:rsidR="009C0CE9" w:rsidRPr="00B31292">
        <w:rPr>
          <w:rFonts w:ascii="Garamond" w:hAnsi="Garamond" w:cs="Times New Roman"/>
          <w:sz w:val="24"/>
          <w:szCs w:val="24"/>
          <w:lang w:eastAsia="en-GB"/>
        </w:rPr>
        <w:t>Eurostat</w:t>
      </w:r>
      <w:r w:rsidR="00F353A8" w:rsidRPr="00B31292">
        <w:rPr>
          <w:rFonts w:ascii="Garamond" w:hAnsi="Garamond" w:cs="Times New Roman"/>
          <w:sz w:val="24"/>
          <w:szCs w:val="24"/>
          <w:lang w:eastAsia="en-GB"/>
        </w:rPr>
        <w:t>i</w:t>
      </w:r>
      <w:r w:rsidRPr="00B31292">
        <w:rPr>
          <w:rFonts w:ascii="Garamond" w:hAnsi="Garamond" w:cs="Times New Roman"/>
          <w:sz w:val="24"/>
          <w:szCs w:val="24"/>
          <w:lang w:eastAsia="en-GB"/>
        </w:rPr>
        <w:t xml:space="preserve"> </w:t>
      </w:r>
      <w:r w:rsidR="0044691B" w:rsidRPr="00B31292">
        <w:rPr>
          <w:rFonts w:ascii="Garamond" w:hAnsi="Garamond" w:cs="Times New Roman"/>
          <w:sz w:val="24"/>
          <w:szCs w:val="24"/>
          <w:lang w:eastAsia="en-GB"/>
        </w:rPr>
        <w:t xml:space="preserve">e </w:t>
      </w:r>
      <w:r w:rsidRPr="00B31292">
        <w:rPr>
          <w:rFonts w:ascii="Garamond" w:hAnsi="Garamond" w:cs="Times New Roman"/>
          <w:sz w:val="24"/>
          <w:szCs w:val="24"/>
          <w:lang w:eastAsia="en-GB"/>
        </w:rPr>
        <w:t>vlerëson</w:t>
      </w:r>
      <w:r w:rsidR="000A3105" w:rsidRPr="00B31292">
        <w:rPr>
          <w:rFonts w:ascii="Garamond" w:hAnsi="Garamond" w:cs="Times New Roman"/>
          <w:sz w:val="24"/>
          <w:szCs w:val="24"/>
          <w:lang w:eastAsia="en-GB"/>
        </w:rPr>
        <w:t xml:space="preserve"> pjesërisht</w:t>
      </w:r>
      <w:r w:rsidRPr="00B31292">
        <w:rPr>
          <w:rFonts w:ascii="Garamond" w:hAnsi="Garamond" w:cs="Times New Roman"/>
          <w:sz w:val="24"/>
          <w:szCs w:val="24"/>
          <w:lang w:eastAsia="en-GB"/>
        </w:rPr>
        <w:t xml:space="preserve"> të përputhshëm me </w:t>
      </w:r>
      <w:r w:rsidR="00F353A8" w:rsidRPr="00B31292">
        <w:rPr>
          <w:rFonts w:ascii="Garamond" w:hAnsi="Garamond" w:cs="Times New Roman"/>
          <w:sz w:val="24"/>
          <w:szCs w:val="24"/>
          <w:lang w:eastAsia="en-GB"/>
        </w:rPr>
        <w:t>r</w:t>
      </w:r>
      <w:r w:rsidRPr="00B31292">
        <w:rPr>
          <w:rFonts w:ascii="Garamond" w:hAnsi="Garamond" w:cs="Times New Roman"/>
          <w:sz w:val="24"/>
          <w:szCs w:val="24"/>
          <w:lang w:eastAsia="en-GB"/>
        </w:rPr>
        <w:t>regulloren (KE) 184/2005</w:t>
      </w:r>
      <w:r w:rsidR="00F353A8" w:rsidRPr="00B31292">
        <w:rPr>
          <w:rFonts w:ascii="Garamond" w:hAnsi="Garamond" w:cs="Times New Roman"/>
          <w:sz w:val="24"/>
          <w:szCs w:val="24"/>
          <w:lang w:eastAsia="en-GB"/>
        </w:rPr>
        <w:t>,</w:t>
      </w:r>
      <w:r w:rsidRPr="00B31292">
        <w:rPr>
          <w:rFonts w:ascii="Garamond" w:hAnsi="Garamond" w:cs="Times New Roman"/>
          <w:sz w:val="24"/>
          <w:szCs w:val="24"/>
          <w:lang w:eastAsia="en-GB"/>
        </w:rPr>
        <w:t xml:space="preserve"> </w:t>
      </w:r>
      <w:r w:rsidR="00BA12C3" w:rsidRPr="00B31292">
        <w:rPr>
          <w:rFonts w:ascii="Garamond" w:hAnsi="Garamond" w:cs="Times New Roman"/>
          <w:sz w:val="24"/>
          <w:szCs w:val="24"/>
          <w:lang w:eastAsia="en-GB"/>
        </w:rPr>
        <w:t>“</w:t>
      </w:r>
      <w:r w:rsidR="00574508" w:rsidRPr="00B31292">
        <w:rPr>
          <w:rFonts w:ascii="Garamond" w:hAnsi="Garamond" w:cs="Times New Roman"/>
          <w:sz w:val="24"/>
          <w:szCs w:val="24"/>
          <w:lang w:eastAsia="en-GB"/>
        </w:rPr>
        <w:t>B</w:t>
      </w:r>
      <w:r w:rsidRPr="00B31292">
        <w:rPr>
          <w:rFonts w:ascii="Garamond" w:hAnsi="Garamond" w:cs="Times New Roman"/>
          <w:sz w:val="24"/>
          <w:szCs w:val="24"/>
          <w:lang w:eastAsia="en-GB"/>
        </w:rPr>
        <w:t xml:space="preserve">ilanci </w:t>
      </w:r>
      <w:r w:rsidR="00574508" w:rsidRPr="00B31292">
        <w:rPr>
          <w:rFonts w:ascii="Garamond" w:hAnsi="Garamond" w:cs="Times New Roman"/>
          <w:sz w:val="24"/>
          <w:szCs w:val="24"/>
          <w:lang w:eastAsia="en-GB"/>
        </w:rPr>
        <w:t>i</w:t>
      </w:r>
      <w:r w:rsidRPr="00B31292">
        <w:rPr>
          <w:rFonts w:ascii="Garamond" w:hAnsi="Garamond" w:cs="Times New Roman"/>
          <w:sz w:val="24"/>
          <w:szCs w:val="24"/>
          <w:lang w:eastAsia="en-GB"/>
        </w:rPr>
        <w:t xml:space="preserve"> pagesave, </w:t>
      </w:r>
      <w:r w:rsidRPr="00B31292">
        <w:rPr>
          <w:rFonts w:ascii="Garamond" w:hAnsi="Garamond" w:cs="Times New Roman"/>
          <w:sz w:val="24"/>
          <w:szCs w:val="24"/>
          <w:lang w:eastAsia="en-GB"/>
        </w:rPr>
        <w:lastRenderedPageBreak/>
        <w:t>tregti</w:t>
      </w:r>
      <w:r w:rsidR="00574508" w:rsidRPr="00B31292">
        <w:rPr>
          <w:rFonts w:ascii="Garamond" w:hAnsi="Garamond" w:cs="Times New Roman"/>
          <w:sz w:val="24"/>
          <w:szCs w:val="24"/>
          <w:lang w:eastAsia="en-GB"/>
        </w:rPr>
        <w:t>a</w:t>
      </w:r>
      <w:r w:rsidRPr="00B31292">
        <w:rPr>
          <w:rFonts w:ascii="Garamond" w:hAnsi="Garamond" w:cs="Times New Roman"/>
          <w:sz w:val="24"/>
          <w:szCs w:val="24"/>
          <w:lang w:eastAsia="en-GB"/>
        </w:rPr>
        <w:t xml:space="preserve"> ndërkombëtare </w:t>
      </w:r>
      <w:r w:rsidR="00574508" w:rsidRPr="00B31292">
        <w:rPr>
          <w:rFonts w:ascii="Garamond" w:hAnsi="Garamond" w:cs="Times New Roman"/>
          <w:sz w:val="24"/>
          <w:szCs w:val="24"/>
          <w:lang w:eastAsia="en-GB"/>
        </w:rPr>
        <w:t>e</w:t>
      </w:r>
      <w:r w:rsidRPr="00B31292">
        <w:rPr>
          <w:rFonts w:ascii="Garamond" w:hAnsi="Garamond" w:cs="Times New Roman"/>
          <w:sz w:val="24"/>
          <w:szCs w:val="24"/>
          <w:lang w:eastAsia="en-GB"/>
        </w:rPr>
        <w:t xml:space="preserve"> shërbimeve dhe investimet e huaja direkte</w:t>
      </w:r>
      <w:r w:rsidR="00BA12C3" w:rsidRPr="00B31292">
        <w:rPr>
          <w:rFonts w:ascii="Garamond" w:hAnsi="Garamond" w:cs="Times New Roman"/>
          <w:sz w:val="24"/>
          <w:szCs w:val="24"/>
          <w:lang w:eastAsia="en-GB"/>
        </w:rPr>
        <w:t>”</w:t>
      </w:r>
      <w:r w:rsidR="00F353A8" w:rsidRPr="00B31292">
        <w:rPr>
          <w:rFonts w:ascii="Garamond" w:hAnsi="Garamond" w:cs="Times New Roman"/>
          <w:sz w:val="24"/>
          <w:szCs w:val="24"/>
          <w:lang w:eastAsia="en-GB"/>
        </w:rPr>
        <w:t>,</w:t>
      </w:r>
      <w:r w:rsidRPr="00B31292">
        <w:rPr>
          <w:rFonts w:ascii="Garamond" w:hAnsi="Garamond" w:cs="Times New Roman"/>
          <w:sz w:val="24"/>
          <w:szCs w:val="24"/>
          <w:lang w:eastAsia="en-GB"/>
        </w:rPr>
        <w:t xml:space="preserve"> nivelin e implementimit të metodologjisë së bilancit të pagesave dhe pozicionit të investimeve ndërkombëtare BPM6, si dhe kriteret e transmetimit të të dhënave.</w:t>
      </w:r>
    </w:p>
    <w:p w14:paraId="75484B99" w14:textId="08121926" w:rsidR="00EB6FD5" w:rsidRPr="00B31292" w:rsidRDefault="00EB6FD5" w:rsidP="003A4DBA">
      <w:pPr>
        <w:keepNext/>
        <w:keepLines/>
        <w:spacing w:after="0" w:line="240" w:lineRule="auto"/>
        <w:ind w:firstLine="284"/>
        <w:outlineLvl w:val="4"/>
        <w:rPr>
          <w:rFonts w:ascii="Garamond" w:eastAsia="Times New Roman" w:hAnsi="Garamond" w:cs="Times New Roman"/>
          <w:b/>
          <w:iCs/>
          <w:sz w:val="24"/>
          <w:szCs w:val="24"/>
        </w:rPr>
      </w:pPr>
      <w:r w:rsidRPr="00B31292">
        <w:rPr>
          <w:rFonts w:ascii="Garamond" w:eastAsia="Times New Roman" w:hAnsi="Garamond" w:cs="Times New Roman"/>
          <w:b/>
          <w:iCs/>
          <w:sz w:val="24"/>
          <w:szCs w:val="24"/>
        </w:rPr>
        <w:t xml:space="preserve">Tema 3.7 </w:t>
      </w:r>
      <w:r w:rsidR="00BA12C3" w:rsidRPr="00B31292">
        <w:rPr>
          <w:rFonts w:ascii="Garamond" w:eastAsia="Times New Roman" w:hAnsi="Garamond" w:cs="Times New Roman"/>
          <w:b/>
          <w:iCs/>
          <w:sz w:val="24"/>
          <w:szCs w:val="24"/>
        </w:rPr>
        <w:t>“</w:t>
      </w:r>
      <w:r w:rsidRPr="00B31292">
        <w:rPr>
          <w:rFonts w:ascii="Garamond" w:eastAsia="Times New Roman" w:hAnsi="Garamond" w:cs="Times New Roman"/>
          <w:b/>
          <w:iCs/>
          <w:sz w:val="24"/>
          <w:szCs w:val="24"/>
        </w:rPr>
        <w:t>Çmimet</w:t>
      </w:r>
      <w:r w:rsidR="00BA12C3" w:rsidRPr="00B31292">
        <w:rPr>
          <w:rFonts w:ascii="Garamond" w:eastAsia="Times New Roman" w:hAnsi="Garamond" w:cs="Times New Roman"/>
          <w:b/>
          <w:iCs/>
          <w:sz w:val="24"/>
          <w:szCs w:val="24"/>
        </w:rPr>
        <w:t>”</w:t>
      </w:r>
    </w:p>
    <w:p w14:paraId="71892032" w14:textId="40231255" w:rsidR="00EB6FD5" w:rsidRPr="00B31292" w:rsidRDefault="00EB6FD5" w:rsidP="003A4DBA">
      <w:pPr>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Statistikat e çmimeve janë ndarë në disa nëntema</w:t>
      </w:r>
      <w:r w:rsidR="00F353A8" w:rsidRPr="00B31292">
        <w:rPr>
          <w:rFonts w:ascii="Garamond" w:hAnsi="Garamond" w:cs="Times New Roman"/>
          <w:sz w:val="24"/>
          <w:szCs w:val="24"/>
        </w:rPr>
        <w:t>,</w:t>
      </w:r>
      <w:r w:rsidRPr="00B31292">
        <w:rPr>
          <w:rFonts w:ascii="Garamond" w:hAnsi="Garamond" w:cs="Times New Roman"/>
          <w:sz w:val="24"/>
          <w:szCs w:val="24"/>
        </w:rPr>
        <w:t xml:space="preserve"> si më poshtë:</w:t>
      </w:r>
    </w:p>
    <w:p w14:paraId="34A5027E" w14:textId="54E4F436" w:rsidR="00EB6FD5" w:rsidRPr="00B31292" w:rsidRDefault="00EB6FD5" w:rsidP="003A4DBA">
      <w:pPr>
        <w:spacing w:after="0" w:line="240" w:lineRule="auto"/>
        <w:ind w:firstLine="284"/>
        <w:jc w:val="both"/>
        <w:rPr>
          <w:rFonts w:ascii="Garamond" w:hAnsi="Garamond" w:cs="Times New Roman"/>
          <w:sz w:val="24"/>
          <w:szCs w:val="24"/>
        </w:rPr>
      </w:pPr>
      <w:r w:rsidRPr="00B31292">
        <w:rPr>
          <w:rFonts w:ascii="Garamond" w:hAnsi="Garamond" w:cs="Times New Roman"/>
          <w:i/>
          <w:sz w:val="24"/>
          <w:szCs w:val="24"/>
        </w:rPr>
        <w:t xml:space="preserve">3.7.1 </w:t>
      </w:r>
      <w:r w:rsidR="00BA12C3" w:rsidRPr="00B31292">
        <w:rPr>
          <w:rFonts w:ascii="Garamond" w:hAnsi="Garamond" w:cs="Times New Roman"/>
          <w:i/>
          <w:sz w:val="24"/>
          <w:szCs w:val="24"/>
        </w:rPr>
        <w:t>“</w:t>
      </w:r>
      <w:r w:rsidRPr="00B31292">
        <w:rPr>
          <w:rFonts w:ascii="Garamond" w:hAnsi="Garamond" w:cs="Times New Roman"/>
          <w:i/>
          <w:sz w:val="24"/>
          <w:szCs w:val="24"/>
        </w:rPr>
        <w:t xml:space="preserve">Statistikat e </w:t>
      </w:r>
      <w:r w:rsidR="00F353A8" w:rsidRPr="00B31292">
        <w:rPr>
          <w:rFonts w:ascii="Garamond" w:hAnsi="Garamond" w:cs="Times New Roman"/>
          <w:i/>
          <w:sz w:val="24"/>
          <w:szCs w:val="24"/>
        </w:rPr>
        <w:t>çmimeve të konsumit</w:t>
      </w:r>
      <w:r w:rsidR="00BA12C3" w:rsidRPr="00B31292">
        <w:rPr>
          <w:rFonts w:ascii="Garamond" w:hAnsi="Garamond" w:cs="Times New Roman"/>
          <w:i/>
          <w:sz w:val="24"/>
          <w:szCs w:val="24"/>
        </w:rPr>
        <w:t>”</w:t>
      </w:r>
      <w:r w:rsidRPr="00B31292">
        <w:rPr>
          <w:rFonts w:ascii="Garamond" w:hAnsi="Garamond" w:cs="Times New Roman"/>
          <w:sz w:val="24"/>
          <w:szCs w:val="24"/>
        </w:rPr>
        <w:t xml:space="preserve"> e matur nëpërmjet tre treguesve kryesorë: </w:t>
      </w:r>
      <w:r w:rsidR="00BA12C3" w:rsidRPr="00B31292">
        <w:rPr>
          <w:rFonts w:ascii="Garamond" w:hAnsi="Garamond" w:cs="Times New Roman"/>
          <w:sz w:val="24"/>
          <w:szCs w:val="24"/>
        </w:rPr>
        <w:t>“</w:t>
      </w:r>
      <w:r w:rsidRPr="00B31292">
        <w:rPr>
          <w:rFonts w:ascii="Garamond" w:hAnsi="Garamond" w:cs="Times New Roman"/>
          <w:sz w:val="24"/>
          <w:szCs w:val="24"/>
        </w:rPr>
        <w:t xml:space="preserve">Indeksi i </w:t>
      </w:r>
      <w:r w:rsidR="00F353A8" w:rsidRPr="00B31292">
        <w:rPr>
          <w:rFonts w:ascii="Garamond" w:hAnsi="Garamond" w:cs="Times New Roman"/>
          <w:sz w:val="24"/>
          <w:szCs w:val="24"/>
        </w:rPr>
        <w:t xml:space="preserve">çmimeve të konsumit </w:t>
      </w:r>
      <w:r w:rsidRPr="00B31292">
        <w:rPr>
          <w:rFonts w:ascii="Garamond" w:hAnsi="Garamond" w:cs="Times New Roman"/>
          <w:sz w:val="24"/>
          <w:szCs w:val="24"/>
        </w:rPr>
        <w:t>(IÇK)</w:t>
      </w:r>
      <w:r w:rsidR="00BA12C3" w:rsidRPr="00B31292">
        <w:rPr>
          <w:rFonts w:ascii="Garamond" w:hAnsi="Garamond" w:cs="Times New Roman"/>
          <w:sz w:val="24"/>
          <w:szCs w:val="24"/>
        </w:rPr>
        <w:t>”</w:t>
      </w:r>
      <w:r w:rsidRPr="00B31292">
        <w:rPr>
          <w:rFonts w:ascii="Garamond" w:hAnsi="Garamond" w:cs="Times New Roman"/>
          <w:sz w:val="24"/>
          <w:szCs w:val="24"/>
        </w:rPr>
        <w:t xml:space="preserve">, </w:t>
      </w:r>
      <w:r w:rsidR="00BA12C3" w:rsidRPr="00B31292">
        <w:rPr>
          <w:rFonts w:ascii="Garamond" w:hAnsi="Garamond" w:cs="Times New Roman"/>
          <w:sz w:val="24"/>
          <w:szCs w:val="24"/>
        </w:rPr>
        <w:t>“</w:t>
      </w:r>
      <w:r w:rsidRPr="00B31292">
        <w:rPr>
          <w:rFonts w:ascii="Garamond" w:hAnsi="Garamond" w:cs="Times New Roman"/>
          <w:sz w:val="24"/>
          <w:szCs w:val="24"/>
        </w:rPr>
        <w:t xml:space="preserve">Indeksi i </w:t>
      </w:r>
      <w:r w:rsidR="00F353A8" w:rsidRPr="00B31292">
        <w:rPr>
          <w:rFonts w:ascii="Garamond" w:hAnsi="Garamond" w:cs="Times New Roman"/>
          <w:sz w:val="24"/>
          <w:szCs w:val="24"/>
        </w:rPr>
        <w:t xml:space="preserve">harmonizuar i çmimeve të konsumit </w:t>
      </w:r>
      <w:r w:rsidRPr="00B31292">
        <w:rPr>
          <w:rFonts w:ascii="Garamond" w:hAnsi="Garamond" w:cs="Times New Roman"/>
          <w:sz w:val="24"/>
          <w:szCs w:val="24"/>
        </w:rPr>
        <w:t>(IHÇK)</w:t>
      </w:r>
      <w:r w:rsidR="00BA12C3" w:rsidRPr="00B31292">
        <w:rPr>
          <w:rFonts w:ascii="Garamond" w:hAnsi="Garamond" w:cs="Times New Roman"/>
          <w:sz w:val="24"/>
          <w:szCs w:val="24"/>
        </w:rPr>
        <w:t>”</w:t>
      </w:r>
      <w:r w:rsidRPr="00B31292">
        <w:rPr>
          <w:rFonts w:ascii="Garamond" w:hAnsi="Garamond" w:cs="Times New Roman"/>
          <w:sz w:val="24"/>
          <w:szCs w:val="24"/>
        </w:rPr>
        <w:t xml:space="preserve"> dhe </w:t>
      </w:r>
      <w:r w:rsidR="00BA12C3" w:rsidRPr="00B31292">
        <w:rPr>
          <w:rFonts w:ascii="Garamond" w:hAnsi="Garamond" w:cs="Times New Roman"/>
          <w:sz w:val="24"/>
          <w:szCs w:val="24"/>
        </w:rPr>
        <w:t>“</w:t>
      </w:r>
      <w:r w:rsidRPr="00B31292">
        <w:rPr>
          <w:rFonts w:ascii="Garamond" w:hAnsi="Garamond" w:cs="Times New Roman"/>
          <w:sz w:val="24"/>
          <w:szCs w:val="24"/>
        </w:rPr>
        <w:t xml:space="preserve">Indeksi i </w:t>
      </w:r>
      <w:r w:rsidR="00F353A8" w:rsidRPr="00B31292">
        <w:rPr>
          <w:rFonts w:ascii="Garamond" w:hAnsi="Garamond" w:cs="Times New Roman"/>
          <w:sz w:val="24"/>
          <w:szCs w:val="24"/>
        </w:rPr>
        <w:t>harmonizuar i çmimeve të konsumit me çmime konstante</w:t>
      </w:r>
      <w:r w:rsidR="00BA12C3" w:rsidRPr="00B31292">
        <w:rPr>
          <w:rFonts w:ascii="Garamond" w:hAnsi="Garamond" w:cs="Times New Roman"/>
          <w:sz w:val="24"/>
          <w:szCs w:val="24"/>
        </w:rPr>
        <w:t>”</w:t>
      </w:r>
      <w:r w:rsidRPr="00B31292">
        <w:rPr>
          <w:rFonts w:ascii="Garamond" w:hAnsi="Garamond" w:cs="Times New Roman"/>
          <w:sz w:val="24"/>
          <w:szCs w:val="24"/>
        </w:rPr>
        <w:t xml:space="preserve">. Këto indekse prodhohen çdo muaj nga INSTAT-i nëpërmjet kryerjes së vrojtimit mujor të çmimeve të një shporte fikse mallrash dhe shërbimesh pranë njësive të tregtisë me pakicë, si dhe duke shfrytëzuar të dhëna të tjera të marra nga Ministria e Arsimit, Sporteve dhe Rinisë, </w:t>
      </w:r>
      <w:r w:rsidR="00F353A8" w:rsidRPr="00B31292">
        <w:rPr>
          <w:rFonts w:ascii="Garamond" w:hAnsi="Garamond" w:cs="Times New Roman"/>
          <w:sz w:val="24"/>
          <w:szCs w:val="24"/>
        </w:rPr>
        <w:t>b</w:t>
      </w:r>
      <w:r w:rsidRPr="00B31292">
        <w:rPr>
          <w:rFonts w:ascii="Garamond" w:hAnsi="Garamond" w:cs="Times New Roman"/>
          <w:sz w:val="24"/>
          <w:szCs w:val="24"/>
        </w:rPr>
        <w:t>ashkitë, Enti Rregullator i Ujit/Ujësjellës</w:t>
      </w:r>
      <w:r w:rsidR="00F353A8" w:rsidRPr="00B31292">
        <w:rPr>
          <w:rFonts w:ascii="Garamond" w:hAnsi="Garamond" w:cs="Times New Roman"/>
          <w:sz w:val="24"/>
          <w:szCs w:val="24"/>
        </w:rPr>
        <w:t>-</w:t>
      </w:r>
      <w:r w:rsidRPr="00B31292">
        <w:rPr>
          <w:rFonts w:ascii="Garamond" w:hAnsi="Garamond" w:cs="Times New Roman"/>
          <w:sz w:val="24"/>
          <w:szCs w:val="24"/>
        </w:rPr>
        <w:t>Kanalizime</w:t>
      </w:r>
      <w:r w:rsidR="00F353A8" w:rsidRPr="00B31292">
        <w:rPr>
          <w:rFonts w:ascii="Garamond" w:hAnsi="Garamond" w:cs="Times New Roman"/>
          <w:sz w:val="24"/>
          <w:szCs w:val="24"/>
        </w:rPr>
        <w:t>ve</w:t>
      </w:r>
      <w:r w:rsidRPr="00B31292">
        <w:rPr>
          <w:rFonts w:ascii="Garamond" w:hAnsi="Garamond" w:cs="Times New Roman"/>
          <w:sz w:val="24"/>
          <w:szCs w:val="24"/>
        </w:rPr>
        <w:t xml:space="preserve"> Tiranë, Operatori i Shpërndarjes së Energjisë Elektrike, Autoriteti i Mbikëqyrjes Financiare dhe </w:t>
      </w:r>
      <w:r w:rsidR="00F353A8" w:rsidRPr="00B31292">
        <w:rPr>
          <w:rFonts w:ascii="Garamond" w:hAnsi="Garamond" w:cs="Times New Roman"/>
          <w:sz w:val="24"/>
          <w:szCs w:val="24"/>
        </w:rPr>
        <w:t>u</w:t>
      </w:r>
      <w:r w:rsidRPr="00B31292">
        <w:rPr>
          <w:rFonts w:ascii="Garamond" w:hAnsi="Garamond" w:cs="Times New Roman"/>
          <w:sz w:val="24"/>
          <w:szCs w:val="24"/>
        </w:rPr>
        <w:t>niversitetet.</w:t>
      </w:r>
    </w:p>
    <w:p w14:paraId="395D7E01" w14:textId="3AC40E24" w:rsidR="00EB6FD5" w:rsidRPr="00B31292" w:rsidRDefault="00EB6FD5" w:rsidP="003A4DBA">
      <w:pPr>
        <w:spacing w:after="0" w:line="240" w:lineRule="auto"/>
        <w:ind w:firstLine="284"/>
        <w:jc w:val="both"/>
        <w:rPr>
          <w:rFonts w:ascii="Garamond" w:hAnsi="Garamond" w:cs="Times New Roman"/>
          <w:sz w:val="24"/>
          <w:szCs w:val="24"/>
        </w:rPr>
      </w:pPr>
      <w:r w:rsidRPr="00B31292">
        <w:rPr>
          <w:rFonts w:ascii="Garamond" w:hAnsi="Garamond" w:cs="Times New Roman"/>
          <w:i/>
          <w:sz w:val="24"/>
          <w:szCs w:val="24"/>
        </w:rPr>
        <w:t xml:space="preserve">3.7.2 </w:t>
      </w:r>
      <w:r w:rsidR="00BA12C3" w:rsidRPr="00B31292">
        <w:rPr>
          <w:rFonts w:ascii="Garamond" w:hAnsi="Garamond" w:cs="Times New Roman"/>
          <w:i/>
          <w:sz w:val="24"/>
          <w:szCs w:val="24"/>
        </w:rPr>
        <w:t>“</w:t>
      </w:r>
      <w:r w:rsidRPr="00B31292">
        <w:rPr>
          <w:rFonts w:ascii="Garamond" w:hAnsi="Garamond" w:cs="Times New Roman"/>
          <w:i/>
          <w:sz w:val="24"/>
          <w:szCs w:val="24"/>
        </w:rPr>
        <w:t xml:space="preserve">Indeksi i </w:t>
      </w:r>
      <w:r w:rsidR="00F353A8" w:rsidRPr="00B31292">
        <w:rPr>
          <w:rFonts w:ascii="Garamond" w:hAnsi="Garamond" w:cs="Times New Roman"/>
          <w:i/>
          <w:sz w:val="24"/>
          <w:szCs w:val="24"/>
        </w:rPr>
        <w:t>nivelit të çmimeve dhe prodhimi i brendshëm bruto për frymë në standardin e fuqisë blerëse</w:t>
      </w:r>
      <w:r w:rsidR="00BA12C3" w:rsidRPr="00B31292">
        <w:rPr>
          <w:rFonts w:ascii="Garamond" w:hAnsi="Garamond" w:cs="Times New Roman"/>
          <w:i/>
          <w:sz w:val="24"/>
          <w:szCs w:val="24"/>
        </w:rPr>
        <w:t>”</w:t>
      </w:r>
      <w:r w:rsidRPr="00B31292">
        <w:rPr>
          <w:rFonts w:ascii="Garamond" w:hAnsi="Garamond" w:cs="Times New Roman"/>
          <w:sz w:val="24"/>
          <w:szCs w:val="24"/>
        </w:rPr>
        <w:t xml:space="preserve"> është nëntemë e veçantë dhe parashikon kryerjen e aktivitetit statistikor </w:t>
      </w:r>
      <w:r w:rsidR="00BA12C3" w:rsidRPr="00B31292">
        <w:rPr>
          <w:rFonts w:ascii="Garamond" w:hAnsi="Garamond" w:cs="Times New Roman"/>
          <w:sz w:val="24"/>
          <w:szCs w:val="24"/>
        </w:rPr>
        <w:t>“</w:t>
      </w:r>
      <w:r w:rsidRPr="00B31292">
        <w:rPr>
          <w:rFonts w:ascii="Garamond" w:hAnsi="Garamond" w:cs="Times New Roman"/>
          <w:sz w:val="24"/>
          <w:szCs w:val="24"/>
        </w:rPr>
        <w:t xml:space="preserve">Matja e </w:t>
      </w:r>
      <w:r w:rsidR="00F353A8" w:rsidRPr="00B31292">
        <w:rPr>
          <w:rFonts w:ascii="Garamond" w:hAnsi="Garamond" w:cs="Times New Roman"/>
          <w:sz w:val="24"/>
          <w:szCs w:val="24"/>
        </w:rPr>
        <w:t>f</w:t>
      </w:r>
      <w:r w:rsidRPr="00B31292">
        <w:rPr>
          <w:rFonts w:ascii="Garamond" w:hAnsi="Garamond" w:cs="Times New Roman"/>
          <w:sz w:val="24"/>
          <w:szCs w:val="24"/>
        </w:rPr>
        <w:t xml:space="preserve">uqisë </w:t>
      </w:r>
      <w:r w:rsidR="00F353A8" w:rsidRPr="00B31292">
        <w:rPr>
          <w:rFonts w:ascii="Garamond" w:hAnsi="Garamond" w:cs="Times New Roman"/>
          <w:sz w:val="24"/>
          <w:szCs w:val="24"/>
        </w:rPr>
        <w:t>b</w:t>
      </w:r>
      <w:r w:rsidRPr="00B31292">
        <w:rPr>
          <w:rFonts w:ascii="Garamond" w:hAnsi="Garamond" w:cs="Times New Roman"/>
          <w:sz w:val="24"/>
          <w:szCs w:val="24"/>
        </w:rPr>
        <w:t>lerëse (MFB)</w:t>
      </w:r>
      <w:r w:rsidR="00BA12C3" w:rsidRPr="00B31292">
        <w:rPr>
          <w:rFonts w:ascii="Garamond" w:hAnsi="Garamond" w:cs="Times New Roman"/>
          <w:sz w:val="24"/>
          <w:szCs w:val="24"/>
        </w:rPr>
        <w:t>”</w:t>
      </w:r>
      <w:r w:rsidRPr="00B31292">
        <w:rPr>
          <w:rFonts w:ascii="Garamond" w:hAnsi="Garamond" w:cs="Times New Roman"/>
          <w:sz w:val="24"/>
          <w:szCs w:val="24"/>
        </w:rPr>
        <w:t xml:space="preserve">. Statistikat e kësaj kategorie do të prodhohen nga </w:t>
      </w:r>
      <w:r w:rsidR="009C0CE9" w:rsidRPr="00B31292">
        <w:rPr>
          <w:rFonts w:ascii="Garamond" w:hAnsi="Garamond" w:cs="Times New Roman"/>
          <w:sz w:val="24"/>
          <w:szCs w:val="24"/>
        </w:rPr>
        <w:t>Eurostat</w:t>
      </w:r>
      <w:r w:rsidR="00F353A8" w:rsidRPr="00B31292">
        <w:rPr>
          <w:rFonts w:ascii="Garamond" w:hAnsi="Garamond" w:cs="Times New Roman"/>
          <w:sz w:val="24"/>
          <w:szCs w:val="24"/>
        </w:rPr>
        <w:t>i</w:t>
      </w:r>
      <w:r w:rsidRPr="00B31292">
        <w:rPr>
          <w:rFonts w:ascii="Garamond" w:hAnsi="Garamond" w:cs="Times New Roman"/>
          <w:sz w:val="24"/>
          <w:szCs w:val="24"/>
        </w:rPr>
        <w:t xml:space="preserve"> me frekuencë vjetore, duke përdorur të dhënat e vrojtimeve të ndryshme të çmimeve të konsumit, ndërtimit, makinerive dhe pajisjeve, qirave, spitaleve dhe të dhëna të tjera shtesë të realizuara nga INSTAT</w:t>
      </w:r>
      <w:r w:rsidR="007843CA" w:rsidRPr="00B31292">
        <w:rPr>
          <w:rFonts w:ascii="Garamond" w:hAnsi="Garamond" w:cs="Times New Roman"/>
          <w:sz w:val="24"/>
          <w:szCs w:val="24"/>
        </w:rPr>
        <w:t>-i</w:t>
      </w:r>
      <w:r w:rsidRPr="00B31292">
        <w:rPr>
          <w:rFonts w:ascii="Garamond" w:hAnsi="Garamond" w:cs="Times New Roman"/>
          <w:sz w:val="24"/>
          <w:szCs w:val="24"/>
        </w:rPr>
        <w:t xml:space="preserve"> për llogaritjen e këtyre treguesve.</w:t>
      </w:r>
    </w:p>
    <w:p w14:paraId="52B7CB39" w14:textId="16853BEE" w:rsidR="00EB6FD5" w:rsidRPr="00B31292" w:rsidRDefault="00EB6FD5" w:rsidP="003A4DBA">
      <w:pPr>
        <w:spacing w:after="0" w:line="240" w:lineRule="auto"/>
        <w:ind w:firstLine="284"/>
        <w:jc w:val="both"/>
        <w:rPr>
          <w:rFonts w:ascii="Garamond" w:hAnsi="Garamond" w:cs="Times New Roman"/>
          <w:sz w:val="24"/>
          <w:szCs w:val="24"/>
        </w:rPr>
      </w:pPr>
      <w:r w:rsidRPr="00B31292">
        <w:rPr>
          <w:rFonts w:ascii="Garamond" w:hAnsi="Garamond" w:cs="Times New Roman"/>
          <w:i/>
          <w:sz w:val="24"/>
          <w:szCs w:val="24"/>
        </w:rPr>
        <w:t xml:space="preserve">3.7.3 </w:t>
      </w:r>
      <w:r w:rsidR="00BA12C3" w:rsidRPr="00B31292">
        <w:rPr>
          <w:rFonts w:ascii="Garamond" w:hAnsi="Garamond" w:cs="Times New Roman"/>
          <w:i/>
          <w:sz w:val="24"/>
          <w:szCs w:val="24"/>
        </w:rPr>
        <w:t>“</w:t>
      </w:r>
      <w:r w:rsidRPr="00B31292">
        <w:rPr>
          <w:rFonts w:ascii="Garamond" w:hAnsi="Garamond" w:cs="Times New Roman"/>
          <w:i/>
          <w:sz w:val="24"/>
          <w:szCs w:val="24"/>
        </w:rPr>
        <w:t xml:space="preserve">Indeksi i </w:t>
      </w:r>
      <w:r w:rsidR="00F353A8" w:rsidRPr="00B31292">
        <w:rPr>
          <w:rFonts w:ascii="Garamond" w:hAnsi="Garamond" w:cs="Times New Roman"/>
          <w:i/>
          <w:sz w:val="24"/>
          <w:szCs w:val="24"/>
        </w:rPr>
        <w:t>çmimeve të banesave</w:t>
      </w:r>
      <w:r w:rsidR="00BA12C3" w:rsidRPr="00B31292">
        <w:rPr>
          <w:rFonts w:ascii="Garamond" w:hAnsi="Garamond" w:cs="Times New Roman"/>
          <w:i/>
          <w:sz w:val="24"/>
          <w:szCs w:val="24"/>
        </w:rPr>
        <w:t>”</w:t>
      </w:r>
      <w:r w:rsidRPr="00B31292">
        <w:rPr>
          <w:rFonts w:ascii="Garamond" w:hAnsi="Garamond" w:cs="Times New Roman"/>
          <w:sz w:val="24"/>
          <w:szCs w:val="24"/>
        </w:rPr>
        <w:t xml:space="preserve"> është aktivitet statistikor në formë studimi, ku INSTAT</w:t>
      </w:r>
      <w:r w:rsidR="007843CA" w:rsidRPr="00B31292">
        <w:rPr>
          <w:rFonts w:ascii="Garamond" w:hAnsi="Garamond" w:cs="Times New Roman"/>
          <w:sz w:val="24"/>
          <w:szCs w:val="24"/>
        </w:rPr>
        <w:t>-i</w:t>
      </w:r>
      <w:r w:rsidRPr="00B31292">
        <w:rPr>
          <w:rFonts w:ascii="Garamond" w:hAnsi="Garamond" w:cs="Times New Roman"/>
          <w:sz w:val="24"/>
          <w:szCs w:val="24"/>
        </w:rPr>
        <w:t xml:space="preserve"> parashikon </w:t>
      </w:r>
      <w:r w:rsidR="00E34CAF" w:rsidRPr="00B31292">
        <w:rPr>
          <w:rFonts w:ascii="Garamond" w:hAnsi="Garamond" w:cs="Times New Roman"/>
          <w:sz w:val="24"/>
          <w:szCs w:val="24"/>
        </w:rPr>
        <w:t>që</w:t>
      </w:r>
      <w:r w:rsidR="00E733A4" w:rsidRPr="00B31292">
        <w:rPr>
          <w:rFonts w:ascii="Garamond" w:hAnsi="Garamond" w:cs="Times New Roman"/>
          <w:sz w:val="24"/>
          <w:szCs w:val="24"/>
        </w:rPr>
        <w:t>,</w:t>
      </w:r>
      <w:r w:rsidR="00E34CAF" w:rsidRPr="00B31292">
        <w:rPr>
          <w:rFonts w:ascii="Garamond" w:hAnsi="Garamond" w:cs="Times New Roman"/>
          <w:sz w:val="24"/>
          <w:szCs w:val="24"/>
        </w:rPr>
        <w:t xml:space="preserve"> në </w:t>
      </w:r>
      <w:r w:rsidR="0005078B" w:rsidRPr="00B31292">
        <w:rPr>
          <w:rFonts w:ascii="Garamond" w:hAnsi="Garamond" w:cs="Times New Roman"/>
          <w:sz w:val="24"/>
          <w:szCs w:val="24"/>
        </w:rPr>
        <w:t xml:space="preserve">vitin </w:t>
      </w:r>
      <w:r w:rsidR="00E34CAF" w:rsidRPr="00B31292">
        <w:rPr>
          <w:rFonts w:ascii="Garamond" w:hAnsi="Garamond" w:cs="Times New Roman"/>
          <w:sz w:val="24"/>
          <w:szCs w:val="24"/>
        </w:rPr>
        <w:t>2026</w:t>
      </w:r>
      <w:r w:rsidR="00E733A4" w:rsidRPr="00B31292">
        <w:rPr>
          <w:rFonts w:ascii="Garamond" w:hAnsi="Garamond" w:cs="Times New Roman"/>
          <w:sz w:val="24"/>
          <w:szCs w:val="24"/>
        </w:rPr>
        <w:t>,</w:t>
      </w:r>
      <w:r w:rsidR="00E34CAF" w:rsidRPr="00B31292">
        <w:rPr>
          <w:rFonts w:ascii="Garamond" w:hAnsi="Garamond" w:cs="Times New Roman"/>
          <w:sz w:val="24"/>
          <w:szCs w:val="24"/>
        </w:rPr>
        <w:t xml:space="preserve"> </w:t>
      </w:r>
      <w:r w:rsidRPr="00B31292">
        <w:rPr>
          <w:rFonts w:ascii="Garamond" w:hAnsi="Garamond" w:cs="Times New Roman"/>
          <w:sz w:val="24"/>
          <w:szCs w:val="24"/>
        </w:rPr>
        <w:t>të prodhojë statistika me frekuencë tremujore</w:t>
      </w:r>
      <w:r w:rsidR="00F353A8" w:rsidRPr="00B31292">
        <w:rPr>
          <w:rFonts w:ascii="Garamond" w:hAnsi="Garamond" w:cs="Times New Roman"/>
          <w:sz w:val="24"/>
          <w:szCs w:val="24"/>
        </w:rPr>
        <w:t>,</w:t>
      </w:r>
      <w:r w:rsidRPr="00B31292">
        <w:rPr>
          <w:rFonts w:ascii="Garamond" w:hAnsi="Garamond" w:cs="Times New Roman"/>
          <w:sz w:val="24"/>
          <w:szCs w:val="24"/>
        </w:rPr>
        <w:t xml:space="preserve"> duke shfrytëzuar të dhënat administrative të marra nga Agjencia Shtetërore e Kadastrës ose nga vrojtimet statistikore.</w:t>
      </w:r>
    </w:p>
    <w:p w14:paraId="6FFC21E5" w14:textId="5F77D320" w:rsidR="00EB6FD5" w:rsidRPr="00B31292" w:rsidRDefault="00EB6FD5" w:rsidP="003A4DBA">
      <w:pPr>
        <w:spacing w:after="0" w:line="240" w:lineRule="auto"/>
        <w:ind w:firstLine="284"/>
        <w:jc w:val="both"/>
        <w:rPr>
          <w:rFonts w:ascii="Garamond" w:hAnsi="Garamond" w:cs="Times New Roman"/>
          <w:sz w:val="24"/>
          <w:szCs w:val="24"/>
        </w:rPr>
      </w:pPr>
      <w:r w:rsidRPr="00B31292">
        <w:rPr>
          <w:rFonts w:ascii="Garamond" w:hAnsi="Garamond" w:cs="Times New Roman"/>
          <w:b/>
          <w:sz w:val="24"/>
          <w:szCs w:val="24"/>
        </w:rPr>
        <w:t>Treguesit kryesorë:</w:t>
      </w:r>
      <w:r w:rsidRPr="00B31292">
        <w:rPr>
          <w:rFonts w:ascii="Garamond" w:hAnsi="Garamond" w:cs="Times New Roman"/>
          <w:sz w:val="24"/>
          <w:szCs w:val="24"/>
        </w:rPr>
        <w:t xml:space="preserve"> Indeksi </w:t>
      </w:r>
      <w:r w:rsidR="00F353A8" w:rsidRPr="00B31292">
        <w:rPr>
          <w:rFonts w:ascii="Garamond" w:hAnsi="Garamond" w:cs="Times New Roman"/>
          <w:sz w:val="24"/>
          <w:szCs w:val="24"/>
        </w:rPr>
        <w:t>mujor i çmimeve të konsumit, ndryshimi vjetor, ndryshimi mujor, indeksi mesatar vjetor; ndryshimi mesatar vjetor, indeksi i mujor i harmonizuar i çmimeve të konsumit, indeksi i nivelit të çmimeve</w:t>
      </w:r>
      <w:r w:rsidRPr="00B31292">
        <w:rPr>
          <w:rFonts w:ascii="Garamond" w:hAnsi="Garamond" w:cs="Times New Roman"/>
          <w:sz w:val="24"/>
          <w:szCs w:val="24"/>
        </w:rPr>
        <w:t>, PBB</w:t>
      </w:r>
      <w:r w:rsidR="007843CA" w:rsidRPr="00B31292">
        <w:rPr>
          <w:rFonts w:ascii="Garamond" w:hAnsi="Garamond" w:cs="Times New Roman"/>
          <w:sz w:val="24"/>
          <w:szCs w:val="24"/>
        </w:rPr>
        <w:t>-ja</w:t>
      </w:r>
      <w:r w:rsidRPr="00B31292">
        <w:rPr>
          <w:rFonts w:ascii="Garamond" w:hAnsi="Garamond" w:cs="Times New Roman"/>
          <w:sz w:val="24"/>
          <w:szCs w:val="24"/>
        </w:rPr>
        <w:t xml:space="preserve"> për frymë </w:t>
      </w:r>
      <w:r w:rsidR="00F353A8" w:rsidRPr="00B31292">
        <w:rPr>
          <w:rFonts w:ascii="Garamond" w:hAnsi="Garamond" w:cs="Times New Roman"/>
          <w:sz w:val="24"/>
          <w:szCs w:val="24"/>
        </w:rPr>
        <w:t>në standardin e fuqisë blerëse</w:t>
      </w:r>
      <w:r w:rsidRPr="00B31292">
        <w:rPr>
          <w:rFonts w:ascii="Garamond" w:hAnsi="Garamond" w:cs="Times New Roman"/>
          <w:sz w:val="24"/>
          <w:szCs w:val="24"/>
        </w:rPr>
        <w:t xml:space="preserve">. </w:t>
      </w:r>
    </w:p>
    <w:p w14:paraId="36AD4661" w14:textId="6BFF75C9" w:rsidR="00EB6FD5" w:rsidRPr="00B31292" w:rsidRDefault="00EB6FD5" w:rsidP="003A4DBA">
      <w:pPr>
        <w:autoSpaceDE w:val="0"/>
        <w:autoSpaceDN w:val="0"/>
        <w:adjustRightInd w:val="0"/>
        <w:spacing w:after="0" w:line="240" w:lineRule="auto"/>
        <w:ind w:firstLine="284"/>
        <w:jc w:val="both"/>
        <w:rPr>
          <w:rFonts w:ascii="Garamond" w:eastAsia="Times New Roman" w:hAnsi="Garamond" w:cs="Times New Roman"/>
          <w:sz w:val="24"/>
          <w:szCs w:val="24"/>
        </w:rPr>
      </w:pPr>
      <w:r w:rsidRPr="00B31292">
        <w:rPr>
          <w:rFonts w:ascii="Garamond" w:eastAsia="Times New Roman" w:hAnsi="Garamond" w:cs="Times New Roman"/>
          <w:b/>
          <w:bCs/>
          <w:sz w:val="24"/>
          <w:szCs w:val="24"/>
        </w:rPr>
        <w:t xml:space="preserve">Përputhshmëria me </w:t>
      </w:r>
      <w:r w:rsidRPr="00B31292">
        <w:rPr>
          <w:rFonts w:ascii="Garamond" w:eastAsia="Times New Roman" w:hAnsi="Garamond" w:cs="Times New Roman"/>
          <w:b/>
          <w:bCs/>
          <w:i/>
          <w:sz w:val="24"/>
          <w:szCs w:val="24"/>
        </w:rPr>
        <w:t>acquis</w:t>
      </w:r>
      <w:r w:rsidRPr="00B31292">
        <w:rPr>
          <w:rFonts w:ascii="Garamond" w:eastAsia="Times New Roman" w:hAnsi="Garamond" w:cs="Times New Roman"/>
          <w:b/>
          <w:bCs/>
          <w:sz w:val="24"/>
          <w:szCs w:val="24"/>
        </w:rPr>
        <w:t xml:space="preserve">: </w:t>
      </w:r>
      <w:r w:rsidRPr="00B31292">
        <w:rPr>
          <w:rFonts w:ascii="Garamond" w:eastAsia="Times New Roman" w:hAnsi="Garamond" w:cs="Times New Roman"/>
          <w:i/>
          <w:sz w:val="24"/>
          <w:szCs w:val="24"/>
        </w:rPr>
        <w:t xml:space="preserve">Statistikat </w:t>
      </w:r>
      <w:r w:rsidR="00F353A8" w:rsidRPr="00B31292">
        <w:rPr>
          <w:rFonts w:ascii="Garamond" w:eastAsia="Times New Roman" w:hAnsi="Garamond" w:cs="Times New Roman"/>
          <w:i/>
          <w:sz w:val="24"/>
          <w:szCs w:val="24"/>
        </w:rPr>
        <w:t>e çmimeve të konsumit</w:t>
      </w:r>
      <w:r w:rsidR="00F353A8" w:rsidRPr="00B31292">
        <w:rPr>
          <w:rFonts w:ascii="Garamond" w:eastAsia="Times New Roman" w:hAnsi="Garamond" w:cs="Times New Roman"/>
          <w:sz w:val="24"/>
          <w:szCs w:val="24"/>
        </w:rPr>
        <w:t xml:space="preserve"> </w:t>
      </w:r>
      <w:r w:rsidRPr="00B31292">
        <w:rPr>
          <w:rFonts w:ascii="Garamond" w:eastAsia="Times New Roman" w:hAnsi="Garamond" w:cs="Times New Roman"/>
          <w:sz w:val="24"/>
          <w:szCs w:val="24"/>
        </w:rPr>
        <w:t xml:space="preserve">janë pjesërisht në përputhje me </w:t>
      </w:r>
      <w:r w:rsidR="00F353A8" w:rsidRPr="00B31292">
        <w:rPr>
          <w:rFonts w:ascii="Garamond" w:eastAsia="Times New Roman" w:hAnsi="Garamond" w:cs="Times New Roman"/>
          <w:sz w:val="24"/>
          <w:szCs w:val="24"/>
        </w:rPr>
        <w:t>r</w:t>
      </w:r>
      <w:r w:rsidRPr="00B31292">
        <w:rPr>
          <w:rFonts w:ascii="Garamond" w:eastAsia="Times New Roman" w:hAnsi="Garamond" w:cs="Times New Roman"/>
          <w:sz w:val="24"/>
          <w:szCs w:val="24"/>
        </w:rPr>
        <w:t xml:space="preserve">regulloren (EC) </w:t>
      </w:r>
      <w:r w:rsidR="00F353A8" w:rsidRPr="00B31292">
        <w:rPr>
          <w:rFonts w:ascii="Garamond" w:eastAsia="Times New Roman" w:hAnsi="Garamond" w:cs="Times New Roman"/>
          <w:sz w:val="24"/>
          <w:szCs w:val="24"/>
        </w:rPr>
        <w:t>n</w:t>
      </w:r>
      <w:r w:rsidRPr="00B31292">
        <w:rPr>
          <w:rFonts w:ascii="Garamond" w:eastAsia="Times New Roman" w:hAnsi="Garamond" w:cs="Times New Roman"/>
          <w:sz w:val="24"/>
          <w:szCs w:val="24"/>
        </w:rPr>
        <w:t xml:space="preserve">r. </w:t>
      </w:r>
      <w:r w:rsidR="00C23033" w:rsidRPr="00B31292">
        <w:rPr>
          <w:rFonts w:ascii="Garamond" w:eastAsia="Times New Roman" w:hAnsi="Garamond" w:cs="Times New Roman"/>
          <w:sz w:val="24"/>
          <w:szCs w:val="24"/>
        </w:rPr>
        <w:t>2016</w:t>
      </w:r>
      <w:r w:rsidRPr="00B31292">
        <w:rPr>
          <w:rFonts w:ascii="Garamond" w:eastAsia="Times New Roman" w:hAnsi="Garamond" w:cs="Times New Roman"/>
          <w:sz w:val="24"/>
          <w:szCs w:val="24"/>
        </w:rPr>
        <w:t>/</w:t>
      </w:r>
      <w:r w:rsidR="00C23033" w:rsidRPr="00B31292">
        <w:rPr>
          <w:rFonts w:ascii="Garamond" w:eastAsia="Times New Roman" w:hAnsi="Garamond" w:cs="Times New Roman"/>
          <w:sz w:val="24"/>
          <w:szCs w:val="24"/>
        </w:rPr>
        <w:t>792</w:t>
      </w:r>
      <w:r w:rsidR="00F353A8" w:rsidRPr="00B31292">
        <w:rPr>
          <w:rFonts w:ascii="Garamond" w:eastAsia="Times New Roman" w:hAnsi="Garamond" w:cs="Times New Roman"/>
          <w:sz w:val="24"/>
          <w:szCs w:val="24"/>
        </w:rPr>
        <w:t>,</w:t>
      </w:r>
      <w:r w:rsidR="0041219F" w:rsidRPr="00B31292">
        <w:rPr>
          <w:rFonts w:ascii="Garamond" w:eastAsia="Times New Roman" w:hAnsi="Garamond" w:cs="Times New Roman"/>
          <w:sz w:val="24"/>
          <w:szCs w:val="24"/>
        </w:rPr>
        <w:t xml:space="preserve"> </w:t>
      </w:r>
      <w:r w:rsidR="00BA12C3" w:rsidRPr="00B31292">
        <w:rPr>
          <w:rFonts w:ascii="Garamond" w:eastAsia="Times New Roman" w:hAnsi="Garamond" w:cs="Times New Roman"/>
          <w:sz w:val="24"/>
          <w:szCs w:val="24"/>
        </w:rPr>
        <w:t>“</w:t>
      </w:r>
      <w:r w:rsidRPr="00B31292">
        <w:rPr>
          <w:rFonts w:ascii="Garamond" w:eastAsia="Times New Roman" w:hAnsi="Garamond" w:cs="Times New Roman"/>
          <w:sz w:val="24"/>
          <w:szCs w:val="24"/>
        </w:rPr>
        <w:t xml:space="preserve">Për </w:t>
      </w:r>
      <w:r w:rsidR="00C23033" w:rsidRPr="00B31292">
        <w:rPr>
          <w:rFonts w:ascii="Garamond" w:eastAsia="Times New Roman" w:hAnsi="Garamond" w:cs="Times New Roman"/>
          <w:sz w:val="24"/>
          <w:szCs w:val="24"/>
        </w:rPr>
        <w:t xml:space="preserve">indekset </w:t>
      </w:r>
      <w:r w:rsidRPr="00B31292">
        <w:rPr>
          <w:rFonts w:ascii="Garamond" w:eastAsia="Times New Roman" w:hAnsi="Garamond" w:cs="Times New Roman"/>
          <w:sz w:val="24"/>
          <w:szCs w:val="24"/>
        </w:rPr>
        <w:t>e harmonizuar</w:t>
      </w:r>
      <w:r w:rsidR="00C23033" w:rsidRPr="00B31292">
        <w:rPr>
          <w:rFonts w:ascii="Garamond" w:eastAsia="Times New Roman" w:hAnsi="Garamond" w:cs="Times New Roman"/>
          <w:sz w:val="24"/>
          <w:szCs w:val="24"/>
        </w:rPr>
        <w:t>a</w:t>
      </w:r>
      <w:r w:rsidRPr="00B31292">
        <w:rPr>
          <w:rFonts w:ascii="Garamond" w:eastAsia="Times New Roman" w:hAnsi="Garamond" w:cs="Times New Roman"/>
          <w:sz w:val="24"/>
          <w:szCs w:val="24"/>
        </w:rPr>
        <w:t xml:space="preserve"> të çmimeve të konsumit</w:t>
      </w:r>
      <w:r w:rsidR="00C23033" w:rsidRPr="00B31292">
        <w:rPr>
          <w:rFonts w:ascii="Garamond" w:eastAsia="Times New Roman" w:hAnsi="Garamond" w:cs="Times New Roman"/>
          <w:sz w:val="24"/>
          <w:szCs w:val="24"/>
        </w:rPr>
        <w:t xml:space="preserve"> dhe indeksin e çmimeve të banesave</w:t>
      </w:r>
      <w:r w:rsidR="00BA12C3" w:rsidRPr="00B31292">
        <w:rPr>
          <w:rFonts w:ascii="Garamond" w:eastAsia="Times New Roman" w:hAnsi="Garamond" w:cs="Times New Roman"/>
          <w:sz w:val="24"/>
          <w:szCs w:val="24"/>
        </w:rPr>
        <w:t>”</w:t>
      </w:r>
      <w:r w:rsidRPr="00B31292">
        <w:rPr>
          <w:rFonts w:ascii="Garamond" w:eastAsia="Times New Roman" w:hAnsi="Garamond" w:cs="Times New Roman"/>
          <w:sz w:val="24"/>
          <w:szCs w:val="24"/>
        </w:rPr>
        <w:t xml:space="preserve">, ndërkohë që zbatojnë të njëjtat përkufizime dhe klasifikime. Të dhënat e çmimeve transmetohen </w:t>
      </w:r>
      <w:r w:rsidR="00C23033" w:rsidRPr="00B31292">
        <w:rPr>
          <w:rFonts w:ascii="Garamond" w:eastAsia="Times New Roman" w:hAnsi="Garamond" w:cs="Times New Roman"/>
          <w:sz w:val="24"/>
          <w:szCs w:val="24"/>
        </w:rPr>
        <w:t xml:space="preserve">dhe publikohen </w:t>
      </w:r>
      <w:r w:rsidRPr="00B31292">
        <w:rPr>
          <w:rFonts w:ascii="Garamond" w:eastAsia="Times New Roman" w:hAnsi="Garamond" w:cs="Times New Roman"/>
          <w:sz w:val="24"/>
          <w:szCs w:val="24"/>
        </w:rPr>
        <w:t xml:space="preserve">rregullisht në </w:t>
      </w:r>
      <w:r w:rsidR="009C0CE9" w:rsidRPr="00B31292">
        <w:rPr>
          <w:rFonts w:ascii="Garamond" w:eastAsia="Times New Roman" w:hAnsi="Garamond" w:cs="Times New Roman"/>
          <w:sz w:val="24"/>
          <w:szCs w:val="24"/>
        </w:rPr>
        <w:t>Eurostat</w:t>
      </w:r>
      <w:r w:rsidR="00C23033" w:rsidRPr="00B31292">
        <w:rPr>
          <w:rFonts w:ascii="Garamond" w:eastAsia="Times New Roman" w:hAnsi="Garamond" w:cs="Times New Roman"/>
          <w:sz w:val="24"/>
          <w:szCs w:val="24"/>
        </w:rPr>
        <w:t>,</w:t>
      </w:r>
      <w:r w:rsidRPr="00B31292">
        <w:rPr>
          <w:rFonts w:ascii="Garamond" w:eastAsia="Times New Roman" w:hAnsi="Garamond" w:cs="Times New Roman"/>
          <w:sz w:val="24"/>
          <w:szCs w:val="24"/>
        </w:rPr>
        <w:t xml:space="preserve"> çdo muaj. INSTAT</w:t>
      </w:r>
      <w:r w:rsidR="007843CA" w:rsidRPr="00B31292">
        <w:rPr>
          <w:rFonts w:ascii="Garamond" w:eastAsia="Times New Roman" w:hAnsi="Garamond" w:cs="Times New Roman"/>
          <w:sz w:val="24"/>
          <w:szCs w:val="24"/>
        </w:rPr>
        <w:t>-i</w:t>
      </w:r>
      <w:r w:rsidRPr="00B31292">
        <w:rPr>
          <w:rFonts w:ascii="Garamond" w:eastAsia="Times New Roman" w:hAnsi="Garamond" w:cs="Times New Roman"/>
          <w:sz w:val="24"/>
          <w:szCs w:val="24"/>
        </w:rPr>
        <w:t xml:space="preserve"> ndjek dhe zbaton rregullisht ndryshimet metodologjike të </w:t>
      </w:r>
      <w:r w:rsidR="007843CA" w:rsidRPr="00B31292">
        <w:rPr>
          <w:rFonts w:ascii="Garamond" w:eastAsia="Times New Roman" w:hAnsi="Garamond" w:cs="Times New Roman"/>
          <w:sz w:val="24"/>
          <w:szCs w:val="24"/>
        </w:rPr>
        <w:t>rregullores</w:t>
      </w:r>
      <w:r w:rsidRPr="00B31292">
        <w:rPr>
          <w:rFonts w:ascii="Garamond" w:eastAsia="Times New Roman" w:hAnsi="Garamond" w:cs="Times New Roman"/>
          <w:sz w:val="24"/>
          <w:szCs w:val="24"/>
        </w:rPr>
        <w:t xml:space="preserve"> dhe i zbaton në trajtimin dhe llogaritjen e treguesit.</w:t>
      </w:r>
      <w:r w:rsidR="002F2569" w:rsidRPr="00B31292">
        <w:rPr>
          <w:rFonts w:ascii="Garamond" w:eastAsia="Times New Roman" w:hAnsi="Garamond" w:cs="Times New Roman"/>
          <w:sz w:val="24"/>
          <w:szCs w:val="24"/>
        </w:rPr>
        <w:t xml:space="preserve"> </w:t>
      </w:r>
      <w:r w:rsidRPr="00B31292">
        <w:rPr>
          <w:rFonts w:ascii="Garamond" w:eastAsia="Times New Roman" w:hAnsi="Garamond" w:cs="Times New Roman"/>
          <w:bCs/>
          <w:sz w:val="24"/>
          <w:szCs w:val="24"/>
        </w:rPr>
        <w:t>Për</w:t>
      </w:r>
      <w:r w:rsidR="007843CA" w:rsidRPr="00B31292">
        <w:rPr>
          <w:rFonts w:ascii="Garamond" w:eastAsia="Times New Roman" w:hAnsi="Garamond" w:cs="Times New Roman"/>
          <w:bCs/>
          <w:sz w:val="24"/>
          <w:szCs w:val="24"/>
        </w:rPr>
        <w:t xml:space="preserve"> </w:t>
      </w:r>
      <w:r w:rsidRPr="00B31292">
        <w:rPr>
          <w:rFonts w:ascii="Garamond" w:eastAsia="Times New Roman" w:hAnsi="Garamond" w:cs="Times New Roman"/>
          <w:bCs/>
          <w:sz w:val="24"/>
          <w:szCs w:val="24"/>
        </w:rPr>
        <w:t xml:space="preserve">sa i përket statistikave të </w:t>
      </w:r>
      <w:r w:rsidR="00F353A8" w:rsidRPr="00B31292">
        <w:rPr>
          <w:rFonts w:ascii="Garamond" w:eastAsia="Times New Roman" w:hAnsi="Garamond" w:cs="Times New Roman"/>
          <w:bCs/>
          <w:sz w:val="24"/>
          <w:szCs w:val="24"/>
        </w:rPr>
        <w:t>matjes së fuqisë blerëse</w:t>
      </w:r>
      <w:r w:rsidRPr="00B31292">
        <w:rPr>
          <w:rFonts w:ascii="Garamond" w:eastAsia="Times New Roman" w:hAnsi="Garamond" w:cs="Times New Roman"/>
          <w:bCs/>
          <w:sz w:val="24"/>
          <w:szCs w:val="24"/>
        </w:rPr>
        <w:t>, të gjitha aktivitetet që lidhen me këtë nëntemë statistikore kryhen në përputhje të plotë m</w:t>
      </w:r>
      <w:r w:rsidR="00F353A8" w:rsidRPr="00B31292">
        <w:rPr>
          <w:rFonts w:ascii="Garamond" w:eastAsia="Times New Roman" w:hAnsi="Garamond" w:cs="Times New Roman"/>
          <w:bCs/>
          <w:sz w:val="24"/>
          <w:szCs w:val="24"/>
        </w:rPr>
        <w:t>e</w:t>
      </w:r>
      <w:r w:rsidRPr="00B31292">
        <w:rPr>
          <w:rFonts w:ascii="Garamond" w:eastAsia="Times New Roman" w:hAnsi="Garamond" w:cs="Times New Roman"/>
          <w:bCs/>
          <w:sz w:val="24"/>
          <w:szCs w:val="24"/>
        </w:rPr>
        <w:t xml:space="preserve"> </w:t>
      </w:r>
      <w:r w:rsidR="00F353A8" w:rsidRPr="00B31292">
        <w:rPr>
          <w:rFonts w:ascii="Garamond" w:eastAsia="Times New Roman" w:hAnsi="Garamond" w:cs="Times New Roman"/>
          <w:bCs/>
          <w:sz w:val="24"/>
          <w:szCs w:val="24"/>
        </w:rPr>
        <w:t>r</w:t>
      </w:r>
      <w:r w:rsidRPr="00B31292">
        <w:rPr>
          <w:rFonts w:ascii="Garamond" w:eastAsia="Times New Roman" w:hAnsi="Garamond" w:cs="Times New Roman"/>
          <w:bCs/>
          <w:sz w:val="24"/>
          <w:szCs w:val="24"/>
        </w:rPr>
        <w:t xml:space="preserve">regulloren </w:t>
      </w:r>
      <w:r w:rsidR="00E733A4" w:rsidRPr="00B31292">
        <w:rPr>
          <w:rFonts w:ascii="Garamond" w:eastAsia="Times New Roman" w:hAnsi="Garamond" w:cs="Times New Roman"/>
          <w:bCs/>
          <w:sz w:val="24"/>
          <w:szCs w:val="24"/>
        </w:rPr>
        <w:t>(</w:t>
      </w:r>
      <w:r w:rsidRPr="00B31292">
        <w:rPr>
          <w:rFonts w:ascii="Garamond" w:eastAsia="Times New Roman" w:hAnsi="Garamond" w:cs="Times New Roman"/>
          <w:bCs/>
          <w:sz w:val="24"/>
          <w:szCs w:val="24"/>
        </w:rPr>
        <w:t>BE</w:t>
      </w:r>
      <w:r w:rsidR="00E733A4" w:rsidRPr="00B31292">
        <w:rPr>
          <w:rFonts w:ascii="Garamond" w:eastAsia="Times New Roman" w:hAnsi="Garamond" w:cs="Times New Roman"/>
          <w:bCs/>
          <w:sz w:val="24"/>
          <w:szCs w:val="24"/>
        </w:rPr>
        <w:t>)</w:t>
      </w:r>
      <w:hyperlink r:id="rId27" w:history="1">
        <w:r w:rsidRPr="00B31292">
          <w:rPr>
            <w:rFonts w:ascii="Garamond" w:eastAsia="Times New Roman" w:hAnsi="Garamond" w:cs="Times New Roman"/>
            <w:sz w:val="24"/>
            <w:szCs w:val="24"/>
          </w:rPr>
          <w:t xml:space="preserve"> </w:t>
        </w:r>
        <w:r w:rsidR="00F353A8" w:rsidRPr="00B31292">
          <w:rPr>
            <w:rFonts w:ascii="Garamond" w:eastAsia="Times New Roman" w:hAnsi="Garamond" w:cs="Times New Roman"/>
            <w:sz w:val="24"/>
            <w:szCs w:val="24"/>
          </w:rPr>
          <w:t>n</w:t>
        </w:r>
        <w:r w:rsidRPr="00B31292">
          <w:rPr>
            <w:rFonts w:ascii="Garamond" w:eastAsia="Times New Roman" w:hAnsi="Garamond" w:cs="Times New Roman"/>
            <w:sz w:val="24"/>
            <w:szCs w:val="24"/>
          </w:rPr>
          <w:t>r. 193/2011</w:t>
        </w:r>
        <w:r w:rsidR="00F353A8" w:rsidRPr="00B31292">
          <w:rPr>
            <w:rFonts w:ascii="Garamond" w:eastAsia="Times New Roman" w:hAnsi="Garamond" w:cs="Times New Roman"/>
            <w:sz w:val="24"/>
            <w:szCs w:val="24"/>
          </w:rPr>
          <w:t>,</w:t>
        </w:r>
        <w:r w:rsidRPr="00B31292">
          <w:rPr>
            <w:rFonts w:ascii="Garamond" w:eastAsia="Times New Roman" w:hAnsi="Garamond" w:cs="Times New Roman"/>
            <w:sz w:val="24"/>
            <w:szCs w:val="24"/>
          </w:rPr>
          <w:t xml:space="preserve"> </w:t>
        </w:r>
        <w:r w:rsidR="00BA12C3" w:rsidRPr="00B31292">
          <w:rPr>
            <w:rFonts w:ascii="Garamond" w:eastAsia="Times New Roman" w:hAnsi="Garamond" w:cs="Times New Roman"/>
            <w:sz w:val="24"/>
            <w:szCs w:val="24"/>
          </w:rPr>
          <w:t>“</w:t>
        </w:r>
        <w:r w:rsidRPr="00B31292">
          <w:rPr>
            <w:rFonts w:ascii="Garamond" w:eastAsia="Times New Roman" w:hAnsi="Garamond" w:cs="Times New Roman"/>
            <w:sz w:val="24"/>
            <w:szCs w:val="24"/>
          </w:rPr>
          <w:t>Për kontrollin e cilësisë së matjes së fuqisë blerëse</w:t>
        </w:r>
        <w:r w:rsidR="00BA12C3" w:rsidRPr="00B31292">
          <w:rPr>
            <w:rFonts w:ascii="Garamond" w:eastAsia="Times New Roman" w:hAnsi="Garamond" w:cs="Times New Roman"/>
            <w:sz w:val="24"/>
            <w:szCs w:val="24"/>
          </w:rPr>
          <w:t>”</w:t>
        </w:r>
        <w:r w:rsidRPr="00B31292">
          <w:rPr>
            <w:rFonts w:ascii="Garamond" w:eastAsia="Times New Roman" w:hAnsi="Garamond" w:cs="Times New Roman"/>
            <w:sz w:val="24"/>
            <w:szCs w:val="24"/>
          </w:rPr>
          <w:t xml:space="preserve">. </w:t>
        </w:r>
      </w:hyperlink>
    </w:p>
    <w:p w14:paraId="15B468E0" w14:textId="0BDB2FAC" w:rsidR="00A63C5C" w:rsidRPr="00B31292" w:rsidRDefault="00A63C5C" w:rsidP="003A4DBA">
      <w:pPr>
        <w:keepNext/>
        <w:keepLines/>
        <w:spacing w:after="0" w:line="240" w:lineRule="auto"/>
        <w:ind w:firstLine="284"/>
        <w:outlineLvl w:val="4"/>
        <w:rPr>
          <w:rFonts w:ascii="Garamond" w:eastAsia="Times New Roman" w:hAnsi="Garamond" w:cs="Times New Roman"/>
          <w:b/>
          <w:iCs/>
          <w:sz w:val="24"/>
          <w:szCs w:val="24"/>
        </w:rPr>
      </w:pPr>
      <w:r w:rsidRPr="00B31292">
        <w:rPr>
          <w:rFonts w:ascii="Garamond" w:eastAsia="Times New Roman" w:hAnsi="Garamond" w:cs="Times New Roman"/>
          <w:b/>
          <w:iCs/>
          <w:sz w:val="24"/>
          <w:szCs w:val="24"/>
        </w:rPr>
        <w:t xml:space="preserve">Tema 3.8 </w:t>
      </w:r>
      <w:r w:rsidR="00BA12C3" w:rsidRPr="00B31292">
        <w:rPr>
          <w:rFonts w:ascii="Garamond" w:eastAsia="Times New Roman" w:hAnsi="Garamond" w:cs="Times New Roman"/>
          <w:b/>
          <w:iCs/>
          <w:sz w:val="24"/>
          <w:szCs w:val="24"/>
        </w:rPr>
        <w:t>“</w:t>
      </w:r>
      <w:r w:rsidRPr="00B31292">
        <w:rPr>
          <w:rFonts w:ascii="Garamond" w:eastAsia="Times New Roman" w:hAnsi="Garamond" w:cs="Times New Roman"/>
          <w:b/>
          <w:iCs/>
          <w:sz w:val="24"/>
          <w:szCs w:val="24"/>
        </w:rPr>
        <w:t xml:space="preserve">Shkenca, </w:t>
      </w:r>
      <w:r w:rsidR="00F353A8" w:rsidRPr="00B31292">
        <w:rPr>
          <w:rFonts w:ascii="Garamond" w:eastAsia="Times New Roman" w:hAnsi="Garamond" w:cs="Times New Roman"/>
          <w:b/>
          <w:iCs/>
          <w:sz w:val="24"/>
          <w:szCs w:val="24"/>
        </w:rPr>
        <w:t>teknologjia dhe inovacioni</w:t>
      </w:r>
      <w:r w:rsidR="00BA12C3" w:rsidRPr="00B31292">
        <w:rPr>
          <w:rFonts w:ascii="Garamond" w:eastAsia="Times New Roman" w:hAnsi="Garamond" w:cs="Times New Roman"/>
          <w:b/>
          <w:iCs/>
          <w:sz w:val="24"/>
          <w:szCs w:val="24"/>
        </w:rPr>
        <w:t>”</w:t>
      </w:r>
    </w:p>
    <w:p w14:paraId="452825E0" w14:textId="77777777" w:rsidR="00A63C5C" w:rsidRPr="00B31292" w:rsidRDefault="00A63C5C" w:rsidP="003A4DBA">
      <w:pPr>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 xml:space="preserve">Në këtë temë përfshihen këto nëntema: </w:t>
      </w:r>
    </w:p>
    <w:p w14:paraId="3041EDAC" w14:textId="5E403E4F" w:rsidR="00A63C5C" w:rsidRPr="00B31292" w:rsidRDefault="00A63C5C" w:rsidP="003A4DBA">
      <w:pPr>
        <w:spacing w:after="0" w:line="240" w:lineRule="auto"/>
        <w:ind w:firstLine="284"/>
        <w:jc w:val="both"/>
        <w:rPr>
          <w:rFonts w:ascii="Garamond" w:eastAsia="Calibri" w:hAnsi="Garamond" w:cs="Times New Roman"/>
          <w:sz w:val="24"/>
          <w:szCs w:val="24"/>
        </w:rPr>
      </w:pPr>
      <w:r w:rsidRPr="00B31292">
        <w:rPr>
          <w:rFonts w:ascii="Garamond" w:eastAsia="Calibri" w:hAnsi="Garamond" w:cs="Times New Roman"/>
          <w:i/>
          <w:sz w:val="24"/>
          <w:szCs w:val="24"/>
        </w:rPr>
        <w:t xml:space="preserve">3.8.1 </w:t>
      </w:r>
      <w:r w:rsidR="00BA12C3" w:rsidRPr="00B31292">
        <w:rPr>
          <w:rFonts w:ascii="Garamond" w:eastAsia="Calibri" w:hAnsi="Garamond" w:cs="Times New Roman"/>
          <w:i/>
          <w:sz w:val="24"/>
          <w:szCs w:val="24"/>
        </w:rPr>
        <w:t>“</w:t>
      </w:r>
      <w:r w:rsidRPr="00B31292">
        <w:rPr>
          <w:rFonts w:ascii="Garamond" w:eastAsia="Calibri" w:hAnsi="Garamond" w:cs="Times New Roman"/>
          <w:i/>
          <w:sz w:val="24"/>
          <w:szCs w:val="24"/>
        </w:rPr>
        <w:t>Statistikat e shkencës dhe teknologjisë</w:t>
      </w:r>
      <w:r w:rsidR="00BA12C3" w:rsidRPr="00B31292">
        <w:rPr>
          <w:rFonts w:ascii="Garamond" w:eastAsia="Calibri" w:hAnsi="Garamond" w:cs="Times New Roman"/>
          <w:i/>
          <w:sz w:val="24"/>
          <w:szCs w:val="24"/>
        </w:rPr>
        <w:t>”</w:t>
      </w:r>
      <w:r w:rsidR="00803F40" w:rsidRPr="00B31292">
        <w:rPr>
          <w:rFonts w:ascii="Garamond" w:eastAsia="Calibri" w:hAnsi="Garamond" w:cs="Times New Roman"/>
          <w:sz w:val="24"/>
          <w:szCs w:val="24"/>
        </w:rPr>
        <w:t xml:space="preserve"> </w:t>
      </w:r>
      <w:r w:rsidR="007843CA" w:rsidRPr="00B31292">
        <w:rPr>
          <w:rFonts w:ascii="Garamond" w:eastAsia="Calibri" w:hAnsi="Garamond" w:cs="Times New Roman"/>
          <w:sz w:val="24"/>
          <w:szCs w:val="24"/>
        </w:rPr>
        <w:t>–</w:t>
      </w:r>
      <w:r w:rsidR="00803F40" w:rsidRPr="00B31292">
        <w:rPr>
          <w:rFonts w:ascii="Garamond" w:eastAsia="Calibri" w:hAnsi="Garamond" w:cs="Times New Roman"/>
          <w:sz w:val="24"/>
          <w:szCs w:val="24"/>
        </w:rPr>
        <w:t xml:space="preserve"> </w:t>
      </w:r>
      <w:r w:rsidRPr="00B31292">
        <w:rPr>
          <w:rFonts w:ascii="Garamond" w:eastAsia="Calibri" w:hAnsi="Garamond" w:cs="Times New Roman"/>
          <w:sz w:val="24"/>
          <w:szCs w:val="24"/>
        </w:rPr>
        <w:t>për statistikat e kësaj kategorie, INSTAT</w:t>
      </w:r>
      <w:r w:rsidR="007843CA" w:rsidRPr="00B31292">
        <w:rPr>
          <w:rFonts w:ascii="Garamond" w:eastAsia="Calibri" w:hAnsi="Garamond" w:cs="Times New Roman"/>
          <w:sz w:val="24"/>
          <w:szCs w:val="24"/>
        </w:rPr>
        <w:t>-i</w:t>
      </w:r>
      <w:r w:rsidRPr="00B31292">
        <w:rPr>
          <w:rFonts w:ascii="Garamond" w:eastAsia="Calibri" w:hAnsi="Garamond" w:cs="Times New Roman"/>
          <w:sz w:val="24"/>
          <w:szCs w:val="24"/>
        </w:rPr>
        <w:t>, gjatë vitit 2025</w:t>
      </w:r>
      <w:r w:rsidR="00803F40" w:rsidRPr="00B31292">
        <w:rPr>
          <w:rFonts w:ascii="Garamond" w:eastAsia="Calibri" w:hAnsi="Garamond" w:cs="Times New Roman"/>
          <w:sz w:val="24"/>
          <w:szCs w:val="24"/>
        </w:rPr>
        <w:t>,</w:t>
      </w:r>
      <w:r w:rsidRPr="00B31292">
        <w:rPr>
          <w:rFonts w:ascii="Garamond" w:eastAsia="Calibri" w:hAnsi="Garamond" w:cs="Times New Roman"/>
          <w:sz w:val="24"/>
          <w:szCs w:val="24"/>
        </w:rPr>
        <w:t xml:space="preserve"> do të mbledhë dhe përpunojë të dhëna administrative mbi fondet e alokuara në buxhetin e shtetit për aktivitetin e </w:t>
      </w:r>
      <w:r w:rsidR="00F353A8" w:rsidRPr="00B31292">
        <w:rPr>
          <w:rFonts w:ascii="Garamond" w:eastAsia="Calibri" w:hAnsi="Garamond" w:cs="Times New Roman"/>
          <w:sz w:val="24"/>
          <w:szCs w:val="24"/>
        </w:rPr>
        <w:t xml:space="preserve">kërkimit shkencor </w:t>
      </w:r>
      <w:r w:rsidRPr="00B31292">
        <w:rPr>
          <w:rFonts w:ascii="Garamond" w:eastAsia="Calibri" w:hAnsi="Garamond" w:cs="Times New Roman"/>
          <w:sz w:val="24"/>
          <w:szCs w:val="24"/>
        </w:rPr>
        <w:t>(statistikat GBARD)</w:t>
      </w:r>
      <w:r w:rsidR="00EB051F" w:rsidRPr="00B31292">
        <w:rPr>
          <w:rFonts w:ascii="Garamond" w:eastAsia="Calibri" w:hAnsi="Garamond" w:cs="Times New Roman"/>
          <w:sz w:val="24"/>
          <w:szCs w:val="24"/>
        </w:rPr>
        <w:t>,</w:t>
      </w:r>
      <w:r w:rsidRPr="00B31292">
        <w:rPr>
          <w:rFonts w:ascii="Garamond" w:eastAsia="Calibri" w:hAnsi="Garamond" w:cs="Times New Roman"/>
          <w:sz w:val="24"/>
          <w:szCs w:val="24"/>
        </w:rPr>
        <w:t xml:space="preserve"> për vitin referencë 2024. Këto të dhëna do të transmetohen në </w:t>
      </w:r>
      <w:r w:rsidR="009C0CE9" w:rsidRPr="00B31292">
        <w:rPr>
          <w:rFonts w:ascii="Garamond" w:eastAsia="Calibri" w:hAnsi="Garamond" w:cs="Times New Roman"/>
          <w:sz w:val="24"/>
          <w:szCs w:val="24"/>
        </w:rPr>
        <w:t>Eurostat</w:t>
      </w:r>
      <w:r w:rsidRPr="00B31292">
        <w:rPr>
          <w:rFonts w:ascii="Garamond" w:eastAsia="Calibri" w:hAnsi="Garamond" w:cs="Times New Roman"/>
          <w:sz w:val="24"/>
          <w:szCs w:val="24"/>
        </w:rPr>
        <w:t>.</w:t>
      </w:r>
    </w:p>
    <w:p w14:paraId="6C47BD84" w14:textId="5BDF2420" w:rsidR="00A63C5C" w:rsidRPr="00B31292" w:rsidRDefault="00A63C5C" w:rsidP="003A4DBA">
      <w:pPr>
        <w:spacing w:after="0" w:line="240" w:lineRule="auto"/>
        <w:ind w:firstLine="284"/>
        <w:contextualSpacing/>
        <w:jc w:val="both"/>
        <w:rPr>
          <w:rFonts w:ascii="Garamond" w:eastAsia="Calibri" w:hAnsi="Garamond" w:cs="Times New Roman"/>
          <w:sz w:val="24"/>
          <w:szCs w:val="24"/>
        </w:rPr>
      </w:pPr>
      <w:r w:rsidRPr="00B31292">
        <w:rPr>
          <w:rFonts w:ascii="Garamond" w:eastAsia="Calibri" w:hAnsi="Garamond" w:cs="Times New Roman"/>
          <w:i/>
          <w:sz w:val="24"/>
          <w:szCs w:val="24"/>
        </w:rPr>
        <w:t xml:space="preserve">3.8.2 </w:t>
      </w:r>
      <w:r w:rsidR="00BA12C3" w:rsidRPr="00B31292">
        <w:rPr>
          <w:rFonts w:ascii="Garamond" w:eastAsia="Calibri" w:hAnsi="Garamond" w:cs="Times New Roman"/>
          <w:i/>
          <w:sz w:val="24"/>
          <w:szCs w:val="24"/>
        </w:rPr>
        <w:t>“</w:t>
      </w:r>
      <w:r w:rsidRPr="00B31292">
        <w:rPr>
          <w:rFonts w:ascii="Garamond" w:eastAsia="Calibri" w:hAnsi="Garamond" w:cs="Times New Roman"/>
          <w:i/>
          <w:sz w:val="24"/>
          <w:szCs w:val="24"/>
        </w:rPr>
        <w:t>Statistikat e inovacionit</w:t>
      </w:r>
      <w:r w:rsidR="00BA12C3" w:rsidRPr="00B31292">
        <w:rPr>
          <w:rFonts w:ascii="Garamond" w:eastAsia="Calibri" w:hAnsi="Garamond" w:cs="Times New Roman"/>
          <w:i/>
          <w:sz w:val="24"/>
          <w:szCs w:val="24"/>
        </w:rPr>
        <w:t>”</w:t>
      </w:r>
      <w:r w:rsidR="00803F40" w:rsidRPr="00B31292">
        <w:rPr>
          <w:rFonts w:ascii="Garamond" w:eastAsia="Calibri" w:hAnsi="Garamond" w:cs="Times New Roman"/>
          <w:sz w:val="24"/>
          <w:szCs w:val="24"/>
        </w:rPr>
        <w:t xml:space="preserve"> </w:t>
      </w:r>
      <w:r w:rsidR="007843CA" w:rsidRPr="00B31292">
        <w:rPr>
          <w:rFonts w:ascii="Garamond" w:eastAsia="Calibri" w:hAnsi="Garamond" w:cs="Times New Roman"/>
          <w:sz w:val="24"/>
          <w:szCs w:val="24"/>
        </w:rPr>
        <w:t>–</w:t>
      </w:r>
      <w:r w:rsidR="00803F40" w:rsidRPr="00B31292">
        <w:rPr>
          <w:rFonts w:ascii="Garamond" w:eastAsia="Calibri" w:hAnsi="Garamond" w:cs="Times New Roman"/>
          <w:sz w:val="24"/>
          <w:szCs w:val="24"/>
        </w:rPr>
        <w:t xml:space="preserve"> </w:t>
      </w:r>
      <w:r w:rsidRPr="00B31292">
        <w:rPr>
          <w:rFonts w:ascii="Garamond" w:eastAsia="Calibri" w:hAnsi="Garamond" w:cs="Times New Roman"/>
          <w:sz w:val="24"/>
          <w:szCs w:val="24"/>
        </w:rPr>
        <w:t>INSTAT</w:t>
      </w:r>
      <w:r w:rsidR="007843CA" w:rsidRPr="00B31292">
        <w:rPr>
          <w:rFonts w:ascii="Garamond" w:eastAsia="Calibri" w:hAnsi="Garamond" w:cs="Times New Roman"/>
          <w:sz w:val="24"/>
          <w:szCs w:val="24"/>
        </w:rPr>
        <w:t>-i</w:t>
      </w:r>
      <w:r w:rsidRPr="00B31292">
        <w:rPr>
          <w:rFonts w:ascii="Garamond" w:eastAsia="Calibri" w:hAnsi="Garamond" w:cs="Times New Roman"/>
          <w:sz w:val="24"/>
          <w:szCs w:val="24"/>
        </w:rPr>
        <w:t xml:space="preserve">, gjatë vitit 2025, do të përpunojë të dhënat e </w:t>
      </w:r>
      <w:r w:rsidR="00F353A8" w:rsidRPr="00B31292">
        <w:rPr>
          <w:rFonts w:ascii="Garamond" w:eastAsia="Calibri" w:hAnsi="Garamond" w:cs="Times New Roman"/>
          <w:sz w:val="24"/>
          <w:szCs w:val="24"/>
        </w:rPr>
        <w:t>vrojtimit e inovacionit në ndërmarrje, të realizuar në dhjet</w:t>
      </w:r>
      <w:r w:rsidR="00EB051F" w:rsidRPr="00B31292">
        <w:rPr>
          <w:rFonts w:ascii="Garamond" w:eastAsia="Calibri" w:hAnsi="Garamond" w:cs="Times New Roman"/>
          <w:sz w:val="24"/>
          <w:szCs w:val="24"/>
        </w:rPr>
        <w:t xml:space="preserve">or </w:t>
      </w:r>
      <w:r w:rsidRPr="00B31292">
        <w:rPr>
          <w:rFonts w:ascii="Garamond" w:eastAsia="Calibri" w:hAnsi="Garamond" w:cs="Times New Roman"/>
          <w:sz w:val="24"/>
          <w:szCs w:val="24"/>
        </w:rPr>
        <w:t>të 2024</w:t>
      </w:r>
      <w:r w:rsidR="00F353A8" w:rsidRPr="00B31292">
        <w:rPr>
          <w:rFonts w:ascii="Garamond" w:eastAsia="Calibri" w:hAnsi="Garamond" w:cs="Times New Roman"/>
          <w:sz w:val="24"/>
          <w:szCs w:val="24"/>
        </w:rPr>
        <w:t>-s</w:t>
      </w:r>
      <w:r w:rsidRPr="00B31292">
        <w:rPr>
          <w:rFonts w:ascii="Garamond" w:eastAsia="Calibri" w:hAnsi="Garamond" w:cs="Times New Roman"/>
          <w:sz w:val="24"/>
          <w:szCs w:val="24"/>
        </w:rPr>
        <w:t xml:space="preserve"> (CIS 2024)</w:t>
      </w:r>
      <w:r w:rsidR="00EB051F" w:rsidRPr="00B31292">
        <w:rPr>
          <w:rFonts w:ascii="Garamond" w:eastAsia="Calibri" w:hAnsi="Garamond" w:cs="Times New Roman"/>
          <w:sz w:val="24"/>
          <w:szCs w:val="24"/>
        </w:rPr>
        <w:t>,</w:t>
      </w:r>
      <w:r w:rsidRPr="00B31292">
        <w:rPr>
          <w:rFonts w:ascii="Garamond" w:eastAsia="Calibri" w:hAnsi="Garamond" w:cs="Times New Roman"/>
          <w:sz w:val="24"/>
          <w:szCs w:val="24"/>
        </w:rPr>
        <w:t xml:space="preserve"> për periudhën kohore 2022</w:t>
      </w:r>
      <w:r w:rsidR="00F353A8" w:rsidRPr="00B31292">
        <w:rPr>
          <w:rFonts w:ascii="Garamond" w:eastAsia="Calibri" w:hAnsi="Garamond" w:cs="Times New Roman"/>
          <w:sz w:val="24"/>
          <w:szCs w:val="24"/>
        </w:rPr>
        <w:t>–</w:t>
      </w:r>
      <w:r w:rsidRPr="00B31292">
        <w:rPr>
          <w:rFonts w:ascii="Garamond" w:eastAsia="Calibri" w:hAnsi="Garamond" w:cs="Times New Roman"/>
          <w:sz w:val="24"/>
          <w:szCs w:val="24"/>
        </w:rPr>
        <w:t xml:space="preserve">2024. Treguesit e </w:t>
      </w:r>
      <w:r w:rsidR="00C05652" w:rsidRPr="00B31292">
        <w:rPr>
          <w:rFonts w:ascii="Garamond" w:eastAsia="Calibri" w:hAnsi="Garamond" w:cs="Times New Roman"/>
          <w:sz w:val="24"/>
          <w:szCs w:val="24"/>
        </w:rPr>
        <w:t>i</w:t>
      </w:r>
      <w:r w:rsidRPr="00B31292">
        <w:rPr>
          <w:rFonts w:ascii="Garamond" w:eastAsia="Calibri" w:hAnsi="Garamond" w:cs="Times New Roman"/>
          <w:sz w:val="24"/>
          <w:szCs w:val="24"/>
        </w:rPr>
        <w:t>novacionit për periudhën kohore 2022</w:t>
      </w:r>
      <w:r w:rsidR="007843CA" w:rsidRPr="00B31292">
        <w:rPr>
          <w:rFonts w:ascii="Garamond" w:eastAsia="Calibri" w:hAnsi="Garamond" w:cs="Times New Roman"/>
          <w:sz w:val="24"/>
          <w:szCs w:val="24"/>
        </w:rPr>
        <w:t>–</w:t>
      </w:r>
      <w:r w:rsidRPr="00B31292">
        <w:rPr>
          <w:rFonts w:ascii="Garamond" w:eastAsia="Calibri" w:hAnsi="Garamond" w:cs="Times New Roman"/>
          <w:sz w:val="24"/>
          <w:szCs w:val="24"/>
        </w:rPr>
        <w:t>2024</w:t>
      </w:r>
      <w:r w:rsidR="00EB051F" w:rsidRPr="00B31292">
        <w:rPr>
          <w:rFonts w:ascii="Garamond" w:eastAsia="Calibri" w:hAnsi="Garamond" w:cs="Times New Roman"/>
          <w:sz w:val="24"/>
          <w:szCs w:val="24"/>
        </w:rPr>
        <w:t>,</w:t>
      </w:r>
      <w:r w:rsidRPr="00B31292">
        <w:rPr>
          <w:rFonts w:ascii="Garamond" w:eastAsia="Calibri" w:hAnsi="Garamond" w:cs="Times New Roman"/>
          <w:sz w:val="24"/>
          <w:szCs w:val="24"/>
        </w:rPr>
        <w:t xml:space="preserve"> do të publikohen dhe transmetohen në </w:t>
      </w:r>
      <w:r w:rsidR="009C0CE9" w:rsidRPr="00B31292">
        <w:rPr>
          <w:rFonts w:ascii="Garamond" w:eastAsia="Calibri" w:hAnsi="Garamond" w:cs="Times New Roman"/>
          <w:sz w:val="24"/>
          <w:szCs w:val="24"/>
        </w:rPr>
        <w:t>Eurostat</w:t>
      </w:r>
      <w:r w:rsidRPr="00B31292">
        <w:rPr>
          <w:rFonts w:ascii="Garamond" w:eastAsia="Calibri" w:hAnsi="Garamond" w:cs="Times New Roman"/>
          <w:sz w:val="24"/>
          <w:szCs w:val="24"/>
        </w:rPr>
        <w:t xml:space="preserve"> në vitin 2026.</w:t>
      </w:r>
    </w:p>
    <w:p w14:paraId="173E6F96" w14:textId="639C9737" w:rsidR="007931A1" w:rsidRPr="00B31292" w:rsidRDefault="00A63C5C" w:rsidP="003A4DBA">
      <w:pPr>
        <w:spacing w:after="0" w:line="240" w:lineRule="auto"/>
        <w:ind w:firstLine="284"/>
        <w:contextualSpacing/>
        <w:jc w:val="both"/>
        <w:rPr>
          <w:rFonts w:ascii="Garamond" w:eastAsia="Calibri" w:hAnsi="Garamond" w:cs="Times New Roman"/>
          <w:sz w:val="24"/>
          <w:szCs w:val="24"/>
        </w:rPr>
      </w:pPr>
      <w:r w:rsidRPr="00B31292">
        <w:rPr>
          <w:rFonts w:ascii="Garamond" w:eastAsia="Calibri" w:hAnsi="Garamond" w:cs="Times New Roman"/>
          <w:i/>
          <w:sz w:val="24"/>
          <w:szCs w:val="24"/>
        </w:rPr>
        <w:t xml:space="preserve">3.8.3 </w:t>
      </w:r>
      <w:r w:rsidR="00BA12C3" w:rsidRPr="00B31292">
        <w:rPr>
          <w:rFonts w:ascii="Garamond" w:eastAsia="Calibri" w:hAnsi="Garamond" w:cs="Times New Roman"/>
          <w:i/>
          <w:sz w:val="24"/>
          <w:szCs w:val="24"/>
        </w:rPr>
        <w:t>“</w:t>
      </w:r>
      <w:r w:rsidRPr="00B31292">
        <w:rPr>
          <w:rFonts w:ascii="Garamond" w:eastAsia="Calibri" w:hAnsi="Garamond" w:cs="Times New Roman"/>
          <w:i/>
          <w:sz w:val="24"/>
          <w:szCs w:val="24"/>
        </w:rPr>
        <w:t xml:space="preserve">Statistikat e </w:t>
      </w:r>
      <w:r w:rsidR="00C05652" w:rsidRPr="00B31292">
        <w:rPr>
          <w:rFonts w:ascii="Garamond" w:eastAsia="Calibri" w:hAnsi="Garamond" w:cs="Times New Roman"/>
          <w:i/>
          <w:sz w:val="24"/>
          <w:szCs w:val="24"/>
        </w:rPr>
        <w:t>teknologjisë së informacionit dhe komunikimit</w:t>
      </w:r>
      <w:r w:rsidR="00BA12C3" w:rsidRPr="00B31292">
        <w:rPr>
          <w:rFonts w:ascii="Garamond" w:eastAsia="Calibri" w:hAnsi="Garamond" w:cs="Times New Roman"/>
          <w:i/>
          <w:sz w:val="24"/>
          <w:szCs w:val="24"/>
        </w:rPr>
        <w:t>”</w:t>
      </w:r>
      <w:r w:rsidR="00803F40" w:rsidRPr="00B31292">
        <w:rPr>
          <w:rFonts w:ascii="Garamond" w:eastAsia="Calibri" w:hAnsi="Garamond" w:cs="Times New Roman"/>
          <w:sz w:val="24"/>
          <w:szCs w:val="24"/>
        </w:rPr>
        <w:t xml:space="preserve"> </w:t>
      </w:r>
      <w:r w:rsidR="007843CA" w:rsidRPr="00B31292">
        <w:rPr>
          <w:rFonts w:ascii="Garamond" w:eastAsia="Calibri" w:hAnsi="Garamond" w:cs="Times New Roman"/>
          <w:sz w:val="24"/>
          <w:szCs w:val="24"/>
        </w:rPr>
        <w:t>–</w:t>
      </w:r>
      <w:r w:rsidR="00803F40" w:rsidRPr="00B31292">
        <w:rPr>
          <w:rFonts w:ascii="Garamond" w:eastAsia="Calibri" w:hAnsi="Garamond" w:cs="Times New Roman"/>
          <w:sz w:val="24"/>
          <w:szCs w:val="24"/>
        </w:rPr>
        <w:t xml:space="preserve"> </w:t>
      </w:r>
      <w:r w:rsidRPr="00B31292">
        <w:rPr>
          <w:rFonts w:ascii="Garamond" w:eastAsia="Calibri" w:hAnsi="Garamond" w:cs="Times New Roman"/>
          <w:sz w:val="24"/>
          <w:szCs w:val="24"/>
        </w:rPr>
        <w:t>Për prodhimin e statistikave të kësaj nënteme, INSTAT</w:t>
      </w:r>
      <w:r w:rsidR="00C05652" w:rsidRPr="00B31292">
        <w:rPr>
          <w:rFonts w:ascii="Garamond" w:eastAsia="Calibri" w:hAnsi="Garamond" w:cs="Times New Roman"/>
          <w:sz w:val="24"/>
          <w:szCs w:val="24"/>
        </w:rPr>
        <w:t>-i</w:t>
      </w:r>
      <w:r w:rsidRPr="00B31292">
        <w:rPr>
          <w:rFonts w:ascii="Garamond" w:eastAsia="Calibri" w:hAnsi="Garamond" w:cs="Times New Roman"/>
          <w:sz w:val="24"/>
          <w:szCs w:val="24"/>
        </w:rPr>
        <w:t xml:space="preserve"> do të kryejë dy vrojtime: </w:t>
      </w:r>
    </w:p>
    <w:p w14:paraId="514B8011" w14:textId="565BBC1C" w:rsidR="007931A1" w:rsidRPr="00B31292" w:rsidRDefault="00A63C5C" w:rsidP="003A4DBA">
      <w:pPr>
        <w:spacing w:after="0" w:line="240" w:lineRule="auto"/>
        <w:ind w:firstLine="284"/>
        <w:contextualSpacing/>
        <w:jc w:val="both"/>
        <w:rPr>
          <w:rFonts w:ascii="Garamond" w:eastAsia="Calibri" w:hAnsi="Garamond" w:cs="Times New Roman"/>
          <w:sz w:val="24"/>
          <w:szCs w:val="24"/>
        </w:rPr>
      </w:pPr>
      <w:r w:rsidRPr="00B31292">
        <w:rPr>
          <w:rFonts w:ascii="Garamond" w:eastAsia="Calibri" w:hAnsi="Garamond" w:cs="Times New Roman"/>
          <w:sz w:val="24"/>
          <w:szCs w:val="24"/>
        </w:rPr>
        <w:t xml:space="preserve">a) Vrojtimin vjetor mbi </w:t>
      </w:r>
      <w:r w:rsidR="00BA12C3" w:rsidRPr="00B31292">
        <w:rPr>
          <w:rFonts w:ascii="Garamond" w:eastAsia="Calibri" w:hAnsi="Garamond" w:cs="Times New Roman"/>
          <w:sz w:val="24"/>
          <w:szCs w:val="24"/>
        </w:rPr>
        <w:t>“</w:t>
      </w:r>
      <w:r w:rsidRPr="00B31292">
        <w:rPr>
          <w:rFonts w:ascii="Garamond" w:eastAsia="Calibri" w:hAnsi="Garamond" w:cs="Times New Roman"/>
          <w:sz w:val="24"/>
          <w:szCs w:val="24"/>
        </w:rPr>
        <w:t xml:space="preserve">Teknologjinë e </w:t>
      </w:r>
      <w:r w:rsidR="00C05652" w:rsidRPr="00B31292">
        <w:rPr>
          <w:rFonts w:ascii="Garamond" w:eastAsia="Calibri" w:hAnsi="Garamond" w:cs="Times New Roman"/>
          <w:sz w:val="24"/>
          <w:szCs w:val="24"/>
        </w:rPr>
        <w:t>informacionit dhe komunikimit</w:t>
      </w:r>
      <w:r w:rsidR="00BA12C3" w:rsidRPr="00B31292">
        <w:rPr>
          <w:rFonts w:ascii="Garamond" w:eastAsia="Calibri" w:hAnsi="Garamond" w:cs="Times New Roman"/>
          <w:sz w:val="24"/>
          <w:szCs w:val="24"/>
        </w:rPr>
        <w:t>”</w:t>
      </w:r>
      <w:r w:rsidRPr="00B31292">
        <w:rPr>
          <w:rFonts w:ascii="Garamond" w:eastAsia="Calibri" w:hAnsi="Garamond" w:cs="Times New Roman"/>
          <w:sz w:val="24"/>
          <w:szCs w:val="24"/>
        </w:rPr>
        <w:t xml:space="preserve"> pranë ndërmarrjeve ekonomike, për të cilin INSTAT</w:t>
      </w:r>
      <w:r w:rsidR="007843CA" w:rsidRPr="00B31292">
        <w:rPr>
          <w:rFonts w:ascii="Garamond" w:eastAsia="Calibri" w:hAnsi="Garamond" w:cs="Times New Roman"/>
          <w:sz w:val="24"/>
          <w:szCs w:val="24"/>
        </w:rPr>
        <w:t>-i</w:t>
      </w:r>
      <w:r w:rsidRPr="00B31292">
        <w:rPr>
          <w:rFonts w:ascii="Garamond" w:eastAsia="Calibri" w:hAnsi="Garamond" w:cs="Times New Roman"/>
          <w:sz w:val="24"/>
          <w:szCs w:val="24"/>
        </w:rPr>
        <w:t xml:space="preserve"> do të kryejë mbledhjen e të dhënave për vitin referencë 2025 dhe publikimin e këtyre treguesve</w:t>
      </w:r>
      <w:r w:rsidR="00C05652" w:rsidRPr="00B31292">
        <w:rPr>
          <w:rFonts w:ascii="Garamond" w:eastAsia="Calibri" w:hAnsi="Garamond" w:cs="Times New Roman"/>
          <w:sz w:val="24"/>
          <w:szCs w:val="24"/>
        </w:rPr>
        <w:t>,</w:t>
      </w:r>
      <w:r w:rsidRPr="00B31292">
        <w:rPr>
          <w:rFonts w:ascii="Garamond" w:eastAsia="Calibri" w:hAnsi="Garamond" w:cs="Times New Roman"/>
          <w:sz w:val="24"/>
          <w:szCs w:val="24"/>
        </w:rPr>
        <w:t xml:space="preserve"> duke u bazuar në </w:t>
      </w:r>
      <w:r w:rsidR="00C05652" w:rsidRPr="00B31292">
        <w:rPr>
          <w:rFonts w:ascii="Garamond" w:eastAsia="Calibri" w:hAnsi="Garamond" w:cs="Times New Roman"/>
          <w:sz w:val="24"/>
          <w:szCs w:val="24"/>
        </w:rPr>
        <w:t xml:space="preserve">rregulloren zbatuese </w:t>
      </w:r>
      <w:r w:rsidRPr="00B31292">
        <w:rPr>
          <w:rFonts w:ascii="Garamond" w:eastAsia="Calibri" w:hAnsi="Garamond" w:cs="Times New Roman"/>
          <w:sz w:val="24"/>
          <w:szCs w:val="24"/>
        </w:rPr>
        <w:t xml:space="preserve">për vitin referues. Gjithashtu, gjatë vitit 2025, këto tregues dhe raporti i cilësisë do të transmetohen në </w:t>
      </w:r>
      <w:r w:rsidR="009C0CE9" w:rsidRPr="00B31292">
        <w:rPr>
          <w:rFonts w:ascii="Garamond" w:eastAsia="Calibri" w:hAnsi="Garamond" w:cs="Times New Roman"/>
          <w:sz w:val="24"/>
          <w:szCs w:val="24"/>
        </w:rPr>
        <w:t>Eurostat</w:t>
      </w:r>
      <w:r w:rsidR="00803F40" w:rsidRPr="00B31292">
        <w:rPr>
          <w:rFonts w:ascii="Garamond" w:eastAsia="Calibri" w:hAnsi="Garamond" w:cs="Times New Roman"/>
          <w:sz w:val="24"/>
          <w:szCs w:val="24"/>
        </w:rPr>
        <w:t xml:space="preserve">. </w:t>
      </w:r>
    </w:p>
    <w:p w14:paraId="587CFD51" w14:textId="09626388" w:rsidR="00D16FA9" w:rsidRPr="00B31292" w:rsidRDefault="0024355E" w:rsidP="003A4DBA">
      <w:pPr>
        <w:spacing w:after="0" w:line="240" w:lineRule="auto"/>
        <w:ind w:firstLine="284"/>
        <w:contextualSpacing/>
        <w:jc w:val="both"/>
        <w:rPr>
          <w:rFonts w:ascii="Garamond" w:eastAsia="Calibri" w:hAnsi="Garamond" w:cs="Times New Roman"/>
          <w:sz w:val="24"/>
          <w:szCs w:val="24"/>
        </w:rPr>
      </w:pPr>
      <w:r w:rsidRPr="00B31292">
        <w:rPr>
          <w:rFonts w:ascii="Garamond" w:eastAsia="Calibri" w:hAnsi="Garamond" w:cs="Times New Roman"/>
          <w:sz w:val="24"/>
          <w:szCs w:val="24"/>
        </w:rPr>
        <w:t xml:space="preserve">b) </w:t>
      </w:r>
      <w:r w:rsidR="00D16FA9" w:rsidRPr="00B31292">
        <w:rPr>
          <w:rFonts w:ascii="Garamond" w:eastAsia="Calibri" w:hAnsi="Garamond" w:cs="Times New Roman"/>
          <w:sz w:val="24"/>
          <w:szCs w:val="24"/>
        </w:rPr>
        <w:t xml:space="preserve">Vrojtimin mbi </w:t>
      </w:r>
      <w:r w:rsidR="00BA12C3" w:rsidRPr="00B31292">
        <w:rPr>
          <w:rFonts w:ascii="Garamond" w:eastAsia="Calibri" w:hAnsi="Garamond" w:cs="Times New Roman"/>
          <w:sz w:val="24"/>
          <w:szCs w:val="24"/>
        </w:rPr>
        <w:t>“</w:t>
      </w:r>
      <w:r w:rsidR="00D16FA9" w:rsidRPr="00B31292">
        <w:rPr>
          <w:rFonts w:ascii="Garamond" w:eastAsia="Calibri" w:hAnsi="Garamond" w:cs="Times New Roman"/>
          <w:sz w:val="24"/>
          <w:szCs w:val="24"/>
        </w:rPr>
        <w:t xml:space="preserve">Përdorimin e </w:t>
      </w:r>
      <w:r w:rsidR="00C05652" w:rsidRPr="00B31292">
        <w:rPr>
          <w:rFonts w:ascii="Garamond" w:eastAsia="Calibri" w:hAnsi="Garamond" w:cs="Times New Roman"/>
          <w:sz w:val="24"/>
          <w:szCs w:val="24"/>
        </w:rPr>
        <w:t>teknologjisë së informacionit dhe komunikimit</w:t>
      </w:r>
      <w:r w:rsidR="00BA12C3" w:rsidRPr="00B31292">
        <w:rPr>
          <w:rFonts w:ascii="Garamond" w:eastAsia="Calibri" w:hAnsi="Garamond" w:cs="Times New Roman"/>
          <w:sz w:val="24"/>
          <w:szCs w:val="24"/>
        </w:rPr>
        <w:t>”</w:t>
      </w:r>
      <w:r w:rsidR="00D16FA9" w:rsidRPr="00B31292">
        <w:rPr>
          <w:rFonts w:ascii="Garamond" w:eastAsia="Calibri" w:hAnsi="Garamond" w:cs="Times New Roman"/>
          <w:sz w:val="24"/>
          <w:szCs w:val="24"/>
        </w:rPr>
        <w:t xml:space="preserve"> në </w:t>
      </w:r>
      <w:r w:rsidR="00C05652" w:rsidRPr="00B31292">
        <w:rPr>
          <w:rFonts w:ascii="Garamond" w:eastAsia="Calibri" w:hAnsi="Garamond" w:cs="Times New Roman"/>
          <w:sz w:val="24"/>
          <w:szCs w:val="24"/>
        </w:rPr>
        <w:t>njësitë ekonomike f</w:t>
      </w:r>
      <w:r w:rsidR="00D16FA9" w:rsidRPr="00B31292">
        <w:rPr>
          <w:rFonts w:ascii="Garamond" w:eastAsia="Calibri" w:hAnsi="Garamond" w:cs="Times New Roman"/>
          <w:sz w:val="24"/>
          <w:szCs w:val="24"/>
        </w:rPr>
        <w:t>amiljare (NjEF), ku edhe për këtë aktivitet, INSTAT</w:t>
      </w:r>
      <w:r w:rsidR="007843CA" w:rsidRPr="00B31292">
        <w:rPr>
          <w:rFonts w:ascii="Garamond" w:eastAsia="Calibri" w:hAnsi="Garamond" w:cs="Times New Roman"/>
          <w:sz w:val="24"/>
          <w:szCs w:val="24"/>
        </w:rPr>
        <w:t>-i</w:t>
      </w:r>
      <w:r w:rsidR="00D16FA9" w:rsidRPr="00B31292">
        <w:rPr>
          <w:rFonts w:ascii="Garamond" w:eastAsia="Calibri" w:hAnsi="Garamond" w:cs="Times New Roman"/>
          <w:sz w:val="24"/>
          <w:szCs w:val="24"/>
        </w:rPr>
        <w:t xml:space="preserve"> do të kryejë mbledhjen e të </w:t>
      </w:r>
      <w:r w:rsidR="00D16FA9" w:rsidRPr="00B31292">
        <w:rPr>
          <w:rFonts w:ascii="Garamond" w:eastAsia="Calibri" w:hAnsi="Garamond" w:cs="Times New Roman"/>
          <w:sz w:val="24"/>
          <w:szCs w:val="24"/>
        </w:rPr>
        <w:lastRenderedPageBreak/>
        <w:t xml:space="preserve">dhënave për vitin referencë 2025 dhe publikimin e këtyre treguesve duke u bazuar në </w:t>
      </w:r>
      <w:r w:rsidR="00C05652" w:rsidRPr="00B31292">
        <w:rPr>
          <w:rFonts w:ascii="Garamond" w:eastAsia="Calibri" w:hAnsi="Garamond" w:cs="Times New Roman"/>
          <w:sz w:val="24"/>
          <w:szCs w:val="24"/>
        </w:rPr>
        <w:t>r</w:t>
      </w:r>
      <w:r w:rsidR="00D16FA9" w:rsidRPr="00B31292">
        <w:rPr>
          <w:rFonts w:ascii="Garamond" w:eastAsia="Calibri" w:hAnsi="Garamond" w:cs="Times New Roman"/>
          <w:sz w:val="24"/>
          <w:szCs w:val="24"/>
        </w:rPr>
        <w:t>regulloren zbatuese për vitin referues. Gjithashtu, gjatë vitit 2025, të dhënat mikro</w:t>
      </w:r>
      <w:r w:rsidR="007843CA" w:rsidRPr="00B31292">
        <w:rPr>
          <w:rFonts w:ascii="Garamond" w:eastAsia="Calibri" w:hAnsi="Garamond" w:cs="Times New Roman"/>
          <w:sz w:val="24"/>
          <w:szCs w:val="24"/>
        </w:rPr>
        <w:t>,</w:t>
      </w:r>
      <w:r w:rsidR="00D16FA9" w:rsidRPr="00B31292">
        <w:rPr>
          <w:rFonts w:ascii="Garamond" w:eastAsia="Calibri" w:hAnsi="Garamond" w:cs="Times New Roman"/>
          <w:sz w:val="24"/>
          <w:szCs w:val="24"/>
        </w:rPr>
        <w:t xml:space="preserve"> si dhe raporti i cilësisë do të transmetohen në </w:t>
      </w:r>
      <w:r w:rsidR="009C0CE9" w:rsidRPr="00B31292">
        <w:rPr>
          <w:rFonts w:ascii="Garamond" w:eastAsia="Calibri" w:hAnsi="Garamond" w:cs="Times New Roman"/>
          <w:sz w:val="24"/>
          <w:szCs w:val="24"/>
        </w:rPr>
        <w:t>Eurostat</w:t>
      </w:r>
      <w:r w:rsidR="00D16FA9" w:rsidRPr="00B31292">
        <w:rPr>
          <w:rFonts w:ascii="Garamond" w:eastAsia="Calibri" w:hAnsi="Garamond" w:cs="Times New Roman"/>
          <w:sz w:val="24"/>
          <w:szCs w:val="24"/>
        </w:rPr>
        <w:t xml:space="preserve"> nëpërmjet sistemit </w:t>
      </w:r>
      <w:r w:rsidR="00D16FA9" w:rsidRPr="00B31292">
        <w:rPr>
          <w:rFonts w:ascii="Garamond" w:eastAsia="Calibri" w:hAnsi="Garamond" w:cs="Times New Roman"/>
          <w:i/>
          <w:iCs/>
          <w:sz w:val="24"/>
          <w:szCs w:val="24"/>
        </w:rPr>
        <w:t>Metadata Handler</w:t>
      </w:r>
      <w:r w:rsidR="00D16FA9" w:rsidRPr="00B31292">
        <w:rPr>
          <w:rFonts w:ascii="Garamond" w:eastAsia="Calibri" w:hAnsi="Garamond" w:cs="Times New Roman"/>
          <w:sz w:val="24"/>
          <w:szCs w:val="24"/>
        </w:rPr>
        <w:t xml:space="preserve">. </w:t>
      </w:r>
    </w:p>
    <w:p w14:paraId="4E0EF0E7" w14:textId="1ED81DFB" w:rsidR="0024355E" w:rsidRPr="00B31292" w:rsidRDefault="00D16FA9" w:rsidP="003A4DBA">
      <w:pPr>
        <w:spacing w:after="0" w:line="240" w:lineRule="auto"/>
        <w:ind w:firstLine="284"/>
        <w:contextualSpacing/>
        <w:jc w:val="both"/>
        <w:rPr>
          <w:rFonts w:ascii="Garamond" w:eastAsia="Calibri" w:hAnsi="Garamond" w:cs="Times New Roman"/>
          <w:sz w:val="24"/>
          <w:szCs w:val="24"/>
        </w:rPr>
      </w:pPr>
      <w:r w:rsidRPr="00B31292">
        <w:rPr>
          <w:rFonts w:ascii="Garamond" w:eastAsia="Calibri" w:hAnsi="Garamond" w:cs="Times New Roman"/>
          <w:sz w:val="24"/>
          <w:szCs w:val="24"/>
        </w:rPr>
        <w:t xml:space="preserve">Statistikat e teknologjisë së informacionit dhe komunikimit do të kenë frekuencë vjetore. </w:t>
      </w:r>
      <w:r w:rsidRPr="00B31292">
        <w:rPr>
          <w:rFonts w:ascii="Garamond" w:eastAsia="Times New Roman" w:hAnsi="Garamond" w:cs="Times New Roman"/>
          <w:sz w:val="24"/>
          <w:szCs w:val="24"/>
        </w:rPr>
        <w:t xml:space="preserve">Statistikat e përdorimit të teknologjisë së informacionit dhe komunikimit në </w:t>
      </w:r>
      <w:r w:rsidR="00C05652" w:rsidRPr="00B31292">
        <w:rPr>
          <w:rFonts w:ascii="Garamond" w:eastAsia="Times New Roman" w:hAnsi="Garamond" w:cs="Times New Roman"/>
          <w:sz w:val="24"/>
          <w:szCs w:val="24"/>
        </w:rPr>
        <w:t>njësitë ekonomike familjare kryhen bazuar në rr</w:t>
      </w:r>
      <w:r w:rsidRPr="00B31292">
        <w:rPr>
          <w:rFonts w:ascii="Garamond" w:eastAsia="Times New Roman" w:hAnsi="Garamond" w:cs="Times New Roman"/>
          <w:sz w:val="24"/>
          <w:szCs w:val="24"/>
        </w:rPr>
        <w:t xml:space="preserve">egulloren </w:t>
      </w:r>
      <w:r w:rsidR="007931A1" w:rsidRPr="00B31292">
        <w:rPr>
          <w:rFonts w:ascii="Garamond" w:eastAsia="Times New Roman" w:hAnsi="Garamond" w:cs="Times New Roman"/>
          <w:sz w:val="24"/>
          <w:szCs w:val="24"/>
        </w:rPr>
        <w:t>(BE)</w:t>
      </w:r>
      <w:r w:rsidRPr="00B31292">
        <w:rPr>
          <w:rFonts w:ascii="Garamond" w:eastAsia="Times New Roman" w:hAnsi="Garamond" w:cs="Times New Roman"/>
          <w:sz w:val="24"/>
          <w:szCs w:val="24"/>
        </w:rPr>
        <w:t xml:space="preserve"> </w:t>
      </w:r>
      <w:bookmarkStart w:id="37" w:name="_Hlk182919644"/>
      <w:r w:rsidRPr="00B31292">
        <w:rPr>
          <w:rFonts w:ascii="Garamond" w:eastAsia="Times New Roman" w:hAnsi="Garamond" w:cs="Times New Roman"/>
          <w:sz w:val="24"/>
          <w:szCs w:val="24"/>
        </w:rPr>
        <w:t>2019/1700</w:t>
      </w:r>
      <w:r w:rsidR="007843CA" w:rsidRPr="00B31292">
        <w:rPr>
          <w:rFonts w:ascii="Garamond" w:eastAsia="Times New Roman" w:hAnsi="Garamond" w:cs="Times New Roman"/>
          <w:sz w:val="24"/>
          <w:szCs w:val="24"/>
        </w:rPr>
        <w:t>,</w:t>
      </w:r>
      <w:r w:rsidRPr="00B31292">
        <w:rPr>
          <w:rFonts w:ascii="Garamond" w:eastAsia="Times New Roman" w:hAnsi="Garamond" w:cs="Times New Roman"/>
          <w:sz w:val="24"/>
          <w:szCs w:val="24"/>
        </w:rPr>
        <w:t xml:space="preserve"> </w:t>
      </w:r>
      <w:bookmarkEnd w:id="37"/>
      <w:r w:rsidR="00BA12C3" w:rsidRPr="00B31292">
        <w:rPr>
          <w:rFonts w:ascii="Garamond" w:eastAsia="Times New Roman" w:hAnsi="Garamond" w:cs="Times New Roman"/>
          <w:sz w:val="24"/>
          <w:szCs w:val="24"/>
        </w:rPr>
        <w:t>“</w:t>
      </w:r>
      <w:r w:rsidRPr="00B31292">
        <w:rPr>
          <w:rFonts w:ascii="Garamond" w:eastAsia="Times New Roman" w:hAnsi="Garamond" w:cs="Times New Roman"/>
          <w:sz w:val="24"/>
          <w:szCs w:val="24"/>
        </w:rPr>
        <w:t>Për statistikat lidhur me individët dhe NjEF</w:t>
      </w:r>
      <w:r w:rsidR="00C05652" w:rsidRPr="00B31292">
        <w:rPr>
          <w:rFonts w:ascii="Garamond" w:eastAsia="Times New Roman" w:hAnsi="Garamond" w:cs="Times New Roman"/>
          <w:sz w:val="24"/>
          <w:szCs w:val="24"/>
        </w:rPr>
        <w:t>-të</w:t>
      </w:r>
      <w:r w:rsidR="00BA12C3" w:rsidRPr="00B31292">
        <w:rPr>
          <w:rFonts w:ascii="Garamond" w:eastAsia="Times New Roman" w:hAnsi="Garamond" w:cs="Times New Roman"/>
          <w:sz w:val="24"/>
          <w:szCs w:val="24"/>
        </w:rPr>
        <w:t>”</w:t>
      </w:r>
      <w:r w:rsidRPr="00B31292">
        <w:rPr>
          <w:rFonts w:ascii="Garamond" w:eastAsia="Times New Roman" w:hAnsi="Garamond" w:cs="Times New Roman"/>
          <w:sz w:val="24"/>
          <w:szCs w:val="24"/>
        </w:rPr>
        <w:t>, duke krijuar një kuadër ligjor të përbashkët lidhur me statistikat për njësitë ekonomike familjare dhe individët, të mbledhura përmes kampion</w:t>
      </w:r>
      <w:r w:rsidR="00DE6C3C" w:rsidRPr="00B31292">
        <w:rPr>
          <w:rFonts w:ascii="Garamond" w:eastAsia="Times New Roman" w:hAnsi="Garamond" w:cs="Times New Roman"/>
          <w:sz w:val="24"/>
          <w:szCs w:val="24"/>
        </w:rPr>
        <w:t>ë</w:t>
      </w:r>
      <w:r w:rsidRPr="00B31292">
        <w:rPr>
          <w:rFonts w:ascii="Garamond" w:eastAsia="Times New Roman" w:hAnsi="Garamond" w:cs="Times New Roman"/>
          <w:sz w:val="24"/>
          <w:szCs w:val="24"/>
        </w:rPr>
        <w:t>ve të zgjedhur</w:t>
      </w:r>
      <w:r w:rsidR="00C05652" w:rsidRPr="00B31292">
        <w:rPr>
          <w:rFonts w:ascii="Garamond" w:eastAsia="Times New Roman" w:hAnsi="Garamond" w:cs="Times New Roman"/>
          <w:sz w:val="24"/>
          <w:szCs w:val="24"/>
        </w:rPr>
        <w:t>.</w:t>
      </w:r>
    </w:p>
    <w:p w14:paraId="2E3CBE03" w14:textId="56418BCC" w:rsidR="00A63C5C" w:rsidRPr="00B31292" w:rsidRDefault="00A63C5C" w:rsidP="003A4DBA">
      <w:pPr>
        <w:spacing w:after="0" w:line="240" w:lineRule="auto"/>
        <w:ind w:firstLine="284"/>
        <w:jc w:val="both"/>
        <w:rPr>
          <w:rFonts w:ascii="Garamond" w:hAnsi="Garamond" w:cs="Times New Roman"/>
          <w:sz w:val="24"/>
          <w:szCs w:val="24"/>
        </w:rPr>
      </w:pPr>
      <w:r w:rsidRPr="00B31292">
        <w:rPr>
          <w:rFonts w:ascii="Garamond" w:hAnsi="Garamond" w:cs="Times New Roman"/>
          <w:b/>
          <w:sz w:val="24"/>
          <w:szCs w:val="24"/>
        </w:rPr>
        <w:t>Treguesit kryesorë:</w:t>
      </w:r>
      <w:r w:rsidRPr="00B31292">
        <w:rPr>
          <w:rFonts w:ascii="Garamond" w:hAnsi="Garamond" w:cs="Times New Roman"/>
          <w:sz w:val="24"/>
          <w:szCs w:val="24"/>
        </w:rPr>
        <w:t xml:space="preserve"> Tregues lidhur me përdorimin e </w:t>
      </w:r>
      <w:r w:rsidR="00C05652" w:rsidRPr="00B31292">
        <w:rPr>
          <w:rFonts w:ascii="Garamond" w:hAnsi="Garamond" w:cs="Times New Roman"/>
          <w:sz w:val="24"/>
          <w:szCs w:val="24"/>
        </w:rPr>
        <w:t xml:space="preserve">teknologjisë së informacionit dhe komunikimit </w:t>
      </w:r>
      <w:r w:rsidRPr="00B31292">
        <w:rPr>
          <w:rFonts w:ascii="Garamond" w:hAnsi="Garamond" w:cs="Times New Roman"/>
          <w:sz w:val="24"/>
          <w:szCs w:val="24"/>
        </w:rPr>
        <w:t>(TIK) në ndërmarrje ekonomike me 10 e më shumë të punësuar; tregues mbi nivelin e përdorimit të teknologjisë së informacionit dhe komunikimit nga familjet (N</w:t>
      </w:r>
      <w:r w:rsidR="0005078B" w:rsidRPr="00B31292">
        <w:rPr>
          <w:rFonts w:ascii="Garamond" w:hAnsi="Garamond" w:cs="Times New Roman"/>
          <w:sz w:val="24"/>
          <w:szCs w:val="24"/>
        </w:rPr>
        <w:t>J</w:t>
      </w:r>
      <w:r w:rsidRPr="00B31292">
        <w:rPr>
          <w:rFonts w:ascii="Garamond" w:hAnsi="Garamond" w:cs="Times New Roman"/>
          <w:sz w:val="24"/>
          <w:szCs w:val="24"/>
        </w:rPr>
        <w:t>EF) dhe individët në nivel kombëtar</w:t>
      </w:r>
      <w:r w:rsidR="00803F40" w:rsidRPr="00B31292">
        <w:rPr>
          <w:rFonts w:ascii="Garamond" w:hAnsi="Garamond" w:cs="Times New Roman"/>
          <w:sz w:val="24"/>
          <w:szCs w:val="24"/>
        </w:rPr>
        <w:t xml:space="preserve"> </w:t>
      </w:r>
      <w:r w:rsidRPr="00B31292">
        <w:rPr>
          <w:rFonts w:ascii="Garamond" w:hAnsi="Garamond" w:cs="Times New Roman"/>
          <w:sz w:val="24"/>
          <w:szCs w:val="24"/>
        </w:rPr>
        <w:t>me periodicitet vjetor.</w:t>
      </w:r>
    </w:p>
    <w:p w14:paraId="6B5248BC" w14:textId="2496517A" w:rsidR="002F1888" w:rsidRPr="00B31292" w:rsidRDefault="00A63C5C" w:rsidP="003A4DBA">
      <w:pPr>
        <w:spacing w:after="0" w:line="240" w:lineRule="auto"/>
        <w:ind w:firstLine="284"/>
        <w:contextualSpacing/>
        <w:jc w:val="both"/>
        <w:rPr>
          <w:rFonts w:ascii="Garamond" w:hAnsi="Garamond" w:cs="Times New Roman"/>
          <w:sz w:val="24"/>
          <w:szCs w:val="24"/>
          <w:lang w:eastAsia="en-GB"/>
        </w:rPr>
      </w:pPr>
      <w:r w:rsidRPr="00B31292">
        <w:rPr>
          <w:rFonts w:ascii="Garamond" w:eastAsia="Times New Roman" w:hAnsi="Garamond" w:cs="Times New Roman"/>
          <w:b/>
          <w:sz w:val="24"/>
          <w:szCs w:val="24"/>
        </w:rPr>
        <w:t>Përpu</w:t>
      </w:r>
      <w:r w:rsidR="007843CA" w:rsidRPr="00B31292">
        <w:rPr>
          <w:rFonts w:ascii="Garamond" w:eastAsia="Times New Roman" w:hAnsi="Garamond" w:cs="Times New Roman"/>
          <w:b/>
          <w:sz w:val="24"/>
          <w:szCs w:val="24"/>
        </w:rPr>
        <w:t>th</w:t>
      </w:r>
      <w:r w:rsidRPr="00B31292">
        <w:rPr>
          <w:rFonts w:ascii="Garamond" w:eastAsia="Times New Roman" w:hAnsi="Garamond" w:cs="Times New Roman"/>
          <w:b/>
          <w:sz w:val="24"/>
          <w:szCs w:val="24"/>
        </w:rPr>
        <w:t>shmëria</w:t>
      </w:r>
      <w:r w:rsidR="007843CA" w:rsidRPr="00B31292">
        <w:rPr>
          <w:rFonts w:ascii="Garamond" w:eastAsia="Times New Roman" w:hAnsi="Garamond" w:cs="Times New Roman"/>
          <w:b/>
          <w:sz w:val="24"/>
          <w:szCs w:val="24"/>
        </w:rPr>
        <w:t xml:space="preserve"> </w:t>
      </w:r>
      <w:r w:rsidRPr="00B31292">
        <w:rPr>
          <w:rFonts w:ascii="Garamond" w:eastAsia="Times New Roman" w:hAnsi="Garamond" w:cs="Times New Roman"/>
          <w:b/>
          <w:sz w:val="24"/>
          <w:szCs w:val="24"/>
        </w:rPr>
        <w:t xml:space="preserve">me </w:t>
      </w:r>
      <w:r w:rsidRPr="00B31292">
        <w:rPr>
          <w:rFonts w:ascii="Garamond" w:hAnsi="Garamond" w:cs="Times New Roman"/>
          <w:b/>
          <w:bCs/>
          <w:i/>
          <w:iCs/>
          <w:sz w:val="24"/>
          <w:szCs w:val="24"/>
        </w:rPr>
        <w:t xml:space="preserve">acquis: </w:t>
      </w:r>
      <w:r w:rsidRPr="00B31292">
        <w:rPr>
          <w:rFonts w:ascii="Garamond" w:hAnsi="Garamond" w:cs="Times New Roman"/>
          <w:sz w:val="24"/>
          <w:szCs w:val="24"/>
          <w:lang w:eastAsia="en-GB"/>
        </w:rPr>
        <w:t>Statistikat mbi</w:t>
      </w:r>
      <w:r w:rsidRPr="00B31292">
        <w:rPr>
          <w:rFonts w:ascii="Garamond" w:hAnsi="Garamond" w:cs="Times New Roman"/>
          <w:i/>
          <w:sz w:val="24"/>
          <w:szCs w:val="24"/>
          <w:lang w:eastAsia="en-GB"/>
        </w:rPr>
        <w:t xml:space="preserve"> </w:t>
      </w:r>
      <w:r w:rsidR="00C05652" w:rsidRPr="00B31292">
        <w:rPr>
          <w:rFonts w:ascii="Garamond" w:hAnsi="Garamond" w:cs="Times New Roman"/>
          <w:i/>
          <w:sz w:val="24"/>
          <w:szCs w:val="24"/>
          <w:lang w:eastAsia="en-GB"/>
        </w:rPr>
        <w:t>shkencën, inovacionin</w:t>
      </w:r>
      <w:r w:rsidR="00C05652" w:rsidRPr="00B31292">
        <w:rPr>
          <w:rFonts w:ascii="Garamond" w:hAnsi="Garamond" w:cs="Times New Roman"/>
          <w:sz w:val="24"/>
          <w:szCs w:val="24"/>
          <w:lang w:eastAsia="en-GB"/>
        </w:rPr>
        <w:t xml:space="preserve"> dhe </w:t>
      </w:r>
      <w:r w:rsidR="00C05652" w:rsidRPr="00B31292">
        <w:rPr>
          <w:rFonts w:ascii="Garamond" w:hAnsi="Garamond" w:cs="Times New Roman"/>
          <w:i/>
          <w:sz w:val="24"/>
          <w:szCs w:val="24"/>
          <w:lang w:eastAsia="en-GB"/>
        </w:rPr>
        <w:t xml:space="preserve">teknologjinë </w:t>
      </w:r>
      <w:r w:rsidRPr="00B31292">
        <w:rPr>
          <w:rFonts w:ascii="Garamond" w:hAnsi="Garamond" w:cs="Times New Roman"/>
          <w:sz w:val="24"/>
          <w:szCs w:val="24"/>
          <w:lang w:eastAsia="en-GB"/>
        </w:rPr>
        <w:t xml:space="preserve">janë pjesërisht në përputhje me </w:t>
      </w:r>
      <w:r w:rsidR="00C05652" w:rsidRPr="00B31292">
        <w:rPr>
          <w:rFonts w:ascii="Garamond" w:hAnsi="Garamond" w:cs="Times New Roman"/>
          <w:sz w:val="24"/>
          <w:szCs w:val="24"/>
          <w:lang w:eastAsia="en-GB"/>
        </w:rPr>
        <w:t>r</w:t>
      </w:r>
      <w:r w:rsidRPr="00B31292">
        <w:rPr>
          <w:rFonts w:ascii="Garamond" w:hAnsi="Garamond" w:cs="Times New Roman"/>
          <w:sz w:val="24"/>
          <w:szCs w:val="24"/>
          <w:lang w:eastAsia="en-GB"/>
        </w:rPr>
        <w:t xml:space="preserve">regulloren e Komisionit (KE) </w:t>
      </w:r>
      <w:r w:rsidR="007843CA" w:rsidRPr="00B31292">
        <w:rPr>
          <w:rFonts w:ascii="Garamond" w:hAnsi="Garamond" w:cs="Times New Roman"/>
          <w:sz w:val="24"/>
          <w:szCs w:val="24"/>
          <w:lang w:eastAsia="en-GB"/>
        </w:rPr>
        <w:t>n</w:t>
      </w:r>
      <w:r w:rsidRPr="00B31292">
        <w:rPr>
          <w:rFonts w:ascii="Garamond" w:hAnsi="Garamond" w:cs="Times New Roman"/>
          <w:sz w:val="24"/>
          <w:szCs w:val="24"/>
          <w:lang w:eastAsia="en-GB"/>
        </w:rPr>
        <w:t>r.</w:t>
      </w:r>
      <w:r w:rsidR="007843CA" w:rsidRPr="00B31292">
        <w:rPr>
          <w:rFonts w:ascii="Garamond" w:hAnsi="Garamond" w:cs="Times New Roman"/>
          <w:sz w:val="24"/>
          <w:szCs w:val="24"/>
          <w:lang w:eastAsia="en-GB"/>
        </w:rPr>
        <w:t xml:space="preserve"> </w:t>
      </w:r>
      <w:r w:rsidRPr="00B31292">
        <w:rPr>
          <w:rFonts w:ascii="Garamond" w:hAnsi="Garamond" w:cs="Times New Roman"/>
          <w:sz w:val="24"/>
          <w:szCs w:val="24"/>
          <w:lang w:eastAsia="en-GB"/>
        </w:rPr>
        <w:t>2019/2152</w:t>
      </w:r>
      <w:r w:rsidR="007843CA" w:rsidRPr="00B31292">
        <w:rPr>
          <w:rFonts w:ascii="Garamond" w:hAnsi="Garamond" w:cs="Times New Roman"/>
          <w:sz w:val="24"/>
          <w:szCs w:val="24"/>
          <w:lang w:eastAsia="en-GB"/>
        </w:rPr>
        <w:t>,</w:t>
      </w:r>
      <w:r w:rsidRPr="00B31292">
        <w:rPr>
          <w:rFonts w:ascii="Garamond" w:hAnsi="Garamond" w:cs="Times New Roman"/>
          <w:sz w:val="24"/>
          <w:szCs w:val="24"/>
          <w:lang w:eastAsia="en-GB"/>
        </w:rPr>
        <w:t xml:space="preserve"> </w:t>
      </w:r>
      <w:r w:rsidR="00BA12C3" w:rsidRPr="00B31292">
        <w:rPr>
          <w:rFonts w:ascii="Garamond" w:hAnsi="Garamond" w:cs="Times New Roman"/>
          <w:sz w:val="24"/>
          <w:szCs w:val="24"/>
          <w:lang w:eastAsia="en-GB"/>
        </w:rPr>
        <w:t>“</w:t>
      </w:r>
      <w:r w:rsidRPr="00B31292">
        <w:rPr>
          <w:rFonts w:ascii="Garamond" w:hAnsi="Garamond" w:cs="Times New Roman"/>
          <w:sz w:val="24"/>
          <w:szCs w:val="24"/>
          <w:lang w:eastAsia="en-GB"/>
        </w:rPr>
        <w:t>Për statistikat evropiane të biznesit</w:t>
      </w:r>
      <w:r w:rsidR="00BA12C3" w:rsidRPr="00B31292">
        <w:rPr>
          <w:rFonts w:ascii="Garamond" w:hAnsi="Garamond" w:cs="Times New Roman"/>
          <w:sz w:val="24"/>
          <w:szCs w:val="24"/>
          <w:lang w:eastAsia="en-GB"/>
        </w:rPr>
        <w:t>”</w:t>
      </w:r>
      <w:r w:rsidRPr="00B31292">
        <w:rPr>
          <w:rFonts w:ascii="Garamond" w:hAnsi="Garamond" w:cs="Times New Roman"/>
          <w:sz w:val="24"/>
          <w:szCs w:val="24"/>
          <w:lang w:eastAsia="en-GB"/>
        </w:rPr>
        <w:t xml:space="preserve">, </w:t>
      </w:r>
      <w:r w:rsidR="00C05652" w:rsidRPr="00B31292">
        <w:rPr>
          <w:rFonts w:ascii="Garamond" w:hAnsi="Garamond" w:cs="Times New Roman"/>
          <w:sz w:val="24"/>
          <w:szCs w:val="24"/>
          <w:lang w:eastAsia="en-GB"/>
        </w:rPr>
        <w:t xml:space="preserve">rregulloren zbatuese </w:t>
      </w:r>
      <w:r w:rsidRPr="00B31292">
        <w:rPr>
          <w:rFonts w:ascii="Garamond" w:hAnsi="Garamond" w:cs="Times New Roman"/>
          <w:sz w:val="24"/>
          <w:szCs w:val="24"/>
          <w:lang w:eastAsia="en-GB"/>
        </w:rPr>
        <w:t>të Komisionit Evropian (EU) 2022/1092</w:t>
      </w:r>
      <w:r w:rsidR="007843CA" w:rsidRPr="00B31292">
        <w:rPr>
          <w:rFonts w:ascii="Garamond" w:hAnsi="Garamond" w:cs="Times New Roman"/>
          <w:sz w:val="24"/>
          <w:szCs w:val="24"/>
          <w:lang w:eastAsia="en-GB"/>
        </w:rPr>
        <w:t>,</w:t>
      </w:r>
      <w:r w:rsidRPr="00B31292">
        <w:rPr>
          <w:rFonts w:ascii="Garamond" w:hAnsi="Garamond" w:cs="Times New Roman"/>
          <w:sz w:val="24"/>
          <w:szCs w:val="24"/>
          <w:lang w:eastAsia="en-GB"/>
        </w:rPr>
        <w:t xml:space="preserve"> </w:t>
      </w:r>
      <w:r w:rsidR="00BA12C3" w:rsidRPr="00B31292">
        <w:rPr>
          <w:rFonts w:ascii="Garamond" w:hAnsi="Garamond" w:cs="Times New Roman"/>
          <w:sz w:val="24"/>
          <w:szCs w:val="24"/>
          <w:lang w:eastAsia="en-GB"/>
        </w:rPr>
        <w:t>“</w:t>
      </w:r>
      <w:r w:rsidR="00803F40" w:rsidRPr="00B31292">
        <w:rPr>
          <w:rFonts w:ascii="Garamond" w:hAnsi="Garamond" w:cs="Times New Roman"/>
          <w:sz w:val="24"/>
          <w:szCs w:val="24"/>
          <w:lang w:eastAsia="en-GB"/>
        </w:rPr>
        <w:t>P</w:t>
      </w:r>
      <w:r w:rsidRPr="00B31292">
        <w:rPr>
          <w:rFonts w:ascii="Garamond" w:hAnsi="Garamond" w:cs="Times New Roman"/>
          <w:sz w:val="24"/>
          <w:szCs w:val="24"/>
          <w:lang w:eastAsia="en-GB"/>
        </w:rPr>
        <w:t xml:space="preserve">ër </w:t>
      </w:r>
      <w:r w:rsidR="00C05652" w:rsidRPr="00B31292">
        <w:rPr>
          <w:rFonts w:ascii="Garamond" w:hAnsi="Garamond" w:cs="Times New Roman"/>
          <w:sz w:val="24"/>
          <w:szCs w:val="24"/>
          <w:lang w:eastAsia="en-GB"/>
        </w:rPr>
        <w:t xml:space="preserve">statistikat e inovacionit”, </w:t>
      </w:r>
      <w:r w:rsidRPr="00B31292">
        <w:rPr>
          <w:rFonts w:ascii="Garamond" w:hAnsi="Garamond" w:cs="Times New Roman"/>
          <w:sz w:val="24"/>
          <w:szCs w:val="24"/>
          <w:lang w:eastAsia="en-GB"/>
        </w:rPr>
        <w:t xml:space="preserve">si </w:t>
      </w:r>
      <w:r w:rsidRPr="00B31292">
        <w:rPr>
          <w:rFonts w:ascii="Garamond" w:hAnsi="Garamond" w:cs="Times New Roman"/>
          <w:sz w:val="24"/>
          <w:szCs w:val="24"/>
        </w:rPr>
        <w:t xml:space="preserve">dhe </w:t>
      </w:r>
      <w:r w:rsidR="00C05652" w:rsidRPr="00B31292">
        <w:rPr>
          <w:rFonts w:ascii="Garamond" w:hAnsi="Garamond" w:cs="Times New Roman"/>
          <w:sz w:val="24"/>
          <w:szCs w:val="24"/>
          <w:lang w:eastAsia="en-GB"/>
        </w:rPr>
        <w:t xml:space="preserve">rregulloren zbatuese </w:t>
      </w:r>
      <w:r w:rsidRPr="00B31292">
        <w:rPr>
          <w:rFonts w:ascii="Garamond" w:hAnsi="Garamond" w:cs="Times New Roman"/>
          <w:sz w:val="24"/>
          <w:szCs w:val="24"/>
          <w:lang w:eastAsia="en-GB"/>
        </w:rPr>
        <w:t>të Komisionit Evropian (EU) 2023/1507</w:t>
      </w:r>
      <w:r w:rsidR="007843CA" w:rsidRPr="00B31292">
        <w:rPr>
          <w:rFonts w:ascii="Garamond" w:hAnsi="Garamond" w:cs="Times New Roman"/>
          <w:sz w:val="24"/>
          <w:szCs w:val="24"/>
          <w:lang w:eastAsia="en-GB"/>
        </w:rPr>
        <w:t>,</w:t>
      </w:r>
      <w:r w:rsidR="00803F40" w:rsidRPr="00B31292">
        <w:rPr>
          <w:rFonts w:ascii="Garamond" w:hAnsi="Garamond" w:cs="Times New Roman"/>
          <w:sz w:val="24"/>
          <w:szCs w:val="24"/>
          <w:lang w:eastAsia="en-GB"/>
        </w:rPr>
        <w:t xml:space="preserve"> </w:t>
      </w:r>
      <w:r w:rsidR="00BA12C3" w:rsidRPr="00B31292">
        <w:rPr>
          <w:rFonts w:ascii="Garamond" w:hAnsi="Garamond" w:cs="Times New Roman"/>
          <w:sz w:val="24"/>
          <w:szCs w:val="24"/>
          <w:lang w:eastAsia="en-GB"/>
        </w:rPr>
        <w:t>“</w:t>
      </w:r>
      <w:r w:rsidR="00803F40" w:rsidRPr="00B31292">
        <w:rPr>
          <w:rFonts w:ascii="Garamond" w:hAnsi="Garamond" w:cs="Times New Roman"/>
          <w:sz w:val="24"/>
          <w:szCs w:val="24"/>
          <w:lang w:eastAsia="en-GB"/>
        </w:rPr>
        <w:t>P</w:t>
      </w:r>
      <w:r w:rsidRPr="00B31292">
        <w:rPr>
          <w:rFonts w:ascii="Garamond" w:hAnsi="Garamond" w:cs="Times New Roman"/>
          <w:sz w:val="24"/>
          <w:szCs w:val="24"/>
          <w:lang w:eastAsia="en-GB"/>
        </w:rPr>
        <w:t xml:space="preserve">ër statistikat e </w:t>
      </w:r>
      <w:r w:rsidR="00C05652" w:rsidRPr="00B31292">
        <w:rPr>
          <w:rFonts w:ascii="Garamond" w:hAnsi="Garamond" w:cs="Times New Roman"/>
          <w:sz w:val="24"/>
          <w:szCs w:val="24"/>
          <w:lang w:eastAsia="en-GB"/>
        </w:rPr>
        <w:t xml:space="preserve">teknologjisë së informacionit </w:t>
      </w:r>
      <w:r w:rsidRPr="00B31292">
        <w:rPr>
          <w:rFonts w:ascii="Garamond" w:hAnsi="Garamond" w:cs="Times New Roman"/>
          <w:sz w:val="24"/>
          <w:szCs w:val="24"/>
          <w:lang w:eastAsia="en-GB"/>
        </w:rPr>
        <w:t>në ndërmarrje</w:t>
      </w:r>
      <w:r w:rsidR="00BA12C3" w:rsidRPr="00B31292">
        <w:rPr>
          <w:rFonts w:ascii="Garamond" w:hAnsi="Garamond" w:cs="Times New Roman"/>
          <w:sz w:val="24"/>
          <w:szCs w:val="24"/>
          <w:lang w:eastAsia="en-GB"/>
        </w:rPr>
        <w:t>”</w:t>
      </w:r>
      <w:r w:rsidRPr="00B31292">
        <w:rPr>
          <w:rFonts w:ascii="Garamond" w:hAnsi="Garamond" w:cs="Times New Roman"/>
          <w:sz w:val="24"/>
          <w:szCs w:val="24"/>
          <w:lang w:eastAsia="en-GB"/>
        </w:rPr>
        <w:t>.</w:t>
      </w:r>
      <w:r w:rsidR="00CB67BA" w:rsidRPr="00B31292">
        <w:rPr>
          <w:rFonts w:ascii="Garamond" w:hAnsi="Garamond" w:cs="Times New Roman"/>
          <w:sz w:val="24"/>
          <w:szCs w:val="24"/>
          <w:lang w:eastAsia="en-GB"/>
        </w:rPr>
        <w:t xml:space="preserve"> </w:t>
      </w:r>
      <w:r w:rsidRPr="00B31292">
        <w:rPr>
          <w:rFonts w:ascii="Garamond" w:hAnsi="Garamond" w:cs="Times New Roman"/>
          <w:sz w:val="24"/>
          <w:szCs w:val="24"/>
        </w:rPr>
        <w:t xml:space="preserve">Gjatë vitit 2024 u prodhuan dhe publikuan disa tregues kryesor mbi statistikat e </w:t>
      </w:r>
      <w:r w:rsidR="00C05652" w:rsidRPr="00B31292">
        <w:rPr>
          <w:rFonts w:ascii="Garamond" w:hAnsi="Garamond" w:cs="Times New Roman"/>
          <w:sz w:val="24"/>
          <w:szCs w:val="24"/>
        </w:rPr>
        <w:t>k</w:t>
      </w:r>
      <w:r w:rsidRPr="00B31292">
        <w:rPr>
          <w:rFonts w:ascii="Garamond" w:hAnsi="Garamond" w:cs="Times New Roman"/>
          <w:sz w:val="24"/>
          <w:szCs w:val="24"/>
        </w:rPr>
        <w:t>ërkimit shkencor.</w:t>
      </w:r>
      <w:r w:rsidRPr="00B31292">
        <w:rPr>
          <w:rFonts w:ascii="Garamond" w:eastAsia="Times New Roman" w:hAnsi="Garamond" w:cs="Times New Roman"/>
          <w:sz w:val="24"/>
          <w:szCs w:val="24"/>
        </w:rPr>
        <w:t xml:space="preserve"> </w:t>
      </w:r>
      <w:r w:rsidRPr="00B31292">
        <w:rPr>
          <w:rFonts w:ascii="Garamond" w:eastAsia="Times New Roman" w:hAnsi="Garamond" w:cs="Times New Roman"/>
          <w:i/>
          <w:sz w:val="24"/>
          <w:szCs w:val="24"/>
        </w:rPr>
        <w:t xml:space="preserve">Statistikat për nënfushën e </w:t>
      </w:r>
      <w:r w:rsidR="00C05652" w:rsidRPr="00B31292">
        <w:rPr>
          <w:rFonts w:ascii="Garamond" w:eastAsia="Times New Roman" w:hAnsi="Garamond" w:cs="Times New Roman"/>
          <w:i/>
          <w:sz w:val="24"/>
          <w:szCs w:val="24"/>
        </w:rPr>
        <w:t>s</w:t>
      </w:r>
      <w:r w:rsidRPr="00B31292">
        <w:rPr>
          <w:rFonts w:ascii="Garamond" w:eastAsia="Times New Roman" w:hAnsi="Garamond" w:cs="Times New Roman"/>
          <w:i/>
          <w:sz w:val="24"/>
          <w:szCs w:val="24"/>
        </w:rPr>
        <w:t>hkenc</w:t>
      </w:r>
      <w:r w:rsidRPr="00B31292">
        <w:rPr>
          <w:rFonts w:ascii="Garamond" w:eastAsia="Times New Roman" w:hAnsi="Garamond" w:cs="Times New Roman"/>
          <w:sz w:val="24"/>
          <w:szCs w:val="24"/>
        </w:rPr>
        <w:t xml:space="preserve">ës kanë përputhshmëri të ulët me rregulloren </w:t>
      </w:r>
      <w:r w:rsidR="007931A1" w:rsidRPr="00B31292">
        <w:rPr>
          <w:rFonts w:ascii="Garamond" w:eastAsia="Times New Roman" w:hAnsi="Garamond" w:cs="Times New Roman"/>
          <w:sz w:val="24"/>
          <w:szCs w:val="24"/>
        </w:rPr>
        <w:t>BE</w:t>
      </w:r>
      <w:r w:rsidRPr="00B31292">
        <w:rPr>
          <w:rFonts w:ascii="Garamond" w:eastAsia="Times New Roman" w:hAnsi="Garamond" w:cs="Times New Roman"/>
          <w:sz w:val="24"/>
          <w:szCs w:val="24"/>
        </w:rPr>
        <w:t>.</w:t>
      </w:r>
      <w:r w:rsidR="00803F40" w:rsidRPr="00B31292">
        <w:rPr>
          <w:rFonts w:ascii="Garamond" w:eastAsia="Times New Roman" w:hAnsi="Garamond" w:cs="Times New Roman"/>
          <w:sz w:val="24"/>
          <w:szCs w:val="24"/>
        </w:rPr>
        <w:t xml:space="preserve"> </w:t>
      </w:r>
      <w:r w:rsidRPr="00B31292">
        <w:rPr>
          <w:rFonts w:ascii="Garamond" w:eastAsia="Times New Roman" w:hAnsi="Garamond" w:cs="Times New Roman"/>
          <w:i/>
          <w:sz w:val="24"/>
          <w:szCs w:val="24"/>
        </w:rPr>
        <w:t>Statistikat për nënfushën e përdorimit të teknologjisë së informacionit dhe komunikimit në ndërmarrje</w:t>
      </w:r>
      <w:r w:rsidRPr="00B31292">
        <w:rPr>
          <w:rFonts w:ascii="Garamond" w:eastAsia="Times New Roman" w:hAnsi="Garamond" w:cs="Times New Roman"/>
          <w:sz w:val="24"/>
          <w:szCs w:val="24"/>
        </w:rPr>
        <w:t xml:space="preserve"> janë pjesërisht në përputhje me rregulloren bazë të Komisionit </w:t>
      </w:r>
      <w:r w:rsidR="00CB67BA" w:rsidRPr="00B31292">
        <w:rPr>
          <w:rFonts w:ascii="Garamond" w:eastAsia="Times New Roman" w:hAnsi="Garamond" w:cs="Times New Roman"/>
          <w:sz w:val="24"/>
          <w:szCs w:val="24"/>
        </w:rPr>
        <w:t xml:space="preserve">Evropian </w:t>
      </w:r>
      <w:r w:rsidRPr="00B31292">
        <w:rPr>
          <w:rFonts w:ascii="Garamond" w:hAnsi="Garamond" w:cs="Times New Roman"/>
          <w:sz w:val="24"/>
          <w:szCs w:val="24"/>
          <w:lang w:eastAsia="en-GB"/>
        </w:rPr>
        <w:t>2023/1507</w:t>
      </w:r>
      <w:r w:rsidR="00CB67BA" w:rsidRPr="00B31292">
        <w:rPr>
          <w:rFonts w:ascii="Garamond" w:hAnsi="Garamond" w:cs="Times New Roman"/>
          <w:sz w:val="24"/>
          <w:szCs w:val="24"/>
          <w:lang w:eastAsia="en-GB"/>
        </w:rPr>
        <w:t xml:space="preserve">. </w:t>
      </w:r>
      <w:r w:rsidR="002F1888" w:rsidRPr="00B31292">
        <w:rPr>
          <w:rFonts w:ascii="Garamond" w:eastAsia="Times New Roman" w:hAnsi="Garamond" w:cs="Times New Roman"/>
          <w:i/>
          <w:sz w:val="24"/>
          <w:szCs w:val="24"/>
        </w:rPr>
        <w:t>Statistikat për nënfushën e përdorimit të teknologjisë së informacionit dhe komunikimit në NjEF dhe individë</w:t>
      </w:r>
      <w:r w:rsidR="002F1888" w:rsidRPr="00B31292">
        <w:rPr>
          <w:rFonts w:ascii="Garamond" w:eastAsia="Times New Roman" w:hAnsi="Garamond" w:cs="Times New Roman"/>
          <w:sz w:val="24"/>
          <w:szCs w:val="24"/>
        </w:rPr>
        <w:t xml:space="preserve"> janë në përputhje me rregulloren bazë të Komisionit </w:t>
      </w:r>
      <w:r w:rsidR="007843CA" w:rsidRPr="00B31292">
        <w:rPr>
          <w:rFonts w:ascii="Garamond" w:eastAsia="Times New Roman" w:hAnsi="Garamond" w:cs="Times New Roman"/>
          <w:sz w:val="24"/>
          <w:szCs w:val="24"/>
        </w:rPr>
        <w:t>Evropian</w:t>
      </w:r>
      <w:r w:rsidR="002F1888" w:rsidRPr="00B31292">
        <w:rPr>
          <w:rFonts w:ascii="Garamond" w:eastAsia="Times New Roman" w:hAnsi="Garamond" w:cs="Times New Roman"/>
          <w:sz w:val="24"/>
          <w:szCs w:val="24"/>
        </w:rPr>
        <w:t xml:space="preserve"> 2019/1700, duke siguruar një kuadër ligjor të përbashkët</w:t>
      </w:r>
      <w:r w:rsidR="00C05652" w:rsidRPr="00B31292">
        <w:rPr>
          <w:rFonts w:ascii="Garamond" w:eastAsia="Times New Roman" w:hAnsi="Garamond" w:cs="Times New Roman"/>
          <w:sz w:val="24"/>
          <w:szCs w:val="24"/>
        </w:rPr>
        <w:t>,</w:t>
      </w:r>
      <w:r w:rsidR="002F1888" w:rsidRPr="00B31292">
        <w:rPr>
          <w:rFonts w:ascii="Garamond" w:eastAsia="Times New Roman" w:hAnsi="Garamond" w:cs="Times New Roman"/>
          <w:sz w:val="24"/>
          <w:szCs w:val="24"/>
        </w:rPr>
        <w:t xml:space="preserve"> lidhur me vrojtimin e </w:t>
      </w:r>
      <w:r w:rsidR="00C05652" w:rsidRPr="00B31292">
        <w:rPr>
          <w:rFonts w:ascii="Garamond" w:eastAsia="Times New Roman" w:hAnsi="Garamond" w:cs="Times New Roman"/>
          <w:sz w:val="24"/>
          <w:szCs w:val="24"/>
        </w:rPr>
        <w:t>t</w:t>
      </w:r>
      <w:r w:rsidR="002F1888" w:rsidRPr="00B31292">
        <w:rPr>
          <w:rFonts w:ascii="Garamond" w:eastAsia="Times New Roman" w:hAnsi="Garamond" w:cs="Times New Roman"/>
          <w:sz w:val="24"/>
          <w:szCs w:val="24"/>
        </w:rPr>
        <w:t xml:space="preserve">eknologjisë së </w:t>
      </w:r>
      <w:r w:rsidR="00C05652" w:rsidRPr="00B31292">
        <w:rPr>
          <w:rFonts w:ascii="Garamond" w:eastAsia="Times New Roman" w:hAnsi="Garamond" w:cs="Times New Roman"/>
          <w:sz w:val="24"/>
          <w:szCs w:val="24"/>
        </w:rPr>
        <w:t>i</w:t>
      </w:r>
      <w:r w:rsidR="002F1888" w:rsidRPr="00B31292">
        <w:rPr>
          <w:rFonts w:ascii="Garamond" w:eastAsia="Times New Roman" w:hAnsi="Garamond" w:cs="Times New Roman"/>
          <w:sz w:val="24"/>
          <w:szCs w:val="24"/>
        </w:rPr>
        <w:t>nformacionit në NjEF</w:t>
      </w:r>
      <w:r w:rsidR="00C05652" w:rsidRPr="00B31292">
        <w:rPr>
          <w:rFonts w:ascii="Garamond" w:eastAsia="Times New Roman" w:hAnsi="Garamond" w:cs="Times New Roman"/>
          <w:sz w:val="24"/>
          <w:szCs w:val="24"/>
        </w:rPr>
        <w:t>-të</w:t>
      </w:r>
      <w:r w:rsidR="002F1888" w:rsidRPr="00B31292">
        <w:rPr>
          <w:rFonts w:ascii="Garamond" w:eastAsia="Times New Roman" w:hAnsi="Garamond" w:cs="Times New Roman"/>
          <w:sz w:val="24"/>
          <w:szCs w:val="24"/>
        </w:rPr>
        <w:t>, të mbledhura përmes kampion</w:t>
      </w:r>
      <w:r w:rsidR="00C05652" w:rsidRPr="00B31292">
        <w:rPr>
          <w:rFonts w:ascii="Garamond" w:eastAsia="Times New Roman" w:hAnsi="Garamond" w:cs="Times New Roman"/>
          <w:sz w:val="24"/>
          <w:szCs w:val="24"/>
        </w:rPr>
        <w:t>ë</w:t>
      </w:r>
      <w:r w:rsidR="002F1888" w:rsidRPr="00B31292">
        <w:rPr>
          <w:rFonts w:ascii="Garamond" w:eastAsia="Times New Roman" w:hAnsi="Garamond" w:cs="Times New Roman"/>
          <w:sz w:val="24"/>
          <w:szCs w:val="24"/>
        </w:rPr>
        <w:t>ve të përzgjedhur me objekt popullsinë 16</w:t>
      </w:r>
      <w:r w:rsidR="007843CA" w:rsidRPr="00B31292">
        <w:rPr>
          <w:rFonts w:ascii="Garamond" w:eastAsia="Times New Roman" w:hAnsi="Garamond" w:cs="Times New Roman"/>
          <w:sz w:val="24"/>
          <w:szCs w:val="24"/>
        </w:rPr>
        <w:t>–</w:t>
      </w:r>
      <w:r w:rsidR="002F1888" w:rsidRPr="00B31292">
        <w:rPr>
          <w:rFonts w:ascii="Garamond" w:eastAsia="Times New Roman" w:hAnsi="Garamond" w:cs="Times New Roman"/>
          <w:sz w:val="24"/>
          <w:szCs w:val="24"/>
        </w:rPr>
        <w:t>74 vjeç.</w:t>
      </w:r>
      <w:r w:rsidR="002E2911" w:rsidRPr="00B31292">
        <w:rPr>
          <w:rFonts w:ascii="Garamond" w:eastAsia="Times New Roman" w:hAnsi="Garamond" w:cs="Times New Roman"/>
          <w:sz w:val="24"/>
          <w:szCs w:val="24"/>
        </w:rPr>
        <w:t xml:space="preserve"> </w:t>
      </w:r>
      <w:r w:rsidR="002F1888" w:rsidRPr="00B31292">
        <w:rPr>
          <w:rFonts w:ascii="Garamond" w:eastAsia="Times New Roman" w:hAnsi="Garamond" w:cs="Times New Roman"/>
          <w:sz w:val="24"/>
          <w:szCs w:val="24"/>
        </w:rPr>
        <w:t>Hartimi i pyetësorit, përkufizimet dhe metodologjia e përdorur është në përputhje me rregulloret zbatuese për secilin vit në të cilin vrojtimi zhvillohet.</w:t>
      </w:r>
    </w:p>
    <w:p w14:paraId="4EBD57B8" w14:textId="14B7AB2A" w:rsidR="00A63C5C" w:rsidRPr="00B31292" w:rsidRDefault="00A63C5C" w:rsidP="003A4DBA">
      <w:pPr>
        <w:spacing w:after="0" w:line="240" w:lineRule="auto"/>
        <w:ind w:firstLine="284"/>
        <w:contextualSpacing/>
        <w:jc w:val="both"/>
        <w:rPr>
          <w:rFonts w:ascii="Garamond" w:hAnsi="Garamond" w:cs="Times New Roman"/>
          <w:sz w:val="24"/>
          <w:szCs w:val="24"/>
          <w:lang w:eastAsia="en-GB"/>
        </w:rPr>
      </w:pPr>
      <w:r w:rsidRPr="00B31292">
        <w:rPr>
          <w:rFonts w:ascii="Garamond" w:hAnsi="Garamond" w:cs="Times New Roman"/>
          <w:sz w:val="24"/>
          <w:szCs w:val="24"/>
          <w:lang w:eastAsia="en-GB"/>
        </w:rPr>
        <w:t xml:space="preserve">Treguesit statistikorë për </w:t>
      </w:r>
      <w:r w:rsidRPr="00B31292">
        <w:rPr>
          <w:rFonts w:ascii="Garamond" w:hAnsi="Garamond" w:cs="Times New Roman"/>
          <w:i/>
          <w:sz w:val="24"/>
          <w:szCs w:val="24"/>
          <w:lang w:eastAsia="en-GB"/>
        </w:rPr>
        <w:t xml:space="preserve">nënfushën e </w:t>
      </w:r>
      <w:r w:rsidR="00C05652" w:rsidRPr="00B31292">
        <w:rPr>
          <w:rFonts w:ascii="Garamond" w:hAnsi="Garamond" w:cs="Times New Roman"/>
          <w:i/>
          <w:sz w:val="24"/>
          <w:szCs w:val="24"/>
          <w:lang w:eastAsia="en-GB"/>
        </w:rPr>
        <w:t>i</w:t>
      </w:r>
      <w:r w:rsidRPr="00B31292">
        <w:rPr>
          <w:rFonts w:ascii="Garamond" w:hAnsi="Garamond" w:cs="Times New Roman"/>
          <w:i/>
          <w:sz w:val="24"/>
          <w:szCs w:val="24"/>
          <w:lang w:eastAsia="en-GB"/>
        </w:rPr>
        <w:t>novacionit</w:t>
      </w:r>
      <w:r w:rsidRPr="00B31292">
        <w:rPr>
          <w:rFonts w:ascii="Garamond" w:hAnsi="Garamond" w:cs="Times New Roman"/>
          <w:sz w:val="24"/>
          <w:szCs w:val="24"/>
          <w:lang w:eastAsia="en-GB"/>
        </w:rPr>
        <w:t xml:space="preserve"> janë pjesërisht të përputhshme me </w:t>
      </w:r>
      <w:r w:rsidR="00C05652" w:rsidRPr="00B31292">
        <w:rPr>
          <w:rFonts w:ascii="Garamond" w:hAnsi="Garamond" w:cs="Times New Roman"/>
          <w:sz w:val="24"/>
          <w:szCs w:val="24"/>
          <w:lang w:eastAsia="en-GB"/>
        </w:rPr>
        <w:t>r</w:t>
      </w:r>
      <w:r w:rsidRPr="00B31292">
        <w:rPr>
          <w:rFonts w:ascii="Garamond" w:hAnsi="Garamond" w:cs="Times New Roman"/>
          <w:sz w:val="24"/>
          <w:szCs w:val="24"/>
          <w:lang w:eastAsia="en-GB"/>
        </w:rPr>
        <w:t xml:space="preserve">regulloren e Komisionit (KE) </w:t>
      </w:r>
      <w:r w:rsidR="007843CA" w:rsidRPr="00B31292">
        <w:rPr>
          <w:rFonts w:ascii="Garamond" w:hAnsi="Garamond" w:cs="Times New Roman"/>
          <w:sz w:val="24"/>
          <w:szCs w:val="24"/>
          <w:lang w:eastAsia="en-GB"/>
        </w:rPr>
        <w:t>n</w:t>
      </w:r>
      <w:r w:rsidRPr="00B31292">
        <w:rPr>
          <w:rFonts w:ascii="Garamond" w:hAnsi="Garamond" w:cs="Times New Roman"/>
          <w:sz w:val="24"/>
          <w:szCs w:val="24"/>
          <w:lang w:eastAsia="en-GB"/>
        </w:rPr>
        <w:t>r.</w:t>
      </w:r>
      <w:r w:rsidR="007843CA" w:rsidRPr="00B31292">
        <w:rPr>
          <w:rFonts w:ascii="Garamond" w:hAnsi="Garamond" w:cs="Times New Roman"/>
          <w:sz w:val="24"/>
          <w:szCs w:val="24"/>
          <w:lang w:eastAsia="en-GB"/>
        </w:rPr>
        <w:t xml:space="preserve"> </w:t>
      </w:r>
      <w:r w:rsidRPr="00B31292">
        <w:rPr>
          <w:rFonts w:ascii="Garamond" w:hAnsi="Garamond" w:cs="Times New Roman"/>
          <w:sz w:val="24"/>
          <w:szCs w:val="24"/>
          <w:lang w:eastAsia="en-GB"/>
        </w:rPr>
        <w:t>2019/2152</w:t>
      </w:r>
      <w:r w:rsidR="007843CA" w:rsidRPr="00B31292">
        <w:rPr>
          <w:rFonts w:ascii="Garamond" w:hAnsi="Garamond" w:cs="Times New Roman"/>
          <w:sz w:val="24"/>
          <w:szCs w:val="24"/>
          <w:lang w:eastAsia="en-GB"/>
        </w:rPr>
        <w:t>,</w:t>
      </w:r>
      <w:r w:rsidRPr="00B31292">
        <w:rPr>
          <w:rFonts w:ascii="Garamond" w:hAnsi="Garamond" w:cs="Times New Roman"/>
          <w:sz w:val="24"/>
          <w:szCs w:val="24"/>
          <w:lang w:eastAsia="en-GB"/>
        </w:rPr>
        <w:t xml:space="preserve"> </w:t>
      </w:r>
      <w:r w:rsidR="00BA12C3" w:rsidRPr="00B31292">
        <w:rPr>
          <w:rFonts w:ascii="Garamond" w:hAnsi="Garamond" w:cs="Times New Roman"/>
          <w:sz w:val="24"/>
          <w:szCs w:val="24"/>
          <w:lang w:eastAsia="en-GB"/>
        </w:rPr>
        <w:t>“</w:t>
      </w:r>
      <w:r w:rsidRPr="00B31292">
        <w:rPr>
          <w:rFonts w:ascii="Garamond" w:hAnsi="Garamond" w:cs="Times New Roman"/>
          <w:sz w:val="24"/>
          <w:szCs w:val="24"/>
          <w:lang w:eastAsia="en-GB"/>
        </w:rPr>
        <w:t>Për statistikat evropiane të biznesit</w:t>
      </w:r>
      <w:r w:rsidR="00BA12C3" w:rsidRPr="00B31292">
        <w:rPr>
          <w:rFonts w:ascii="Garamond" w:hAnsi="Garamond" w:cs="Times New Roman"/>
          <w:sz w:val="24"/>
          <w:szCs w:val="24"/>
          <w:lang w:eastAsia="en-GB"/>
        </w:rPr>
        <w:t>”</w:t>
      </w:r>
      <w:r w:rsidRPr="00B31292">
        <w:rPr>
          <w:rFonts w:ascii="Garamond" w:hAnsi="Garamond" w:cs="Times New Roman"/>
          <w:sz w:val="24"/>
          <w:szCs w:val="24"/>
          <w:lang w:eastAsia="en-GB"/>
        </w:rPr>
        <w:t xml:space="preserve">, </w:t>
      </w:r>
      <w:r w:rsidR="00C05652" w:rsidRPr="00B31292">
        <w:rPr>
          <w:rFonts w:ascii="Garamond" w:hAnsi="Garamond" w:cs="Times New Roman"/>
          <w:sz w:val="24"/>
          <w:szCs w:val="24"/>
          <w:lang w:eastAsia="en-GB"/>
        </w:rPr>
        <w:t>rregulloren z</w:t>
      </w:r>
      <w:r w:rsidRPr="00B31292">
        <w:rPr>
          <w:rFonts w:ascii="Garamond" w:hAnsi="Garamond" w:cs="Times New Roman"/>
          <w:sz w:val="24"/>
          <w:szCs w:val="24"/>
          <w:lang w:eastAsia="en-GB"/>
        </w:rPr>
        <w:t>batuese të Komisionit Evropian (</w:t>
      </w:r>
      <w:r w:rsidR="007931A1" w:rsidRPr="00B31292">
        <w:rPr>
          <w:rFonts w:ascii="Garamond" w:hAnsi="Garamond" w:cs="Times New Roman"/>
          <w:sz w:val="24"/>
          <w:szCs w:val="24"/>
          <w:lang w:eastAsia="en-GB"/>
        </w:rPr>
        <w:t>BE</w:t>
      </w:r>
      <w:r w:rsidRPr="00B31292">
        <w:rPr>
          <w:rFonts w:ascii="Garamond" w:hAnsi="Garamond" w:cs="Times New Roman"/>
          <w:sz w:val="24"/>
          <w:szCs w:val="24"/>
          <w:lang w:eastAsia="en-GB"/>
        </w:rPr>
        <w:t xml:space="preserve">) për statistikat e </w:t>
      </w:r>
      <w:r w:rsidR="00C05652" w:rsidRPr="00B31292">
        <w:rPr>
          <w:rFonts w:ascii="Garamond" w:hAnsi="Garamond" w:cs="Times New Roman"/>
          <w:sz w:val="24"/>
          <w:szCs w:val="24"/>
          <w:lang w:eastAsia="en-GB"/>
        </w:rPr>
        <w:t>i</w:t>
      </w:r>
      <w:r w:rsidRPr="00B31292">
        <w:rPr>
          <w:rFonts w:ascii="Garamond" w:hAnsi="Garamond" w:cs="Times New Roman"/>
          <w:sz w:val="24"/>
          <w:szCs w:val="24"/>
          <w:lang w:eastAsia="en-GB"/>
        </w:rPr>
        <w:t xml:space="preserve">novacionit për raundin e vrojtimit </w:t>
      </w:r>
      <w:r w:rsidR="00F427DF" w:rsidRPr="00B31292">
        <w:rPr>
          <w:rFonts w:ascii="Garamond" w:hAnsi="Garamond" w:cs="Times New Roman"/>
          <w:sz w:val="24"/>
          <w:szCs w:val="24"/>
          <w:lang w:eastAsia="en-GB"/>
        </w:rPr>
        <w:t>të</w:t>
      </w:r>
      <w:r w:rsidR="006F148B" w:rsidRPr="00B31292">
        <w:rPr>
          <w:rFonts w:ascii="Garamond" w:hAnsi="Garamond" w:cs="Times New Roman"/>
          <w:sz w:val="24"/>
          <w:szCs w:val="24"/>
          <w:lang w:eastAsia="en-GB"/>
        </w:rPr>
        <w:t xml:space="preserve"> </w:t>
      </w:r>
      <w:r w:rsidR="00C05652" w:rsidRPr="00B31292">
        <w:rPr>
          <w:rFonts w:ascii="Garamond" w:hAnsi="Garamond" w:cs="Times New Roman"/>
          <w:sz w:val="24"/>
          <w:szCs w:val="24"/>
          <w:lang w:eastAsia="en-GB"/>
        </w:rPr>
        <w:t>i</w:t>
      </w:r>
      <w:r w:rsidR="006F148B" w:rsidRPr="00B31292">
        <w:rPr>
          <w:rFonts w:ascii="Garamond" w:hAnsi="Garamond" w:cs="Times New Roman"/>
          <w:sz w:val="24"/>
          <w:szCs w:val="24"/>
          <w:lang w:eastAsia="en-GB"/>
        </w:rPr>
        <w:t>novacionit të Komunitetit</w:t>
      </w:r>
      <w:r w:rsidR="00E74AA8" w:rsidRPr="00B31292">
        <w:rPr>
          <w:rFonts w:ascii="Garamond" w:hAnsi="Garamond" w:cs="Times New Roman"/>
          <w:sz w:val="24"/>
          <w:szCs w:val="24"/>
          <w:lang w:eastAsia="en-GB"/>
        </w:rPr>
        <w:t>,</w:t>
      </w:r>
      <w:r w:rsidR="006F148B" w:rsidRPr="00B31292">
        <w:rPr>
          <w:rFonts w:ascii="Garamond" w:hAnsi="Garamond" w:cs="Times New Roman"/>
          <w:sz w:val="24"/>
          <w:szCs w:val="24"/>
          <w:lang w:eastAsia="en-GB"/>
        </w:rPr>
        <w:t xml:space="preserve"> </w:t>
      </w:r>
      <w:r w:rsidRPr="00B31292">
        <w:rPr>
          <w:rFonts w:ascii="Garamond" w:hAnsi="Garamond" w:cs="Times New Roman"/>
          <w:sz w:val="24"/>
          <w:szCs w:val="24"/>
          <w:lang w:eastAsia="en-GB"/>
        </w:rPr>
        <w:t>CIS 2024.</w:t>
      </w:r>
    </w:p>
    <w:p w14:paraId="0137EE6B" w14:textId="353A66D7" w:rsidR="00597C32" w:rsidRPr="00B31292" w:rsidRDefault="00597C32" w:rsidP="003A4DBA">
      <w:pPr>
        <w:spacing w:after="0" w:line="240" w:lineRule="auto"/>
        <w:ind w:firstLine="284"/>
        <w:jc w:val="both"/>
        <w:rPr>
          <w:rFonts w:ascii="Garamond" w:hAnsi="Garamond" w:cs="Times New Roman"/>
          <w:bCs/>
          <w:i/>
          <w:sz w:val="24"/>
          <w:szCs w:val="24"/>
        </w:rPr>
      </w:pPr>
      <w:bookmarkStart w:id="38" w:name="_Hlk182496284"/>
      <w:r w:rsidRPr="00B31292">
        <w:rPr>
          <w:rFonts w:ascii="Garamond" w:hAnsi="Garamond" w:cs="Times New Roman"/>
          <w:bCs/>
          <w:i/>
          <w:sz w:val="24"/>
          <w:szCs w:val="24"/>
        </w:rPr>
        <w:t>Tabela nr. 1</w:t>
      </w:r>
      <w:r w:rsidR="007931A1" w:rsidRPr="00B31292">
        <w:rPr>
          <w:rFonts w:ascii="Garamond" w:hAnsi="Garamond" w:cs="Times New Roman"/>
          <w:bCs/>
          <w:i/>
          <w:sz w:val="24"/>
          <w:szCs w:val="24"/>
        </w:rPr>
        <w:t>5</w:t>
      </w:r>
      <w:r w:rsidR="007843CA" w:rsidRPr="00B31292">
        <w:rPr>
          <w:rFonts w:ascii="Garamond" w:hAnsi="Garamond" w:cs="Times New Roman"/>
          <w:bCs/>
          <w:i/>
          <w:sz w:val="24"/>
          <w:szCs w:val="24"/>
        </w:rPr>
        <w:t>:</w:t>
      </w:r>
      <w:r w:rsidRPr="00B31292">
        <w:rPr>
          <w:rFonts w:ascii="Garamond" w:hAnsi="Garamond" w:cs="Times New Roman"/>
          <w:bCs/>
          <w:i/>
          <w:sz w:val="24"/>
          <w:szCs w:val="24"/>
        </w:rPr>
        <w:t xml:space="preserve"> </w:t>
      </w:r>
      <w:r w:rsidR="00F427DF" w:rsidRPr="00B31292">
        <w:rPr>
          <w:rFonts w:ascii="Garamond" w:hAnsi="Garamond" w:cs="Times New Roman"/>
          <w:bCs/>
          <w:i/>
          <w:sz w:val="24"/>
          <w:szCs w:val="24"/>
        </w:rPr>
        <w:t>Lista e vrojtimeve</w:t>
      </w:r>
      <w:r w:rsidRPr="00B31292">
        <w:rPr>
          <w:rFonts w:ascii="Garamond" w:hAnsi="Garamond" w:cs="Times New Roman"/>
          <w:bCs/>
          <w:i/>
          <w:sz w:val="24"/>
          <w:szCs w:val="24"/>
        </w:rPr>
        <w:t xml:space="preserve"> për fushën </w:t>
      </w:r>
      <w:r w:rsidR="00BA12C3" w:rsidRPr="00B31292">
        <w:rPr>
          <w:rFonts w:ascii="Garamond" w:hAnsi="Garamond" w:cs="Times New Roman"/>
          <w:bCs/>
          <w:i/>
          <w:sz w:val="24"/>
          <w:szCs w:val="24"/>
        </w:rPr>
        <w:t>“</w:t>
      </w:r>
      <w:r w:rsidRPr="00B31292">
        <w:rPr>
          <w:rFonts w:ascii="Garamond" w:hAnsi="Garamond" w:cs="Times New Roman"/>
          <w:bCs/>
          <w:i/>
          <w:sz w:val="24"/>
          <w:szCs w:val="24"/>
        </w:rPr>
        <w:t xml:space="preserve">Statistikat </w:t>
      </w:r>
      <w:r w:rsidR="00C05652" w:rsidRPr="00B31292">
        <w:rPr>
          <w:rFonts w:ascii="Garamond" w:hAnsi="Garamond" w:cs="Times New Roman"/>
          <w:bCs/>
          <w:i/>
          <w:sz w:val="24"/>
          <w:szCs w:val="24"/>
        </w:rPr>
        <w:t>s</w:t>
      </w:r>
      <w:r w:rsidRPr="00B31292">
        <w:rPr>
          <w:rFonts w:ascii="Garamond" w:hAnsi="Garamond" w:cs="Times New Roman"/>
          <w:bCs/>
          <w:i/>
          <w:sz w:val="24"/>
          <w:szCs w:val="24"/>
        </w:rPr>
        <w:t>ektoriale</w:t>
      </w:r>
      <w:r w:rsidR="00BA12C3" w:rsidRPr="00B31292">
        <w:rPr>
          <w:rFonts w:ascii="Garamond" w:hAnsi="Garamond" w:cs="Times New Roman"/>
          <w:bCs/>
          <w:i/>
          <w:sz w:val="24"/>
          <w:szCs w:val="24"/>
        </w:rPr>
        <w:t>”</w:t>
      </w:r>
    </w:p>
    <w:p w14:paraId="09F15BAC" w14:textId="12524A31" w:rsidR="00EE716C" w:rsidRPr="00B31292" w:rsidRDefault="004F35E8" w:rsidP="007843CA">
      <w:pPr>
        <w:spacing w:after="0" w:line="240" w:lineRule="auto"/>
        <w:jc w:val="both"/>
        <w:rPr>
          <w:rFonts w:ascii="Garamond" w:hAnsi="Garamond" w:cs="Times New Roman"/>
          <w:b/>
          <w:i/>
          <w:sz w:val="24"/>
          <w:szCs w:val="24"/>
        </w:rPr>
      </w:pPr>
      <w:r w:rsidRPr="00B31292">
        <w:rPr>
          <w:rFonts w:ascii="Garamond" w:hAnsi="Garamond" w:cs="Times New Roman"/>
          <w:b/>
          <w:i/>
          <w:noProof/>
          <w:sz w:val="24"/>
          <w:szCs w:val="24"/>
          <w:lang w:val="en-US"/>
        </w:rPr>
        <w:drawing>
          <wp:inline distT="0" distB="0" distL="0" distR="0" wp14:anchorId="6434C6BB" wp14:editId="5B8388CC">
            <wp:extent cx="5731510" cy="299847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731510" cy="2998470"/>
                    </a:xfrm>
                    <a:prstGeom prst="rect">
                      <a:avLst/>
                    </a:prstGeom>
                  </pic:spPr>
                </pic:pic>
              </a:graphicData>
            </a:graphic>
          </wp:inline>
        </w:drawing>
      </w:r>
      <w:bookmarkStart w:id="39" w:name="_Hlk182552399"/>
      <w:bookmarkEnd w:id="38"/>
    </w:p>
    <w:p w14:paraId="731A757B" w14:textId="41E0B5CF" w:rsidR="00E10064" w:rsidRPr="00B31292" w:rsidRDefault="00E10064" w:rsidP="003A4DBA">
      <w:pPr>
        <w:spacing w:after="0" w:line="240" w:lineRule="auto"/>
        <w:ind w:firstLine="284"/>
        <w:jc w:val="both"/>
        <w:rPr>
          <w:rFonts w:ascii="Garamond" w:hAnsi="Garamond" w:cs="Times New Roman"/>
          <w:bCs/>
          <w:i/>
          <w:sz w:val="24"/>
          <w:szCs w:val="24"/>
        </w:rPr>
      </w:pPr>
      <w:r w:rsidRPr="00B31292">
        <w:rPr>
          <w:rFonts w:ascii="Garamond" w:hAnsi="Garamond" w:cs="Times New Roman"/>
          <w:bCs/>
          <w:i/>
          <w:sz w:val="24"/>
          <w:szCs w:val="24"/>
        </w:rPr>
        <w:t>Tabela nr.</w:t>
      </w:r>
      <w:r w:rsidR="007843CA" w:rsidRPr="00B31292">
        <w:rPr>
          <w:rFonts w:ascii="Garamond" w:hAnsi="Garamond" w:cs="Times New Roman"/>
          <w:bCs/>
          <w:i/>
          <w:sz w:val="24"/>
          <w:szCs w:val="24"/>
        </w:rPr>
        <w:t xml:space="preserve"> </w:t>
      </w:r>
      <w:r w:rsidRPr="00B31292">
        <w:rPr>
          <w:rFonts w:ascii="Garamond" w:hAnsi="Garamond" w:cs="Times New Roman"/>
          <w:bCs/>
          <w:i/>
          <w:sz w:val="24"/>
          <w:szCs w:val="24"/>
        </w:rPr>
        <w:t>1</w:t>
      </w:r>
      <w:r w:rsidR="0076471D">
        <w:rPr>
          <w:rFonts w:ascii="Garamond" w:hAnsi="Garamond" w:cs="Times New Roman"/>
          <w:bCs/>
          <w:i/>
          <w:sz w:val="24"/>
          <w:szCs w:val="24"/>
        </w:rPr>
        <w:t>6</w:t>
      </w:r>
      <w:r w:rsidR="007843CA" w:rsidRPr="00B31292">
        <w:rPr>
          <w:rFonts w:ascii="Garamond" w:hAnsi="Garamond" w:cs="Times New Roman"/>
          <w:bCs/>
          <w:i/>
          <w:sz w:val="24"/>
          <w:szCs w:val="24"/>
        </w:rPr>
        <w:t>:</w:t>
      </w:r>
      <w:r w:rsidRPr="00B31292">
        <w:rPr>
          <w:rFonts w:ascii="Garamond" w:hAnsi="Garamond" w:cs="Times New Roman"/>
          <w:bCs/>
          <w:i/>
          <w:sz w:val="24"/>
          <w:szCs w:val="24"/>
        </w:rPr>
        <w:t xml:space="preserve"> Niveli i përputhshmëris</w:t>
      </w:r>
      <w:r w:rsidR="00C34F78" w:rsidRPr="00B31292">
        <w:rPr>
          <w:rFonts w:ascii="Garamond" w:hAnsi="Garamond" w:cs="Times New Roman"/>
          <w:bCs/>
          <w:i/>
          <w:sz w:val="24"/>
          <w:szCs w:val="24"/>
        </w:rPr>
        <w:t>ë</w:t>
      </w:r>
      <w:r w:rsidRPr="00B31292">
        <w:rPr>
          <w:rFonts w:ascii="Garamond" w:hAnsi="Garamond" w:cs="Times New Roman"/>
          <w:bCs/>
          <w:i/>
          <w:sz w:val="24"/>
          <w:szCs w:val="24"/>
        </w:rPr>
        <w:t xml:space="preserve"> me acquis p</w:t>
      </w:r>
      <w:r w:rsidR="00C34F78" w:rsidRPr="00B31292">
        <w:rPr>
          <w:rFonts w:ascii="Garamond" w:hAnsi="Garamond" w:cs="Times New Roman"/>
          <w:bCs/>
          <w:i/>
          <w:sz w:val="24"/>
          <w:szCs w:val="24"/>
        </w:rPr>
        <w:t>ë</w:t>
      </w:r>
      <w:r w:rsidRPr="00B31292">
        <w:rPr>
          <w:rFonts w:ascii="Garamond" w:hAnsi="Garamond" w:cs="Times New Roman"/>
          <w:bCs/>
          <w:i/>
          <w:sz w:val="24"/>
          <w:szCs w:val="24"/>
        </w:rPr>
        <w:t xml:space="preserve">r fushën </w:t>
      </w:r>
      <w:r w:rsidR="00BA12C3" w:rsidRPr="00B31292">
        <w:rPr>
          <w:rFonts w:ascii="Garamond" w:hAnsi="Garamond" w:cs="Times New Roman"/>
          <w:bCs/>
          <w:i/>
          <w:sz w:val="24"/>
          <w:szCs w:val="24"/>
        </w:rPr>
        <w:t>“</w:t>
      </w:r>
      <w:r w:rsidRPr="00B31292">
        <w:rPr>
          <w:rFonts w:ascii="Garamond" w:hAnsi="Garamond" w:cs="Times New Roman"/>
          <w:bCs/>
          <w:i/>
          <w:sz w:val="24"/>
          <w:szCs w:val="24"/>
        </w:rPr>
        <w:t xml:space="preserve">Statistikat </w:t>
      </w:r>
      <w:r w:rsidR="00C05652" w:rsidRPr="00B31292">
        <w:rPr>
          <w:rFonts w:ascii="Garamond" w:hAnsi="Garamond" w:cs="Times New Roman"/>
          <w:bCs/>
          <w:i/>
          <w:sz w:val="24"/>
          <w:szCs w:val="24"/>
        </w:rPr>
        <w:t>s</w:t>
      </w:r>
      <w:r w:rsidR="00225A79" w:rsidRPr="00B31292">
        <w:rPr>
          <w:rFonts w:ascii="Garamond" w:hAnsi="Garamond" w:cs="Times New Roman"/>
          <w:bCs/>
          <w:i/>
          <w:sz w:val="24"/>
          <w:szCs w:val="24"/>
        </w:rPr>
        <w:t>ektoriale</w:t>
      </w:r>
      <w:r w:rsidR="00BA12C3" w:rsidRPr="00B31292">
        <w:rPr>
          <w:rFonts w:ascii="Garamond" w:hAnsi="Garamond" w:cs="Times New Roman"/>
          <w:bCs/>
          <w:i/>
          <w:sz w:val="24"/>
          <w:szCs w:val="24"/>
        </w:rPr>
        <w:t>”</w:t>
      </w:r>
    </w:p>
    <w:p w14:paraId="19108CB4" w14:textId="68831A9B" w:rsidR="004F35E8" w:rsidRPr="00B31292" w:rsidRDefault="004F35E8" w:rsidP="003A4DBA">
      <w:pPr>
        <w:spacing w:after="0" w:line="240" w:lineRule="auto"/>
        <w:jc w:val="both"/>
        <w:rPr>
          <w:rFonts w:ascii="Garamond" w:hAnsi="Garamond" w:cs="Times New Roman"/>
          <w:b/>
          <w:i/>
          <w:sz w:val="24"/>
          <w:szCs w:val="24"/>
        </w:rPr>
      </w:pPr>
      <w:r w:rsidRPr="00B31292">
        <w:rPr>
          <w:rFonts w:ascii="Garamond" w:hAnsi="Garamond" w:cs="Times New Roman"/>
          <w:b/>
          <w:i/>
          <w:noProof/>
          <w:sz w:val="24"/>
          <w:szCs w:val="24"/>
          <w:lang w:val="en-US"/>
        </w:rPr>
        <w:lastRenderedPageBreak/>
        <w:drawing>
          <wp:inline distT="0" distB="0" distL="0" distR="0" wp14:anchorId="08A08CAC" wp14:editId="69C44EE6">
            <wp:extent cx="5731510" cy="4629150"/>
            <wp:effectExtent l="0" t="0" r="254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731510" cy="4629150"/>
                    </a:xfrm>
                    <a:prstGeom prst="rect">
                      <a:avLst/>
                    </a:prstGeom>
                  </pic:spPr>
                </pic:pic>
              </a:graphicData>
            </a:graphic>
          </wp:inline>
        </w:drawing>
      </w:r>
    </w:p>
    <w:p w14:paraId="55F51DB7" w14:textId="2111CEF6" w:rsidR="00064576" w:rsidRPr="00B31292" w:rsidRDefault="00064576" w:rsidP="003A4DBA">
      <w:pPr>
        <w:pStyle w:val="Heading2"/>
        <w:spacing w:before="0" w:line="240" w:lineRule="auto"/>
        <w:ind w:firstLine="284"/>
        <w:rPr>
          <w:rFonts w:ascii="Garamond" w:hAnsi="Garamond"/>
          <w:color w:val="auto"/>
          <w:sz w:val="24"/>
          <w:szCs w:val="24"/>
        </w:rPr>
      </w:pPr>
      <w:bookmarkStart w:id="40" w:name="_Toc182991974"/>
      <w:bookmarkEnd w:id="39"/>
      <w:r w:rsidRPr="00B31292">
        <w:rPr>
          <w:rFonts w:ascii="Garamond" w:hAnsi="Garamond"/>
          <w:color w:val="auto"/>
          <w:sz w:val="24"/>
          <w:szCs w:val="24"/>
        </w:rPr>
        <w:t xml:space="preserve">Fusha 4 </w:t>
      </w:r>
      <w:r w:rsidR="00BA12C3" w:rsidRPr="00B31292">
        <w:rPr>
          <w:rFonts w:ascii="Garamond" w:hAnsi="Garamond"/>
          <w:color w:val="auto"/>
          <w:sz w:val="24"/>
          <w:szCs w:val="24"/>
        </w:rPr>
        <w:t>“</w:t>
      </w:r>
      <w:r w:rsidRPr="00B31292">
        <w:rPr>
          <w:rFonts w:ascii="Garamond" w:hAnsi="Garamond"/>
          <w:color w:val="auto"/>
          <w:sz w:val="24"/>
          <w:szCs w:val="24"/>
        </w:rPr>
        <w:t xml:space="preserve">Statistikat e </w:t>
      </w:r>
      <w:r w:rsidR="00C05652" w:rsidRPr="00B31292">
        <w:rPr>
          <w:rFonts w:ascii="Garamond" w:hAnsi="Garamond"/>
          <w:color w:val="auto"/>
          <w:sz w:val="24"/>
          <w:szCs w:val="24"/>
        </w:rPr>
        <w:t>mjedisit dhe multidomain</w:t>
      </w:r>
      <w:r w:rsidR="00BA12C3" w:rsidRPr="00B31292">
        <w:rPr>
          <w:rFonts w:ascii="Garamond" w:hAnsi="Garamond"/>
          <w:color w:val="auto"/>
          <w:sz w:val="24"/>
          <w:szCs w:val="24"/>
        </w:rPr>
        <w:t>”</w:t>
      </w:r>
      <w:bookmarkEnd w:id="40"/>
    </w:p>
    <w:p w14:paraId="3781CB0D" w14:textId="433D6FC2" w:rsidR="00064576" w:rsidRPr="00B31292" w:rsidRDefault="00064576" w:rsidP="003A4DBA">
      <w:pPr>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Statistikat e mjedisit dhe multidomain përfshijnë statistikat e mjedisit dhe statistikat rajonale</w:t>
      </w:r>
      <w:r w:rsidR="00C05652" w:rsidRPr="00B31292">
        <w:rPr>
          <w:rFonts w:ascii="Garamond" w:hAnsi="Garamond" w:cs="Times New Roman"/>
          <w:sz w:val="24"/>
          <w:szCs w:val="24"/>
        </w:rPr>
        <w:t>,</w:t>
      </w:r>
      <w:r w:rsidRPr="00B31292">
        <w:rPr>
          <w:rFonts w:ascii="Garamond" w:hAnsi="Garamond" w:cs="Times New Roman"/>
          <w:sz w:val="24"/>
          <w:szCs w:val="24"/>
        </w:rPr>
        <w:t xml:space="preserve"> dhe gjeohapësinore. </w:t>
      </w:r>
    </w:p>
    <w:p w14:paraId="095775D6" w14:textId="1B13E4D8" w:rsidR="00064576" w:rsidRPr="00B31292" w:rsidRDefault="00064576" w:rsidP="003A4DBA">
      <w:pPr>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 xml:space="preserve">Qëllimi kryesor i statistikave të </w:t>
      </w:r>
      <w:r w:rsidR="00C05652" w:rsidRPr="00B31292">
        <w:rPr>
          <w:rFonts w:ascii="Garamond" w:hAnsi="Garamond" w:cs="Times New Roman"/>
          <w:sz w:val="24"/>
          <w:szCs w:val="24"/>
        </w:rPr>
        <w:t xml:space="preserve">mjedisit dhe multidomain </w:t>
      </w:r>
      <w:r w:rsidRPr="00B31292">
        <w:rPr>
          <w:rFonts w:ascii="Garamond" w:hAnsi="Garamond" w:cs="Times New Roman"/>
          <w:sz w:val="24"/>
          <w:szCs w:val="24"/>
        </w:rPr>
        <w:t>është sigurimi i të dhënave në kohë dhe me cilësi i treguesve statistikorë të cilët ndihmojnë në hartimin e politikave të përbashkëta mjedisore dhe socio-ekonomike, monitorimin dhe menaxhimin e këtyre fushave</w:t>
      </w:r>
      <w:r w:rsidR="004A1780" w:rsidRPr="00B31292">
        <w:rPr>
          <w:rFonts w:ascii="Garamond" w:hAnsi="Garamond" w:cs="Times New Roman"/>
          <w:sz w:val="24"/>
          <w:szCs w:val="24"/>
        </w:rPr>
        <w:t>. Gjithashtu</w:t>
      </w:r>
      <w:r w:rsidR="00C05652" w:rsidRPr="00B31292">
        <w:rPr>
          <w:rFonts w:ascii="Garamond" w:hAnsi="Garamond" w:cs="Times New Roman"/>
          <w:sz w:val="24"/>
          <w:szCs w:val="24"/>
        </w:rPr>
        <w:t>,</w:t>
      </w:r>
      <w:r w:rsidR="004A1780" w:rsidRPr="00B31292">
        <w:rPr>
          <w:rFonts w:ascii="Garamond" w:hAnsi="Garamond" w:cs="Times New Roman"/>
          <w:sz w:val="24"/>
          <w:szCs w:val="24"/>
        </w:rPr>
        <w:t xml:space="preserve"> në këtë fushë statistikore synohet dhe </w:t>
      </w:r>
      <w:r w:rsidRPr="00B31292">
        <w:rPr>
          <w:rFonts w:ascii="Garamond" w:hAnsi="Garamond" w:cs="Times New Roman"/>
          <w:sz w:val="24"/>
          <w:szCs w:val="24"/>
        </w:rPr>
        <w:t xml:space="preserve">integrimi </w:t>
      </w:r>
      <w:r w:rsidR="004A1780" w:rsidRPr="00B31292">
        <w:rPr>
          <w:rFonts w:ascii="Garamond" w:hAnsi="Garamond" w:cs="Times New Roman"/>
          <w:sz w:val="24"/>
          <w:szCs w:val="24"/>
        </w:rPr>
        <w:t>i</w:t>
      </w:r>
      <w:r w:rsidRPr="00B31292">
        <w:rPr>
          <w:rFonts w:ascii="Garamond" w:hAnsi="Garamond" w:cs="Times New Roman"/>
          <w:sz w:val="24"/>
          <w:szCs w:val="24"/>
        </w:rPr>
        <w:t xml:space="preserve"> informacionit statistikor dhe atij gjeohap</w:t>
      </w:r>
      <w:r w:rsidR="00AB06FA" w:rsidRPr="00B31292">
        <w:rPr>
          <w:rFonts w:ascii="Garamond" w:hAnsi="Garamond" w:cs="Times New Roman"/>
          <w:sz w:val="24"/>
          <w:szCs w:val="24"/>
        </w:rPr>
        <w:t>ë</w:t>
      </w:r>
      <w:r w:rsidRPr="00B31292">
        <w:rPr>
          <w:rFonts w:ascii="Garamond" w:hAnsi="Garamond" w:cs="Times New Roman"/>
          <w:sz w:val="24"/>
          <w:szCs w:val="24"/>
        </w:rPr>
        <w:t>sinor</w:t>
      </w:r>
      <w:r w:rsidR="004A1780" w:rsidRPr="00B31292">
        <w:rPr>
          <w:rFonts w:ascii="Garamond" w:hAnsi="Garamond" w:cs="Times New Roman"/>
          <w:sz w:val="24"/>
          <w:szCs w:val="24"/>
        </w:rPr>
        <w:t>,</w:t>
      </w:r>
      <w:r w:rsidRPr="00B31292">
        <w:rPr>
          <w:rFonts w:ascii="Garamond" w:hAnsi="Garamond" w:cs="Times New Roman"/>
          <w:sz w:val="24"/>
          <w:szCs w:val="24"/>
        </w:rPr>
        <w:t xml:space="preserve"> me anë të të cilit synohet sigurimi i numrit më të madh të mundshëm të statistikave të gjeoreferuara në kohë dhe cilësi nga fusha të ndryshme të </w:t>
      </w:r>
      <w:r w:rsidR="00E7317B" w:rsidRPr="00B31292">
        <w:rPr>
          <w:rFonts w:ascii="Garamond" w:hAnsi="Garamond" w:cs="Times New Roman"/>
          <w:sz w:val="24"/>
          <w:szCs w:val="24"/>
        </w:rPr>
        <w:t>statistikave në një nivel territorial të detajuar</w:t>
      </w:r>
      <w:r w:rsidRPr="00B31292">
        <w:rPr>
          <w:rFonts w:ascii="Garamond" w:hAnsi="Garamond" w:cs="Times New Roman"/>
          <w:sz w:val="24"/>
          <w:szCs w:val="24"/>
        </w:rPr>
        <w:t>.</w:t>
      </w:r>
    </w:p>
    <w:p w14:paraId="7B504A7C" w14:textId="2CBDC553" w:rsidR="0078132D" w:rsidRPr="00B31292" w:rsidRDefault="0078132D" w:rsidP="003A4DBA">
      <w:pPr>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Objektivi kryesor gjatë vitit 2025, për statistikat e mjedisit dhe multidomain</w:t>
      </w:r>
      <w:r w:rsidR="003372D5" w:rsidRPr="00B31292">
        <w:rPr>
          <w:rFonts w:ascii="Garamond" w:hAnsi="Garamond" w:cs="Times New Roman"/>
          <w:sz w:val="24"/>
          <w:szCs w:val="24"/>
        </w:rPr>
        <w:t xml:space="preserve"> është realizimi i të gjithë objektivave</w:t>
      </w:r>
      <w:r w:rsidR="00C05652" w:rsidRPr="00B31292">
        <w:rPr>
          <w:rFonts w:ascii="Garamond" w:hAnsi="Garamond" w:cs="Times New Roman"/>
          <w:sz w:val="24"/>
          <w:szCs w:val="24"/>
        </w:rPr>
        <w:t>,</w:t>
      </w:r>
      <w:r w:rsidR="003372D5" w:rsidRPr="00B31292">
        <w:rPr>
          <w:rFonts w:ascii="Garamond" w:hAnsi="Garamond" w:cs="Times New Roman"/>
          <w:sz w:val="24"/>
          <w:szCs w:val="24"/>
        </w:rPr>
        <w:t xml:space="preserve"> sipas Programit të Statistikave Zyrtare </w:t>
      </w:r>
      <w:r w:rsidR="002277EC" w:rsidRPr="00B31292">
        <w:rPr>
          <w:rFonts w:ascii="Garamond" w:hAnsi="Garamond" w:cs="Times New Roman"/>
          <w:sz w:val="24"/>
          <w:szCs w:val="24"/>
        </w:rPr>
        <w:t>2022–2026</w:t>
      </w:r>
      <w:r w:rsidR="00C05652" w:rsidRPr="00B31292">
        <w:rPr>
          <w:rFonts w:ascii="Garamond" w:hAnsi="Garamond" w:cs="Times New Roman"/>
          <w:sz w:val="24"/>
          <w:szCs w:val="24"/>
        </w:rPr>
        <w:t>,</w:t>
      </w:r>
      <w:r w:rsidR="003372D5" w:rsidRPr="00B31292">
        <w:rPr>
          <w:rFonts w:ascii="Garamond" w:hAnsi="Garamond" w:cs="Times New Roman"/>
          <w:sz w:val="24"/>
          <w:szCs w:val="24"/>
        </w:rPr>
        <w:t xml:space="preserve"> </w:t>
      </w:r>
      <w:r w:rsidR="00D53432" w:rsidRPr="00B31292">
        <w:rPr>
          <w:rFonts w:ascii="Garamond" w:hAnsi="Garamond" w:cs="Times New Roman"/>
          <w:sz w:val="24"/>
          <w:szCs w:val="24"/>
        </w:rPr>
        <w:t xml:space="preserve">me fokus </w:t>
      </w:r>
      <w:r w:rsidRPr="00B31292">
        <w:rPr>
          <w:rFonts w:ascii="Garamond" w:hAnsi="Garamond" w:cs="Times New Roman"/>
          <w:sz w:val="24"/>
          <w:szCs w:val="24"/>
        </w:rPr>
        <w:t>rritj</w:t>
      </w:r>
      <w:r w:rsidR="003372D5" w:rsidRPr="00B31292">
        <w:rPr>
          <w:rFonts w:ascii="Garamond" w:hAnsi="Garamond" w:cs="Times New Roman"/>
          <w:sz w:val="24"/>
          <w:szCs w:val="24"/>
        </w:rPr>
        <w:t>en</w:t>
      </w:r>
      <w:r w:rsidRPr="00B31292">
        <w:rPr>
          <w:rFonts w:ascii="Garamond" w:hAnsi="Garamond" w:cs="Times New Roman"/>
          <w:sz w:val="24"/>
          <w:szCs w:val="24"/>
        </w:rPr>
        <w:t xml:space="preserve"> e cilësisë dhe plotshmërisë së serive kohore për treguesit me frekuencë vjetore, të lidhur në veçanti me statistikat e mbetjeve dhe statistikat e ujit</w:t>
      </w:r>
      <w:r w:rsidR="003372D5" w:rsidRPr="00B31292">
        <w:rPr>
          <w:rFonts w:ascii="Garamond" w:hAnsi="Garamond" w:cs="Times New Roman"/>
          <w:sz w:val="24"/>
          <w:szCs w:val="24"/>
        </w:rPr>
        <w:t xml:space="preserve">, </w:t>
      </w:r>
      <w:r w:rsidRPr="00B31292">
        <w:rPr>
          <w:rFonts w:ascii="Garamond" w:hAnsi="Garamond" w:cs="Times New Roman"/>
          <w:sz w:val="24"/>
          <w:szCs w:val="24"/>
        </w:rPr>
        <w:t>si dhe finalizimi i ngritjes së</w:t>
      </w:r>
      <w:r w:rsidR="002E2911" w:rsidRPr="00B31292">
        <w:rPr>
          <w:rFonts w:ascii="Garamond" w:hAnsi="Garamond" w:cs="Times New Roman"/>
          <w:sz w:val="24"/>
          <w:szCs w:val="24"/>
        </w:rPr>
        <w:t xml:space="preserve"> </w:t>
      </w:r>
      <w:r w:rsidRPr="00B31292">
        <w:rPr>
          <w:rFonts w:ascii="Garamond" w:hAnsi="Garamond" w:cs="Times New Roman"/>
          <w:sz w:val="24"/>
          <w:szCs w:val="24"/>
        </w:rPr>
        <w:t xml:space="preserve">infrastrukturës së </w:t>
      </w:r>
      <w:r w:rsidR="00C05652" w:rsidRPr="00B31292">
        <w:rPr>
          <w:rFonts w:ascii="Garamond" w:hAnsi="Garamond" w:cs="Times New Roman"/>
          <w:sz w:val="24"/>
          <w:szCs w:val="24"/>
        </w:rPr>
        <w:t>t</w:t>
      </w:r>
      <w:r w:rsidRPr="00B31292">
        <w:rPr>
          <w:rFonts w:ascii="Garamond" w:hAnsi="Garamond" w:cs="Times New Roman"/>
          <w:sz w:val="24"/>
          <w:szCs w:val="24"/>
        </w:rPr>
        <w:t xml:space="preserve">eknologjisë së </w:t>
      </w:r>
      <w:r w:rsidR="00C05652" w:rsidRPr="00B31292">
        <w:rPr>
          <w:rFonts w:ascii="Garamond" w:hAnsi="Garamond" w:cs="Times New Roman"/>
          <w:sz w:val="24"/>
          <w:szCs w:val="24"/>
        </w:rPr>
        <w:t>i</w:t>
      </w:r>
      <w:r w:rsidRPr="00B31292">
        <w:rPr>
          <w:rFonts w:ascii="Garamond" w:hAnsi="Garamond" w:cs="Times New Roman"/>
          <w:sz w:val="24"/>
          <w:szCs w:val="24"/>
        </w:rPr>
        <w:t>nformacionit për regjistrin statistikor të ndërtesave dhe banesave (RSNB/ASRBD).</w:t>
      </w:r>
    </w:p>
    <w:p w14:paraId="52467CA5" w14:textId="6ADFB17C" w:rsidR="00064576" w:rsidRPr="00B31292" w:rsidRDefault="00064576" w:rsidP="003A4DBA">
      <w:pPr>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Agjencia statistikore përgjegjëse: INSTAT</w:t>
      </w:r>
      <w:r w:rsidR="00C05652" w:rsidRPr="00B31292">
        <w:rPr>
          <w:rFonts w:ascii="Garamond" w:hAnsi="Garamond" w:cs="Times New Roman"/>
          <w:sz w:val="24"/>
          <w:szCs w:val="24"/>
        </w:rPr>
        <w:t>-i</w:t>
      </w:r>
    </w:p>
    <w:p w14:paraId="75289AAF" w14:textId="5BB1D5E2" w:rsidR="00064576" w:rsidRPr="00B31292" w:rsidRDefault="00064576" w:rsidP="003A4DBA">
      <w:pPr>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Tabela nr. 1</w:t>
      </w:r>
      <w:r w:rsidR="00871A6D">
        <w:rPr>
          <w:rFonts w:ascii="Garamond" w:hAnsi="Garamond" w:cs="Times New Roman"/>
          <w:sz w:val="24"/>
          <w:szCs w:val="24"/>
        </w:rPr>
        <w:t>7</w:t>
      </w:r>
      <w:r w:rsidRPr="00B31292">
        <w:rPr>
          <w:rFonts w:ascii="Garamond" w:hAnsi="Garamond" w:cs="Times New Roman"/>
          <w:sz w:val="24"/>
          <w:szCs w:val="24"/>
        </w:rPr>
        <w:t xml:space="preserve"> paraqet numrin e aktiviteteve të kësaj fushe, për kategoritë: periodiciteti/burimi i të dhënave/niveli minimal i publikimit/institucioni përgjegjës.</w:t>
      </w:r>
    </w:p>
    <w:p w14:paraId="05D5C939" w14:textId="77777777" w:rsidR="00EE716C" w:rsidRPr="00B31292" w:rsidRDefault="00EE716C" w:rsidP="007843CA">
      <w:pPr>
        <w:spacing w:after="0" w:line="240" w:lineRule="auto"/>
        <w:jc w:val="both"/>
        <w:rPr>
          <w:rFonts w:ascii="Garamond" w:hAnsi="Garamond" w:cs="Times New Roman"/>
          <w:b/>
          <w:i/>
          <w:sz w:val="10"/>
          <w:szCs w:val="10"/>
        </w:rPr>
      </w:pPr>
    </w:p>
    <w:p w14:paraId="2434887E" w14:textId="1F28FC3B" w:rsidR="00064576" w:rsidRPr="00B31292" w:rsidRDefault="00064576" w:rsidP="003A4DBA">
      <w:pPr>
        <w:spacing w:after="0" w:line="240" w:lineRule="auto"/>
        <w:ind w:firstLine="284"/>
        <w:jc w:val="both"/>
        <w:rPr>
          <w:rFonts w:ascii="Garamond" w:hAnsi="Garamond" w:cs="Times New Roman"/>
          <w:bCs/>
          <w:i/>
          <w:sz w:val="24"/>
          <w:szCs w:val="24"/>
        </w:rPr>
      </w:pPr>
      <w:r w:rsidRPr="00B31292">
        <w:rPr>
          <w:rFonts w:ascii="Garamond" w:hAnsi="Garamond" w:cs="Times New Roman"/>
          <w:bCs/>
          <w:i/>
          <w:sz w:val="24"/>
          <w:szCs w:val="24"/>
        </w:rPr>
        <w:t>Tabela nr. 1</w:t>
      </w:r>
      <w:r w:rsidR="00871A6D">
        <w:rPr>
          <w:rFonts w:ascii="Garamond" w:hAnsi="Garamond" w:cs="Times New Roman"/>
          <w:bCs/>
          <w:i/>
          <w:sz w:val="24"/>
          <w:szCs w:val="24"/>
        </w:rPr>
        <w:t>7</w:t>
      </w:r>
      <w:r w:rsidR="007843CA" w:rsidRPr="00B31292">
        <w:rPr>
          <w:rFonts w:ascii="Garamond" w:hAnsi="Garamond" w:cs="Times New Roman"/>
          <w:bCs/>
          <w:i/>
          <w:sz w:val="24"/>
          <w:szCs w:val="24"/>
        </w:rPr>
        <w:t>:</w:t>
      </w:r>
      <w:r w:rsidR="00F4118E" w:rsidRPr="00B31292">
        <w:rPr>
          <w:rFonts w:ascii="Garamond" w:hAnsi="Garamond" w:cs="Times New Roman"/>
          <w:bCs/>
          <w:i/>
          <w:sz w:val="24"/>
          <w:szCs w:val="24"/>
        </w:rPr>
        <w:t xml:space="preserve"> </w:t>
      </w:r>
      <w:r w:rsidRPr="00B31292">
        <w:rPr>
          <w:rFonts w:ascii="Garamond" w:hAnsi="Garamond" w:cs="Times New Roman"/>
          <w:bCs/>
          <w:i/>
          <w:sz w:val="24"/>
          <w:szCs w:val="24"/>
        </w:rPr>
        <w:t xml:space="preserve">Përmbledhje e numrit të aktiviteteve për </w:t>
      </w:r>
      <w:r w:rsidR="007843CA" w:rsidRPr="00B31292">
        <w:rPr>
          <w:rFonts w:ascii="Garamond" w:hAnsi="Garamond" w:cs="Times New Roman"/>
          <w:bCs/>
          <w:i/>
          <w:sz w:val="24"/>
          <w:szCs w:val="24"/>
        </w:rPr>
        <w:t>f</w:t>
      </w:r>
      <w:r w:rsidRPr="00B31292">
        <w:rPr>
          <w:rFonts w:ascii="Garamond" w:hAnsi="Garamond" w:cs="Times New Roman"/>
          <w:bCs/>
          <w:i/>
          <w:sz w:val="24"/>
          <w:szCs w:val="24"/>
        </w:rPr>
        <w:t xml:space="preserve">ushën </w:t>
      </w:r>
      <w:r w:rsidR="00BA12C3" w:rsidRPr="00B31292">
        <w:rPr>
          <w:rFonts w:ascii="Garamond" w:hAnsi="Garamond" w:cs="Times New Roman"/>
          <w:bCs/>
          <w:i/>
          <w:sz w:val="24"/>
          <w:szCs w:val="24"/>
        </w:rPr>
        <w:t>“</w:t>
      </w:r>
      <w:r w:rsidRPr="00B31292">
        <w:rPr>
          <w:rFonts w:ascii="Garamond" w:hAnsi="Garamond" w:cs="Times New Roman"/>
          <w:bCs/>
          <w:i/>
          <w:sz w:val="24"/>
          <w:szCs w:val="24"/>
        </w:rPr>
        <w:t xml:space="preserve">Statistikat e </w:t>
      </w:r>
      <w:r w:rsidR="00C05652" w:rsidRPr="00B31292">
        <w:rPr>
          <w:rFonts w:ascii="Garamond" w:hAnsi="Garamond" w:cs="Times New Roman"/>
          <w:bCs/>
          <w:i/>
          <w:sz w:val="24"/>
          <w:szCs w:val="24"/>
        </w:rPr>
        <w:t>mjedisit dhe multidomain</w:t>
      </w:r>
      <w:r w:rsidR="00BA12C3" w:rsidRPr="00B31292">
        <w:rPr>
          <w:rFonts w:ascii="Garamond" w:hAnsi="Garamond" w:cs="Times New Roman"/>
          <w:bCs/>
          <w:i/>
          <w:sz w:val="24"/>
          <w:szCs w:val="24"/>
        </w:rPr>
        <w:t>”</w:t>
      </w:r>
    </w:p>
    <w:p w14:paraId="2C90B949" w14:textId="519DB09A" w:rsidR="004F35E8" w:rsidRPr="00B31292" w:rsidRDefault="004F35E8" w:rsidP="003A4DBA">
      <w:pPr>
        <w:spacing w:after="0" w:line="240" w:lineRule="auto"/>
        <w:ind w:firstLine="284"/>
        <w:jc w:val="both"/>
        <w:rPr>
          <w:rFonts w:ascii="Garamond" w:hAnsi="Garamond" w:cs="Times New Roman"/>
          <w:sz w:val="24"/>
          <w:szCs w:val="24"/>
        </w:rPr>
      </w:pPr>
      <w:r w:rsidRPr="00B31292">
        <w:rPr>
          <w:rFonts w:ascii="Garamond" w:hAnsi="Garamond" w:cs="Times New Roman"/>
          <w:noProof/>
          <w:sz w:val="24"/>
          <w:szCs w:val="24"/>
          <w:lang w:val="en-US"/>
        </w:rPr>
        <w:lastRenderedPageBreak/>
        <w:drawing>
          <wp:inline distT="0" distB="0" distL="0" distR="0" wp14:anchorId="298CEFFE" wp14:editId="7911BD07">
            <wp:extent cx="5731510" cy="1645285"/>
            <wp:effectExtent l="0" t="0" r="254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731510" cy="1645285"/>
                    </a:xfrm>
                    <a:prstGeom prst="rect">
                      <a:avLst/>
                    </a:prstGeom>
                  </pic:spPr>
                </pic:pic>
              </a:graphicData>
            </a:graphic>
          </wp:inline>
        </w:drawing>
      </w:r>
    </w:p>
    <w:p w14:paraId="712B8D97" w14:textId="12DCE64A" w:rsidR="00064576" w:rsidRPr="00B31292" w:rsidRDefault="00064576" w:rsidP="003A4DBA">
      <w:pPr>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*M-mujor; T-</w:t>
      </w:r>
      <w:r w:rsidR="00C05652" w:rsidRPr="00B31292">
        <w:rPr>
          <w:rFonts w:ascii="Garamond" w:hAnsi="Garamond" w:cs="Times New Roman"/>
          <w:sz w:val="24"/>
          <w:szCs w:val="24"/>
        </w:rPr>
        <w:t>tremujor</w:t>
      </w:r>
      <w:r w:rsidRPr="00B31292">
        <w:rPr>
          <w:rFonts w:ascii="Garamond" w:hAnsi="Garamond" w:cs="Times New Roman"/>
          <w:sz w:val="24"/>
          <w:szCs w:val="24"/>
        </w:rPr>
        <w:t>; V-</w:t>
      </w:r>
      <w:r w:rsidR="00C05652" w:rsidRPr="00B31292">
        <w:rPr>
          <w:rFonts w:ascii="Garamond" w:hAnsi="Garamond" w:cs="Times New Roman"/>
          <w:sz w:val="24"/>
          <w:szCs w:val="24"/>
        </w:rPr>
        <w:t>vjetor</w:t>
      </w:r>
      <w:r w:rsidRPr="00B31292">
        <w:rPr>
          <w:rFonts w:ascii="Garamond" w:hAnsi="Garamond" w:cs="Times New Roman"/>
          <w:sz w:val="24"/>
          <w:szCs w:val="24"/>
        </w:rPr>
        <w:t xml:space="preserve">; </w:t>
      </w:r>
    </w:p>
    <w:p w14:paraId="2EE3D3D7" w14:textId="1BBD332F" w:rsidR="00064576" w:rsidRPr="00B31292" w:rsidRDefault="00064576" w:rsidP="003A4DBA">
      <w:pPr>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 VS-</w:t>
      </w:r>
      <w:r w:rsidR="00C05652" w:rsidRPr="00B31292">
        <w:rPr>
          <w:rFonts w:ascii="Garamond" w:hAnsi="Garamond" w:cs="Times New Roman"/>
          <w:sz w:val="24"/>
          <w:szCs w:val="24"/>
        </w:rPr>
        <w:t>vrojtim statistikor</w:t>
      </w:r>
      <w:r w:rsidRPr="00B31292">
        <w:rPr>
          <w:rFonts w:ascii="Garamond" w:hAnsi="Garamond" w:cs="Times New Roman"/>
          <w:sz w:val="24"/>
          <w:szCs w:val="24"/>
        </w:rPr>
        <w:t>; BA-</w:t>
      </w:r>
      <w:r w:rsidR="00C05652" w:rsidRPr="00B31292">
        <w:rPr>
          <w:rFonts w:ascii="Garamond" w:hAnsi="Garamond" w:cs="Times New Roman"/>
          <w:sz w:val="24"/>
          <w:szCs w:val="24"/>
        </w:rPr>
        <w:t>burim administrativ</w:t>
      </w:r>
      <w:r w:rsidRPr="00B31292">
        <w:rPr>
          <w:rFonts w:ascii="Garamond" w:hAnsi="Garamond" w:cs="Times New Roman"/>
          <w:sz w:val="24"/>
          <w:szCs w:val="24"/>
        </w:rPr>
        <w:t>; NA-</w:t>
      </w:r>
      <w:r w:rsidR="00C05652" w:rsidRPr="00B31292">
        <w:rPr>
          <w:rFonts w:ascii="Garamond" w:hAnsi="Garamond" w:cs="Times New Roman"/>
          <w:sz w:val="24"/>
          <w:szCs w:val="24"/>
        </w:rPr>
        <w:t xml:space="preserve">nuk </w:t>
      </w:r>
      <w:r w:rsidRPr="00B31292">
        <w:rPr>
          <w:rFonts w:ascii="Garamond" w:hAnsi="Garamond" w:cs="Times New Roman"/>
          <w:sz w:val="24"/>
          <w:szCs w:val="24"/>
        </w:rPr>
        <w:t>aplikohet.</w:t>
      </w:r>
    </w:p>
    <w:p w14:paraId="1A1480BB" w14:textId="790B97F0" w:rsidR="00675AE2" w:rsidRPr="00B31292" w:rsidRDefault="00675AE2" w:rsidP="003A4DBA">
      <w:pPr>
        <w:keepNext/>
        <w:keepLines/>
        <w:spacing w:after="0" w:line="240" w:lineRule="auto"/>
        <w:ind w:firstLine="284"/>
        <w:outlineLvl w:val="4"/>
        <w:rPr>
          <w:rFonts w:ascii="Garamond" w:eastAsia="Times New Roman" w:hAnsi="Garamond" w:cs="Times New Roman"/>
          <w:b/>
          <w:iCs/>
          <w:sz w:val="24"/>
          <w:szCs w:val="24"/>
        </w:rPr>
      </w:pPr>
      <w:bookmarkStart w:id="41" w:name="_Toc89368106"/>
      <w:r w:rsidRPr="00B31292">
        <w:rPr>
          <w:rFonts w:ascii="Garamond" w:eastAsia="Times New Roman" w:hAnsi="Garamond" w:cs="Times New Roman"/>
          <w:b/>
          <w:iCs/>
          <w:sz w:val="24"/>
          <w:szCs w:val="24"/>
        </w:rPr>
        <w:t xml:space="preserve">Tema 4.1 </w:t>
      </w:r>
      <w:r w:rsidR="00BA12C3" w:rsidRPr="00B31292">
        <w:rPr>
          <w:rFonts w:ascii="Garamond" w:eastAsia="Times New Roman" w:hAnsi="Garamond" w:cs="Times New Roman"/>
          <w:b/>
          <w:iCs/>
          <w:sz w:val="24"/>
          <w:szCs w:val="24"/>
        </w:rPr>
        <w:t>“</w:t>
      </w:r>
      <w:r w:rsidRPr="00B31292">
        <w:rPr>
          <w:rFonts w:ascii="Garamond" w:eastAsia="Times New Roman" w:hAnsi="Garamond" w:cs="Times New Roman"/>
          <w:b/>
          <w:iCs/>
          <w:sz w:val="24"/>
          <w:szCs w:val="24"/>
        </w:rPr>
        <w:t>Mjedisi</w:t>
      </w:r>
      <w:r w:rsidR="00BA12C3" w:rsidRPr="00B31292">
        <w:rPr>
          <w:rFonts w:ascii="Garamond" w:eastAsia="Times New Roman" w:hAnsi="Garamond" w:cs="Times New Roman"/>
          <w:b/>
          <w:iCs/>
          <w:sz w:val="24"/>
          <w:szCs w:val="24"/>
        </w:rPr>
        <w:t>”</w:t>
      </w:r>
    </w:p>
    <w:p w14:paraId="1F9B3537" w14:textId="77777777" w:rsidR="00675AE2" w:rsidRPr="00B31292" w:rsidRDefault="00675AE2" w:rsidP="003A4DBA">
      <w:pPr>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Statistikat e mjedisit parashikohet të prodhohen sipas këtyre nëntemave:</w:t>
      </w:r>
    </w:p>
    <w:p w14:paraId="20554A10" w14:textId="31D7C7B2" w:rsidR="00675AE2" w:rsidRPr="00B31292" w:rsidRDefault="00675AE2" w:rsidP="003A4DBA">
      <w:pPr>
        <w:spacing w:after="0" w:line="240" w:lineRule="auto"/>
        <w:ind w:firstLine="284"/>
        <w:jc w:val="both"/>
        <w:rPr>
          <w:rFonts w:ascii="Garamond" w:hAnsi="Garamond" w:cs="Times New Roman"/>
          <w:sz w:val="24"/>
          <w:szCs w:val="24"/>
        </w:rPr>
      </w:pPr>
      <w:r w:rsidRPr="00B31292">
        <w:rPr>
          <w:rFonts w:ascii="Garamond" w:hAnsi="Garamond" w:cs="Times New Roman"/>
          <w:i/>
          <w:sz w:val="24"/>
          <w:szCs w:val="24"/>
        </w:rPr>
        <w:t xml:space="preserve">4.1.1 </w:t>
      </w:r>
      <w:r w:rsidR="00BA12C3" w:rsidRPr="00B31292">
        <w:rPr>
          <w:rFonts w:ascii="Garamond" w:hAnsi="Garamond" w:cs="Times New Roman"/>
          <w:i/>
          <w:sz w:val="24"/>
          <w:szCs w:val="24"/>
        </w:rPr>
        <w:t>“</w:t>
      </w:r>
      <w:r w:rsidRPr="00B31292">
        <w:rPr>
          <w:rFonts w:ascii="Garamond" w:hAnsi="Garamond" w:cs="Times New Roman"/>
          <w:i/>
          <w:sz w:val="24"/>
          <w:szCs w:val="24"/>
        </w:rPr>
        <w:t xml:space="preserve">Llogaritë </w:t>
      </w:r>
      <w:r w:rsidR="00C05652" w:rsidRPr="00B31292">
        <w:rPr>
          <w:rFonts w:ascii="Garamond" w:hAnsi="Garamond" w:cs="Times New Roman"/>
          <w:i/>
          <w:sz w:val="24"/>
          <w:szCs w:val="24"/>
        </w:rPr>
        <w:t>monetare mjedisore</w:t>
      </w:r>
      <w:r w:rsidR="00BA12C3" w:rsidRPr="00B31292">
        <w:rPr>
          <w:rFonts w:ascii="Garamond" w:hAnsi="Garamond" w:cs="Times New Roman"/>
          <w:i/>
          <w:sz w:val="24"/>
          <w:szCs w:val="24"/>
        </w:rPr>
        <w:t>”</w:t>
      </w:r>
      <w:r w:rsidR="00486B08" w:rsidRPr="00B31292">
        <w:rPr>
          <w:rFonts w:ascii="Garamond" w:hAnsi="Garamond" w:cs="Times New Roman"/>
          <w:i/>
          <w:sz w:val="24"/>
          <w:szCs w:val="24"/>
        </w:rPr>
        <w:t xml:space="preserve">, </w:t>
      </w:r>
      <w:r w:rsidR="00486B08" w:rsidRPr="00B31292">
        <w:rPr>
          <w:rFonts w:ascii="Garamond" w:hAnsi="Garamond" w:cs="Times New Roman"/>
          <w:sz w:val="24"/>
          <w:szCs w:val="24"/>
        </w:rPr>
        <w:t>s</w:t>
      </w:r>
      <w:r w:rsidRPr="00B31292">
        <w:rPr>
          <w:rFonts w:ascii="Garamond" w:hAnsi="Garamond" w:cs="Times New Roman"/>
          <w:sz w:val="24"/>
          <w:szCs w:val="24"/>
        </w:rPr>
        <w:t>ipas kësaj nënteme, INSTAT</w:t>
      </w:r>
      <w:r w:rsidR="007843CA" w:rsidRPr="00B31292">
        <w:rPr>
          <w:rFonts w:ascii="Garamond" w:hAnsi="Garamond" w:cs="Times New Roman"/>
          <w:sz w:val="24"/>
          <w:szCs w:val="24"/>
        </w:rPr>
        <w:t>-i</w:t>
      </w:r>
      <w:r w:rsidRPr="00B31292">
        <w:rPr>
          <w:rFonts w:ascii="Garamond" w:hAnsi="Garamond" w:cs="Times New Roman"/>
          <w:sz w:val="24"/>
          <w:szCs w:val="24"/>
        </w:rPr>
        <w:t xml:space="preserve"> do të prodhojë statistika mbi </w:t>
      </w:r>
      <w:r w:rsidR="00C05652" w:rsidRPr="00B31292">
        <w:rPr>
          <w:rFonts w:ascii="Garamond" w:hAnsi="Garamond" w:cs="Times New Roman"/>
          <w:sz w:val="24"/>
          <w:szCs w:val="24"/>
        </w:rPr>
        <w:t>llogaritë monetare mjedisore</w:t>
      </w:r>
      <w:r w:rsidRPr="00B31292">
        <w:rPr>
          <w:rFonts w:ascii="Garamond" w:hAnsi="Garamond" w:cs="Times New Roman"/>
          <w:sz w:val="24"/>
          <w:szCs w:val="24"/>
        </w:rPr>
        <w:t>,</w:t>
      </w:r>
      <w:r w:rsidR="009D2D10" w:rsidRPr="00B31292">
        <w:rPr>
          <w:rFonts w:ascii="Garamond" w:hAnsi="Garamond" w:cs="Times New Roman"/>
          <w:sz w:val="24"/>
          <w:szCs w:val="24"/>
        </w:rPr>
        <w:t xml:space="preserve"> </w:t>
      </w:r>
      <w:r w:rsidRPr="00B31292">
        <w:rPr>
          <w:rFonts w:ascii="Garamond" w:hAnsi="Garamond" w:cs="Times New Roman"/>
          <w:sz w:val="24"/>
          <w:szCs w:val="24"/>
        </w:rPr>
        <w:t>me frekuencë vjetore,</w:t>
      </w:r>
      <w:r w:rsidR="00745EE4" w:rsidRPr="00B31292">
        <w:rPr>
          <w:rFonts w:ascii="Garamond" w:hAnsi="Garamond" w:cs="Times New Roman"/>
          <w:sz w:val="24"/>
          <w:szCs w:val="24"/>
        </w:rPr>
        <w:t xml:space="preserve"> </w:t>
      </w:r>
      <w:r w:rsidRPr="00B31292">
        <w:rPr>
          <w:rFonts w:ascii="Garamond" w:hAnsi="Garamond" w:cs="Times New Roman"/>
          <w:sz w:val="24"/>
          <w:szCs w:val="24"/>
        </w:rPr>
        <w:t>të siguruara nga burime administrative, duke shfrytëzuar të dhënat e disponueshme në INSTAT</w:t>
      </w:r>
      <w:r w:rsidR="00F461BF" w:rsidRPr="00B31292">
        <w:rPr>
          <w:rFonts w:ascii="Garamond" w:hAnsi="Garamond" w:cs="Times New Roman"/>
          <w:sz w:val="24"/>
          <w:szCs w:val="24"/>
        </w:rPr>
        <w:t xml:space="preserve"> (</w:t>
      </w:r>
      <w:r w:rsidRPr="00B31292">
        <w:rPr>
          <w:rFonts w:ascii="Garamond" w:hAnsi="Garamond" w:cs="Times New Roman"/>
          <w:sz w:val="24"/>
          <w:szCs w:val="24"/>
        </w:rPr>
        <w:t>kryesisht të dhënat e siguruara nga Drejtoria e Llogarive Kombëtare</w:t>
      </w:r>
      <w:r w:rsidR="00F461BF" w:rsidRPr="00B31292">
        <w:rPr>
          <w:rFonts w:ascii="Garamond" w:hAnsi="Garamond" w:cs="Times New Roman"/>
          <w:sz w:val="24"/>
          <w:szCs w:val="24"/>
        </w:rPr>
        <w:t>) dhe</w:t>
      </w:r>
      <w:r w:rsidRPr="00B31292">
        <w:rPr>
          <w:rFonts w:ascii="Garamond" w:hAnsi="Garamond" w:cs="Times New Roman"/>
          <w:sz w:val="24"/>
          <w:szCs w:val="24"/>
        </w:rPr>
        <w:t xml:space="preserve"> duke i shpërndarë këto të dhëna sipas kërkesave dhe metodologjisë evropiane. </w:t>
      </w:r>
    </w:p>
    <w:p w14:paraId="0306FB71" w14:textId="4225B796" w:rsidR="00675AE2" w:rsidRPr="00B31292" w:rsidRDefault="00675AE2" w:rsidP="003A4DBA">
      <w:pPr>
        <w:spacing w:after="0" w:line="240" w:lineRule="auto"/>
        <w:ind w:firstLine="284"/>
        <w:jc w:val="both"/>
        <w:rPr>
          <w:rFonts w:ascii="Garamond" w:hAnsi="Garamond" w:cs="Times New Roman"/>
          <w:sz w:val="24"/>
          <w:szCs w:val="24"/>
        </w:rPr>
      </w:pPr>
      <w:r w:rsidRPr="00B31292">
        <w:rPr>
          <w:rFonts w:ascii="Garamond" w:hAnsi="Garamond" w:cs="Times New Roman"/>
          <w:i/>
          <w:sz w:val="24"/>
          <w:szCs w:val="24"/>
        </w:rPr>
        <w:t xml:space="preserve">4.1.2 </w:t>
      </w:r>
      <w:r w:rsidR="00BA12C3" w:rsidRPr="00B31292">
        <w:rPr>
          <w:rFonts w:ascii="Garamond" w:hAnsi="Garamond" w:cs="Times New Roman"/>
          <w:i/>
          <w:sz w:val="24"/>
          <w:szCs w:val="24"/>
        </w:rPr>
        <w:t>“</w:t>
      </w:r>
      <w:r w:rsidRPr="00B31292">
        <w:rPr>
          <w:rFonts w:ascii="Garamond" w:hAnsi="Garamond" w:cs="Times New Roman"/>
          <w:i/>
          <w:sz w:val="24"/>
          <w:szCs w:val="24"/>
        </w:rPr>
        <w:t xml:space="preserve">Llogaritë </w:t>
      </w:r>
      <w:r w:rsidR="00C05652" w:rsidRPr="00B31292">
        <w:rPr>
          <w:rFonts w:ascii="Garamond" w:hAnsi="Garamond" w:cs="Times New Roman"/>
          <w:i/>
          <w:sz w:val="24"/>
          <w:szCs w:val="24"/>
        </w:rPr>
        <w:t>fizike mjedisore</w:t>
      </w:r>
      <w:r w:rsidR="00BA12C3" w:rsidRPr="00B31292">
        <w:rPr>
          <w:rFonts w:ascii="Garamond" w:hAnsi="Garamond" w:cs="Times New Roman"/>
          <w:i/>
          <w:sz w:val="24"/>
          <w:szCs w:val="24"/>
        </w:rPr>
        <w:t>”</w:t>
      </w:r>
      <w:r w:rsidRPr="00B31292">
        <w:rPr>
          <w:rFonts w:ascii="Garamond" w:hAnsi="Garamond" w:cs="Times New Roman"/>
          <w:sz w:val="24"/>
          <w:szCs w:val="24"/>
        </w:rPr>
        <w:t xml:space="preserve">, sipas </w:t>
      </w:r>
      <w:r w:rsidR="004C622C" w:rsidRPr="00B31292">
        <w:rPr>
          <w:rFonts w:ascii="Garamond" w:hAnsi="Garamond" w:cs="Times New Roman"/>
          <w:sz w:val="24"/>
          <w:szCs w:val="24"/>
        </w:rPr>
        <w:t>s</w:t>
      </w:r>
      <w:r w:rsidRPr="00B31292">
        <w:rPr>
          <w:rFonts w:ascii="Garamond" w:hAnsi="Garamond" w:cs="Times New Roman"/>
          <w:sz w:val="24"/>
          <w:szCs w:val="24"/>
        </w:rPr>
        <w:t>ë cilës INSTAT</w:t>
      </w:r>
      <w:r w:rsidR="007843CA" w:rsidRPr="00B31292">
        <w:rPr>
          <w:rFonts w:ascii="Garamond" w:hAnsi="Garamond" w:cs="Times New Roman"/>
          <w:sz w:val="24"/>
          <w:szCs w:val="24"/>
        </w:rPr>
        <w:t>-i</w:t>
      </w:r>
      <w:r w:rsidRPr="00B31292">
        <w:rPr>
          <w:rFonts w:ascii="Garamond" w:hAnsi="Garamond" w:cs="Times New Roman"/>
          <w:sz w:val="24"/>
          <w:szCs w:val="24"/>
        </w:rPr>
        <w:t xml:space="preserve"> do të realizojë aktivitetin </w:t>
      </w:r>
      <w:r w:rsidR="00BA12C3" w:rsidRPr="00B31292">
        <w:rPr>
          <w:rFonts w:ascii="Garamond" w:hAnsi="Garamond" w:cs="Times New Roman"/>
          <w:sz w:val="24"/>
          <w:szCs w:val="24"/>
        </w:rPr>
        <w:t>“</w:t>
      </w:r>
      <w:r w:rsidRPr="00B31292">
        <w:rPr>
          <w:rFonts w:ascii="Garamond" w:hAnsi="Garamond" w:cs="Times New Roman"/>
          <w:sz w:val="24"/>
          <w:szCs w:val="24"/>
        </w:rPr>
        <w:t xml:space="preserve">Llogaritë </w:t>
      </w:r>
      <w:r w:rsidR="00C05652" w:rsidRPr="00B31292">
        <w:rPr>
          <w:rFonts w:ascii="Garamond" w:hAnsi="Garamond" w:cs="Times New Roman"/>
          <w:sz w:val="24"/>
          <w:szCs w:val="24"/>
        </w:rPr>
        <w:t xml:space="preserve">fizike mjedisore” të gjeneruara </w:t>
      </w:r>
      <w:r w:rsidRPr="00B31292">
        <w:rPr>
          <w:rFonts w:ascii="Garamond" w:hAnsi="Garamond" w:cs="Times New Roman"/>
          <w:sz w:val="24"/>
          <w:szCs w:val="24"/>
        </w:rPr>
        <w:t>nga burimi administrativ</w:t>
      </w:r>
      <w:r w:rsidR="00E74AA8" w:rsidRPr="00B31292">
        <w:rPr>
          <w:rFonts w:ascii="Garamond" w:hAnsi="Garamond" w:cs="Times New Roman"/>
          <w:sz w:val="24"/>
          <w:szCs w:val="24"/>
        </w:rPr>
        <w:t xml:space="preserve"> dhe</w:t>
      </w:r>
      <w:r w:rsidRPr="00B31292">
        <w:rPr>
          <w:rFonts w:ascii="Garamond" w:hAnsi="Garamond" w:cs="Times New Roman"/>
          <w:sz w:val="24"/>
          <w:szCs w:val="24"/>
        </w:rPr>
        <w:t xml:space="preserve"> duke përpunuar të dhënat statistikore të siguruara nga</w:t>
      </w:r>
      <w:r w:rsidR="00FD0F0E" w:rsidRPr="00B31292">
        <w:rPr>
          <w:rFonts w:ascii="Garamond" w:hAnsi="Garamond" w:cs="Times New Roman"/>
          <w:sz w:val="24"/>
          <w:szCs w:val="24"/>
        </w:rPr>
        <w:t xml:space="preserve"> </w:t>
      </w:r>
      <w:r w:rsidRPr="00B31292">
        <w:rPr>
          <w:rFonts w:ascii="Garamond" w:hAnsi="Garamond" w:cs="Times New Roman"/>
          <w:sz w:val="24"/>
          <w:szCs w:val="24"/>
        </w:rPr>
        <w:t>Agjencia Kombëtare e Burimeve Natyrore, Agjencia e Menaxhimit të Burimeve Ujore</w:t>
      </w:r>
      <w:r w:rsidR="00EE04FC" w:rsidRPr="00B31292">
        <w:rPr>
          <w:rFonts w:ascii="Garamond" w:hAnsi="Garamond" w:cs="Times New Roman"/>
          <w:sz w:val="24"/>
          <w:szCs w:val="24"/>
        </w:rPr>
        <w:t xml:space="preserve"> </w:t>
      </w:r>
      <w:r w:rsidRPr="00B31292">
        <w:rPr>
          <w:rFonts w:ascii="Garamond" w:hAnsi="Garamond" w:cs="Times New Roman"/>
          <w:sz w:val="24"/>
          <w:szCs w:val="24"/>
        </w:rPr>
        <w:t>dhe INSTAT</w:t>
      </w:r>
      <w:r w:rsidR="007843CA" w:rsidRPr="00B31292">
        <w:rPr>
          <w:rFonts w:ascii="Garamond" w:hAnsi="Garamond" w:cs="Times New Roman"/>
          <w:sz w:val="24"/>
          <w:szCs w:val="24"/>
        </w:rPr>
        <w:t>-i</w:t>
      </w:r>
      <w:r w:rsidRPr="00B31292">
        <w:rPr>
          <w:rFonts w:ascii="Garamond" w:hAnsi="Garamond" w:cs="Times New Roman"/>
          <w:sz w:val="24"/>
          <w:szCs w:val="24"/>
        </w:rPr>
        <w:t>.</w:t>
      </w:r>
    </w:p>
    <w:p w14:paraId="3DE8D74C" w14:textId="5B062D5A" w:rsidR="00675AE2" w:rsidRPr="00B31292" w:rsidRDefault="00675AE2" w:rsidP="003A4DBA">
      <w:pPr>
        <w:spacing w:after="0" w:line="240" w:lineRule="auto"/>
        <w:ind w:firstLine="284"/>
        <w:jc w:val="both"/>
        <w:rPr>
          <w:rFonts w:ascii="Garamond" w:hAnsi="Garamond" w:cs="Times New Roman"/>
          <w:sz w:val="24"/>
          <w:szCs w:val="24"/>
        </w:rPr>
      </w:pPr>
      <w:r w:rsidRPr="00B31292">
        <w:rPr>
          <w:rFonts w:ascii="Garamond" w:hAnsi="Garamond" w:cs="Times New Roman"/>
          <w:i/>
          <w:sz w:val="24"/>
          <w:szCs w:val="24"/>
        </w:rPr>
        <w:t xml:space="preserve">4.1.3 </w:t>
      </w:r>
      <w:r w:rsidR="00BA12C3" w:rsidRPr="00B31292">
        <w:rPr>
          <w:rFonts w:ascii="Garamond" w:hAnsi="Garamond" w:cs="Times New Roman"/>
          <w:i/>
          <w:sz w:val="24"/>
          <w:szCs w:val="24"/>
        </w:rPr>
        <w:t>“</w:t>
      </w:r>
      <w:r w:rsidRPr="00B31292">
        <w:rPr>
          <w:rFonts w:ascii="Garamond" w:hAnsi="Garamond" w:cs="Times New Roman"/>
          <w:i/>
          <w:sz w:val="24"/>
          <w:szCs w:val="24"/>
        </w:rPr>
        <w:t>Statistikat mbi menaxhimin e mbetjeve</w:t>
      </w:r>
      <w:r w:rsidR="00BA12C3" w:rsidRPr="00B31292">
        <w:rPr>
          <w:rFonts w:ascii="Garamond" w:hAnsi="Garamond" w:cs="Times New Roman"/>
          <w:i/>
          <w:sz w:val="24"/>
          <w:szCs w:val="24"/>
        </w:rPr>
        <w:t>”</w:t>
      </w:r>
      <w:r w:rsidRPr="00B31292">
        <w:rPr>
          <w:rFonts w:ascii="Garamond" w:hAnsi="Garamond" w:cs="Times New Roman"/>
          <w:sz w:val="24"/>
          <w:szCs w:val="24"/>
        </w:rPr>
        <w:t>, ku INSTAT</w:t>
      </w:r>
      <w:r w:rsidR="007843CA" w:rsidRPr="00B31292">
        <w:rPr>
          <w:rFonts w:ascii="Garamond" w:hAnsi="Garamond" w:cs="Times New Roman"/>
          <w:sz w:val="24"/>
          <w:szCs w:val="24"/>
        </w:rPr>
        <w:t>-i</w:t>
      </w:r>
      <w:r w:rsidRPr="00B31292">
        <w:rPr>
          <w:rFonts w:ascii="Garamond" w:hAnsi="Garamond" w:cs="Times New Roman"/>
          <w:sz w:val="24"/>
          <w:szCs w:val="24"/>
        </w:rPr>
        <w:t xml:space="preserve"> do të kryejë prodhimin vjetor të statistikave mbi mbetjet, bazuar në aktivitetet </w:t>
      </w:r>
      <w:r w:rsidR="00BA12C3" w:rsidRPr="00B31292">
        <w:rPr>
          <w:rFonts w:ascii="Garamond" w:hAnsi="Garamond" w:cs="Times New Roman"/>
          <w:sz w:val="24"/>
          <w:szCs w:val="24"/>
        </w:rPr>
        <w:t>“</w:t>
      </w:r>
      <w:r w:rsidRPr="00B31292">
        <w:rPr>
          <w:rFonts w:ascii="Garamond" w:hAnsi="Garamond" w:cs="Times New Roman"/>
          <w:sz w:val="24"/>
          <w:szCs w:val="24"/>
        </w:rPr>
        <w:t>Statistikat mbi menaxhimin e mbetjeve</w:t>
      </w:r>
      <w:r w:rsidR="00BA12C3" w:rsidRPr="00B31292">
        <w:rPr>
          <w:rFonts w:ascii="Garamond" w:hAnsi="Garamond" w:cs="Times New Roman"/>
          <w:sz w:val="24"/>
          <w:szCs w:val="24"/>
        </w:rPr>
        <w:t>”</w:t>
      </w:r>
      <w:r w:rsidRPr="00B31292">
        <w:rPr>
          <w:rFonts w:ascii="Garamond" w:hAnsi="Garamond" w:cs="Times New Roman"/>
          <w:sz w:val="24"/>
          <w:szCs w:val="24"/>
        </w:rPr>
        <w:t xml:space="preserve">, të siguruara nga burimi administrativ dhe </w:t>
      </w:r>
      <w:r w:rsidR="00BA12C3" w:rsidRPr="00B31292">
        <w:rPr>
          <w:rFonts w:ascii="Garamond" w:hAnsi="Garamond" w:cs="Times New Roman"/>
          <w:sz w:val="24"/>
          <w:szCs w:val="24"/>
        </w:rPr>
        <w:t>“</w:t>
      </w:r>
      <w:r w:rsidRPr="00B31292">
        <w:rPr>
          <w:rFonts w:ascii="Garamond" w:hAnsi="Garamond" w:cs="Times New Roman"/>
          <w:sz w:val="24"/>
          <w:szCs w:val="24"/>
        </w:rPr>
        <w:t xml:space="preserve">Statistikat mbi menaxhimin </w:t>
      </w:r>
      <w:r w:rsidR="00C05652" w:rsidRPr="00B31292">
        <w:rPr>
          <w:rFonts w:ascii="Garamond" w:hAnsi="Garamond" w:cs="Times New Roman"/>
          <w:sz w:val="24"/>
          <w:szCs w:val="24"/>
        </w:rPr>
        <w:t>e</w:t>
      </w:r>
      <w:r w:rsidRPr="00B31292">
        <w:rPr>
          <w:rFonts w:ascii="Garamond" w:hAnsi="Garamond" w:cs="Times New Roman"/>
          <w:sz w:val="24"/>
          <w:szCs w:val="24"/>
        </w:rPr>
        <w:t xml:space="preserve"> mbetjeve të ngurta urbane</w:t>
      </w:r>
      <w:r w:rsidR="00BA12C3" w:rsidRPr="00B31292">
        <w:rPr>
          <w:rFonts w:ascii="Garamond" w:hAnsi="Garamond" w:cs="Times New Roman"/>
          <w:sz w:val="24"/>
          <w:szCs w:val="24"/>
        </w:rPr>
        <w:t>”</w:t>
      </w:r>
      <w:r w:rsidRPr="00B31292">
        <w:rPr>
          <w:rFonts w:ascii="Garamond" w:hAnsi="Garamond" w:cs="Times New Roman"/>
          <w:sz w:val="24"/>
          <w:szCs w:val="24"/>
        </w:rPr>
        <w:t>, të siguruara nga bashkitë e vendit, me një sistem tashmë të konsoliduar të</w:t>
      </w:r>
      <w:r w:rsidR="00913C9A" w:rsidRPr="00B31292">
        <w:rPr>
          <w:rFonts w:ascii="Garamond" w:hAnsi="Garamond" w:cs="Times New Roman"/>
          <w:sz w:val="24"/>
          <w:szCs w:val="24"/>
        </w:rPr>
        <w:t xml:space="preserve"> </w:t>
      </w:r>
      <w:r w:rsidRPr="00B31292">
        <w:rPr>
          <w:rFonts w:ascii="Garamond" w:hAnsi="Garamond" w:cs="Times New Roman"/>
          <w:sz w:val="24"/>
          <w:szCs w:val="24"/>
        </w:rPr>
        <w:t>mbledhjes së të dhënave. Gjithashtu, brenda kësaj nënteme, INSTAT</w:t>
      </w:r>
      <w:r w:rsidR="007843CA" w:rsidRPr="00B31292">
        <w:rPr>
          <w:rFonts w:ascii="Garamond" w:hAnsi="Garamond" w:cs="Times New Roman"/>
          <w:sz w:val="24"/>
          <w:szCs w:val="24"/>
        </w:rPr>
        <w:t>-i</w:t>
      </w:r>
      <w:r w:rsidRPr="00B31292">
        <w:rPr>
          <w:rFonts w:ascii="Garamond" w:hAnsi="Garamond" w:cs="Times New Roman"/>
          <w:sz w:val="24"/>
          <w:szCs w:val="24"/>
        </w:rPr>
        <w:t xml:space="preserve"> do të kryejë prodhimin vjetor të statistikave mbi mbetjet, bazuar në </w:t>
      </w:r>
      <w:r w:rsidR="00BA12C3" w:rsidRPr="00B31292">
        <w:rPr>
          <w:rFonts w:ascii="Garamond" w:hAnsi="Garamond" w:cs="Times New Roman"/>
          <w:sz w:val="24"/>
          <w:szCs w:val="24"/>
        </w:rPr>
        <w:t>“</w:t>
      </w:r>
      <w:r w:rsidRPr="00B31292">
        <w:rPr>
          <w:rFonts w:ascii="Garamond" w:hAnsi="Garamond" w:cs="Times New Roman"/>
          <w:sz w:val="24"/>
          <w:szCs w:val="24"/>
        </w:rPr>
        <w:t>Statistikat mbi menaxhimin e mbetjeve</w:t>
      </w:r>
      <w:r w:rsidR="00BA12C3" w:rsidRPr="00B31292">
        <w:rPr>
          <w:rFonts w:ascii="Garamond" w:hAnsi="Garamond" w:cs="Times New Roman"/>
          <w:sz w:val="24"/>
          <w:szCs w:val="24"/>
        </w:rPr>
        <w:t>”</w:t>
      </w:r>
      <w:r w:rsidRPr="00B31292">
        <w:rPr>
          <w:rFonts w:ascii="Garamond" w:hAnsi="Garamond" w:cs="Times New Roman"/>
          <w:sz w:val="24"/>
          <w:szCs w:val="24"/>
        </w:rPr>
        <w:t xml:space="preserve"> të siguruara nga vrojtimi vjetor mbi mbetjet në industri.</w:t>
      </w:r>
    </w:p>
    <w:p w14:paraId="28984FC3" w14:textId="610DFA46" w:rsidR="00675AE2" w:rsidRPr="00B31292" w:rsidRDefault="00675AE2" w:rsidP="003A4DBA">
      <w:pPr>
        <w:spacing w:after="0" w:line="240" w:lineRule="auto"/>
        <w:ind w:firstLine="284"/>
        <w:jc w:val="both"/>
        <w:rPr>
          <w:rFonts w:ascii="Garamond" w:hAnsi="Garamond" w:cs="Times New Roman"/>
          <w:sz w:val="24"/>
          <w:szCs w:val="24"/>
        </w:rPr>
      </w:pPr>
      <w:r w:rsidRPr="00B31292">
        <w:rPr>
          <w:rFonts w:ascii="Garamond" w:hAnsi="Garamond" w:cs="Times New Roman"/>
          <w:i/>
          <w:sz w:val="24"/>
          <w:szCs w:val="24"/>
        </w:rPr>
        <w:t xml:space="preserve">4.1.4 </w:t>
      </w:r>
      <w:r w:rsidR="00BA12C3" w:rsidRPr="00B31292">
        <w:rPr>
          <w:rFonts w:ascii="Garamond" w:hAnsi="Garamond" w:cs="Times New Roman"/>
          <w:i/>
          <w:sz w:val="24"/>
          <w:szCs w:val="24"/>
        </w:rPr>
        <w:t>“</w:t>
      </w:r>
      <w:r w:rsidRPr="00B31292">
        <w:rPr>
          <w:rFonts w:ascii="Garamond" w:hAnsi="Garamond" w:cs="Times New Roman"/>
          <w:i/>
          <w:sz w:val="24"/>
          <w:szCs w:val="24"/>
        </w:rPr>
        <w:t>Statistikat e ujit</w:t>
      </w:r>
      <w:r w:rsidR="00BA12C3" w:rsidRPr="00B31292">
        <w:rPr>
          <w:rFonts w:ascii="Garamond" w:hAnsi="Garamond" w:cs="Times New Roman"/>
          <w:i/>
          <w:sz w:val="24"/>
          <w:szCs w:val="24"/>
        </w:rPr>
        <w:t>”</w:t>
      </w:r>
      <w:r w:rsidR="00913C9A" w:rsidRPr="00B31292">
        <w:rPr>
          <w:rFonts w:ascii="Garamond" w:hAnsi="Garamond" w:cs="Times New Roman"/>
          <w:sz w:val="24"/>
          <w:szCs w:val="24"/>
        </w:rPr>
        <w:t xml:space="preserve"> </w:t>
      </w:r>
      <w:r w:rsidR="00C05652" w:rsidRPr="00B31292">
        <w:rPr>
          <w:rFonts w:ascii="Garamond" w:hAnsi="Garamond" w:cs="Times New Roman"/>
          <w:sz w:val="24"/>
          <w:szCs w:val="24"/>
        </w:rPr>
        <w:t>–</w:t>
      </w:r>
      <w:r w:rsidRPr="00B31292">
        <w:rPr>
          <w:rFonts w:ascii="Garamond" w:hAnsi="Garamond" w:cs="Times New Roman"/>
          <w:sz w:val="24"/>
          <w:szCs w:val="24"/>
        </w:rPr>
        <w:t xml:space="preserve"> Prodhimi vjetor i statistikave të ujit nga INSTAT</w:t>
      </w:r>
      <w:r w:rsidR="007843CA" w:rsidRPr="00B31292">
        <w:rPr>
          <w:rFonts w:ascii="Garamond" w:hAnsi="Garamond" w:cs="Times New Roman"/>
          <w:sz w:val="24"/>
          <w:szCs w:val="24"/>
        </w:rPr>
        <w:t>-i</w:t>
      </w:r>
      <w:r w:rsidRPr="00B31292">
        <w:rPr>
          <w:rFonts w:ascii="Garamond" w:hAnsi="Garamond" w:cs="Times New Roman"/>
          <w:sz w:val="24"/>
          <w:szCs w:val="24"/>
        </w:rPr>
        <w:t>, do të bazohet në aktivit</w:t>
      </w:r>
      <w:r w:rsidR="00E51FEE" w:rsidRPr="00B31292">
        <w:rPr>
          <w:rFonts w:ascii="Garamond" w:hAnsi="Garamond" w:cs="Times New Roman"/>
          <w:sz w:val="24"/>
          <w:szCs w:val="24"/>
        </w:rPr>
        <w:t>etin</w:t>
      </w:r>
      <w:r w:rsidRPr="00B31292">
        <w:rPr>
          <w:rFonts w:ascii="Garamond" w:hAnsi="Garamond" w:cs="Times New Roman"/>
          <w:sz w:val="24"/>
          <w:szCs w:val="24"/>
        </w:rPr>
        <w:t xml:space="preserve"> statistiko</w:t>
      </w:r>
      <w:r w:rsidR="00E51FEE" w:rsidRPr="00B31292">
        <w:rPr>
          <w:rFonts w:ascii="Garamond" w:hAnsi="Garamond" w:cs="Times New Roman"/>
          <w:sz w:val="24"/>
          <w:szCs w:val="24"/>
        </w:rPr>
        <w:t>r</w:t>
      </w:r>
      <w:r w:rsidRPr="00B31292">
        <w:rPr>
          <w:rFonts w:ascii="Garamond" w:hAnsi="Garamond" w:cs="Times New Roman"/>
          <w:sz w:val="24"/>
          <w:szCs w:val="24"/>
        </w:rPr>
        <w:t xml:space="preserve"> </w:t>
      </w:r>
      <w:r w:rsidR="00BA12C3" w:rsidRPr="00B31292">
        <w:rPr>
          <w:rFonts w:ascii="Garamond" w:hAnsi="Garamond" w:cs="Times New Roman"/>
          <w:sz w:val="24"/>
          <w:szCs w:val="24"/>
        </w:rPr>
        <w:t>“</w:t>
      </w:r>
      <w:r w:rsidRPr="00B31292">
        <w:rPr>
          <w:rFonts w:ascii="Garamond" w:hAnsi="Garamond" w:cs="Times New Roman"/>
          <w:sz w:val="24"/>
          <w:szCs w:val="24"/>
        </w:rPr>
        <w:t>Statistikat e ujit</w:t>
      </w:r>
      <w:r w:rsidR="00BA12C3" w:rsidRPr="00B31292">
        <w:rPr>
          <w:rFonts w:ascii="Garamond" w:hAnsi="Garamond" w:cs="Times New Roman"/>
          <w:sz w:val="24"/>
          <w:szCs w:val="24"/>
        </w:rPr>
        <w:t>”</w:t>
      </w:r>
      <w:r w:rsidR="003243A5" w:rsidRPr="00B31292">
        <w:rPr>
          <w:rFonts w:ascii="Garamond" w:hAnsi="Garamond" w:cs="Times New Roman"/>
          <w:sz w:val="24"/>
          <w:szCs w:val="24"/>
        </w:rPr>
        <w:t>,</w:t>
      </w:r>
      <w:r w:rsidRPr="00B31292">
        <w:rPr>
          <w:rFonts w:ascii="Garamond" w:hAnsi="Garamond" w:cs="Times New Roman"/>
          <w:sz w:val="24"/>
          <w:szCs w:val="24"/>
        </w:rPr>
        <w:t xml:space="preserve"> </w:t>
      </w:r>
      <w:r w:rsidR="00E51FEE" w:rsidRPr="00B31292">
        <w:rPr>
          <w:rFonts w:ascii="Garamond" w:hAnsi="Garamond" w:cs="Times New Roman"/>
          <w:sz w:val="24"/>
          <w:szCs w:val="24"/>
        </w:rPr>
        <w:t>i</w:t>
      </w:r>
      <w:r w:rsidRPr="00B31292">
        <w:rPr>
          <w:rFonts w:ascii="Garamond" w:hAnsi="Garamond" w:cs="Times New Roman"/>
          <w:sz w:val="24"/>
          <w:szCs w:val="24"/>
        </w:rPr>
        <w:t xml:space="preserve"> ci</w:t>
      </w:r>
      <w:r w:rsidR="00E51FEE" w:rsidRPr="00B31292">
        <w:rPr>
          <w:rFonts w:ascii="Garamond" w:hAnsi="Garamond" w:cs="Times New Roman"/>
          <w:sz w:val="24"/>
          <w:szCs w:val="24"/>
        </w:rPr>
        <w:t>li</w:t>
      </w:r>
      <w:r w:rsidRPr="00B31292">
        <w:rPr>
          <w:rFonts w:ascii="Garamond" w:hAnsi="Garamond" w:cs="Times New Roman"/>
          <w:sz w:val="24"/>
          <w:szCs w:val="24"/>
        </w:rPr>
        <w:t xml:space="preserve"> prodhohe</w:t>
      </w:r>
      <w:r w:rsidR="00E51FEE" w:rsidRPr="00B31292">
        <w:rPr>
          <w:rFonts w:ascii="Garamond" w:hAnsi="Garamond" w:cs="Times New Roman"/>
          <w:sz w:val="24"/>
          <w:szCs w:val="24"/>
        </w:rPr>
        <w:t>t</w:t>
      </w:r>
      <w:r w:rsidRPr="00B31292">
        <w:rPr>
          <w:rFonts w:ascii="Garamond" w:hAnsi="Garamond" w:cs="Times New Roman"/>
          <w:sz w:val="24"/>
          <w:szCs w:val="24"/>
        </w:rPr>
        <w:t xml:space="preserve"> nga përpunimi i të dhënave administrative të siguruara nga Ministria e Turizmit dhe Mjedisit, Ministria e Infrastrukturës dhe Energjis</w:t>
      </w:r>
      <w:r w:rsidR="00B31292" w:rsidRPr="00B31292">
        <w:rPr>
          <w:rFonts w:ascii="Garamond" w:hAnsi="Garamond" w:cs="Times New Roman"/>
          <w:sz w:val="24"/>
          <w:szCs w:val="24"/>
        </w:rPr>
        <w:t>ë</w:t>
      </w:r>
      <w:r w:rsidRPr="00B31292">
        <w:rPr>
          <w:rFonts w:ascii="Garamond" w:hAnsi="Garamond" w:cs="Times New Roman"/>
          <w:sz w:val="24"/>
          <w:szCs w:val="24"/>
        </w:rPr>
        <w:t>, Instituti i Gjeoshkencave, Energjisë, Ujit dhe Mjedisit dhe Shërbimi Gjeologjik Shqiptar.</w:t>
      </w:r>
    </w:p>
    <w:p w14:paraId="7638AB73" w14:textId="1D649923" w:rsidR="00675AE2" w:rsidRPr="00B31292" w:rsidRDefault="00675AE2" w:rsidP="003A4DBA">
      <w:pPr>
        <w:spacing w:after="0" w:line="240" w:lineRule="auto"/>
        <w:ind w:firstLine="284"/>
        <w:jc w:val="both"/>
        <w:rPr>
          <w:rFonts w:ascii="Garamond" w:hAnsi="Garamond" w:cs="Times New Roman"/>
          <w:sz w:val="24"/>
          <w:szCs w:val="24"/>
        </w:rPr>
      </w:pPr>
      <w:r w:rsidRPr="00B31292">
        <w:rPr>
          <w:rFonts w:ascii="Garamond" w:hAnsi="Garamond" w:cs="Times New Roman"/>
          <w:i/>
          <w:sz w:val="24"/>
          <w:szCs w:val="24"/>
        </w:rPr>
        <w:t xml:space="preserve">4.1.5 Statistikat e </w:t>
      </w:r>
      <w:r w:rsidR="00C05652" w:rsidRPr="00B31292">
        <w:rPr>
          <w:rFonts w:ascii="Garamond" w:hAnsi="Garamond" w:cs="Times New Roman"/>
          <w:i/>
          <w:sz w:val="24"/>
          <w:szCs w:val="24"/>
        </w:rPr>
        <w:t>q</w:t>
      </w:r>
      <w:r w:rsidRPr="00B31292">
        <w:rPr>
          <w:rFonts w:ascii="Garamond" w:hAnsi="Garamond" w:cs="Times New Roman"/>
          <w:i/>
          <w:sz w:val="24"/>
          <w:szCs w:val="24"/>
        </w:rPr>
        <w:t>ytetit</w:t>
      </w:r>
      <w:r w:rsidR="00913C9A" w:rsidRPr="00B31292">
        <w:rPr>
          <w:rFonts w:ascii="Garamond" w:hAnsi="Garamond" w:cs="Times New Roman"/>
          <w:i/>
          <w:sz w:val="24"/>
          <w:szCs w:val="24"/>
        </w:rPr>
        <w:t xml:space="preserve"> </w:t>
      </w:r>
      <w:r w:rsidR="00C05652" w:rsidRPr="00B31292">
        <w:rPr>
          <w:rFonts w:ascii="Garamond" w:hAnsi="Garamond" w:cs="Times New Roman"/>
          <w:i/>
          <w:sz w:val="24"/>
          <w:szCs w:val="24"/>
        </w:rPr>
        <w:t>–</w:t>
      </w:r>
      <w:r w:rsidR="00913C9A" w:rsidRPr="00B31292">
        <w:rPr>
          <w:rFonts w:ascii="Garamond" w:hAnsi="Garamond" w:cs="Times New Roman"/>
          <w:i/>
          <w:sz w:val="24"/>
          <w:szCs w:val="24"/>
        </w:rPr>
        <w:t xml:space="preserve"> </w:t>
      </w:r>
      <w:r w:rsidRPr="00B31292">
        <w:rPr>
          <w:rFonts w:ascii="Garamond" w:hAnsi="Garamond" w:cs="Times New Roman"/>
          <w:sz w:val="24"/>
          <w:szCs w:val="24"/>
        </w:rPr>
        <w:t>Për realizimin e kësaj nënteme do të prodhohen</w:t>
      </w:r>
      <w:r w:rsidR="00913C9A" w:rsidRPr="00B31292">
        <w:rPr>
          <w:rFonts w:ascii="Garamond" w:hAnsi="Garamond" w:cs="Times New Roman"/>
          <w:sz w:val="24"/>
          <w:szCs w:val="24"/>
        </w:rPr>
        <w:t xml:space="preserve"> </w:t>
      </w:r>
      <w:r w:rsidRPr="00B31292">
        <w:rPr>
          <w:rFonts w:ascii="Garamond" w:hAnsi="Garamond" w:cs="Times New Roman"/>
          <w:sz w:val="24"/>
          <w:szCs w:val="24"/>
        </w:rPr>
        <w:t>statistikat mbi cilësinë e ajrit</w:t>
      </w:r>
      <w:r w:rsidR="00913C9A" w:rsidRPr="00B31292">
        <w:rPr>
          <w:rFonts w:ascii="Garamond" w:hAnsi="Garamond" w:cs="Times New Roman"/>
          <w:sz w:val="24"/>
          <w:szCs w:val="24"/>
        </w:rPr>
        <w:t xml:space="preserve">, </w:t>
      </w:r>
      <w:r w:rsidRPr="00B31292">
        <w:rPr>
          <w:rFonts w:ascii="Garamond" w:hAnsi="Garamond" w:cs="Times New Roman"/>
          <w:sz w:val="24"/>
          <w:szCs w:val="24"/>
        </w:rPr>
        <w:t xml:space="preserve">zhurmat dhe </w:t>
      </w:r>
      <w:r w:rsidR="007843CA" w:rsidRPr="00B31292">
        <w:rPr>
          <w:rFonts w:ascii="Garamond" w:hAnsi="Garamond" w:cs="Times New Roman"/>
          <w:sz w:val="24"/>
          <w:szCs w:val="24"/>
        </w:rPr>
        <w:t>automjetet</w:t>
      </w:r>
      <w:r w:rsidRPr="00B31292">
        <w:rPr>
          <w:rFonts w:ascii="Garamond" w:hAnsi="Garamond" w:cs="Times New Roman"/>
          <w:sz w:val="24"/>
          <w:szCs w:val="24"/>
        </w:rPr>
        <w:t xml:space="preserve"> sipas vjetërsisë në përdorim. Këto statistika do të prodhohen nga INSTAT</w:t>
      </w:r>
      <w:r w:rsidR="00C05652" w:rsidRPr="00B31292">
        <w:rPr>
          <w:rFonts w:ascii="Garamond" w:hAnsi="Garamond" w:cs="Times New Roman"/>
          <w:sz w:val="24"/>
          <w:szCs w:val="24"/>
        </w:rPr>
        <w:t>-i</w:t>
      </w:r>
      <w:r w:rsidRPr="00B31292">
        <w:rPr>
          <w:rFonts w:ascii="Garamond" w:hAnsi="Garamond" w:cs="Times New Roman"/>
          <w:sz w:val="24"/>
          <w:szCs w:val="24"/>
        </w:rPr>
        <w:t xml:space="preserve"> me frekuencë vjetore, duke u mbështetur në aktivitetin </w:t>
      </w:r>
      <w:r w:rsidR="00BA12C3" w:rsidRPr="00B31292">
        <w:rPr>
          <w:rFonts w:ascii="Garamond" w:hAnsi="Garamond" w:cs="Times New Roman"/>
          <w:sz w:val="24"/>
          <w:szCs w:val="24"/>
        </w:rPr>
        <w:t>“</w:t>
      </w:r>
      <w:r w:rsidRPr="00B31292">
        <w:rPr>
          <w:rFonts w:ascii="Garamond" w:hAnsi="Garamond" w:cs="Times New Roman"/>
          <w:sz w:val="24"/>
          <w:szCs w:val="24"/>
        </w:rPr>
        <w:t>Statistikat mbi cilësinë e ajrit dhe zhurmat</w:t>
      </w:r>
      <w:r w:rsidR="00BA12C3" w:rsidRPr="00B31292">
        <w:rPr>
          <w:rFonts w:ascii="Garamond" w:hAnsi="Garamond" w:cs="Times New Roman"/>
          <w:sz w:val="24"/>
          <w:szCs w:val="24"/>
        </w:rPr>
        <w:t>”</w:t>
      </w:r>
      <w:r w:rsidR="00913C9A" w:rsidRPr="00B31292">
        <w:rPr>
          <w:rFonts w:ascii="Garamond" w:hAnsi="Garamond" w:cs="Times New Roman"/>
          <w:sz w:val="24"/>
          <w:szCs w:val="24"/>
        </w:rPr>
        <w:t>,</w:t>
      </w:r>
      <w:r w:rsidRPr="00B31292">
        <w:rPr>
          <w:rFonts w:ascii="Garamond" w:hAnsi="Garamond" w:cs="Times New Roman"/>
          <w:sz w:val="24"/>
          <w:szCs w:val="24"/>
        </w:rPr>
        <w:t xml:space="preserve"> të cilat prodhohen nga përpunimi i të dhënave të siguruara nga INSTAT</w:t>
      </w:r>
      <w:r w:rsidR="007843CA" w:rsidRPr="00B31292">
        <w:rPr>
          <w:rFonts w:ascii="Garamond" w:hAnsi="Garamond" w:cs="Times New Roman"/>
          <w:sz w:val="24"/>
          <w:szCs w:val="24"/>
        </w:rPr>
        <w:t>-i</w:t>
      </w:r>
      <w:r w:rsidRPr="00B31292">
        <w:rPr>
          <w:rFonts w:ascii="Garamond" w:hAnsi="Garamond" w:cs="Times New Roman"/>
          <w:sz w:val="24"/>
          <w:szCs w:val="24"/>
        </w:rPr>
        <w:t>, si dhe i të dhënave administrative të siguruara nga Ministria e Turizmit dhe Mjedisit, Ministria e Infrastrukturës dhe Energjis</w:t>
      </w:r>
      <w:r w:rsidR="00B31292" w:rsidRPr="00B31292">
        <w:rPr>
          <w:rFonts w:ascii="Garamond" w:hAnsi="Garamond" w:cs="Times New Roman"/>
          <w:sz w:val="24"/>
          <w:szCs w:val="24"/>
        </w:rPr>
        <w:t>ë</w:t>
      </w:r>
      <w:r w:rsidRPr="00B31292">
        <w:rPr>
          <w:rFonts w:ascii="Garamond" w:hAnsi="Garamond" w:cs="Times New Roman"/>
          <w:sz w:val="24"/>
          <w:szCs w:val="24"/>
        </w:rPr>
        <w:t>.</w:t>
      </w:r>
    </w:p>
    <w:p w14:paraId="77166325" w14:textId="2C2CF60C" w:rsidR="00675AE2" w:rsidRPr="00B31292" w:rsidRDefault="00675AE2" w:rsidP="003A4DBA">
      <w:pPr>
        <w:spacing w:after="0" w:line="240" w:lineRule="auto"/>
        <w:ind w:firstLine="284"/>
        <w:jc w:val="both"/>
        <w:rPr>
          <w:rFonts w:ascii="Garamond" w:hAnsi="Garamond" w:cs="Times New Roman"/>
          <w:sz w:val="24"/>
          <w:szCs w:val="24"/>
        </w:rPr>
      </w:pPr>
      <w:r w:rsidRPr="00B31292">
        <w:rPr>
          <w:rFonts w:ascii="Garamond" w:hAnsi="Garamond" w:cs="Times New Roman"/>
          <w:i/>
          <w:sz w:val="24"/>
          <w:szCs w:val="24"/>
        </w:rPr>
        <w:t xml:space="preserve">4.1.6 </w:t>
      </w:r>
      <w:r w:rsidR="00BA12C3" w:rsidRPr="00B31292">
        <w:rPr>
          <w:rFonts w:ascii="Garamond" w:hAnsi="Garamond" w:cs="Times New Roman"/>
          <w:i/>
          <w:sz w:val="24"/>
          <w:szCs w:val="24"/>
        </w:rPr>
        <w:t>“</w:t>
      </w:r>
      <w:r w:rsidRPr="00B31292">
        <w:rPr>
          <w:rFonts w:ascii="Garamond" w:hAnsi="Garamond" w:cs="Times New Roman"/>
          <w:i/>
          <w:sz w:val="24"/>
          <w:szCs w:val="24"/>
        </w:rPr>
        <w:t xml:space="preserve">Statistikat e </w:t>
      </w:r>
      <w:r w:rsidR="00C05652" w:rsidRPr="00B31292">
        <w:rPr>
          <w:rFonts w:ascii="Garamond" w:hAnsi="Garamond" w:cs="Times New Roman"/>
          <w:i/>
          <w:sz w:val="24"/>
          <w:szCs w:val="24"/>
        </w:rPr>
        <w:t>b</w:t>
      </w:r>
      <w:r w:rsidRPr="00B31292">
        <w:rPr>
          <w:rFonts w:ascii="Garamond" w:hAnsi="Garamond" w:cs="Times New Roman"/>
          <w:i/>
          <w:sz w:val="24"/>
          <w:szCs w:val="24"/>
        </w:rPr>
        <w:t>iodiversitetit</w:t>
      </w:r>
      <w:r w:rsidR="00BA12C3" w:rsidRPr="00B31292">
        <w:rPr>
          <w:rFonts w:ascii="Garamond" w:hAnsi="Garamond" w:cs="Times New Roman"/>
          <w:i/>
          <w:sz w:val="24"/>
          <w:szCs w:val="24"/>
        </w:rPr>
        <w:t>”</w:t>
      </w:r>
      <w:r w:rsidR="00A614DC" w:rsidRPr="00B31292">
        <w:rPr>
          <w:rFonts w:ascii="Garamond" w:hAnsi="Garamond" w:cs="Times New Roman"/>
          <w:i/>
          <w:sz w:val="24"/>
          <w:szCs w:val="24"/>
        </w:rPr>
        <w:t xml:space="preserve"> </w:t>
      </w:r>
      <w:r w:rsidR="00C05652" w:rsidRPr="00B31292">
        <w:rPr>
          <w:rFonts w:ascii="Garamond" w:hAnsi="Garamond" w:cs="Times New Roman"/>
          <w:i/>
          <w:sz w:val="24"/>
          <w:szCs w:val="24"/>
        </w:rPr>
        <w:t>–</w:t>
      </w:r>
      <w:r w:rsidR="00A614DC" w:rsidRPr="00B31292">
        <w:rPr>
          <w:rFonts w:ascii="Garamond" w:hAnsi="Garamond" w:cs="Times New Roman"/>
          <w:i/>
          <w:sz w:val="24"/>
          <w:szCs w:val="24"/>
        </w:rPr>
        <w:t xml:space="preserve"> </w:t>
      </w:r>
      <w:r w:rsidR="00A614DC" w:rsidRPr="00B31292">
        <w:rPr>
          <w:rFonts w:ascii="Garamond" w:hAnsi="Garamond" w:cs="Times New Roman"/>
          <w:sz w:val="24"/>
          <w:szCs w:val="24"/>
        </w:rPr>
        <w:t>N</w:t>
      </w:r>
      <w:r w:rsidRPr="00B31292">
        <w:rPr>
          <w:rFonts w:ascii="Garamond" w:hAnsi="Garamond" w:cs="Times New Roman"/>
          <w:sz w:val="24"/>
          <w:szCs w:val="24"/>
        </w:rPr>
        <w:t xml:space="preserve">ga realizimi i kësaj teme statistikore </w:t>
      </w:r>
      <w:r w:rsidR="003243A5" w:rsidRPr="00B31292">
        <w:rPr>
          <w:rFonts w:ascii="Garamond" w:hAnsi="Garamond" w:cs="Times New Roman"/>
          <w:sz w:val="24"/>
          <w:szCs w:val="24"/>
        </w:rPr>
        <w:t>do t</w:t>
      </w:r>
      <w:r w:rsidR="0095457A" w:rsidRPr="00B31292">
        <w:rPr>
          <w:rFonts w:ascii="Garamond" w:hAnsi="Garamond" w:cs="Times New Roman"/>
          <w:sz w:val="24"/>
          <w:szCs w:val="24"/>
        </w:rPr>
        <w:t>ë</w:t>
      </w:r>
      <w:r w:rsidR="003243A5" w:rsidRPr="00B31292">
        <w:rPr>
          <w:rFonts w:ascii="Garamond" w:hAnsi="Garamond" w:cs="Times New Roman"/>
          <w:sz w:val="24"/>
          <w:szCs w:val="24"/>
        </w:rPr>
        <w:t xml:space="preserve"> vijoj</w:t>
      </w:r>
      <w:r w:rsidR="0095457A" w:rsidRPr="00B31292">
        <w:rPr>
          <w:rFonts w:ascii="Garamond" w:hAnsi="Garamond" w:cs="Times New Roman"/>
          <w:sz w:val="24"/>
          <w:szCs w:val="24"/>
        </w:rPr>
        <w:t>ë</w:t>
      </w:r>
      <w:r w:rsidR="003243A5" w:rsidRPr="00B31292">
        <w:rPr>
          <w:rFonts w:ascii="Garamond" w:hAnsi="Garamond" w:cs="Times New Roman"/>
          <w:sz w:val="24"/>
          <w:szCs w:val="24"/>
        </w:rPr>
        <w:t xml:space="preserve"> pun</w:t>
      </w:r>
      <w:r w:rsidR="0095457A" w:rsidRPr="00B31292">
        <w:rPr>
          <w:rFonts w:ascii="Garamond" w:hAnsi="Garamond" w:cs="Times New Roman"/>
          <w:sz w:val="24"/>
          <w:szCs w:val="24"/>
        </w:rPr>
        <w:t>ë</w:t>
      </w:r>
      <w:r w:rsidR="003243A5" w:rsidRPr="00B31292">
        <w:rPr>
          <w:rFonts w:ascii="Garamond" w:hAnsi="Garamond" w:cs="Times New Roman"/>
          <w:sz w:val="24"/>
          <w:szCs w:val="24"/>
        </w:rPr>
        <w:t>n p</w:t>
      </w:r>
      <w:r w:rsidR="0095457A" w:rsidRPr="00B31292">
        <w:rPr>
          <w:rFonts w:ascii="Garamond" w:hAnsi="Garamond" w:cs="Times New Roman"/>
          <w:sz w:val="24"/>
          <w:szCs w:val="24"/>
        </w:rPr>
        <w:t>ë</w:t>
      </w:r>
      <w:r w:rsidR="003243A5" w:rsidRPr="00B31292">
        <w:rPr>
          <w:rFonts w:ascii="Garamond" w:hAnsi="Garamond" w:cs="Times New Roman"/>
          <w:sz w:val="24"/>
          <w:szCs w:val="24"/>
        </w:rPr>
        <w:t xml:space="preserve">r </w:t>
      </w:r>
      <w:r w:rsidRPr="00B31292">
        <w:rPr>
          <w:rFonts w:ascii="Garamond" w:hAnsi="Garamond"/>
          <w:bCs/>
          <w:iCs/>
          <w:sz w:val="24"/>
          <w:szCs w:val="24"/>
        </w:rPr>
        <w:t>sigur</w:t>
      </w:r>
      <w:r w:rsidR="003243A5" w:rsidRPr="00B31292">
        <w:rPr>
          <w:rFonts w:ascii="Garamond" w:hAnsi="Garamond"/>
          <w:bCs/>
          <w:iCs/>
          <w:sz w:val="24"/>
          <w:szCs w:val="24"/>
        </w:rPr>
        <w:t>imin e</w:t>
      </w:r>
      <w:r w:rsidRPr="00B31292">
        <w:rPr>
          <w:rFonts w:ascii="Garamond" w:hAnsi="Garamond"/>
          <w:bCs/>
          <w:iCs/>
          <w:sz w:val="24"/>
          <w:szCs w:val="24"/>
        </w:rPr>
        <w:t xml:space="preserve"> të dhëna</w:t>
      </w:r>
      <w:r w:rsidR="003243A5" w:rsidRPr="00B31292">
        <w:rPr>
          <w:rFonts w:ascii="Garamond" w:hAnsi="Garamond"/>
          <w:bCs/>
          <w:iCs/>
          <w:sz w:val="24"/>
          <w:szCs w:val="24"/>
        </w:rPr>
        <w:t>ve</w:t>
      </w:r>
      <w:r w:rsidRPr="00B31292">
        <w:rPr>
          <w:rFonts w:ascii="Garamond" w:hAnsi="Garamond"/>
          <w:bCs/>
          <w:iCs/>
          <w:sz w:val="24"/>
          <w:szCs w:val="24"/>
        </w:rPr>
        <w:t xml:space="preserve"> të përgjithshme dhe specifike për zonat e </w:t>
      </w:r>
      <w:r w:rsidR="007843CA" w:rsidRPr="00B31292">
        <w:rPr>
          <w:rFonts w:ascii="Garamond" w:hAnsi="Garamond"/>
          <w:bCs/>
          <w:iCs/>
          <w:sz w:val="24"/>
          <w:szCs w:val="24"/>
        </w:rPr>
        <w:t>mbrojtura</w:t>
      </w:r>
      <w:r w:rsidRPr="00B31292">
        <w:rPr>
          <w:rFonts w:ascii="Garamond" w:hAnsi="Garamond"/>
          <w:bCs/>
          <w:iCs/>
          <w:sz w:val="24"/>
          <w:szCs w:val="24"/>
        </w:rPr>
        <w:t>, speciet e kërcënuara, florën dhe faunën. Të dhëna</w:t>
      </w:r>
      <w:r w:rsidR="007E535A" w:rsidRPr="00B31292">
        <w:rPr>
          <w:rFonts w:ascii="Garamond" w:hAnsi="Garamond"/>
          <w:bCs/>
          <w:iCs/>
          <w:sz w:val="24"/>
          <w:szCs w:val="24"/>
        </w:rPr>
        <w:t>t</w:t>
      </w:r>
      <w:r w:rsidRPr="00B31292">
        <w:rPr>
          <w:rFonts w:ascii="Garamond" w:hAnsi="Garamond"/>
          <w:bCs/>
          <w:iCs/>
          <w:sz w:val="24"/>
          <w:szCs w:val="24"/>
        </w:rPr>
        <w:t xml:space="preserve"> janë vjetore në nivel kombëtar dhe sigurohen nga Ministria e Turizmit dhe Mjedisit, si dhe Agjencia Kombëtare e Zonave të Mbrojtura.</w:t>
      </w:r>
    </w:p>
    <w:p w14:paraId="30E672C3" w14:textId="08618036" w:rsidR="00675AE2" w:rsidRPr="00B31292" w:rsidRDefault="00675AE2" w:rsidP="003A4DBA">
      <w:pPr>
        <w:spacing w:after="0" w:line="240" w:lineRule="auto"/>
        <w:ind w:firstLine="284"/>
        <w:jc w:val="both"/>
        <w:rPr>
          <w:rFonts w:ascii="Garamond" w:hAnsi="Garamond" w:cs="Times New Roman"/>
          <w:sz w:val="24"/>
          <w:szCs w:val="24"/>
        </w:rPr>
      </w:pPr>
      <w:r w:rsidRPr="00B31292">
        <w:rPr>
          <w:rFonts w:ascii="Garamond" w:hAnsi="Garamond" w:cs="Times New Roman"/>
          <w:b/>
          <w:sz w:val="24"/>
          <w:szCs w:val="24"/>
        </w:rPr>
        <w:t>Treguesit kryesorë</w:t>
      </w:r>
      <w:r w:rsidRPr="00B31292">
        <w:rPr>
          <w:rFonts w:ascii="Garamond" w:hAnsi="Garamond" w:cs="Times New Roman"/>
          <w:sz w:val="24"/>
          <w:szCs w:val="24"/>
        </w:rPr>
        <w:t xml:space="preserve">: Tregues vjetorë mbi taksat në mjedis në total vendi; </w:t>
      </w:r>
      <w:r w:rsidR="00C05652" w:rsidRPr="00B31292">
        <w:rPr>
          <w:rFonts w:ascii="Garamond" w:hAnsi="Garamond" w:cs="Times New Roman"/>
          <w:sz w:val="24"/>
          <w:szCs w:val="24"/>
        </w:rPr>
        <w:t>t</w:t>
      </w:r>
      <w:r w:rsidRPr="00B31292">
        <w:rPr>
          <w:rFonts w:ascii="Garamond" w:hAnsi="Garamond" w:cs="Times New Roman"/>
          <w:sz w:val="24"/>
          <w:szCs w:val="24"/>
        </w:rPr>
        <w:t xml:space="preserve">regues vjetorë mbi shpenzimet për mbrojtjen e mjedisit dhe të ardhurat në total vendi; </w:t>
      </w:r>
      <w:r w:rsidR="00C05652" w:rsidRPr="00B31292">
        <w:rPr>
          <w:rFonts w:ascii="Garamond" w:hAnsi="Garamond" w:cs="Times New Roman"/>
          <w:sz w:val="24"/>
          <w:szCs w:val="24"/>
        </w:rPr>
        <w:t>t</w:t>
      </w:r>
      <w:r w:rsidRPr="00B31292">
        <w:rPr>
          <w:rFonts w:ascii="Garamond" w:hAnsi="Garamond" w:cs="Times New Roman"/>
          <w:sz w:val="24"/>
          <w:szCs w:val="24"/>
        </w:rPr>
        <w:t xml:space="preserve">regues vjetorë mbi të mirat dhe shërbimet në mjedis në total vendi; </w:t>
      </w:r>
      <w:r w:rsidR="00C05652" w:rsidRPr="00B31292">
        <w:rPr>
          <w:rFonts w:ascii="Garamond" w:hAnsi="Garamond" w:cs="Times New Roman"/>
          <w:sz w:val="24"/>
          <w:szCs w:val="24"/>
        </w:rPr>
        <w:t>t</w:t>
      </w:r>
      <w:r w:rsidRPr="00B31292">
        <w:rPr>
          <w:rFonts w:ascii="Garamond" w:hAnsi="Garamond" w:cs="Times New Roman"/>
          <w:sz w:val="24"/>
          <w:szCs w:val="24"/>
        </w:rPr>
        <w:t>regues vjetorë mbi llogaritë rrjedhëse fizike të energjisë në total vendi</w:t>
      </w:r>
      <w:r w:rsidR="007E535A" w:rsidRPr="00B31292">
        <w:rPr>
          <w:rFonts w:ascii="Garamond" w:hAnsi="Garamond" w:cs="Times New Roman"/>
          <w:sz w:val="24"/>
          <w:szCs w:val="24"/>
        </w:rPr>
        <w:t xml:space="preserve">, </w:t>
      </w:r>
      <w:r w:rsidR="00C05652" w:rsidRPr="00B31292">
        <w:rPr>
          <w:rFonts w:ascii="Garamond" w:hAnsi="Garamond" w:cs="Times New Roman"/>
          <w:sz w:val="24"/>
          <w:szCs w:val="24"/>
        </w:rPr>
        <w:t xml:space="preserve">burimet e brendshme natyrore </w:t>
      </w:r>
      <w:r w:rsidRPr="00B31292">
        <w:rPr>
          <w:rFonts w:ascii="Garamond" w:hAnsi="Garamond" w:cs="Times New Roman"/>
          <w:sz w:val="24"/>
          <w:szCs w:val="24"/>
        </w:rPr>
        <w:t>(DE)</w:t>
      </w:r>
      <w:r w:rsidR="007E535A" w:rsidRPr="00B31292">
        <w:rPr>
          <w:rFonts w:ascii="Garamond" w:hAnsi="Garamond" w:cs="Times New Roman"/>
          <w:sz w:val="24"/>
          <w:szCs w:val="24"/>
        </w:rPr>
        <w:t xml:space="preserve">, </w:t>
      </w:r>
      <w:r w:rsidR="00C05652" w:rsidRPr="00B31292">
        <w:rPr>
          <w:rFonts w:ascii="Garamond" w:hAnsi="Garamond" w:cs="Times New Roman"/>
          <w:sz w:val="24"/>
          <w:szCs w:val="24"/>
        </w:rPr>
        <w:t xml:space="preserve">përdorimin </w:t>
      </w:r>
      <w:r w:rsidR="007E535A" w:rsidRPr="00B31292">
        <w:rPr>
          <w:rFonts w:ascii="Garamond" w:hAnsi="Garamond" w:cs="Times New Roman"/>
          <w:sz w:val="24"/>
          <w:szCs w:val="24"/>
        </w:rPr>
        <w:t>e</w:t>
      </w:r>
      <w:r w:rsidRPr="00B31292">
        <w:rPr>
          <w:rFonts w:ascii="Garamond" w:hAnsi="Garamond" w:cs="Times New Roman"/>
          <w:sz w:val="24"/>
          <w:szCs w:val="24"/>
        </w:rPr>
        <w:t xml:space="preserve"> brendshëm </w:t>
      </w:r>
      <w:r w:rsidR="007E535A" w:rsidRPr="00B31292">
        <w:rPr>
          <w:rFonts w:ascii="Garamond" w:hAnsi="Garamond" w:cs="Times New Roman"/>
          <w:sz w:val="24"/>
          <w:szCs w:val="24"/>
        </w:rPr>
        <w:t xml:space="preserve">të </w:t>
      </w:r>
      <w:r w:rsidRPr="00B31292">
        <w:rPr>
          <w:rFonts w:ascii="Garamond" w:hAnsi="Garamond" w:cs="Times New Roman"/>
          <w:sz w:val="24"/>
          <w:szCs w:val="24"/>
        </w:rPr>
        <w:t xml:space="preserve">materialeve mjedisore (DMC); </w:t>
      </w:r>
      <w:r w:rsidR="00C05652" w:rsidRPr="00B31292">
        <w:rPr>
          <w:rFonts w:ascii="Garamond" w:hAnsi="Garamond" w:cs="Times New Roman"/>
          <w:sz w:val="24"/>
          <w:szCs w:val="24"/>
        </w:rPr>
        <w:t xml:space="preserve">tregues </w:t>
      </w:r>
      <w:r w:rsidRPr="00B31292">
        <w:rPr>
          <w:rFonts w:ascii="Garamond" w:hAnsi="Garamond" w:cs="Times New Roman"/>
          <w:sz w:val="24"/>
          <w:szCs w:val="24"/>
        </w:rPr>
        <w:t xml:space="preserve">mbi menaxhimin e mbetjeve dhe substancave të rrezikshme në nivel vendi; </w:t>
      </w:r>
      <w:r w:rsidR="00C05652" w:rsidRPr="00B31292">
        <w:rPr>
          <w:rFonts w:ascii="Garamond" w:hAnsi="Garamond" w:cs="Times New Roman"/>
          <w:sz w:val="24"/>
          <w:szCs w:val="24"/>
        </w:rPr>
        <w:t xml:space="preserve">tregues </w:t>
      </w:r>
      <w:r w:rsidRPr="00B31292">
        <w:rPr>
          <w:rFonts w:ascii="Garamond" w:hAnsi="Garamond" w:cs="Times New Roman"/>
          <w:sz w:val="24"/>
          <w:szCs w:val="24"/>
        </w:rPr>
        <w:t>statistikorë mbi mbetjet e ngurta urbane, mbetjet e ngurta industriale;</w:t>
      </w:r>
      <w:r w:rsidR="007E535A" w:rsidRPr="00B31292">
        <w:rPr>
          <w:rFonts w:ascii="Garamond" w:hAnsi="Garamond" w:cs="Times New Roman"/>
          <w:sz w:val="24"/>
          <w:szCs w:val="24"/>
        </w:rPr>
        <w:t xml:space="preserve"> </w:t>
      </w:r>
      <w:r w:rsidRPr="00B31292">
        <w:rPr>
          <w:rFonts w:ascii="Garamond" w:hAnsi="Garamond" w:cs="Times New Roman"/>
          <w:sz w:val="24"/>
          <w:szCs w:val="24"/>
        </w:rPr>
        <w:t xml:space="preserve">cilësinë e ujërave larës në detet Adriatik dhe Jon; </w:t>
      </w:r>
      <w:r w:rsidR="00C05652" w:rsidRPr="00B31292">
        <w:rPr>
          <w:rFonts w:ascii="Garamond" w:hAnsi="Garamond" w:cs="Times New Roman"/>
          <w:sz w:val="24"/>
          <w:szCs w:val="24"/>
        </w:rPr>
        <w:t xml:space="preserve">tregues </w:t>
      </w:r>
      <w:r w:rsidRPr="00B31292">
        <w:rPr>
          <w:rFonts w:ascii="Garamond" w:hAnsi="Garamond" w:cs="Times New Roman"/>
          <w:sz w:val="24"/>
          <w:szCs w:val="24"/>
        </w:rPr>
        <w:t xml:space="preserve">mbi ujin, cilësinë e ajrit dhe zhurmat në nivel vendi dhe në qytete </w:t>
      </w:r>
      <w:r w:rsidRPr="00B31292">
        <w:rPr>
          <w:rFonts w:ascii="Garamond" w:hAnsi="Garamond" w:cs="Times New Roman"/>
          <w:sz w:val="24"/>
          <w:szCs w:val="24"/>
        </w:rPr>
        <w:lastRenderedPageBreak/>
        <w:t>kryesore</w:t>
      </w:r>
      <w:r w:rsidR="007E535A" w:rsidRPr="00B31292">
        <w:rPr>
          <w:rFonts w:ascii="Garamond" w:hAnsi="Garamond" w:cs="Times New Roman"/>
          <w:sz w:val="24"/>
          <w:szCs w:val="24"/>
        </w:rPr>
        <w:t xml:space="preserve">, </w:t>
      </w:r>
      <w:r w:rsidRPr="00B31292">
        <w:rPr>
          <w:rFonts w:ascii="Garamond" w:hAnsi="Garamond" w:cs="Times New Roman"/>
          <w:sz w:val="24"/>
          <w:szCs w:val="24"/>
        </w:rPr>
        <w:t>speciet e rrezikuara dhe ato të mbrojtura për florën dhe faunën,</w:t>
      </w:r>
      <w:r w:rsidR="000E7807" w:rsidRPr="00B31292">
        <w:rPr>
          <w:rFonts w:ascii="Garamond" w:hAnsi="Garamond" w:cs="Times New Roman"/>
          <w:sz w:val="24"/>
          <w:szCs w:val="24"/>
        </w:rPr>
        <w:t xml:space="preserve"> </w:t>
      </w:r>
      <w:r w:rsidRPr="00B31292">
        <w:rPr>
          <w:rFonts w:ascii="Garamond" w:hAnsi="Garamond" w:cs="Times New Roman"/>
          <w:sz w:val="24"/>
          <w:szCs w:val="24"/>
        </w:rPr>
        <w:t>si dhe tregues mbi numrin dhe sipërfaqen e zonave të mbrojtura.</w:t>
      </w:r>
    </w:p>
    <w:p w14:paraId="13CD611C" w14:textId="533DF7E6" w:rsidR="00675AE2" w:rsidRPr="00B31292" w:rsidRDefault="00675AE2" w:rsidP="003A4DBA">
      <w:pPr>
        <w:spacing w:after="0" w:line="240" w:lineRule="auto"/>
        <w:ind w:firstLine="284"/>
        <w:contextualSpacing/>
        <w:jc w:val="both"/>
        <w:rPr>
          <w:rFonts w:ascii="Garamond" w:hAnsi="Garamond" w:cs="Times New Roman"/>
          <w:sz w:val="24"/>
          <w:szCs w:val="24"/>
        </w:rPr>
      </w:pPr>
      <w:r w:rsidRPr="00B31292">
        <w:rPr>
          <w:rFonts w:ascii="Garamond" w:hAnsi="Garamond" w:cs="Times New Roman"/>
          <w:b/>
          <w:sz w:val="24"/>
          <w:szCs w:val="24"/>
        </w:rPr>
        <w:t xml:space="preserve">Përputhshmëria me </w:t>
      </w:r>
      <w:r w:rsidRPr="00B31292">
        <w:rPr>
          <w:rFonts w:ascii="Garamond" w:hAnsi="Garamond" w:cs="Times New Roman"/>
          <w:b/>
          <w:i/>
          <w:sz w:val="24"/>
          <w:szCs w:val="24"/>
        </w:rPr>
        <w:t>acquis</w:t>
      </w:r>
      <w:r w:rsidRPr="00B31292">
        <w:rPr>
          <w:rFonts w:ascii="Garamond" w:hAnsi="Garamond" w:cs="Times New Roman"/>
          <w:b/>
          <w:sz w:val="24"/>
          <w:szCs w:val="24"/>
        </w:rPr>
        <w:t xml:space="preserve">: </w:t>
      </w:r>
      <w:r w:rsidRPr="00B31292">
        <w:rPr>
          <w:rFonts w:ascii="Garamond" w:hAnsi="Garamond" w:cs="Times New Roman"/>
          <w:i/>
          <w:sz w:val="24"/>
          <w:szCs w:val="24"/>
        </w:rPr>
        <w:t xml:space="preserve">Llogaritë </w:t>
      </w:r>
      <w:r w:rsidR="007E5CD9" w:rsidRPr="00B31292">
        <w:rPr>
          <w:rFonts w:ascii="Garamond" w:hAnsi="Garamond" w:cs="Times New Roman"/>
          <w:i/>
          <w:sz w:val="24"/>
          <w:szCs w:val="24"/>
        </w:rPr>
        <w:t>monetare në mjedis</w:t>
      </w:r>
      <w:r w:rsidR="007E5CD9" w:rsidRPr="00B31292">
        <w:rPr>
          <w:rFonts w:ascii="Garamond" w:hAnsi="Garamond" w:cs="Times New Roman"/>
          <w:sz w:val="24"/>
          <w:szCs w:val="24"/>
        </w:rPr>
        <w:t xml:space="preserve"> </w:t>
      </w:r>
      <w:r w:rsidRPr="00B31292">
        <w:rPr>
          <w:rFonts w:ascii="Garamond" w:hAnsi="Garamond" w:cs="Times New Roman"/>
          <w:sz w:val="24"/>
          <w:szCs w:val="24"/>
        </w:rPr>
        <w:t xml:space="preserve">bazohen në </w:t>
      </w:r>
      <w:r w:rsidR="007E5CD9" w:rsidRPr="00B31292">
        <w:rPr>
          <w:rFonts w:ascii="Garamond" w:hAnsi="Garamond" w:cs="Times New Roman"/>
          <w:sz w:val="24"/>
          <w:szCs w:val="24"/>
        </w:rPr>
        <w:t>r</w:t>
      </w:r>
      <w:r w:rsidRPr="00B31292">
        <w:rPr>
          <w:rFonts w:ascii="Garamond" w:hAnsi="Garamond" w:cs="Times New Roman"/>
          <w:sz w:val="24"/>
          <w:szCs w:val="24"/>
        </w:rPr>
        <w:t>regulloren (KE) 691/2011</w:t>
      </w:r>
      <w:r w:rsidR="007843CA" w:rsidRPr="00B31292">
        <w:rPr>
          <w:rFonts w:ascii="Garamond" w:hAnsi="Garamond" w:cs="Times New Roman"/>
          <w:sz w:val="24"/>
          <w:szCs w:val="24"/>
        </w:rPr>
        <w:t>,</w:t>
      </w:r>
      <w:r w:rsidRPr="00B31292">
        <w:rPr>
          <w:rFonts w:ascii="Garamond" w:hAnsi="Garamond" w:cs="Times New Roman"/>
          <w:sz w:val="24"/>
          <w:szCs w:val="24"/>
        </w:rPr>
        <w:t xml:space="preserve"> </w:t>
      </w:r>
      <w:r w:rsidR="00BA12C3" w:rsidRPr="00B31292">
        <w:rPr>
          <w:rFonts w:ascii="Garamond" w:hAnsi="Garamond" w:cs="Times New Roman"/>
          <w:sz w:val="24"/>
          <w:szCs w:val="24"/>
        </w:rPr>
        <w:t>“</w:t>
      </w:r>
      <w:r w:rsidRPr="00B31292">
        <w:rPr>
          <w:rFonts w:ascii="Garamond" w:hAnsi="Garamond" w:cs="Times New Roman"/>
          <w:sz w:val="24"/>
          <w:szCs w:val="24"/>
        </w:rPr>
        <w:t xml:space="preserve">Për </w:t>
      </w:r>
      <w:r w:rsidR="007E5CD9" w:rsidRPr="00B31292">
        <w:rPr>
          <w:rFonts w:ascii="Garamond" w:hAnsi="Garamond" w:cs="Times New Roman"/>
          <w:sz w:val="24"/>
          <w:szCs w:val="24"/>
        </w:rPr>
        <w:t>llogaritë ekonomike evropiane mjedisore</w:t>
      </w:r>
      <w:r w:rsidR="00BA12C3" w:rsidRPr="00B31292">
        <w:rPr>
          <w:rFonts w:ascii="Garamond" w:hAnsi="Garamond" w:cs="Times New Roman"/>
          <w:sz w:val="24"/>
          <w:szCs w:val="24"/>
        </w:rPr>
        <w:t>”</w:t>
      </w:r>
      <w:r w:rsidRPr="00B31292">
        <w:rPr>
          <w:rFonts w:ascii="Garamond" w:hAnsi="Garamond" w:cs="Times New Roman"/>
          <w:sz w:val="24"/>
          <w:szCs w:val="24"/>
        </w:rPr>
        <w:t xml:space="preserve">. </w:t>
      </w:r>
      <w:r w:rsidRPr="00B31292">
        <w:rPr>
          <w:rFonts w:ascii="Garamond" w:hAnsi="Garamond" w:cs="Times New Roman"/>
          <w:i/>
          <w:sz w:val="24"/>
          <w:szCs w:val="24"/>
        </w:rPr>
        <w:t xml:space="preserve">Llogaritë </w:t>
      </w:r>
      <w:r w:rsidR="007E5CD9" w:rsidRPr="00B31292">
        <w:rPr>
          <w:rFonts w:ascii="Garamond" w:hAnsi="Garamond" w:cs="Times New Roman"/>
          <w:i/>
          <w:sz w:val="24"/>
          <w:szCs w:val="24"/>
        </w:rPr>
        <w:t>fizike mjedisore</w:t>
      </w:r>
      <w:r w:rsidR="007E5CD9" w:rsidRPr="00B31292">
        <w:rPr>
          <w:rFonts w:ascii="Garamond" w:hAnsi="Garamond" w:cs="Times New Roman"/>
          <w:sz w:val="24"/>
          <w:szCs w:val="24"/>
        </w:rPr>
        <w:t xml:space="preserve"> </w:t>
      </w:r>
      <w:r w:rsidRPr="00B31292">
        <w:rPr>
          <w:rFonts w:ascii="Garamond" w:hAnsi="Garamond" w:cs="Times New Roman"/>
          <w:sz w:val="24"/>
          <w:szCs w:val="24"/>
        </w:rPr>
        <w:t xml:space="preserve">bazohen në </w:t>
      </w:r>
      <w:r w:rsidR="007E5CD9" w:rsidRPr="00B31292">
        <w:rPr>
          <w:rFonts w:ascii="Garamond" w:hAnsi="Garamond" w:cs="Times New Roman"/>
          <w:sz w:val="24"/>
          <w:szCs w:val="24"/>
        </w:rPr>
        <w:t>r</w:t>
      </w:r>
      <w:r w:rsidRPr="00B31292">
        <w:rPr>
          <w:rFonts w:ascii="Garamond" w:hAnsi="Garamond" w:cs="Times New Roman"/>
          <w:sz w:val="24"/>
          <w:szCs w:val="24"/>
        </w:rPr>
        <w:t>regulloren (KE) 691/2011</w:t>
      </w:r>
      <w:r w:rsidR="007843CA" w:rsidRPr="00B31292">
        <w:rPr>
          <w:rFonts w:ascii="Garamond" w:hAnsi="Garamond" w:cs="Times New Roman"/>
          <w:sz w:val="24"/>
          <w:szCs w:val="24"/>
        </w:rPr>
        <w:t>, “</w:t>
      </w:r>
      <w:r w:rsidRPr="00B31292">
        <w:rPr>
          <w:rFonts w:ascii="Garamond" w:hAnsi="Garamond" w:cs="Times New Roman"/>
          <w:sz w:val="24"/>
          <w:szCs w:val="24"/>
        </w:rPr>
        <w:t xml:space="preserve">Për </w:t>
      </w:r>
      <w:r w:rsidR="007E5CD9" w:rsidRPr="00B31292">
        <w:rPr>
          <w:rFonts w:ascii="Garamond" w:hAnsi="Garamond" w:cs="Times New Roman"/>
          <w:sz w:val="24"/>
          <w:szCs w:val="24"/>
        </w:rPr>
        <w:t>llogaritë ekonomike evropiane mjedisore</w:t>
      </w:r>
      <w:r w:rsidR="00BA12C3" w:rsidRPr="00B31292">
        <w:rPr>
          <w:rFonts w:ascii="Garamond" w:hAnsi="Garamond" w:cs="Times New Roman"/>
          <w:sz w:val="24"/>
          <w:szCs w:val="24"/>
        </w:rPr>
        <w:t>”</w:t>
      </w:r>
      <w:r w:rsidRPr="00B31292">
        <w:rPr>
          <w:rFonts w:ascii="Garamond" w:hAnsi="Garamond" w:cs="Times New Roman"/>
          <w:sz w:val="24"/>
          <w:szCs w:val="24"/>
        </w:rPr>
        <w:t xml:space="preserve">. Përkufizimet e përdorura janë kryesisht në përputhje me këtë rregullore. </w:t>
      </w:r>
      <w:r w:rsidRPr="00B31292">
        <w:rPr>
          <w:rFonts w:ascii="Garamond" w:hAnsi="Garamond" w:cs="Times New Roman"/>
          <w:i/>
          <w:sz w:val="24"/>
          <w:szCs w:val="24"/>
        </w:rPr>
        <w:t xml:space="preserve">Llogaritë e </w:t>
      </w:r>
      <w:r w:rsidR="007E5CD9" w:rsidRPr="00B31292">
        <w:rPr>
          <w:rFonts w:ascii="Garamond" w:hAnsi="Garamond" w:cs="Times New Roman"/>
          <w:i/>
          <w:sz w:val="24"/>
          <w:szCs w:val="24"/>
        </w:rPr>
        <w:t>flukseve të materialeve mjedisore</w:t>
      </w:r>
      <w:r w:rsidR="007E5CD9" w:rsidRPr="00B31292">
        <w:rPr>
          <w:rFonts w:ascii="Garamond" w:hAnsi="Garamond" w:cs="Times New Roman"/>
          <w:sz w:val="24"/>
          <w:szCs w:val="24"/>
        </w:rPr>
        <w:t xml:space="preserve"> </w:t>
      </w:r>
      <w:r w:rsidRPr="00B31292">
        <w:rPr>
          <w:rFonts w:ascii="Garamond" w:hAnsi="Garamond" w:cs="Times New Roman"/>
          <w:sz w:val="24"/>
          <w:szCs w:val="24"/>
        </w:rPr>
        <w:t>publikohen nga INSTAT</w:t>
      </w:r>
      <w:r w:rsidR="007843CA" w:rsidRPr="00B31292">
        <w:rPr>
          <w:rFonts w:ascii="Garamond" w:hAnsi="Garamond" w:cs="Times New Roman"/>
          <w:sz w:val="24"/>
          <w:szCs w:val="24"/>
        </w:rPr>
        <w:t>-i</w:t>
      </w:r>
      <w:r w:rsidRPr="00B31292">
        <w:rPr>
          <w:rFonts w:ascii="Garamond" w:hAnsi="Garamond" w:cs="Times New Roman"/>
          <w:sz w:val="24"/>
          <w:szCs w:val="24"/>
        </w:rPr>
        <w:t xml:space="preserve"> me periodicitet vjetor dhe në përputhje me metodologjinë e BE-së.</w:t>
      </w:r>
      <w:r w:rsidR="00A4212C" w:rsidRPr="00B31292">
        <w:rPr>
          <w:rFonts w:ascii="Garamond" w:hAnsi="Garamond" w:cs="Times New Roman"/>
          <w:b/>
          <w:sz w:val="24"/>
          <w:szCs w:val="24"/>
        </w:rPr>
        <w:t xml:space="preserve"> </w:t>
      </w:r>
      <w:r w:rsidRPr="00B31292">
        <w:rPr>
          <w:rFonts w:ascii="Garamond" w:hAnsi="Garamond" w:cs="Times New Roman"/>
          <w:i/>
          <w:sz w:val="24"/>
          <w:szCs w:val="24"/>
        </w:rPr>
        <w:t>Statistikat në fushën e mbetjeve të ngurta urbane</w:t>
      </w:r>
      <w:r w:rsidRPr="00B31292">
        <w:rPr>
          <w:rFonts w:ascii="Garamond" w:hAnsi="Garamond" w:cs="Times New Roman"/>
          <w:sz w:val="24"/>
          <w:szCs w:val="24"/>
        </w:rPr>
        <w:t xml:space="preserve"> realizohen duke zbatuar metodologjitë dhe standardet e parashikuara në rregulloret</w:t>
      </w:r>
      <w:r w:rsidR="007C53CD" w:rsidRPr="00B31292">
        <w:rPr>
          <w:rFonts w:ascii="Garamond" w:hAnsi="Garamond" w:cs="Times New Roman"/>
          <w:sz w:val="24"/>
          <w:szCs w:val="24"/>
        </w:rPr>
        <w:t xml:space="preserve"> si</w:t>
      </w:r>
      <w:r w:rsidRPr="00B31292">
        <w:rPr>
          <w:rFonts w:ascii="Garamond" w:hAnsi="Garamond" w:cs="Times New Roman"/>
          <w:sz w:val="24"/>
          <w:szCs w:val="24"/>
        </w:rPr>
        <w:t xml:space="preserve">: </w:t>
      </w:r>
      <w:r w:rsidR="007E5CD9" w:rsidRPr="00B31292">
        <w:rPr>
          <w:rFonts w:ascii="Garamond" w:hAnsi="Garamond" w:cs="Times New Roman"/>
          <w:sz w:val="24"/>
          <w:szCs w:val="24"/>
        </w:rPr>
        <w:t>r</w:t>
      </w:r>
      <w:r w:rsidRPr="00B31292">
        <w:rPr>
          <w:rFonts w:ascii="Garamond" w:hAnsi="Garamond" w:cs="Times New Roman"/>
          <w:sz w:val="24"/>
          <w:szCs w:val="24"/>
        </w:rPr>
        <w:t xml:space="preserve">regullorja (KE) </w:t>
      </w:r>
      <w:r w:rsidR="007843CA" w:rsidRPr="00B31292">
        <w:rPr>
          <w:rFonts w:ascii="Garamond" w:hAnsi="Garamond" w:cs="Times New Roman"/>
          <w:sz w:val="24"/>
          <w:szCs w:val="24"/>
        </w:rPr>
        <w:t>n</w:t>
      </w:r>
      <w:r w:rsidRPr="00B31292">
        <w:rPr>
          <w:rFonts w:ascii="Garamond" w:hAnsi="Garamond" w:cs="Times New Roman"/>
          <w:sz w:val="24"/>
          <w:szCs w:val="24"/>
        </w:rPr>
        <w:t>r. 2150/2002</w:t>
      </w:r>
      <w:r w:rsidR="007843CA" w:rsidRPr="00B31292">
        <w:rPr>
          <w:rFonts w:ascii="Garamond" w:hAnsi="Garamond" w:cs="Times New Roman"/>
          <w:sz w:val="24"/>
          <w:szCs w:val="24"/>
        </w:rPr>
        <w:t>,</w:t>
      </w:r>
      <w:r w:rsidRPr="00B31292">
        <w:rPr>
          <w:rFonts w:ascii="Garamond" w:hAnsi="Garamond" w:cs="Times New Roman"/>
          <w:sz w:val="24"/>
          <w:szCs w:val="24"/>
        </w:rPr>
        <w:t xml:space="preserve"> </w:t>
      </w:r>
      <w:r w:rsidR="00BA12C3" w:rsidRPr="00B31292">
        <w:rPr>
          <w:rFonts w:ascii="Garamond" w:hAnsi="Garamond" w:cs="Times New Roman"/>
          <w:sz w:val="24"/>
          <w:szCs w:val="24"/>
        </w:rPr>
        <w:t>“</w:t>
      </w:r>
      <w:r w:rsidRPr="00B31292">
        <w:rPr>
          <w:rFonts w:ascii="Garamond" w:hAnsi="Garamond" w:cs="Times New Roman"/>
          <w:sz w:val="24"/>
          <w:szCs w:val="24"/>
        </w:rPr>
        <w:t>Për statistikat e mbetjeve</w:t>
      </w:r>
      <w:r w:rsidR="00BA12C3" w:rsidRPr="00B31292">
        <w:rPr>
          <w:rFonts w:ascii="Garamond" w:hAnsi="Garamond" w:cs="Times New Roman"/>
          <w:sz w:val="24"/>
          <w:szCs w:val="24"/>
        </w:rPr>
        <w:t>”</w:t>
      </w:r>
      <w:r w:rsidRPr="00B31292">
        <w:rPr>
          <w:rFonts w:ascii="Garamond" w:hAnsi="Garamond" w:cs="Times New Roman"/>
          <w:sz w:val="24"/>
          <w:szCs w:val="24"/>
        </w:rPr>
        <w:t xml:space="preserve">, </w:t>
      </w:r>
      <w:r w:rsidR="007E5CD9" w:rsidRPr="00B31292">
        <w:rPr>
          <w:rFonts w:ascii="Garamond" w:hAnsi="Garamond" w:cs="Times New Roman"/>
          <w:sz w:val="24"/>
          <w:szCs w:val="24"/>
        </w:rPr>
        <w:t>d</w:t>
      </w:r>
      <w:r w:rsidRPr="00B31292">
        <w:rPr>
          <w:rFonts w:ascii="Garamond" w:hAnsi="Garamond" w:cs="Times New Roman"/>
          <w:sz w:val="24"/>
          <w:szCs w:val="24"/>
        </w:rPr>
        <w:t xml:space="preserve">irektiva e Këshillit të Evropës </w:t>
      </w:r>
      <w:r w:rsidR="007E5CD9" w:rsidRPr="00B31292">
        <w:rPr>
          <w:rFonts w:ascii="Garamond" w:hAnsi="Garamond" w:cs="Times New Roman"/>
          <w:sz w:val="24"/>
          <w:szCs w:val="24"/>
        </w:rPr>
        <w:t>n</w:t>
      </w:r>
      <w:r w:rsidRPr="00B31292">
        <w:rPr>
          <w:rFonts w:ascii="Garamond" w:hAnsi="Garamond" w:cs="Times New Roman"/>
          <w:sz w:val="24"/>
          <w:szCs w:val="24"/>
        </w:rPr>
        <w:t xml:space="preserve">r. </w:t>
      </w:r>
      <w:r w:rsidR="007E5CD9" w:rsidRPr="00B31292">
        <w:rPr>
          <w:rFonts w:ascii="Garamond" w:hAnsi="Garamond" w:cs="Times New Roman"/>
          <w:sz w:val="24"/>
          <w:szCs w:val="24"/>
        </w:rPr>
        <w:t>B</w:t>
      </w:r>
      <w:r w:rsidRPr="00B31292">
        <w:rPr>
          <w:rFonts w:ascii="Garamond" w:hAnsi="Garamond" w:cs="Times New Roman"/>
          <w:sz w:val="24"/>
          <w:szCs w:val="24"/>
        </w:rPr>
        <w:t xml:space="preserve">2008/98/EC </w:t>
      </w:r>
      <w:r w:rsidR="00BA12C3" w:rsidRPr="00B31292">
        <w:rPr>
          <w:rFonts w:ascii="Garamond" w:hAnsi="Garamond" w:cs="Times New Roman"/>
          <w:sz w:val="24"/>
          <w:szCs w:val="24"/>
        </w:rPr>
        <w:t>“</w:t>
      </w:r>
      <w:r w:rsidRPr="00B31292">
        <w:rPr>
          <w:rFonts w:ascii="Garamond" w:hAnsi="Garamond" w:cs="Times New Roman"/>
          <w:sz w:val="24"/>
          <w:szCs w:val="24"/>
        </w:rPr>
        <w:t>Për mbetjet dhe raportimin e detyrueshëm të statistikave për mbetjet</w:t>
      </w:r>
      <w:r w:rsidR="00BA12C3" w:rsidRPr="00B31292">
        <w:rPr>
          <w:rFonts w:ascii="Garamond" w:hAnsi="Garamond" w:cs="Times New Roman"/>
          <w:sz w:val="24"/>
          <w:szCs w:val="24"/>
        </w:rPr>
        <w:t>”</w:t>
      </w:r>
      <w:r w:rsidRPr="00B31292">
        <w:rPr>
          <w:rFonts w:ascii="Garamond" w:hAnsi="Garamond" w:cs="Times New Roman"/>
          <w:sz w:val="24"/>
          <w:szCs w:val="24"/>
        </w:rPr>
        <w:t xml:space="preserve">, </w:t>
      </w:r>
      <w:r w:rsidR="007E5CD9" w:rsidRPr="00B31292">
        <w:rPr>
          <w:rFonts w:ascii="Garamond" w:hAnsi="Garamond" w:cs="Times New Roman"/>
          <w:sz w:val="24"/>
          <w:szCs w:val="24"/>
        </w:rPr>
        <w:t>r</w:t>
      </w:r>
      <w:r w:rsidRPr="00B31292">
        <w:rPr>
          <w:rFonts w:ascii="Garamond" w:hAnsi="Garamond" w:cs="Times New Roman"/>
          <w:sz w:val="24"/>
          <w:szCs w:val="24"/>
        </w:rPr>
        <w:t xml:space="preserve">regullorja (KE) </w:t>
      </w:r>
      <w:r w:rsidR="007843CA" w:rsidRPr="00B31292">
        <w:rPr>
          <w:rFonts w:ascii="Garamond" w:hAnsi="Garamond" w:cs="Times New Roman"/>
          <w:sz w:val="24"/>
          <w:szCs w:val="24"/>
        </w:rPr>
        <w:t>n</w:t>
      </w:r>
      <w:r w:rsidRPr="00B31292">
        <w:rPr>
          <w:rFonts w:ascii="Garamond" w:hAnsi="Garamond" w:cs="Times New Roman"/>
          <w:sz w:val="24"/>
          <w:szCs w:val="24"/>
        </w:rPr>
        <w:t xml:space="preserve">r. 782/2005, që përcakton formatin e detyrueshëm për transmetimin e rezultateve në statistikat e mbetjeve, </w:t>
      </w:r>
      <w:r w:rsidR="007E5CD9" w:rsidRPr="00B31292">
        <w:rPr>
          <w:rFonts w:ascii="Garamond" w:hAnsi="Garamond" w:cs="Times New Roman"/>
          <w:sz w:val="24"/>
          <w:szCs w:val="24"/>
        </w:rPr>
        <w:t>r</w:t>
      </w:r>
      <w:r w:rsidRPr="00B31292">
        <w:rPr>
          <w:rFonts w:ascii="Garamond" w:hAnsi="Garamond" w:cs="Times New Roman"/>
          <w:sz w:val="24"/>
          <w:szCs w:val="24"/>
        </w:rPr>
        <w:t xml:space="preserve">regullorja (KE) </w:t>
      </w:r>
      <w:r w:rsidR="007843CA" w:rsidRPr="00B31292">
        <w:rPr>
          <w:rFonts w:ascii="Garamond" w:hAnsi="Garamond" w:cs="Times New Roman"/>
          <w:sz w:val="24"/>
          <w:szCs w:val="24"/>
        </w:rPr>
        <w:t>n</w:t>
      </w:r>
      <w:r w:rsidRPr="00B31292">
        <w:rPr>
          <w:rFonts w:ascii="Garamond" w:hAnsi="Garamond" w:cs="Times New Roman"/>
          <w:sz w:val="24"/>
          <w:szCs w:val="24"/>
        </w:rPr>
        <w:t xml:space="preserve">r. 783/2005, </w:t>
      </w:r>
      <w:r w:rsidR="007843CA" w:rsidRPr="00B31292">
        <w:rPr>
          <w:rFonts w:ascii="Garamond" w:hAnsi="Garamond" w:cs="Times New Roman"/>
          <w:sz w:val="24"/>
          <w:szCs w:val="24"/>
        </w:rPr>
        <w:t>s</w:t>
      </w:r>
      <w:r w:rsidRPr="00B31292">
        <w:rPr>
          <w:rFonts w:ascii="Garamond" w:hAnsi="Garamond" w:cs="Times New Roman"/>
          <w:sz w:val="24"/>
          <w:szCs w:val="24"/>
        </w:rPr>
        <w:t xml:space="preserve">htojca II për rregulloren e mbetjeve, </w:t>
      </w:r>
      <w:r w:rsidR="007E5CD9" w:rsidRPr="00B31292">
        <w:rPr>
          <w:rFonts w:ascii="Garamond" w:hAnsi="Garamond" w:cs="Times New Roman"/>
          <w:sz w:val="24"/>
          <w:szCs w:val="24"/>
        </w:rPr>
        <w:t>d</w:t>
      </w:r>
      <w:r w:rsidRPr="00B31292">
        <w:rPr>
          <w:rFonts w:ascii="Garamond" w:hAnsi="Garamond" w:cs="Times New Roman"/>
          <w:sz w:val="24"/>
          <w:szCs w:val="24"/>
        </w:rPr>
        <w:t xml:space="preserve">irektiva e Këshillit të Evropës </w:t>
      </w:r>
      <w:r w:rsidR="007843CA" w:rsidRPr="00B31292">
        <w:rPr>
          <w:rFonts w:ascii="Garamond" w:hAnsi="Garamond" w:cs="Times New Roman"/>
          <w:sz w:val="24"/>
          <w:szCs w:val="24"/>
        </w:rPr>
        <w:t>n</w:t>
      </w:r>
      <w:r w:rsidRPr="00B31292">
        <w:rPr>
          <w:rFonts w:ascii="Garamond" w:hAnsi="Garamond" w:cs="Times New Roman"/>
          <w:sz w:val="24"/>
          <w:szCs w:val="24"/>
        </w:rPr>
        <w:t>r. 2150/2002</w:t>
      </w:r>
      <w:r w:rsidR="007843CA" w:rsidRPr="00B31292">
        <w:rPr>
          <w:rFonts w:ascii="Garamond" w:hAnsi="Garamond" w:cs="Times New Roman"/>
          <w:sz w:val="24"/>
          <w:szCs w:val="24"/>
        </w:rPr>
        <w:t>,</w:t>
      </w:r>
      <w:r w:rsidRPr="00B31292">
        <w:rPr>
          <w:rFonts w:ascii="Garamond" w:hAnsi="Garamond" w:cs="Times New Roman"/>
          <w:sz w:val="24"/>
          <w:szCs w:val="24"/>
        </w:rPr>
        <w:t xml:space="preserve"> </w:t>
      </w:r>
      <w:r w:rsidR="00BA12C3" w:rsidRPr="00B31292">
        <w:rPr>
          <w:rFonts w:ascii="Garamond" w:hAnsi="Garamond" w:cs="Times New Roman"/>
          <w:sz w:val="24"/>
          <w:szCs w:val="24"/>
        </w:rPr>
        <w:t>“</w:t>
      </w:r>
      <w:r w:rsidRPr="00B31292">
        <w:rPr>
          <w:rFonts w:ascii="Garamond" w:hAnsi="Garamond" w:cs="Times New Roman"/>
          <w:sz w:val="24"/>
          <w:szCs w:val="24"/>
        </w:rPr>
        <w:t>Për kriteret e duhura të vlerësimit të cilësisë dhe përmbajtjen e raporteve të cilësisë për statistikat e mbetjeve</w:t>
      </w:r>
      <w:r w:rsidR="00BA12C3" w:rsidRPr="00B31292">
        <w:rPr>
          <w:rFonts w:ascii="Garamond" w:hAnsi="Garamond" w:cs="Times New Roman"/>
          <w:sz w:val="24"/>
          <w:szCs w:val="24"/>
        </w:rPr>
        <w:t>”</w:t>
      </w:r>
      <w:r w:rsidRPr="00B31292">
        <w:rPr>
          <w:rFonts w:ascii="Garamond" w:hAnsi="Garamond" w:cs="Times New Roman"/>
          <w:sz w:val="24"/>
          <w:szCs w:val="24"/>
        </w:rPr>
        <w:t xml:space="preserve">, </w:t>
      </w:r>
      <w:r w:rsidR="007E5CD9" w:rsidRPr="00B31292">
        <w:rPr>
          <w:rFonts w:ascii="Garamond" w:hAnsi="Garamond" w:cs="Times New Roman"/>
          <w:sz w:val="24"/>
          <w:szCs w:val="24"/>
        </w:rPr>
        <w:t>r</w:t>
      </w:r>
      <w:r w:rsidRPr="00B31292">
        <w:rPr>
          <w:rFonts w:ascii="Garamond" w:hAnsi="Garamond" w:cs="Times New Roman"/>
          <w:sz w:val="24"/>
          <w:szCs w:val="24"/>
        </w:rPr>
        <w:t xml:space="preserve">regullorja (KE) </w:t>
      </w:r>
      <w:r w:rsidR="007843CA" w:rsidRPr="00B31292">
        <w:rPr>
          <w:rFonts w:ascii="Garamond" w:hAnsi="Garamond" w:cs="Times New Roman"/>
          <w:sz w:val="24"/>
          <w:szCs w:val="24"/>
        </w:rPr>
        <w:t>n</w:t>
      </w:r>
      <w:r w:rsidRPr="00B31292">
        <w:rPr>
          <w:rFonts w:ascii="Garamond" w:hAnsi="Garamond" w:cs="Times New Roman"/>
          <w:sz w:val="24"/>
          <w:szCs w:val="24"/>
        </w:rPr>
        <w:t>r. 849/2010</w:t>
      </w:r>
      <w:r w:rsidR="007843CA" w:rsidRPr="00B31292">
        <w:rPr>
          <w:rFonts w:ascii="Garamond" w:hAnsi="Garamond" w:cs="Times New Roman"/>
          <w:sz w:val="24"/>
          <w:szCs w:val="24"/>
        </w:rPr>
        <w:t>,</w:t>
      </w:r>
      <w:r w:rsidRPr="00B31292">
        <w:rPr>
          <w:rFonts w:ascii="Garamond" w:hAnsi="Garamond" w:cs="Times New Roman"/>
          <w:sz w:val="24"/>
          <w:szCs w:val="24"/>
        </w:rPr>
        <w:t xml:space="preserve"> </w:t>
      </w:r>
      <w:r w:rsidR="00BA12C3" w:rsidRPr="00B31292">
        <w:rPr>
          <w:rFonts w:ascii="Garamond" w:hAnsi="Garamond" w:cs="Times New Roman"/>
          <w:sz w:val="24"/>
          <w:szCs w:val="24"/>
        </w:rPr>
        <w:t>“</w:t>
      </w:r>
      <w:r w:rsidRPr="00B31292">
        <w:rPr>
          <w:rFonts w:ascii="Garamond" w:hAnsi="Garamond" w:cs="Times New Roman"/>
          <w:sz w:val="24"/>
          <w:szCs w:val="24"/>
        </w:rPr>
        <w:t>Për menaxhimin e mbetjeve urbane</w:t>
      </w:r>
      <w:r w:rsidR="00BA12C3" w:rsidRPr="00B31292">
        <w:rPr>
          <w:rFonts w:ascii="Garamond" w:hAnsi="Garamond" w:cs="Times New Roman"/>
          <w:sz w:val="24"/>
          <w:szCs w:val="24"/>
        </w:rPr>
        <w:t>”</w:t>
      </w:r>
      <w:r w:rsidRPr="00B31292">
        <w:rPr>
          <w:rFonts w:ascii="Garamond" w:hAnsi="Garamond" w:cs="Times New Roman"/>
          <w:sz w:val="24"/>
          <w:szCs w:val="24"/>
        </w:rPr>
        <w:t xml:space="preserve"> dhe </w:t>
      </w:r>
      <w:r w:rsidR="007E5CD9" w:rsidRPr="00B31292">
        <w:rPr>
          <w:rFonts w:ascii="Garamond" w:hAnsi="Garamond" w:cs="Times New Roman"/>
          <w:sz w:val="24"/>
          <w:szCs w:val="24"/>
        </w:rPr>
        <w:t>m</w:t>
      </w:r>
      <w:r w:rsidRPr="00B31292">
        <w:rPr>
          <w:rFonts w:ascii="Garamond" w:hAnsi="Garamond" w:cs="Times New Roman"/>
          <w:sz w:val="24"/>
          <w:szCs w:val="24"/>
        </w:rPr>
        <w:t xml:space="preserve">anuali i </w:t>
      </w:r>
      <w:r w:rsidR="009C0CE9" w:rsidRPr="00B31292">
        <w:rPr>
          <w:rFonts w:ascii="Garamond" w:hAnsi="Garamond" w:cs="Times New Roman"/>
          <w:sz w:val="24"/>
          <w:szCs w:val="24"/>
        </w:rPr>
        <w:t>Eurostat</w:t>
      </w:r>
      <w:r w:rsidRPr="00B31292">
        <w:rPr>
          <w:rFonts w:ascii="Garamond" w:hAnsi="Garamond" w:cs="Times New Roman"/>
          <w:sz w:val="24"/>
          <w:szCs w:val="24"/>
        </w:rPr>
        <w:t>it për statistikat e mbetjeve, i amenduar.</w:t>
      </w:r>
      <w:r w:rsidR="007843CA" w:rsidRPr="00B31292">
        <w:rPr>
          <w:rFonts w:ascii="Garamond" w:hAnsi="Garamond" w:cs="Times New Roman"/>
          <w:sz w:val="24"/>
          <w:szCs w:val="24"/>
        </w:rPr>
        <w:t xml:space="preserve"> </w:t>
      </w:r>
      <w:r w:rsidRPr="00B31292">
        <w:rPr>
          <w:rFonts w:ascii="Garamond" w:hAnsi="Garamond" w:cs="Times New Roman"/>
          <w:i/>
          <w:sz w:val="24"/>
          <w:szCs w:val="24"/>
        </w:rPr>
        <w:t>Statistikat në fushën e ujërave</w:t>
      </w:r>
      <w:r w:rsidRPr="00B31292">
        <w:rPr>
          <w:rFonts w:ascii="Garamond" w:hAnsi="Garamond" w:cs="Times New Roman"/>
          <w:sz w:val="24"/>
          <w:szCs w:val="24"/>
        </w:rPr>
        <w:t xml:space="preserve"> realizohen duke zbatuar metodologjitë sipas standardeve evropiane bazuar në rregulloret dhe direktivat e BE</w:t>
      </w:r>
      <w:r w:rsidR="007E5CD9" w:rsidRPr="00B31292">
        <w:rPr>
          <w:rFonts w:ascii="Garamond" w:hAnsi="Garamond" w:cs="Times New Roman"/>
          <w:sz w:val="24"/>
          <w:szCs w:val="24"/>
        </w:rPr>
        <w:t>-së</w:t>
      </w:r>
      <w:r w:rsidRPr="00B31292">
        <w:rPr>
          <w:rFonts w:ascii="Garamond" w:hAnsi="Garamond" w:cs="Times New Roman"/>
          <w:sz w:val="24"/>
          <w:szCs w:val="24"/>
        </w:rPr>
        <w:t xml:space="preserve">, </w:t>
      </w:r>
      <w:r w:rsidR="007E5CD9" w:rsidRPr="00B31292">
        <w:rPr>
          <w:rFonts w:ascii="Garamond" w:hAnsi="Garamond" w:cs="Times New Roman"/>
          <w:sz w:val="24"/>
          <w:szCs w:val="24"/>
        </w:rPr>
        <w:t>r</w:t>
      </w:r>
      <w:r w:rsidRPr="00B31292">
        <w:rPr>
          <w:rFonts w:ascii="Garamond" w:hAnsi="Garamond" w:cs="Times New Roman"/>
          <w:sz w:val="24"/>
          <w:szCs w:val="24"/>
        </w:rPr>
        <w:t>regullorja (KE) 2017/1951</w:t>
      </w:r>
      <w:r w:rsidR="007E5CD9" w:rsidRPr="00B31292">
        <w:rPr>
          <w:rFonts w:ascii="Garamond" w:hAnsi="Garamond" w:cs="Times New Roman"/>
          <w:sz w:val="24"/>
          <w:szCs w:val="24"/>
        </w:rPr>
        <w:t>,</w:t>
      </w:r>
      <w:r w:rsidRPr="00B31292">
        <w:rPr>
          <w:rFonts w:ascii="Garamond" w:hAnsi="Garamond" w:cs="Times New Roman"/>
          <w:sz w:val="24"/>
          <w:szCs w:val="24"/>
        </w:rPr>
        <w:t xml:space="preserve"> </w:t>
      </w:r>
      <w:r w:rsidR="00BA12C3" w:rsidRPr="00B31292">
        <w:rPr>
          <w:rFonts w:ascii="Garamond" w:hAnsi="Garamond" w:cs="Times New Roman"/>
          <w:sz w:val="24"/>
          <w:szCs w:val="24"/>
        </w:rPr>
        <w:t>“</w:t>
      </w:r>
      <w:r w:rsidRPr="00B31292">
        <w:rPr>
          <w:rFonts w:ascii="Garamond" w:hAnsi="Garamond" w:cs="Times New Roman"/>
          <w:sz w:val="24"/>
          <w:szCs w:val="24"/>
        </w:rPr>
        <w:t>Për programin e statistikave evropiane</w:t>
      </w:r>
      <w:r w:rsidR="00BA12C3" w:rsidRPr="00B31292">
        <w:rPr>
          <w:rFonts w:ascii="Garamond" w:hAnsi="Garamond" w:cs="Times New Roman"/>
          <w:sz w:val="24"/>
          <w:szCs w:val="24"/>
        </w:rPr>
        <w:t>”</w:t>
      </w:r>
      <w:r w:rsidRPr="00B31292">
        <w:rPr>
          <w:rFonts w:ascii="Garamond" w:hAnsi="Garamond" w:cs="Times New Roman"/>
          <w:sz w:val="24"/>
          <w:szCs w:val="24"/>
        </w:rPr>
        <w:t>.</w:t>
      </w:r>
    </w:p>
    <w:p w14:paraId="49132079" w14:textId="77777777" w:rsidR="00CC28FA" w:rsidRPr="00B31292" w:rsidRDefault="00CC28FA" w:rsidP="003A4DBA">
      <w:pPr>
        <w:spacing w:after="0" w:line="240" w:lineRule="auto"/>
        <w:ind w:firstLine="284"/>
        <w:contextualSpacing/>
        <w:jc w:val="both"/>
        <w:rPr>
          <w:rFonts w:ascii="Garamond" w:hAnsi="Garamond" w:cs="Times New Roman"/>
          <w:sz w:val="24"/>
          <w:szCs w:val="24"/>
        </w:rPr>
      </w:pPr>
      <w:r w:rsidRPr="00B31292">
        <w:rPr>
          <w:rFonts w:ascii="Garamond" w:hAnsi="Garamond" w:cs="Times New Roman"/>
          <w:sz w:val="24"/>
          <w:szCs w:val="24"/>
        </w:rPr>
        <w:t>Statistikat e kësaj teme statistikore janë pjesërisht në përputhje me rregulloret përkatëse.</w:t>
      </w:r>
    </w:p>
    <w:p w14:paraId="704F5061" w14:textId="76D017F3" w:rsidR="007931A1" w:rsidRPr="00B31292" w:rsidRDefault="00C923CC" w:rsidP="003A4DBA">
      <w:pPr>
        <w:keepNext/>
        <w:keepLines/>
        <w:spacing w:after="0" w:line="240" w:lineRule="auto"/>
        <w:ind w:firstLine="284"/>
        <w:outlineLvl w:val="4"/>
        <w:rPr>
          <w:rFonts w:ascii="Garamond" w:eastAsia="Times New Roman" w:hAnsi="Garamond" w:cs="Times New Roman"/>
          <w:b/>
          <w:iCs/>
          <w:sz w:val="24"/>
          <w:szCs w:val="24"/>
        </w:rPr>
      </w:pPr>
      <w:r w:rsidRPr="00B31292">
        <w:rPr>
          <w:rFonts w:ascii="Garamond" w:eastAsia="Times New Roman" w:hAnsi="Garamond" w:cs="Times New Roman"/>
          <w:b/>
          <w:iCs/>
          <w:sz w:val="24"/>
          <w:szCs w:val="24"/>
        </w:rPr>
        <w:t xml:space="preserve">Tema 4.2 </w:t>
      </w:r>
      <w:r w:rsidR="00BA12C3" w:rsidRPr="00B31292">
        <w:rPr>
          <w:rFonts w:ascii="Garamond" w:eastAsia="Times New Roman" w:hAnsi="Garamond" w:cs="Times New Roman"/>
          <w:b/>
          <w:iCs/>
          <w:sz w:val="24"/>
          <w:szCs w:val="24"/>
        </w:rPr>
        <w:t>“</w:t>
      </w:r>
      <w:r w:rsidRPr="00B31292">
        <w:rPr>
          <w:rFonts w:ascii="Garamond" w:eastAsia="Times New Roman" w:hAnsi="Garamond" w:cs="Times New Roman"/>
          <w:b/>
          <w:iCs/>
          <w:sz w:val="24"/>
          <w:szCs w:val="24"/>
        </w:rPr>
        <w:t>Multidomain</w:t>
      </w:r>
      <w:r w:rsidR="00BA12C3" w:rsidRPr="00B31292">
        <w:rPr>
          <w:rFonts w:ascii="Garamond" w:eastAsia="Times New Roman" w:hAnsi="Garamond" w:cs="Times New Roman"/>
          <w:b/>
          <w:iCs/>
          <w:sz w:val="24"/>
          <w:szCs w:val="24"/>
        </w:rPr>
        <w:t>”</w:t>
      </w:r>
    </w:p>
    <w:p w14:paraId="2DCB82F7" w14:textId="77777777" w:rsidR="007931A1" w:rsidRPr="00B31292" w:rsidRDefault="004A1996" w:rsidP="003A4DBA">
      <w:pPr>
        <w:spacing w:after="0" w:line="240" w:lineRule="auto"/>
        <w:ind w:firstLine="284"/>
        <w:contextualSpacing/>
        <w:jc w:val="both"/>
        <w:rPr>
          <w:rFonts w:ascii="Garamond" w:hAnsi="Garamond" w:cs="Times New Roman"/>
          <w:sz w:val="24"/>
          <w:szCs w:val="24"/>
        </w:rPr>
      </w:pPr>
      <w:r w:rsidRPr="00B31292">
        <w:rPr>
          <w:rFonts w:ascii="Garamond" w:hAnsi="Garamond" w:cs="Times New Roman"/>
          <w:sz w:val="24"/>
          <w:szCs w:val="24"/>
        </w:rPr>
        <w:t>Kjo temë përbëhet nga 2 nëntema:</w:t>
      </w:r>
    </w:p>
    <w:p w14:paraId="736BFC98" w14:textId="222A31DF" w:rsidR="00C923CC" w:rsidRPr="00B31292" w:rsidRDefault="004A1996" w:rsidP="003A4DBA">
      <w:pPr>
        <w:spacing w:after="0" w:line="240" w:lineRule="auto"/>
        <w:ind w:firstLine="284"/>
        <w:contextualSpacing/>
        <w:jc w:val="both"/>
        <w:rPr>
          <w:rFonts w:ascii="Garamond" w:eastAsia="Times New Roman" w:hAnsi="Garamond" w:cs="Times New Roman"/>
          <w:b/>
          <w:i/>
          <w:sz w:val="24"/>
          <w:szCs w:val="24"/>
        </w:rPr>
      </w:pPr>
      <w:r w:rsidRPr="00B31292">
        <w:rPr>
          <w:rFonts w:ascii="Garamond" w:hAnsi="Garamond" w:cs="Times New Roman"/>
          <w:i/>
          <w:sz w:val="24"/>
          <w:szCs w:val="24"/>
        </w:rPr>
        <w:t xml:space="preserve">4.2.1 Sistemi i Informacionit Gjeografik (GIS) për qëllime </w:t>
      </w:r>
      <w:r w:rsidR="007E5CD9" w:rsidRPr="00B31292">
        <w:rPr>
          <w:rFonts w:ascii="Garamond" w:hAnsi="Garamond" w:cs="Times New Roman"/>
          <w:i/>
          <w:sz w:val="24"/>
          <w:szCs w:val="24"/>
        </w:rPr>
        <w:t>s</w:t>
      </w:r>
      <w:r w:rsidRPr="00B31292">
        <w:rPr>
          <w:rFonts w:ascii="Garamond" w:hAnsi="Garamond" w:cs="Times New Roman"/>
          <w:i/>
          <w:sz w:val="24"/>
          <w:szCs w:val="24"/>
        </w:rPr>
        <w:t xml:space="preserve">tatistikore </w:t>
      </w:r>
      <w:r w:rsidR="007843CA" w:rsidRPr="00B31292">
        <w:rPr>
          <w:rFonts w:ascii="Garamond" w:hAnsi="Garamond" w:cs="Times New Roman"/>
          <w:i/>
          <w:sz w:val="24"/>
          <w:szCs w:val="24"/>
        </w:rPr>
        <w:t>–</w:t>
      </w:r>
      <w:r w:rsidRPr="00B31292">
        <w:rPr>
          <w:rFonts w:ascii="Garamond" w:hAnsi="Garamond" w:cs="Times New Roman"/>
          <w:i/>
          <w:sz w:val="24"/>
          <w:szCs w:val="24"/>
        </w:rPr>
        <w:t xml:space="preserve"> </w:t>
      </w:r>
      <w:r w:rsidR="007E5CD9" w:rsidRPr="00B31292">
        <w:rPr>
          <w:rFonts w:ascii="Garamond" w:hAnsi="Garamond" w:cs="Times New Roman"/>
          <w:sz w:val="24"/>
          <w:szCs w:val="24"/>
        </w:rPr>
        <w:t>g</w:t>
      </w:r>
      <w:r w:rsidR="00C923CC" w:rsidRPr="00B31292">
        <w:rPr>
          <w:rFonts w:ascii="Garamond" w:hAnsi="Garamond" w:cs="Times New Roman"/>
          <w:sz w:val="24"/>
          <w:szCs w:val="24"/>
        </w:rPr>
        <w:t xml:space="preserve">jatë vitit 2025, INSTAT-i do të zbatojë aktivitetet që lidhen me sistemin e informacionit gjeografik bazuar dhe në PSZ-në </w:t>
      </w:r>
      <w:r w:rsidR="002277EC" w:rsidRPr="00B31292">
        <w:rPr>
          <w:rFonts w:ascii="Garamond" w:hAnsi="Garamond" w:cs="Times New Roman"/>
          <w:sz w:val="24"/>
          <w:szCs w:val="24"/>
        </w:rPr>
        <w:t>2022–2026</w:t>
      </w:r>
      <w:r w:rsidR="00776B14" w:rsidRPr="00B31292">
        <w:rPr>
          <w:rFonts w:ascii="Garamond" w:hAnsi="Garamond" w:cs="Times New Roman"/>
          <w:sz w:val="24"/>
          <w:szCs w:val="24"/>
        </w:rPr>
        <w:t>,</w:t>
      </w:r>
      <w:r w:rsidR="00C923CC" w:rsidRPr="00B31292">
        <w:rPr>
          <w:rFonts w:ascii="Garamond" w:hAnsi="Garamond" w:cs="Times New Roman"/>
          <w:sz w:val="24"/>
          <w:szCs w:val="24"/>
        </w:rPr>
        <w:t xml:space="preserve"> me fokus përditësimin e vazhdueshëm të </w:t>
      </w:r>
      <w:r w:rsidR="00442F28" w:rsidRPr="00B31292">
        <w:rPr>
          <w:rFonts w:ascii="Garamond" w:hAnsi="Garamond" w:cs="Times New Roman"/>
          <w:sz w:val="24"/>
          <w:szCs w:val="24"/>
        </w:rPr>
        <w:t xml:space="preserve">të </w:t>
      </w:r>
      <w:r w:rsidR="00C923CC" w:rsidRPr="00B31292">
        <w:rPr>
          <w:rFonts w:ascii="Garamond" w:hAnsi="Garamond" w:cs="Times New Roman"/>
          <w:sz w:val="24"/>
          <w:szCs w:val="24"/>
        </w:rPr>
        <w:t xml:space="preserve">dhënave gjeohapësinore me informacionin e ardhur nga Censi </w:t>
      </w:r>
      <w:r w:rsidRPr="00B31292">
        <w:rPr>
          <w:rFonts w:ascii="Garamond" w:hAnsi="Garamond" w:cs="Times New Roman"/>
          <w:sz w:val="24"/>
          <w:szCs w:val="24"/>
        </w:rPr>
        <w:t xml:space="preserve">i </w:t>
      </w:r>
      <w:r w:rsidR="00776B14" w:rsidRPr="00B31292">
        <w:rPr>
          <w:rFonts w:ascii="Garamond" w:hAnsi="Garamond" w:cs="Times New Roman"/>
          <w:sz w:val="24"/>
          <w:szCs w:val="24"/>
        </w:rPr>
        <w:t>P</w:t>
      </w:r>
      <w:r w:rsidRPr="00B31292">
        <w:rPr>
          <w:rFonts w:ascii="Garamond" w:hAnsi="Garamond" w:cs="Times New Roman"/>
          <w:sz w:val="24"/>
          <w:szCs w:val="24"/>
        </w:rPr>
        <w:t xml:space="preserve">opullsisë dhe </w:t>
      </w:r>
      <w:r w:rsidR="00776B14" w:rsidRPr="00B31292">
        <w:rPr>
          <w:rFonts w:ascii="Garamond" w:hAnsi="Garamond" w:cs="Times New Roman"/>
          <w:sz w:val="24"/>
          <w:szCs w:val="24"/>
        </w:rPr>
        <w:t>B</w:t>
      </w:r>
      <w:r w:rsidRPr="00B31292">
        <w:rPr>
          <w:rFonts w:ascii="Garamond" w:hAnsi="Garamond" w:cs="Times New Roman"/>
          <w:sz w:val="24"/>
          <w:szCs w:val="24"/>
        </w:rPr>
        <w:t xml:space="preserve">anesave </w:t>
      </w:r>
      <w:r w:rsidR="00C923CC" w:rsidRPr="00B31292">
        <w:rPr>
          <w:rFonts w:ascii="Garamond" w:hAnsi="Garamond" w:cs="Times New Roman"/>
          <w:sz w:val="24"/>
          <w:szCs w:val="24"/>
        </w:rPr>
        <w:t>2023, burime administrative, burime alternative dhe/ose verifikime në terren. Baza e të dhënave gjeohapësinore do të shërbejë edhe për përmirës</w:t>
      </w:r>
      <w:r w:rsidR="00A13D42" w:rsidRPr="00B31292">
        <w:rPr>
          <w:rFonts w:ascii="Garamond" w:hAnsi="Garamond" w:cs="Times New Roman"/>
          <w:sz w:val="24"/>
          <w:szCs w:val="24"/>
        </w:rPr>
        <w:t>imin e kampionit të</w:t>
      </w:r>
      <w:r w:rsidR="002E2911" w:rsidRPr="00B31292">
        <w:rPr>
          <w:rFonts w:ascii="Garamond" w:hAnsi="Garamond" w:cs="Times New Roman"/>
          <w:sz w:val="24"/>
          <w:szCs w:val="24"/>
        </w:rPr>
        <w:t xml:space="preserve"> </w:t>
      </w:r>
      <w:r w:rsidR="00C923CC" w:rsidRPr="00B31292">
        <w:rPr>
          <w:rFonts w:ascii="Garamond" w:hAnsi="Garamond" w:cs="Times New Roman"/>
          <w:sz w:val="24"/>
          <w:szCs w:val="24"/>
        </w:rPr>
        <w:t>vrojtimeve të tjera statistikore të INSTAT-it.</w:t>
      </w:r>
    </w:p>
    <w:p w14:paraId="10C63C45" w14:textId="47C80257" w:rsidR="00C923CC" w:rsidRPr="00B31292" w:rsidRDefault="00C923CC" w:rsidP="003A4DBA">
      <w:pPr>
        <w:shd w:val="clear" w:color="auto" w:fill="FFFFFF" w:themeFill="background1"/>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Si pjesë e aktiviteteve të gjeoinformacionit do të punohet edhe në integrimin e të dhënave gjeohapësinore me të dhënat statistikore në funksion të përgatitjes së materialit hartografik për publikimet e veçanta të INSTAT-it me anë të komponentit gjeografik. Në këtë kuadër të publikimit të të dhënave statistikore do të synohet në përditësimin dhe pasurimin e gjeoportalit të INSTAT-it me më shumë tregues rajonalë në nivele të ndryshme gjeografike për të qenë sa më pranë nevojave të</w:t>
      </w:r>
      <w:r w:rsidR="00442F28" w:rsidRPr="00B31292">
        <w:rPr>
          <w:rFonts w:ascii="Garamond" w:hAnsi="Garamond" w:cs="Times New Roman"/>
          <w:sz w:val="24"/>
          <w:szCs w:val="24"/>
        </w:rPr>
        <w:t xml:space="preserve"> përdoruesve.</w:t>
      </w:r>
    </w:p>
    <w:p w14:paraId="2002F005" w14:textId="4F010AE2" w:rsidR="00C923CC" w:rsidRPr="00B31292" w:rsidRDefault="007931A1" w:rsidP="003A4DBA">
      <w:pPr>
        <w:shd w:val="clear" w:color="auto" w:fill="FFFFFF" w:themeFill="background1"/>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Në zbatim të pikës 3/b</w:t>
      </w:r>
      <w:r w:rsidR="007843CA" w:rsidRPr="00B31292">
        <w:rPr>
          <w:rFonts w:ascii="Garamond" w:hAnsi="Garamond" w:cs="Times New Roman"/>
          <w:sz w:val="24"/>
          <w:szCs w:val="24"/>
        </w:rPr>
        <w:t>,</w:t>
      </w:r>
      <w:r w:rsidRPr="00B31292">
        <w:rPr>
          <w:rFonts w:ascii="Garamond" w:hAnsi="Garamond" w:cs="Times New Roman"/>
          <w:sz w:val="24"/>
          <w:szCs w:val="24"/>
        </w:rPr>
        <w:t xml:space="preserve"> të nenit 8</w:t>
      </w:r>
      <w:r w:rsidR="007843CA" w:rsidRPr="00B31292">
        <w:rPr>
          <w:rFonts w:ascii="Garamond" w:hAnsi="Garamond" w:cs="Times New Roman"/>
          <w:sz w:val="24"/>
          <w:szCs w:val="24"/>
        </w:rPr>
        <w:t>,</w:t>
      </w:r>
      <w:r w:rsidRPr="00B31292">
        <w:rPr>
          <w:rFonts w:ascii="Garamond" w:hAnsi="Garamond" w:cs="Times New Roman"/>
          <w:sz w:val="24"/>
          <w:szCs w:val="24"/>
        </w:rPr>
        <w:t xml:space="preserve"> të </w:t>
      </w:r>
      <w:r w:rsidR="007843CA" w:rsidRPr="00B31292">
        <w:rPr>
          <w:rFonts w:ascii="Garamond" w:hAnsi="Garamond" w:cs="Times New Roman"/>
          <w:sz w:val="24"/>
          <w:szCs w:val="24"/>
        </w:rPr>
        <w:t>l</w:t>
      </w:r>
      <w:r w:rsidRPr="00B31292">
        <w:rPr>
          <w:rFonts w:ascii="Garamond" w:hAnsi="Garamond" w:cs="Times New Roman"/>
          <w:sz w:val="24"/>
          <w:szCs w:val="24"/>
        </w:rPr>
        <w:t>igjit nr. 140/2020</w:t>
      </w:r>
      <w:r w:rsidR="007843CA" w:rsidRPr="00B31292">
        <w:rPr>
          <w:rFonts w:ascii="Garamond" w:hAnsi="Garamond" w:cs="Times New Roman"/>
          <w:sz w:val="24"/>
          <w:szCs w:val="24"/>
        </w:rPr>
        <w:t>,</w:t>
      </w:r>
      <w:r w:rsidRPr="00B31292">
        <w:rPr>
          <w:rFonts w:ascii="Garamond" w:hAnsi="Garamond" w:cs="Times New Roman"/>
          <w:sz w:val="24"/>
          <w:szCs w:val="24"/>
        </w:rPr>
        <w:t xml:space="preserve"> </w:t>
      </w:r>
      <w:r w:rsidR="00BA12C3" w:rsidRPr="00B31292">
        <w:rPr>
          <w:rFonts w:ascii="Garamond" w:hAnsi="Garamond" w:cs="Times New Roman"/>
          <w:sz w:val="24"/>
          <w:szCs w:val="24"/>
        </w:rPr>
        <w:t>“</w:t>
      </w:r>
      <w:r w:rsidRPr="00B31292">
        <w:rPr>
          <w:rFonts w:ascii="Garamond" w:hAnsi="Garamond" w:cs="Times New Roman"/>
          <w:sz w:val="24"/>
          <w:szCs w:val="24"/>
        </w:rPr>
        <w:t>Për censin e popullsisë dhe banesave</w:t>
      </w:r>
      <w:r w:rsidR="00BA12C3" w:rsidRPr="00B31292">
        <w:rPr>
          <w:rFonts w:ascii="Garamond" w:hAnsi="Garamond" w:cs="Times New Roman"/>
          <w:sz w:val="24"/>
          <w:szCs w:val="24"/>
        </w:rPr>
        <w:t>”</w:t>
      </w:r>
      <w:r w:rsidRPr="00B31292">
        <w:rPr>
          <w:rFonts w:ascii="Garamond" w:hAnsi="Garamond" w:cs="Times New Roman"/>
          <w:sz w:val="24"/>
          <w:szCs w:val="24"/>
        </w:rPr>
        <w:t xml:space="preserve">, lidhur me aktivitetin </w:t>
      </w:r>
      <w:r w:rsidR="00BA12C3" w:rsidRPr="00B31292">
        <w:rPr>
          <w:rFonts w:ascii="Garamond" w:hAnsi="Garamond" w:cs="Times New Roman"/>
          <w:sz w:val="24"/>
          <w:szCs w:val="24"/>
        </w:rPr>
        <w:t>“</w:t>
      </w:r>
      <w:r w:rsidRPr="00B31292">
        <w:rPr>
          <w:rFonts w:ascii="Garamond" w:hAnsi="Garamond" w:cs="Times New Roman"/>
          <w:sz w:val="24"/>
          <w:szCs w:val="24"/>
        </w:rPr>
        <w:t>Ndërtimin e Regjistrit Statistikor të Ndërtesave dhe Banesave (RSBN)</w:t>
      </w:r>
      <w:r w:rsidR="00BA12C3" w:rsidRPr="00B31292">
        <w:rPr>
          <w:rFonts w:ascii="Garamond" w:hAnsi="Garamond" w:cs="Times New Roman"/>
          <w:sz w:val="24"/>
          <w:szCs w:val="24"/>
        </w:rPr>
        <w:t>”</w:t>
      </w:r>
      <w:r w:rsidRPr="00B31292">
        <w:rPr>
          <w:rFonts w:ascii="Garamond" w:hAnsi="Garamond" w:cs="Times New Roman"/>
          <w:sz w:val="24"/>
          <w:szCs w:val="24"/>
        </w:rPr>
        <w:t xml:space="preserve">, gjatë vitit 2025 synohet të përfundohet ngritja e infrastrukturës së </w:t>
      </w:r>
      <w:r w:rsidR="007E5CD9" w:rsidRPr="00B31292">
        <w:rPr>
          <w:rFonts w:ascii="Garamond" w:hAnsi="Garamond" w:cs="Times New Roman"/>
          <w:sz w:val="24"/>
          <w:szCs w:val="24"/>
        </w:rPr>
        <w:t xml:space="preserve">teknologjisë së informacionit </w:t>
      </w:r>
      <w:r w:rsidRPr="00B31292">
        <w:rPr>
          <w:rFonts w:ascii="Garamond" w:hAnsi="Garamond" w:cs="Times New Roman"/>
          <w:sz w:val="24"/>
          <w:szCs w:val="24"/>
        </w:rPr>
        <w:t xml:space="preserve">për regjistrin, që përfshin aplikacionin </w:t>
      </w:r>
      <w:r w:rsidRPr="00B31292">
        <w:rPr>
          <w:rFonts w:ascii="Garamond" w:hAnsi="Garamond" w:cs="Times New Roman"/>
          <w:i/>
          <w:iCs/>
          <w:sz w:val="24"/>
          <w:szCs w:val="24"/>
        </w:rPr>
        <w:t>web</w:t>
      </w:r>
      <w:r w:rsidRPr="00B31292">
        <w:rPr>
          <w:rFonts w:ascii="Garamond" w:hAnsi="Garamond" w:cs="Times New Roman"/>
          <w:sz w:val="24"/>
          <w:szCs w:val="24"/>
        </w:rPr>
        <w:t xml:space="preserve"> të regjistrit, si dhe aplikacionin e mbledhjes së të dhënave në terren në kuadër të përditësimit dhe mirëmbajtjes së regjistrit. Gjatë vitit 2025, fokus do të jetë finalizimi i ndërtimit të të gjithë bazës GIS/IT së RSNB-së dhe përgatitja për ndërmarrjen e aktivitetit të parë të përditësimit në terren. Gjatë vitit 2025 është parashikuar të nisë dhe procesi i përditësimit të regjistrit me të dhënat e siguruara nga Drejtoria e Përgjithshme e Gjendjes Civile (Adresari) apo autoritete të tjera publike shqiptare, sipas variablave të përcaktuar në regjistër. Kjo fazë përfshin verifikimin në terren të informacionit dhe përditësimin e bazës së të dhënave të regjistrit. Në funksion të përditësimit dhe mirëmbajtjes së regjistrit do të vendosen apo rishikohen marrëveshjet e bashkëpunimit me institucione të tjera publike</w:t>
      </w:r>
      <w:r w:rsidR="00C923CC" w:rsidRPr="00B31292">
        <w:rPr>
          <w:rFonts w:ascii="Garamond" w:hAnsi="Garamond" w:cs="Times New Roman"/>
          <w:sz w:val="24"/>
          <w:szCs w:val="24"/>
        </w:rPr>
        <w:t>.</w:t>
      </w:r>
    </w:p>
    <w:p w14:paraId="2BBEB833" w14:textId="74DCAA42" w:rsidR="00C923CC" w:rsidRPr="00B31292" w:rsidRDefault="00304383" w:rsidP="003A4DBA">
      <w:pPr>
        <w:shd w:val="clear" w:color="auto" w:fill="FFFFFF" w:themeFill="background1"/>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Për</w:t>
      </w:r>
      <w:r w:rsidR="007843CA" w:rsidRPr="00B31292">
        <w:rPr>
          <w:rFonts w:ascii="Garamond" w:hAnsi="Garamond" w:cs="Times New Roman"/>
          <w:sz w:val="24"/>
          <w:szCs w:val="24"/>
        </w:rPr>
        <w:t xml:space="preserve"> </w:t>
      </w:r>
      <w:r w:rsidRPr="00B31292">
        <w:rPr>
          <w:rFonts w:ascii="Garamond" w:hAnsi="Garamond" w:cs="Times New Roman"/>
          <w:sz w:val="24"/>
          <w:szCs w:val="24"/>
        </w:rPr>
        <w:t xml:space="preserve">sa i përket aktivitetit </w:t>
      </w:r>
      <w:r w:rsidR="00BA12C3" w:rsidRPr="00B31292">
        <w:rPr>
          <w:rFonts w:ascii="Garamond" w:hAnsi="Garamond" w:cs="Times New Roman"/>
          <w:sz w:val="24"/>
          <w:szCs w:val="24"/>
        </w:rPr>
        <w:t>“</w:t>
      </w:r>
      <w:r w:rsidRPr="00B31292">
        <w:rPr>
          <w:rFonts w:ascii="Garamond" w:hAnsi="Garamond" w:cs="Times New Roman"/>
          <w:sz w:val="24"/>
          <w:szCs w:val="24"/>
        </w:rPr>
        <w:t>Klasifikimi statistikor i njësive territoriale</w:t>
      </w:r>
      <w:r w:rsidR="00BA12C3" w:rsidRPr="00B31292">
        <w:rPr>
          <w:rFonts w:ascii="Garamond" w:hAnsi="Garamond" w:cs="Times New Roman"/>
          <w:sz w:val="24"/>
          <w:szCs w:val="24"/>
        </w:rPr>
        <w:t>”</w:t>
      </w:r>
      <w:r w:rsidRPr="00B31292">
        <w:rPr>
          <w:rFonts w:ascii="Garamond" w:hAnsi="Garamond" w:cs="Times New Roman"/>
          <w:sz w:val="24"/>
          <w:szCs w:val="24"/>
        </w:rPr>
        <w:t xml:space="preserve"> </w:t>
      </w:r>
      <w:r w:rsidR="00C923CC" w:rsidRPr="00B31292">
        <w:rPr>
          <w:rFonts w:ascii="Garamond" w:hAnsi="Garamond" w:cs="Times New Roman"/>
          <w:sz w:val="24"/>
          <w:szCs w:val="24"/>
        </w:rPr>
        <w:t>INSTAT</w:t>
      </w:r>
      <w:r w:rsidR="007843CA" w:rsidRPr="00B31292">
        <w:rPr>
          <w:rFonts w:ascii="Garamond" w:hAnsi="Garamond" w:cs="Times New Roman"/>
          <w:sz w:val="24"/>
          <w:szCs w:val="24"/>
        </w:rPr>
        <w:t>-i</w:t>
      </w:r>
      <w:r w:rsidR="00C923CC" w:rsidRPr="00B31292">
        <w:rPr>
          <w:rFonts w:ascii="Garamond" w:hAnsi="Garamond" w:cs="Times New Roman"/>
          <w:sz w:val="24"/>
          <w:szCs w:val="24"/>
        </w:rPr>
        <w:t xml:space="preserve"> transmeton, sipas kërkesave të </w:t>
      </w:r>
      <w:r w:rsidR="009C0CE9" w:rsidRPr="00B31292">
        <w:rPr>
          <w:rFonts w:ascii="Garamond" w:hAnsi="Garamond" w:cs="Times New Roman"/>
          <w:sz w:val="24"/>
          <w:szCs w:val="24"/>
        </w:rPr>
        <w:t>Eurostat</w:t>
      </w:r>
      <w:r w:rsidR="00C923CC" w:rsidRPr="00B31292">
        <w:rPr>
          <w:rFonts w:ascii="Garamond" w:hAnsi="Garamond" w:cs="Times New Roman"/>
          <w:sz w:val="24"/>
          <w:szCs w:val="24"/>
        </w:rPr>
        <w:t xml:space="preserve">it, rregullisht çdo vit listën e </w:t>
      </w:r>
      <w:r w:rsidR="007E5CD9" w:rsidRPr="00B31292">
        <w:rPr>
          <w:rFonts w:ascii="Garamond" w:hAnsi="Garamond" w:cs="Times New Roman"/>
          <w:sz w:val="24"/>
          <w:szCs w:val="24"/>
        </w:rPr>
        <w:t xml:space="preserve">njësive administrative lokale </w:t>
      </w:r>
      <w:r w:rsidR="00C923CC" w:rsidRPr="00B31292">
        <w:rPr>
          <w:rFonts w:ascii="Garamond" w:hAnsi="Garamond" w:cs="Times New Roman"/>
          <w:sz w:val="24"/>
          <w:szCs w:val="24"/>
        </w:rPr>
        <w:t>(LAU) me klasifikimet që disponon</w:t>
      </w:r>
      <w:r w:rsidR="007E5CD9" w:rsidRPr="00B31292">
        <w:rPr>
          <w:rFonts w:ascii="Garamond" w:hAnsi="Garamond" w:cs="Times New Roman"/>
          <w:sz w:val="24"/>
          <w:szCs w:val="24"/>
        </w:rPr>
        <w:t>,</w:t>
      </w:r>
      <w:r w:rsidR="00C923CC" w:rsidRPr="00B31292">
        <w:rPr>
          <w:rFonts w:ascii="Garamond" w:hAnsi="Garamond" w:cs="Times New Roman"/>
          <w:sz w:val="24"/>
          <w:szCs w:val="24"/>
        </w:rPr>
        <w:t xml:space="preserve"> si: shkallën e urbanizimit (DEGURBA) dhe klasifikimin e zonave bregdetare (</w:t>
      </w:r>
      <w:r w:rsidR="00C923CC" w:rsidRPr="00B31292">
        <w:rPr>
          <w:rFonts w:ascii="Garamond" w:hAnsi="Garamond" w:cs="Times New Roman"/>
          <w:i/>
          <w:iCs/>
          <w:sz w:val="24"/>
          <w:szCs w:val="24"/>
        </w:rPr>
        <w:t>Costal Areas</w:t>
      </w:r>
      <w:r w:rsidR="00C923CC" w:rsidRPr="00B31292">
        <w:rPr>
          <w:rFonts w:ascii="Garamond" w:hAnsi="Garamond" w:cs="Times New Roman"/>
          <w:sz w:val="24"/>
          <w:szCs w:val="24"/>
        </w:rPr>
        <w:t xml:space="preserve">). INSTAT-i do të vijojë të transmetojë këtë listë sipas kërkesave të </w:t>
      </w:r>
      <w:r w:rsidR="009C0CE9" w:rsidRPr="00B31292">
        <w:rPr>
          <w:rFonts w:ascii="Garamond" w:hAnsi="Garamond" w:cs="Times New Roman"/>
          <w:sz w:val="24"/>
          <w:szCs w:val="24"/>
        </w:rPr>
        <w:t>Eurostat</w:t>
      </w:r>
      <w:r w:rsidR="007931A1" w:rsidRPr="00B31292">
        <w:rPr>
          <w:rFonts w:ascii="Garamond" w:hAnsi="Garamond" w:cs="Times New Roman"/>
          <w:sz w:val="24"/>
          <w:szCs w:val="24"/>
        </w:rPr>
        <w:t>it</w:t>
      </w:r>
      <w:r w:rsidR="00C923CC" w:rsidRPr="00B31292">
        <w:rPr>
          <w:rFonts w:ascii="Garamond" w:hAnsi="Garamond" w:cs="Times New Roman"/>
          <w:sz w:val="24"/>
          <w:szCs w:val="24"/>
        </w:rPr>
        <w:t xml:space="preserve"> për vitin 2025.</w:t>
      </w:r>
      <w:r w:rsidR="00D61F84" w:rsidRPr="00B31292">
        <w:rPr>
          <w:rFonts w:ascii="Garamond" w:hAnsi="Garamond" w:cs="Times New Roman"/>
          <w:sz w:val="24"/>
          <w:szCs w:val="24"/>
        </w:rPr>
        <w:t xml:space="preserve"> Gjithashtu, </w:t>
      </w:r>
      <w:r w:rsidR="00AF25AB" w:rsidRPr="00B31292">
        <w:rPr>
          <w:rFonts w:ascii="Garamond" w:hAnsi="Garamond" w:cs="Times New Roman"/>
          <w:sz w:val="24"/>
          <w:szCs w:val="24"/>
        </w:rPr>
        <w:t>gjatë vitit të ardhshëm</w:t>
      </w:r>
      <w:r w:rsidR="00C923CC" w:rsidRPr="00B31292">
        <w:rPr>
          <w:rFonts w:ascii="Garamond" w:hAnsi="Garamond" w:cs="Times New Roman"/>
          <w:sz w:val="24"/>
          <w:szCs w:val="24"/>
        </w:rPr>
        <w:t>, INSTAT-i ka planifikuar harmonizimin e klasifikimit të nomenklaturave statistikore NUTS</w:t>
      </w:r>
      <w:r w:rsidR="007E5CD9" w:rsidRPr="00B31292">
        <w:rPr>
          <w:rFonts w:ascii="Garamond" w:hAnsi="Garamond" w:cs="Times New Roman"/>
          <w:sz w:val="24"/>
          <w:szCs w:val="24"/>
        </w:rPr>
        <w:t>,</w:t>
      </w:r>
      <w:r w:rsidR="00C923CC" w:rsidRPr="00B31292">
        <w:rPr>
          <w:rFonts w:ascii="Garamond" w:hAnsi="Garamond" w:cs="Times New Roman"/>
          <w:sz w:val="24"/>
          <w:szCs w:val="24"/>
        </w:rPr>
        <w:t xml:space="preserve"> në përputhje me </w:t>
      </w:r>
      <w:r w:rsidR="007E5CD9" w:rsidRPr="00B31292">
        <w:rPr>
          <w:rFonts w:ascii="Garamond" w:hAnsi="Garamond" w:cs="Times New Roman"/>
          <w:sz w:val="24"/>
          <w:szCs w:val="24"/>
        </w:rPr>
        <w:t>r</w:t>
      </w:r>
      <w:r w:rsidR="00C923CC" w:rsidRPr="00B31292">
        <w:rPr>
          <w:rFonts w:ascii="Garamond" w:hAnsi="Garamond" w:cs="Times New Roman"/>
          <w:sz w:val="24"/>
          <w:szCs w:val="24"/>
        </w:rPr>
        <w:t xml:space="preserve">regulloret e </w:t>
      </w:r>
      <w:r w:rsidR="00C923CC" w:rsidRPr="00B31292">
        <w:rPr>
          <w:rFonts w:ascii="Garamond" w:hAnsi="Garamond" w:cs="Times New Roman"/>
          <w:sz w:val="24"/>
          <w:szCs w:val="24"/>
        </w:rPr>
        <w:lastRenderedPageBreak/>
        <w:t>KE-së, si dhe implementimin e tipologjive territoriale (TERCET)</w:t>
      </w:r>
      <w:r w:rsidR="007E5CD9" w:rsidRPr="00B31292">
        <w:rPr>
          <w:rFonts w:ascii="Garamond" w:hAnsi="Garamond" w:cs="Times New Roman"/>
          <w:sz w:val="24"/>
          <w:szCs w:val="24"/>
        </w:rPr>
        <w:t>,</w:t>
      </w:r>
      <w:r w:rsidR="00C923CC" w:rsidRPr="00B31292">
        <w:rPr>
          <w:rFonts w:ascii="Garamond" w:hAnsi="Garamond" w:cs="Times New Roman"/>
          <w:sz w:val="24"/>
          <w:szCs w:val="24"/>
        </w:rPr>
        <w:t xml:space="preserve"> në përputhje me </w:t>
      </w:r>
      <w:r w:rsidR="007E5CD9" w:rsidRPr="00B31292">
        <w:rPr>
          <w:rFonts w:ascii="Garamond" w:hAnsi="Garamond" w:cs="Times New Roman"/>
          <w:sz w:val="24"/>
          <w:szCs w:val="24"/>
        </w:rPr>
        <w:t>r</w:t>
      </w:r>
      <w:r w:rsidR="00C923CC" w:rsidRPr="00B31292">
        <w:rPr>
          <w:rFonts w:ascii="Garamond" w:hAnsi="Garamond" w:cs="Times New Roman"/>
          <w:sz w:val="24"/>
          <w:szCs w:val="24"/>
        </w:rPr>
        <w:t xml:space="preserve">regulloret e Komisionit </w:t>
      </w:r>
      <w:r w:rsidR="007843CA" w:rsidRPr="00B31292">
        <w:rPr>
          <w:rFonts w:ascii="Garamond" w:hAnsi="Garamond" w:cs="Times New Roman"/>
          <w:sz w:val="24"/>
          <w:szCs w:val="24"/>
        </w:rPr>
        <w:t>Evropian</w:t>
      </w:r>
      <w:r w:rsidR="00D61F84" w:rsidRPr="00B31292">
        <w:rPr>
          <w:rFonts w:ascii="Garamond" w:hAnsi="Garamond" w:cs="Times New Roman"/>
          <w:sz w:val="24"/>
          <w:szCs w:val="24"/>
        </w:rPr>
        <w:t>,</w:t>
      </w:r>
      <w:r w:rsidR="00C923CC" w:rsidRPr="00B31292">
        <w:rPr>
          <w:rFonts w:ascii="Garamond" w:hAnsi="Garamond" w:cs="Times New Roman"/>
          <w:sz w:val="24"/>
          <w:szCs w:val="24"/>
        </w:rPr>
        <w:t xml:space="preserve"> si dhe paraqitjen hartografike të treguesve kryesorë të </w:t>
      </w:r>
      <w:r w:rsidR="007E5CD9" w:rsidRPr="00B31292">
        <w:rPr>
          <w:rFonts w:ascii="Garamond" w:hAnsi="Garamond" w:cs="Times New Roman"/>
          <w:sz w:val="24"/>
          <w:szCs w:val="24"/>
        </w:rPr>
        <w:t xml:space="preserve">Censit </w:t>
      </w:r>
      <w:r w:rsidR="00C923CC" w:rsidRPr="00B31292">
        <w:rPr>
          <w:rFonts w:ascii="Garamond" w:hAnsi="Garamond" w:cs="Times New Roman"/>
          <w:sz w:val="24"/>
          <w:szCs w:val="24"/>
        </w:rPr>
        <w:t>në nivel rrjeti qelizor (</w:t>
      </w:r>
      <w:r w:rsidR="00C923CC" w:rsidRPr="00B31292">
        <w:rPr>
          <w:rFonts w:ascii="Garamond" w:hAnsi="Garamond" w:cs="Times New Roman"/>
          <w:i/>
          <w:iCs/>
          <w:sz w:val="24"/>
          <w:szCs w:val="24"/>
        </w:rPr>
        <w:t>grid</w:t>
      </w:r>
      <w:r w:rsidR="00C923CC" w:rsidRPr="00B31292">
        <w:rPr>
          <w:rFonts w:ascii="Garamond" w:hAnsi="Garamond" w:cs="Times New Roman"/>
          <w:sz w:val="24"/>
          <w:szCs w:val="24"/>
        </w:rPr>
        <w:t>) prej 1</w:t>
      </w:r>
      <w:r w:rsidR="007843CA" w:rsidRPr="00B31292">
        <w:rPr>
          <w:rFonts w:ascii="Garamond" w:hAnsi="Garamond" w:cs="Times New Roman"/>
          <w:sz w:val="24"/>
          <w:szCs w:val="24"/>
        </w:rPr>
        <w:t xml:space="preserve"> </w:t>
      </w:r>
      <w:r w:rsidR="00C923CC" w:rsidRPr="00B31292">
        <w:rPr>
          <w:rFonts w:ascii="Garamond" w:hAnsi="Garamond" w:cs="Times New Roman"/>
          <w:sz w:val="24"/>
          <w:szCs w:val="24"/>
        </w:rPr>
        <w:t>km².</w:t>
      </w:r>
    </w:p>
    <w:p w14:paraId="4EAD41D6" w14:textId="5CA5A1C9" w:rsidR="00C923CC" w:rsidRPr="00B31292" w:rsidRDefault="00C923CC" w:rsidP="003A4DBA">
      <w:pPr>
        <w:shd w:val="clear" w:color="auto" w:fill="FFFFFF" w:themeFill="background1"/>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 xml:space="preserve">Në zbatim të </w:t>
      </w:r>
      <w:r w:rsidR="007E5CD9" w:rsidRPr="00B31292">
        <w:rPr>
          <w:rFonts w:ascii="Garamond" w:hAnsi="Garamond" w:cs="Times New Roman"/>
          <w:sz w:val="24"/>
          <w:szCs w:val="24"/>
        </w:rPr>
        <w:t>r</w:t>
      </w:r>
      <w:r w:rsidRPr="00B31292">
        <w:rPr>
          <w:rFonts w:ascii="Garamond" w:hAnsi="Garamond" w:cs="Times New Roman"/>
          <w:sz w:val="24"/>
          <w:szCs w:val="24"/>
        </w:rPr>
        <w:t xml:space="preserve">regulloreve të Komisionit </w:t>
      </w:r>
      <w:r w:rsidR="007843CA" w:rsidRPr="00B31292">
        <w:rPr>
          <w:rFonts w:ascii="Garamond" w:hAnsi="Garamond" w:cs="Times New Roman"/>
          <w:sz w:val="24"/>
          <w:szCs w:val="24"/>
        </w:rPr>
        <w:t>Evropian</w:t>
      </w:r>
      <w:r w:rsidRPr="00B31292">
        <w:rPr>
          <w:rFonts w:ascii="Garamond" w:hAnsi="Garamond" w:cs="Times New Roman"/>
          <w:sz w:val="24"/>
          <w:szCs w:val="24"/>
        </w:rPr>
        <w:t xml:space="preserve"> mbi klasifikimet e nomenklaturës territoriale me mbështetjen nga </w:t>
      </w:r>
      <w:r w:rsidR="007E5CD9" w:rsidRPr="00B31292">
        <w:rPr>
          <w:rFonts w:ascii="Garamond" w:hAnsi="Garamond" w:cs="Times New Roman"/>
          <w:sz w:val="24"/>
          <w:szCs w:val="24"/>
        </w:rPr>
        <w:t xml:space="preserve">programi i bashkëpunimit statistikor me shumë vende përfituese </w:t>
      </w:r>
      <w:r w:rsidR="007843CA" w:rsidRPr="00B31292">
        <w:rPr>
          <w:rFonts w:ascii="Garamond" w:hAnsi="Garamond" w:cs="Times New Roman"/>
          <w:sz w:val="24"/>
          <w:szCs w:val="24"/>
        </w:rPr>
        <w:t>–</w:t>
      </w:r>
      <w:r w:rsidRPr="00B31292">
        <w:rPr>
          <w:rFonts w:ascii="Garamond" w:hAnsi="Garamond" w:cs="Times New Roman"/>
          <w:sz w:val="24"/>
          <w:szCs w:val="24"/>
        </w:rPr>
        <w:t xml:space="preserve"> IPA 2022 dhe bazuar në të dhënat e </w:t>
      </w:r>
      <w:r w:rsidR="000660BD" w:rsidRPr="00B31292">
        <w:rPr>
          <w:rFonts w:ascii="Garamond" w:hAnsi="Garamond" w:cs="Times New Roman"/>
          <w:sz w:val="24"/>
          <w:szCs w:val="24"/>
        </w:rPr>
        <w:t>C</w:t>
      </w:r>
      <w:r w:rsidRPr="00B31292">
        <w:rPr>
          <w:rFonts w:ascii="Garamond" w:hAnsi="Garamond" w:cs="Times New Roman"/>
          <w:sz w:val="24"/>
          <w:szCs w:val="24"/>
        </w:rPr>
        <w:t xml:space="preserve">ensit të </w:t>
      </w:r>
      <w:r w:rsidR="000660BD" w:rsidRPr="00B31292">
        <w:rPr>
          <w:rFonts w:ascii="Garamond" w:hAnsi="Garamond" w:cs="Times New Roman"/>
          <w:sz w:val="24"/>
          <w:szCs w:val="24"/>
        </w:rPr>
        <w:t>P</w:t>
      </w:r>
      <w:r w:rsidRPr="00B31292">
        <w:rPr>
          <w:rFonts w:ascii="Garamond" w:hAnsi="Garamond" w:cs="Times New Roman"/>
          <w:sz w:val="24"/>
          <w:szCs w:val="24"/>
        </w:rPr>
        <w:t xml:space="preserve">opullsisë dhe </w:t>
      </w:r>
      <w:r w:rsidR="000660BD" w:rsidRPr="00B31292">
        <w:rPr>
          <w:rFonts w:ascii="Garamond" w:hAnsi="Garamond" w:cs="Times New Roman"/>
          <w:sz w:val="24"/>
          <w:szCs w:val="24"/>
        </w:rPr>
        <w:t>B</w:t>
      </w:r>
      <w:r w:rsidRPr="00B31292">
        <w:rPr>
          <w:rFonts w:ascii="Garamond" w:hAnsi="Garamond" w:cs="Times New Roman"/>
          <w:sz w:val="24"/>
          <w:szCs w:val="24"/>
        </w:rPr>
        <w:t>anesave 2023, INSTAT-i do të synojë</w:t>
      </w:r>
      <w:r w:rsidR="007E5CD9" w:rsidRPr="00B31292">
        <w:rPr>
          <w:rFonts w:ascii="Garamond" w:hAnsi="Garamond" w:cs="Times New Roman"/>
          <w:sz w:val="24"/>
          <w:szCs w:val="24"/>
        </w:rPr>
        <w:t>:</w:t>
      </w:r>
      <w:r w:rsidRPr="00B31292">
        <w:rPr>
          <w:rFonts w:ascii="Garamond" w:hAnsi="Garamond" w:cs="Times New Roman"/>
          <w:sz w:val="24"/>
          <w:szCs w:val="24"/>
        </w:rPr>
        <w:t xml:space="preserve"> a) përditësimin e klasifikimit të rajoneve NUTS; b) përditësimin e </w:t>
      </w:r>
      <w:r w:rsidR="000660BD" w:rsidRPr="00B31292">
        <w:rPr>
          <w:rFonts w:ascii="Garamond" w:hAnsi="Garamond" w:cs="Times New Roman"/>
          <w:sz w:val="24"/>
          <w:szCs w:val="24"/>
        </w:rPr>
        <w:t xml:space="preserve">shkallës së urbanizimit </w:t>
      </w:r>
      <w:r w:rsidR="00BA12C3" w:rsidRPr="00B31292">
        <w:rPr>
          <w:rFonts w:ascii="Garamond" w:hAnsi="Garamond" w:cs="Times New Roman"/>
          <w:sz w:val="24"/>
          <w:szCs w:val="24"/>
        </w:rPr>
        <w:t>“</w:t>
      </w:r>
      <w:r w:rsidRPr="00B31292">
        <w:rPr>
          <w:rFonts w:ascii="Garamond" w:hAnsi="Garamond" w:cs="Times New Roman"/>
          <w:i/>
          <w:iCs/>
          <w:sz w:val="24"/>
          <w:szCs w:val="24"/>
        </w:rPr>
        <w:t>degree of urbanization</w:t>
      </w:r>
      <w:r w:rsidR="00BA12C3" w:rsidRPr="00B31292">
        <w:rPr>
          <w:rFonts w:ascii="Garamond" w:hAnsi="Garamond" w:cs="Times New Roman"/>
          <w:sz w:val="24"/>
          <w:szCs w:val="24"/>
        </w:rPr>
        <w:t>”</w:t>
      </w:r>
      <w:r w:rsidRPr="00B31292">
        <w:rPr>
          <w:rFonts w:ascii="Garamond" w:hAnsi="Garamond" w:cs="Times New Roman"/>
          <w:sz w:val="24"/>
          <w:szCs w:val="24"/>
        </w:rPr>
        <w:t xml:space="preserve"> (DEGURBA) e aplikuar në nivel LAU mbi bazën e popullsisë në nivel rrjeti qelizash (</w:t>
      </w:r>
      <w:r w:rsidRPr="00B31292">
        <w:rPr>
          <w:rFonts w:ascii="Garamond" w:hAnsi="Garamond" w:cs="Times New Roman"/>
          <w:i/>
          <w:iCs/>
          <w:sz w:val="24"/>
          <w:szCs w:val="24"/>
        </w:rPr>
        <w:t>grid</w:t>
      </w:r>
      <w:r w:rsidRPr="00B31292">
        <w:rPr>
          <w:rFonts w:ascii="Garamond" w:hAnsi="Garamond" w:cs="Times New Roman"/>
          <w:sz w:val="24"/>
          <w:szCs w:val="24"/>
        </w:rPr>
        <w:t xml:space="preserve">); c) përcaktimin e listës së qyteteve (Cities) mbi bazën e metodologjisë evropiane; d) përcaktimin e </w:t>
      </w:r>
      <w:r w:rsidR="00BA12C3" w:rsidRPr="00B31292">
        <w:rPr>
          <w:rFonts w:ascii="Garamond" w:hAnsi="Garamond" w:cs="Times New Roman"/>
          <w:sz w:val="24"/>
          <w:szCs w:val="24"/>
        </w:rPr>
        <w:t>“</w:t>
      </w:r>
      <w:r w:rsidRPr="00B31292">
        <w:rPr>
          <w:rFonts w:ascii="Garamond" w:hAnsi="Garamond" w:cs="Times New Roman"/>
          <w:i/>
          <w:iCs/>
          <w:sz w:val="24"/>
          <w:szCs w:val="24"/>
        </w:rPr>
        <w:t>Functional Urban Areas</w:t>
      </w:r>
      <w:r w:rsidR="00BA12C3" w:rsidRPr="00B31292">
        <w:rPr>
          <w:rFonts w:ascii="Garamond" w:hAnsi="Garamond" w:cs="Times New Roman"/>
          <w:sz w:val="24"/>
          <w:szCs w:val="24"/>
        </w:rPr>
        <w:t>”</w:t>
      </w:r>
      <w:r w:rsidRPr="00B31292">
        <w:rPr>
          <w:rFonts w:ascii="Garamond" w:hAnsi="Garamond" w:cs="Times New Roman"/>
          <w:sz w:val="24"/>
          <w:szCs w:val="24"/>
        </w:rPr>
        <w:t xml:space="preserve"> (FUAs) bazuar mbi bazën e popullsisë në nivel rrjeti qelizash (</w:t>
      </w:r>
      <w:r w:rsidRPr="00B31292">
        <w:rPr>
          <w:rFonts w:ascii="Garamond" w:hAnsi="Garamond" w:cs="Times New Roman"/>
          <w:i/>
          <w:iCs/>
          <w:sz w:val="24"/>
          <w:szCs w:val="24"/>
        </w:rPr>
        <w:t>grid</w:t>
      </w:r>
      <w:r w:rsidRPr="00B31292">
        <w:rPr>
          <w:rFonts w:ascii="Garamond" w:hAnsi="Garamond" w:cs="Times New Roman"/>
          <w:sz w:val="24"/>
          <w:szCs w:val="24"/>
        </w:rPr>
        <w:t>) dhe lëvizjeve vajtje-ardhje për në punë.</w:t>
      </w:r>
    </w:p>
    <w:p w14:paraId="67C38941" w14:textId="3C3D60D2" w:rsidR="00C923CC" w:rsidRPr="00B31292" w:rsidRDefault="00C923CC" w:rsidP="003A4DBA">
      <w:pPr>
        <w:shd w:val="clear" w:color="auto" w:fill="FFFFFF" w:themeFill="background1"/>
        <w:spacing w:after="0" w:line="240" w:lineRule="auto"/>
        <w:ind w:firstLine="284"/>
        <w:jc w:val="both"/>
        <w:rPr>
          <w:rFonts w:ascii="Garamond" w:hAnsi="Garamond" w:cs="Times New Roman"/>
          <w:i/>
          <w:sz w:val="24"/>
          <w:szCs w:val="24"/>
        </w:rPr>
      </w:pPr>
      <w:r w:rsidRPr="00B31292">
        <w:rPr>
          <w:rFonts w:ascii="Garamond" w:hAnsi="Garamond" w:cs="Times New Roman"/>
          <w:i/>
          <w:sz w:val="24"/>
          <w:szCs w:val="24"/>
        </w:rPr>
        <w:t xml:space="preserve">4.2.2 Harmonizimi i temave </w:t>
      </w:r>
      <w:r w:rsidR="00BA12C3" w:rsidRPr="00B31292">
        <w:rPr>
          <w:rFonts w:ascii="Garamond" w:hAnsi="Garamond" w:cs="Times New Roman"/>
          <w:i/>
          <w:sz w:val="24"/>
          <w:szCs w:val="24"/>
        </w:rPr>
        <w:t>“</w:t>
      </w:r>
      <w:r w:rsidRPr="00B31292">
        <w:rPr>
          <w:rFonts w:ascii="Garamond" w:hAnsi="Garamond" w:cs="Times New Roman"/>
          <w:i/>
          <w:sz w:val="24"/>
          <w:szCs w:val="24"/>
        </w:rPr>
        <w:t>Demografia</w:t>
      </w:r>
      <w:r w:rsidR="00BA12C3" w:rsidRPr="00B31292">
        <w:rPr>
          <w:rFonts w:ascii="Garamond" w:hAnsi="Garamond" w:cs="Times New Roman"/>
          <w:i/>
          <w:sz w:val="24"/>
          <w:szCs w:val="24"/>
        </w:rPr>
        <w:t>”</w:t>
      </w:r>
      <w:r w:rsidRPr="00B31292">
        <w:rPr>
          <w:rFonts w:ascii="Garamond" w:hAnsi="Garamond" w:cs="Times New Roman"/>
          <w:i/>
          <w:sz w:val="24"/>
          <w:szCs w:val="24"/>
        </w:rPr>
        <w:t xml:space="preserve"> dhe </w:t>
      </w:r>
      <w:r w:rsidR="00BA12C3" w:rsidRPr="00B31292">
        <w:rPr>
          <w:rFonts w:ascii="Garamond" w:hAnsi="Garamond" w:cs="Times New Roman"/>
          <w:i/>
          <w:sz w:val="24"/>
          <w:szCs w:val="24"/>
        </w:rPr>
        <w:t>“</w:t>
      </w:r>
      <w:r w:rsidRPr="00B31292">
        <w:rPr>
          <w:rFonts w:ascii="Garamond" w:hAnsi="Garamond" w:cs="Times New Roman"/>
          <w:i/>
          <w:sz w:val="24"/>
          <w:szCs w:val="24"/>
        </w:rPr>
        <w:t xml:space="preserve">Njësitë </w:t>
      </w:r>
      <w:r w:rsidR="007E5CD9" w:rsidRPr="00B31292">
        <w:rPr>
          <w:rFonts w:ascii="Garamond" w:hAnsi="Garamond" w:cs="Times New Roman"/>
          <w:i/>
          <w:sz w:val="24"/>
          <w:szCs w:val="24"/>
        </w:rPr>
        <w:t>s</w:t>
      </w:r>
      <w:r w:rsidRPr="00B31292">
        <w:rPr>
          <w:rFonts w:ascii="Garamond" w:hAnsi="Garamond" w:cs="Times New Roman"/>
          <w:i/>
          <w:sz w:val="24"/>
          <w:szCs w:val="24"/>
        </w:rPr>
        <w:t>tatistikore</w:t>
      </w:r>
      <w:r w:rsidR="00BA12C3" w:rsidRPr="00B31292">
        <w:rPr>
          <w:rFonts w:ascii="Garamond" w:hAnsi="Garamond" w:cs="Times New Roman"/>
          <w:i/>
          <w:sz w:val="24"/>
          <w:szCs w:val="24"/>
        </w:rPr>
        <w:t>”</w:t>
      </w:r>
      <w:r w:rsidRPr="00B31292">
        <w:rPr>
          <w:rFonts w:ascii="Garamond" w:hAnsi="Garamond" w:cs="Times New Roman"/>
          <w:i/>
          <w:sz w:val="24"/>
          <w:szCs w:val="24"/>
        </w:rPr>
        <w:t xml:space="preserve"> sipas direktivës INSPIRE</w:t>
      </w:r>
    </w:p>
    <w:p w14:paraId="53756CA3" w14:textId="7B8A6FF4" w:rsidR="00C923CC" w:rsidRPr="00B31292" w:rsidRDefault="00C923CC" w:rsidP="003A4DBA">
      <w:pPr>
        <w:shd w:val="clear" w:color="auto" w:fill="FFFFFF" w:themeFill="background1"/>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Në lidhje me Infrastrukturën Kombëtare të Informacionit Gjeohap</w:t>
      </w:r>
      <w:r w:rsidR="007843CA" w:rsidRPr="00B31292">
        <w:rPr>
          <w:rFonts w:ascii="Garamond" w:hAnsi="Garamond" w:cs="Times New Roman"/>
          <w:sz w:val="24"/>
          <w:szCs w:val="24"/>
        </w:rPr>
        <w:t>ë</w:t>
      </w:r>
      <w:r w:rsidRPr="00B31292">
        <w:rPr>
          <w:rFonts w:ascii="Garamond" w:hAnsi="Garamond" w:cs="Times New Roman"/>
          <w:sz w:val="24"/>
          <w:szCs w:val="24"/>
        </w:rPr>
        <w:t>sinor (NSDI Kombëtare), INSTAT-i do të fokusohet në transformimin dhe harmonizimin e të dhënave gjeografike për dy temat që është përgjegjës në kuadrin e NSDI shqiptare (</w:t>
      </w:r>
      <w:r w:rsidR="007E5CD9" w:rsidRPr="00B31292">
        <w:rPr>
          <w:rFonts w:ascii="Garamond" w:hAnsi="Garamond" w:cs="Times New Roman"/>
          <w:sz w:val="24"/>
          <w:szCs w:val="24"/>
        </w:rPr>
        <w:t>demografia dhe njësitë statistikore</w:t>
      </w:r>
      <w:r w:rsidRPr="00B31292">
        <w:rPr>
          <w:rFonts w:ascii="Garamond" w:hAnsi="Garamond" w:cs="Times New Roman"/>
          <w:sz w:val="24"/>
          <w:szCs w:val="24"/>
        </w:rPr>
        <w:t xml:space="preserve">), sipas specifikimeve të </w:t>
      </w:r>
      <w:r w:rsidR="007E5CD9" w:rsidRPr="00B31292">
        <w:rPr>
          <w:rFonts w:ascii="Garamond" w:hAnsi="Garamond" w:cs="Times New Roman"/>
          <w:sz w:val="24"/>
          <w:szCs w:val="24"/>
        </w:rPr>
        <w:t>d</w:t>
      </w:r>
      <w:r w:rsidRPr="00B31292">
        <w:rPr>
          <w:rFonts w:ascii="Garamond" w:hAnsi="Garamond" w:cs="Times New Roman"/>
          <w:sz w:val="24"/>
          <w:szCs w:val="24"/>
        </w:rPr>
        <w:t>irektivës INSPIRE. Me mbështetjen e Autoritetit Shtetëror për Informacionin Gjeohap</w:t>
      </w:r>
      <w:r w:rsidR="007843CA" w:rsidRPr="00B31292">
        <w:rPr>
          <w:rFonts w:ascii="Garamond" w:hAnsi="Garamond" w:cs="Times New Roman"/>
          <w:sz w:val="24"/>
          <w:szCs w:val="24"/>
        </w:rPr>
        <w:t>ë</w:t>
      </w:r>
      <w:r w:rsidRPr="00B31292">
        <w:rPr>
          <w:rFonts w:ascii="Garamond" w:hAnsi="Garamond" w:cs="Times New Roman"/>
          <w:sz w:val="24"/>
          <w:szCs w:val="24"/>
        </w:rPr>
        <w:t>sinor, INSTAT</w:t>
      </w:r>
      <w:r w:rsidR="007843CA" w:rsidRPr="00B31292">
        <w:rPr>
          <w:rFonts w:ascii="Garamond" w:hAnsi="Garamond" w:cs="Times New Roman"/>
          <w:sz w:val="24"/>
          <w:szCs w:val="24"/>
        </w:rPr>
        <w:t>-i</w:t>
      </w:r>
      <w:r w:rsidRPr="00B31292">
        <w:rPr>
          <w:rFonts w:ascii="Garamond" w:hAnsi="Garamond" w:cs="Times New Roman"/>
          <w:sz w:val="24"/>
          <w:szCs w:val="24"/>
        </w:rPr>
        <w:t xml:space="preserve"> parashikon harmonizimin e të dhënave gjeohapësinore me të dhënat e Censit </w:t>
      </w:r>
      <w:r w:rsidR="00207764" w:rsidRPr="00B31292">
        <w:rPr>
          <w:rFonts w:ascii="Garamond" w:hAnsi="Garamond" w:cs="Times New Roman"/>
          <w:sz w:val="24"/>
          <w:szCs w:val="24"/>
        </w:rPr>
        <w:t xml:space="preserve">të Popullsisë dhe Banesave </w:t>
      </w:r>
      <w:r w:rsidRPr="00B31292">
        <w:rPr>
          <w:rFonts w:ascii="Garamond" w:hAnsi="Garamond" w:cs="Times New Roman"/>
          <w:sz w:val="24"/>
          <w:szCs w:val="24"/>
        </w:rPr>
        <w:t>2023.</w:t>
      </w:r>
    </w:p>
    <w:p w14:paraId="4C312056" w14:textId="7F3CFF12" w:rsidR="00F4118E" w:rsidRPr="00B31292" w:rsidRDefault="00F4118E" w:rsidP="003A4DBA">
      <w:pPr>
        <w:spacing w:after="0" w:line="240" w:lineRule="auto"/>
        <w:ind w:firstLine="284"/>
        <w:jc w:val="both"/>
        <w:rPr>
          <w:rFonts w:ascii="Garamond" w:hAnsi="Garamond" w:cs="Times New Roman"/>
          <w:bCs/>
          <w:i/>
          <w:sz w:val="24"/>
          <w:szCs w:val="24"/>
        </w:rPr>
      </w:pPr>
      <w:r w:rsidRPr="00B31292">
        <w:rPr>
          <w:rFonts w:ascii="Garamond" w:hAnsi="Garamond" w:cs="Times New Roman"/>
          <w:bCs/>
          <w:i/>
          <w:sz w:val="24"/>
          <w:szCs w:val="24"/>
        </w:rPr>
        <w:t>Tabela nr. 1</w:t>
      </w:r>
      <w:r w:rsidR="008F31E0">
        <w:rPr>
          <w:rFonts w:ascii="Garamond" w:hAnsi="Garamond" w:cs="Times New Roman"/>
          <w:bCs/>
          <w:i/>
          <w:sz w:val="24"/>
          <w:szCs w:val="24"/>
        </w:rPr>
        <w:t>8</w:t>
      </w:r>
      <w:r w:rsidR="007843CA" w:rsidRPr="00B31292">
        <w:rPr>
          <w:rFonts w:ascii="Garamond" w:hAnsi="Garamond" w:cs="Times New Roman"/>
          <w:bCs/>
          <w:i/>
          <w:sz w:val="24"/>
          <w:szCs w:val="24"/>
        </w:rPr>
        <w:t>:</w:t>
      </w:r>
      <w:r w:rsidRPr="00B31292">
        <w:rPr>
          <w:rFonts w:ascii="Garamond" w:hAnsi="Garamond" w:cs="Times New Roman"/>
          <w:bCs/>
          <w:i/>
          <w:sz w:val="24"/>
          <w:szCs w:val="24"/>
        </w:rPr>
        <w:t xml:space="preserve"> </w:t>
      </w:r>
      <w:r w:rsidR="00A13D42" w:rsidRPr="00B31292">
        <w:rPr>
          <w:rFonts w:ascii="Garamond" w:hAnsi="Garamond" w:cs="Times New Roman"/>
          <w:bCs/>
          <w:i/>
          <w:sz w:val="24"/>
          <w:szCs w:val="24"/>
        </w:rPr>
        <w:t>Lista e vrojtimeve</w:t>
      </w:r>
      <w:r w:rsidRPr="00B31292">
        <w:rPr>
          <w:rFonts w:ascii="Garamond" w:hAnsi="Garamond" w:cs="Times New Roman"/>
          <w:bCs/>
          <w:i/>
          <w:sz w:val="24"/>
          <w:szCs w:val="24"/>
        </w:rPr>
        <w:t xml:space="preserve"> për fushën </w:t>
      </w:r>
      <w:r w:rsidR="00BA12C3" w:rsidRPr="00B31292">
        <w:rPr>
          <w:rFonts w:ascii="Garamond" w:hAnsi="Garamond" w:cs="Times New Roman"/>
          <w:bCs/>
          <w:i/>
          <w:sz w:val="24"/>
          <w:szCs w:val="24"/>
        </w:rPr>
        <w:t>“</w:t>
      </w:r>
      <w:r w:rsidRPr="00B31292">
        <w:rPr>
          <w:rFonts w:ascii="Garamond" w:hAnsi="Garamond" w:cs="Times New Roman"/>
          <w:bCs/>
          <w:i/>
          <w:sz w:val="24"/>
          <w:szCs w:val="24"/>
        </w:rPr>
        <w:t xml:space="preserve">Statistikat e </w:t>
      </w:r>
      <w:r w:rsidR="007E5CD9" w:rsidRPr="00B31292">
        <w:rPr>
          <w:rFonts w:ascii="Garamond" w:hAnsi="Garamond" w:cs="Times New Roman"/>
          <w:bCs/>
          <w:i/>
          <w:sz w:val="24"/>
          <w:szCs w:val="24"/>
        </w:rPr>
        <w:t>mjedisit dhe multidomain</w:t>
      </w:r>
      <w:r w:rsidR="00BA12C3" w:rsidRPr="00B31292">
        <w:rPr>
          <w:rFonts w:ascii="Garamond" w:hAnsi="Garamond" w:cs="Times New Roman"/>
          <w:bCs/>
          <w:i/>
          <w:sz w:val="24"/>
          <w:szCs w:val="24"/>
        </w:rPr>
        <w:t>”</w:t>
      </w:r>
    </w:p>
    <w:p w14:paraId="68E7667B" w14:textId="398E0DBF" w:rsidR="004F35E8" w:rsidRPr="00B31292" w:rsidRDefault="004F35E8" w:rsidP="003A4DBA">
      <w:pPr>
        <w:spacing w:after="0" w:line="240" w:lineRule="auto"/>
        <w:ind w:firstLine="284"/>
        <w:jc w:val="both"/>
        <w:rPr>
          <w:rFonts w:ascii="Garamond" w:hAnsi="Garamond" w:cs="Times New Roman"/>
          <w:b/>
          <w:i/>
          <w:sz w:val="24"/>
          <w:szCs w:val="24"/>
        </w:rPr>
      </w:pPr>
      <w:r w:rsidRPr="00B31292">
        <w:rPr>
          <w:rFonts w:ascii="Garamond" w:hAnsi="Garamond" w:cs="Times New Roman"/>
          <w:b/>
          <w:i/>
          <w:noProof/>
          <w:sz w:val="24"/>
          <w:szCs w:val="24"/>
          <w:lang w:val="en-US"/>
        </w:rPr>
        <w:drawing>
          <wp:inline distT="0" distB="0" distL="0" distR="0" wp14:anchorId="19B21C80" wp14:editId="1F10AD0B">
            <wp:extent cx="5731510" cy="378460"/>
            <wp:effectExtent l="0" t="0" r="2540" b="254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731510" cy="378460"/>
                    </a:xfrm>
                    <a:prstGeom prst="rect">
                      <a:avLst/>
                    </a:prstGeom>
                  </pic:spPr>
                </pic:pic>
              </a:graphicData>
            </a:graphic>
          </wp:inline>
        </w:drawing>
      </w:r>
    </w:p>
    <w:p w14:paraId="4B2128A6" w14:textId="723CC51E" w:rsidR="00225A79" w:rsidRPr="00B31292" w:rsidRDefault="00225A79" w:rsidP="003A4DBA">
      <w:pPr>
        <w:spacing w:after="0" w:line="240" w:lineRule="auto"/>
        <w:ind w:firstLine="284"/>
        <w:jc w:val="both"/>
        <w:rPr>
          <w:rFonts w:ascii="Garamond" w:hAnsi="Garamond" w:cs="Times New Roman"/>
          <w:bCs/>
          <w:i/>
          <w:sz w:val="24"/>
          <w:szCs w:val="24"/>
        </w:rPr>
      </w:pPr>
      <w:r w:rsidRPr="00B31292">
        <w:rPr>
          <w:rFonts w:ascii="Garamond" w:hAnsi="Garamond" w:cs="Times New Roman"/>
          <w:bCs/>
          <w:i/>
          <w:sz w:val="24"/>
          <w:szCs w:val="24"/>
        </w:rPr>
        <w:t>Tabela nr.</w:t>
      </w:r>
      <w:r w:rsidR="007843CA" w:rsidRPr="00B31292">
        <w:rPr>
          <w:rFonts w:ascii="Garamond" w:hAnsi="Garamond" w:cs="Times New Roman"/>
          <w:bCs/>
          <w:i/>
          <w:sz w:val="24"/>
          <w:szCs w:val="24"/>
        </w:rPr>
        <w:t xml:space="preserve"> </w:t>
      </w:r>
      <w:r w:rsidRPr="00B31292">
        <w:rPr>
          <w:rFonts w:ascii="Garamond" w:hAnsi="Garamond" w:cs="Times New Roman"/>
          <w:bCs/>
          <w:i/>
          <w:sz w:val="24"/>
          <w:szCs w:val="24"/>
        </w:rPr>
        <w:t>1</w:t>
      </w:r>
      <w:r w:rsidR="008F31E0">
        <w:rPr>
          <w:rFonts w:ascii="Garamond" w:hAnsi="Garamond" w:cs="Times New Roman"/>
          <w:bCs/>
          <w:i/>
          <w:sz w:val="24"/>
          <w:szCs w:val="24"/>
        </w:rPr>
        <w:t>9</w:t>
      </w:r>
      <w:r w:rsidR="007843CA" w:rsidRPr="00B31292">
        <w:rPr>
          <w:rFonts w:ascii="Garamond" w:hAnsi="Garamond" w:cs="Times New Roman"/>
          <w:bCs/>
          <w:i/>
          <w:sz w:val="24"/>
          <w:szCs w:val="24"/>
        </w:rPr>
        <w:t xml:space="preserve">: </w:t>
      </w:r>
      <w:r w:rsidRPr="00B31292">
        <w:rPr>
          <w:rFonts w:ascii="Garamond" w:hAnsi="Garamond" w:cs="Times New Roman"/>
          <w:bCs/>
          <w:i/>
          <w:sz w:val="24"/>
          <w:szCs w:val="24"/>
        </w:rPr>
        <w:t>Niveli i përputhshmëris</w:t>
      </w:r>
      <w:r w:rsidR="00C51838" w:rsidRPr="00B31292">
        <w:rPr>
          <w:rFonts w:ascii="Garamond" w:hAnsi="Garamond" w:cs="Times New Roman"/>
          <w:bCs/>
          <w:i/>
          <w:sz w:val="24"/>
          <w:szCs w:val="24"/>
        </w:rPr>
        <w:t>ë</w:t>
      </w:r>
      <w:r w:rsidRPr="00B31292">
        <w:rPr>
          <w:rFonts w:ascii="Garamond" w:hAnsi="Garamond" w:cs="Times New Roman"/>
          <w:bCs/>
          <w:i/>
          <w:sz w:val="24"/>
          <w:szCs w:val="24"/>
        </w:rPr>
        <w:t xml:space="preserve"> me acquis p</w:t>
      </w:r>
      <w:r w:rsidR="00C51838" w:rsidRPr="00B31292">
        <w:rPr>
          <w:rFonts w:ascii="Garamond" w:hAnsi="Garamond" w:cs="Times New Roman"/>
          <w:bCs/>
          <w:i/>
          <w:sz w:val="24"/>
          <w:szCs w:val="24"/>
        </w:rPr>
        <w:t>ë</w:t>
      </w:r>
      <w:r w:rsidRPr="00B31292">
        <w:rPr>
          <w:rFonts w:ascii="Garamond" w:hAnsi="Garamond" w:cs="Times New Roman"/>
          <w:bCs/>
          <w:i/>
          <w:sz w:val="24"/>
          <w:szCs w:val="24"/>
        </w:rPr>
        <w:t xml:space="preserve">r fushën </w:t>
      </w:r>
      <w:r w:rsidR="00BA12C3" w:rsidRPr="00B31292">
        <w:rPr>
          <w:rFonts w:ascii="Garamond" w:hAnsi="Garamond" w:cs="Times New Roman"/>
          <w:bCs/>
          <w:i/>
          <w:sz w:val="24"/>
          <w:szCs w:val="24"/>
        </w:rPr>
        <w:t>“</w:t>
      </w:r>
      <w:r w:rsidRPr="00B31292">
        <w:rPr>
          <w:rFonts w:ascii="Garamond" w:hAnsi="Garamond" w:cs="Times New Roman"/>
          <w:bCs/>
          <w:i/>
          <w:sz w:val="24"/>
          <w:szCs w:val="24"/>
        </w:rPr>
        <w:t xml:space="preserve">Statistikat e </w:t>
      </w:r>
      <w:r w:rsidR="007E5CD9" w:rsidRPr="00B31292">
        <w:rPr>
          <w:rFonts w:ascii="Garamond" w:hAnsi="Garamond" w:cs="Times New Roman"/>
          <w:bCs/>
          <w:i/>
          <w:sz w:val="24"/>
          <w:szCs w:val="24"/>
        </w:rPr>
        <w:t>mjedisit dhe multidomain</w:t>
      </w:r>
      <w:r w:rsidR="00BA12C3" w:rsidRPr="00B31292">
        <w:rPr>
          <w:rFonts w:ascii="Garamond" w:hAnsi="Garamond" w:cs="Times New Roman"/>
          <w:bCs/>
          <w:i/>
          <w:sz w:val="24"/>
          <w:szCs w:val="24"/>
        </w:rPr>
        <w:t>”</w:t>
      </w:r>
    </w:p>
    <w:p w14:paraId="59AC42FD" w14:textId="380D78BB" w:rsidR="004F35E8" w:rsidRPr="00B31292" w:rsidRDefault="004F35E8" w:rsidP="003A4DBA">
      <w:pPr>
        <w:spacing w:after="0" w:line="240" w:lineRule="auto"/>
        <w:ind w:firstLine="284"/>
        <w:jc w:val="both"/>
        <w:rPr>
          <w:rFonts w:ascii="Garamond" w:hAnsi="Garamond" w:cs="Times New Roman"/>
          <w:b/>
          <w:i/>
          <w:sz w:val="24"/>
          <w:szCs w:val="24"/>
        </w:rPr>
      </w:pPr>
      <w:r w:rsidRPr="00B31292">
        <w:rPr>
          <w:rFonts w:ascii="Garamond" w:hAnsi="Garamond" w:cs="Times New Roman"/>
          <w:b/>
          <w:i/>
          <w:noProof/>
          <w:sz w:val="24"/>
          <w:szCs w:val="24"/>
          <w:lang w:val="en-US"/>
        </w:rPr>
        <w:drawing>
          <wp:inline distT="0" distB="0" distL="0" distR="0" wp14:anchorId="77DD7945" wp14:editId="64316881">
            <wp:extent cx="5731510" cy="1238250"/>
            <wp:effectExtent l="0" t="0" r="254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731510" cy="1238250"/>
                    </a:xfrm>
                    <a:prstGeom prst="rect">
                      <a:avLst/>
                    </a:prstGeom>
                  </pic:spPr>
                </pic:pic>
              </a:graphicData>
            </a:graphic>
          </wp:inline>
        </w:drawing>
      </w:r>
    </w:p>
    <w:p w14:paraId="48312123" w14:textId="77777777" w:rsidR="00CB0DFC" w:rsidRPr="00B31292" w:rsidRDefault="00CA0DED" w:rsidP="003A4DBA">
      <w:pPr>
        <w:pStyle w:val="Heading2"/>
        <w:spacing w:before="0" w:line="240" w:lineRule="auto"/>
        <w:ind w:firstLine="284"/>
        <w:rPr>
          <w:rFonts w:ascii="Garamond" w:hAnsi="Garamond"/>
          <w:color w:val="auto"/>
          <w:sz w:val="24"/>
          <w:szCs w:val="24"/>
        </w:rPr>
      </w:pPr>
      <w:bookmarkStart w:id="42" w:name="_Toc182991975"/>
      <w:r w:rsidRPr="00B31292">
        <w:rPr>
          <w:rFonts w:ascii="Garamond" w:hAnsi="Garamond"/>
          <w:color w:val="auto"/>
          <w:sz w:val="24"/>
          <w:szCs w:val="24"/>
        </w:rPr>
        <w:t>B</w:t>
      </w:r>
      <w:r w:rsidR="00CB0DFC" w:rsidRPr="00B31292">
        <w:rPr>
          <w:rFonts w:ascii="Garamond" w:hAnsi="Garamond"/>
          <w:color w:val="auto"/>
          <w:sz w:val="24"/>
          <w:szCs w:val="24"/>
        </w:rPr>
        <w:t xml:space="preserve">otime </w:t>
      </w:r>
      <w:r w:rsidR="00276965" w:rsidRPr="00B31292">
        <w:rPr>
          <w:rFonts w:ascii="Garamond" w:hAnsi="Garamond"/>
          <w:color w:val="auto"/>
          <w:sz w:val="24"/>
          <w:szCs w:val="24"/>
        </w:rPr>
        <w:t>përmbledhëse</w:t>
      </w:r>
      <w:bookmarkEnd w:id="42"/>
    </w:p>
    <w:p w14:paraId="1FD1176E" w14:textId="2591A43E" w:rsidR="00C5582E" w:rsidRPr="00B31292" w:rsidRDefault="00C5582E" w:rsidP="003A4DBA">
      <w:pPr>
        <w:spacing w:after="0" w:line="240" w:lineRule="auto"/>
        <w:ind w:firstLine="284"/>
        <w:jc w:val="both"/>
        <w:rPr>
          <w:rFonts w:ascii="Garamond" w:hAnsi="Garamond"/>
          <w:sz w:val="24"/>
          <w:szCs w:val="24"/>
        </w:rPr>
      </w:pPr>
      <w:r w:rsidRPr="00B31292">
        <w:rPr>
          <w:rFonts w:ascii="Garamond" w:eastAsiaTheme="majorEastAsia" w:hAnsi="Garamond" w:cstheme="majorBidi"/>
          <w:bCs/>
          <w:sz w:val="24"/>
          <w:szCs w:val="24"/>
        </w:rPr>
        <w:t>Botime</w:t>
      </w:r>
      <w:r w:rsidR="007843CA" w:rsidRPr="00B31292">
        <w:rPr>
          <w:rFonts w:ascii="Garamond" w:eastAsiaTheme="majorEastAsia" w:hAnsi="Garamond" w:cstheme="majorBidi"/>
          <w:bCs/>
          <w:sz w:val="24"/>
          <w:szCs w:val="24"/>
        </w:rPr>
        <w:t>t</w:t>
      </w:r>
      <w:r w:rsidRPr="00B31292">
        <w:rPr>
          <w:rFonts w:ascii="Garamond" w:eastAsiaTheme="majorEastAsia" w:hAnsi="Garamond" w:cstheme="majorBidi"/>
          <w:bCs/>
          <w:sz w:val="24"/>
          <w:szCs w:val="24"/>
        </w:rPr>
        <w:t xml:space="preserve"> e INSTAT-it pasqyrojnë një gamë të gjerë të dhënash dhe analizash statistikore, duke ofruar një pamje gjithëpërfshirëse të zhvillimeve demografike, ekonomike, sociale e mjedisore në Shqipëri. Ato kanë fokus të veçantë, tregjet e punës, tregtinë e jashtme, transportin, kulturën dhe turizmin. Këto publikime u shërbejnë vendimmarrësve, kërkuesve shkencorë, akademikëve dhe publikut të gjerë për të kuptuar më mirë realitetin dhe dinamikën e vendit. Të përgatitura në përputhje me standardet ndërkombëtare, botimet e INSTAT-it janë një burim i domosdoshëm për ndjekjen e politikave dhe planifikimin strategjik, duke mbështetur vendimmarrjen e bazuar në shifra.</w:t>
      </w:r>
    </w:p>
    <w:p w14:paraId="337C9707" w14:textId="77777777" w:rsidR="004628F9" w:rsidRPr="00B31292" w:rsidRDefault="00024A60" w:rsidP="003A4DBA">
      <w:pPr>
        <w:pStyle w:val="Heading5"/>
        <w:shd w:val="clear" w:color="auto" w:fill="FFFFFF" w:themeFill="background1"/>
        <w:spacing w:before="0" w:line="240" w:lineRule="auto"/>
        <w:ind w:firstLine="284"/>
        <w:rPr>
          <w:rFonts w:ascii="Garamond" w:hAnsi="Garamond"/>
          <w:i w:val="0"/>
          <w:iCs/>
          <w:color w:val="auto"/>
          <w:szCs w:val="24"/>
        </w:rPr>
      </w:pPr>
      <w:r w:rsidRPr="00B31292">
        <w:rPr>
          <w:rFonts w:ascii="Garamond" w:hAnsi="Garamond"/>
          <w:i w:val="0"/>
          <w:iCs/>
          <w:color w:val="auto"/>
          <w:szCs w:val="24"/>
        </w:rPr>
        <w:t>Vjetari Statistikor Rajonal</w:t>
      </w:r>
      <w:bookmarkEnd w:id="41"/>
    </w:p>
    <w:p w14:paraId="4DBAA6A2" w14:textId="72D50749" w:rsidR="00EF4E96" w:rsidRPr="00B31292" w:rsidRDefault="00024A60" w:rsidP="003A4DBA">
      <w:pPr>
        <w:shd w:val="clear" w:color="auto" w:fill="FFFFFF" w:themeFill="background1"/>
        <w:tabs>
          <w:tab w:val="left" w:pos="709"/>
        </w:tabs>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Vjetari Statistikor Rajonal</w:t>
      </w:r>
      <w:r w:rsidR="000036F8" w:rsidRPr="00B31292">
        <w:rPr>
          <w:rFonts w:ascii="Garamond" w:hAnsi="Garamond" w:cs="Times New Roman"/>
          <w:sz w:val="24"/>
          <w:szCs w:val="24"/>
        </w:rPr>
        <w:t xml:space="preserve"> është një publikim me frekuencë vjetore, i cili </w:t>
      </w:r>
      <w:r w:rsidR="00750B40" w:rsidRPr="00B31292">
        <w:rPr>
          <w:rFonts w:ascii="Garamond" w:hAnsi="Garamond" w:cs="Times New Roman"/>
          <w:sz w:val="24"/>
          <w:szCs w:val="24"/>
        </w:rPr>
        <w:t>synon</w:t>
      </w:r>
      <w:r w:rsidRPr="00B31292">
        <w:rPr>
          <w:rFonts w:ascii="Garamond" w:hAnsi="Garamond" w:cs="Times New Roman"/>
          <w:sz w:val="24"/>
          <w:szCs w:val="24"/>
        </w:rPr>
        <w:t xml:space="preserve"> t</w:t>
      </w:r>
      <w:r w:rsidR="00CD213A" w:rsidRPr="00B31292">
        <w:rPr>
          <w:rFonts w:ascii="Garamond" w:hAnsi="Garamond" w:cs="Times New Roman"/>
          <w:sz w:val="24"/>
          <w:szCs w:val="24"/>
        </w:rPr>
        <w:t>’</w:t>
      </w:r>
      <w:r w:rsidR="00C87206" w:rsidRPr="00B31292">
        <w:rPr>
          <w:rFonts w:ascii="Garamond" w:hAnsi="Garamond" w:cs="Times New Roman"/>
          <w:sz w:val="24"/>
          <w:szCs w:val="24"/>
        </w:rPr>
        <w:t>i</w:t>
      </w:r>
      <w:r w:rsidRPr="00B31292">
        <w:rPr>
          <w:rFonts w:ascii="Garamond" w:hAnsi="Garamond" w:cs="Times New Roman"/>
          <w:sz w:val="24"/>
          <w:szCs w:val="24"/>
        </w:rPr>
        <w:t xml:space="preserve"> japë</w:t>
      </w:r>
      <w:r w:rsidR="00AF0EFB" w:rsidRPr="00B31292">
        <w:rPr>
          <w:rFonts w:ascii="Garamond" w:hAnsi="Garamond" w:cs="Times New Roman"/>
          <w:sz w:val="24"/>
          <w:szCs w:val="24"/>
        </w:rPr>
        <w:t xml:space="preserve"> </w:t>
      </w:r>
      <w:r w:rsidRPr="00B31292">
        <w:rPr>
          <w:rFonts w:ascii="Garamond" w:hAnsi="Garamond" w:cs="Times New Roman"/>
          <w:sz w:val="24"/>
          <w:szCs w:val="24"/>
        </w:rPr>
        <w:t>përdoruesve një përmbledhje të treguesve dhe tendencave demografike, ekonomike, sociale dhe mjedisore më të rëndësishme dhe më të fundit në nivel rajonal</w:t>
      </w:r>
      <w:r w:rsidR="00C87206" w:rsidRPr="00B31292">
        <w:rPr>
          <w:rFonts w:ascii="Garamond" w:hAnsi="Garamond" w:cs="Times New Roman"/>
          <w:sz w:val="24"/>
          <w:szCs w:val="24"/>
        </w:rPr>
        <w:t>, qarku</w:t>
      </w:r>
      <w:r w:rsidR="007843CA" w:rsidRPr="00B31292">
        <w:rPr>
          <w:rFonts w:ascii="Garamond" w:hAnsi="Garamond" w:cs="Times New Roman"/>
          <w:sz w:val="24"/>
          <w:szCs w:val="24"/>
        </w:rPr>
        <w:t xml:space="preserve"> </w:t>
      </w:r>
      <w:r w:rsidRPr="00B31292">
        <w:rPr>
          <w:rFonts w:ascii="Garamond" w:hAnsi="Garamond" w:cs="Times New Roman"/>
          <w:sz w:val="24"/>
          <w:szCs w:val="24"/>
        </w:rPr>
        <w:t>dhe</w:t>
      </w:r>
      <w:r w:rsidR="00750B40" w:rsidRPr="00B31292">
        <w:rPr>
          <w:rFonts w:ascii="Garamond" w:hAnsi="Garamond" w:cs="Times New Roman"/>
          <w:sz w:val="24"/>
          <w:szCs w:val="24"/>
        </w:rPr>
        <w:t>,</w:t>
      </w:r>
      <w:r w:rsidRPr="00B31292">
        <w:rPr>
          <w:rFonts w:ascii="Garamond" w:hAnsi="Garamond" w:cs="Times New Roman"/>
          <w:sz w:val="24"/>
          <w:szCs w:val="24"/>
        </w:rPr>
        <w:t xml:space="preserve"> ku është i disponueshëm</w:t>
      </w:r>
      <w:r w:rsidR="00750B40" w:rsidRPr="00B31292">
        <w:rPr>
          <w:rFonts w:ascii="Garamond" w:hAnsi="Garamond" w:cs="Times New Roman"/>
          <w:sz w:val="24"/>
          <w:szCs w:val="24"/>
        </w:rPr>
        <w:t>,</w:t>
      </w:r>
      <w:r w:rsidR="00AF0EFB" w:rsidRPr="00B31292">
        <w:rPr>
          <w:rFonts w:ascii="Garamond" w:hAnsi="Garamond" w:cs="Times New Roman"/>
          <w:sz w:val="24"/>
          <w:szCs w:val="24"/>
        </w:rPr>
        <w:t xml:space="preserve"> </w:t>
      </w:r>
      <w:r w:rsidRPr="00B31292">
        <w:rPr>
          <w:rFonts w:ascii="Garamond" w:hAnsi="Garamond" w:cs="Times New Roman"/>
          <w:sz w:val="24"/>
          <w:szCs w:val="24"/>
        </w:rPr>
        <w:t>edhe në nivel lokal (</w:t>
      </w:r>
      <w:r w:rsidR="00750B40" w:rsidRPr="00B31292">
        <w:rPr>
          <w:rFonts w:ascii="Garamond" w:hAnsi="Garamond" w:cs="Times New Roman"/>
          <w:sz w:val="24"/>
          <w:szCs w:val="24"/>
        </w:rPr>
        <w:t>si p</w:t>
      </w:r>
      <w:r w:rsidR="007843CA" w:rsidRPr="00B31292">
        <w:rPr>
          <w:rFonts w:ascii="Garamond" w:hAnsi="Garamond" w:cs="Times New Roman"/>
          <w:sz w:val="24"/>
          <w:szCs w:val="24"/>
        </w:rPr>
        <w:t>.</w:t>
      </w:r>
      <w:r w:rsidR="00750B40" w:rsidRPr="00B31292">
        <w:rPr>
          <w:rFonts w:ascii="Garamond" w:hAnsi="Garamond" w:cs="Times New Roman"/>
          <w:sz w:val="24"/>
          <w:szCs w:val="24"/>
        </w:rPr>
        <w:t>sh</w:t>
      </w:r>
      <w:r w:rsidR="007843CA" w:rsidRPr="00B31292">
        <w:rPr>
          <w:rFonts w:ascii="Garamond" w:hAnsi="Garamond" w:cs="Times New Roman"/>
          <w:sz w:val="24"/>
          <w:szCs w:val="24"/>
        </w:rPr>
        <w:t>.</w:t>
      </w:r>
      <w:r w:rsidR="00750B40" w:rsidRPr="00B31292">
        <w:rPr>
          <w:rFonts w:ascii="Garamond" w:hAnsi="Garamond" w:cs="Times New Roman"/>
          <w:sz w:val="24"/>
          <w:szCs w:val="24"/>
        </w:rPr>
        <w:t xml:space="preserve"> nivel bashkie</w:t>
      </w:r>
      <w:r w:rsidRPr="00B31292">
        <w:rPr>
          <w:rFonts w:ascii="Garamond" w:hAnsi="Garamond" w:cs="Times New Roman"/>
          <w:sz w:val="24"/>
          <w:szCs w:val="24"/>
        </w:rPr>
        <w:t>). Prioriteti i Vjetarit është paraqitja e treguesve statistikorë (normat, raportet, mesataret, koeficientët, indekset etj.) dhe jo vlerat absolute. Kjo mundëson krahasimin ndërmjet njësive territoriale, pavarësisht nga madhësia dhe vend</w:t>
      </w:r>
      <w:r w:rsidR="006926E0" w:rsidRPr="00B31292">
        <w:rPr>
          <w:rFonts w:ascii="Garamond" w:hAnsi="Garamond" w:cs="Times New Roman"/>
          <w:sz w:val="24"/>
          <w:szCs w:val="24"/>
        </w:rPr>
        <w:t>n</w:t>
      </w:r>
      <w:r w:rsidRPr="00B31292">
        <w:rPr>
          <w:rFonts w:ascii="Garamond" w:hAnsi="Garamond" w:cs="Times New Roman"/>
          <w:sz w:val="24"/>
          <w:szCs w:val="24"/>
        </w:rPr>
        <w:t>dodhja e tyre.</w:t>
      </w:r>
      <w:r w:rsidR="00632586" w:rsidRPr="00B31292">
        <w:rPr>
          <w:rFonts w:ascii="Garamond" w:hAnsi="Garamond" w:cs="Times New Roman"/>
          <w:sz w:val="24"/>
          <w:szCs w:val="24"/>
        </w:rPr>
        <w:t xml:space="preserve"> Ky publikim</w:t>
      </w:r>
      <w:r w:rsidRPr="00B31292">
        <w:rPr>
          <w:rFonts w:ascii="Garamond" w:hAnsi="Garamond" w:cs="Times New Roman"/>
          <w:sz w:val="24"/>
          <w:szCs w:val="24"/>
        </w:rPr>
        <w:t xml:space="preserve"> respekton Nomenklaturën Evropiane të Njësive Territoriale për Statistikat (NUTS), ku dallon këto nivele: NUTS 1 (nivel vendi), NUTS 2 (rajonet statistikore bazë, në Shqipëri: Veri, Qendër, Jug), NUTS 3 (rajone të vogla statistikore, në Shqipëri: 12 </w:t>
      </w:r>
      <w:r w:rsidR="007E5CD9" w:rsidRPr="00B31292">
        <w:rPr>
          <w:rFonts w:ascii="Garamond" w:hAnsi="Garamond" w:cs="Times New Roman"/>
          <w:sz w:val="24"/>
          <w:szCs w:val="24"/>
        </w:rPr>
        <w:t>prefekturat ose qarqet</w:t>
      </w:r>
      <w:r w:rsidRPr="00B31292">
        <w:rPr>
          <w:rFonts w:ascii="Garamond" w:hAnsi="Garamond" w:cs="Times New Roman"/>
          <w:sz w:val="24"/>
          <w:szCs w:val="24"/>
        </w:rPr>
        <w:t>), LAU 1 (</w:t>
      </w:r>
      <w:r w:rsidR="007E5CD9" w:rsidRPr="00B31292">
        <w:rPr>
          <w:rFonts w:ascii="Garamond" w:hAnsi="Garamond" w:cs="Times New Roman"/>
          <w:sz w:val="24"/>
          <w:szCs w:val="24"/>
        </w:rPr>
        <w:t>n</w:t>
      </w:r>
      <w:r w:rsidRPr="00B31292">
        <w:rPr>
          <w:rFonts w:ascii="Garamond" w:hAnsi="Garamond" w:cs="Times New Roman"/>
          <w:sz w:val="24"/>
          <w:szCs w:val="24"/>
        </w:rPr>
        <w:t xml:space="preserve">jësitë administrative vendore 1, në Shqipëri: 61 </w:t>
      </w:r>
      <w:r w:rsidR="007E5CD9" w:rsidRPr="00B31292">
        <w:rPr>
          <w:rFonts w:ascii="Garamond" w:hAnsi="Garamond" w:cs="Times New Roman"/>
          <w:sz w:val="24"/>
          <w:szCs w:val="24"/>
        </w:rPr>
        <w:t>b</w:t>
      </w:r>
      <w:r w:rsidRPr="00B31292">
        <w:rPr>
          <w:rFonts w:ascii="Garamond" w:hAnsi="Garamond" w:cs="Times New Roman"/>
          <w:sz w:val="24"/>
          <w:szCs w:val="24"/>
        </w:rPr>
        <w:t>ashki).</w:t>
      </w:r>
    </w:p>
    <w:p w14:paraId="0C976C72" w14:textId="6BBF5A9C" w:rsidR="005D2508" w:rsidRPr="00B31292" w:rsidRDefault="005D2508" w:rsidP="003A4DBA">
      <w:pPr>
        <w:pStyle w:val="Heading5"/>
        <w:shd w:val="clear" w:color="auto" w:fill="FFFFFF" w:themeFill="background1"/>
        <w:spacing w:before="0" w:line="240" w:lineRule="auto"/>
        <w:ind w:firstLine="284"/>
        <w:rPr>
          <w:rFonts w:ascii="Garamond" w:hAnsi="Garamond"/>
          <w:i w:val="0"/>
          <w:iCs/>
          <w:color w:val="auto"/>
          <w:szCs w:val="24"/>
        </w:rPr>
      </w:pPr>
      <w:r w:rsidRPr="00B31292">
        <w:rPr>
          <w:rFonts w:ascii="Garamond" w:hAnsi="Garamond"/>
          <w:i w:val="0"/>
          <w:iCs/>
          <w:color w:val="auto"/>
          <w:szCs w:val="24"/>
        </w:rPr>
        <w:lastRenderedPageBreak/>
        <w:t xml:space="preserve">Regjistrat e </w:t>
      </w:r>
      <w:r w:rsidR="007843CA" w:rsidRPr="00B31292">
        <w:rPr>
          <w:rFonts w:ascii="Garamond" w:hAnsi="Garamond"/>
          <w:i w:val="0"/>
          <w:iCs/>
          <w:color w:val="auto"/>
          <w:szCs w:val="24"/>
        </w:rPr>
        <w:t>biznesit</w:t>
      </w:r>
    </w:p>
    <w:p w14:paraId="282811DB" w14:textId="2DA64468" w:rsidR="005D2508" w:rsidRPr="00B31292" w:rsidRDefault="005D2508" w:rsidP="003A4DBA">
      <w:pPr>
        <w:shd w:val="clear" w:color="auto" w:fill="FFFFFF" w:themeFill="background1"/>
        <w:tabs>
          <w:tab w:val="left" w:pos="709"/>
        </w:tabs>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Statistikat zyrtare bazuar në regjistrat e biznesit i shërbejnë</w:t>
      </w:r>
      <w:r w:rsidR="007E5CD9" w:rsidRPr="00B31292">
        <w:rPr>
          <w:rFonts w:ascii="Garamond" w:hAnsi="Garamond" w:cs="Times New Roman"/>
          <w:sz w:val="24"/>
          <w:szCs w:val="24"/>
        </w:rPr>
        <w:t xml:space="preserve"> të</w:t>
      </w:r>
      <w:r w:rsidRPr="00B31292">
        <w:rPr>
          <w:rFonts w:ascii="Garamond" w:hAnsi="Garamond" w:cs="Times New Roman"/>
          <w:sz w:val="24"/>
          <w:szCs w:val="24"/>
        </w:rPr>
        <w:t xml:space="preserve"> gjithë ko</w:t>
      </w:r>
      <w:r w:rsidR="00750B40" w:rsidRPr="00B31292">
        <w:rPr>
          <w:rFonts w:ascii="Garamond" w:hAnsi="Garamond" w:cs="Times New Roman"/>
          <w:sz w:val="24"/>
          <w:szCs w:val="24"/>
        </w:rPr>
        <w:t xml:space="preserve">munitetit të biznesit, politikëbërësve </w:t>
      </w:r>
      <w:r w:rsidRPr="00B31292">
        <w:rPr>
          <w:rFonts w:ascii="Garamond" w:hAnsi="Garamond" w:cs="Times New Roman"/>
          <w:sz w:val="24"/>
          <w:szCs w:val="24"/>
        </w:rPr>
        <w:t>dhe akademikëve për të analizuar situatën ekonomike në vend, për të ndërmarrë iniciativa dhe vendime të drejta për të përmirësuar kli</w:t>
      </w:r>
      <w:r w:rsidR="008B72F0" w:rsidRPr="00B31292">
        <w:rPr>
          <w:rFonts w:ascii="Garamond" w:hAnsi="Garamond" w:cs="Times New Roman"/>
          <w:sz w:val="24"/>
          <w:szCs w:val="24"/>
        </w:rPr>
        <w:t>mën dhe zhvillimin e bizneseve.</w:t>
      </w:r>
    </w:p>
    <w:p w14:paraId="2441BA21" w14:textId="0B20415D" w:rsidR="005D2508" w:rsidRPr="00B31292" w:rsidRDefault="005D2508" w:rsidP="003A4DBA">
      <w:pPr>
        <w:pStyle w:val="Heading5"/>
        <w:shd w:val="clear" w:color="auto" w:fill="FFFFFF" w:themeFill="background1"/>
        <w:spacing w:before="0" w:line="240" w:lineRule="auto"/>
        <w:ind w:firstLine="284"/>
        <w:rPr>
          <w:rFonts w:ascii="Garamond" w:hAnsi="Garamond"/>
          <w:bCs/>
          <w:i w:val="0"/>
          <w:iCs/>
          <w:color w:val="auto"/>
          <w:szCs w:val="24"/>
        </w:rPr>
      </w:pPr>
      <w:r w:rsidRPr="00B31292">
        <w:rPr>
          <w:rFonts w:ascii="Garamond" w:hAnsi="Garamond"/>
          <w:bCs/>
          <w:i w:val="0"/>
          <w:iCs/>
          <w:color w:val="auto"/>
          <w:szCs w:val="24"/>
        </w:rPr>
        <w:t xml:space="preserve">Shqipëria në </w:t>
      </w:r>
      <w:r w:rsidR="007843CA" w:rsidRPr="00B31292">
        <w:rPr>
          <w:rFonts w:ascii="Garamond" w:hAnsi="Garamond"/>
          <w:bCs/>
          <w:i w:val="0"/>
          <w:iCs/>
          <w:color w:val="auto"/>
          <w:szCs w:val="24"/>
        </w:rPr>
        <w:t>shifra</w:t>
      </w:r>
    </w:p>
    <w:p w14:paraId="088E46FA" w14:textId="0A2AD9CD" w:rsidR="005D2508" w:rsidRPr="00B31292" w:rsidRDefault="005D2508" w:rsidP="003A4DBA">
      <w:pPr>
        <w:shd w:val="clear" w:color="auto" w:fill="FFFFFF" w:themeFill="background1"/>
        <w:tabs>
          <w:tab w:val="left" w:pos="709"/>
        </w:tabs>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 xml:space="preserve">Shqipëria në </w:t>
      </w:r>
      <w:r w:rsidR="007E5CD9" w:rsidRPr="00B31292">
        <w:rPr>
          <w:rFonts w:ascii="Garamond" w:hAnsi="Garamond" w:cs="Times New Roman"/>
          <w:sz w:val="24"/>
          <w:szCs w:val="24"/>
        </w:rPr>
        <w:t>s</w:t>
      </w:r>
      <w:r w:rsidRPr="00B31292">
        <w:rPr>
          <w:rFonts w:ascii="Garamond" w:hAnsi="Garamond" w:cs="Times New Roman"/>
          <w:sz w:val="24"/>
          <w:szCs w:val="24"/>
        </w:rPr>
        <w:t xml:space="preserve">hifra paraqet në mënyrë sintetike të dhëna statistikore për zhvillimin ekonomik dhe shoqëror të Shqipërisë. Botimi përmban 36 kapituj: </w:t>
      </w:r>
      <w:r w:rsidR="007E5CD9" w:rsidRPr="00B31292">
        <w:rPr>
          <w:rFonts w:ascii="Garamond" w:hAnsi="Garamond" w:cs="Times New Roman"/>
          <w:sz w:val="24"/>
          <w:szCs w:val="24"/>
        </w:rPr>
        <w:t>demografia, shëndetësia, kushtet sociale, arsimi, kultura, papunësia, punësimi, çmimet, tregtia e jashtme, transporti, turizmi, llogaritë kombëtare, regjistri i ndërmarrjeve, inovacioni etj.</w:t>
      </w:r>
    </w:p>
    <w:p w14:paraId="5545A722" w14:textId="16423029" w:rsidR="005D2508" w:rsidRPr="00B31292" w:rsidRDefault="005D2508" w:rsidP="003A4DBA">
      <w:pPr>
        <w:pStyle w:val="Heading5"/>
        <w:shd w:val="clear" w:color="auto" w:fill="FFFFFF" w:themeFill="background1"/>
        <w:spacing w:before="0" w:line="240" w:lineRule="auto"/>
        <w:ind w:firstLine="284"/>
        <w:rPr>
          <w:rFonts w:ascii="Garamond" w:hAnsi="Garamond"/>
          <w:i w:val="0"/>
          <w:iCs/>
          <w:color w:val="auto"/>
          <w:szCs w:val="24"/>
        </w:rPr>
      </w:pPr>
      <w:r w:rsidRPr="00B31292">
        <w:rPr>
          <w:rFonts w:ascii="Garamond" w:hAnsi="Garamond"/>
          <w:i w:val="0"/>
          <w:iCs/>
          <w:color w:val="auto"/>
          <w:szCs w:val="24"/>
        </w:rPr>
        <w:t xml:space="preserve">Burra dhe </w:t>
      </w:r>
      <w:r w:rsidR="007843CA" w:rsidRPr="00B31292">
        <w:rPr>
          <w:rFonts w:ascii="Garamond" w:hAnsi="Garamond"/>
          <w:i w:val="0"/>
          <w:iCs/>
          <w:color w:val="auto"/>
          <w:szCs w:val="24"/>
        </w:rPr>
        <w:t>gra</w:t>
      </w:r>
      <w:r w:rsidRPr="00B31292">
        <w:rPr>
          <w:rFonts w:ascii="Garamond" w:hAnsi="Garamond"/>
          <w:i w:val="0"/>
          <w:iCs/>
          <w:color w:val="auto"/>
          <w:szCs w:val="24"/>
        </w:rPr>
        <w:t xml:space="preserve"> në Shqipëri</w:t>
      </w:r>
    </w:p>
    <w:p w14:paraId="6C2993AC" w14:textId="127AE8C7" w:rsidR="005D2508" w:rsidRPr="00B31292" w:rsidRDefault="005D2508" w:rsidP="003A4DBA">
      <w:pPr>
        <w:shd w:val="clear" w:color="auto" w:fill="FFFFFF" w:themeFill="background1"/>
        <w:tabs>
          <w:tab w:val="left" w:pos="709"/>
        </w:tabs>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 xml:space="preserve">Publikimi </w:t>
      </w:r>
      <w:r w:rsidR="00BA12C3" w:rsidRPr="00B31292">
        <w:rPr>
          <w:rFonts w:ascii="Garamond" w:hAnsi="Garamond" w:cs="Times New Roman"/>
          <w:sz w:val="24"/>
          <w:szCs w:val="24"/>
        </w:rPr>
        <w:t>“</w:t>
      </w:r>
      <w:r w:rsidRPr="00B31292">
        <w:rPr>
          <w:rFonts w:ascii="Garamond" w:hAnsi="Garamond" w:cs="Times New Roman"/>
          <w:sz w:val="24"/>
          <w:szCs w:val="24"/>
        </w:rPr>
        <w:t>Burra dhe Gra në Shqipëri</w:t>
      </w:r>
      <w:r w:rsidR="00BA12C3" w:rsidRPr="00B31292">
        <w:rPr>
          <w:rFonts w:ascii="Garamond" w:hAnsi="Garamond" w:cs="Times New Roman"/>
          <w:sz w:val="24"/>
          <w:szCs w:val="24"/>
        </w:rPr>
        <w:t>”</w:t>
      </w:r>
      <w:r w:rsidRPr="00B31292">
        <w:rPr>
          <w:rFonts w:ascii="Garamond" w:hAnsi="Garamond" w:cs="Times New Roman"/>
          <w:sz w:val="24"/>
          <w:szCs w:val="24"/>
        </w:rPr>
        <w:t xml:space="preserve"> është një publikim me periodicitet vjetor, i cili paraqet të dhëna për fusha të ndryshme të jetës të ndara sipas gjinisë, si dhe paraqet matjen dhe monitorimin e jetës së grave dhe burrave në shoqëri.</w:t>
      </w:r>
      <w:r w:rsidR="00087CFE" w:rsidRPr="00B31292">
        <w:rPr>
          <w:rFonts w:ascii="Garamond" w:hAnsi="Garamond" w:cs="Times New Roman"/>
          <w:sz w:val="24"/>
          <w:szCs w:val="24"/>
        </w:rPr>
        <w:t xml:space="preserve"> </w:t>
      </w:r>
      <w:r w:rsidRPr="00B31292">
        <w:rPr>
          <w:rFonts w:ascii="Garamond" w:hAnsi="Garamond" w:cs="Times New Roman"/>
          <w:sz w:val="24"/>
          <w:szCs w:val="24"/>
        </w:rPr>
        <w:t>Kapitujt e përfshirë në këtë botim pasqyrojnë fusha të ndryshme të të dhënave me bazë gjinore, të cilat janë përpunuar dhe vendosur në kontekst nga stafi i INSTAT</w:t>
      </w:r>
      <w:r w:rsidR="007E5CD9" w:rsidRPr="00B31292">
        <w:rPr>
          <w:rFonts w:ascii="Garamond" w:hAnsi="Garamond" w:cs="Times New Roman"/>
          <w:sz w:val="24"/>
          <w:szCs w:val="24"/>
        </w:rPr>
        <w:t>-it</w:t>
      </w:r>
      <w:r w:rsidRPr="00B31292">
        <w:rPr>
          <w:rFonts w:ascii="Garamond" w:hAnsi="Garamond" w:cs="Times New Roman"/>
          <w:sz w:val="24"/>
          <w:szCs w:val="24"/>
        </w:rPr>
        <w:t xml:space="preserve">, duke i bërë ato më të lehta dhe të kuptueshme për publikun e gjerë. </w:t>
      </w:r>
    </w:p>
    <w:p w14:paraId="032E9D50" w14:textId="65EF44B9" w:rsidR="008B72F0" w:rsidRPr="00B31292" w:rsidRDefault="005D2508" w:rsidP="003A4DBA">
      <w:pPr>
        <w:shd w:val="clear" w:color="auto" w:fill="FFFFFF" w:themeFill="background1"/>
        <w:tabs>
          <w:tab w:val="left" w:pos="0"/>
        </w:tabs>
        <w:spacing w:after="0" w:line="240" w:lineRule="auto"/>
        <w:ind w:firstLine="284"/>
        <w:jc w:val="both"/>
        <w:rPr>
          <w:rFonts w:ascii="Garamond" w:hAnsi="Garamond"/>
          <w:iCs/>
          <w:sz w:val="24"/>
          <w:szCs w:val="24"/>
        </w:rPr>
      </w:pPr>
      <w:r w:rsidRPr="00B31292">
        <w:rPr>
          <w:rFonts w:ascii="Garamond" w:eastAsiaTheme="majorEastAsia" w:hAnsi="Garamond" w:cstheme="majorBidi"/>
          <w:b/>
          <w:iCs/>
          <w:sz w:val="24"/>
          <w:szCs w:val="24"/>
        </w:rPr>
        <w:t xml:space="preserve">Tregtia e </w:t>
      </w:r>
      <w:r w:rsidR="007843CA" w:rsidRPr="00B31292">
        <w:rPr>
          <w:rFonts w:ascii="Garamond" w:eastAsiaTheme="majorEastAsia" w:hAnsi="Garamond" w:cstheme="majorBidi"/>
          <w:b/>
          <w:iCs/>
          <w:sz w:val="24"/>
          <w:szCs w:val="24"/>
        </w:rPr>
        <w:t>j</w:t>
      </w:r>
      <w:r w:rsidRPr="00B31292">
        <w:rPr>
          <w:rFonts w:ascii="Garamond" w:eastAsiaTheme="majorEastAsia" w:hAnsi="Garamond" w:cstheme="majorBidi"/>
          <w:b/>
          <w:iCs/>
          <w:sz w:val="24"/>
          <w:szCs w:val="24"/>
        </w:rPr>
        <w:t>ashtme e mallrave dhe ndërmarrjet</w:t>
      </w:r>
    </w:p>
    <w:p w14:paraId="2E55ABAE" w14:textId="272C59B4" w:rsidR="005D2508" w:rsidRPr="00B31292" w:rsidRDefault="009538EC" w:rsidP="003A4DBA">
      <w:pPr>
        <w:shd w:val="clear" w:color="auto" w:fill="FFFFFF" w:themeFill="background1"/>
        <w:tabs>
          <w:tab w:val="left" w:pos="0"/>
        </w:tabs>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Botimi pasqyron disa nga kërkesat themelore dhe nevojat e disa grupeve të përdoruesve për të dhënat mbi tregtinë e mallrave dhe ndikimin</w:t>
      </w:r>
      <w:r w:rsidR="00506D87" w:rsidRPr="00B31292">
        <w:rPr>
          <w:rFonts w:ascii="Garamond" w:hAnsi="Garamond" w:cs="Times New Roman"/>
          <w:sz w:val="24"/>
          <w:szCs w:val="24"/>
        </w:rPr>
        <w:t xml:space="preserve"> e tyre në ekonominë shqiptare. </w:t>
      </w:r>
      <w:r w:rsidRPr="00B31292">
        <w:rPr>
          <w:rFonts w:ascii="Garamond" w:hAnsi="Garamond" w:cs="Times New Roman"/>
          <w:sz w:val="24"/>
          <w:szCs w:val="24"/>
        </w:rPr>
        <w:t>Ky publikim i dedikuar paraqet me anë të shifrave realitetin ekonomik në vend, si dhe përgjigjet ndaj kërkesave në rritje për informacion statistikor të vendim</w:t>
      </w:r>
      <w:r w:rsidR="007843CA" w:rsidRPr="00B31292">
        <w:rPr>
          <w:rFonts w:ascii="Garamond" w:hAnsi="Garamond" w:cs="Times New Roman"/>
          <w:sz w:val="24"/>
          <w:szCs w:val="24"/>
        </w:rPr>
        <w:t>m</w:t>
      </w:r>
      <w:r w:rsidRPr="00B31292">
        <w:rPr>
          <w:rFonts w:ascii="Garamond" w:hAnsi="Garamond" w:cs="Times New Roman"/>
          <w:sz w:val="24"/>
          <w:szCs w:val="24"/>
        </w:rPr>
        <w:t>arrësve, kërkuesve shkencorë dhe akademikëve në Shqipëri.</w:t>
      </w:r>
    </w:p>
    <w:p w14:paraId="27A7ECBC" w14:textId="66075E1D" w:rsidR="005D2508" w:rsidRPr="00B31292" w:rsidRDefault="005D2508" w:rsidP="003A4DBA">
      <w:pPr>
        <w:pStyle w:val="Heading5"/>
        <w:shd w:val="clear" w:color="auto" w:fill="FFFFFF" w:themeFill="background1"/>
        <w:spacing w:before="0" w:line="240" w:lineRule="auto"/>
        <w:ind w:firstLine="284"/>
        <w:rPr>
          <w:rFonts w:ascii="Garamond" w:hAnsi="Garamond"/>
          <w:bCs/>
          <w:i w:val="0"/>
          <w:iCs/>
          <w:color w:val="auto"/>
          <w:szCs w:val="24"/>
        </w:rPr>
      </w:pPr>
      <w:r w:rsidRPr="00B31292">
        <w:rPr>
          <w:rFonts w:ascii="Garamond" w:hAnsi="Garamond"/>
          <w:bCs/>
          <w:i w:val="0"/>
          <w:iCs/>
          <w:color w:val="auto"/>
          <w:szCs w:val="24"/>
        </w:rPr>
        <w:t xml:space="preserve">Tregu i </w:t>
      </w:r>
      <w:r w:rsidR="007843CA" w:rsidRPr="00B31292">
        <w:rPr>
          <w:rFonts w:ascii="Garamond" w:hAnsi="Garamond"/>
          <w:bCs/>
          <w:i w:val="0"/>
          <w:iCs/>
          <w:color w:val="auto"/>
          <w:szCs w:val="24"/>
        </w:rPr>
        <w:t>punës</w:t>
      </w:r>
    </w:p>
    <w:p w14:paraId="7031AD74" w14:textId="1E404A43" w:rsidR="005D2508" w:rsidRPr="00B31292" w:rsidRDefault="005D2508" w:rsidP="003A4DBA">
      <w:pPr>
        <w:shd w:val="clear" w:color="auto" w:fill="FFFFFF" w:themeFill="background1"/>
        <w:tabs>
          <w:tab w:val="left" w:pos="709"/>
        </w:tabs>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 xml:space="preserve">Botimi mbi </w:t>
      </w:r>
      <w:r w:rsidR="006A0C2E" w:rsidRPr="00B31292">
        <w:rPr>
          <w:rFonts w:ascii="Garamond" w:hAnsi="Garamond" w:cs="Times New Roman"/>
          <w:sz w:val="24"/>
          <w:szCs w:val="24"/>
        </w:rPr>
        <w:t xml:space="preserve">tregun e punës </w:t>
      </w:r>
      <w:r w:rsidRPr="00B31292">
        <w:rPr>
          <w:rFonts w:ascii="Garamond" w:hAnsi="Garamond" w:cs="Times New Roman"/>
          <w:sz w:val="24"/>
          <w:szCs w:val="24"/>
        </w:rPr>
        <w:t>është një burim i rëndësishëm informacioni mbi situatën dhe tendencat e tregjeve kombëtare të punës. Ai ndihmon për të monitoruar politikat dhe strategjitë kryesore për punësimin dhe pagat, sipas gjinisë dhe strukturës gjinore</w:t>
      </w:r>
      <w:r w:rsidR="006A0C2E" w:rsidRPr="00B31292">
        <w:rPr>
          <w:rFonts w:ascii="Garamond" w:hAnsi="Garamond" w:cs="Times New Roman"/>
          <w:sz w:val="24"/>
          <w:szCs w:val="24"/>
        </w:rPr>
        <w:t>,</w:t>
      </w:r>
      <w:r w:rsidRPr="00B31292">
        <w:rPr>
          <w:rFonts w:ascii="Garamond" w:hAnsi="Garamond" w:cs="Times New Roman"/>
          <w:sz w:val="24"/>
          <w:szCs w:val="24"/>
        </w:rPr>
        <w:t xml:space="preserve"> dhe moshore, shkallës arsimore, aktivitetit ekonomik</w:t>
      </w:r>
      <w:r w:rsidR="00BC0AF9" w:rsidRPr="00B31292">
        <w:rPr>
          <w:rFonts w:ascii="Garamond" w:hAnsi="Garamond" w:cs="Times New Roman"/>
          <w:sz w:val="24"/>
          <w:szCs w:val="24"/>
        </w:rPr>
        <w:t xml:space="preserve"> dhe profesioneve. </w:t>
      </w:r>
      <w:r w:rsidRPr="00B31292">
        <w:rPr>
          <w:rFonts w:ascii="Garamond" w:hAnsi="Garamond" w:cs="Times New Roman"/>
          <w:sz w:val="24"/>
          <w:szCs w:val="24"/>
        </w:rPr>
        <w:t>Bot</w:t>
      </w:r>
      <w:r w:rsidR="00BC0AF9" w:rsidRPr="00B31292">
        <w:rPr>
          <w:rFonts w:ascii="Garamond" w:hAnsi="Garamond" w:cs="Times New Roman"/>
          <w:sz w:val="24"/>
          <w:szCs w:val="24"/>
        </w:rPr>
        <w:t xml:space="preserve">imi vjetor i </w:t>
      </w:r>
      <w:r w:rsidR="006A0C2E" w:rsidRPr="00B31292">
        <w:rPr>
          <w:rFonts w:ascii="Garamond" w:hAnsi="Garamond" w:cs="Times New Roman"/>
          <w:sz w:val="24"/>
          <w:szCs w:val="24"/>
        </w:rPr>
        <w:t xml:space="preserve">tregut të punës </w:t>
      </w:r>
      <w:r w:rsidRPr="00B31292">
        <w:rPr>
          <w:rFonts w:ascii="Garamond" w:hAnsi="Garamond" w:cs="Times New Roman"/>
          <w:sz w:val="24"/>
          <w:szCs w:val="24"/>
        </w:rPr>
        <w:t xml:space="preserve">përmban një analizë të zgjeruar të publikimeve tremujore bazuar në burime administrative </w:t>
      </w:r>
      <w:r w:rsidR="00A13D42" w:rsidRPr="00B31292">
        <w:rPr>
          <w:rFonts w:ascii="Garamond" w:hAnsi="Garamond" w:cs="Times New Roman"/>
          <w:sz w:val="24"/>
          <w:szCs w:val="24"/>
        </w:rPr>
        <w:t xml:space="preserve">dhe </w:t>
      </w:r>
      <w:r w:rsidR="006A0C2E" w:rsidRPr="00B31292">
        <w:rPr>
          <w:rFonts w:ascii="Garamond" w:hAnsi="Garamond" w:cs="Times New Roman"/>
          <w:sz w:val="24"/>
          <w:szCs w:val="24"/>
        </w:rPr>
        <w:t>vrojtimin e forcave të punës.</w:t>
      </w:r>
    </w:p>
    <w:p w14:paraId="3CD82E15" w14:textId="57299C71" w:rsidR="005D2508" w:rsidRPr="00B31292" w:rsidRDefault="005D2508" w:rsidP="003A4DBA">
      <w:pPr>
        <w:pStyle w:val="Heading5"/>
        <w:shd w:val="clear" w:color="auto" w:fill="FFFFFF" w:themeFill="background1"/>
        <w:spacing w:before="0" w:line="240" w:lineRule="auto"/>
        <w:ind w:firstLine="284"/>
        <w:rPr>
          <w:rFonts w:ascii="Garamond" w:hAnsi="Garamond"/>
          <w:i w:val="0"/>
          <w:iCs/>
          <w:color w:val="auto"/>
          <w:szCs w:val="24"/>
        </w:rPr>
      </w:pPr>
      <w:r w:rsidRPr="00B31292">
        <w:rPr>
          <w:rFonts w:ascii="Garamond" w:hAnsi="Garamond"/>
          <w:i w:val="0"/>
          <w:iCs/>
          <w:color w:val="auto"/>
          <w:szCs w:val="24"/>
        </w:rPr>
        <w:t xml:space="preserve">Turizmi në </w:t>
      </w:r>
      <w:r w:rsidR="007843CA" w:rsidRPr="00B31292">
        <w:rPr>
          <w:rFonts w:ascii="Garamond" w:hAnsi="Garamond"/>
          <w:i w:val="0"/>
          <w:iCs/>
          <w:color w:val="auto"/>
          <w:szCs w:val="24"/>
        </w:rPr>
        <w:t>shifra</w:t>
      </w:r>
    </w:p>
    <w:p w14:paraId="4C6CA7AE" w14:textId="74B90F7A" w:rsidR="005D2508" w:rsidRPr="00B31292" w:rsidRDefault="005D2508" w:rsidP="003A4DBA">
      <w:pPr>
        <w:shd w:val="clear" w:color="auto" w:fill="FFFFFF" w:themeFill="background1"/>
        <w:tabs>
          <w:tab w:val="left" w:pos="709"/>
        </w:tabs>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 xml:space="preserve">Ky publikim i dedikuar paraqet me anë të shifrave </w:t>
      </w:r>
      <w:r w:rsidR="008B611D" w:rsidRPr="00B31292">
        <w:rPr>
          <w:rFonts w:ascii="Garamond" w:hAnsi="Garamond" w:cs="Times New Roman"/>
          <w:sz w:val="24"/>
          <w:szCs w:val="24"/>
        </w:rPr>
        <w:t>të dhëna përmbledhëse</w:t>
      </w:r>
      <w:r w:rsidR="00A34291" w:rsidRPr="00B31292">
        <w:rPr>
          <w:rFonts w:ascii="Garamond" w:hAnsi="Garamond" w:cs="Times New Roman"/>
          <w:sz w:val="24"/>
          <w:szCs w:val="24"/>
        </w:rPr>
        <w:t xml:space="preserve"> </w:t>
      </w:r>
      <w:r w:rsidR="008B611D" w:rsidRPr="00B31292">
        <w:rPr>
          <w:rFonts w:ascii="Garamond" w:hAnsi="Garamond" w:cs="Times New Roman"/>
          <w:sz w:val="24"/>
          <w:szCs w:val="24"/>
        </w:rPr>
        <w:t xml:space="preserve">mbi sektorin e </w:t>
      </w:r>
      <w:r w:rsidR="006A0C2E" w:rsidRPr="00B31292">
        <w:rPr>
          <w:rFonts w:ascii="Garamond" w:hAnsi="Garamond" w:cs="Times New Roman"/>
          <w:sz w:val="24"/>
          <w:szCs w:val="24"/>
        </w:rPr>
        <w:t>t</w:t>
      </w:r>
      <w:r w:rsidR="008B611D" w:rsidRPr="00B31292">
        <w:rPr>
          <w:rFonts w:ascii="Garamond" w:hAnsi="Garamond" w:cs="Times New Roman"/>
          <w:sz w:val="24"/>
          <w:szCs w:val="24"/>
        </w:rPr>
        <w:t>urizmit</w:t>
      </w:r>
      <w:r w:rsidR="00A34291" w:rsidRPr="00B31292">
        <w:rPr>
          <w:rFonts w:ascii="Garamond" w:hAnsi="Garamond" w:cs="Times New Roman"/>
          <w:sz w:val="24"/>
          <w:szCs w:val="24"/>
        </w:rPr>
        <w:t xml:space="preserve"> </w:t>
      </w:r>
      <w:r w:rsidRPr="00B31292">
        <w:rPr>
          <w:rFonts w:ascii="Garamond" w:hAnsi="Garamond" w:cs="Times New Roman"/>
          <w:sz w:val="24"/>
          <w:szCs w:val="24"/>
        </w:rPr>
        <w:t xml:space="preserve">për </w:t>
      </w:r>
      <w:r w:rsidR="008B611D" w:rsidRPr="00B31292">
        <w:rPr>
          <w:rFonts w:ascii="Garamond" w:hAnsi="Garamond" w:cs="Times New Roman"/>
          <w:sz w:val="24"/>
          <w:szCs w:val="24"/>
        </w:rPr>
        <w:t xml:space="preserve">nevoja </w:t>
      </w:r>
      <w:r w:rsidRPr="00B31292">
        <w:rPr>
          <w:rFonts w:ascii="Garamond" w:hAnsi="Garamond" w:cs="Times New Roman"/>
          <w:sz w:val="24"/>
          <w:szCs w:val="24"/>
        </w:rPr>
        <w:t xml:space="preserve">të </w:t>
      </w:r>
      <w:r w:rsidR="008B611D" w:rsidRPr="00B31292">
        <w:rPr>
          <w:rFonts w:ascii="Garamond" w:hAnsi="Garamond" w:cs="Times New Roman"/>
          <w:sz w:val="24"/>
          <w:szCs w:val="24"/>
        </w:rPr>
        <w:t xml:space="preserve">hartuesve të politikave, </w:t>
      </w:r>
      <w:r w:rsidRPr="00B31292">
        <w:rPr>
          <w:rFonts w:ascii="Garamond" w:hAnsi="Garamond" w:cs="Times New Roman"/>
          <w:sz w:val="24"/>
          <w:szCs w:val="24"/>
        </w:rPr>
        <w:t>vendim</w:t>
      </w:r>
      <w:r w:rsidR="007843CA" w:rsidRPr="00B31292">
        <w:rPr>
          <w:rFonts w:ascii="Garamond" w:hAnsi="Garamond" w:cs="Times New Roman"/>
          <w:sz w:val="24"/>
          <w:szCs w:val="24"/>
        </w:rPr>
        <w:t>m</w:t>
      </w:r>
      <w:r w:rsidRPr="00B31292">
        <w:rPr>
          <w:rFonts w:ascii="Garamond" w:hAnsi="Garamond" w:cs="Times New Roman"/>
          <w:sz w:val="24"/>
          <w:szCs w:val="24"/>
        </w:rPr>
        <w:t>arrësve, kërkuesve shkencorë dhe akademikëve në Shqipëri. Përgatitja e këtij materiali është mundësuar nga bur</w:t>
      </w:r>
      <w:r w:rsidR="00A13D42" w:rsidRPr="00B31292">
        <w:rPr>
          <w:rFonts w:ascii="Garamond" w:hAnsi="Garamond" w:cs="Times New Roman"/>
          <w:sz w:val="24"/>
          <w:szCs w:val="24"/>
        </w:rPr>
        <w:t xml:space="preserve">ime administrative dhe dy vrojtime: </w:t>
      </w:r>
      <w:r w:rsidR="006A0C2E" w:rsidRPr="00B31292">
        <w:rPr>
          <w:rFonts w:ascii="Garamond" w:hAnsi="Garamond" w:cs="Times New Roman"/>
          <w:sz w:val="24"/>
          <w:szCs w:val="24"/>
        </w:rPr>
        <w:t>v</w:t>
      </w:r>
      <w:r w:rsidR="00A13D42" w:rsidRPr="00B31292">
        <w:rPr>
          <w:rFonts w:ascii="Garamond" w:hAnsi="Garamond" w:cs="Times New Roman"/>
          <w:sz w:val="24"/>
          <w:szCs w:val="24"/>
        </w:rPr>
        <w:t>rojtimi</w:t>
      </w:r>
      <w:r w:rsidRPr="00B31292">
        <w:rPr>
          <w:rFonts w:ascii="Garamond" w:hAnsi="Garamond" w:cs="Times New Roman"/>
          <w:sz w:val="24"/>
          <w:szCs w:val="24"/>
        </w:rPr>
        <w:t xml:space="preserve"> </w:t>
      </w:r>
      <w:r w:rsidR="00BA12C3" w:rsidRPr="00B31292">
        <w:rPr>
          <w:rFonts w:ascii="Garamond" w:hAnsi="Garamond" w:cs="Times New Roman"/>
          <w:sz w:val="24"/>
          <w:szCs w:val="24"/>
        </w:rPr>
        <w:t>“</w:t>
      </w:r>
      <w:r w:rsidRPr="00B31292">
        <w:rPr>
          <w:rFonts w:ascii="Garamond" w:hAnsi="Garamond" w:cs="Times New Roman"/>
          <w:sz w:val="24"/>
          <w:szCs w:val="24"/>
        </w:rPr>
        <w:t>P</w:t>
      </w:r>
      <w:r w:rsidR="00A13D42" w:rsidRPr="00B31292">
        <w:rPr>
          <w:rFonts w:ascii="Garamond" w:hAnsi="Garamond" w:cs="Times New Roman"/>
          <w:sz w:val="24"/>
          <w:szCs w:val="24"/>
        </w:rPr>
        <w:t xml:space="preserve">ushime dhe </w:t>
      </w:r>
      <w:r w:rsidR="006A0C2E" w:rsidRPr="00B31292">
        <w:rPr>
          <w:rFonts w:ascii="Garamond" w:hAnsi="Garamond" w:cs="Times New Roman"/>
          <w:sz w:val="24"/>
          <w:szCs w:val="24"/>
        </w:rPr>
        <w:t>u</w:t>
      </w:r>
      <w:r w:rsidR="00A13D42" w:rsidRPr="00B31292">
        <w:rPr>
          <w:rFonts w:ascii="Garamond" w:hAnsi="Garamond" w:cs="Times New Roman"/>
          <w:sz w:val="24"/>
          <w:szCs w:val="24"/>
        </w:rPr>
        <w:t>dhëtime</w:t>
      </w:r>
      <w:r w:rsidR="00BA12C3" w:rsidRPr="00B31292">
        <w:rPr>
          <w:rFonts w:ascii="Garamond" w:hAnsi="Garamond" w:cs="Times New Roman"/>
          <w:sz w:val="24"/>
          <w:szCs w:val="24"/>
        </w:rPr>
        <w:t>”</w:t>
      </w:r>
      <w:r w:rsidR="00A13D42" w:rsidRPr="00B31292">
        <w:rPr>
          <w:rFonts w:ascii="Garamond" w:hAnsi="Garamond" w:cs="Times New Roman"/>
          <w:sz w:val="24"/>
          <w:szCs w:val="24"/>
        </w:rPr>
        <w:t xml:space="preserve"> dhe </w:t>
      </w:r>
      <w:r w:rsidR="00BA12C3" w:rsidRPr="00B31292">
        <w:rPr>
          <w:rFonts w:ascii="Garamond" w:hAnsi="Garamond" w:cs="Times New Roman"/>
          <w:sz w:val="24"/>
          <w:szCs w:val="24"/>
        </w:rPr>
        <w:t>“</w:t>
      </w:r>
      <w:r w:rsidR="00A13D42" w:rsidRPr="00B31292">
        <w:rPr>
          <w:rFonts w:ascii="Garamond" w:hAnsi="Garamond" w:cs="Times New Roman"/>
          <w:sz w:val="24"/>
          <w:szCs w:val="24"/>
        </w:rPr>
        <w:t>Vrojtimi i</w:t>
      </w:r>
      <w:r w:rsidRPr="00B31292">
        <w:rPr>
          <w:rFonts w:ascii="Garamond" w:hAnsi="Garamond" w:cs="Times New Roman"/>
          <w:sz w:val="24"/>
          <w:szCs w:val="24"/>
        </w:rPr>
        <w:t xml:space="preserve"> </w:t>
      </w:r>
      <w:r w:rsidR="006A0C2E" w:rsidRPr="00B31292">
        <w:rPr>
          <w:rFonts w:ascii="Garamond" w:hAnsi="Garamond" w:cs="Times New Roman"/>
          <w:sz w:val="24"/>
          <w:szCs w:val="24"/>
        </w:rPr>
        <w:t>strukturave ak</w:t>
      </w:r>
      <w:r w:rsidR="005E5AAC" w:rsidRPr="00B31292">
        <w:rPr>
          <w:rFonts w:ascii="Garamond" w:hAnsi="Garamond" w:cs="Times New Roman"/>
          <w:sz w:val="24"/>
          <w:szCs w:val="24"/>
        </w:rPr>
        <w:t>omoduese</w:t>
      </w:r>
      <w:r w:rsidR="00BA12C3" w:rsidRPr="00B31292">
        <w:rPr>
          <w:rFonts w:ascii="Garamond" w:hAnsi="Garamond" w:cs="Times New Roman"/>
          <w:sz w:val="24"/>
          <w:szCs w:val="24"/>
        </w:rPr>
        <w:t>”</w:t>
      </w:r>
      <w:r w:rsidR="005E5AAC" w:rsidRPr="00B31292">
        <w:rPr>
          <w:rFonts w:ascii="Garamond" w:hAnsi="Garamond" w:cs="Times New Roman"/>
          <w:sz w:val="24"/>
          <w:szCs w:val="24"/>
        </w:rPr>
        <w:t>.</w:t>
      </w:r>
    </w:p>
    <w:p w14:paraId="7F69A60F" w14:textId="2BD20FD6" w:rsidR="005D2508" w:rsidRPr="00B31292" w:rsidRDefault="00C5582E" w:rsidP="003A4DBA">
      <w:pPr>
        <w:pStyle w:val="Heading5"/>
        <w:shd w:val="clear" w:color="auto" w:fill="FFFFFF" w:themeFill="background1"/>
        <w:spacing w:before="0" w:line="240" w:lineRule="auto"/>
        <w:ind w:firstLine="284"/>
        <w:rPr>
          <w:rFonts w:ascii="Garamond" w:hAnsi="Garamond"/>
          <w:i w:val="0"/>
          <w:iCs/>
          <w:color w:val="auto"/>
          <w:szCs w:val="24"/>
        </w:rPr>
      </w:pPr>
      <w:r w:rsidRPr="00B31292">
        <w:rPr>
          <w:rFonts w:ascii="Garamond" w:hAnsi="Garamond"/>
          <w:i w:val="0"/>
          <w:iCs/>
          <w:color w:val="auto"/>
          <w:szCs w:val="24"/>
        </w:rPr>
        <w:t>Statistikat</w:t>
      </w:r>
      <w:r w:rsidR="005D2508" w:rsidRPr="00B31292">
        <w:rPr>
          <w:rFonts w:ascii="Garamond" w:hAnsi="Garamond"/>
          <w:i w:val="0"/>
          <w:iCs/>
          <w:color w:val="auto"/>
          <w:szCs w:val="24"/>
        </w:rPr>
        <w:t xml:space="preserve"> e </w:t>
      </w:r>
      <w:r w:rsidR="006A0C2E" w:rsidRPr="00B31292">
        <w:rPr>
          <w:rFonts w:ascii="Garamond" w:hAnsi="Garamond"/>
          <w:i w:val="0"/>
          <w:iCs/>
          <w:color w:val="auto"/>
          <w:szCs w:val="24"/>
        </w:rPr>
        <w:t xml:space="preserve">kostos së punës </w:t>
      </w:r>
    </w:p>
    <w:p w14:paraId="13148437" w14:textId="34B6518C" w:rsidR="00EF4E96" w:rsidRPr="00B31292" w:rsidRDefault="005D2508" w:rsidP="003A4DBA">
      <w:pPr>
        <w:shd w:val="clear" w:color="auto" w:fill="FFFFFF" w:themeFill="background1"/>
        <w:tabs>
          <w:tab w:val="left" w:pos="709"/>
        </w:tabs>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 xml:space="preserve">Publikimi </w:t>
      </w:r>
      <w:r w:rsidR="00BA12C3" w:rsidRPr="00B31292">
        <w:rPr>
          <w:rFonts w:ascii="Garamond" w:hAnsi="Garamond" w:cs="Times New Roman"/>
          <w:sz w:val="24"/>
          <w:szCs w:val="24"/>
        </w:rPr>
        <w:t>“</w:t>
      </w:r>
      <w:r w:rsidR="00A13D42" w:rsidRPr="00B31292">
        <w:rPr>
          <w:rFonts w:ascii="Garamond" w:hAnsi="Garamond" w:cs="Times New Roman"/>
          <w:sz w:val="24"/>
          <w:szCs w:val="24"/>
        </w:rPr>
        <w:t>Statistikat e</w:t>
      </w:r>
      <w:r w:rsidR="00EF4E96" w:rsidRPr="00B31292">
        <w:rPr>
          <w:rFonts w:ascii="Garamond" w:hAnsi="Garamond" w:cs="Times New Roman"/>
          <w:sz w:val="24"/>
          <w:szCs w:val="24"/>
        </w:rPr>
        <w:t xml:space="preserve"> Kostos së Punës</w:t>
      </w:r>
      <w:r w:rsidR="00BA12C3" w:rsidRPr="00B31292">
        <w:rPr>
          <w:rFonts w:ascii="Garamond" w:hAnsi="Garamond" w:cs="Times New Roman"/>
          <w:sz w:val="24"/>
          <w:szCs w:val="24"/>
        </w:rPr>
        <w:t>”</w:t>
      </w:r>
      <w:r w:rsidRPr="00B31292">
        <w:rPr>
          <w:rFonts w:ascii="Garamond" w:hAnsi="Garamond" w:cs="Times New Roman"/>
          <w:sz w:val="24"/>
          <w:szCs w:val="24"/>
        </w:rPr>
        <w:t xml:space="preserve"> siguron të dhëna </w:t>
      </w:r>
      <w:r w:rsidR="009538EC" w:rsidRPr="00B31292">
        <w:rPr>
          <w:rFonts w:ascii="Garamond" w:hAnsi="Garamond" w:cs="Times New Roman"/>
          <w:sz w:val="24"/>
          <w:szCs w:val="24"/>
        </w:rPr>
        <w:t>cilësore</w:t>
      </w:r>
      <w:r w:rsidRPr="00B31292">
        <w:rPr>
          <w:rFonts w:ascii="Garamond" w:hAnsi="Garamond" w:cs="Times New Roman"/>
          <w:sz w:val="24"/>
          <w:szCs w:val="24"/>
        </w:rPr>
        <w:t>, të hollësishme dhe të harmonizuara mbi kostot e punës së ndërmarrjeve për faktorin e prodhimit punë. Ky publikim përmban të dhëna mbi orët reale të punës, pagat dhe rrogat bruto në kesh dhe në natyrë, kontributet për sigurimet shoqërore që paguan punëdhënësi për punëmarrësin, kostot e trajnimit profesional, si dhe shpenzime të tjera</w:t>
      </w:r>
      <w:r w:rsidR="006A0C2E" w:rsidRPr="00B31292">
        <w:rPr>
          <w:rFonts w:ascii="Garamond" w:hAnsi="Garamond" w:cs="Times New Roman"/>
          <w:sz w:val="24"/>
          <w:szCs w:val="24"/>
        </w:rPr>
        <w:t>,</w:t>
      </w:r>
      <w:r w:rsidRPr="00B31292">
        <w:rPr>
          <w:rFonts w:ascii="Garamond" w:hAnsi="Garamond" w:cs="Times New Roman"/>
          <w:sz w:val="24"/>
          <w:szCs w:val="24"/>
        </w:rPr>
        <w:t xml:space="preserve"> si: kostot e rekrutimit dhe shpenzimet për veshje, stre</w:t>
      </w:r>
      <w:r w:rsidR="008B72F0" w:rsidRPr="00B31292">
        <w:rPr>
          <w:rFonts w:ascii="Garamond" w:hAnsi="Garamond" w:cs="Times New Roman"/>
          <w:sz w:val="24"/>
          <w:szCs w:val="24"/>
        </w:rPr>
        <w:t>him apo taksat e punësimit etj.</w:t>
      </w:r>
    </w:p>
    <w:p w14:paraId="1520E1B6" w14:textId="604A5FAE" w:rsidR="005D2508" w:rsidRPr="00B31292" w:rsidRDefault="005D2508" w:rsidP="003A4DBA">
      <w:pPr>
        <w:pStyle w:val="Heading5"/>
        <w:shd w:val="clear" w:color="auto" w:fill="FFFFFF" w:themeFill="background1"/>
        <w:spacing w:before="0" w:line="240" w:lineRule="auto"/>
        <w:ind w:firstLine="284"/>
        <w:rPr>
          <w:rFonts w:ascii="Garamond" w:hAnsi="Garamond"/>
          <w:i w:val="0"/>
          <w:iCs/>
          <w:color w:val="auto"/>
          <w:szCs w:val="24"/>
        </w:rPr>
      </w:pPr>
      <w:r w:rsidRPr="00B31292">
        <w:rPr>
          <w:rFonts w:ascii="Garamond" w:hAnsi="Garamond"/>
          <w:i w:val="0"/>
          <w:iCs/>
          <w:color w:val="auto"/>
          <w:szCs w:val="24"/>
        </w:rPr>
        <w:t xml:space="preserve">Statistika të </w:t>
      </w:r>
      <w:r w:rsidR="007843CA" w:rsidRPr="00B31292">
        <w:rPr>
          <w:rFonts w:ascii="Garamond" w:hAnsi="Garamond"/>
          <w:i w:val="0"/>
          <w:iCs/>
          <w:color w:val="auto"/>
          <w:szCs w:val="24"/>
        </w:rPr>
        <w:t>k</w:t>
      </w:r>
      <w:r w:rsidRPr="00B31292">
        <w:rPr>
          <w:rFonts w:ascii="Garamond" w:hAnsi="Garamond"/>
          <w:i w:val="0"/>
          <w:iCs/>
          <w:color w:val="auto"/>
          <w:szCs w:val="24"/>
        </w:rPr>
        <w:t>ulturës</w:t>
      </w:r>
    </w:p>
    <w:p w14:paraId="297FD1A5" w14:textId="242A65E9" w:rsidR="000F153A" w:rsidRPr="00B31292" w:rsidRDefault="00804F2B" w:rsidP="003A4DBA">
      <w:pPr>
        <w:shd w:val="clear" w:color="auto" w:fill="FFFFFF" w:themeFill="background1"/>
        <w:tabs>
          <w:tab w:val="left" w:pos="709"/>
        </w:tabs>
        <w:spacing w:after="0" w:line="240" w:lineRule="auto"/>
        <w:ind w:firstLine="284"/>
        <w:jc w:val="both"/>
        <w:rPr>
          <w:rFonts w:ascii="Garamond" w:hAnsi="Garamond"/>
          <w:sz w:val="24"/>
          <w:szCs w:val="24"/>
        </w:rPr>
      </w:pPr>
      <w:r w:rsidRPr="00B31292">
        <w:rPr>
          <w:rFonts w:ascii="Garamond" w:hAnsi="Garamond" w:cs="Times New Roman"/>
          <w:sz w:val="24"/>
          <w:szCs w:val="24"/>
        </w:rPr>
        <w:t>INSTAT</w:t>
      </w:r>
      <w:r w:rsidR="007843CA" w:rsidRPr="00B31292">
        <w:rPr>
          <w:rFonts w:ascii="Garamond" w:hAnsi="Garamond" w:cs="Times New Roman"/>
          <w:sz w:val="24"/>
          <w:szCs w:val="24"/>
        </w:rPr>
        <w:t>-i</w:t>
      </w:r>
      <w:r w:rsidRPr="00B31292">
        <w:rPr>
          <w:rFonts w:ascii="Garamond" w:hAnsi="Garamond" w:cs="Times New Roman"/>
          <w:sz w:val="24"/>
          <w:szCs w:val="24"/>
        </w:rPr>
        <w:t xml:space="preserve"> publikon statistika mbi</w:t>
      </w:r>
      <w:r w:rsidR="005D2508" w:rsidRPr="00B31292">
        <w:rPr>
          <w:rFonts w:ascii="Garamond" w:hAnsi="Garamond" w:cs="Times New Roman"/>
          <w:sz w:val="24"/>
          <w:szCs w:val="24"/>
        </w:rPr>
        <w:t xml:space="preserve"> kulturë</w:t>
      </w:r>
      <w:r w:rsidRPr="00B31292">
        <w:rPr>
          <w:rFonts w:ascii="Garamond" w:hAnsi="Garamond" w:cs="Times New Roman"/>
          <w:sz w:val="24"/>
          <w:szCs w:val="24"/>
        </w:rPr>
        <w:t>n, duke u përqe</w:t>
      </w:r>
      <w:r w:rsidR="005D2508" w:rsidRPr="00B31292">
        <w:rPr>
          <w:rFonts w:ascii="Garamond" w:hAnsi="Garamond" w:cs="Times New Roman"/>
          <w:sz w:val="24"/>
          <w:szCs w:val="24"/>
        </w:rPr>
        <w:t xml:space="preserve">ndruar në pjesëmarrjen kulturore dhe në dimensionin ekonomik të kulturës. </w:t>
      </w:r>
      <w:r w:rsidR="004A455F" w:rsidRPr="00B31292">
        <w:rPr>
          <w:rFonts w:ascii="Garamond" w:hAnsi="Garamond" w:cs="Times New Roman"/>
          <w:sz w:val="24"/>
          <w:szCs w:val="24"/>
        </w:rPr>
        <w:t>Këto statistika</w:t>
      </w:r>
      <w:r w:rsidR="005D2508" w:rsidRPr="00B31292">
        <w:rPr>
          <w:rFonts w:ascii="Garamond" w:hAnsi="Garamond" w:cs="Times New Roman"/>
          <w:sz w:val="24"/>
          <w:szCs w:val="24"/>
        </w:rPr>
        <w:t xml:space="preserve"> lidhen me pjesëmarrjen dhe trashëgiminë kulturore, edukimin dhe punësimin në kulturë. Gjithashtu, </w:t>
      </w:r>
      <w:r w:rsidR="009965D8" w:rsidRPr="00B31292">
        <w:rPr>
          <w:rFonts w:ascii="Garamond" w:hAnsi="Garamond" w:cs="Times New Roman"/>
          <w:sz w:val="24"/>
          <w:szCs w:val="24"/>
        </w:rPr>
        <w:t xml:space="preserve">botimi është pasuruar me </w:t>
      </w:r>
      <w:r w:rsidR="005D2508" w:rsidRPr="00B31292">
        <w:rPr>
          <w:rFonts w:ascii="Garamond" w:hAnsi="Garamond" w:cs="Times New Roman"/>
          <w:sz w:val="24"/>
          <w:szCs w:val="24"/>
        </w:rPr>
        <w:t xml:space="preserve">seksione të veçanta </w:t>
      </w:r>
      <w:r w:rsidR="009965D8" w:rsidRPr="00B31292">
        <w:rPr>
          <w:rFonts w:ascii="Garamond" w:hAnsi="Garamond" w:cs="Times New Roman"/>
          <w:sz w:val="24"/>
          <w:szCs w:val="24"/>
        </w:rPr>
        <w:t xml:space="preserve">që i </w:t>
      </w:r>
      <w:r w:rsidR="005D2508" w:rsidRPr="00B31292">
        <w:rPr>
          <w:rFonts w:ascii="Garamond" w:hAnsi="Garamond" w:cs="Times New Roman"/>
          <w:sz w:val="24"/>
          <w:szCs w:val="24"/>
        </w:rPr>
        <w:t>dedikohen edhe përdorimit të internetit për qëllime kulturore dhe shpenzimeve publike në kulturë.</w:t>
      </w:r>
    </w:p>
    <w:p w14:paraId="279A6835" w14:textId="64E11409" w:rsidR="00C5582E" w:rsidRPr="00B31292" w:rsidRDefault="00C5582E" w:rsidP="003A4DBA">
      <w:pPr>
        <w:pStyle w:val="Heading5"/>
        <w:shd w:val="clear" w:color="auto" w:fill="FFFFFF" w:themeFill="background1"/>
        <w:spacing w:before="0" w:line="240" w:lineRule="auto"/>
        <w:ind w:firstLine="284"/>
        <w:rPr>
          <w:rFonts w:ascii="Garamond" w:hAnsi="Garamond"/>
          <w:i w:val="0"/>
          <w:iCs/>
          <w:color w:val="auto"/>
          <w:szCs w:val="24"/>
        </w:rPr>
      </w:pPr>
      <w:r w:rsidRPr="00B31292">
        <w:rPr>
          <w:rFonts w:ascii="Garamond" w:hAnsi="Garamond"/>
          <w:i w:val="0"/>
          <w:iCs/>
          <w:color w:val="auto"/>
          <w:szCs w:val="24"/>
        </w:rPr>
        <w:t xml:space="preserve">Objektivat e </w:t>
      </w:r>
      <w:r w:rsidR="006A0C2E" w:rsidRPr="00B31292">
        <w:rPr>
          <w:rFonts w:ascii="Garamond" w:hAnsi="Garamond"/>
          <w:i w:val="0"/>
          <w:iCs/>
          <w:color w:val="auto"/>
          <w:szCs w:val="24"/>
        </w:rPr>
        <w:t>zhvillimit të qëndrueshëm</w:t>
      </w:r>
    </w:p>
    <w:p w14:paraId="699C74BF" w14:textId="30FFCF50" w:rsidR="00C5582E" w:rsidRPr="00B31292" w:rsidRDefault="00C5582E" w:rsidP="003A4DBA">
      <w:pPr>
        <w:shd w:val="clear" w:color="auto" w:fill="FFFFFF" w:themeFill="background1"/>
        <w:tabs>
          <w:tab w:val="left" w:pos="709"/>
        </w:tabs>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 xml:space="preserve">Publikimi </w:t>
      </w:r>
      <w:r w:rsidR="00BA12C3" w:rsidRPr="00B31292">
        <w:rPr>
          <w:rFonts w:ascii="Garamond" w:hAnsi="Garamond" w:cs="Times New Roman"/>
          <w:sz w:val="24"/>
          <w:szCs w:val="24"/>
        </w:rPr>
        <w:t>“</w:t>
      </w:r>
      <w:r w:rsidRPr="00B31292">
        <w:rPr>
          <w:rFonts w:ascii="Garamond" w:hAnsi="Garamond" w:cs="Times New Roman"/>
          <w:sz w:val="24"/>
          <w:szCs w:val="24"/>
        </w:rPr>
        <w:t>Objektivat e Zhvillimit të Qëndrueshëm, 2022</w:t>
      </w:r>
      <w:r w:rsidR="00BA12C3" w:rsidRPr="00B31292">
        <w:rPr>
          <w:rFonts w:ascii="Garamond" w:hAnsi="Garamond" w:cs="Times New Roman"/>
          <w:sz w:val="24"/>
          <w:szCs w:val="24"/>
        </w:rPr>
        <w:t>”</w:t>
      </w:r>
      <w:r w:rsidRPr="00B31292">
        <w:rPr>
          <w:rFonts w:ascii="Garamond" w:hAnsi="Garamond" w:cs="Times New Roman"/>
          <w:sz w:val="24"/>
          <w:szCs w:val="24"/>
        </w:rPr>
        <w:t xml:space="preserve"> përmban disa indikatorë për secilin objektiv, paraqitur vizualisht, me një </w:t>
      </w:r>
      <w:r w:rsidR="007843CA" w:rsidRPr="00B31292">
        <w:rPr>
          <w:rFonts w:ascii="Garamond" w:hAnsi="Garamond" w:cs="Times New Roman"/>
          <w:sz w:val="24"/>
          <w:szCs w:val="24"/>
        </w:rPr>
        <w:t>përshkrim</w:t>
      </w:r>
      <w:r w:rsidRPr="00B31292">
        <w:rPr>
          <w:rFonts w:ascii="Garamond" w:hAnsi="Garamond" w:cs="Times New Roman"/>
          <w:sz w:val="24"/>
          <w:szCs w:val="24"/>
        </w:rPr>
        <w:t xml:space="preserve"> të indikatorit, vlerën e tij</w:t>
      </w:r>
      <w:r w:rsidR="006A0C2E" w:rsidRPr="00B31292">
        <w:rPr>
          <w:rFonts w:ascii="Garamond" w:hAnsi="Garamond" w:cs="Times New Roman"/>
          <w:sz w:val="24"/>
          <w:szCs w:val="24"/>
        </w:rPr>
        <w:t>,</w:t>
      </w:r>
      <w:r w:rsidRPr="00B31292">
        <w:rPr>
          <w:rFonts w:ascii="Garamond" w:hAnsi="Garamond" w:cs="Times New Roman"/>
          <w:sz w:val="24"/>
          <w:szCs w:val="24"/>
        </w:rPr>
        <w:t xml:space="preserve"> si dhe krahasimin me vitin përpara. Ky publikim parashikohet të realizohet një here në tr</w:t>
      </w:r>
      <w:r w:rsidR="006A0C2E" w:rsidRPr="00B31292">
        <w:rPr>
          <w:rFonts w:ascii="Garamond" w:hAnsi="Garamond" w:cs="Times New Roman"/>
          <w:sz w:val="24"/>
          <w:szCs w:val="24"/>
        </w:rPr>
        <w:t>i</w:t>
      </w:r>
      <w:r w:rsidRPr="00B31292">
        <w:rPr>
          <w:rFonts w:ascii="Garamond" w:hAnsi="Garamond" w:cs="Times New Roman"/>
          <w:sz w:val="24"/>
          <w:szCs w:val="24"/>
        </w:rPr>
        <w:t xml:space="preserve"> vite.</w:t>
      </w:r>
    </w:p>
    <w:p w14:paraId="3237A5C5" w14:textId="77777777" w:rsidR="000F153A" w:rsidRPr="00B31292" w:rsidRDefault="000F153A" w:rsidP="003A4DBA">
      <w:pPr>
        <w:pStyle w:val="Heading5"/>
        <w:shd w:val="clear" w:color="auto" w:fill="FFFFFF" w:themeFill="background1"/>
        <w:spacing w:before="0" w:line="240" w:lineRule="auto"/>
        <w:ind w:firstLine="284"/>
        <w:rPr>
          <w:rFonts w:ascii="Garamond" w:hAnsi="Garamond"/>
          <w:i w:val="0"/>
          <w:iCs/>
          <w:color w:val="auto"/>
          <w:szCs w:val="24"/>
        </w:rPr>
      </w:pPr>
      <w:r w:rsidRPr="00B31292">
        <w:rPr>
          <w:rFonts w:ascii="Garamond" w:hAnsi="Garamond"/>
          <w:i w:val="0"/>
          <w:iCs/>
          <w:color w:val="auto"/>
          <w:szCs w:val="24"/>
        </w:rPr>
        <w:lastRenderedPageBreak/>
        <w:t>Transporti në shifra</w:t>
      </w:r>
    </w:p>
    <w:p w14:paraId="1BDF3D00" w14:textId="60C10029" w:rsidR="000F153A" w:rsidRPr="00B31292" w:rsidRDefault="000F153A" w:rsidP="003A4DBA">
      <w:pPr>
        <w:shd w:val="clear" w:color="auto" w:fill="FFFFFF" w:themeFill="background1"/>
        <w:tabs>
          <w:tab w:val="left" w:pos="709"/>
        </w:tabs>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Transporti është një sektor i rëndësishëm i ekonomisë dhe luan një rol jetik në shoqërinë e sotme të lëvizshme. Ky publikim i dedikuar</w:t>
      </w:r>
      <w:r w:rsidR="004A455F" w:rsidRPr="00B31292">
        <w:rPr>
          <w:rFonts w:ascii="Garamond" w:hAnsi="Garamond" w:cs="Times New Roman"/>
          <w:sz w:val="24"/>
          <w:szCs w:val="24"/>
        </w:rPr>
        <w:t xml:space="preserve"> </w:t>
      </w:r>
      <w:r w:rsidRPr="00B31292">
        <w:rPr>
          <w:rFonts w:ascii="Garamond" w:hAnsi="Garamond" w:cs="Times New Roman"/>
          <w:sz w:val="24"/>
          <w:szCs w:val="24"/>
        </w:rPr>
        <w:t>paraqet me anë të shifrave situatën reale në vend, si dhe përgjigjet ndaj kërkesave në rritje për informacion statistikor të vendim</w:t>
      </w:r>
      <w:r w:rsidR="007843CA" w:rsidRPr="00B31292">
        <w:rPr>
          <w:rFonts w:ascii="Garamond" w:hAnsi="Garamond" w:cs="Times New Roman"/>
          <w:sz w:val="24"/>
          <w:szCs w:val="24"/>
        </w:rPr>
        <w:t>m</w:t>
      </w:r>
      <w:r w:rsidRPr="00B31292">
        <w:rPr>
          <w:rFonts w:ascii="Garamond" w:hAnsi="Garamond" w:cs="Times New Roman"/>
          <w:sz w:val="24"/>
          <w:szCs w:val="24"/>
        </w:rPr>
        <w:t xml:space="preserve">arrësve, kërkuesve shkencor dhe akademikëve në Shqipëri. Përgatitja e këtij </w:t>
      </w:r>
      <w:r w:rsidR="00554010" w:rsidRPr="00B31292">
        <w:rPr>
          <w:rFonts w:ascii="Garamond" w:hAnsi="Garamond" w:cs="Times New Roman"/>
          <w:sz w:val="24"/>
          <w:szCs w:val="24"/>
        </w:rPr>
        <w:t>botimi mundësohet</w:t>
      </w:r>
      <w:r w:rsidRPr="00B31292">
        <w:rPr>
          <w:rFonts w:ascii="Garamond" w:hAnsi="Garamond" w:cs="Times New Roman"/>
          <w:sz w:val="24"/>
          <w:szCs w:val="24"/>
        </w:rPr>
        <w:t xml:space="preserve"> nga burime administrative të treguesve statistikorë lidhur me transportin hekurudhor, rrugor, detar dhe ajror</w:t>
      </w:r>
      <w:r w:rsidR="006A0C2E" w:rsidRPr="00B31292">
        <w:rPr>
          <w:rFonts w:ascii="Garamond" w:hAnsi="Garamond" w:cs="Times New Roman"/>
          <w:sz w:val="24"/>
          <w:szCs w:val="24"/>
        </w:rPr>
        <w:t>,</w:t>
      </w:r>
      <w:r w:rsidRPr="00B31292">
        <w:rPr>
          <w:rFonts w:ascii="Garamond" w:hAnsi="Garamond" w:cs="Times New Roman"/>
          <w:sz w:val="24"/>
          <w:szCs w:val="24"/>
        </w:rPr>
        <w:t xml:space="preserve"> lidhur me sasinë e mallrave dhe numrin e pasagjerëve që lëvizin çdo vit, mjetet e përdorura</w:t>
      </w:r>
      <w:r w:rsidR="00084541" w:rsidRPr="00B31292">
        <w:rPr>
          <w:rFonts w:ascii="Garamond" w:hAnsi="Garamond" w:cs="Times New Roman"/>
          <w:sz w:val="24"/>
          <w:szCs w:val="24"/>
        </w:rPr>
        <w:t xml:space="preserve"> </w:t>
      </w:r>
      <w:r w:rsidRPr="00B31292">
        <w:rPr>
          <w:rFonts w:ascii="Garamond" w:hAnsi="Garamond" w:cs="Times New Roman"/>
          <w:sz w:val="24"/>
          <w:szCs w:val="24"/>
        </w:rPr>
        <w:t>dhe treguesit e sigurisë në transport.</w:t>
      </w:r>
    </w:p>
    <w:p w14:paraId="5E33F8F2" w14:textId="77777777" w:rsidR="000F153A" w:rsidRPr="00B31292" w:rsidRDefault="000F153A" w:rsidP="003A4DBA">
      <w:pPr>
        <w:pStyle w:val="Heading5"/>
        <w:shd w:val="clear" w:color="auto" w:fill="FFFFFF" w:themeFill="background1"/>
        <w:spacing w:before="0" w:line="240" w:lineRule="auto"/>
        <w:ind w:firstLine="284"/>
        <w:rPr>
          <w:rFonts w:ascii="Garamond" w:hAnsi="Garamond"/>
          <w:i w:val="0"/>
          <w:iCs/>
          <w:color w:val="auto"/>
          <w:szCs w:val="24"/>
        </w:rPr>
      </w:pPr>
      <w:r w:rsidRPr="00B31292">
        <w:rPr>
          <w:rFonts w:ascii="Garamond" w:hAnsi="Garamond"/>
          <w:i w:val="0"/>
          <w:iCs/>
          <w:color w:val="auto"/>
          <w:szCs w:val="24"/>
        </w:rPr>
        <w:t>Ndërmarrjet e huaja dhe të përbashkëta</w:t>
      </w:r>
    </w:p>
    <w:p w14:paraId="0AE254DA" w14:textId="516BCA06" w:rsidR="000F153A" w:rsidRPr="00B31292" w:rsidRDefault="000F153A" w:rsidP="003A4DBA">
      <w:pPr>
        <w:shd w:val="clear" w:color="auto" w:fill="FFFFFF" w:themeFill="background1"/>
        <w:tabs>
          <w:tab w:val="left" w:pos="709"/>
        </w:tabs>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 xml:space="preserve">Statistikat në lidhje me ndërmarrjet private të huaja dhe të përbashkëta (shqiptare dhe të huaja) synojnë të tregojnë strukturën, </w:t>
      </w:r>
      <w:r w:rsidR="006A0C2E" w:rsidRPr="00B31292">
        <w:rPr>
          <w:rFonts w:ascii="Garamond" w:hAnsi="Garamond" w:cs="Times New Roman"/>
          <w:sz w:val="24"/>
          <w:szCs w:val="24"/>
        </w:rPr>
        <w:t xml:space="preserve">të </w:t>
      </w:r>
      <w:r w:rsidRPr="00B31292">
        <w:rPr>
          <w:rFonts w:ascii="Garamond" w:hAnsi="Garamond" w:cs="Times New Roman"/>
          <w:sz w:val="24"/>
          <w:szCs w:val="24"/>
        </w:rPr>
        <w:t>ma</w:t>
      </w:r>
      <w:r w:rsidR="006A0C2E" w:rsidRPr="00B31292">
        <w:rPr>
          <w:rFonts w:ascii="Garamond" w:hAnsi="Garamond" w:cs="Times New Roman"/>
          <w:sz w:val="24"/>
          <w:szCs w:val="24"/>
        </w:rPr>
        <w:t>t</w:t>
      </w:r>
      <w:r w:rsidRPr="00B31292">
        <w:rPr>
          <w:rFonts w:ascii="Garamond" w:hAnsi="Garamond" w:cs="Times New Roman"/>
          <w:sz w:val="24"/>
          <w:szCs w:val="24"/>
        </w:rPr>
        <w:t>in treguesit ekonomikë, format e organizimit, brenda territorit të Republikës së Shqipërisë.</w:t>
      </w:r>
      <w:r w:rsidR="002E2911" w:rsidRPr="00B31292">
        <w:rPr>
          <w:rFonts w:ascii="Garamond" w:hAnsi="Garamond" w:cs="Times New Roman"/>
          <w:sz w:val="24"/>
          <w:szCs w:val="24"/>
        </w:rPr>
        <w:t xml:space="preserve"> </w:t>
      </w:r>
      <w:r w:rsidRPr="00B31292">
        <w:rPr>
          <w:rFonts w:ascii="Garamond" w:hAnsi="Garamond" w:cs="Times New Roman"/>
          <w:sz w:val="24"/>
          <w:szCs w:val="24"/>
        </w:rPr>
        <w:t>INSTAT</w:t>
      </w:r>
      <w:r w:rsidR="007843CA" w:rsidRPr="00B31292">
        <w:rPr>
          <w:rFonts w:ascii="Garamond" w:hAnsi="Garamond" w:cs="Times New Roman"/>
          <w:sz w:val="24"/>
          <w:szCs w:val="24"/>
        </w:rPr>
        <w:t>-i</w:t>
      </w:r>
      <w:r w:rsidRPr="00B31292">
        <w:rPr>
          <w:rFonts w:ascii="Garamond" w:hAnsi="Garamond" w:cs="Times New Roman"/>
          <w:sz w:val="24"/>
          <w:szCs w:val="24"/>
        </w:rPr>
        <w:t>, nëpërmjet këtij publikimi</w:t>
      </w:r>
      <w:r w:rsidR="00944875" w:rsidRPr="00B31292">
        <w:rPr>
          <w:rFonts w:ascii="Garamond" w:hAnsi="Garamond" w:cs="Times New Roman"/>
          <w:sz w:val="24"/>
          <w:szCs w:val="24"/>
        </w:rPr>
        <w:t>,</w:t>
      </w:r>
      <w:r w:rsidRPr="00B31292">
        <w:rPr>
          <w:rFonts w:ascii="Garamond" w:hAnsi="Garamond" w:cs="Times New Roman"/>
          <w:sz w:val="24"/>
          <w:szCs w:val="24"/>
        </w:rPr>
        <w:t xml:space="preserve"> plotëson disa prej kërkesave për informacion statistikor të </w:t>
      </w:r>
      <w:r w:rsidR="007843CA" w:rsidRPr="00B31292">
        <w:rPr>
          <w:rFonts w:ascii="Garamond" w:hAnsi="Garamond" w:cs="Times New Roman"/>
          <w:sz w:val="24"/>
          <w:szCs w:val="24"/>
        </w:rPr>
        <w:t>vendimmarrësve</w:t>
      </w:r>
      <w:r w:rsidRPr="00B31292">
        <w:rPr>
          <w:rFonts w:ascii="Garamond" w:hAnsi="Garamond" w:cs="Times New Roman"/>
          <w:sz w:val="24"/>
          <w:szCs w:val="24"/>
        </w:rPr>
        <w:t>, kërkuesve shkencor, akademikëve etj</w:t>
      </w:r>
      <w:r w:rsidR="007843CA" w:rsidRPr="00B31292">
        <w:rPr>
          <w:rFonts w:ascii="Garamond" w:hAnsi="Garamond" w:cs="Times New Roman"/>
          <w:sz w:val="24"/>
          <w:szCs w:val="24"/>
        </w:rPr>
        <w:t>.</w:t>
      </w:r>
      <w:r w:rsidRPr="00B31292">
        <w:rPr>
          <w:rFonts w:ascii="Garamond" w:hAnsi="Garamond" w:cs="Times New Roman"/>
          <w:sz w:val="24"/>
          <w:szCs w:val="24"/>
        </w:rPr>
        <w:t>, të cilat janë vazhdimisht në rritje.</w:t>
      </w:r>
    </w:p>
    <w:p w14:paraId="79601484" w14:textId="77777777" w:rsidR="004C7454" w:rsidRPr="00B31292" w:rsidRDefault="004C7454" w:rsidP="003A4DBA">
      <w:pPr>
        <w:pStyle w:val="Heading3"/>
        <w:shd w:val="clear" w:color="auto" w:fill="FFFFFF" w:themeFill="background1"/>
        <w:spacing w:before="0" w:line="240" w:lineRule="auto"/>
        <w:ind w:firstLine="284"/>
        <w:rPr>
          <w:rFonts w:ascii="Garamond" w:hAnsi="Garamond" w:cs="Times New Roman"/>
          <w:b w:val="0"/>
          <w:bCs w:val="0"/>
          <w:color w:val="auto"/>
          <w:szCs w:val="24"/>
        </w:rPr>
      </w:pPr>
      <w:bookmarkStart w:id="43" w:name="_Toc182991976"/>
      <w:r w:rsidRPr="00B31292">
        <w:rPr>
          <w:rFonts w:ascii="Garamond" w:hAnsi="Garamond" w:cs="Times New Roman"/>
          <w:b w:val="0"/>
          <w:bCs w:val="0"/>
          <w:color w:val="auto"/>
          <w:szCs w:val="24"/>
        </w:rPr>
        <w:t>CENSET</w:t>
      </w:r>
      <w:bookmarkEnd w:id="43"/>
    </w:p>
    <w:p w14:paraId="2C172621" w14:textId="5B2FFDD4" w:rsidR="00EE716C" w:rsidRPr="00B31292" w:rsidRDefault="00EE716C" w:rsidP="003A4DBA">
      <w:pPr>
        <w:keepNext/>
        <w:keepLines/>
        <w:spacing w:after="0" w:line="240" w:lineRule="auto"/>
        <w:ind w:firstLine="284"/>
        <w:rPr>
          <w:rFonts w:ascii="Garamond" w:hAnsi="Garamond" w:cs="Garamond"/>
          <w:b/>
          <w:bCs/>
          <w:sz w:val="24"/>
          <w:szCs w:val="24"/>
        </w:rPr>
      </w:pPr>
      <w:r w:rsidRPr="00B31292">
        <w:rPr>
          <w:rFonts w:ascii="Garamond" w:hAnsi="Garamond" w:cs="Garamond"/>
          <w:b/>
          <w:bCs/>
          <w:sz w:val="24"/>
          <w:szCs w:val="24"/>
        </w:rPr>
        <w:t xml:space="preserve">A. Censi i Popullsisë dhe Banesave </w:t>
      </w:r>
    </w:p>
    <w:p w14:paraId="0F1E8D8B" w14:textId="5FE7C547" w:rsidR="00EE716C" w:rsidRPr="00B31292" w:rsidRDefault="00EE716C" w:rsidP="003A4DBA">
      <w:pPr>
        <w:tabs>
          <w:tab w:val="left" w:pos="700"/>
        </w:tabs>
        <w:spacing w:after="0" w:line="240" w:lineRule="auto"/>
        <w:ind w:firstLine="284"/>
        <w:jc w:val="both"/>
        <w:rPr>
          <w:rFonts w:ascii="Garamond" w:hAnsi="Garamond" w:cs="Garamond"/>
          <w:sz w:val="24"/>
          <w:szCs w:val="24"/>
        </w:rPr>
      </w:pPr>
      <w:r w:rsidRPr="00B31292">
        <w:rPr>
          <w:rFonts w:ascii="Garamond" w:hAnsi="Garamond" w:cs="Garamond"/>
          <w:sz w:val="24"/>
          <w:szCs w:val="24"/>
        </w:rPr>
        <w:t xml:space="preserve"> Censi i Popullsisë dhe Banesave 2023 ka përfunduar në muajin </w:t>
      </w:r>
      <w:r w:rsidR="006A0C2E" w:rsidRPr="00B31292">
        <w:rPr>
          <w:rFonts w:ascii="Garamond" w:hAnsi="Garamond" w:cs="Garamond"/>
          <w:sz w:val="24"/>
          <w:szCs w:val="24"/>
        </w:rPr>
        <w:t>n</w:t>
      </w:r>
      <w:r w:rsidRPr="00B31292">
        <w:rPr>
          <w:rFonts w:ascii="Garamond" w:hAnsi="Garamond" w:cs="Garamond"/>
          <w:sz w:val="24"/>
          <w:szCs w:val="24"/>
        </w:rPr>
        <w:t>ëntor të vitit 2023, duke pa</w:t>
      </w:r>
      <w:r w:rsidR="007843CA" w:rsidRPr="00B31292">
        <w:rPr>
          <w:rFonts w:ascii="Garamond" w:hAnsi="Garamond" w:cs="Garamond"/>
          <w:sz w:val="24"/>
          <w:szCs w:val="24"/>
        </w:rPr>
        <w:t>s</w:t>
      </w:r>
      <w:r w:rsidRPr="00B31292">
        <w:rPr>
          <w:rFonts w:ascii="Garamond" w:hAnsi="Garamond" w:cs="Garamond"/>
          <w:sz w:val="24"/>
          <w:szCs w:val="24"/>
        </w:rPr>
        <w:t xml:space="preserve">ur në fokus respektimin e </w:t>
      </w:r>
      <w:r w:rsidR="006A0C2E" w:rsidRPr="00B31292">
        <w:rPr>
          <w:rFonts w:ascii="Garamond" w:hAnsi="Garamond" w:cs="Garamond"/>
          <w:sz w:val="24"/>
          <w:szCs w:val="24"/>
        </w:rPr>
        <w:t>u</w:t>
      </w:r>
      <w:r w:rsidRPr="00B31292">
        <w:rPr>
          <w:rFonts w:ascii="Garamond" w:hAnsi="Garamond" w:cs="Garamond"/>
          <w:sz w:val="24"/>
          <w:szCs w:val="24"/>
        </w:rPr>
        <w:t xml:space="preserve">dhëzuesit </w:t>
      </w:r>
      <w:r w:rsidR="00BA12C3" w:rsidRPr="00B31292">
        <w:rPr>
          <w:rFonts w:ascii="Garamond" w:hAnsi="Garamond" w:cs="Garamond"/>
          <w:sz w:val="24"/>
          <w:szCs w:val="24"/>
        </w:rPr>
        <w:t>“</w:t>
      </w:r>
      <w:r w:rsidRPr="00B31292">
        <w:rPr>
          <w:rFonts w:ascii="Garamond" w:hAnsi="Garamond" w:cs="Garamond"/>
          <w:sz w:val="24"/>
          <w:szCs w:val="24"/>
        </w:rPr>
        <w:t>Rekomandimet për Censet e Popullsisë dhe Banesave të vitit 2020</w:t>
      </w:r>
      <w:r w:rsidR="00BA12C3" w:rsidRPr="00B31292">
        <w:rPr>
          <w:rFonts w:ascii="Garamond" w:hAnsi="Garamond" w:cs="Garamond"/>
          <w:sz w:val="24"/>
          <w:szCs w:val="24"/>
        </w:rPr>
        <w:t>”</w:t>
      </w:r>
      <w:r w:rsidRPr="00B31292">
        <w:rPr>
          <w:rFonts w:ascii="Garamond" w:hAnsi="Garamond" w:cs="Garamond"/>
          <w:sz w:val="24"/>
          <w:szCs w:val="24"/>
        </w:rPr>
        <w:t xml:space="preserve"> të Konferencës së Statistikave Evropiane në përputhje dhe me rishikimin e </w:t>
      </w:r>
      <w:r w:rsidR="00BA12C3" w:rsidRPr="00B31292">
        <w:rPr>
          <w:rFonts w:ascii="Garamond" w:hAnsi="Garamond" w:cs="Garamond"/>
          <w:sz w:val="24"/>
          <w:szCs w:val="24"/>
        </w:rPr>
        <w:t>“</w:t>
      </w:r>
      <w:r w:rsidRPr="00B31292">
        <w:rPr>
          <w:rFonts w:ascii="Garamond" w:hAnsi="Garamond" w:cs="Garamond"/>
          <w:sz w:val="24"/>
          <w:szCs w:val="24"/>
        </w:rPr>
        <w:t xml:space="preserve">Parimeve dhe </w:t>
      </w:r>
      <w:r w:rsidR="006A0C2E" w:rsidRPr="00B31292">
        <w:rPr>
          <w:rFonts w:ascii="Garamond" w:hAnsi="Garamond" w:cs="Garamond"/>
          <w:sz w:val="24"/>
          <w:szCs w:val="24"/>
        </w:rPr>
        <w:t>reko</w:t>
      </w:r>
      <w:r w:rsidRPr="00B31292">
        <w:rPr>
          <w:rFonts w:ascii="Garamond" w:hAnsi="Garamond" w:cs="Garamond"/>
          <w:sz w:val="24"/>
          <w:szCs w:val="24"/>
        </w:rPr>
        <w:t>mandimeve për Censet e Popullsisë dhe Banesave</w:t>
      </w:r>
      <w:r w:rsidR="00BA12C3" w:rsidRPr="00B31292">
        <w:rPr>
          <w:rFonts w:ascii="Garamond" w:hAnsi="Garamond" w:cs="Garamond"/>
          <w:sz w:val="24"/>
          <w:szCs w:val="24"/>
        </w:rPr>
        <w:t>”</w:t>
      </w:r>
      <w:r w:rsidR="006A0C2E" w:rsidRPr="00B31292">
        <w:rPr>
          <w:rFonts w:ascii="Garamond" w:hAnsi="Garamond" w:cs="Garamond"/>
          <w:sz w:val="24"/>
          <w:szCs w:val="24"/>
        </w:rPr>
        <w:t>,</w:t>
      </w:r>
      <w:r w:rsidRPr="00B31292">
        <w:rPr>
          <w:rFonts w:ascii="Garamond" w:hAnsi="Garamond" w:cs="Garamond"/>
          <w:sz w:val="24"/>
          <w:szCs w:val="24"/>
        </w:rPr>
        <w:t xml:space="preserve"> të Kombeve të Bashkuara</w:t>
      </w:r>
      <w:r w:rsidR="006A0C2E" w:rsidRPr="00B31292">
        <w:rPr>
          <w:rFonts w:ascii="Garamond" w:hAnsi="Garamond" w:cs="Garamond"/>
          <w:sz w:val="24"/>
          <w:szCs w:val="24"/>
        </w:rPr>
        <w:t>,</w:t>
      </w:r>
      <w:r w:rsidRPr="00B31292">
        <w:rPr>
          <w:rFonts w:ascii="Garamond" w:hAnsi="Garamond" w:cs="Garamond"/>
          <w:sz w:val="24"/>
          <w:szCs w:val="24"/>
        </w:rPr>
        <w:t xml:space="preserve"> për vitin 2020.</w:t>
      </w:r>
    </w:p>
    <w:p w14:paraId="2228C0E6" w14:textId="5416497B" w:rsidR="00EE716C" w:rsidRPr="00B31292" w:rsidRDefault="00EE716C" w:rsidP="003A4DBA">
      <w:pPr>
        <w:tabs>
          <w:tab w:val="left" w:pos="700"/>
        </w:tabs>
        <w:spacing w:after="0" w:line="240" w:lineRule="auto"/>
        <w:ind w:firstLine="284"/>
        <w:jc w:val="both"/>
        <w:rPr>
          <w:rFonts w:ascii="Garamond" w:hAnsi="Garamond" w:cs="Garamond"/>
          <w:sz w:val="24"/>
          <w:szCs w:val="24"/>
        </w:rPr>
      </w:pPr>
      <w:r w:rsidRPr="00B31292">
        <w:rPr>
          <w:rFonts w:ascii="Garamond" w:hAnsi="Garamond" w:cs="Garamond"/>
          <w:sz w:val="24"/>
          <w:szCs w:val="24"/>
        </w:rPr>
        <w:t xml:space="preserve"> Të dhënat e këtij censi luajnë një rol thelbësor në përditësimin e të dhënave statistikore të nevojshme në nivel qendror dhe vendor. Ai</w:t>
      </w:r>
      <w:r w:rsidR="006A0C2E" w:rsidRPr="00B31292">
        <w:rPr>
          <w:rFonts w:ascii="Garamond" w:hAnsi="Garamond" w:cs="Garamond"/>
          <w:sz w:val="24"/>
          <w:szCs w:val="24"/>
        </w:rPr>
        <w:t>,</w:t>
      </w:r>
      <w:r w:rsidRPr="00B31292">
        <w:rPr>
          <w:rFonts w:ascii="Garamond" w:hAnsi="Garamond" w:cs="Garamond"/>
          <w:sz w:val="24"/>
          <w:szCs w:val="24"/>
        </w:rPr>
        <w:t xml:space="preserve"> gjithashtu</w:t>
      </w:r>
      <w:r w:rsidR="006A0C2E" w:rsidRPr="00B31292">
        <w:rPr>
          <w:rFonts w:ascii="Garamond" w:hAnsi="Garamond" w:cs="Garamond"/>
          <w:sz w:val="24"/>
          <w:szCs w:val="24"/>
        </w:rPr>
        <w:t>,</w:t>
      </w:r>
      <w:r w:rsidRPr="00B31292">
        <w:rPr>
          <w:rFonts w:ascii="Garamond" w:hAnsi="Garamond" w:cs="Garamond"/>
          <w:sz w:val="24"/>
          <w:szCs w:val="24"/>
        </w:rPr>
        <w:t xml:space="preserve"> ndihmon në kuptimin dhe ilustrimin e transformimeve që Shqipëria ka përjetuar në periudhat midis censeve. Censi ofron informacionin bazë statistikor mbi popullsinë, ndërtesat dhe banesat për të gjithë territorin e Shqipërisë, i cili është thelbësor për ndërtimin e institucioneve, zhvillimin e qëndrueshëm, demokracinë dhe qeverisjen e mirë në nivel kombëtar, rajonal dhe lokal. Gjithashtu, këto të dhëna nxjerrin në pah ndryshimet demografike, ekonomike dhe shoqërore</w:t>
      </w:r>
      <w:r w:rsidR="002E2911" w:rsidRPr="00B31292">
        <w:rPr>
          <w:rFonts w:ascii="Garamond" w:hAnsi="Garamond" w:cs="Garamond"/>
          <w:sz w:val="24"/>
          <w:szCs w:val="24"/>
        </w:rPr>
        <w:t xml:space="preserve"> </w:t>
      </w:r>
      <w:r w:rsidRPr="00B31292">
        <w:rPr>
          <w:rFonts w:ascii="Garamond" w:hAnsi="Garamond" w:cs="Garamond"/>
          <w:sz w:val="24"/>
          <w:szCs w:val="24"/>
        </w:rPr>
        <w:t>ndërmjet dy censeve sipas ndarjes territoriale.</w:t>
      </w:r>
      <w:r w:rsidR="002E2911" w:rsidRPr="00B31292">
        <w:rPr>
          <w:rFonts w:ascii="Garamond" w:hAnsi="Garamond" w:cs="Garamond"/>
          <w:sz w:val="24"/>
          <w:szCs w:val="24"/>
        </w:rPr>
        <w:t xml:space="preserve"> </w:t>
      </w:r>
    </w:p>
    <w:p w14:paraId="107D0243" w14:textId="7A0E81CA" w:rsidR="00EE716C" w:rsidRPr="00B31292" w:rsidRDefault="00EE716C" w:rsidP="003A4DBA">
      <w:pPr>
        <w:spacing w:after="0" w:line="240" w:lineRule="auto"/>
        <w:ind w:firstLine="284"/>
        <w:jc w:val="both"/>
        <w:rPr>
          <w:rFonts w:ascii="Garamond" w:hAnsi="Garamond" w:cs="Garamond"/>
          <w:sz w:val="24"/>
          <w:szCs w:val="24"/>
        </w:rPr>
      </w:pPr>
      <w:r w:rsidRPr="00B31292">
        <w:rPr>
          <w:rFonts w:ascii="Garamond" w:hAnsi="Garamond" w:cs="Garamond"/>
          <w:sz w:val="24"/>
          <w:szCs w:val="24"/>
        </w:rPr>
        <w:t xml:space="preserve"> Një komponent tjetër shumë i rëndësishëm i Censit është edhe ai gjeohapësinor në të cilin të dhënat e Censit do të shërbejnë për të përditësuar gjeodatabazën e INSTAT</w:t>
      </w:r>
      <w:r w:rsidR="000B46C2" w:rsidRPr="00B31292">
        <w:rPr>
          <w:rFonts w:ascii="Garamond" w:hAnsi="Garamond" w:cs="Garamond"/>
          <w:sz w:val="24"/>
          <w:szCs w:val="24"/>
        </w:rPr>
        <w:t>-it</w:t>
      </w:r>
      <w:r w:rsidRPr="00B31292">
        <w:rPr>
          <w:rFonts w:ascii="Garamond" w:hAnsi="Garamond" w:cs="Garamond"/>
          <w:sz w:val="24"/>
          <w:szCs w:val="24"/>
        </w:rPr>
        <w:t xml:space="preserve">, për të populluar Regjistrin Statistikor të Ndërtesave dhe Banesave, si dhe për ndërtimin e kornizës së re të kampionimit për vrojtimet e INSTAT-it. </w:t>
      </w:r>
    </w:p>
    <w:p w14:paraId="0DAA3844" w14:textId="6CEC8553" w:rsidR="00EE716C" w:rsidRPr="00B31292" w:rsidRDefault="00EE716C" w:rsidP="003A4DBA">
      <w:pPr>
        <w:tabs>
          <w:tab w:val="left" w:pos="700"/>
        </w:tabs>
        <w:spacing w:after="0" w:line="240" w:lineRule="auto"/>
        <w:ind w:firstLine="284"/>
        <w:jc w:val="both"/>
        <w:rPr>
          <w:rFonts w:ascii="Garamond" w:hAnsi="Garamond" w:cs="Garamond"/>
          <w:sz w:val="24"/>
          <w:szCs w:val="24"/>
        </w:rPr>
      </w:pPr>
      <w:r w:rsidRPr="00B31292">
        <w:rPr>
          <w:rFonts w:ascii="Garamond" w:hAnsi="Garamond" w:cs="Garamond"/>
          <w:sz w:val="24"/>
          <w:szCs w:val="24"/>
        </w:rPr>
        <w:t xml:space="preserve"> Të dhënat do të bëhen të disponueshme në formë të agreguar, duke filluar nga zonat më të vogla gjeografike deri në nivel bashkiak dhe kombëtar, sipas kalendarit të publikimeve të Censit, si dhe përmes rrjetit të qelizave 1</w:t>
      </w:r>
      <w:r w:rsidR="007843CA" w:rsidRPr="00B31292">
        <w:rPr>
          <w:rFonts w:ascii="Garamond" w:hAnsi="Garamond" w:cs="Garamond"/>
          <w:sz w:val="24"/>
          <w:szCs w:val="24"/>
        </w:rPr>
        <w:t xml:space="preserve"> </w:t>
      </w:r>
      <w:r w:rsidRPr="00B31292">
        <w:rPr>
          <w:rFonts w:ascii="Garamond" w:hAnsi="Garamond" w:cs="Garamond"/>
          <w:sz w:val="24"/>
          <w:szCs w:val="24"/>
        </w:rPr>
        <w:t>km</w:t>
      </w:r>
      <w:r w:rsidRPr="00B31292">
        <w:rPr>
          <w:rFonts w:ascii="Garamond" w:hAnsi="Garamond" w:cs="Garamond"/>
          <w:sz w:val="24"/>
          <w:szCs w:val="24"/>
          <w:vertAlign w:val="superscript"/>
        </w:rPr>
        <w:t>2</w:t>
      </w:r>
      <w:r w:rsidRPr="00B31292">
        <w:rPr>
          <w:rFonts w:ascii="Garamond" w:hAnsi="Garamond" w:cs="Garamond"/>
          <w:sz w:val="24"/>
          <w:szCs w:val="24"/>
        </w:rPr>
        <w:t xml:space="preserve">, për të lehtësuar zbatimin, monitorimin dhe vlerësimin e planeve dhe programeve të zhvillimit, përafrimin me metodologjitë evropiane, si dhe për qëllime të tjera dhe kërkime shkencore. </w:t>
      </w:r>
    </w:p>
    <w:p w14:paraId="563D319D" w14:textId="77777777" w:rsidR="00EE716C" w:rsidRPr="00B31292" w:rsidRDefault="00EE716C" w:rsidP="003A4DBA">
      <w:pPr>
        <w:tabs>
          <w:tab w:val="left" w:pos="700"/>
        </w:tabs>
        <w:spacing w:after="0" w:line="240" w:lineRule="auto"/>
        <w:ind w:firstLine="284"/>
        <w:jc w:val="both"/>
        <w:rPr>
          <w:rFonts w:ascii="Garamond" w:hAnsi="Garamond" w:cs="Garamond"/>
          <w:b/>
          <w:bCs/>
          <w:sz w:val="24"/>
          <w:szCs w:val="24"/>
        </w:rPr>
      </w:pPr>
      <w:r w:rsidRPr="00B31292">
        <w:rPr>
          <w:rFonts w:ascii="Garamond" w:hAnsi="Garamond" w:cs="Garamond"/>
          <w:b/>
          <w:bCs/>
          <w:sz w:val="24"/>
          <w:szCs w:val="24"/>
        </w:rPr>
        <w:t>Aktivitetet kryesore të Censit të Popullsisë dhe Banesave për vitin 2025</w:t>
      </w:r>
    </w:p>
    <w:p w14:paraId="50E07068" w14:textId="77777777" w:rsidR="00EE716C" w:rsidRPr="00B31292" w:rsidRDefault="00EE716C" w:rsidP="003A4DBA">
      <w:pPr>
        <w:tabs>
          <w:tab w:val="left" w:pos="2340"/>
        </w:tabs>
        <w:spacing w:after="0" w:line="240" w:lineRule="auto"/>
        <w:ind w:firstLine="284"/>
        <w:jc w:val="both"/>
        <w:rPr>
          <w:rFonts w:ascii="Garamond" w:hAnsi="Garamond" w:cs="Garamond"/>
          <w:sz w:val="24"/>
          <w:szCs w:val="24"/>
        </w:rPr>
      </w:pPr>
      <w:r w:rsidRPr="00B31292">
        <w:rPr>
          <w:rFonts w:ascii="Garamond" w:hAnsi="Garamond" w:cs="Garamond"/>
          <w:sz w:val="24"/>
          <w:szCs w:val="24"/>
        </w:rPr>
        <w:t>Në kalendarin e publikimeve është parashikuar që gjatë vitit 2025 të realizohen:</w:t>
      </w:r>
    </w:p>
    <w:p w14:paraId="4D452BE8" w14:textId="6333B2BE" w:rsidR="00EE716C" w:rsidRPr="00B31292" w:rsidRDefault="00EE716C" w:rsidP="003A4DBA">
      <w:pPr>
        <w:pStyle w:val="ListParagraph"/>
        <w:tabs>
          <w:tab w:val="left" w:pos="2340"/>
        </w:tabs>
        <w:spacing w:after="0" w:line="240" w:lineRule="auto"/>
        <w:ind w:left="0" w:firstLine="284"/>
        <w:jc w:val="both"/>
        <w:rPr>
          <w:rFonts w:ascii="Garamond" w:hAnsi="Garamond" w:cs="Garamond"/>
          <w:sz w:val="24"/>
          <w:szCs w:val="24"/>
        </w:rPr>
      </w:pPr>
      <w:r w:rsidRPr="00B31292">
        <w:rPr>
          <w:rFonts w:ascii="Garamond" w:hAnsi="Garamond" w:cs="Cambria"/>
          <w:sz w:val="24"/>
          <w:szCs w:val="24"/>
        </w:rPr>
        <w:t xml:space="preserve">- </w:t>
      </w:r>
      <w:r w:rsidR="000B46C2" w:rsidRPr="00B31292">
        <w:rPr>
          <w:rFonts w:ascii="Garamond" w:hAnsi="Garamond" w:cs="Garamond"/>
          <w:sz w:val="24"/>
          <w:szCs w:val="24"/>
        </w:rPr>
        <w:t xml:space="preserve">analizat </w:t>
      </w:r>
      <w:r w:rsidRPr="00B31292">
        <w:rPr>
          <w:rFonts w:ascii="Garamond" w:hAnsi="Garamond" w:cs="Garamond"/>
          <w:sz w:val="24"/>
          <w:szCs w:val="24"/>
        </w:rPr>
        <w:t>të thelluara mbi tematika të ndryshme;</w:t>
      </w:r>
    </w:p>
    <w:p w14:paraId="71B25339" w14:textId="2D6C60D4" w:rsidR="00EE716C" w:rsidRPr="00B31292" w:rsidRDefault="00EE716C" w:rsidP="003A4DBA">
      <w:pPr>
        <w:pStyle w:val="ListParagraph"/>
        <w:tabs>
          <w:tab w:val="left" w:pos="2340"/>
        </w:tabs>
        <w:spacing w:after="0" w:line="240" w:lineRule="auto"/>
        <w:ind w:left="0" w:firstLine="284"/>
        <w:jc w:val="both"/>
        <w:rPr>
          <w:rFonts w:ascii="Garamond" w:hAnsi="Garamond" w:cs="Garamond"/>
          <w:sz w:val="24"/>
          <w:szCs w:val="24"/>
        </w:rPr>
      </w:pPr>
      <w:r w:rsidRPr="00B31292">
        <w:rPr>
          <w:rFonts w:ascii="Garamond" w:hAnsi="Garamond" w:cs="Cambria"/>
          <w:sz w:val="24"/>
          <w:szCs w:val="24"/>
        </w:rPr>
        <w:t xml:space="preserve">- </w:t>
      </w:r>
      <w:r w:rsidR="000B46C2" w:rsidRPr="00B31292">
        <w:rPr>
          <w:rFonts w:ascii="Garamond" w:hAnsi="Garamond" w:cs="Garamond"/>
          <w:sz w:val="24"/>
          <w:szCs w:val="24"/>
        </w:rPr>
        <w:t xml:space="preserve">të </w:t>
      </w:r>
      <w:r w:rsidRPr="00B31292">
        <w:rPr>
          <w:rFonts w:ascii="Garamond" w:hAnsi="Garamond" w:cs="Garamond"/>
          <w:sz w:val="24"/>
          <w:szCs w:val="24"/>
        </w:rPr>
        <w:t>dhënat mikro në dispozicion për përdoruesit e jashtëm.</w:t>
      </w:r>
    </w:p>
    <w:p w14:paraId="6FE8F0E4" w14:textId="202B01FB" w:rsidR="00EE716C" w:rsidRPr="00B31292" w:rsidRDefault="000B46C2" w:rsidP="003A4DBA">
      <w:pPr>
        <w:pStyle w:val="Heading5"/>
        <w:spacing w:before="0" w:line="240" w:lineRule="auto"/>
        <w:ind w:firstLine="284"/>
        <w:rPr>
          <w:rFonts w:ascii="Garamond" w:hAnsi="Garamond" w:cs="Garamond"/>
          <w:i w:val="0"/>
          <w:iCs/>
          <w:color w:val="auto"/>
        </w:rPr>
      </w:pPr>
      <w:r w:rsidRPr="00B31292">
        <w:rPr>
          <w:rFonts w:ascii="Garamond" w:hAnsi="Garamond" w:cs="Garamond"/>
          <w:i w:val="0"/>
          <w:iCs/>
          <w:color w:val="auto"/>
        </w:rPr>
        <w:t xml:space="preserve">B. </w:t>
      </w:r>
      <w:r w:rsidR="00B31292" w:rsidRPr="00B31292">
        <w:rPr>
          <w:rFonts w:ascii="Garamond" w:hAnsi="Garamond" w:cs="Garamond"/>
          <w:i w:val="0"/>
          <w:iCs/>
          <w:color w:val="auto"/>
        </w:rPr>
        <w:t>Censi i bujqësisë</w:t>
      </w:r>
    </w:p>
    <w:p w14:paraId="5F76B861" w14:textId="3CB19163" w:rsidR="00EE716C" w:rsidRPr="00B31292" w:rsidRDefault="00EE716C" w:rsidP="003A4DBA">
      <w:pPr>
        <w:tabs>
          <w:tab w:val="left" w:pos="700"/>
        </w:tabs>
        <w:spacing w:after="0" w:line="240" w:lineRule="auto"/>
        <w:ind w:firstLine="284"/>
        <w:jc w:val="both"/>
        <w:rPr>
          <w:rFonts w:ascii="Garamond" w:hAnsi="Garamond" w:cs="Garamond"/>
          <w:sz w:val="24"/>
          <w:szCs w:val="24"/>
        </w:rPr>
      </w:pPr>
      <w:r w:rsidRPr="00B31292">
        <w:rPr>
          <w:rFonts w:ascii="Garamond" w:hAnsi="Garamond" w:cs="Garamond"/>
          <w:sz w:val="24"/>
          <w:szCs w:val="24"/>
        </w:rPr>
        <w:t>INSTAT</w:t>
      </w:r>
      <w:r w:rsidR="007843CA" w:rsidRPr="00B31292">
        <w:rPr>
          <w:rFonts w:ascii="Garamond" w:hAnsi="Garamond" w:cs="Garamond"/>
          <w:sz w:val="24"/>
          <w:szCs w:val="24"/>
        </w:rPr>
        <w:t>-i</w:t>
      </w:r>
      <w:r w:rsidRPr="00B31292">
        <w:rPr>
          <w:rFonts w:ascii="Garamond" w:hAnsi="Garamond" w:cs="Garamond"/>
          <w:sz w:val="24"/>
          <w:szCs w:val="24"/>
        </w:rPr>
        <w:t xml:space="preserve"> ka bërë progres në përgatitjen e Censit të Bujqësisë, duke zhvilluar një dokument strategjik, i cili përfshin planin e veprimit dhe buxhetin e nevojshëm për realizimin e tij. Miratimi zyrtar i Strategjisë së Censit të Bujqësisë do të kryhet pas miratimit të </w:t>
      </w:r>
      <w:r w:rsidR="008B7A2B" w:rsidRPr="00B31292">
        <w:rPr>
          <w:rFonts w:ascii="Garamond" w:hAnsi="Garamond" w:cs="Garamond"/>
          <w:sz w:val="24"/>
          <w:szCs w:val="24"/>
        </w:rPr>
        <w:t>p</w:t>
      </w:r>
      <w:r w:rsidRPr="00B31292">
        <w:rPr>
          <w:rFonts w:ascii="Garamond" w:hAnsi="Garamond" w:cs="Garamond"/>
          <w:sz w:val="24"/>
          <w:szCs w:val="24"/>
        </w:rPr>
        <w:t>rojektligjit</w:t>
      </w:r>
      <w:r w:rsidR="002E2911" w:rsidRPr="00B31292">
        <w:rPr>
          <w:rFonts w:ascii="Garamond" w:hAnsi="Garamond" w:cs="Garamond"/>
          <w:sz w:val="24"/>
          <w:szCs w:val="24"/>
        </w:rPr>
        <w:t xml:space="preserve"> </w:t>
      </w:r>
      <w:r w:rsidRPr="00B31292">
        <w:rPr>
          <w:rFonts w:ascii="Garamond" w:hAnsi="Garamond" w:cs="Garamond"/>
          <w:sz w:val="24"/>
          <w:szCs w:val="24"/>
        </w:rPr>
        <w:t xml:space="preserve">për </w:t>
      </w:r>
      <w:r w:rsidR="00BA12C3" w:rsidRPr="00B31292">
        <w:rPr>
          <w:rFonts w:ascii="Garamond" w:hAnsi="Garamond" w:cs="Garamond"/>
          <w:sz w:val="24"/>
          <w:szCs w:val="24"/>
        </w:rPr>
        <w:t>“</w:t>
      </w:r>
      <w:r w:rsidRPr="00B31292">
        <w:rPr>
          <w:rFonts w:ascii="Garamond" w:hAnsi="Garamond" w:cs="Garamond"/>
          <w:sz w:val="24"/>
          <w:szCs w:val="24"/>
        </w:rPr>
        <w:t xml:space="preserve">Censin e </w:t>
      </w:r>
      <w:r w:rsidR="008B7A2B" w:rsidRPr="00B31292">
        <w:rPr>
          <w:rFonts w:ascii="Garamond" w:hAnsi="Garamond" w:cs="Garamond"/>
          <w:sz w:val="24"/>
          <w:szCs w:val="24"/>
        </w:rPr>
        <w:t>b</w:t>
      </w:r>
      <w:r w:rsidRPr="00B31292">
        <w:rPr>
          <w:rFonts w:ascii="Garamond" w:hAnsi="Garamond" w:cs="Garamond"/>
          <w:sz w:val="24"/>
          <w:szCs w:val="24"/>
        </w:rPr>
        <w:t>ujqësisë</w:t>
      </w:r>
      <w:r w:rsidR="00BA12C3" w:rsidRPr="00B31292">
        <w:rPr>
          <w:rFonts w:ascii="Garamond" w:hAnsi="Garamond" w:cs="Garamond"/>
          <w:sz w:val="24"/>
          <w:szCs w:val="24"/>
        </w:rPr>
        <w:t>”</w:t>
      </w:r>
      <w:r w:rsidRPr="00B31292">
        <w:rPr>
          <w:rFonts w:ascii="Garamond" w:hAnsi="Garamond" w:cs="Garamond"/>
          <w:sz w:val="24"/>
          <w:szCs w:val="24"/>
        </w:rPr>
        <w:t>. Projektligji, i cili po ndiqet nga Ministria e Bujqësisë dhe Zhvillimit Rural, është përgatitur nga INSTAT-i në bashkëpunim me ekspertë nga vendi dhe ndërkombëtarë</w:t>
      </w:r>
      <w:r w:rsidR="008B7A2B" w:rsidRPr="00B31292">
        <w:rPr>
          <w:rFonts w:ascii="Garamond" w:hAnsi="Garamond" w:cs="Garamond"/>
          <w:sz w:val="24"/>
          <w:szCs w:val="24"/>
        </w:rPr>
        <w:t>,</w:t>
      </w:r>
      <w:r w:rsidRPr="00B31292">
        <w:rPr>
          <w:rFonts w:ascii="Garamond" w:hAnsi="Garamond" w:cs="Garamond"/>
          <w:sz w:val="24"/>
          <w:szCs w:val="24"/>
        </w:rPr>
        <w:t xml:space="preserve"> dhe aktualisht është në proces diskutimi nga ministritë e linjës. Projektligji </w:t>
      </w:r>
      <w:r w:rsidR="00BA12C3" w:rsidRPr="00B31292">
        <w:rPr>
          <w:rFonts w:ascii="Garamond" w:hAnsi="Garamond" w:cs="Garamond"/>
          <w:sz w:val="24"/>
          <w:szCs w:val="24"/>
        </w:rPr>
        <w:t>“</w:t>
      </w:r>
      <w:r w:rsidRPr="00B31292">
        <w:rPr>
          <w:rFonts w:ascii="Garamond" w:hAnsi="Garamond" w:cs="Garamond"/>
          <w:sz w:val="24"/>
          <w:szCs w:val="24"/>
        </w:rPr>
        <w:t>Për censin e bujqësisë</w:t>
      </w:r>
      <w:r w:rsidR="00BA12C3" w:rsidRPr="00B31292">
        <w:rPr>
          <w:rFonts w:ascii="Garamond" w:hAnsi="Garamond" w:cs="Garamond"/>
          <w:sz w:val="24"/>
          <w:szCs w:val="24"/>
        </w:rPr>
        <w:t>”</w:t>
      </w:r>
      <w:r w:rsidRPr="00B31292">
        <w:rPr>
          <w:rFonts w:ascii="Garamond" w:hAnsi="Garamond" w:cs="Garamond"/>
          <w:sz w:val="24"/>
          <w:szCs w:val="24"/>
        </w:rPr>
        <w:t xml:space="preserve"> është pjesë e PKIE 2025, nën </w:t>
      </w:r>
      <w:r w:rsidR="008B7A2B" w:rsidRPr="00B31292">
        <w:rPr>
          <w:rFonts w:ascii="Garamond" w:hAnsi="Garamond" w:cs="Garamond"/>
          <w:sz w:val="24"/>
          <w:szCs w:val="24"/>
        </w:rPr>
        <w:t>k</w:t>
      </w:r>
      <w:r w:rsidRPr="00B31292">
        <w:rPr>
          <w:rFonts w:ascii="Garamond" w:hAnsi="Garamond" w:cs="Garamond"/>
          <w:sz w:val="24"/>
          <w:szCs w:val="24"/>
        </w:rPr>
        <w:t xml:space="preserve">apitullin 18 </w:t>
      </w:r>
      <w:r w:rsidR="00BA12C3" w:rsidRPr="00B31292">
        <w:rPr>
          <w:rFonts w:ascii="Garamond" w:hAnsi="Garamond" w:cs="Garamond"/>
          <w:sz w:val="24"/>
          <w:szCs w:val="24"/>
        </w:rPr>
        <w:t>“</w:t>
      </w:r>
      <w:r w:rsidRPr="00B31292">
        <w:rPr>
          <w:rFonts w:ascii="Garamond" w:hAnsi="Garamond" w:cs="Garamond"/>
          <w:sz w:val="24"/>
          <w:szCs w:val="24"/>
        </w:rPr>
        <w:t>Statistikat</w:t>
      </w:r>
      <w:r w:rsidR="00BA12C3" w:rsidRPr="00B31292">
        <w:rPr>
          <w:rFonts w:ascii="Garamond" w:hAnsi="Garamond" w:cs="Garamond"/>
          <w:sz w:val="24"/>
          <w:szCs w:val="24"/>
        </w:rPr>
        <w:t>”</w:t>
      </w:r>
      <w:r w:rsidRPr="00B31292">
        <w:rPr>
          <w:rFonts w:ascii="Garamond" w:hAnsi="Garamond" w:cs="Garamond"/>
          <w:sz w:val="24"/>
          <w:szCs w:val="24"/>
        </w:rPr>
        <w:t>.</w:t>
      </w:r>
      <w:r w:rsidR="002E2911" w:rsidRPr="00B31292">
        <w:rPr>
          <w:rFonts w:ascii="Garamond" w:hAnsi="Garamond" w:cs="Garamond"/>
          <w:sz w:val="24"/>
          <w:szCs w:val="24"/>
        </w:rPr>
        <w:t xml:space="preserve"> </w:t>
      </w:r>
    </w:p>
    <w:p w14:paraId="688C5513" w14:textId="500C6D98" w:rsidR="00EE716C" w:rsidRPr="00B31292" w:rsidRDefault="00EE716C" w:rsidP="003A4DBA">
      <w:pPr>
        <w:tabs>
          <w:tab w:val="left" w:pos="700"/>
        </w:tabs>
        <w:spacing w:after="0" w:line="240" w:lineRule="auto"/>
        <w:ind w:firstLine="284"/>
        <w:jc w:val="both"/>
        <w:rPr>
          <w:rFonts w:ascii="Garamond" w:hAnsi="Garamond" w:cs="Garamond"/>
          <w:sz w:val="24"/>
          <w:szCs w:val="24"/>
        </w:rPr>
      </w:pPr>
      <w:r w:rsidRPr="00B31292">
        <w:rPr>
          <w:rFonts w:ascii="Garamond" w:hAnsi="Garamond" w:cs="Garamond"/>
          <w:sz w:val="24"/>
          <w:szCs w:val="24"/>
        </w:rPr>
        <w:t xml:space="preserve"> Censi i Bujqësisë do t’i përmbahet zbatimit të </w:t>
      </w:r>
      <w:r w:rsidR="008B7A2B" w:rsidRPr="00B31292">
        <w:rPr>
          <w:rFonts w:ascii="Garamond" w:hAnsi="Garamond" w:cs="Garamond"/>
          <w:sz w:val="24"/>
          <w:szCs w:val="24"/>
        </w:rPr>
        <w:t>r</w:t>
      </w:r>
      <w:r w:rsidRPr="00B31292">
        <w:rPr>
          <w:rFonts w:ascii="Garamond" w:hAnsi="Garamond" w:cs="Garamond"/>
          <w:sz w:val="24"/>
          <w:szCs w:val="24"/>
        </w:rPr>
        <w:t xml:space="preserve">regullores (BE) </w:t>
      </w:r>
      <w:r w:rsidR="007843CA" w:rsidRPr="00B31292">
        <w:rPr>
          <w:rFonts w:ascii="Garamond" w:hAnsi="Garamond" w:cs="Garamond"/>
          <w:sz w:val="24"/>
          <w:szCs w:val="24"/>
        </w:rPr>
        <w:t>n</w:t>
      </w:r>
      <w:r w:rsidRPr="00B31292">
        <w:rPr>
          <w:rFonts w:ascii="Garamond" w:hAnsi="Garamond" w:cs="Garamond"/>
          <w:sz w:val="24"/>
          <w:szCs w:val="24"/>
        </w:rPr>
        <w:t>r. 2018/1091</w:t>
      </w:r>
      <w:r w:rsidR="007843CA" w:rsidRPr="00B31292">
        <w:rPr>
          <w:rFonts w:ascii="Garamond" w:hAnsi="Garamond" w:cs="Garamond"/>
          <w:sz w:val="24"/>
          <w:szCs w:val="24"/>
        </w:rPr>
        <w:t>,</w:t>
      </w:r>
      <w:r w:rsidRPr="00B31292">
        <w:rPr>
          <w:rFonts w:ascii="Garamond" w:hAnsi="Garamond" w:cs="Garamond"/>
          <w:sz w:val="24"/>
          <w:szCs w:val="24"/>
        </w:rPr>
        <w:t xml:space="preserve"> të Parlamentit Evropian dhe Këshillit të Evropës, datë 18 </w:t>
      </w:r>
      <w:r w:rsidR="007843CA" w:rsidRPr="00B31292">
        <w:rPr>
          <w:rFonts w:ascii="Garamond" w:hAnsi="Garamond" w:cs="Garamond"/>
          <w:sz w:val="24"/>
          <w:szCs w:val="24"/>
        </w:rPr>
        <w:t xml:space="preserve">korrik </w:t>
      </w:r>
      <w:r w:rsidRPr="00B31292">
        <w:rPr>
          <w:rFonts w:ascii="Garamond" w:hAnsi="Garamond" w:cs="Garamond"/>
          <w:sz w:val="24"/>
          <w:szCs w:val="24"/>
        </w:rPr>
        <w:t xml:space="preserve">2018, mbi Statistikat e Integruara të Fermave, si dhe </w:t>
      </w:r>
      <w:r w:rsidR="008B7A2B" w:rsidRPr="00B31292">
        <w:rPr>
          <w:rFonts w:ascii="Garamond" w:hAnsi="Garamond" w:cs="Garamond"/>
          <w:sz w:val="24"/>
          <w:szCs w:val="24"/>
        </w:rPr>
        <w:t xml:space="preserve">rregullores zbatuese </w:t>
      </w:r>
      <w:r w:rsidRPr="00B31292">
        <w:rPr>
          <w:rFonts w:ascii="Garamond" w:hAnsi="Garamond" w:cs="Garamond"/>
          <w:sz w:val="24"/>
          <w:szCs w:val="24"/>
        </w:rPr>
        <w:t xml:space="preserve">të Komisionit (BE) 2021/2286, datë 16 </w:t>
      </w:r>
      <w:r w:rsidR="007843CA" w:rsidRPr="00B31292">
        <w:rPr>
          <w:rFonts w:ascii="Garamond" w:hAnsi="Garamond" w:cs="Garamond"/>
          <w:sz w:val="24"/>
          <w:szCs w:val="24"/>
        </w:rPr>
        <w:t>dhjetor</w:t>
      </w:r>
      <w:r w:rsidRPr="00B31292">
        <w:rPr>
          <w:rFonts w:ascii="Garamond" w:hAnsi="Garamond" w:cs="Garamond"/>
          <w:sz w:val="24"/>
          <w:szCs w:val="24"/>
        </w:rPr>
        <w:t xml:space="preserve"> 2021.</w:t>
      </w:r>
    </w:p>
    <w:p w14:paraId="64EA3BA3" w14:textId="77777777" w:rsidR="00EE716C" w:rsidRPr="00B31292" w:rsidRDefault="00EE716C" w:rsidP="003A4DBA">
      <w:pPr>
        <w:pStyle w:val="xmsonormal"/>
        <w:ind w:firstLine="284"/>
        <w:jc w:val="both"/>
        <w:rPr>
          <w:rFonts w:ascii="Garamond" w:hAnsi="Garamond" w:cs="Garamond"/>
          <w:sz w:val="24"/>
          <w:szCs w:val="24"/>
          <w:lang w:val="sq-AL"/>
        </w:rPr>
      </w:pPr>
      <w:r w:rsidRPr="00B31292">
        <w:rPr>
          <w:rFonts w:ascii="Garamond" w:hAnsi="Garamond" w:cs="Garamond"/>
          <w:b/>
          <w:bCs/>
          <w:sz w:val="24"/>
          <w:szCs w:val="24"/>
          <w:lang w:val="sq-AL"/>
        </w:rPr>
        <w:lastRenderedPageBreak/>
        <w:t>Aktivitete të planifikuara për Censin e Bujqësisë</w:t>
      </w:r>
    </w:p>
    <w:p w14:paraId="2F198312" w14:textId="77777777" w:rsidR="00EE716C" w:rsidRPr="00B31292" w:rsidRDefault="00EE716C" w:rsidP="003A4DBA">
      <w:pPr>
        <w:pStyle w:val="xmsonormal"/>
        <w:ind w:firstLine="284"/>
        <w:jc w:val="both"/>
        <w:rPr>
          <w:rFonts w:ascii="Garamond" w:hAnsi="Garamond" w:cs="Garamond"/>
          <w:sz w:val="24"/>
          <w:szCs w:val="24"/>
          <w:lang w:val="sq-AL"/>
        </w:rPr>
      </w:pPr>
      <w:r w:rsidRPr="00B31292">
        <w:rPr>
          <w:rFonts w:ascii="Garamond" w:hAnsi="Garamond" w:cs="Garamond"/>
          <w:sz w:val="24"/>
          <w:szCs w:val="24"/>
          <w:lang w:val="sq-AL"/>
        </w:rPr>
        <w:t>Aktivitete të mëtejshme të planifikuara për Censin e Bujqësisë janë:</w:t>
      </w:r>
    </w:p>
    <w:p w14:paraId="00C6070F" w14:textId="03C7E07A" w:rsidR="00EE716C" w:rsidRPr="00B31292" w:rsidRDefault="00EE716C" w:rsidP="003A4DBA">
      <w:pPr>
        <w:pStyle w:val="ListParagraph"/>
        <w:tabs>
          <w:tab w:val="left" w:pos="2340"/>
        </w:tabs>
        <w:spacing w:after="0" w:line="240" w:lineRule="auto"/>
        <w:ind w:left="0" w:firstLine="284"/>
        <w:jc w:val="both"/>
        <w:rPr>
          <w:rFonts w:ascii="Garamond" w:hAnsi="Garamond" w:cs="Garamond"/>
          <w:sz w:val="24"/>
          <w:szCs w:val="24"/>
        </w:rPr>
      </w:pPr>
      <w:r w:rsidRPr="00B31292">
        <w:rPr>
          <w:rFonts w:ascii="Garamond" w:hAnsi="Garamond" w:cs="Cambria"/>
          <w:sz w:val="24"/>
          <w:szCs w:val="24"/>
        </w:rPr>
        <w:t xml:space="preserve">- </w:t>
      </w:r>
      <w:r w:rsidRPr="00B31292">
        <w:rPr>
          <w:rFonts w:ascii="Garamond" w:hAnsi="Garamond" w:cs="Garamond"/>
          <w:sz w:val="24"/>
          <w:szCs w:val="24"/>
        </w:rPr>
        <w:t>Rishikimi i strategjisë, planit të aktiviteteve dhe buxhetit;</w:t>
      </w:r>
    </w:p>
    <w:p w14:paraId="480982CC" w14:textId="381CE5D9" w:rsidR="00EE716C" w:rsidRPr="00B31292" w:rsidRDefault="00EE716C" w:rsidP="003A4DBA">
      <w:pPr>
        <w:pStyle w:val="ListParagraph"/>
        <w:tabs>
          <w:tab w:val="left" w:pos="2340"/>
        </w:tabs>
        <w:spacing w:after="0" w:line="240" w:lineRule="auto"/>
        <w:ind w:left="0" w:firstLine="284"/>
        <w:jc w:val="both"/>
        <w:rPr>
          <w:rFonts w:ascii="Garamond" w:hAnsi="Garamond" w:cs="Garamond"/>
          <w:sz w:val="24"/>
          <w:szCs w:val="24"/>
        </w:rPr>
      </w:pPr>
      <w:r w:rsidRPr="00B31292">
        <w:rPr>
          <w:rFonts w:ascii="Garamond" w:hAnsi="Garamond" w:cs="Cambria"/>
          <w:sz w:val="24"/>
          <w:szCs w:val="24"/>
        </w:rPr>
        <w:t xml:space="preserve">- </w:t>
      </w:r>
      <w:r w:rsidRPr="00B31292">
        <w:rPr>
          <w:rFonts w:ascii="Garamond" w:hAnsi="Garamond" w:cs="Garamond"/>
          <w:sz w:val="24"/>
          <w:szCs w:val="24"/>
        </w:rPr>
        <w:t>Finalizimi i pyetësorit;</w:t>
      </w:r>
    </w:p>
    <w:p w14:paraId="2FEB965E" w14:textId="76C0BADC" w:rsidR="00EE716C" w:rsidRPr="00B31292" w:rsidRDefault="00EE716C" w:rsidP="003A4DBA">
      <w:pPr>
        <w:pStyle w:val="ListParagraph"/>
        <w:tabs>
          <w:tab w:val="left" w:pos="2340"/>
        </w:tabs>
        <w:spacing w:after="0" w:line="240" w:lineRule="auto"/>
        <w:ind w:left="0" w:firstLine="284"/>
        <w:jc w:val="both"/>
        <w:rPr>
          <w:rFonts w:ascii="Garamond" w:hAnsi="Garamond" w:cs="Garamond"/>
          <w:sz w:val="24"/>
          <w:szCs w:val="24"/>
        </w:rPr>
      </w:pPr>
      <w:r w:rsidRPr="00B31292">
        <w:rPr>
          <w:rFonts w:ascii="Garamond" w:hAnsi="Garamond" w:cs="Cambria"/>
          <w:sz w:val="24"/>
          <w:szCs w:val="24"/>
        </w:rPr>
        <w:t xml:space="preserve">- </w:t>
      </w:r>
      <w:r w:rsidRPr="00B31292">
        <w:rPr>
          <w:rFonts w:ascii="Garamond" w:hAnsi="Garamond" w:cs="Garamond"/>
          <w:sz w:val="24"/>
          <w:szCs w:val="24"/>
        </w:rPr>
        <w:t>Finalizimi i kornizës metodologjike;</w:t>
      </w:r>
    </w:p>
    <w:p w14:paraId="7BF4534F" w14:textId="1713E396" w:rsidR="00EE716C" w:rsidRPr="00B31292" w:rsidRDefault="00EE716C" w:rsidP="003A4DBA">
      <w:pPr>
        <w:pStyle w:val="ListParagraph"/>
        <w:tabs>
          <w:tab w:val="left" w:pos="2340"/>
        </w:tabs>
        <w:spacing w:after="0" w:line="240" w:lineRule="auto"/>
        <w:ind w:left="0" w:firstLine="284"/>
        <w:jc w:val="both"/>
        <w:rPr>
          <w:rFonts w:ascii="Garamond" w:hAnsi="Garamond" w:cs="Garamond"/>
          <w:sz w:val="24"/>
          <w:szCs w:val="24"/>
        </w:rPr>
      </w:pPr>
      <w:r w:rsidRPr="00B31292">
        <w:rPr>
          <w:rFonts w:ascii="Garamond" w:hAnsi="Garamond" w:cs="Cambria"/>
          <w:sz w:val="24"/>
          <w:szCs w:val="24"/>
        </w:rPr>
        <w:t xml:space="preserve">- </w:t>
      </w:r>
      <w:r w:rsidRPr="00B31292">
        <w:rPr>
          <w:rFonts w:ascii="Garamond" w:hAnsi="Garamond" w:cs="Garamond"/>
          <w:sz w:val="24"/>
          <w:szCs w:val="24"/>
        </w:rPr>
        <w:t>Ngritja e sistemit të teknologjisë së informacionit (TI) për mbledhjen dhe analizimin e të dhënave.</w:t>
      </w:r>
    </w:p>
    <w:p w14:paraId="672D029F" w14:textId="77777777" w:rsidR="00EE716C" w:rsidRPr="00B31292" w:rsidRDefault="00EE716C" w:rsidP="003A4DBA">
      <w:pPr>
        <w:pStyle w:val="xmsonormal"/>
        <w:ind w:firstLine="284"/>
        <w:jc w:val="both"/>
        <w:rPr>
          <w:rFonts w:ascii="Garamond" w:hAnsi="Garamond" w:cs="Garamond"/>
          <w:sz w:val="24"/>
          <w:szCs w:val="24"/>
          <w:lang w:val="sq-AL"/>
        </w:rPr>
      </w:pPr>
      <w:r w:rsidRPr="00B31292">
        <w:rPr>
          <w:rFonts w:ascii="Garamond" w:hAnsi="Garamond" w:cs="Garamond"/>
          <w:sz w:val="24"/>
          <w:szCs w:val="24"/>
          <w:lang w:val="sq-AL"/>
        </w:rPr>
        <w:t>Ky proces do të kontribuojë në mbledhjen e të dhënave të sakta dhe të besueshme për sektorin bujqësor, duke mundësuar zhvillimin e politikave të informuara dhe përmirësimin e statistikave të bujqësisë në përputhje me standardet dhe rregulloret ndërkombëtare.</w:t>
      </w:r>
    </w:p>
    <w:p w14:paraId="254E411A" w14:textId="77777777" w:rsidR="00EE716C" w:rsidRPr="00B31292" w:rsidRDefault="00EE716C" w:rsidP="003A4DBA">
      <w:pPr>
        <w:pStyle w:val="Heading2"/>
        <w:tabs>
          <w:tab w:val="left" w:pos="4680"/>
        </w:tabs>
        <w:spacing w:before="0" w:line="240" w:lineRule="auto"/>
        <w:ind w:firstLine="284"/>
        <w:rPr>
          <w:rFonts w:ascii="Garamond" w:hAnsi="Garamond"/>
          <w:color w:val="auto"/>
          <w:sz w:val="24"/>
          <w:szCs w:val="24"/>
        </w:rPr>
      </w:pPr>
      <w:r w:rsidRPr="00B31292">
        <w:rPr>
          <w:rFonts w:ascii="Garamond" w:hAnsi="Garamond" w:cs="Garamond"/>
          <w:color w:val="auto"/>
          <w:sz w:val="24"/>
          <w:szCs w:val="24"/>
        </w:rPr>
        <w:t xml:space="preserve">V. Sistemi i menaxhimit të cilësisë </w:t>
      </w:r>
    </w:p>
    <w:p w14:paraId="462439AB" w14:textId="015580FB" w:rsidR="00EE716C" w:rsidRPr="00B31292" w:rsidRDefault="00EE716C" w:rsidP="003A4DBA">
      <w:pPr>
        <w:spacing w:after="0" w:line="240" w:lineRule="auto"/>
        <w:ind w:firstLine="284"/>
        <w:jc w:val="both"/>
        <w:rPr>
          <w:rFonts w:ascii="Garamond" w:hAnsi="Garamond" w:cs="Garamond"/>
          <w:sz w:val="24"/>
          <w:szCs w:val="24"/>
        </w:rPr>
      </w:pPr>
      <w:r w:rsidRPr="00B31292">
        <w:rPr>
          <w:rFonts w:ascii="Garamond" w:hAnsi="Garamond" w:cs="Garamond"/>
          <w:sz w:val="24"/>
          <w:szCs w:val="24"/>
        </w:rPr>
        <w:t>INSTAT</w:t>
      </w:r>
      <w:r w:rsidR="007843CA" w:rsidRPr="00B31292">
        <w:rPr>
          <w:rFonts w:ascii="Garamond" w:hAnsi="Garamond" w:cs="Garamond"/>
          <w:sz w:val="24"/>
          <w:szCs w:val="24"/>
        </w:rPr>
        <w:t>-i</w:t>
      </w:r>
      <w:r w:rsidRPr="00B31292">
        <w:rPr>
          <w:rFonts w:ascii="Garamond" w:hAnsi="Garamond" w:cs="Garamond"/>
          <w:sz w:val="24"/>
          <w:szCs w:val="24"/>
        </w:rPr>
        <w:t xml:space="preserve"> synon të ofrojë produkte dhe shërbime statistikore që korrespondojnë me nevojat statistikore të informacionit të grupeve të ndryshme të përdoruesve. Përmirësimi i cilësisë së informacionit statistikor kryhet vazhdimisht duke kërkuar kostot më të ulëta të mundshme dhe duke zvogëluar barrën e </w:t>
      </w:r>
      <w:r w:rsidR="007843CA" w:rsidRPr="00B31292">
        <w:rPr>
          <w:rFonts w:ascii="Garamond" w:hAnsi="Garamond" w:cs="Garamond"/>
          <w:sz w:val="24"/>
          <w:szCs w:val="24"/>
        </w:rPr>
        <w:t>përgjigjes</w:t>
      </w:r>
      <w:r w:rsidRPr="00B31292">
        <w:rPr>
          <w:rFonts w:ascii="Garamond" w:hAnsi="Garamond" w:cs="Garamond"/>
          <w:sz w:val="24"/>
          <w:szCs w:val="24"/>
        </w:rPr>
        <w:t>. INSTAT</w:t>
      </w:r>
      <w:r w:rsidR="007843CA" w:rsidRPr="00B31292">
        <w:rPr>
          <w:rFonts w:ascii="Garamond" w:hAnsi="Garamond" w:cs="Garamond"/>
          <w:sz w:val="24"/>
          <w:szCs w:val="24"/>
        </w:rPr>
        <w:t>-i</w:t>
      </w:r>
      <w:r w:rsidRPr="00B31292">
        <w:rPr>
          <w:rFonts w:ascii="Garamond" w:hAnsi="Garamond" w:cs="Garamond"/>
          <w:sz w:val="24"/>
          <w:szCs w:val="24"/>
        </w:rPr>
        <w:t xml:space="preserve"> është angazhuar të sigurojë cilësinë më të lartë në lidhje me përpilimin e statistikave. Në përputhje me legjislacionin për statistikat zyrtare, INSTAT</w:t>
      </w:r>
      <w:r w:rsidR="007843CA" w:rsidRPr="00B31292">
        <w:rPr>
          <w:rFonts w:ascii="Garamond" w:hAnsi="Garamond" w:cs="Garamond"/>
          <w:sz w:val="24"/>
          <w:szCs w:val="24"/>
        </w:rPr>
        <w:t>-i</w:t>
      </w:r>
      <w:r w:rsidRPr="00B31292">
        <w:rPr>
          <w:rFonts w:ascii="Garamond" w:hAnsi="Garamond" w:cs="Garamond"/>
          <w:sz w:val="24"/>
          <w:szCs w:val="24"/>
        </w:rPr>
        <w:t xml:space="preserve"> përdor metoda dhe procese statistikore në linjë me parimet dhe standardet shkencore të njohura ndërkombëtarisht, kryen analiza të vazhdueshme të statistikave</w:t>
      </w:r>
      <w:r w:rsidR="002044F7" w:rsidRPr="00B31292">
        <w:rPr>
          <w:rFonts w:ascii="Garamond" w:hAnsi="Garamond" w:cs="Garamond"/>
          <w:sz w:val="24"/>
          <w:szCs w:val="24"/>
        </w:rPr>
        <w:t>,</w:t>
      </w:r>
      <w:r w:rsidRPr="00B31292">
        <w:rPr>
          <w:rFonts w:ascii="Garamond" w:hAnsi="Garamond" w:cs="Garamond"/>
          <w:sz w:val="24"/>
          <w:szCs w:val="24"/>
        </w:rPr>
        <w:t xml:space="preserve"> me qëllim përmirësimin e cilësisë dhe siguron që statistikat të jenë sa më të përditësuara. Në kryerjen e detyrave funksionale INSTAT</w:t>
      </w:r>
      <w:r w:rsidR="007843CA" w:rsidRPr="00B31292">
        <w:rPr>
          <w:rFonts w:ascii="Garamond" w:hAnsi="Garamond" w:cs="Garamond"/>
          <w:sz w:val="24"/>
          <w:szCs w:val="24"/>
        </w:rPr>
        <w:t>-i</w:t>
      </w:r>
      <w:r w:rsidRPr="00B31292">
        <w:rPr>
          <w:rFonts w:ascii="Garamond" w:hAnsi="Garamond" w:cs="Garamond"/>
          <w:sz w:val="24"/>
          <w:szCs w:val="24"/>
        </w:rPr>
        <w:t xml:space="preserve"> ndjek parimet e përgjithshme të menaxhimit të cilësisë nga Kodi i Praktikës së Statistikave Evropiane. </w:t>
      </w:r>
    </w:p>
    <w:p w14:paraId="76C529F0" w14:textId="34CA0262" w:rsidR="00EE716C" w:rsidRPr="00B31292" w:rsidRDefault="00EE716C" w:rsidP="003A4DBA">
      <w:pPr>
        <w:spacing w:after="0" w:line="240" w:lineRule="auto"/>
        <w:ind w:firstLine="284"/>
        <w:jc w:val="both"/>
        <w:rPr>
          <w:rFonts w:ascii="Garamond" w:hAnsi="Garamond" w:cs="Garamond"/>
          <w:sz w:val="24"/>
          <w:szCs w:val="24"/>
        </w:rPr>
      </w:pPr>
      <w:r w:rsidRPr="00B31292">
        <w:rPr>
          <w:rFonts w:ascii="Garamond" w:hAnsi="Garamond" w:cs="Garamond"/>
          <w:sz w:val="24"/>
          <w:szCs w:val="24"/>
        </w:rPr>
        <w:t>Në kuadër të sigurimit të cilësisë statistikore, në përputhje me nenin 5</w:t>
      </w:r>
      <w:r w:rsidR="002044F7" w:rsidRPr="00B31292">
        <w:rPr>
          <w:rFonts w:ascii="Garamond" w:hAnsi="Garamond" w:cs="Garamond"/>
          <w:sz w:val="24"/>
          <w:szCs w:val="24"/>
        </w:rPr>
        <w:t>,</w:t>
      </w:r>
      <w:r w:rsidRPr="00B31292">
        <w:rPr>
          <w:rFonts w:ascii="Garamond" w:hAnsi="Garamond" w:cs="Garamond"/>
          <w:sz w:val="24"/>
          <w:szCs w:val="24"/>
        </w:rPr>
        <w:t xml:space="preserve"> të ligjit nr. 17/2018</w:t>
      </w:r>
      <w:r w:rsidR="002044F7" w:rsidRPr="00B31292">
        <w:rPr>
          <w:rFonts w:ascii="Garamond" w:hAnsi="Garamond" w:cs="Garamond"/>
          <w:sz w:val="24"/>
          <w:szCs w:val="24"/>
        </w:rPr>
        <w:t>,</w:t>
      </w:r>
      <w:r w:rsidR="00F33D56" w:rsidRPr="00B31292">
        <w:rPr>
          <w:rFonts w:ascii="Garamond" w:hAnsi="Garamond" w:cs="Garamond"/>
          <w:sz w:val="24"/>
          <w:szCs w:val="24"/>
        </w:rPr>
        <w:t xml:space="preserve"> </w:t>
      </w:r>
      <w:r w:rsidR="00BA12C3" w:rsidRPr="00B31292">
        <w:rPr>
          <w:rFonts w:ascii="Garamond" w:hAnsi="Garamond" w:cs="Garamond"/>
          <w:sz w:val="24"/>
          <w:szCs w:val="24"/>
        </w:rPr>
        <w:t>“</w:t>
      </w:r>
      <w:r w:rsidRPr="00B31292">
        <w:rPr>
          <w:rFonts w:ascii="Garamond" w:hAnsi="Garamond" w:cs="Garamond"/>
          <w:sz w:val="24"/>
          <w:szCs w:val="24"/>
        </w:rPr>
        <w:t>Për statistikat zyrtare</w:t>
      </w:r>
      <w:r w:rsidR="00BA12C3" w:rsidRPr="00B31292">
        <w:rPr>
          <w:rFonts w:ascii="Garamond" w:hAnsi="Garamond" w:cs="Garamond"/>
          <w:sz w:val="24"/>
          <w:szCs w:val="24"/>
        </w:rPr>
        <w:t>”</w:t>
      </w:r>
      <w:r w:rsidRPr="00B31292">
        <w:rPr>
          <w:rFonts w:ascii="Garamond" w:hAnsi="Garamond" w:cs="Garamond"/>
          <w:sz w:val="24"/>
          <w:szCs w:val="24"/>
        </w:rPr>
        <w:t xml:space="preserve"> dhe </w:t>
      </w:r>
      <w:r w:rsidR="002044F7" w:rsidRPr="00B31292">
        <w:rPr>
          <w:rFonts w:ascii="Garamond" w:hAnsi="Garamond" w:cs="Garamond"/>
          <w:sz w:val="24"/>
          <w:szCs w:val="24"/>
        </w:rPr>
        <w:t>p</w:t>
      </w:r>
      <w:r w:rsidRPr="00B31292">
        <w:rPr>
          <w:rFonts w:ascii="Garamond" w:hAnsi="Garamond" w:cs="Garamond"/>
          <w:sz w:val="24"/>
          <w:szCs w:val="24"/>
        </w:rPr>
        <w:t xml:space="preserve">arimin nr. 4 </w:t>
      </w:r>
      <w:r w:rsidR="00BA12C3" w:rsidRPr="00B31292">
        <w:rPr>
          <w:rFonts w:ascii="Garamond" w:hAnsi="Garamond" w:cs="Garamond"/>
          <w:sz w:val="24"/>
          <w:szCs w:val="24"/>
        </w:rPr>
        <w:t>“</w:t>
      </w:r>
      <w:r w:rsidRPr="00B31292">
        <w:rPr>
          <w:rFonts w:ascii="Garamond" w:hAnsi="Garamond" w:cs="Garamond"/>
          <w:sz w:val="24"/>
          <w:szCs w:val="24"/>
        </w:rPr>
        <w:t xml:space="preserve">Cilësia </w:t>
      </w:r>
      <w:r w:rsidR="002044F7" w:rsidRPr="00B31292">
        <w:rPr>
          <w:rFonts w:ascii="Garamond" w:hAnsi="Garamond" w:cs="Garamond"/>
          <w:sz w:val="24"/>
          <w:szCs w:val="24"/>
        </w:rPr>
        <w:t>s</w:t>
      </w:r>
      <w:r w:rsidRPr="00B31292">
        <w:rPr>
          <w:rFonts w:ascii="Garamond" w:hAnsi="Garamond" w:cs="Garamond"/>
          <w:sz w:val="24"/>
          <w:szCs w:val="24"/>
        </w:rPr>
        <w:t>tatistikore</w:t>
      </w:r>
      <w:r w:rsidR="00BA12C3" w:rsidRPr="00B31292">
        <w:rPr>
          <w:rFonts w:ascii="Garamond" w:hAnsi="Garamond" w:cs="Garamond"/>
          <w:sz w:val="24"/>
          <w:szCs w:val="24"/>
        </w:rPr>
        <w:t>”</w:t>
      </w:r>
      <w:r w:rsidRPr="00B31292">
        <w:rPr>
          <w:rFonts w:ascii="Garamond" w:hAnsi="Garamond" w:cs="Garamond"/>
          <w:sz w:val="24"/>
          <w:szCs w:val="24"/>
        </w:rPr>
        <w:t xml:space="preserve"> të Kodit të Praktikës së Statistikave Evropiane, INSTAT</w:t>
      </w:r>
      <w:r w:rsidR="007843CA" w:rsidRPr="00B31292">
        <w:rPr>
          <w:rFonts w:ascii="Garamond" w:hAnsi="Garamond" w:cs="Garamond"/>
          <w:sz w:val="24"/>
          <w:szCs w:val="24"/>
        </w:rPr>
        <w:t>-i</w:t>
      </w:r>
      <w:r w:rsidR="002044F7" w:rsidRPr="00B31292">
        <w:rPr>
          <w:rFonts w:ascii="Garamond" w:hAnsi="Garamond" w:cs="Garamond"/>
          <w:sz w:val="24"/>
          <w:szCs w:val="24"/>
        </w:rPr>
        <w:t>,</w:t>
      </w:r>
      <w:r w:rsidRPr="00B31292">
        <w:rPr>
          <w:rFonts w:ascii="Garamond" w:hAnsi="Garamond" w:cs="Garamond"/>
          <w:sz w:val="24"/>
          <w:szCs w:val="24"/>
        </w:rPr>
        <w:t xml:space="preserve"> gjatë vitit 2024</w:t>
      </w:r>
      <w:r w:rsidR="002044F7" w:rsidRPr="00B31292">
        <w:rPr>
          <w:rFonts w:ascii="Garamond" w:hAnsi="Garamond" w:cs="Garamond"/>
          <w:sz w:val="24"/>
          <w:szCs w:val="24"/>
        </w:rPr>
        <w:t>,</w:t>
      </w:r>
      <w:r w:rsidRPr="00B31292">
        <w:rPr>
          <w:rFonts w:ascii="Garamond" w:hAnsi="Garamond" w:cs="Garamond"/>
          <w:sz w:val="24"/>
          <w:szCs w:val="24"/>
        </w:rPr>
        <w:t xml:space="preserve"> ka ndërmarrë iniciativat e mëposhtme:</w:t>
      </w:r>
    </w:p>
    <w:p w14:paraId="04E6CDB5" w14:textId="0BD115A3" w:rsidR="00EE716C" w:rsidRPr="00B31292" w:rsidRDefault="009508C8" w:rsidP="003A4DBA">
      <w:pPr>
        <w:pStyle w:val="ListParagraph"/>
        <w:tabs>
          <w:tab w:val="left" w:pos="980"/>
        </w:tabs>
        <w:spacing w:after="0" w:line="240" w:lineRule="auto"/>
        <w:ind w:left="0" w:firstLine="284"/>
        <w:jc w:val="both"/>
        <w:rPr>
          <w:rFonts w:ascii="Garamond" w:hAnsi="Garamond" w:cs="Garamond"/>
          <w:sz w:val="24"/>
          <w:szCs w:val="24"/>
        </w:rPr>
      </w:pPr>
      <w:r w:rsidRPr="00B31292">
        <w:rPr>
          <w:rFonts w:ascii="Garamond" w:hAnsi="Garamond" w:cs="Symbol"/>
          <w:sz w:val="24"/>
          <w:szCs w:val="24"/>
        </w:rPr>
        <w:t>-</w:t>
      </w:r>
      <w:r w:rsidR="007843CA" w:rsidRPr="00B31292">
        <w:rPr>
          <w:rFonts w:ascii="Garamond" w:hAnsi="Garamond" w:cs="Symbol"/>
          <w:sz w:val="24"/>
          <w:szCs w:val="24"/>
        </w:rPr>
        <w:t xml:space="preserve"> </w:t>
      </w:r>
      <w:r w:rsidR="00EE716C" w:rsidRPr="00B31292">
        <w:rPr>
          <w:rFonts w:ascii="Garamond" w:hAnsi="Garamond" w:cs="Garamond"/>
          <w:sz w:val="24"/>
          <w:szCs w:val="24"/>
        </w:rPr>
        <w:t>Rritjen e kapaciteteve profesionale dhe ndërgjegjësimit të punonjësve të sistemit statistikor për menaxhimin e cilësisë përmes zhvillimit të trajnimeve të vazhdueshme mbi këtë fushë</w:t>
      </w:r>
      <w:r w:rsidR="002044F7" w:rsidRPr="00B31292">
        <w:rPr>
          <w:rFonts w:ascii="Garamond" w:hAnsi="Garamond" w:cs="Garamond"/>
          <w:sz w:val="24"/>
          <w:szCs w:val="24"/>
        </w:rPr>
        <w:t>;</w:t>
      </w:r>
    </w:p>
    <w:p w14:paraId="256E536D" w14:textId="514200FE" w:rsidR="00EE716C" w:rsidRPr="00B31292" w:rsidRDefault="009508C8" w:rsidP="003A4DBA">
      <w:pPr>
        <w:pStyle w:val="ListParagraph"/>
        <w:tabs>
          <w:tab w:val="left" w:pos="980"/>
        </w:tabs>
        <w:spacing w:after="0" w:line="240" w:lineRule="auto"/>
        <w:ind w:left="0" w:firstLine="284"/>
        <w:jc w:val="both"/>
        <w:rPr>
          <w:rFonts w:ascii="Garamond" w:hAnsi="Garamond" w:cs="Garamond"/>
          <w:sz w:val="24"/>
          <w:szCs w:val="24"/>
        </w:rPr>
      </w:pPr>
      <w:r w:rsidRPr="00B31292">
        <w:rPr>
          <w:rFonts w:ascii="Garamond" w:hAnsi="Garamond" w:cs="Symbol"/>
          <w:sz w:val="24"/>
          <w:szCs w:val="24"/>
        </w:rPr>
        <w:t>-</w:t>
      </w:r>
      <w:r w:rsidR="007843CA" w:rsidRPr="00B31292">
        <w:rPr>
          <w:rFonts w:ascii="Garamond" w:hAnsi="Garamond" w:cs="Symbol"/>
          <w:sz w:val="24"/>
          <w:szCs w:val="24"/>
        </w:rPr>
        <w:t xml:space="preserve"> </w:t>
      </w:r>
      <w:r w:rsidR="00EE716C" w:rsidRPr="00B31292">
        <w:rPr>
          <w:rFonts w:ascii="Garamond" w:hAnsi="Garamond" w:cs="Garamond"/>
          <w:sz w:val="24"/>
          <w:szCs w:val="24"/>
        </w:rPr>
        <w:t>Menaxhimin e kujdesshëm të risqeve dhe planifikimin në kohë të masave përkatëse parandaluese, thelbësore për Programin e Statistikave Zyrtare</w:t>
      </w:r>
      <w:r w:rsidR="002044F7" w:rsidRPr="00B31292">
        <w:rPr>
          <w:rFonts w:ascii="Garamond" w:hAnsi="Garamond" w:cs="Garamond"/>
          <w:sz w:val="24"/>
          <w:szCs w:val="24"/>
        </w:rPr>
        <w:t>;</w:t>
      </w:r>
    </w:p>
    <w:p w14:paraId="148338B1" w14:textId="7EBA1FC9" w:rsidR="00EE716C" w:rsidRPr="00B31292" w:rsidRDefault="009508C8" w:rsidP="003A4DBA">
      <w:pPr>
        <w:pStyle w:val="ListParagraph"/>
        <w:tabs>
          <w:tab w:val="left" w:pos="980"/>
        </w:tabs>
        <w:spacing w:after="0" w:line="240" w:lineRule="auto"/>
        <w:ind w:left="0" w:firstLine="284"/>
        <w:jc w:val="both"/>
        <w:rPr>
          <w:rFonts w:ascii="Garamond" w:hAnsi="Garamond" w:cs="Garamond"/>
          <w:sz w:val="24"/>
          <w:szCs w:val="24"/>
        </w:rPr>
      </w:pPr>
      <w:r w:rsidRPr="00B31292">
        <w:rPr>
          <w:rFonts w:ascii="Garamond" w:hAnsi="Garamond" w:cs="Symbol"/>
          <w:sz w:val="24"/>
          <w:szCs w:val="24"/>
        </w:rPr>
        <w:t>-</w:t>
      </w:r>
      <w:r w:rsidR="007843CA" w:rsidRPr="00B31292">
        <w:rPr>
          <w:rFonts w:ascii="Garamond" w:hAnsi="Garamond" w:cs="Symbol"/>
          <w:sz w:val="24"/>
          <w:szCs w:val="24"/>
        </w:rPr>
        <w:t xml:space="preserve"> </w:t>
      </w:r>
      <w:r w:rsidR="00EE716C" w:rsidRPr="00B31292">
        <w:rPr>
          <w:rFonts w:ascii="Garamond" w:hAnsi="Garamond" w:cs="Garamond"/>
          <w:sz w:val="24"/>
          <w:szCs w:val="24"/>
        </w:rPr>
        <w:t>Auditin statistikor dhe vetëvlerësimi</w:t>
      </w:r>
      <w:r w:rsidR="002044F7" w:rsidRPr="00B31292">
        <w:rPr>
          <w:rFonts w:ascii="Garamond" w:hAnsi="Garamond" w:cs="Garamond"/>
          <w:sz w:val="24"/>
          <w:szCs w:val="24"/>
        </w:rPr>
        <w:t>,</w:t>
      </w:r>
      <w:r w:rsidR="00EE716C" w:rsidRPr="00B31292">
        <w:rPr>
          <w:rFonts w:ascii="Garamond" w:hAnsi="Garamond" w:cs="Garamond"/>
          <w:sz w:val="24"/>
          <w:szCs w:val="24"/>
        </w:rPr>
        <w:t xml:space="preserve"> përcaktuar si rruga konkrete për identifikimin e pikave të forta dhe mundësive për përmirësim e cilësisë së një procesi apo produkti statistikor. Ky është një proces sistematik, i programuar, i pavarur, i dokumentuar, me anë të të cilit bëhet një vlerësim objektiv i hapave të ndjekur gjatë një procesi statistikor. Me synimin për të rritur përmirësimin e cilësisë së proceseve statistikore, prej vitit 2019 INSTAT</w:t>
      </w:r>
      <w:r w:rsidR="007843CA" w:rsidRPr="00B31292">
        <w:rPr>
          <w:rFonts w:ascii="Garamond" w:hAnsi="Garamond" w:cs="Garamond"/>
          <w:sz w:val="24"/>
          <w:szCs w:val="24"/>
        </w:rPr>
        <w:t>-i</w:t>
      </w:r>
      <w:r w:rsidR="00EE716C" w:rsidRPr="00B31292">
        <w:rPr>
          <w:rFonts w:ascii="Garamond" w:hAnsi="Garamond" w:cs="Garamond"/>
          <w:sz w:val="24"/>
          <w:szCs w:val="24"/>
        </w:rPr>
        <w:t xml:space="preserve"> ka nisur zbatimin konkret të këtyre aktiviteteve</w:t>
      </w:r>
      <w:r w:rsidR="002044F7" w:rsidRPr="00B31292">
        <w:rPr>
          <w:rFonts w:ascii="Garamond" w:hAnsi="Garamond" w:cs="Garamond"/>
          <w:sz w:val="24"/>
          <w:szCs w:val="24"/>
        </w:rPr>
        <w:t>;</w:t>
      </w:r>
    </w:p>
    <w:p w14:paraId="0922ABB5" w14:textId="575E8958" w:rsidR="00EE716C" w:rsidRPr="00B31292" w:rsidRDefault="009508C8" w:rsidP="003A4DBA">
      <w:pPr>
        <w:pStyle w:val="ListParagraph"/>
        <w:tabs>
          <w:tab w:val="left" w:pos="980"/>
        </w:tabs>
        <w:spacing w:after="0" w:line="240" w:lineRule="auto"/>
        <w:ind w:left="0" w:firstLine="284"/>
        <w:jc w:val="both"/>
        <w:rPr>
          <w:rFonts w:ascii="Garamond" w:hAnsi="Garamond" w:cs="Garamond"/>
          <w:sz w:val="24"/>
          <w:szCs w:val="24"/>
        </w:rPr>
      </w:pPr>
      <w:r w:rsidRPr="00B31292">
        <w:rPr>
          <w:rFonts w:ascii="Garamond" w:hAnsi="Garamond" w:cs="Symbol"/>
          <w:sz w:val="24"/>
          <w:szCs w:val="24"/>
        </w:rPr>
        <w:t>-</w:t>
      </w:r>
      <w:r w:rsidR="007843CA" w:rsidRPr="00B31292">
        <w:rPr>
          <w:rFonts w:ascii="Garamond" w:hAnsi="Garamond" w:cs="Symbol"/>
          <w:sz w:val="24"/>
          <w:szCs w:val="24"/>
        </w:rPr>
        <w:t xml:space="preserve"> </w:t>
      </w:r>
      <w:r w:rsidR="00EE716C" w:rsidRPr="00B31292">
        <w:rPr>
          <w:rFonts w:ascii="Garamond" w:hAnsi="Garamond" w:cs="Garamond"/>
          <w:sz w:val="24"/>
          <w:szCs w:val="24"/>
        </w:rPr>
        <w:t>Implementimin e GSBPM</w:t>
      </w:r>
      <w:r w:rsidR="002044F7" w:rsidRPr="00B31292">
        <w:rPr>
          <w:rFonts w:ascii="Garamond" w:hAnsi="Garamond" w:cs="Garamond"/>
          <w:sz w:val="24"/>
          <w:szCs w:val="24"/>
        </w:rPr>
        <w:t>-së</w:t>
      </w:r>
      <w:r w:rsidR="00EE716C" w:rsidRPr="00B31292">
        <w:rPr>
          <w:rFonts w:ascii="Garamond" w:hAnsi="Garamond" w:cs="Garamond"/>
          <w:sz w:val="24"/>
          <w:szCs w:val="24"/>
        </w:rPr>
        <w:t xml:space="preserve"> si një model reference. Nëpërmjet këtij modeli</w:t>
      </w:r>
      <w:r w:rsidR="002E2911" w:rsidRPr="00B31292">
        <w:rPr>
          <w:rFonts w:ascii="Garamond" w:hAnsi="Garamond" w:cs="Garamond"/>
          <w:sz w:val="24"/>
          <w:szCs w:val="24"/>
        </w:rPr>
        <w:t xml:space="preserve"> </w:t>
      </w:r>
      <w:r w:rsidR="00EE716C" w:rsidRPr="00B31292">
        <w:rPr>
          <w:rFonts w:ascii="Garamond" w:hAnsi="Garamond" w:cs="Garamond"/>
          <w:sz w:val="24"/>
          <w:szCs w:val="24"/>
        </w:rPr>
        <w:t>monitorohen afatet kohore të të gjitha proceseve statistikore, dokumentimi i tyre dhe matja e kosto-efektivitetit për aktivitetet statistikore</w:t>
      </w:r>
      <w:r w:rsidR="002044F7" w:rsidRPr="00B31292">
        <w:rPr>
          <w:rFonts w:ascii="Garamond" w:hAnsi="Garamond" w:cs="Garamond"/>
          <w:sz w:val="24"/>
          <w:szCs w:val="24"/>
        </w:rPr>
        <w:t>;</w:t>
      </w:r>
    </w:p>
    <w:p w14:paraId="1221E439" w14:textId="2F20C03A" w:rsidR="00EE716C" w:rsidRPr="00B31292" w:rsidRDefault="009508C8" w:rsidP="003A4DBA">
      <w:pPr>
        <w:pStyle w:val="ListParagraph"/>
        <w:tabs>
          <w:tab w:val="left" w:pos="980"/>
        </w:tabs>
        <w:spacing w:after="0" w:line="240" w:lineRule="auto"/>
        <w:ind w:left="0" w:firstLine="284"/>
        <w:jc w:val="both"/>
        <w:rPr>
          <w:rFonts w:ascii="Garamond" w:hAnsi="Garamond" w:cs="Garamond"/>
          <w:sz w:val="24"/>
          <w:szCs w:val="24"/>
        </w:rPr>
      </w:pPr>
      <w:r w:rsidRPr="00B31292">
        <w:rPr>
          <w:rFonts w:ascii="Garamond" w:hAnsi="Garamond" w:cs="Symbol"/>
          <w:sz w:val="24"/>
          <w:szCs w:val="24"/>
        </w:rPr>
        <w:t>-</w:t>
      </w:r>
      <w:r w:rsidR="007843CA" w:rsidRPr="00B31292">
        <w:rPr>
          <w:rFonts w:ascii="Garamond" w:hAnsi="Garamond" w:cs="Symbol"/>
          <w:sz w:val="24"/>
          <w:szCs w:val="24"/>
        </w:rPr>
        <w:t xml:space="preserve"> </w:t>
      </w:r>
      <w:r w:rsidR="00EE716C" w:rsidRPr="00B31292">
        <w:rPr>
          <w:rFonts w:ascii="Garamond" w:hAnsi="Garamond" w:cs="Garamond"/>
          <w:sz w:val="24"/>
          <w:szCs w:val="24"/>
        </w:rPr>
        <w:t>Për të siguruar cilësinë e statistikave zyrtare dhe besueshmërinë e publikut në to, INSTAT</w:t>
      </w:r>
      <w:r w:rsidR="007843CA" w:rsidRPr="00B31292">
        <w:rPr>
          <w:rFonts w:ascii="Garamond" w:hAnsi="Garamond" w:cs="Garamond"/>
          <w:sz w:val="24"/>
          <w:szCs w:val="24"/>
        </w:rPr>
        <w:t>-i</w:t>
      </w:r>
      <w:r w:rsidR="00EE716C" w:rsidRPr="00B31292">
        <w:rPr>
          <w:rFonts w:ascii="Garamond" w:hAnsi="Garamond" w:cs="Garamond"/>
          <w:sz w:val="24"/>
          <w:szCs w:val="24"/>
        </w:rPr>
        <w:t xml:space="preserve"> ka ofruar raportet e </w:t>
      </w:r>
      <w:r w:rsidR="002044F7" w:rsidRPr="00B31292">
        <w:rPr>
          <w:rFonts w:ascii="Garamond" w:hAnsi="Garamond" w:cs="Garamond"/>
          <w:sz w:val="24"/>
          <w:szCs w:val="24"/>
        </w:rPr>
        <w:t>c</w:t>
      </w:r>
      <w:r w:rsidR="00EE716C" w:rsidRPr="00B31292">
        <w:rPr>
          <w:rFonts w:ascii="Garamond" w:hAnsi="Garamond" w:cs="Garamond"/>
          <w:sz w:val="24"/>
          <w:szCs w:val="24"/>
        </w:rPr>
        <w:t>ilësisë në nivelin e produkteve statistikore. Nëpërmjet tyre, përdoruesve u sigurohet informacion, si edhe metadatat referenciale/strukturore, me format standard në metodat dhe përkufizimet e aplikuara</w:t>
      </w:r>
      <w:r w:rsidR="002044F7" w:rsidRPr="00B31292">
        <w:rPr>
          <w:rFonts w:ascii="Garamond" w:hAnsi="Garamond" w:cs="Garamond"/>
          <w:sz w:val="24"/>
          <w:szCs w:val="24"/>
        </w:rPr>
        <w:t>,</w:t>
      </w:r>
      <w:r w:rsidR="00EE716C" w:rsidRPr="00B31292">
        <w:rPr>
          <w:rFonts w:ascii="Garamond" w:hAnsi="Garamond" w:cs="Garamond"/>
          <w:sz w:val="24"/>
          <w:szCs w:val="24"/>
        </w:rPr>
        <w:t xml:space="preserve"> dhe në cilësinë e rezultateve statistikore. Struktura e </w:t>
      </w:r>
      <w:r w:rsidR="002044F7" w:rsidRPr="00B31292">
        <w:rPr>
          <w:rFonts w:ascii="Garamond" w:hAnsi="Garamond" w:cs="Garamond"/>
          <w:sz w:val="24"/>
          <w:szCs w:val="24"/>
        </w:rPr>
        <w:t>raporteve të cilësisë bazohet në konceptin e cilësisë së</w:t>
      </w:r>
      <w:r w:rsidR="00EE716C" w:rsidRPr="00B31292">
        <w:rPr>
          <w:rFonts w:ascii="Garamond" w:hAnsi="Garamond" w:cs="Garamond"/>
          <w:sz w:val="24"/>
          <w:szCs w:val="24"/>
        </w:rPr>
        <w:t xml:space="preserve"> Sistemit Evropian të Statistikave (ESS-SIMS) dhe në parimet lidhur me cilësinë e produkteve statistikore sipas Kodit të Praktikës së Statistikave Evropiane</w:t>
      </w:r>
      <w:r w:rsidR="002044F7" w:rsidRPr="00B31292">
        <w:rPr>
          <w:rFonts w:ascii="Garamond" w:hAnsi="Garamond" w:cs="Garamond"/>
          <w:sz w:val="24"/>
          <w:szCs w:val="24"/>
        </w:rPr>
        <w:t>;</w:t>
      </w:r>
    </w:p>
    <w:p w14:paraId="393D0B4A" w14:textId="0EA5CFFB" w:rsidR="00EE716C" w:rsidRPr="00B31292" w:rsidRDefault="009508C8" w:rsidP="003A4DBA">
      <w:pPr>
        <w:pStyle w:val="ListParagraph"/>
        <w:tabs>
          <w:tab w:val="left" w:pos="980"/>
        </w:tabs>
        <w:spacing w:after="0" w:line="240" w:lineRule="auto"/>
        <w:ind w:left="0" w:firstLine="284"/>
        <w:jc w:val="both"/>
        <w:rPr>
          <w:rFonts w:ascii="Garamond" w:hAnsi="Garamond" w:cs="Garamond"/>
          <w:sz w:val="24"/>
          <w:szCs w:val="24"/>
        </w:rPr>
      </w:pPr>
      <w:r w:rsidRPr="00B31292">
        <w:rPr>
          <w:rFonts w:ascii="Garamond" w:hAnsi="Garamond" w:cs="Symbol"/>
          <w:sz w:val="24"/>
          <w:szCs w:val="24"/>
        </w:rPr>
        <w:t>-</w:t>
      </w:r>
      <w:r w:rsidR="007843CA" w:rsidRPr="00B31292">
        <w:rPr>
          <w:rFonts w:ascii="Garamond" w:hAnsi="Garamond" w:cs="Symbol"/>
          <w:sz w:val="24"/>
          <w:szCs w:val="24"/>
        </w:rPr>
        <w:t xml:space="preserve"> </w:t>
      </w:r>
      <w:r w:rsidR="00EE716C" w:rsidRPr="00B31292">
        <w:rPr>
          <w:rFonts w:ascii="Garamond" w:hAnsi="Garamond" w:cs="Garamond"/>
          <w:sz w:val="24"/>
          <w:szCs w:val="24"/>
        </w:rPr>
        <w:t xml:space="preserve">Orientimin ndaj përdoruesit </w:t>
      </w:r>
      <w:r w:rsidR="007843CA" w:rsidRPr="00B31292">
        <w:rPr>
          <w:rFonts w:ascii="Garamond" w:hAnsi="Garamond" w:cs="Garamond"/>
          <w:sz w:val="24"/>
          <w:szCs w:val="24"/>
        </w:rPr>
        <w:t>–</w:t>
      </w:r>
      <w:r w:rsidR="00EE716C" w:rsidRPr="00B31292">
        <w:rPr>
          <w:rFonts w:ascii="Garamond" w:hAnsi="Garamond" w:cs="Garamond"/>
          <w:sz w:val="24"/>
          <w:szCs w:val="24"/>
        </w:rPr>
        <w:t xml:space="preserve"> INSTAT</w:t>
      </w:r>
      <w:r w:rsidR="007843CA" w:rsidRPr="00B31292">
        <w:rPr>
          <w:rFonts w:ascii="Garamond" w:hAnsi="Garamond" w:cs="Garamond"/>
          <w:sz w:val="24"/>
          <w:szCs w:val="24"/>
        </w:rPr>
        <w:t>-i</w:t>
      </w:r>
      <w:r w:rsidR="00EE716C" w:rsidRPr="00B31292">
        <w:rPr>
          <w:rFonts w:ascii="Garamond" w:hAnsi="Garamond" w:cs="Garamond"/>
          <w:sz w:val="24"/>
          <w:szCs w:val="24"/>
        </w:rPr>
        <w:t xml:space="preserve"> përpiqet që të prodhojë statistika sa më afër nevojave të përdoruesve, përpiqet të njohë dhe të përmbushë pritshmëritë e tyre dhe në këtë mënyrë të sigurojë përmbushjen e plotë të nevojave për të dhëna statistikore zyrtare. Matja e pritshmërisë së përdorueseve realizohet nëpërmjet Vrojtimi të Kënaqësisë së Përdoruesve</w:t>
      </w:r>
      <w:r w:rsidR="002044F7" w:rsidRPr="00B31292">
        <w:rPr>
          <w:rFonts w:ascii="Garamond" w:hAnsi="Garamond" w:cs="Garamond"/>
          <w:sz w:val="24"/>
          <w:szCs w:val="24"/>
        </w:rPr>
        <w:t>;</w:t>
      </w:r>
    </w:p>
    <w:p w14:paraId="37F778D6" w14:textId="0A288CCE" w:rsidR="00EE716C" w:rsidRPr="00B31292" w:rsidRDefault="009508C8" w:rsidP="003A4DBA">
      <w:pPr>
        <w:pStyle w:val="ListParagraph"/>
        <w:tabs>
          <w:tab w:val="left" w:pos="980"/>
        </w:tabs>
        <w:spacing w:after="0" w:line="240" w:lineRule="auto"/>
        <w:ind w:left="0" w:firstLine="284"/>
        <w:jc w:val="both"/>
        <w:rPr>
          <w:rFonts w:ascii="Garamond" w:hAnsi="Garamond" w:cs="Garamond"/>
          <w:sz w:val="24"/>
          <w:szCs w:val="24"/>
        </w:rPr>
      </w:pPr>
      <w:r w:rsidRPr="00B31292">
        <w:rPr>
          <w:rFonts w:ascii="Garamond" w:hAnsi="Garamond" w:cs="Symbol"/>
          <w:sz w:val="24"/>
          <w:szCs w:val="24"/>
        </w:rPr>
        <w:t>-</w:t>
      </w:r>
      <w:r w:rsidR="007843CA" w:rsidRPr="00B31292">
        <w:rPr>
          <w:rFonts w:ascii="Garamond" w:hAnsi="Garamond" w:cs="Symbol"/>
          <w:sz w:val="24"/>
          <w:szCs w:val="24"/>
        </w:rPr>
        <w:t xml:space="preserve"> </w:t>
      </w:r>
      <w:r w:rsidR="00EE716C" w:rsidRPr="00B31292">
        <w:rPr>
          <w:rFonts w:ascii="Garamond" w:hAnsi="Garamond" w:cs="Garamond"/>
          <w:sz w:val="24"/>
          <w:szCs w:val="24"/>
        </w:rPr>
        <w:t xml:space="preserve">Orientimin ndaj punonjësit </w:t>
      </w:r>
      <w:r w:rsidR="007843CA" w:rsidRPr="00B31292">
        <w:rPr>
          <w:rFonts w:ascii="Garamond" w:hAnsi="Garamond" w:cs="Garamond"/>
          <w:sz w:val="24"/>
          <w:szCs w:val="24"/>
        </w:rPr>
        <w:t>–</w:t>
      </w:r>
      <w:r w:rsidR="00EE716C" w:rsidRPr="00B31292">
        <w:rPr>
          <w:rFonts w:ascii="Garamond" w:hAnsi="Garamond" w:cs="Garamond"/>
          <w:sz w:val="24"/>
          <w:szCs w:val="24"/>
        </w:rPr>
        <w:t xml:space="preserve"> INSTAT</w:t>
      </w:r>
      <w:r w:rsidR="007843CA" w:rsidRPr="00B31292">
        <w:rPr>
          <w:rFonts w:ascii="Garamond" w:hAnsi="Garamond" w:cs="Garamond"/>
          <w:sz w:val="24"/>
          <w:szCs w:val="24"/>
        </w:rPr>
        <w:t>-i</w:t>
      </w:r>
      <w:r w:rsidR="00EE716C" w:rsidRPr="00B31292">
        <w:rPr>
          <w:rFonts w:ascii="Garamond" w:hAnsi="Garamond" w:cs="Garamond"/>
          <w:sz w:val="24"/>
          <w:szCs w:val="24"/>
        </w:rPr>
        <w:t xml:space="preserve"> kujdeset për kualifikimin dhe trajnimin e vazhdueshëm të punonjësve</w:t>
      </w:r>
      <w:r w:rsidR="002044F7" w:rsidRPr="00B31292">
        <w:rPr>
          <w:rFonts w:ascii="Garamond" w:hAnsi="Garamond" w:cs="Garamond"/>
          <w:sz w:val="24"/>
          <w:szCs w:val="24"/>
        </w:rPr>
        <w:t>,</w:t>
      </w:r>
      <w:r w:rsidR="00EE716C" w:rsidRPr="00B31292">
        <w:rPr>
          <w:rFonts w:ascii="Garamond" w:hAnsi="Garamond" w:cs="Garamond"/>
          <w:sz w:val="24"/>
          <w:szCs w:val="24"/>
        </w:rPr>
        <w:t xml:space="preserve"> me qëllim rritjen e kapaciteteve dhe kompetencave të tyre, duke </w:t>
      </w:r>
      <w:r w:rsidR="00EE716C" w:rsidRPr="00B31292">
        <w:rPr>
          <w:rFonts w:ascii="Garamond" w:hAnsi="Garamond" w:cs="Garamond"/>
          <w:sz w:val="24"/>
          <w:szCs w:val="24"/>
        </w:rPr>
        <w:lastRenderedPageBreak/>
        <w:t>ndikuar kështu në rritjen e motivimit dhe kënaqësisë së punonjësve të cilët kontribuojnë efektivisht në proceset e punës nëpërmjet Vrojtimit të Kënaqësisë së Punonjësve.</w:t>
      </w:r>
    </w:p>
    <w:p w14:paraId="2BE37BF1" w14:textId="50AE6C4A" w:rsidR="00EE716C" w:rsidRPr="00B31292" w:rsidRDefault="00EE716C" w:rsidP="003A4DBA">
      <w:pPr>
        <w:spacing w:after="0" w:line="240" w:lineRule="auto"/>
        <w:ind w:firstLine="284"/>
        <w:jc w:val="both"/>
        <w:rPr>
          <w:rFonts w:ascii="Garamond" w:hAnsi="Garamond" w:cs="Garamond"/>
          <w:sz w:val="24"/>
          <w:szCs w:val="24"/>
        </w:rPr>
      </w:pPr>
      <w:r w:rsidRPr="00B31292">
        <w:rPr>
          <w:rFonts w:ascii="Garamond" w:hAnsi="Garamond" w:cs="Garamond"/>
          <w:b/>
          <w:bCs/>
          <w:sz w:val="24"/>
          <w:szCs w:val="24"/>
        </w:rPr>
        <w:t>Gjatë vitit 2025,</w:t>
      </w:r>
      <w:r w:rsidRPr="00B31292">
        <w:rPr>
          <w:rFonts w:ascii="Garamond" w:hAnsi="Garamond" w:cs="Garamond"/>
          <w:sz w:val="24"/>
          <w:szCs w:val="24"/>
        </w:rPr>
        <w:t xml:space="preserve"> INSTAT</w:t>
      </w:r>
      <w:r w:rsidR="007843CA" w:rsidRPr="00B31292">
        <w:rPr>
          <w:rFonts w:ascii="Garamond" w:hAnsi="Garamond" w:cs="Garamond"/>
          <w:sz w:val="24"/>
          <w:szCs w:val="24"/>
        </w:rPr>
        <w:t>-i</w:t>
      </w:r>
      <w:r w:rsidRPr="00B31292">
        <w:rPr>
          <w:rFonts w:ascii="Garamond" w:hAnsi="Garamond" w:cs="Garamond"/>
          <w:sz w:val="24"/>
          <w:szCs w:val="24"/>
        </w:rPr>
        <w:t xml:space="preserve"> do të punojë në kuadër të menaxhimit të cilësisë, si vijon:</w:t>
      </w:r>
    </w:p>
    <w:p w14:paraId="511689FE" w14:textId="44CA4BE8" w:rsidR="00EE716C" w:rsidRPr="00B31292" w:rsidRDefault="009508C8" w:rsidP="003A4DBA">
      <w:pPr>
        <w:pStyle w:val="ListParagraph"/>
        <w:tabs>
          <w:tab w:val="left" w:pos="980"/>
        </w:tabs>
        <w:spacing w:after="0" w:line="240" w:lineRule="auto"/>
        <w:ind w:left="0" w:firstLine="284"/>
        <w:jc w:val="both"/>
        <w:rPr>
          <w:rFonts w:ascii="Garamond" w:hAnsi="Garamond" w:cs="Garamond"/>
          <w:sz w:val="24"/>
          <w:szCs w:val="24"/>
        </w:rPr>
      </w:pPr>
      <w:r w:rsidRPr="00B31292">
        <w:rPr>
          <w:rFonts w:ascii="Garamond" w:hAnsi="Garamond" w:cs="Symbol"/>
          <w:sz w:val="24"/>
          <w:szCs w:val="24"/>
        </w:rPr>
        <w:t>-</w:t>
      </w:r>
      <w:r w:rsidR="007843CA" w:rsidRPr="00B31292">
        <w:rPr>
          <w:rFonts w:ascii="Garamond" w:hAnsi="Garamond" w:cs="Symbol"/>
          <w:sz w:val="24"/>
          <w:szCs w:val="24"/>
        </w:rPr>
        <w:t xml:space="preserve"> </w:t>
      </w:r>
      <w:r w:rsidR="00EE716C" w:rsidRPr="00B31292">
        <w:rPr>
          <w:rFonts w:ascii="Garamond" w:hAnsi="Garamond" w:cs="Garamond"/>
          <w:sz w:val="24"/>
          <w:szCs w:val="24"/>
        </w:rPr>
        <w:t xml:space="preserve">Në përputhje me parimin nr. 1 </w:t>
      </w:r>
      <w:r w:rsidR="00BA12C3" w:rsidRPr="00B31292">
        <w:rPr>
          <w:rFonts w:ascii="Garamond" w:hAnsi="Garamond" w:cs="Garamond"/>
          <w:sz w:val="24"/>
          <w:szCs w:val="24"/>
        </w:rPr>
        <w:t>“</w:t>
      </w:r>
      <w:r w:rsidR="00EE716C" w:rsidRPr="00B31292">
        <w:rPr>
          <w:rFonts w:ascii="Garamond" w:hAnsi="Garamond" w:cs="Garamond"/>
          <w:sz w:val="24"/>
          <w:szCs w:val="24"/>
        </w:rPr>
        <w:t>Koordinimi dhe bashkëpunimi</w:t>
      </w:r>
      <w:r w:rsidR="00BA12C3" w:rsidRPr="00B31292">
        <w:rPr>
          <w:rFonts w:ascii="Garamond" w:hAnsi="Garamond" w:cs="Garamond"/>
          <w:sz w:val="24"/>
          <w:szCs w:val="24"/>
        </w:rPr>
        <w:t>”</w:t>
      </w:r>
      <w:r w:rsidR="00EE716C" w:rsidRPr="00B31292">
        <w:rPr>
          <w:rFonts w:ascii="Garamond" w:hAnsi="Garamond" w:cs="Garamond"/>
          <w:sz w:val="24"/>
          <w:szCs w:val="24"/>
        </w:rPr>
        <w:t>, të Kodit të Praktikës së Statistikave Evropiane, INSTAT</w:t>
      </w:r>
      <w:r w:rsidR="007843CA" w:rsidRPr="00B31292">
        <w:rPr>
          <w:rFonts w:ascii="Garamond" w:hAnsi="Garamond" w:cs="Garamond"/>
          <w:sz w:val="24"/>
          <w:szCs w:val="24"/>
        </w:rPr>
        <w:t>-i</w:t>
      </w:r>
      <w:r w:rsidR="00EE716C" w:rsidRPr="00B31292">
        <w:rPr>
          <w:rFonts w:ascii="Garamond" w:hAnsi="Garamond" w:cs="Garamond"/>
          <w:sz w:val="24"/>
          <w:szCs w:val="24"/>
        </w:rPr>
        <w:t xml:space="preserve"> dhe Eurostat</w:t>
      </w:r>
      <w:r w:rsidR="00F33D56" w:rsidRPr="00B31292">
        <w:rPr>
          <w:rFonts w:ascii="Garamond" w:hAnsi="Garamond" w:cs="Garamond"/>
          <w:sz w:val="24"/>
          <w:szCs w:val="24"/>
        </w:rPr>
        <w:t>i</w:t>
      </w:r>
      <w:r w:rsidR="00EE716C" w:rsidRPr="00B31292">
        <w:rPr>
          <w:rFonts w:ascii="Garamond" w:hAnsi="Garamond" w:cs="Garamond"/>
          <w:sz w:val="24"/>
          <w:szCs w:val="24"/>
        </w:rPr>
        <w:t xml:space="preserve"> sigurojnë koordinimin e të gjitha aktiviteteve për zhvillimin, prodhimin dhe shpërndarjen e </w:t>
      </w:r>
      <w:r w:rsidR="002044F7" w:rsidRPr="00B31292">
        <w:rPr>
          <w:rFonts w:ascii="Garamond" w:hAnsi="Garamond" w:cs="Garamond"/>
          <w:sz w:val="24"/>
          <w:szCs w:val="24"/>
        </w:rPr>
        <w:t xml:space="preserve">statistikave evropiane </w:t>
      </w:r>
      <w:r w:rsidR="00EE716C" w:rsidRPr="00B31292">
        <w:rPr>
          <w:rFonts w:ascii="Garamond" w:hAnsi="Garamond" w:cs="Garamond"/>
          <w:sz w:val="24"/>
          <w:szCs w:val="24"/>
        </w:rPr>
        <w:t>në nivel të Sistemit Kombëtar Statistikor dhe Sistemit Statistikor Evropian. Autoritetet statistikore bashkëpunojnë në mënyrë aktive</w:t>
      </w:r>
      <w:r w:rsidR="002044F7" w:rsidRPr="00B31292">
        <w:rPr>
          <w:rFonts w:ascii="Garamond" w:hAnsi="Garamond" w:cs="Garamond"/>
          <w:sz w:val="24"/>
          <w:szCs w:val="24"/>
        </w:rPr>
        <w:t>,</w:t>
      </w:r>
      <w:r w:rsidR="00EE716C" w:rsidRPr="00B31292">
        <w:rPr>
          <w:rFonts w:ascii="Garamond" w:hAnsi="Garamond" w:cs="Garamond"/>
          <w:sz w:val="24"/>
          <w:szCs w:val="24"/>
        </w:rPr>
        <w:t xml:space="preserve"> në kuadër të partneritetit të Sistemit Statistikor Evropian, në mënyrë që të sigurojnë zhvillimin, prodhimin dhe shpërndarjen e statistikave evropiane</w:t>
      </w:r>
      <w:r w:rsidR="002044F7" w:rsidRPr="00B31292">
        <w:rPr>
          <w:rFonts w:ascii="Garamond" w:hAnsi="Garamond" w:cs="Garamond"/>
          <w:sz w:val="24"/>
          <w:szCs w:val="24"/>
        </w:rPr>
        <w:t>;</w:t>
      </w:r>
    </w:p>
    <w:p w14:paraId="68B8AD03" w14:textId="2AB36B89" w:rsidR="00EE716C" w:rsidRPr="00B31292" w:rsidRDefault="009508C8" w:rsidP="003A4DBA">
      <w:pPr>
        <w:pStyle w:val="ListParagraph"/>
        <w:tabs>
          <w:tab w:val="left" w:pos="980"/>
        </w:tabs>
        <w:spacing w:after="0" w:line="240" w:lineRule="auto"/>
        <w:ind w:left="0" w:firstLine="284"/>
        <w:jc w:val="both"/>
        <w:rPr>
          <w:rFonts w:ascii="Garamond" w:hAnsi="Garamond" w:cs="Garamond"/>
          <w:sz w:val="24"/>
          <w:szCs w:val="24"/>
        </w:rPr>
      </w:pPr>
      <w:r w:rsidRPr="00B31292">
        <w:rPr>
          <w:rFonts w:ascii="Garamond" w:hAnsi="Garamond" w:cs="Symbol"/>
          <w:sz w:val="24"/>
          <w:szCs w:val="24"/>
        </w:rPr>
        <w:t>-</w:t>
      </w:r>
      <w:r w:rsidR="007843CA" w:rsidRPr="00B31292">
        <w:rPr>
          <w:rFonts w:ascii="Garamond" w:hAnsi="Garamond" w:cs="Symbol"/>
          <w:sz w:val="24"/>
          <w:szCs w:val="24"/>
        </w:rPr>
        <w:t xml:space="preserve"> </w:t>
      </w:r>
      <w:r w:rsidR="00EE716C" w:rsidRPr="00B31292">
        <w:rPr>
          <w:rFonts w:ascii="Garamond" w:hAnsi="Garamond" w:cs="Garamond"/>
          <w:sz w:val="24"/>
          <w:szCs w:val="24"/>
        </w:rPr>
        <w:t xml:space="preserve">Në përputhje me parimin nr. 4 </w:t>
      </w:r>
      <w:r w:rsidR="00BA12C3" w:rsidRPr="00B31292">
        <w:rPr>
          <w:rFonts w:ascii="Garamond" w:hAnsi="Garamond" w:cs="Garamond"/>
          <w:sz w:val="24"/>
          <w:szCs w:val="24"/>
        </w:rPr>
        <w:t>“</w:t>
      </w:r>
      <w:r w:rsidR="00EE716C" w:rsidRPr="00B31292">
        <w:rPr>
          <w:rFonts w:ascii="Garamond" w:hAnsi="Garamond" w:cs="Garamond"/>
          <w:sz w:val="24"/>
          <w:szCs w:val="24"/>
        </w:rPr>
        <w:t xml:space="preserve">Cilësia </w:t>
      </w:r>
      <w:r w:rsidR="002044F7" w:rsidRPr="00B31292">
        <w:rPr>
          <w:rFonts w:ascii="Garamond" w:hAnsi="Garamond" w:cs="Garamond"/>
          <w:sz w:val="24"/>
          <w:szCs w:val="24"/>
        </w:rPr>
        <w:t>s</w:t>
      </w:r>
      <w:r w:rsidR="00EE716C" w:rsidRPr="00B31292">
        <w:rPr>
          <w:rFonts w:ascii="Garamond" w:hAnsi="Garamond" w:cs="Garamond"/>
          <w:sz w:val="24"/>
          <w:szCs w:val="24"/>
        </w:rPr>
        <w:t>tatistikore</w:t>
      </w:r>
      <w:r w:rsidR="00BA12C3" w:rsidRPr="00B31292">
        <w:rPr>
          <w:rFonts w:ascii="Garamond" w:hAnsi="Garamond" w:cs="Garamond"/>
          <w:sz w:val="24"/>
          <w:szCs w:val="24"/>
        </w:rPr>
        <w:t>”</w:t>
      </w:r>
      <w:r w:rsidR="00EE716C" w:rsidRPr="00B31292">
        <w:rPr>
          <w:rFonts w:ascii="Garamond" w:hAnsi="Garamond" w:cs="Garamond"/>
          <w:sz w:val="24"/>
          <w:szCs w:val="24"/>
        </w:rPr>
        <w:t>, të Kodit të Praktikës së Statistikave Evropiane, INSTAT</w:t>
      </w:r>
      <w:r w:rsidR="007843CA" w:rsidRPr="00B31292">
        <w:rPr>
          <w:rFonts w:ascii="Garamond" w:hAnsi="Garamond" w:cs="Garamond"/>
          <w:sz w:val="24"/>
          <w:szCs w:val="24"/>
        </w:rPr>
        <w:t>-i</w:t>
      </w:r>
      <w:r w:rsidR="00EE716C" w:rsidRPr="00B31292">
        <w:rPr>
          <w:rFonts w:ascii="Garamond" w:hAnsi="Garamond" w:cs="Garamond"/>
          <w:sz w:val="24"/>
          <w:szCs w:val="24"/>
        </w:rPr>
        <w:t xml:space="preserve"> do të punojë në kuadër të përmirësimit të cilësisë statistikore. Puna do të fokusohet në: hartimin/përditësimin dhe publikimin e raporteve të cilësisë dhe metadatave referenciale për përdoruesit, dokumentimin e proceseve statistikore, rritjen e kapaciteteve profesionale dhe ndërgjegjësimit të punonjësve të SKS</w:t>
      </w:r>
      <w:r w:rsidR="002044F7" w:rsidRPr="00B31292">
        <w:rPr>
          <w:rFonts w:ascii="Garamond" w:hAnsi="Garamond" w:cs="Garamond"/>
          <w:sz w:val="24"/>
          <w:szCs w:val="24"/>
        </w:rPr>
        <w:t>-së</w:t>
      </w:r>
      <w:r w:rsidR="00EE716C" w:rsidRPr="00B31292">
        <w:rPr>
          <w:rFonts w:ascii="Garamond" w:hAnsi="Garamond" w:cs="Garamond"/>
          <w:sz w:val="24"/>
          <w:szCs w:val="24"/>
        </w:rPr>
        <w:t>, auditin statistikor dhe vetëvlerësimin, orientimin ndaj përdoruesve dhe punonjësve</w:t>
      </w:r>
      <w:r w:rsidR="002044F7" w:rsidRPr="00B31292">
        <w:rPr>
          <w:rFonts w:ascii="Garamond" w:hAnsi="Garamond" w:cs="Garamond"/>
          <w:sz w:val="24"/>
          <w:szCs w:val="24"/>
        </w:rPr>
        <w:t>;</w:t>
      </w:r>
    </w:p>
    <w:p w14:paraId="0FD240D5" w14:textId="2A5D9770" w:rsidR="00EE716C" w:rsidRPr="00B31292" w:rsidRDefault="009508C8" w:rsidP="003A4DBA">
      <w:pPr>
        <w:pStyle w:val="ListParagraph"/>
        <w:tabs>
          <w:tab w:val="left" w:pos="980"/>
        </w:tabs>
        <w:spacing w:after="0" w:line="240" w:lineRule="auto"/>
        <w:ind w:left="0" w:firstLine="284"/>
        <w:jc w:val="both"/>
        <w:rPr>
          <w:rFonts w:ascii="Garamond" w:hAnsi="Garamond" w:cs="Garamond"/>
          <w:sz w:val="24"/>
          <w:szCs w:val="24"/>
        </w:rPr>
      </w:pPr>
      <w:r w:rsidRPr="00B31292">
        <w:rPr>
          <w:rFonts w:ascii="Garamond" w:hAnsi="Garamond" w:cs="Symbol"/>
          <w:sz w:val="24"/>
          <w:szCs w:val="24"/>
        </w:rPr>
        <w:t>-</w:t>
      </w:r>
      <w:r w:rsidR="007843CA" w:rsidRPr="00B31292">
        <w:rPr>
          <w:rFonts w:ascii="Garamond" w:hAnsi="Garamond" w:cs="Symbol"/>
          <w:sz w:val="24"/>
          <w:szCs w:val="24"/>
        </w:rPr>
        <w:t xml:space="preserve"> </w:t>
      </w:r>
      <w:r w:rsidR="00EE716C" w:rsidRPr="00B31292">
        <w:rPr>
          <w:rFonts w:ascii="Garamond" w:hAnsi="Garamond" w:cs="Garamond"/>
          <w:sz w:val="24"/>
          <w:szCs w:val="24"/>
        </w:rPr>
        <w:t xml:space="preserve">Në përputhje me parimin nr. 9 </w:t>
      </w:r>
      <w:r w:rsidR="00BA12C3" w:rsidRPr="00B31292">
        <w:rPr>
          <w:rFonts w:ascii="Garamond" w:hAnsi="Garamond" w:cs="Garamond"/>
          <w:sz w:val="24"/>
          <w:szCs w:val="24"/>
        </w:rPr>
        <w:t>“</w:t>
      </w:r>
      <w:r w:rsidR="00EE716C" w:rsidRPr="00B31292">
        <w:rPr>
          <w:rFonts w:ascii="Garamond" w:hAnsi="Garamond" w:cs="Garamond"/>
          <w:sz w:val="24"/>
          <w:szCs w:val="24"/>
        </w:rPr>
        <w:t>Ngarkesa ndaj të intervistuarve</w:t>
      </w:r>
      <w:r w:rsidR="00BA12C3" w:rsidRPr="00B31292">
        <w:rPr>
          <w:rFonts w:ascii="Garamond" w:hAnsi="Garamond" w:cs="Garamond"/>
          <w:sz w:val="24"/>
          <w:szCs w:val="24"/>
        </w:rPr>
        <w:t>”</w:t>
      </w:r>
      <w:r w:rsidR="00EE716C" w:rsidRPr="00B31292">
        <w:rPr>
          <w:rFonts w:ascii="Garamond" w:hAnsi="Garamond" w:cs="Garamond"/>
          <w:sz w:val="24"/>
          <w:szCs w:val="24"/>
        </w:rPr>
        <w:t xml:space="preserve"> të Kodit të Praktikës së Statistikave Evropiane, INSTAT</w:t>
      </w:r>
      <w:r w:rsidR="007843CA" w:rsidRPr="00B31292">
        <w:rPr>
          <w:rFonts w:ascii="Garamond" w:hAnsi="Garamond" w:cs="Garamond"/>
          <w:sz w:val="24"/>
          <w:szCs w:val="24"/>
        </w:rPr>
        <w:t>-i</w:t>
      </w:r>
      <w:r w:rsidR="00EE716C" w:rsidRPr="00B31292">
        <w:rPr>
          <w:rFonts w:ascii="Garamond" w:hAnsi="Garamond" w:cs="Garamond"/>
          <w:sz w:val="24"/>
          <w:szCs w:val="24"/>
        </w:rPr>
        <w:t xml:space="preserve"> monitoron përmes dy treguesve bazë: numri i pyetësorëve që ndërmarrjet/familjet duhet të përgjigjen si dhe kohëzgjatja e intervistës</w:t>
      </w:r>
      <w:r w:rsidR="002044F7" w:rsidRPr="00B31292">
        <w:rPr>
          <w:rFonts w:ascii="Garamond" w:hAnsi="Garamond" w:cs="Garamond"/>
          <w:sz w:val="24"/>
          <w:szCs w:val="24"/>
        </w:rPr>
        <w:t>;</w:t>
      </w:r>
    </w:p>
    <w:p w14:paraId="100DDEB5" w14:textId="08C0C8AB" w:rsidR="00EE716C" w:rsidRPr="00B31292" w:rsidRDefault="009508C8" w:rsidP="003A4DBA">
      <w:pPr>
        <w:pStyle w:val="ListParagraph"/>
        <w:tabs>
          <w:tab w:val="left" w:pos="980"/>
        </w:tabs>
        <w:spacing w:after="0" w:line="240" w:lineRule="auto"/>
        <w:ind w:left="0" w:firstLine="284"/>
        <w:jc w:val="both"/>
        <w:rPr>
          <w:rFonts w:ascii="Garamond" w:hAnsi="Garamond" w:cs="Garamond"/>
          <w:sz w:val="24"/>
          <w:szCs w:val="24"/>
        </w:rPr>
      </w:pPr>
      <w:r w:rsidRPr="00B31292">
        <w:rPr>
          <w:rFonts w:ascii="Garamond" w:hAnsi="Garamond" w:cs="Symbol"/>
          <w:sz w:val="24"/>
          <w:szCs w:val="24"/>
        </w:rPr>
        <w:t>-</w:t>
      </w:r>
      <w:r w:rsidR="002044F7" w:rsidRPr="00B31292">
        <w:rPr>
          <w:rFonts w:ascii="Garamond" w:hAnsi="Garamond" w:cs="Symbol"/>
          <w:sz w:val="24"/>
          <w:szCs w:val="24"/>
        </w:rPr>
        <w:t xml:space="preserve"> </w:t>
      </w:r>
      <w:r w:rsidR="00EE716C" w:rsidRPr="00B31292">
        <w:rPr>
          <w:rFonts w:ascii="Garamond" w:hAnsi="Garamond" w:cs="Garamond"/>
          <w:sz w:val="24"/>
          <w:szCs w:val="24"/>
        </w:rPr>
        <w:t xml:space="preserve">Në përputhje me parimin nr. 10 </w:t>
      </w:r>
      <w:r w:rsidR="00BA12C3" w:rsidRPr="00B31292">
        <w:rPr>
          <w:rFonts w:ascii="Garamond" w:hAnsi="Garamond" w:cs="Garamond"/>
          <w:sz w:val="24"/>
          <w:szCs w:val="24"/>
        </w:rPr>
        <w:t>“</w:t>
      </w:r>
      <w:r w:rsidR="00EE716C" w:rsidRPr="00B31292">
        <w:rPr>
          <w:rFonts w:ascii="Garamond" w:hAnsi="Garamond" w:cs="Garamond"/>
          <w:sz w:val="24"/>
          <w:szCs w:val="24"/>
        </w:rPr>
        <w:t xml:space="preserve">Kosto dhe </w:t>
      </w:r>
      <w:r w:rsidR="002044F7" w:rsidRPr="00B31292">
        <w:rPr>
          <w:rFonts w:ascii="Garamond" w:hAnsi="Garamond" w:cs="Garamond"/>
          <w:sz w:val="24"/>
          <w:szCs w:val="24"/>
        </w:rPr>
        <w:t>e</w:t>
      </w:r>
      <w:r w:rsidR="00EE716C" w:rsidRPr="00B31292">
        <w:rPr>
          <w:rFonts w:ascii="Garamond" w:hAnsi="Garamond" w:cs="Garamond"/>
          <w:sz w:val="24"/>
          <w:szCs w:val="24"/>
        </w:rPr>
        <w:t>fektiviteti</w:t>
      </w:r>
      <w:r w:rsidR="00BA12C3" w:rsidRPr="00B31292">
        <w:rPr>
          <w:rFonts w:ascii="Garamond" w:hAnsi="Garamond" w:cs="Garamond"/>
          <w:sz w:val="24"/>
          <w:szCs w:val="24"/>
        </w:rPr>
        <w:t>”</w:t>
      </w:r>
      <w:r w:rsidR="00EE716C" w:rsidRPr="00B31292">
        <w:rPr>
          <w:rFonts w:ascii="Garamond" w:hAnsi="Garamond" w:cs="Garamond"/>
          <w:sz w:val="24"/>
          <w:szCs w:val="24"/>
        </w:rPr>
        <w:t xml:space="preserve">, të Kodit të Praktikave Evropiane dhe në përmbushje të rekomandimit nr. 19 të </w:t>
      </w:r>
      <w:r w:rsidR="00EE716C" w:rsidRPr="00B31292">
        <w:rPr>
          <w:rFonts w:ascii="Garamond" w:hAnsi="Garamond" w:cs="Garamond"/>
          <w:i/>
          <w:iCs/>
          <w:sz w:val="24"/>
          <w:szCs w:val="24"/>
        </w:rPr>
        <w:t>Peer Review</w:t>
      </w:r>
      <w:r w:rsidR="00EE716C" w:rsidRPr="00B31292">
        <w:rPr>
          <w:rFonts w:ascii="Garamond" w:hAnsi="Garamond" w:cs="Garamond"/>
          <w:sz w:val="24"/>
          <w:szCs w:val="24"/>
        </w:rPr>
        <w:t>, për krijimin e një sistemi gjithëpërfshirës që mundëson vlerësimin e kostove të proceseve dhe produkteve të aktiviteteve statistikore dhe për përdorimin e informacionit që rezulton për qëllime menaxhimi, duke përfshirë edhe krahasimin e efikasitetit dhe kosto-efektivitetit, INSTAT</w:t>
      </w:r>
      <w:r w:rsidR="007843CA" w:rsidRPr="00B31292">
        <w:rPr>
          <w:rFonts w:ascii="Garamond" w:hAnsi="Garamond" w:cs="Garamond"/>
          <w:sz w:val="24"/>
          <w:szCs w:val="24"/>
        </w:rPr>
        <w:t>-i</w:t>
      </w:r>
      <w:r w:rsidR="00EE716C" w:rsidRPr="00B31292">
        <w:rPr>
          <w:rFonts w:ascii="Garamond" w:hAnsi="Garamond" w:cs="Garamond"/>
          <w:sz w:val="24"/>
          <w:szCs w:val="24"/>
        </w:rPr>
        <w:t xml:space="preserve"> ka ndërtuar një sistem gjithëpërfshirës që mundëson vlerësimin e kostove të proceseve dhe produkteve të aktiviteteve statistikore</w:t>
      </w:r>
      <w:r w:rsidR="002044F7" w:rsidRPr="00B31292">
        <w:rPr>
          <w:rFonts w:ascii="Garamond" w:hAnsi="Garamond" w:cs="Garamond"/>
          <w:sz w:val="24"/>
          <w:szCs w:val="24"/>
        </w:rPr>
        <w:t>;</w:t>
      </w:r>
    </w:p>
    <w:p w14:paraId="5E18620A" w14:textId="12EB53D1" w:rsidR="00EE716C" w:rsidRPr="00B31292" w:rsidRDefault="009508C8" w:rsidP="003A4DBA">
      <w:pPr>
        <w:pStyle w:val="ListParagraph"/>
        <w:tabs>
          <w:tab w:val="left" w:pos="980"/>
        </w:tabs>
        <w:spacing w:after="0" w:line="240" w:lineRule="auto"/>
        <w:ind w:left="0" w:firstLine="284"/>
        <w:jc w:val="both"/>
        <w:rPr>
          <w:rFonts w:ascii="Garamond" w:hAnsi="Garamond" w:cs="Garamond"/>
          <w:sz w:val="24"/>
          <w:szCs w:val="24"/>
        </w:rPr>
      </w:pPr>
      <w:r w:rsidRPr="00B31292">
        <w:rPr>
          <w:rFonts w:ascii="Garamond" w:hAnsi="Garamond" w:cs="Symbol"/>
          <w:sz w:val="24"/>
          <w:szCs w:val="24"/>
        </w:rPr>
        <w:t>-</w:t>
      </w:r>
      <w:r w:rsidR="002044F7" w:rsidRPr="00B31292">
        <w:rPr>
          <w:rFonts w:ascii="Garamond" w:hAnsi="Garamond" w:cs="Symbol"/>
          <w:sz w:val="24"/>
          <w:szCs w:val="24"/>
        </w:rPr>
        <w:t xml:space="preserve"> </w:t>
      </w:r>
      <w:r w:rsidR="00EE716C" w:rsidRPr="00B31292">
        <w:rPr>
          <w:rFonts w:ascii="Garamond" w:hAnsi="Garamond" w:cs="Garamond"/>
          <w:sz w:val="24"/>
          <w:szCs w:val="24"/>
        </w:rPr>
        <w:t>Implementimi i Modelit të Përgjithshëm të Aktivitetit për Organizatat Statistikore (GAMSO), i cili plotëson Modelin e Përgjithshëm të Procesit Statistikor të Biznesit (GSBPM) me aktivitete shtesë të nevojshme për të mbështetur prodhimin statistikor. INSTAT</w:t>
      </w:r>
      <w:r w:rsidR="007843CA" w:rsidRPr="00B31292">
        <w:rPr>
          <w:rFonts w:ascii="Garamond" w:hAnsi="Garamond" w:cs="Garamond"/>
          <w:sz w:val="24"/>
          <w:szCs w:val="24"/>
        </w:rPr>
        <w:t>-i</w:t>
      </w:r>
      <w:r w:rsidR="00EE716C" w:rsidRPr="00B31292">
        <w:rPr>
          <w:rFonts w:ascii="Garamond" w:hAnsi="Garamond" w:cs="Garamond"/>
          <w:sz w:val="24"/>
          <w:szCs w:val="24"/>
        </w:rPr>
        <w:t xml:space="preserve"> do të zëvendësojë kornizën aktuale të vlerësimit të performancës (PAF) me GAMSO në mbështetje të planifikimit të burimeve, zhvillimit dhe zbatimit të arkitekturave të biznesit, duke përfshirë përbërës</w:t>
      </w:r>
      <w:r w:rsidR="002044F7" w:rsidRPr="00B31292">
        <w:rPr>
          <w:rFonts w:ascii="Garamond" w:hAnsi="Garamond" w:cs="Garamond"/>
          <w:sz w:val="24"/>
          <w:szCs w:val="24"/>
        </w:rPr>
        <w:t>,</w:t>
      </w:r>
      <w:r w:rsidR="00EE716C" w:rsidRPr="00B31292">
        <w:rPr>
          <w:rFonts w:ascii="Garamond" w:hAnsi="Garamond" w:cs="Garamond"/>
          <w:sz w:val="24"/>
          <w:szCs w:val="24"/>
        </w:rPr>
        <w:t xml:space="preserve"> të tillë si arkitekturat e aftësive dhe sistemet e menaxhimit të riskut.</w:t>
      </w:r>
    </w:p>
    <w:p w14:paraId="7902AF28" w14:textId="5BC9ADF0" w:rsidR="00844611" w:rsidRPr="00B31292" w:rsidRDefault="00844611" w:rsidP="003A4DBA">
      <w:pPr>
        <w:shd w:val="clear" w:color="auto" w:fill="FFFFFF" w:themeFill="background1"/>
        <w:autoSpaceDE w:val="0"/>
        <w:autoSpaceDN w:val="0"/>
        <w:adjustRightInd w:val="0"/>
        <w:spacing w:after="0" w:line="240" w:lineRule="auto"/>
        <w:ind w:firstLine="284"/>
        <w:jc w:val="both"/>
        <w:rPr>
          <w:rFonts w:ascii="Garamond" w:hAnsi="Garamond" w:cs="Times New Roman"/>
          <w:sz w:val="24"/>
          <w:szCs w:val="24"/>
          <w:lang w:eastAsia="en-GB"/>
        </w:rPr>
      </w:pPr>
      <w:r w:rsidRPr="00B31292">
        <w:rPr>
          <w:rFonts w:ascii="Garamond" w:hAnsi="Garamond" w:cs="Times New Roman"/>
          <w:sz w:val="24"/>
          <w:szCs w:val="24"/>
          <w:lang w:eastAsia="en-GB"/>
        </w:rPr>
        <w:t>Tabelat m</w:t>
      </w:r>
      <w:r w:rsidR="00B272F3" w:rsidRPr="00B31292">
        <w:rPr>
          <w:rFonts w:ascii="Garamond" w:hAnsi="Garamond" w:cs="Times New Roman"/>
          <w:sz w:val="24"/>
          <w:szCs w:val="24"/>
          <w:lang w:eastAsia="en-GB"/>
        </w:rPr>
        <w:t>ë</w:t>
      </w:r>
      <w:r w:rsidRPr="00B31292">
        <w:rPr>
          <w:rFonts w:ascii="Garamond" w:hAnsi="Garamond" w:cs="Times New Roman"/>
          <w:sz w:val="24"/>
          <w:szCs w:val="24"/>
          <w:lang w:eastAsia="en-GB"/>
        </w:rPr>
        <w:t xml:space="preserve"> poshtë paraqesin informacion të detajuar mbi planin e vlerave të treguesve</w:t>
      </w:r>
      <w:r w:rsidR="00F04477" w:rsidRPr="00B31292">
        <w:rPr>
          <w:rFonts w:ascii="Garamond" w:hAnsi="Garamond" w:cs="Times New Roman"/>
          <w:sz w:val="24"/>
          <w:szCs w:val="24"/>
          <w:lang w:eastAsia="en-GB"/>
        </w:rPr>
        <w:t xml:space="preserve"> </w:t>
      </w:r>
      <w:r w:rsidRPr="00B31292">
        <w:rPr>
          <w:rFonts w:ascii="Garamond" w:hAnsi="Garamond" w:cs="Times New Roman"/>
          <w:sz w:val="24"/>
          <w:szCs w:val="24"/>
          <w:lang w:eastAsia="en-GB"/>
        </w:rPr>
        <w:t>të performancës 2025 krahasuar me mesataren 2017</w:t>
      </w:r>
      <w:r w:rsidR="002044F7" w:rsidRPr="00B31292">
        <w:rPr>
          <w:rFonts w:ascii="Garamond" w:hAnsi="Garamond" w:cs="Times New Roman"/>
          <w:sz w:val="24"/>
          <w:szCs w:val="24"/>
          <w:lang w:eastAsia="en-GB"/>
        </w:rPr>
        <w:t>–</w:t>
      </w:r>
      <w:r w:rsidRPr="00B31292">
        <w:rPr>
          <w:rFonts w:ascii="Garamond" w:hAnsi="Garamond" w:cs="Times New Roman"/>
          <w:sz w:val="24"/>
          <w:szCs w:val="24"/>
          <w:lang w:eastAsia="en-GB"/>
        </w:rPr>
        <w:t>2021 për secilën fushë statistikore.</w:t>
      </w:r>
    </w:p>
    <w:p w14:paraId="7706885D" w14:textId="19B54348" w:rsidR="00844611" w:rsidRPr="00B31292" w:rsidRDefault="00B81953" w:rsidP="003A4DBA">
      <w:pPr>
        <w:shd w:val="clear" w:color="auto" w:fill="FFFFFF" w:themeFill="background1"/>
        <w:autoSpaceDE w:val="0"/>
        <w:autoSpaceDN w:val="0"/>
        <w:adjustRightInd w:val="0"/>
        <w:spacing w:after="0" w:line="240" w:lineRule="auto"/>
        <w:ind w:firstLine="284"/>
        <w:jc w:val="both"/>
        <w:rPr>
          <w:rFonts w:ascii="Garamond" w:hAnsi="Garamond"/>
          <w:bCs/>
          <w:i/>
          <w:sz w:val="24"/>
          <w:szCs w:val="24"/>
        </w:rPr>
      </w:pPr>
      <w:r>
        <w:rPr>
          <w:rFonts w:ascii="Garamond" w:hAnsi="Garamond"/>
          <w:bCs/>
          <w:i/>
          <w:sz w:val="24"/>
          <w:szCs w:val="24"/>
        </w:rPr>
        <w:t>Tabela nr. 20</w:t>
      </w:r>
      <w:r w:rsidR="007843CA" w:rsidRPr="00B31292">
        <w:rPr>
          <w:rFonts w:ascii="Garamond" w:hAnsi="Garamond"/>
          <w:bCs/>
          <w:i/>
          <w:sz w:val="24"/>
          <w:szCs w:val="24"/>
        </w:rPr>
        <w:t>:</w:t>
      </w:r>
      <w:r w:rsidR="00844611" w:rsidRPr="00B31292">
        <w:rPr>
          <w:rFonts w:ascii="Garamond" w:hAnsi="Garamond"/>
          <w:bCs/>
          <w:i/>
          <w:sz w:val="24"/>
          <w:szCs w:val="24"/>
        </w:rPr>
        <w:t xml:space="preserve"> Menaxhimi </w:t>
      </w:r>
      <w:r w:rsidR="007843CA" w:rsidRPr="00B31292">
        <w:rPr>
          <w:rFonts w:ascii="Garamond" w:hAnsi="Garamond"/>
          <w:bCs/>
          <w:i/>
          <w:sz w:val="24"/>
          <w:szCs w:val="24"/>
        </w:rPr>
        <w:t xml:space="preserve">i cilësisë për fushën </w:t>
      </w:r>
      <w:r w:rsidR="00BA12C3" w:rsidRPr="00B31292">
        <w:rPr>
          <w:rFonts w:ascii="Garamond" w:hAnsi="Garamond"/>
          <w:bCs/>
          <w:i/>
          <w:sz w:val="24"/>
          <w:szCs w:val="24"/>
        </w:rPr>
        <w:t>“</w:t>
      </w:r>
      <w:r w:rsidR="00844611" w:rsidRPr="00B31292">
        <w:rPr>
          <w:rFonts w:ascii="Garamond" w:hAnsi="Garamond"/>
          <w:bCs/>
          <w:i/>
          <w:sz w:val="24"/>
          <w:szCs w:val="24"/>
        </w:rPr>
        <w:t xml:space="preserve">Statistikat </w:t>
      </w:r>
      <w:r w:rsidR="002044F7" w:rsidRPr="00B31292">
        <w:rPr>
          <w:rFonts w:ascii="Garamond" w:hAnsi="Garamond"/>
          <w:bCs/>
          <w:i/>
          <w:sz w:val="24"/>
          <w:szCs w:val="24"/>
        </w:rPr>
        <w:t>sociale dhe demografike</w:t>
      </w:r>
      <w:r w:rsidR="00BA12C3" w:rsidRPr="00B31292">
        <w:rPr>
          <w:rFonts w:ascii="Garamond" w:hAnsi="Garamond"/>
          <w:bCs/>
          <w:i/>
          <w:sz w:val="24"/>
          <w:szCs w:val="24"/>
        </w:rPr>
        <w:t>”</w:t>
      </w:r>
    </w:p>
    <w:p w14:paraId="28A94B11" w14:textId="27B39DD4" w:rsidR="00E125B8" w:rsidRPr="00B31292" w:rsidRDefault="004F35E8" w:rsidP="003A4DBA">
      <w:pPr>
        <w:shd w:val="clear" w:color="auto" w:fill="FFFFFF" w:themeFill="background1"/>
        <w:autoSpaceDE w:val="0"/>
        <w:autoSpaceDN w:val="0"/>
        <w:adjustRightInd w:val="0"/>
        <w:spacing w:after="0" w:line="240" w:lineRule="auto"/>
        <w:jc w:val="both"/>
        <w:rPr>
          <w:rFonts w:ascii="Garamond" w:hAnsi="Garamond"/>
          <w:b/>
          <w:i/>
          <w:sz w:val="24"/>
          <w:szCs w:val="24"/>
        </w:rPr>
      </w:pPr>
      <w:r w:rsidRPr="00B31292">
        <w:rPr>
          <w:rFonts w:ascii="Garamond" w:hAnsi="Garamond"/>
          <w:b/>
          <w:i/>
          <w:noProof/>
          <w:sz w:val="24"/>
          <w:szCs w:val="24"/>
          <w:lang w:val="en-US"/>
        </w:rPr>
        <w:drawing>
          <wp:inline distT="0" distB="0" distL="0" distR="0" wp14:anchorId="4D8DCEC3" wp14:editId="687D7E56">
            <wp:extent cx="5731510" cy="924560"/>
            <wp:effectExtent l="0" t="0" r="2540" b="889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731510" cy="924560"/>
                    </a:xfrm>
                    <a:prstGeom prst="rect">
                      <a:avLst/>
                    </a:prstGeom>
                  </pic:spPr>
                </pic:pic>
              </a:graphicData>
            </a:graphic>
          </wp:inline>
        </w:drawing>
      </w:r>
    </w:p>
    <w:p w14:paraId="01B18E17" w14:textId="50152802" w:rsidR="00E125B8" w:rsidRPr="00B31292" w:rsidRDefault="00E125B8" w:rsidP="003A4DBA">
      <w:pPr>
        <w:shd w:val="clear" w:color="auto" w:fill="FFFFFF"/>
        <w:autoSpaceDE w:val="0"/>
        <w:autoSpaceDN w:val="0"/>
        <w:adjustRightInd w:val="0"/>
        <w:spacing w:after="0" w:line="240" w:lineRule="auto"/>
        <w:ind w:firstLine="284"/>
        <w:jc w:val="both"/>
        <w:rPr>
          <w:rFonts w:ascii="Garamond" w:hAnsi="Garamond" w:cs="Times New Roman"/>
          <w:bCs/>
          <w:i/>
          <w:sz w:val="24"/>
          <w:szCs w:val="24"/>
        </w:rPr>
      </w:pPr>
      <w:r w:rsidRPr="00B31292">
        <w:rPr>
          <w:rFonts w:ascii="Garamond" w:hAnsi="Garamond" w:cs="Times New Roman"/>
          <w:bCs/>
          <w:i/>
          <w:sz w:val="24"/>
          <w:szCs w:val="24"/>
        </w:rPr>
        <w:t xml:space="preserve">Tabela nr. </w:t>
      </w:r>
      <w:r w:rsidR="00B81953">
        <w:rPr>
          <w:rFonts w:ascii="Garamond" w:hAnsi="Garamond" w:cs="Times New Roman"/>
          <w:bCs/>
          <w:i/>
          <w:sz w:val="24"/>
          <w:szCs w:val="24"/>
        </w:rPr>
        <w:t>21</w:t>
      </w:r>
      <w:r w:rsidR="007843CA" w:rsidRPr="00B31292">
        <w:rPr>
          <w:rFonts w:ascii="Garamond" w:hAnsi="Garamond" w:cs="Times New Roman"/>
          <w:bCs/>
          <w:i/>
          <w:sz w:val="24"/>
          <w:szCs w:val="24"/>
        </w:rPr>
        <w:t>:</w:t>
      </w:r>
      <w:r w:rsidRPr="00B31292">
        <w:rPr>
          <w:rFonts w:ascii="Garamond" w:hAnsi="Garamond" w:cs="Times New Roman"/>
          <w:bCs/>
          <w:i/>
          <w:sz w:val="24"/>
          <w:szCs w:val="24"/>
        </w:rPr>
        <w:t xml:space="preserve"> Menaxhimi i </w:t>
      </w:r>
      <w:r w:rsidR="007843CA" w:rsidRPr="00B31292">
        <w:rPr>
          <w:rFonts w:ascii="Garamond" w:hAnsi="Garamond" w:cs="Times New Roman"/>
          <w:bCs/>
          <w:i/>
          <w:sz w:val="24"/>
          <w:szCs w:val="24"/>
        </w:rPr>
        <w:t xml:space="preserve">cilësisë për fushën </w:t>
      </w:r>
      <w:r w:rsidR="00BA12C3" w:rsidRPr="00B31292">
        <w:rPr>
          <w:rFonts w:ascii="Garamond" w:hAnsi="Garamond" w:cs="Times New Roman"/>
          <w:bCs/>
          <w:i/>
          <w:sz w:val="24"/>
          <w:szCs w:val="24"/>
        </w:rPr>
        <w:t>“</w:t>
      </w:r>
      <w:r w:rsidRPr="00B31292">
        <w:rPr>
          <w:rFonts w:ascii="Garamond" w:hAnsi="Garamond" w:cs="Times New Roman"/>
          <w:bCs/>
          <w:i/>
          <w:sz w:val="24"/>
          <w:szCs w:val="24"/>
        </w:rPr>
        <w:t xml:space="preserve">Statistikat </w:t>
      </w:r>
      <w:r w:rsidR="002044F7" w:rsidRPr="00B31292">
        <w:rPr>
          <w:rFonts w:ascii="Garamond" w:hAnsi="Garamond" w:cs="Times New Roman"/>
          <w:bCs/>
          <w:i/>
          <w:sz w:val="24"/>
          <w:szCs w:val="24"/>
        </w:rPr>
        <w:t>e</w:t>
      </w:r>
      <w:r w:rsidRPr="00B31292">
        <w:rPr>
          <w:rFonts w:ascii="Garamond" w:hAnsi="Garamond" w:cs="Times New Roman"/>
          <w:bCs/>
          <w:i/>
          <w:sz w:val="24"/>
          <w:szCs w:val="24"/>
        </w:rPr>
        <w:t>konomike</w:t>
      </w:r>
      <w:r w:rsidR="00BA12C3" w:rsidRPr="00B31292">
        <w:rPr>
          <w:rFonts w:ascii="Garamond" w:hAnsi="Garamond" w:cs="Times New Roman"/>
          <w:bCs/>
          <w:i/>
          <w:sz w:val="24"/>
          <w:szCs w:val="24"/>
        </w:rPr>
        <w:t>”</w:t>
      </w:r>
    </w:p>
    <w:p w14:paraId="7A75523C" w14:textId="020A05E9" w:rsidR="004F35E8" w:rsidRPr="00B31292" w:rsidRDefault="004F35E8" w:rsidP="003A4DBA">
      <w:pPr>
        <w:shd w:val="clear" w:color="auto" w:fill="FFFFFF"/>
        <w:autoSpaceDE w:val="0"/>
        <w:autoSpaceDN w:val="0"/>
        <w:adjustRightInd w:val="0"/>
        <w:spacing w:after="0" w:line="240" w:lineRule="auto"/>
        <w:jc w:val="both"/>
        <w:rPr>
          <w:rFonts w:ascii="Garamond" w:hAnsi="Garamond" w:cs="Times New Roman"/>
          <w:b/>
          <w:i/>
          <w:sz w:val="24"/>
          <w:szCs w:val="24"/>
        </w:rPr>
      </w:pPr>
      <w:r w:rsidRPr="00B31292">
        <w:rPr>
          <w:rFonts w:ascii="Garamond" w:hAnsi="Garamond" w:cs="Times New Roman"/>
          <w:b/>
          <w:i/>
          <w:noProof/>
          <w:sz w:val="24"/>
          <w:szCs w:val="24"/>
          <w:lang w:val="en-US"/>
        </w:rPr>
        <w:drawing>
          <wp:inline distT="0" distB="0" distL="0" distR="0" wp14:anchorId="55916D3F" wp14:editId="73E17436">
            <wp:extent cx="5731510" cy="911860"/>
            <wp:effectExtent l="0" t="0" r="2540" b="254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731510" cy="911860"/>
                    </a:xfrm>
                    <a:prstGeom prst="rect">
                      <a:avLst/>
                    </a:prstGeom>
                  </pic:spPr>
                </pic:pic>
              </a:graphicData>
            </a:graphic>
          </wp:inline>
        </w:drawing>
      </w:r>
    </w:p>
    <w:p w14:paraId="74D391D0" w14:textId="77777777" w:rsidR="009508C8" w:rsidRPr="00B31292" w:rsidRDefault="009508C8" w:rsidP="009508C8">
      <w:pPr>
        <w:shd w:val="clear" w:color="auto" w:fill="FFFFFF"/>
        <w:autoSpaceDE w:val="0"/>
        <w:autoSpaceDN w:val="0"/>
        <w:adjustRightInd w:val="0"/>
        <w:spacing w:after="0" w:line="240" w:lineRule="auto"/>
        <w:jc w:val="both"/>
        <w:rPr>
          <w:rFonts w:ascii="Garamond" w:hAnsi="Garamond" w:cs="Times New Roman"/>
          <w:b/>
          <w:i/>
          <w:sz w:val="24"/>
          <w:szCs w:val="24"/>
        </w:rPr>
      </w:pPr>
    </w:p>
    <w:p w14:paraId="49C12AC5" w14:textId="6D36069D" w:rsidR="00E125B8" w:rsidRPr="00B31292" w:rsidRDefault="00E125B8" w:rsidP="009508C8">
      <w:pPr>
        <w:shd w:val="clear" w:color="auto" w:fill="FFFFFF"/>
        <w:autoSpaceDE w:val="0"/>
        <w:autoSpaceDN w:val="0"/>
        <w:adjustRightInd w:val="0"/>
        <w:spacing w:after="0" w:line="240" w:lineRule="auto"/>
        <w:ind w:firstLine="284"/>
        <w:jc w:val="both"/>
        <w:rPr>
          <w:rFonts w:ascii="Garamond" w:hAnsi="Garamond" w:cs="Times New Roman"/>
          <w:bCs/>
          <w:i/>
          <w:sz w:val="24"/>
          <w:szCs w:val="24"/>
        </w:rPr>
      </w:pPr>
      <w:r w:rsidRPr="00B31292">
        <w:rPr>
          <w:rFonts w:ascii="Garamond" w:hAnsi="Garamond" w:cs="Times New Roman"/>
          <w:bCs/>
          <w:i/>
          <w:sz w:val="24"/>
          <w:szCs w:val="24"/>
        </w:rPr>
        <w:t xml:space="preserve">Tabela nr. </w:t>
      </w:r>
      <w:r w:rsidR="00924514" w:rsidRPr="00B31292">
        <w:rPr>
          <w:rFonts w:ascii="Garamond" w:hAnsi="Garamond" w:cs="Times New Roman"/>
          <w:bCs/>
          <w:i/>
          <w:sz w:val="24"/>
          <w:szCs w:val="24"/>
        </w:rPr>
        <w:t>2</w:t>
      </w:r>
      <w:r w:rsidR="00A30EA8">
        <w:rPr>
          <w:rFonts w:ascii="Garamond" w:hAnsi="Garamond" w:cs="Times New Roman"/>
          <w:bCs/>
          <w:i/>
          <w:sz w:val="24"/>
          <w:szCs w:val="24"/>
        </w:rPr>
        <w:t>2</w:t>
      </w:r>
      <w:r w:rsidR="007843CA" w:rsidRPr="00B31292">
        <w:rPr>
          <w:rFonts w:ascii="Garamond" w:hAnsi="Garamond" w:cs="Times New Roman"/>
          <w:bCs/>
          <w:i/>
          <w:sz w:val="24"/>
          <w:szCs w:val="24"/>
        </w:rPr>
        <w:t>:</w:t>
      </w:r>
      <w:r w:rsidRPr="00B31292">
        <w:rPr>
          <w:rFonts w:ascii="Garamond" w:hAnsi="Garamond" w:cs="Times New Roman"/>
          <w:bCs/>
          <w:i/>
          <w:sz w:val="24"/>
          <w:szCs w:val="24"/>
        </w:rPr>
        <w:t xml:space="preserve"> Menaxhimi i </w:t>
      </w:r>
      <w:r w:rsidR="007843CA" w:rsidRPr="00B31292">
        <w:rPr>
          <w:rFonts w:ascii="Garamond" w:hAnsi="Garamond" w:cs="Times New Roman"/>
          <w:bCs/>
          <w:i/>
          <w:sz w:val="24"/>
          <w:szCs w:val="24"/>
        </w:rPr>
        <w:t xml:space="preserve">cilësisë për fushën </w:t>
      </w:r>
      <w:r w:rsidR="00BA12C3" w:rsidRPr="00B31292">
        <w:rPr>
          <w:rFonts w:ascii="Garamond" w:hAnsi="Garamond" w:cs="Times New Roman"/>
          <w:bCs/>
          <w:i/>
          <w:sz w:val="24"/>
          <w:szCs w:val="24"/>
        </w:rPr>
        <w:t>“</w:t>
      </w:r>
      <w:r w:rsidRPr="00B31292">
        <w:rPr>
          <w:rFonts w:ascii="Garamond" w:hAnsi="Garamond" w:cs="Times New Roman"/>
          <w:bCs/>
          <w:i/>
          <w:sz w:val="24"/>
          <w:szCs w:val="24"/>
        </w:rPr>
        <w:t xml:space="preserve">Statistikat </w:t>
      </w:r>
      <w:r w:rsidR="002044F7" w:rsidRPr="00B31292">
        <w:rPr>
          <w:rFonts w:ascii="Garamond" w:hAnsi="Garamond" w:cs="Times New Roman"/>
          <w:bCs/>
          <w:i/>
          <w:sz w:val="24"/>
          <w:szCs w:val="24"/>
        </w:rPr>
        <w:t>s</w:t>
      </w:r>
      <w:r w:rsidRPr="00B31292">
        <w:rPr>
          <w:rFonts w:ascii="Garamond" w:hAnsi="Garamond" w:cs="Times New Roman"/>
          <w:bCs/>
          <w:i/>
          <w:sz w:val="24"/>
          <w:szCs w:val="24"/>
        </w:rPr>
        <w:t>ektoriale</w:t>
      </w:r>
      <w:r w:rsidR="00BA12C3" w:rsidRPr="00B31292">
        <w:rPr>
          <w:rFonts w:ascii="Garamond" w:hAnsi="Garamond" w:cs="Times New Roman"/>
          <w:bCs/>
          <w:i/>
          <w:sz w:val="24"/>
          <w:szCs w:val="24"/>
        </w:rPr>
        <w:t>”</w:t>
      </w:r>
    </w:p>
    <w:p w14:paraId="444A5FFD" w14:textId="04896B59" w:rsidR="00E125B8" w:rsidRPr="00B31292" w:rsidRDefault="004F35E8" w:rsidP="003A4DBA">
      <w:pPr>
        <w:shd w:val="clear" w:color="auto" w:fill="FFFFFF"/>
        <w:autoSpaceDE w:val="0"/>
        <w:autoSpaceDN w:val="0"/>
        <w:adjustRightInd w:val="0"/>
        <w:spacing w:after="0" w:line="240" w:lineRule="auto"/>
        <w:jc w:val="both"/>
        <w:rPr>
          <w:rFonts w:ascii="Garamond" w:hAnsi="Garamond" w:cs="Times New Roman"/>
          <w:b/>
          <w:i/>
          <w:sz w:val="24"/>
          <w:szCs w:val="24"/>
        </w:rPr>
      </w:pPr>
      <w:r w:rsidRPr="00B31292">
        <w:rPr>
          <w:rFonts w:ascii="Garamond" w:hAnsi="Garamond" w:cs="Times New Roman"/>
          <w:b/>
          <w:i/>
          <w:noProof/>
          <w:sz w:val="24"/>
          <w:szCs w:val="24"/>
          <w:lang w:val="en-US"/>
        </w:rPr>
        <w:lastRenderedPageBreak/>
        <w:drawing>
          <wp:inline distT="0" distB="0" distL="0" distR="0" wp14:anchorId="301853F4" wp14:editId="64DCAB0A">
            <wp:extent cx="5731510" cy="984885"/>
            <wp:effectExtent l="0" t="0" r="2540" b="571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731510" cy="984885"/>
                    </a:xfrm>
                    <a:prstGeom prst="rect">
                      <a:avLst/>
                    </a:prstGeom>
                  </pic:spPr>
                </pic:pic>
              </a:graphicData>
            </a:graphic>
          </wp:inline>
        </w:drawing>
      </w:r>
    </w:p>
    <w:p w14:paraId="745151D6" w14:textId="7A35F0D7" w:rsidR="00E125B8" w:rsidRPr="00B31292" w:rsidRDefault="00E125B8" w:rsidP="003A4DBA">
      <w:pPr>
        <w:shd w:val="clear" w:color="auto" w:fill="FFFFFF"/>
        <w:autoSpaceDE w:val="0"/>
        <w:autoSpaceDN w:val="0"/>
        <w:adjustRightInd w:val="0"/>
        <w:spacing w:after="0" w:line="240" w:lineRule="auto"/>
        <w:ind w:firstLine="284"/>
        <w:jc w:val="both"/>
        <w:rPr>
          <w:rFonts w:ascii="Garamond" w:hAnsi="Garamond" w:cs="Times New Roman"/>
          <w:bCs/>
          <w:i/>
          <w:sz w:val="24"/>
          <w:szCs w:val="24"/>
        </w:rPr>
      </w:pPr>
      <w:r w:rsidRPr="00B31292">
        <w:rPr>
          <w:rFonts w:ascii="Garamond" w:hAnsi="Garamond" w:cs="Times New Roman"/>
          <w:bCs/>
          <w:i/>
          <w:sz w:val="24"/>
          <w:szCs w:val="24"/>
        </w:rPr>
        <w:t xml:space="preserve">Tabela nr. </w:t>
      </w:r>
      <w:r w:rsidR="00924514" w:rsidRPr="00B31292">
        <w:rPr>
          <w:rFonts w:ascii="Garamond" w:hAnsi="Garamond" w:cs="Times New Roman"/>
          <w:bCs/>
          <w:i/>
          <w:sz w:val="24"/>
          <w:szCs w:val="24"/>
        </w:rPr>
        <w:t>2</w:t>
      </w:r>
      <w:r w:rsidR="00A30EA8">
        <w:rPr>
          <w:rFonts w:ascii="Garamond" w:hAnsi="Garamond" w:cs="Times New Roman"/>
          <w:bCs/>
          <w:i/>
          <w:sz w:val="24"/>
          <w:szCs w:val="24"/>
        </w:rPr>
        <w:t>3</w:t>
      </w:r>
      <w:r w:rsidR="007843CA" w:rsidRPr="00B31292">
        <w:rPr>
          <w:rFonts w:ascii="Garamond" w:hAnsi="Garamond" w:cs="Times New Roman"/>
          <w:bCs/>
          <w:i/>
          <w:sz w:val="24"/>
          <w:szCs w:val="24"/>
        </w:rPr>
        <w:t>:</w:t>
      </w:r>
      <w:r w:rsidRPr="00B31292">
        <w:rPr>
          <w:rFonts w:ascii="Garamond" w:hAnsi="Garamond" w:cs="Times New Roman"/>
          <w:bCs/>
          <w:i/>
          <w:sz w:val="24"/>
          <w:szCs w:val="24"/>
        </w:rPr>
        <w:t xml:space="preserve"> Menaxhimi i </w:t>
      </w:r>
      <w:r w:rsidR="007843CA" w:rsidRPr="00B31292">
        <w:rPr>
          <w:rFonts w:ascii="Garamond" w:hAnsi="Garamond" w:cs="Times New Roman"/>
          <w:bCs/>
          <w:i/>
          <w:sz w:val="24"/>
          <w:szCs w:val="24"/>
        </w:rPr>
        <w:t>cilë</w:t>
      </w:r>
      <w:r w:rsidRPr="00B31292">
        <w:rPr>
          <w:rFonts w:ascii="Garamond" w:hAnsi="Garamond" w:cs="Times New Roman"/>
          <w:bCs/>
          <w:i/>
          <w:sz w:val="24"/>
          <w:szCs w:val="24"/>
        </w:rPr>
        <w:t xml:space="preserve">sisë për fushën </w:t>
      </w:r>
      <w:r w:rsidR="00BA12C3" w:rsidRPr="00B31292">
        <w:rPr>
          <w:rFonts w:ascii="Garamond" w:hAnsi="Garamond" w:cs="Times New Roman"/>
          <w:bCs/>
          <w:i/>
          <w:sz w:val="24"/>
          <w:szCs w:val="24"/>
        </w:rPr>
        <w:t>“</w:t>
      </w:r>
      <w:r w:rsidRPr="00B31292">
        <w:rPr>
          <w:rFonts w:ascii="Garamond" w:hAnsi="Garamond" w:cs="Times New Roman"/>
          <w:bCs/>
          <w:i/>
          <w:sz w:val="24"/>
          <w:szCs w:val="24"/>
        </w:rPr>
        <w:t xml:space="preserve">Statistikat e </w:t>
      </w:r>
      <w:r w:rsidR="002044F7" w:rsidRPr="00B31292">
        <w:rPr>
          <w:rFonts w:ascii="Garamond" w:hAnsi="Garamond" w:cs="Times New Roman"/>
          <w:bCs/>
          <w:i/>
          <w:sz w:val="24"/>
          <w:szCs w:val="24"/>
        </w:rPr>
        <w:t>mjedisit dhe multidomain</w:t>
      </w:r>
      <w:r w:rsidR="00BA12C3" w:rsidRPr="00B31292">
        <w:rPr>
          <w:rFonts w:ascii="Garamond" w:hAnsi="Garamond" w:cs="Times New Roman"/>
          <w:bCs/>
          <w:i/>
          <w:sz w:val="24"/>
          <w:szCs w:val="24"/>
        </w:rPr>
        <w:t>”</w:t>
      </w:r>
    </w:p>
    <w:p w14:paraId="6B4210AC" w14:textId="26E7E91C" w:rsidR="00844611" w:rsidRPr="00B31292" w:rsidRDefault="004F35E8" w:rsidP="003A4DBA">
      <w:pPr>
        <w:shd w:val="clear" w:color="auto" w:fill="FFFFFF"/>
        <w:autoSpaceDE w:val="0"/>
        <w:autoSpaceDN w:val="0"/>
        <w:adjustRightInd w:val="0"/>
        <w:spacing w:after="0" w:line="240" w:lineRule="auto"/>
        <w:jc w:val="both"/>
        <w:rPr>
          <w:rFonts w:ascii="Garamond" w:hAnsi="Garamond" w:cs="Times New Roman"/>
          <w:b/>
          <w:i/>
          <w:sz w:val="24"/>
          <w:szCs w:val="24"/>
        </w:rPr>
      </w:pPr>
      <w:r w:rsidRPr="00B31292">
        <w:rPr>
          <w:rFonts w:ascii="Garamond" w:hAnsi="Garamond" w:cs="Times New Roman"/>
          <w:b/>
          <w:i/>
          <w:noProof/>
          <w:sz w:val="24"/>
          <w:szCs w:val="24"/>
          <w:lang w:val="en-US"/>
        </w:rPr>
        <w:drawing>
          <wp:inline distT="0" distB="0" distL="0" distR="0" wp14:anchorId="16963CF0" wp14:editId="1ED8CF3A">
            <wp:extent cx="5731510" cy="940435"/>
            <wp:effectExtent l="0" t="0" r="254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731510" cy="940435"/>
                    </a:xfrm>
                    <a:prstGeom prst="rect">
                      <a:avLst/>
                    </a:prstGeom>
                  </pic:spPr>
                </pic:pic>
              </a:graphicData>
            </a:graphic>
          </wp:inline>
        </w:drawing>
      </w:r>
    </w:p>
    <w:p w14:paraId="6086763E" w14:textId="09117CFF" w:rsidR="00844611" w:rsidRPr="00B31292" w:rsidRDefault="00844611" w:rsidP="003A4DBA">
      <w:pPr>
        <w:shd w:val="clear" w:color="auto" w:fill="FFFFFF" w:themeFill="background1"/>
        <w:spacing w:after="0" w:line="240" w:lineRule="auto"/>
        <w:ind w:firstLine="284"/>
        <w:jc w:val="both"/>
        <w:rPr>
          <w:rFonts w:ascii="Garamond" w:hAnsi="Garamond"/>
          <w:bCs/>
          <w:i/>
          <w:sz w:val="24"/>
          <w:szCs w:val="24"/>
        </w:rPr>
      </w:pPr>
      <w:r w:rsidRPr="00B31292">
        <w:rPr>
          <w:rFonts w:ascii="Garamond" w:hAnsi="Garamond"/>
          <w:bCs/>
          <w:i/>
          <w:sz w:val="24"/>
          <w:szCs w:val="24"/>
        </w:rPr>
        <w:t xml:space="preserve">Tabela nr. </w:t>
      </w:r>
      <w:r w:rsidR="00924514" w:rsidRPr="00B31292">
        <w:rPr>
          <w:rFonts w:ascii="Garamond" w:hAnsi="Garamond"/>
          <w:bCs/>
          <w:i/>
          <w:sz w:val="24"/>
          <w:szCs w:val="24"/>
        </w:rPr>
        <w:t>2</w:t>
      </w:r>
      <w:r w:rsidR="00A30EA8">
        <w:rPr>
          <w:rFonts w:ascii="Garamond" w:hAnsi="Garamond"/>
          <w:bCs/>
          <w:i/>
          <w:sz w:val="24"/>
          <w:szCs w:val="24"/>
        </w:rPr>
        <w:t>4</w:t>
      </w:r>
      <w:r w:rsidR="007843CA" w:rsidRPr="00B31292">
        <w:rPr>
          <w:rFonts w:ascii="Garamond" w:hAnsi="Garamond"/>
          <w:bCs/>
          <w:i/>
          <w:sz w:val="24"/>
          <w:szCs w:val="24"/>
        </w:rPr>
        <w:t>:</w:t>
      </w:r>
      <w:r w:rsidRPr="00B31292">
        <w:rPr>
          <w:rFonts w:ascii="Garamond" w:hAnsi="Garamond"/>
          <w:bCs/>
          <w:i/>
          <w:sz w:val="24"/>
          <w:szCs w:val="24"/>
        </w:rPr>
        <w:t xml:space="preserve"> Tregues të përgjithshëm</w:t>
      </w:r>
    </w:p>
    <w:p w14:paraId="0C4EA68F" w14:textId="29E69E5B" w:rsidR="00844611" w:rsidRPr="00B31292" w:rsidRDefault="004F35E8" w:rsidP="003A4DBA">
      <w:pPr>
        <w:shd w:val="clear" w:color="auto" w:fill="FFFFFF" w:themeFill="background1"/>
        <w:spacing w:after="0" w:line="240" w:lineRule="auto"/>
        <w:jc w:val="both"/>
        <w:rPr>
          <w:rFonts w:ascii="Garamond" w:hAnsi="Garamond"/>
          <w:b/>
          <w:i/>
          <w:sz w:val="24"/>
          <w:szCs w:val="24"/>
        </w:rPr>
      </w:pPr>
      <w:r w:rsidRPr="00B31292">
        <w:rPr>
          <w:rFonts w:ascii="Garamond" w:hAnsi="Garamond"/>
          <w:b/>
          <w:i/>
          <w:noProof/>
          <w:sz w:val="24"/>
          <w:szCs w:val="24"/>
          <w:lang w:val="en-US"/>
        </w:rPr>
        <w:drawing>
          <wp:inline distT="0" distB="0" distL="0" distR="0" wp14:anchorId="1246FA01" wp14:editId="425A8ECD">
            <wp:extent cx="5731510" cy="1296035"/>
            <wp:effectExtent l="0" t="0" r="254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731510" cy="1296035"/>
                    </a:xfrm>
                    <a:prstGeom prst="rect">
                      <a:avLst/>
                    </a:prstGeom>
                  </pic:spPr>
                </pic:pic>
              </a:graphicData>
            </a:graphic>
          </wp:inline>
        </w:drawing>
      </w:r>
    </w:p>
    <w:p w14:paraId="4CD7D386" w14:textId="77777777" w:rsidR="005B4B2F" w:rsidRPr="00B31292" w:rsidRDefault="00C36CF7" w:rsidP="003A4DBA">
      <w:pPr>
        <w:pStyle w:val="Heading2"/>
        <w:spacing w:before="0" w:line="240" w:lineRule="auto"/>
        <w:ind w:firstLine="284"/>
        <w:rPr>
          <w:rFonts w:ascii="Garamond" w:hAnsi="Garamond"/>
          <w:color w:val="auto"/>
          <w:sz w:val="24"/>
          <w:szCs w:val="24"/>
        </w:rPr>
      </w:pPr>
      <w:bookmarkStart w:id="44" w:name="_Toc182991978"/>
      <w:r w:rsidRPr="00B31292">
        <w:rPr>
          <w:rFonts w:ascii="Garamond" w:hAnsi="Garamond"/>
          <w:color w:val="auto"/>
          <w:sz w:val="24"/>
          <w:szCs w:val="24"/>
        </w:rPr>
        <w:t xml:space="preserve">VI. Integrimi </w:t>
      </w:r>
      <w:r w:rsidR="00E24AD5" w:rsidRPr="00B31292">
        <w:rPr>
          <w:rFonts w:ascii="Garamond" w:hAnsi="Garamond"/>
          <w:color w:val="auto"/>
          <w:sz w:val="24"/>
          <w:szCs w:val="24"/>
        </w:rPr>
        <w:t>e</w:t>
      </w:r>
      <w:r w:rsidRPr="00B31292">
        <w:rPr>
          <w:rFonts w:ascii="Garamond" w:hAnsi="Garamond"/>
          <w:color w:val="auto"/>
          <w:sz w:val="24"/>
          <w:szCs w:val="24"/>
        </w:rPr>
        <w:t xml:space="preserve">vropian dhe </w:t>
      </w:r>
      <w:r w:rsidR="00E24AD5" w:rsidRPr="00B31292">
        <w:rPr>
          <w:rFonts w:ascii="Garamond" w:hAnsi="Garamond"/>
          <w:color w:val="auto"/>
          <w:sz w:val="24"/>
          <w:szCs w:val="24"/>
        </w:rPr>
        <w:t>b</w:t>
      </w:r>
      <w:r w:rsidRPr="00B31292">
        <w:rPr>
          <w:rFonts w:ascii="Garamond" w:hAnsi="Garamond"/>
          <w:color w:val="auto"/>
          <w:sz w:val="24"/>
          <w:szCs w:val="24"/>
        </w:rPr>
        <w:t>ashkëpunimet ndërkombëtare</w:t>
      </w:r>
      <w:bookmarkEnd w:id="44"/>
    </w:p>
    <w:p w14:paraId="34550222" w14:textId="0EDA8ACF" w:rsidR="00FD0844" w:rsidRPr="00B31292" w:rsidRDefault="00EE716C" w:rsidP="003A4DBA">
      <w:pPr>
        <w:pStyle w:val="Heading2"/>
        <w:spacing w:before="0" w:line="240" w:lineRule="auto"/>
        <w:ind w:firstLine="284"/>
        <w:rPr>
          <w:rFonts w:ascii="Garamond" w:hAnsi="Garamond"/>
          <w:color w:val="auto"/>
          <w:sz w:val="24"/>
          <w:szCs w:val="24"/>
        </w:rPr>
      </w:pPr>
      <w:r w:rsidRPr="00B31292">
        <w:rPr>
          <w:rFonts w:ascii="Garamond" w:hAnsi="Garamond"/>
          <w:color w:val="auto"/>
          <w:sz w:val="24"/>
          <w:szCs w:val="24"/>
        </w:rPr>
        <w:t xml:space="preserve"> </w:t>
      </w:r>
      <w:r w:rsidR="006E678B" w:rsidRPr="00B31292">
        <w:rPr>
          <w:rFonts w:ascii="Garamond" w:hAnsi="Garamond" w:cs="Times New Roman"/>
          <w:color w:val="auto"/>
          <w:sz w:val="24"/>
          <w:szCs w:val="24"/>
        </w:rPr>
        <w:t>Integrimi Evropian</w:t>
      </w:r>
    </w:p>
    <w:p w14:paraId="3C3F8F1E" w14:textId="5D3366A6" w:rsidR="006E678B" w:rsidRPr="00B31292" w:rsidRDefault="006E678B" w:rsidP="003A4DBA">
      <w:pPr>
        <w:spacing w:after="0" w:line="240" w:lineRule="auto"/>
        <w:ind w:firstLine="284"/>
        <w:jc w:val="both"/>
        <w:rPr>
          <w:rFonts w:ascii="Garamond" w:hAnsi="Garamond" w:cs="Times New Roman"/>
          <w:b/>
          <w:sz w:val="24"/>
          <w:szCs w:val="24"/>
        </w:rPr>
      </w:pPr>
      <w:r w:rsidRPr="00B31292">
        <w:rPr>
          <w:rFonts w:ascii="Garamond" w:eastAsia="Times New Roman" w:hAnsi="Garamond" w:cs="Times New Roman"/>
          <w:sz w:val="24"/>
          <w:szCs w:val="24"/>
        </w:rPr>
        <w:t>Instituti i Statistikave ka punuar vazhdimisht dhe me prioritet për harmonizimin e statistikave zyrtare me standardet evropiane. Rekomandimet e progres</w:t>
      </w:r>
      <w:r w:rsidR="00585EB2" w:rsidRPr="00B31292">
        <w:rPr>
          <w:rFonts w:ascii="Garamond" w:eastAsia="Times New Roman" w:hAnsi="Garamond" w:cs="Times New Roman"/>
          <w:sz w:val="24"/>
          <w:szCs w:val="24"/>
        </w:rPr>
        <w:t>-</w:t>
      </w:r>
      <w:r w:rsidRPr="00B31292">
        <w:rPr>
          <w:rFonts w:ascii="Garamond" w:eastAsia="Times New Roman" w:hAnsi="Garamond" w:cs="Times New Roman"/>
          <w:sz w:val="24"/>
          <w:szCs w:val="24"/>
        </w:rPr>
        <w:t xml:space="preserve">raporteve ndër vite për </w:t>
      </w:r>
      <w:r w:rsidR="002044F7" w:rsidRPr="00B31292">
        <w:rPr>
          <w:rFonts w:ascii="Garamond" w:eastAsia="Times New Roman" w:hAnsi="Garamond" w:cs="Times New Roman"/>
          <w:sz w:val="24"/>
          <w:szCs w:val="24"/>
        </w:rPr>
        <w:t>k</w:t>
      </w:r>
      <w:r w:rsidRPr="00B31292">
        <w:rPr>
          <w:rFonts w:ascii="Garamond" w:eastAsia="Times New Roman" w:hAnsi="Garamond" w:cs="Times New Roman"/>
          <w:sz w:val="24"/>
          <w:szCs w:val="24"/>
        </w:rPr>
        <w:t xml:space="preserve">apitullin 18, rekomandimet e nënkomiteteve të ndryshme të Komisionit Evropian dhe të vlerësimeve të ndryshme nga </w:t>
      </w:r>
      <w:r w:rsidR="009C0CE9" w:rsidRPr="00B31292">
        <w:rPr>
          <w:rFonts w:ascii="Garamond" w:eastAsia="Times New Roman" w:hAnsi="Garamond" w:cs="Times New Roman"/>
          <w:sz w:val="24"/>
          <w:szCs w:val="24"/>
        </w:rPr>
        <w:t>Eurostat</w:t>
      </w:r>
      <w:r w:rsidRPr="00B31292">
        <w:rPr>
          <w:rFonts w:ascii="Garamond" w:eastAsia="Times New Roman" w:hAnsi="Garamond" w:cs="Times New Roman"/>
          <w:sz w:val="24"/>
          <w:szCs w:val="24"/>
        </w:rPr>
        <w:t>i për statistikat zyrtare, janë pjesë e planeve të punës të INSTAT-it, të cilat monitorohen dhe zbatohen rigorozisht. INSTAT-i si koordinator i Sistemit Kombëtar Statistikor</w:t>
      </w:r>
      <w:r w:rsidR="00585EB2" w:rsidRPr="00B31292">
        <w:rPr>
          <w:rFonts w:ascii="Garamond" w:eastAsia="Times New Roman" w:hAnsi="Garamond" w:cs="Times New Roman"/>
          <w:sz w:val="24"/>
          <w:szCs w:val="24"/>
        </w:rPr>
        <w:t xml:space="preserve"> dhe institucion përgjegjës për </w:t>
      </w:r>
      <w:r w:rsidR="002E40BF" w:rsidRPr="00B31292">
        <w:rPr>
          <w:rFonts w:ascii="Garamond" w:eastAsia="Times New Roman" w:hAnsi="Garamond" w:cs="Times New Roman"/>
          <w:sz w:val="24"/>
          <w:szCs w:val="24"/>
        </w:rPr>
        <w:t>k</w:t>
      </w:r>
      <w:r w:rsidR="00585EB2" w:rsidRPr="00B31292">
        <w:rPr>
          <w:rFonts w:ascii="Garamond" w:eastAsia="Times New Roman" w:hAnsi="Garamond" w:cs="Times New Roman"/>
          <w:sz w:val="24"/>
          <w:szCs w:val="24"/>
        </w:rPr>
        <w:t>apitul</w:t>
      </w:r>
      <w:r w:rsidR="002E40BF" w:rsidRPr="00B31292">
        <w:rPr>
          <w:rFonts w:ascii="Garamond" w:eastAsia="Times New Roman" w:hAnsi="Garamond" w:cs="Times New Roman"/>
          <w:sz w:val="24"/>
          <w:szCs w:val="24"/>
        </w:rPr>
        <w:t>l</w:t>
      </w:r>
      <w:r w:rsidR="00585EB2" w:rsidRPr="00B31292">
        <w:rPr>
          <w:rFonts w:ascii="Garamond" w:eastAsia="Times New Roman" w:hAnsi="Garamond" w:cs="Times New Roman"/>
          <w:sz w:val="24"/>
          <w:szCs w:val="24"/>
        </w:rPr>
        <w:t xml:space="preserve">in 18 </w:t>
      </w:r>
      <w:r w:rsidR="00BA12C3" w:rsidRPr="00B31292">
        <w:rPr>
          <w:rFonts w:ascii="Garamond" w:eastAsia="Times New Roman" w:hAnsi="Garamond" w:cs="Times New Roman"/>
          <w:sz w:val="24"/>
          <w:szCs w:val="24"/>
        </w:rPr>
        <w:t>“</w:t>
      </w:r>
      <w:r w:rsidR="00585EB2" w:rsidRPr="00B31292">
        <w:rPr>
          <w:rFonts w:ascii="Garamond" w:eastAsia="Times New Roman" w:hAnsi="Garamond" w:cs="Times New Roman"/>
          <w:sz w:val="24"/>
          <w:szCs w:val="24"/>
        </w:rPr>
        <w:t>Statistikat</w:t>
      </w:r>
      <w:r w:rsidR="00BA12C3" w:rsidRPr="00B31292">
        <w:rPr>
          <w:rFonts w:ascii="Garamond" w:eastAsia="Times New Roman" w:hAnsi="Garamond" w:cs="Times New Roman"/>
          <w:sz w:val="24"/>
          <w:szCs w:val="24"/>
        </w:rPr>
        <w:t>”</w:t>
      </w:r>
      <w:r w:rsidRPr="00B31292">
        <w:rPr>
          <w:rFonts w:ascii="Garamond" w:eastAsia="Times New Roman" w:hAnsi="Garamond" w:cs="Times New Roman"/>
          <w:sz w:val="24"/>
          <w:szCs w:val="24"/>
        </w:rPr>
        <w:t>, bashkërendon punën për ndjekjen dhe zbatimin e rregulloreve evropiane në prodhimin e statistikave zyrtare.</w:t>
      </w:r>
    </w:p>
    <w:p w14:paraId="6D6257A6" w14:textId="46CE68C2" w:rsidR="006E678B" w:rsidRPr="00B31292" w:rsidRDefault="006E678B" w:rsidP="003A4DBA">
      <w:pPr>
        <w:spacing w:after="0" w:line="240" w:lineRule="auto"/>
        <w:ind w:firstLine="284"/>
        <w:contextualSpacing/>
        <w:jc w:val="both"/>
        <w:rPr>
          <w:rFonts w:ascii="Garamond" w:eastAsia="Times New Roman" w:hAnsi="Garamond" w:cs="Times New Roman"/>
          <w:sz w:val="24"/>
          <w:szCs w:val="24"/>
        </w:rPr>
      </w:pPr>
      <w:r w:rsidRPr="00B31292">
        <w:rPr>
          <w:rFonts w:ascii="Garamond" w:eastAsia="Times New Roman" w:hAnsi="Garamond" w:cs="Times New Roman"/>
          <w:sz w:val="24"/>
          <w:szCs w:val="24"/>
        </w:rPr>
        <w:t>Në vitin 2024, INSTAT</w:t>
      </w:r>
      <w:r w:rsidR="002E40BF" w:rsidRPr="00B31292">
        <w:rPr>
          <w:rFonts w:ascii="Garamond" w:eastAsia="Times New Roman" w:hAnsi="Garamond" w:cs="Times New Roman"/>
          <w:sz w:val="24"/>
          <w:szCs w:val="24"/>
        </w:rPr>
        <w:t>-i</w:t>
      </w:r>
      <w:r w:rsidRPr="00B31292">
        <w:rPr>
          <w:rFonts w:ascii="Garamond" w:eastAsia="Times New Roman" w:hAnsi="Garamond" w:cs="Times New Roman"/>
          <w:sz w:val="24"/>
          <w:szCs w:val="24"/>
        </w:rPr>
        <w:t xml:space="preserve"> puno</w:t>
      </w:r>
      <w:r w:rsidR="00773FF1" w:rsidRPr="00B31292">
        <w:rPr>
          <w:rFonts w:ascii="Garamond" w:eastAsia="Times New Roman" w:hAnsi="Garamond" w:cs="Times New Roman"/>
          <w:sz w:val="24"/>
          <w:szCs w:val="24"/>
        </w:rPr>
        <w:t>i</w:t>
      </w:r>
      <w:r w:rsidRPr="00B31292">
        <w:rPr>
          <w:rFonts w:ascii="Garamond" w:eastAsia="Times New Roman" w:hAnsi="Garamond" w:cs="Times New Roman"/>
          <w:sz w:val="24"/>
          <w:szCs w:val="24"/>
        </w:rPr>
        <w:t xml:space="preserve"> për përafrim</w:t>
      </w:r>
      <w:r w:rsidR="00773FF1" w:rsidRPr="00B31292">
        <w:rPr>
          <w:rFonts w:ascii="Garamond" w:eastAsia="Times New Roman" w:hAnsi="Garamond" w:cs="Times New Roman"/>
          <w:sz w:val="24"/>
          <w:szCs w:val="24"/>
        </w:rPr>
        <w:t>in</w:t>
      </w:r>
      <w:r w:rsidRPr="00B31292">
        <w:rPr>
          <w:rFonts w:ascii="Garamond" w:eastAsia="Times New Roman" w:hAnsi="Garamond" w:cs="Times New Roman"/>
          <w:sz w:val="24"/>
          <w:szCs w:val="24"/>
        </w:rPr>
        <w:t xml:space="preserve"> </w:t>
      </w:r>
      <w:r w:rsidR="00585EB2" w:rsidRPr="00B31292">
        <w:rPr>
          <w:rFonts w:ascii="Garamond" w:eastAsia="Times New Roman" w:hAnsi="Garamond" w:cs="Times New Roman"/>
          <w:sz w:val="24"/>
          <w:szCs w:val="24"/>
        </w:rPr>
        <w:t xml:space="preserve">e disa akteve ligjore, si </w:t>
      </w:r>
      <w:r w:rsidR="002044F7" w:rsidRPr="00B31292">
        <w:rPr>
          <w:rFonts w:ascii="Garamond" w:eastAsia="Times New Roman" w:hAnsi="Garamond" w:cs="Times New Roman"/>
          <w:sz w:val="24"/>
          <w:szCs w:val="24"/>
        </w:rPr>
        <w:t>p</w:t>
      </w:r>
      <w:r w:rsidRPr="00B31292">
        <w:rPr>
          <w:rFonts w:ascii="Garamond" w:eastAsia="Times New Roman" w:hAnsi="Garamond" w:cs="Times New Roman"/>
          <w:sz w:val="24"/>
          <w:szCs w:val="24"/>
        </w:rPr>
        <w:t xml:space="preserve">rojektligjit </w:t>
      </w:r>
      <w:r w:rsidR="00BA12C3" w:rsidRPr="00B31292">
        <w:rPr>
          <w:rFonts w:ascii="Garamond" w:eastAsia="Times New Roman" w:hAnsi="Garamond" w:cs="Times New Roman"/>
          <w:sz w:val="24"/>
          <w:szCs w:val="24"/>
        </w:rPr>
        <w:t>“</w:t>
      </w:r>
      <w:r w:rsidRPr="00B31292">
        <w:rPr>
          <w:rFonts w:ascii="Garamond" w:eastAsia="Times New Roman" w:hAnsi="Garamond" w:cs="Times New Roman"/>
          <w:sz w:val="24"/>
          <w:szCs w:val="24"/>
        </w:rPr>
        <w:t xml:space="preserve">Për Censin e </w:t>
      </w:r>
      <w:r w:rsidR="002044F7" w:rsidRPr="00B31292">
        <w:rPr>
          <w:rFonts w:ascii="Garamond" w:eastAsia="Times New Roman" w:hAnsi="Garamond" w:cs="Times New Roman"/>
          <w:sz w:val="24"/>
          <w:szCs w:val="24"/>
        </w:rPr>
        <w:t>b</w:t>
      </w:r>
      <w:r w:rsidRPr="00B31292">
        <w:rPr>
          <w:rFonts w:ascii="Garamond" w:eastAsia="Times New Roman" w:hAnsi="Garamond" w:cs="Times New Roman"/>
          <w:sz w:val="24"/>
          <w:szCs w:val="24"/>
        </w:rPr>
        <w:t>ujqësisë</w:t>
      </w:r>
      <w:r w:rsidR="00BA12C3" w:rsidRPr="00B31292">
        <w:rPr>
          <w:rFonts w:ascii="Garamond" w:eastAsia="Times New Roman" w:hAnsi="Garamond" w:cs="Times New Roman"/>
          <w:sz w:val="24"/>
          <w:szCs w:val="24"/>
        </w:rPr>
        <w:t>”</w:t>
      </w:r>
      <w:r w:rsidR="004416BB" w:rsidRPr="00B31292">
        <w:rPr>
          <w:rFonts w:ascii="Garamond" w:eastAsia="Times New Roman" w:hAnsi="Garamond" w:cs="Times New Roman"/>
          <w:sz w:val="24"/>
          <w:szCs w:val="24"/>
        </w:rPr>
        <w:t xml:space="preserve"> dhe</w:t>
      </w:r>
      <w:r w:rsidRPr="00B31292">
        <w:rPr>
          <w:rFonts w:ascii="Garamond" w:eastAsia="Times New Roman" w:hAnsi="Garamond" w:cs="Times New Roman"/>
          <w:sz w:val="24"/>
          <w:szCs w:val="24"/>
        </w:rPr>
        <w:t xml:space="preserve"> </w:t>
      </w:r>
      <w:r w:rsidR="002044F7" w:rsidRPr="00B31292">
        <w:rPr>
          <w:rFonts w:ascii="Garamond" w:eastAsia="Times New Roman" w:hAnsi="Garamond" w:cs="Times New Roman"/>
          <w:sz w:val="24"/>
          <w:szCs w:val="24"/>
        </w:rPr>
        <w:t>p</w:t>
      </w:r>
      <w:r w:rsidRPr="00B31292">
        <w:rPr>
          <w:rFonts w:ascii="Garamond" w:eastAsia="Times New Roman" w:hAnsi="Garamond" w:cs="Times New Roman"/>
          <w:sz w:val="24"/>
          <w:szCs w:val="24"/>
        </w:rPr>
        <w:t>rojekt</w:t>
      </w:r>
      <w:r w:rsidR="002044F7" w:rsidRPr="00B31292">
        <w:rPr>
          <w:rFonts w:ascii="Garamond" w:eastAsia="Times New Roman" w:hAnsi="Garamond" w:cs="Times New Roman"/>
          <w:sz w:val="24"/>
          <w:szCs w:val="24"/>
        </w:rPr>
        <w:t>u</w:t>
      </w:r>
      <w:r w:rsidRPr="00B31292">
        <w:rPr>
          <w:rFonts w:ascii="Garamond" w:eastAsia="Times New Roman" w:hAnsi="Garamond" w:cs="Times New Roman"/>
          <w:sz w:val="24"/>
          <w:szCs w:val="24"/>
        </w:rPr>
        <w:t>dhëzim</w:t>
      </w:r>
      <w:r w:rsidR="00773FF1" w:rsidRPr="00B31292">
        <w:rPr>
          <w:rFonts w:ascii="Garamond" w:eastAsia="Times New Roman" w:hAnsi="Garamond" w:cs="Times New Roman"/>
          <w:sz w:val="24"/>
          <w:szCs w:val="24"/>
        </w:rPr>
        <w:t>it</w:t>
      </w:r>
      <w:r w:rsidR="00A13D42" w:rsidRPr="00B31292">
        <w:rPr>
          <w:rFonts w:ascii="Garamond" w:eastAsia="Times New Roman" w:hAnsi="Garamond" w:cs="Times New Roman"/>
          <w:sz w:val="24"/>
          <w:szCs w:val="24"/>
        </w:rPr>
        <w:t xml:space="preserve"> </w:t>
      </w:r>
      <w:r w:rsidR="00BA12C3" w:rsidRPr="00B31292">
        <w:rPr>
          <w:rFonts w:ascii="Garamond" w:eastAsia="Times New Roman" w:hAnsi="Garamond" w:cs="Times New Roman"/>
          <w:sz w:val="24"/>
          <w:szCs w:val="24"/>
        </w:rPr>
        <w:t>“</w:t>
      </w:r>
      <w:r w:rsidR="00A13D42" w:rsidRPr="00B31292">
        <w:rPr>
          <w:rFonts w:ascii="Garamond" w:eastAsia="Times New Roman" w:hAnsi="Garamond" w:cs="Times New Roman"/>
          <w:sz w:val="24"/>
          <w:szCs w:val="24"/>
        </w:rPr>
        <w:t xml:space="preserve">Për </w:t>
      </w:r>
      <w:r w:rsidR="002044F7" w:rsidRPr="00B31292">
        <w:rPr>
          <w:rFonts w:ascii="Garamond" w:eastAsia="Times New Roman" w:hAnsi="Garamond" w:cs="Times New Roman"/>
          <w:sz w:val="24"/>
          <w:szCs w:val="24"/>
        </w:rPr>
        <w:t>zbatimin e vrojtimit të të ardhurave dhe nivelit të jetesës –</w:t>
      </w:r>
      <w:r w:rsidR="00773FF1" w:rsidRPr="00B31292">
        <w:rPr>
          <w:rFonts w:ascii="Garamond" w:eastAsia="Times New Roman" w:hAnsi="Garamond" w:cs="Times New Roman"/>
          <w:sz w:val="24"/>
          <w:szCs w:val="24"/>
        </w:rPr>
        <w:t xml:space="preserve"> </w:t>
      </w:r>
      <w:r w:rsidR="002044F7" w:rsidRPr="00B31292">
        <w:rPr>
          <w:rFonts w:ascii="Garamond" w:eastAsia="Times New Roman" w:hAnsi="Garamond" w:cs="Times New Roman"/>
          <w:sz w:val="24"/>
          <w:szCs w:val="24"/>
        </w:rPr>
        <w:t>p</w:t>
      </w:r>
      <w:r w:rsidRPr="00B31292">
        <w:rPr>
          <w:rFonts w:ascii="Garamond" w:eastAsia="Times New Roman" w:hAnsi="Garamond" w:cs="Times New Roman"/>
          <w:sz w:val="24"/>
          <w:szCs w:val="24"/>
        </w:rPr>
        <w:t>ër krijimin e një kornize të përbashkët për statistikat evropiane në lidhje me personat dhe familjet, bazuar në të dhënat në nivel individual të mbledhura nga kampioni</w:t>
      </w:r>
      <w:r w:rsidR="00BA12C3" w:rsidRPr="00B31292">
        <w:rPr>
          <w:rFonts w:ascii="Garamond" w:eastAsia="Times New Roman" w:hAnsi="Garamond" w:cs="Times New Roman"/>
          <w:sz w:val="24"/>
          <w:szCs w:val="24"/>
        </w:rPr>
        <w:t>”</w:t>
      </w:r>
      <w:r w:rsidRPr="00B31292">
        <w:rPr>
          <w:rFonts w:ascii="Garamond" w:eastAsia="Times New Roman" w:hAnsi="Garamond" w:cs="Times New Roman"/>
          <w:sz w:val="24"/>
          <w:szCs w:val="24"/>
        </w:rPr>
        <w:t>.</w:t>
      </w:r>
    </w:p>
    <w:p w14:paraId="70C96EC4" w14:textId="13DCCF66" w:rsidR="006E678B" w:rsidRPr="00B31292" w:rsidRDefault="006E678B" w:rsidP="003A4DBA">
      <w:pPr>
        <w:spacing w:after="0" w:line="240" w:lineRule="auto"/>
        <w:ind w:firstLine="284"/>
        <w:jc w:val="both"/>
        <w:rPr>
          <w:rFonts w:ascii="Garamond" w:eastAsia="Times New Roman" w:hAnsi="Garamond" w:cs="Times New Roman"/>
          <w:sz w:val="24"/>
          <w:szCs w:val="24"/>
          <w:lang w:eastAsia="en-GB"/>
        </w:rPr>
      </w:pPr>
      <w:r w:rsidRPr="00B31292">
        <w:rPr>
          <w:rFonts w:ascii="Garamond" w:eastAsia="Times New Roman" w:hAnsi="Garamond" w:cs="Times New Roman"/>
          <w:sz w:val="24"/>
          <w:szCs w:val="24"/>
          <w:lang w:eastAsia="en-GB"/>
        </w:rPr>
        <w:t>Në kuadër të detyrimeve pas takimit dypalësh</w:t>
      </w:r>
      <w:r w:rsidR="0014485A" w:rsidRPr="00B31292">
        <w:rPr>
          <w:rFonts w:ascii="Garamond" w:eastAsia="Times New Roman" w:hAnsi="Garamond" w:cs="Times New Roman"/>
          <w:sz w:val="24"/>
          <w:szCs w:val="24"/>
          <w:lang w:eastAsia="en-GB"/>
        </w:rPr>
        <w:t>,</w:t>
      </w:r>
      <w:r w:rsidRPr="00B31292">
        <w:rPr>
          <w:rFonts w:ascii="Garamond" w:eastAsia="Times New Roman" w:hAnsi="Garamond" w:cs="Times New Roman"/>
          <w:sz w:val="24"/>
          <w:szCs w:val="24"/>
          <w:lang w:eastAsia="en-GB"/>
        </w:rPr>
        <w:t xml:space="preserve"> INSTAT</w:t>
      </w:r>
      <w:r w:rsidR="002E40BF" w:rsidRPr="00B31292">
        <w:rPr>
          <w:rFonts w:ascii="Garamond" w:eastAsia="Times New Roman" w:hAnsi="Garamond" w:cs="Times New Roman"/>
          <w:sz w:val="24"/>
          <w:szCs w:val="24"/>
          <w:lang w:eastAsia="en-GB"/>
        </w:rPr>
        <w:t>-i</w:t>
      </w:r>
      <w:r w:rsidRPr="00B31292">
        <w:rPr>
          <w:rFonts w:ascii="Garamond" w:eastAsia="Times New Roman" w:hAnsi="Garamond" w:cs="Times New Roman"/>
          <w:sz w:val="24"/>
          <w:szCs w:val="24"/>
          <w:lang w:eastAsia="en-GB"/>
        </w:rPr>
        <w:t xml:space="preserve"> me mbështetjen e projektit </w:t>
      </w:r>
      <w:r w:rsidR="00BA12C3" w:rsidRPr="00B31292">
        <w:rPr>
          <w:rFonts w:ascii="Garamond" w:eastAsia="Times New Roman" w:hAnsi="Garamond" w:cs="Times New Roman"/>
          <w:sz w:val="24"/>
          <w:szCs w:val="24"/>
          <w:lang w:eastAsia="en-GB"/>
        </w:rPr>
        <w:t>“</w:t>
      </w:r>
      <w:r w:rsidRPr="00B31292">
        <w:rPr>
          <w:rFonts w:ascii="Garamond" w:eastAsia="Times New Roman" w:hAnsi="Garamond" w:cs="Times New Roman"/>
          <w:sz w:val="24"/>
          <w:szCs w:val="24"/>
          <w:lang w:eastAsia="en-GB"/>
        </w:rPr>
        <w:t xml:space="preserve">Mbështetje për </w:t>
      </w:r>
      <w:r w:rsidR="002044F7" w:rsidRPr="00B31292">
        <w:rPr>
          <w:rFonts w:ascii="Garamond" w:eastAsia="Times New Roman" w:hAnsi="Garamond" w:cs="Times New Roman"/>
          <w:sz w:val="24"/>
          <w:szCs w:val="24"/>
          <w:lang w:eastAsia="en-GB"/>
        </w:rPr>
        <w:t xml:space="preserve">procesin e integrimit </w:t>
      </w:r>
      <w:r w:rsidRPr="00B31292">
        <w:rPr>
          <w:rFonts w:ascii="Garamond" w:eastAsia="Times New Roman" w:hAnsi="Garamond" w:cs="Times New Roman"/>
          <w:sz w:val="24"/>
          <w:szCs w:val="24"/>
          <w:lang w:eastAsia="en-GB"/>
        </w:rPr>
        <w:t>në BE të Shqipërisë</w:t>
      </w:r>
      <w:r w:rsidR="00BA12C3" w:rsidRPr="00B31292">
        <w:rPr>
          <w:rFonts w:ascii="Garamond" w:eastAsia="Times New Roman" w:hAnsi="Garamond" w:cs="Times New Roman"/>
          <w:sz w:val="24"/>
          <w:szCs w:val="24"/>
          <w:lang w:eastAsia="en-GB"/>
        </w:rPr>
        <w:t>”</w:t>
      </w:r>
      <w:r w:rsidR="0014485A" w:rsidRPr="00B31292">
        <w:rPr>
          <w:rFonts w:ascii="Garamond" w:eastAsia="Times New Roman" w:hAnsi="Garamond" w:cs="Times New Roman"/>
          <w:sz w:val="24"/>
          <w:szCs w:val="24"/>
          <w:lang w:eastAsia="en-GB"/>
        </w:rPr>
        <w:t>, SEI</w:t>
      </w:r>
      <w:r w:rsidR="00CF50C9" w:rsidRPr="00B31292">
        <w:rPr>
          <w:rFonts w:ascii="Garamond" w:eastAsia="Times New Roman" w:hAnsi="Garamond" w:cs="Times New Roman"/>
          <w:sz w:val="24"/>
          <w:szCs w:val="24"/>
          <w:lang w:eastAsia="en-GB"/>
        </w:rPr>
        <w:t xml:space="preserve"> ka </w:t>
      </w:r>
      <w:r w:rsidRPr="00B31292">
        <w:rPr>
          <w:rFonts w:ascii="Garamond" w:eastAsia="Times New Roman" w:hAnsi="Garamond" w:cs="Times New Roman"/>
          <w:sz w:val="24"/>
          <w:szCs w:val="24"/>
          <w:lang w:eastAsia="en-GB"/>
        </w:rPr>
        <w:t xml:space="preserve">dorëzuar pranë zyrës së </w:t>
      </w:r>
      <w:r w:rsidR="002044F7" w:rsidRPr="00B31292">
        <w:rPr>
          <w:rFonts w:ascii="Garamond" w:eastAsia="Times New Roman" w:hAnsi="Garamond" w:cs="Times New Roman"/>
          <w:sz w:val="24"/>
          <w:szCs w:val="24"/>
          <w:lang w:eastAsia="en-GB"/>
        </w:rPr>
        <w:t>k</w:t>
      </w:r>
      <w:r w:rsidRPr="00B31292">
        <w:rPr>
          <w:rFonts w:ascii="Garamond" w:eastAsia="Times New Roman" w:hAnsi="Garamond" w:cs="Times New Roman"/>
          <w:sz w:val="24"/>
          <w:szCs w:val="24"/>
          <w:lang w:eastAsia="en-GB"/>
        </w:rPr>
        <w:t xml:space="preserve">ryenegociatorit pozicionin negociues të </w:t>
      </w:r>
      <w:r w:rsidR="002E40BF" w:rsidRPr="00B31292">
        <w:rPr>
          <w:rFonts w:ascii="Garamond" w:eastAsia="Times New Roman" w:hAnsi="Garamond" w:cs="Times New Roman"/>
          <w:sz w:val="24"/>
          <w:szCs w:val="24"/>
          <w:lang w:eastAsia="en-GB"/>
        </w:rPr>
        <w:t>k</w:t>
      </w:r>
      <w:r w:rsidRPr="00B31292">
        <w:rPr>
          <w:rFonts w:ascii="Garamond" w:eastAsia="Times New Roman" w:hAnsi="Garamond" w:cs="Times New Roman"/>
          <w:sz w:val="24"/>
          <w:szCs w:val="24"/>
          <w:lang w:eastAsia="en-GB"/>
        </w:rPr>
        <w:t xml:space="preserve">apitullit 18 </w:t>
      </w:r>
      <w:r w:rsidR="00BA12C3" w:rsidRPr="00B31292">
        <w:rPr>
          <w:rFonts w:ascii="Garamond" w:eastAsia="Times New Roman" w:hAnsi="Garamond" w:cs="Times New Roman"/>
          <w:sz w:val="24"/>
          <w:szCs w:val="24"/>
          <w:lang w:eastAsia="en-GB"/>
        </w:rPr>
        <w:t>“</w:t>
      </w:r>
      <w:r w:rsidRPr="00B31292">
        <w:rPr>
          <w:rFonts w:ascii="Garamond" w:eastAsia="Times New Roman" w:hAnsi="Garamond" w:cs="Times New Roman"/>
          <w:sz w:val="24"/>
          <w:szCs w:val="24"/>
          <w:lang w:eastAsia="en-GB"/>
        </w:rPr>
        <w:t>Statistikat</w:t>
      </w:r>
      <w:r w:rsidR="00BA12C3" w:rsidRPr="00B31292">
        <w:rPr>
          <w:rFonts w:ascii="Garamond" w:eastAsia="Times New Roman" w:hAnsi="Garamond" w:cs="Times New Roman"/>
          <w:sz w:val="24"/>
          <w:szCs w:val="24"/>
          <w:lang w:eastAsia="en-GB"/>
        </w:rPr>
        <w:t>”</w:t>
      </w:r>
      <w:r w:rsidRPr="00B31292">
        <w:rPr>
          <w:rFonts w:ascii="Garamond" w:eastAsia="Times New Roman" w:hAnsi="Garamond" w:cs="Times New Roman"/>
          <w:sz w:val="24"/>
          <w:szCs w:val="24"/>
          <w:lang w:eastAsia="en-GB"/>
        </w:rPr>
        <w:t>.</w:t>
      </w:r>
      <w:r w:rsidR="004416BB" w:rsidRPr="00B31292">
        <w:rPr>
          <w:rFonts w:ascii="Garamond" w:eastAsia="Times New Roman" w:hAnsi="Garamond" w:cs="Times New Roman"/>
          <w:sz w:val="24"/>
          <w:szCs w:val="24"/>
          <w:lang w:eastAsia="en-GB"/>
        </w:rPr>
        <w:t xml:space="preserve"> </w:t>
      </w:r>
      <w:r w:rsidRPr="00B31292">
        <w:rPr>
          <w:rFonts w:ascii="Garamond" w:eastAsia="Times New Roman" w:hAnsi="Garamond" w:cs="Times New Roman"/>
          <w:sz w:val="24"/>
          <w:szCs w:val="24"/>
          <w:lang w:eastAsia="en-GB"/>
        </w:rPr>
        <w:t xml:space="preserve">Gjithashtu, në kuadër të detyrimeve që sjell zbatimi i agjendës së </w:t>
      </w:r>
      <w:r w:rsidR="004416BB" w:rsidRPr="00B31292">
        <w:rPr>
          <w:rFonts w:ascii="Garamond" w:eastAsia="Times New Roman" w:hAnsi="Garamond" w:cs="Times New Roman"/>
          <w:sz w:val="24"/>
          <w:szCs w:val="24"/>
          <w:lang w:eastAsia="en-GB"/>
        </w:rPr>
        <w:t>i</w:t>
      </w:r>
      <w:r w:rsidRPr="00B31292">
        <w:rPr>
          <w:rFonts w:ascii="Garamond" w:eastAsia="Times New Roman" w:hAnsi="Garamond" w:cs="Times New Roman"/>
          <w:sz w:val="24"/>
          <w:szCs w:val="24"/>
          <w:lang w:eastAsia="en-GB"/>
        </w:rPr>
        <w:t>ntegrimit Evropian</w:t>
      </w:r>
      <w:r w:rsidR="004416BB" w:rsidRPr="00B31292">
        <w:rPr>
          <w:rFonts w:ascii="Garamond" w:eastAsia="Times New Roman" w:hAnsi="Garamond" w:cs="Times New Roman"/>
          <w:sz w:val="24"/>
          <w:szCs w:val="24"/>
          <w:lang w:eastAsia="en-GB"/>
        </w:rPr>
        <w:t>,</w:t>
      </w:r>
      <w:r w:rsidRPr="00B31292">
        <w:rPr>
          <w:rFonts w:ascii="Garamond" w:eastAsia="Times New Roman" w:hAnsi="Garamond" w:cs="Times New Roman"/>
          <w:sz w:val="24"/>
          <w:szCs w:val="24"/>
          <w:lang w:eastAsia="en-GB"/>
        </w:rPr>
        <w:t xml:space="preserve"> INSTAT</w:t>
      </w:r>
      <w:r w:rsidR="002E40BF" w:rsidRPr="00B31292">
        <w:rPr>
          <w:rFonts w:ascii="Garamond" w:eastAsia="Times New Roman" w:hAnsi="Garamond" w:cs="Times New Roman"/>
          <w:sz w:val="24"/>
          <w:szCs w:val="24"/>
          <w:lang w:eastAsia="en-GB"/>
        </w:rPr>
        <w:t>-i</w:t>
      </w:r>
      <w:r w:rsidRPr="00B31292">
        <w:rPr>
          <w:rFonts w:ascii="Garamond" w:eastAsia="Times New Roman" w:hAnsi="Garamond" w:cs="Times New Roman"/>
          <w:sz w:val="24"/>
          <w:szCs w:val="24"/>
          <w:lang w:eastAsia="en-GB"/>
        </w:rPr>
        <w:t xml:space="preserve"> ka përgatitur raportimet dhe kontributet si vijon</w:t>
      </w:r>
      <w:r w:rsidR="002044F7" w:rsidRPr="00B31292">
        <w:rPr>
          <w:rFonts w:ascii="Garamond" w:eastAsia="Times New Roman" w:hAnsi="Garamond" w:cs="Times New Roman"/>
          <w:sz w:val="24"/>
          <w:szCs w:val="24"/>
          <w:lang w:eastAsia="en-GB"/>
        </w:rPr>
        <w:t>:</w:t>
      </w:r>
    </w:p>
    <w:p w14:paraId="4235EF95" w14:textId="0C030BC0" w:rsidR="00EE716C" w:rsidRPr="00B31292" w:rsidRDefault="009508C8" w:rsidP="003A4DBA">
      <w:pPr>
        <w:autoSpaceDE w:val="0"/>
        <w:autoSpaceDN w:val="0"/>
        <w:adjustRightInd w:val="0"/>
        <w:spacing w:after="0" w:line="240" w:lineRule="auto"/>
        <w:ind w:firstLine="284"/>
        <w:jc w:val="both"/>
        <w:rPr>
          <w:rFonts w:ascii="Garamond" w:hAnsi="Garamond" w:cs="Garamond"/>
          <w:color w:val="000000"/>
          <w:sz w:val="24"/>
          <w:szCs w:val="24"/>
        </w:rPr>
      </w:pPr>
      <w:r w:rsidRPr="00B31292">
        <w:rPr>
          <w:rFonts w:ascii="Garamond" w:hAnsi="Garamond" w:cs="Wingdings"/>
          <w:color w:val="000000"/>
          <w:sz w:val="24"/>
          <w:szCs w:val="24"/>
        </w:rPr>
        <w:t>-</w:t>
      </w:r>
      <w:r w:rsidR="002E40BF" w:rsidRPr="00B31292">
        <w:rPr>
          <w:rFonts w:ascii="Garamond" w:hAnsi="Garamond" w:cs="Wingdings"/>
          <w:color w:val="000000"/>
          <w:sz w:val="24"/>
          <w:szCs w:val="24"/>
        </w:rPr>
        <w:t xml:space="preserve"> </w:t>
      </w:r>
      <w:r w:rsidR="00EE716C" w:rsidRPr="00B31292">
        <w:rPr>
          <w:rFonts w:ascii="Garamond" w:hAnsi="Garamond" w:cs="Garamond"/>
          <w:color w:val="000000"/>
          <w:sz w:val="24"/>
          <w:szCs w:val="24"/>
        </w:rPr>
        <w:t>PKIE 2025</w:t>
      </w:r>
      <w:r w:rsidR="002E40BF" w:rsidRPr="00B31292">
        <w:rPr>
          <w:rFonts w:ascii="Garamond" w:hAnsi="Garamond" w:cs="Garamond"/>
          <w:color w:val="000000"/>
          <w:sz w:val="24"/>
          <w:szCs w:val="24"/>
        </w:rPr>
        <w:t>–</w:t>
      </w:r>
      <w:r w:rsidR="00EE716C" w:rsidRPr="00B31292">
        <w:rPr>
          <w:rFonts w:ascii="Garamond" w:hAnsi="Garamond" w:cs="Garamond"/>
          <w:color w:val="000000"/>
          <w:sz w:val="24"/>
          <w:szCs w:val="24"/>
        </w:rPr>
        <w:t xml:space="preserve">2027 </w:t>
      </w:r>
      <w:r w:rsidR="002E40BF" w:rsidRPr="00B31292">
        <w:rPr>
          <w:rFonts w:ascii="Garamond" w:hAnsi="Garamond" w:cs="Garamond"/>
          <w:color w:val="000000"/>
          <w:sz w:val="24"/>
          <w:szCs w:val="24"/>
        </w:rPr>
        <w:t>–</w:t>
      </w:r>
      <w:r w:rsidR="00EE716C" w:rsidRPr="00B31292">
        <w:rPr>
          <w:rFonts w:ascii="Garamond" w:hAnsi="Garamond" w:cs="Garamond"/>
          <w:color w:val="000000"/>
          <w:sz w:val="24"/>
          <w:szCs w:val="24"/>
        </w:rPr>
        <w:t xml:space="preserve"> Planifikimi, monitorimi dhe zbatimi i Planit Kombëtar të Integrimit Evropian;</w:t>
      </w:r>
    </w:p>
    <w:p w14:paraId="2A350611" w14:textId="1D9B430A" w:rsidR="00EE716C" w:rsidRPr="00B31292" w:rsidRDefault="009508C8" w:rsidP="003A4DBA">
      <w:pPr>
        <w:autoSpaceDE w:val="0"/>
        <w:autoSpaceDN w:val="0"/>
        <w:adjustRightInd w:val="0"/>
        <w:spacing w:after="0" w:line="240" w:lineRule="auto"/>
        <w:ind w:firstLine="284"/>
        <w:jc w:val="both"/>
        <w:rPr>
          <w:rFonts w:ascii="Garamond" w:hAnsi="Garamond" w:cs="Garamond"/>
          <w:color w:val="000000"/>
          <w:sz w:val="24"/>
          <w:szCs w:val="24"/>
        </w:rPr>
      </w:pPr>
      <w:r w:rsidRPr="00B31292">
        <w:rPr>
          <w:rFonts w:ascii="Garamond" w:hAnsi="Garamond" w:cs="Symbol"/>
          <w:color w:val="000000"/>
          <w:sz w:val="24"/>
          <w:szCs w:val="24"/>
        </w:rPr>
        <w:t>-</w:t>
      </w:r>
      <w:r w:rsidR="002E40BF" w:rsidRPr="00B31292">
        <w:rPr>
          <w:rFonts w:ascii="Garamond" w:hAnsi="Garamond" w:cs="Symbol"/>
          <w:color w:val="000000"/>
          <w:sz w:val="24"/>
          <w:szCs w:val="24"/>
        </w:rPr>
        <w:t xml:space="preserve"> </w:t>
      </w:r>
      <w:r w:rsidR="00EE716C" w:rsidRPr="00B31292">
        <w:rPr>
          <w:rFonts w:ascii="Garamond" w:hAnsi="Garamond" w:cs="Garamond"/>
          <w:color w:val="000000"/>
          <w:sz w:val="24"/>
          <w:szCs w:val="24"/>
        </w:rPr>
        <w:t>Programin Kombëtar për Aderimin në Bashkimin Evropian PKABE 2024</w:t>
      </w:r>
      <w:r w:rsidR="002E40BF" w:rsidRPr="00B31292">
        <w:rPr>
          <w:rFonts w:ascii="Garamond" w:hAnsi="Garamond" w:cs="Garamond"/>
          <w:color w:val="000000"/>
          <w:sz w:val="24"/>
          <w:szCs w:val="24"/>
        </w:rPr>
        <w:t>–</w:t>
      </w:r>
      <w:r w:rsidR="00EE716C" w:rsidRPr="00B31292">
        <w:rPr>
          <w:rFonts w:ascii="Garamond" w:hAnsi="Garamond" w:cs="Garamond"/>
          <w:color w:val="000000"/>
          <w:sz w:val="24"/>
          <w:szCs w:val="24"/>
        </w:rPr>
        <w:t>2030;</w:t>
      </w:r>
    </w:p>
    <w:p w14:paraId="4F3672F9" w14:textId="2D747D15" w:rsidR="00EE716C" w:rsidRPr="00B31292" w:rsidRDefault="009508C8" w:rsidP="003A4DBA">
      <w:pPr>
        <w:autoSpaceDE w:val="0"/>
        <w:autoSpaceDN w:val="0"/>
        <w:adjustRightInd w:val="0"/>
        <w:spacing w:after="0" w:line="240" w:lineRule="auto"/>
        <w:ind w:firstLine="284"/>
        <w:jc w:val="both"/>
        <w:rPr>
          <w:rFonts w:ascii="Garamond" w:hAnsi="Garamond" w:cs="Garamond"/>
          <w:color w:val="000000"/>
          <w:sz w:val="24"/>
          <w:szCs w:val="24"/>
        </w:rPr>
      </w:pPr>
      <w:r w:rsidRPr="00B31292">
        <w:rPr>
          <w:rFonts w:ascii="Garamond" w:hAnsi="Garamond" w:cs="Symbol"/>
          <w:color w:val="000000"/>
          <w:sz w:val="24"/>
          <w:szCs w:val="24"/>
        </w:rPr>
        <w:t>-</w:t>
      </w:r>
      <w:r w:rsidR="002E40BF" w:rsidRPr="00B31292">
        <w:rPr>
          <w:rFonts w:ascii="Garamond" w:hAnsi="Garamond" w:cs="Symbol"/>
          <w:color w:val="000000"/>
          <w:sz w:val="24"/>
          <w:szCs w:val="24"/>
        </w:rPr>
        <w:t xml:space="preserve"> </w:t>
      </w:r>
      <w:r w:rsidR="00EE716C" w:rsidRPr="00B31292">
        <w:rPr>
          <w:rFonts w:ascii="Garamond" w:hAnsi="Garamond" w:cs="Garamond"/>
          <w:color w:val="000000"/>
          <w:sz w:val="24"/>
          <w:szCs w:val="24"/>
        </w:rPr>
        <w:t xml:space="preserve">Progres Raporti për </w:t>
      </w:r>
      <w:r w:rsidR="002044F7" w:rsidRPr="00B31292">
        <w:rPr>
          <w:rFonts w:ascii="Garamond" w:hAnsi="Garamond" w:cs="Garamond"/>
          <w:color w:val="000000"/>
          <w:sz w:val="24"/>
          <w:szCs w:val="24"/>
        </w:rPr>
        <w:t>k</w:t>
      </w:r>
      <w:r w:rsidR="00EE716C" w:rsidRPr="00B31292">
        <w:rPr>
          <w:rFonts w:ascii="Garamond" w:hAnsi="Garamond" w:cs="Garamond"/>
          <w:color w:val="000000"/>
          <w:sz w:val="24"/>
          <w:szCs w:val="24"/>
        </w:rPr>
        <w:t xml:space="preserve">apitullin 18 </w:t>
      </w:r>
      <w:r w:rsidR="00BA12C3" w:rsidRPr="00B31292">
        <w:rPr>
          <w:rFonts w:ascii="Garamond" w:hAnsi="Garamond" w:cs="Garamond"/>
          <w:color w:val="000000"/>
          <w:sz w:val="24"/>
          <w:szCs w:val="24"/>
        </w:rPr>
        <w:t>“</w:t>
      </w:r>
      <w:r w:rsidR="00EE716C" w:rsidRPr="00B31292">
        <w:rPr>
          <w:rFonts w:ascii="Garamond" w:hAnsi="Garamond" w:cs="Garamond"/>
          <w:color w:val="000000"/>
          <w:sz w:val="24"/>
          <w:szCs w:val="24"/>
        </w:rPr>
        <w:t>Statistikat</w:t>
      </w:r>
      <w:r w:rsidR="00BA12C3" w:rsidRPr="00B31292">
        <w:rPr>
          <w:rFonts w:ascii="Garamond" w:hAnsi="Garamond" w:cs="Garamond"/>
          <w:color w:val="000000"/>
          <w:sz w:val="24"/>
          <w:szCs w:val="24"/>
        </w:rPr>
        <w:t>”</w:t>
      </w:r>
      <w:r w:rsidR="00EE716C" w:rsidRPr="00B31292">
        <w:rPr>
          <w:rFonts w:ascii="Garamond" w:hAnsi="Garamond" w:cs="Garamond"/>
          <w:color w:val="000000"/>
          <w:sz w:val="24"/>
          <w:szCs w:val="24"/>
        </w:rPr>
        <w:t xml:space="preserve">; </w:t>
      </w:r>
    </w:p>
    <w:p w14:paraId="76E58828" w14:textId="4328B989" w:rsidR="00EE716C" w:rsidRPr="00B31292" w:rsidRDefault="009508C8" w:rsidP="003A4DBA">
      <w:pPr>
        <w:autoSpaceDE w:val="0"/>
        <w:autoSpaceDN w:val="0"/>
        <w:adjustRightInd w:val="0"/>
        <w:spacing w:after="0" w:line="240" w:lineRule="auto"/>
        <w:ind w:firstLine="284"/>
        <w:jc w:val="both"/>
        <w:rPr>
          <w:rFonts w:ascii="Garamond" w:hAnsi="Garamond" w:cs="Garamond"/>
          <w:color w:val="000000"/>
          <w:sz w:val="24"/>
          <w:szCs w:val="24"/>
        </w:rPr>
      </w:pPr>
      <w:r w:rsidRPr="00B31292">
        <w:rPr>
          <w:rFonts w:ascii="Garamond" w:hAnsi="Garamond" w:cs="Symbol"/>
          <w:color w:val="000000"/>
          <w:sz w:val="24"/>
          <w:szCs w:val="24"/>
        </w:rPr>
        <w:t>-</w:t>
      </w:r>
      <w:r w:rsidR="002E40BF" w:rsidRPr="00B31292">
        <w:rPr>
          <w:rFonts w:ascii="Garamond" w:hAnsi="Garamond" w:cs="Symbol"/>
          <w:color w:val="000000"/>
          <w:sz w:val="24"/>
          <w:szCs w:val="24"/>
        </w:rPr>
        <w:t xml:space="preserve"> </w:t>
      </w:r>
      <w:r w:rsidR="00EE716C" w:rsidRPr="00B31292">
        <w:rPr>
          <w:rFonts w:ascii="Garamond" w:hAnsi="Garamond" w:cs="Garamond"/>
          <w:color w:val="000000"/>
          <w:sz w:val="24"/>
          <w:szCs w:val="24"/>
        </w:rPr>
        <w:t xml:space="preserve">Kontributi në </w:t>
      </w:r>
      <w:r w:rsidR="002044F7" w:rsidRPr="00B31292">
        <w:rPr>
          <w:rFonts w:ascii="Garamond" w:hAnsi="Garamond" w:cs="Garamond"/>
          <w:color w:val="000000"/>
          <w:sz w:val="24"/>
          <w:szCs w:val="24"/>
        </w:rPr>
        <w:t>n</w:t>
      </w:r>
      <w:r w:rsidR="00EE716C" w:rsidRPr="00B31292">
        <w:rPr>
          <w:rFonts w:ascii="Garamond" w:hAnsi="Garamond" w:cs="Garamond"/>
          <w:color w:val="000000"/>
          <w:sz w:val="24"/>
          <w:szCs w:val="24"/>
        </w:rPr>
        <w:t>ënkomitete të ndryshme ku INSTAT</w:t>
      </w:r>
      <w:r w:rsidR="002E40BF" w:rsidRPr="00B31292">
        <w:rPr>
          <w:rFonts w:ascii="Garamond" w:hAnsi="Garamond" w:cs="Garamond"/>
          <w:color w:val="000000"/>
          <w:sz w:val="24"/>
          <w:szCs w:val="24"/>
        </w:rPr>
        <w:t>-i</w:t>
      </w:r>
      <w:r w:rsidR="00EE716C" w:rsidRPr="00B31292">
        <w:rPr>
          <w:rFonts w:ascii="Garamond" w:hAnsi="Garamond" w:cs="Garamond"/>
          <w:color w:val="000000"/>
          <w:sz w:val="24"/>
          <w:szCs w:val="24"/>
        </w:rPr>
        <w:t xml:space="preserve"> kontribuon si:</w:t>
      </w:r>
    </w:p>
    <w:p w14:paraId="5EA54E3B" w14:textId="1DCB7CCA" w:rsidR="00EE716C" w:rsidRPr="00B31292" w:rsidRDefault="009508C8" w:rsidP="003A4DBA">
      <w:pPr>
        <w:autoSpaceDE w:val="0"/>
        <w:autoSpaceDN w:val="0"/>
        <w:adjustRightInd w:val="0"/>
        <w:spacing w:after="0" w:line="240" w:lineRule="auto"/>
        <w:ind w:firstLine="284"/>
        <w:jc w:val="both"/>
        <w:rPr>
          <w:rFonts w:ascii="Garamond" w:hAnsi="Garamond" w:cs="Garamond"/>
          <w:color w:val="000000"/>
          <w:sz w:val="24"/>
          <w:szCs w:val="24"/>
        </w:rPr>
      </w:pPr>
      <w:r w:rsidRPr="00B31292">
        <w:rPr>
          <w:rFonts w:ascii="Garamond" w:hAnsi="Garamond" w:cs="Symbol"/>
          <w:color w:val="000000"/>
          <w:sz w:val="24"/>
          <w:szCs w:val="24"/>
        </w:rPr>
        <w:t>-</w:t>
      </w:r>
      <w:r w:rsidR="002E40BF" w:rsidRPr="00B31292">
        <w:rPr>
          <w:rFonts w:ascii="Garamond" w:hAnsi="Garamond" w:cs="Symbol"/>
          <w:color w:val="000000"/>
          <w:sz w:val="24"/>
          <w:szCs w:val="24"/>
        </w:rPr>
        <w:t xml:space="preserve"> </w:t>
      </w:r>
      <w:r w:rsidR="00EE716C" w:rsidRPr="00B31292">
        <w:rPr>
          <w:rFonts w:ascii="Garamond" w:hAnsi="Garamond" w:cs="Garamond"/>
          <w:color w:val="000000"/>
          <w:sz w:val="24"/>
          <w:szCs w:val="24"/>
        </w:rPr>
        <w:t xml:space="preserve">Nënkomiteti për Ekonominë, Çështjet </w:t>
      </w:r>
      <w:r w:rsidR="002044F7" w:rsidRPr="00B31292">
        <w:rPr>
          <w:rFonts w:ascii="Garamond" w:hAnsi="Garamond" w:cs="Garamond"/>
          <w:color w:val="000000"/>
          <w:sz w:val="24"/>
          <w:szCs w:val="24"/>
        </w:rPr>
        <w:t>Ekonomike</w:t>
      </w:r>
      <w:r w:rsidR="00EE716C" w:rsidRPr="00B31292">
        <w:rPr>
          <w:rFonts w:ascii="Garamond" w:hAnsi="Garamond" w:cs="Garamond"/>
          <w:color w:val="000000"/>
          <w:sz w:val="24"/>
          <w:szCs w:val="24"/>
        </w:rPr>
        <w:t xml:space="preserve">, </w:t>
      </w:r>
      <w:r w:rsidR="002044F7" w:rsidRPr="00B31292">
        <w:rPr>
          <w:rFonts w:ascii="Garamond" w:hAnsi="Garamond" w:cs="Garamond"/>
          <w:color w:val="000000"/>
          <w:sz w:val="24"/>
          <w:szCs w:val="24"/>
        </w:rPr>
        <w:t xml:space="preserve">Financiare </w:t>
      </w:r>
      <w:r w:rsidR="00EE716C" w:rsidRPr="00B31292">
        <w:rPr>
          <w:rFonts w:ascii="Garamond" w:hAnsi="Garamond" w:cs="Garamond"/>
          <w:color w:val="000000"/>
          <w:sz w:val="24"/>
          <w:szCs w:val="24"/>
        </w:rPr>
        <w:t>dhe Statistikat – ECOFIN;</w:t>
      </w:r>
    </w:p>
    <w:p w14:paraId="06B71643" w14:textId="2854919E" w:rsidR="00EE716C" w:rsidRPr="00B31292" w:rsidRDefault="009508C8" w:rsidP="003A4DBA">
      <w:pPr>
        <w:autoSpaceDE w:val="0"/>
        <w:autoSpaceDN w:val="0"/>
        <w:adjustRightInd w:val="0"/>
        <w:spacing w:after="0" w:line="240" w:lineRule="auto"/>
        <w:ind w:firstLine="284"/>
        <w:jc w:val="both"/>
        <w:rPr>
          <w:rFonts w:ascii="Garamond" w:hAnsi="Garamond" w:cs="Garamond"/>
          <w:color w:val="000000"/>
          <w:sz w:val="24"/>
          <w:szCs w:val="24"/>
        </w:rPr>
      </w:pPr>
      <w:r w:rsidRPr="00B31292">
        <w:rPr>
          <w:rFonts w:ascii="Garamond" w:hAnsi="Garamond" w:cs="Symbol"/>
          <w:color w:val="000000"/>
          <w:sz w:val="24"/>
          <w:szCs w:val="24"/>
        </w:rPr>
        <w:t>-</w:t>
      </w:r>
      <w:r w:rsidR="002E40BF" w:rsidRPr="00B31292">
        <w:rPr>
          <w:rFonts w:ascii="Garamond" w:hAnsi="Garamond" w:cs="Symbol"/>
          <w:color w:val="000000"/>
          <w:sz w:val="24"/>
          <w:szCs w:val="24"/>
        </w:rPr>
        <w:t xml:space="preserve"> </w:t>
      </w:r>
      <w:r w:rsidR="00EE716C" w:rsidRPr="00B31292">
        <w:rPr>
          <w:rFonts w:ascii="Garamond" w:hAnsi="Garamond" w:cs="Garamond"/>
          <w:color w:val="000000"/>
          <w:sz w:val="24"/>
          <w:szCs w:val="24"/>
        </w:rPr>
        <w:t xml:space="preserve">Nënkomiteti për Bujqësinë dhe </w:t>
      </w:r>
      <w:r w:rsidR="00F2621B" w:rsidRPr="00B31292">
        <w:rPr>
          <w:rFonts w:ascii="Garamond" w:hAnsi="Garamond" w:cs="Garamond"/>
          <w:color w:val="000000"/>
          <w:sz w:val="24"/>
          <w:szCs w:val="24"/>
        </w:rPr>
        <w:t xml:space="preserve">Peshkimin </w:t>
      </w:r>
      <w:r w:rsidR="00EE716C" w:rsidRPr="00B31292">
        <w:rPr>
          <w:rFonts w:ascii="Garamond" w:hAnsi="Garamond" w:cs="Garamond"/>
          <w:color w:val="000000"/>
          <w:sz w:val="24"/>
          <w:szCs w:val="24"/>
        </w:rPr>
        <w:t>– AGRIFISH;</w:t>
      </w:r>
    </w:p>
    <w:p w14:paraId="38DDC03D" w14:textId="674124CF" w:rsidR="00EE716C" w:rsidRPr="00B31292" w:rsidRDefault="009508C8" w:rsidP="003A4DBA">
      <w:pPr>
        <w:autoSpaceDE w:val="0"/>
        <w:autoSpaceDN w:val="0"/>
        <w:adjustRightInd w:val="0"/>
        <w:spacing w:after="0" w:line="240" w:lineRule="auto"/>
        <w:ind w:firstLine="284"/>
        <w:jc w:val="both"/>
        <w:rPr>
          <w:rFonts w:ascii="Garamond" w:hAnsi="Garamond" w:cs="Garamond"/>
          <w:color w:val="000000"/>
          <w:sz w:val="24"/>
          <w:szCs w:val="24"/>
        </w:rPr>
      </w:pPr>
      <w:r w:rsidRPr="00B31292">
        <w:rPr>
          <w:rFonts w:ascii="Garamond" w:hAnsi="Garamond" w:cs="Symbol"/>
          <w:color w:val="000000"/>
          <w:sz w:val="24"/>
          <w:szCs w:val="24"/>
        </w:rPr>
        <w:t>-</w:t>
      </w:r>
      <w:r w:rsidR="002E40BF" w:rsidRPr="00B31292">
        <w:rPr>
          <w:rFonts w:ascii="Garamond" w:hAnsi="Garamond" w:cs="Symbol"/>
          <w:color w:val="000000"/>
          <w:sz w:val="24"/>
          <w:szCs w:val="24"/>
        </w:rPr>
        <w:t xml:space="preserve"> </w:t>
      </w:r>
      <w:r w:rsidR="00EE716C" w:rsidRPr="00B31292">
        <w:rPr>
          <w:rFonts w:ascii="Garamond" w:hAnsi="Garamond" w:cs="Garamond"/>
          <w:color w:val="000000"/>
          <w:sz w:val="24"/>
          <w:szCs w:val="24"/>
        </w:rPr>
        <w:t>Nënkomiteti për Tregtinë, industrinë, doganat dhe tatimet;</w:t>
      </w:r>
    </w:p>
    <w:p w14:paraId="2E24AAF8" w14:textId="60C9E607" w:rsidR="00EE716C" w:rsidRPr="00B31292" w:rsidRDefault="009508C8" w:rsidP="003A4DBA">
      <w:pPr>
        <w:autoSpaceDE w:val="0"/>
        <w:autoSpaceDN w:val="0"/>
        <w:adjustRightInd w:val="0"/>
        <w:spacing w:after="0" w:line="240" w:lineRule="auto"/>
        <w:ind w:firstLine="284"/>
        <w:jc w:val="both"/>
        <w:rPr>
          <w:rFonts w:ascii="Garamond" w:hAnsi="Garamond" w:cs="Garamond"/>
          <w:color w:val="000000"/>
          <w:sz w:val="24"/>
          <w:szCs w:val="24"/>
        </w:rPr>
      </w:pPr>
      <w:r w:rsidRPr="00B31292">
        <w:rPr>
          <w:rFonts w:ascii="Garamond" w:hAnsi="Garamond" w:cs="Symbol"/>
          <w:color w:val="000000"/>
          <w:sz w:val="24"/>
          <w:szCs w:val="24"/>
        </w:rPr>
        <w:t>-</w:t>
      </w:r>
      <w:r w:rsidR="002E40BF" w:rsidRPr="00B31292">
        <w:rPr>
          <w:rFonts w:ascii="Garamond" w:hAnsi="Garamond" w:cs="Symbol"/>
          <w:color w:val="000000"/>
          <w:sz w:val="24"/>
          <w:szCs w:val="24"/>
        </w:rPr>
        <w:t xml:space="preserve"> </w:t>
      </w:r>
      <w:r w:rsidR="00EE716C" w:rsidRPr="00B31292">
        <w:rPr>
          <w:rFonts w:ascii="Garamond" w:hAnsi="Garamond" w:cs="Garamond"/>
          <w:color w:val="000000"/>
          <w:sz w:val="24"/>
          <w:szCs w:val="24"/>
        </w:rPr>
        <w:t xml:space="preserve">Nënkomiteti </w:t>
      </w:r>
      <w:r w:rsidR="00BA12C3" w:rsidRPr="00B31292">
        <w:rPr>
          <w:rFonts w:ascii="Garamond" w:hAnsi="Garamond" w:cs="Garamond"/>
          <w:color w:val="000000"/>
          <w:sz w:val="24"/>
          <w:szCs w:val="24"/>
        </w:rPr>
        <w:t>“</w:t>
      </w:r>
      <w:r w:rsidR="00EE716C" w:rsidRPr="00B31292">
        <w:rPr>
          <w:rFonts w:ascii="Garamond" w:hAnsi="Garamond" w:cs="Garamond"/>
          <w:color w:val="000000"/>
          <w:sz w:val="24"/>
          <w:szCs w:val="24"/>
        </w:rPr>
        <w:t xml:space="preserve">Drejtësia, </w:t>
      </w:r>
      <w:r w:rsidR="00F2621B" w:rsidRPr="00B31292">
        <w:rPr>
          <w:rFonts w:ascii="Garamond" w:hAnsi="Garamond" w:cs="Garamond"/>
          <w:color w:val="000000"/>
          <w:sz w:val="24"/>
          <w:szCs w:val="24"/>
        </w:rPr>
        <w:t>liria dhe siguria</w:t>
      </w:r>
      <w:r w:rsidR="00BA12C3" w:rsidRPr="00B31292">
        <w:rPr>
          <w:rFonts w:ascii="Garamond" w:hAnsi="Garamond" w:cs="Garamond"/>
          <w:color w:val="000000"/>
          <w:sz w:val="24"/>
          <w:szCs w:val="24"/>
        </w:rPr>
        <w:t>”</w:t>
      </w:r>
      <w:r w:rsidR="00EE716C" w:rsidRPr="00B31292">
        <w:rPr>
          <w:rFonts w:ascii="Garamond" w:hAnsi="Garamond" w:cs="Garamond"/>
          <w:color w:val="000000"/>
          <w:sz w:val="24"/>
          <w:szCs w:val="24"/>
        </w:rPr>
        <w:t>;</w:t>
      </w:r>
    </w:p>
    <w:p w14:paraId="4FBFB885" w14:textId="038F4FC6" w:rsidR="00EE716C" w:rsidRPr="00B31292" w:rsidRDefault="009508C8" w:rsidP="003A4DBA">
      <w:pPr>
        <w:autoSpaceDE w:val="0"/>
        <w:autoSpaceDN w:val="0"/>
        <w:adjustRightInd w:val="0"/>
        <w:spacing w:after="0" w:line="240" w:lineRule="auto"/>
        <w:ind w:firstLine="284"/>
        <w:jc w:val="both"/>
        <w:rPr>
          <w:rFonts w:ascii="Garamond" w:hAnsi="Garamond" w:cs="Garamond"/>
          <w:color w:val="000000"/>
          <w:sz w:val="24"/>
          <w:szCs w:val="24"/>
        </w:rPr>
      </w:pPr>
      <w:r w:rsidRPr="00B31292">
        <w:rPr>
          <w:rFonts w:ascii="Garamond" w:hAnsi="Garamond" w:cs="Symbol"/>
          <w:color w:val="000000"/>
          <w:sz w:val="24"/>
          <w:szCs w:val="24"/>
        </w:rPr>
        <w:t>-</w:t>
      </w:r>
      <w:r w:rsidR="002E40BF" w:rsidRPr="00B31292">
        <w:rPr>
          <w:rFonts w:ascii="Garamond" w:hAnsi="Garamond" w:cs="Symbol"/>
          <w:color w:val="000000"/>
          <w:sz w:val="24"/>
          <w:szCs w:val="24"/>
        </w:rPr>
        <w:t xml:space="preserve"> </w:t>
      </w:r>
      <w:r w:rsidR="00EE716C" w:rsidRPr="00B31292">
        <w:rPr>
          <w:rFonts w:ascii="Garamond" w:hAnsi="Garamond" w:cs="Garamond"/>
          <w:color w:val="000000"/>
          <w:sz w:val="24"/>
          <w:szCs w:val="24"/>
        </w:rPr>
        <w:t xml:space="preserve">Nënkomiteti </w:t>
      </w:r>
      <w:r w:rsidR="00BA12C3" w:rsidRPr="00B31292">
        <w:rPr>
          <w:rFonts w:ascii="Garamond" w:hAnsi="Garamond" w:cs="Garamond"/>
          <w:color w:val="000000"/>
          <w:sz w:val="24"/>
          <w:szCs w:val="24"/>
        </w:rPr>
        <w:t>“</w:t>
      </w:r>
      <w:r w:rsidR="00EE716C" w:rsidRPr="00B31292">
        <w:rPr>
          <w:rFonts w:ascii="Garamond" w:hAnsi="Garamond" w:cs="Garamond"/>
          <w:color w:val="000000"/>
          <w:sz w:val="24"/>
          <w:szCs w:val="24"/>
        </w:rPr>
        <w:t>Inovacioni, shoqëria e informacionit dhe politikat sociale</w:t>
      </w:r>
      <w:r w:rsidR="00BA12C3" w:rsidRPr="00B31292">
        <w:rPr>
          <w:rFonts w:ascii="Garamond" w:hAnsi="Garamond" w:cs="Garamond"/>
          <w:color w:val="000000"/>
          <w:sz w:val="24"/>
          <w:szCs w:val="24"/>
        </w:rPr>
        <w:t>”</w:t>
      </w:r>
      <w:r w:rsidR="00EE716C" w:rsidRPr="00B31292">
        <w:rPr>
          <w:rFonts w:ascii="Garamond" w:hAnsi="Garamond" w:cs="Garamond"/>
          <w:color w:val="000000"/>
          <w:sz w:val="24"/>
          <w:szCs w:val="24"/>
        </w:rPr>
        <w:t>.</w:t>
      </w:r>
    </w:p>
    <w:p w14:paraId="21E29D63" w14:textId="1E8B1754" w:rsidR="006E678B" w:rsidRPr="00B31292" w:rsidRDefault="006E678B" w:rsidP="003A4DBA">
      <w:pPr>
        <w:spacing w:after="0" w:line="240" w:lineRule="auto"/>
        <w:ind w:firstLine="284"/>
        <w:contextualSpacing/>
        <w:jc w:val="both"/>
        <w:rPr>
          <w:rFonts w:ascii="Garamond" w:eastAsia="Times New Roman" w:hAnsi="Garamond" w:cs="Times New Roman"/>
          <w:sz w:val="24"/>
          <w:szCs w:val="24"/>
        </w:rPr>
      </w:pPr>
      <w:r w:rsidRPr="00B31292">
        <w:rPr>
          <w:rFonts w:ascii="Garamond" w:eastAsia="Times New Roman" w:hAnsi="Garamond" w:cs="Times New Roman"/>
          <w:b/>
          <w:sz w:val="24"/>
          <w:szCs w:val="24"/>
        </w:rPr>
        <w:t>Gjatë vitit 2025,</w:t>
      </w:r>
      <w:r w:rsidRPr="00B31292">
        <w:rPr>
          <w:rFonts w:ascii="Garamond" w:eastAsia="Times New Roman" w:hAnsi="Garamond" w:cs="Times New Roman"/>
          <w:sz w:val="24"/>
          <w:szCs w:val="24"/>
        </w:rPr>
        <w:t xml:space="preserve"> </w:t>
      </w:r>
      <w:r w:rsidR="004416BB" w:rsidRPr="00B31292">
        <w:rPr>
          <w:rFonts w:ascii="Garamond" w:eastAsia="Times New Roman" w:hAnsi="Garamond" w:cs="Times New Roman"/>
          <w:sz w:val="24"/>
          <w:szCs w:val="24"/>
        </w:rPr>
        <w:t xml:space="preserve">Sistemi Kombëtar Statistikor dhe </w:t>
      </w:r>
      <w:r w:rsidRPr="00B31292">
        <w:rPr>
          <w:rFonts w:ascii="Garamond" w:eastAsia="Times New Roman" w:hAnsi="Garamond" w:cs="Times New Roman"/>
          <w:sz w:val="24"/>
          <w:szCs w:val="24"/>
        </w:rPr>
        <w:t>INSTAT</w:t>
      </w:r>
      <w:r w:rsidR="002E40BF" w:rsidRPr="00B31292">
        <w:rPr>
          <w:rFonts w:ascii="Garamond" w:eastAsia="Times New Roman" w:hAnsi="Garamond" w:cs="Times New Roman"/>
          <w:sz w:val="24"/>
          <w:szCs w:val="24"/>
        </w:rPr>
        <w:t>-i</w:t>
      </w:r>
      <w:r w:rsidRPr="00B31292">
        <w:rPr>
          <w:rFonts w:ascii="Garamond" w:eastAsia="Times New Roman" w:hAnsi="Garamond" w:cs="Times New Roman"/>
          <w:sz w:val="24"/>
          <w:szCs w:val="24"/>
        </w:rPr>
        <w:t xml:space="preserve"> do të fokusohe</w:t>
      </w:r>
      <w:r w:rsidR="004416BB" w:rsidRPr="00B31292">
        <w:rPr>
          <w:rFonts w:ascii="Garamond" w:eastAsia="Times New Roman" w:hAnsi="Garamond" w:cs="Times New Roman"/>
          <w:sz w:val="24"/>
          <w:szCs w:val="24"/>
        </w:rPr>
        <w:t>n</w:t>
      </w:r>
      <w:r w:rsidRPr="00B31292">
        <w:rPr>
          <w:rFonts w:ascii="Garamond" w:eastAsia="Times New Roman" w:hAnsi="Garamond" w:cs="Times New Roman"/>
          <w:sz w:val="24"/>
          <w:szCs w:val="24"/>
        </w:rPr>
        <w:t xml:space="preserve"> në veprimtaritë për përafrim të </w:t>
      </w:r>
      <w:r w:rsidRPr="00B31292">
        <w:rPr>
          <w:rFonts w:ascii="Garamond" w:eastAsia="Times New Roman" w:hAnsi="Garamond" w:cs="Times New Roman"/>
          <w:i/>
          <w:sz w:val="24"/>
          <w:szCs w:val="24"/>
        </w:rPr>
        <w:t>acquis communitaire</w:t>
      </w:r>
      <w:r w:rsidR="00F2621B" w:rsidRPr="00B31292">
        <w:rPr>
          <w:rFonts w:ascii="Garamond" w:eastAsia="Times New Roman" w:hAnsi="Garamond" w:cs="Times New Roman"/>
          <w:i/>
          <w:sz w:val="24"/>
          <w:szCs w:val="24"/>
        </w:rPr>
        <w:t>,</w:t>
      </w:r>
      <w:r w:rsidRPr="00B31292">
        <w:rPr>
          <w:rFonts w:ascii="Garamond" w:eastAsia="Times New Roman" w:hAnsi="Garamond" w:cs="Times New Roman"/>
          <w:sz w:val="24"/>
          <w:szCs w:val="24"/>
        </w:rPr>
        <w:t xml:space="preserve"> në </w:t>
      </w:r>
      <w:r w:rsidR="004416BB" w:rsidRPr="00B31292">
        <w:rPr>
          <w:rFonts w:ascii="Garamond" w:eastAsia="Times New Roman" w:hAnsi="Garamond" w:cs="Times New Roman"/>
          <w:sz w:val="24"/>
          <w:szCs w:val="24"/>
        </w:rPr>
        <w:t xml:space="preserve">përputhje me </w:t>
      </w:r>
      <w:r w:rsidRPr="00B31292">
        <w:rPr>
          <w:rFonts w:ascii="Garamond" w:eastAsia="Times New Roman" w:hAnsi="Garamond" w:cs="Times New Roman"/>
          <w:sz w:val="24"/>
          <w:szCs w:val="24"/>
        </w:rPr>
        <w:t>legjislacionin shqiptar</w:t>
      </w:r>
      <w:r w:rsidR="004416BB" w:rsidRPr="00B31292">
        <w:rPr>
          <w:rFonts w:ascii="Garamond" w:eastAsia="Times New Roman" w:hAnsi="Garamond" w:cs="Times New Roman"/>
          <w:sz w:val="24"/>
          <w:szCs w:val="24"/>
        </w:rPr>
        <w:t xml:space="preserve"> dhe </w:t>
      </w:r>
      <w:r w:rsidRPr="00B31292">
        <w:rPr>
          <w:rFonts w:ascii="Garamond" w:eastAsia="Times New Roman" w:hAnsi="Garamond" w:cs="Times New Roman"/>
          <w:sz w:val="24"/>
          <w:szCs w:val="24"/>
        </w:rPr>
        <w:t>agjendë</w:t>
      </w:r>
      <w:r w:rsidR="004416BB" w:rsidRPr="00B31292">
        <w:rPr>
          <w:rFonts w:ascii="Garamond" w:eastAsia="Times New Roman" w:hAnsi="Garamond" w:cs="Times New Roman"/>
          <w:sz w:val="24"/>
          <w:szCs w:val="24"/>
        </w:rPr>
        <w:t>n e</w:t>
      </w:r>
      <w:r w:rsidRPr="00B31292">
        <w:rPr>
          <w:rFonts w:ascii="Garamond" w:eastAsia="Times New Roman" w:hAnsi="Garamond" w:cs="Times New Roman"/>
          <w:sz w:val="24"/>
          <w:szCs w:val="24"/>
        </w:rPr>
        <w:t xml:space="preserve"> </w:t>
      </w:r>
      <w:r w:rsidR="00F2621B" w:rsidRPr="00B31292">
        <w:rPr>
          <w:rFonts w:ascii="Garamond" w:eastAsia="Times New Roman" w:hAnsi="Garamond" w:cs="Times New Roman"/>
          <w:sz w:val="24"/>
          <w:szCs w:val="24"/>
        </w:rPr>
        <w:t>i</w:t>
      </w:r>
      <w:r w:rsidRPr="00B31292">
        <w:rPr>
          <w:rFonts w:ascii="Garamond" w:eastAsia="Times New Roman" w:hAnsi="Garamond" w:cs="Times New Roman"/>
          <w:sz w:val="24"/>
          <w:szCs w:val="24"/>
        </w:rPr>
        <w:t xml:space="preserve">ntegrimit </w:t>
      </w:r>
      <w:r w:rsidR="00F2621B" w:rsidRPr="00B31292">
        <w:rPr>
          <w:rFonts w:ascii="Garamond" w:eastAsia="Times New Roman" w:hAnsi="Garamond" w:cs="Times New Roman"/>
          <w:sz w:val="24"/>
          <w:szCs w:val="24"/>
        </w:rPr>
        <w:lastRenderedPageBreak/>
        <w:t>e</w:t>
      </w:r>
      <w:r w:rsidRPr="00B31292">
        <w:rPr>
          <w:rFonts w:ascii="Garamond" w:eastAsia="Times New Roman" w:hAnsi="Garamond" w:cs="Times New Roman"/>
          <w:sz w:val="24"/>
          <w:szCs w:val="24"/>
        </w:rPr>
        <w:t xml:space="preserve">vropian për </w:t>
      </w:r>
      <w:r w:rsidR="00F2621B" w:rsidRPr="00B31292">
        <w:rPr>
          <w:rFonts w:ascii="Garamond" w:eastAsia="Times New Roman" w:hAnsi="Garamond" w:cs="Times New Roman"/>
          <w:sz w:val="24"/>
          <w:szCs w:val="24"/>
        </w:rPr>
        <w:t>k</w:t>
      </w:r>
      <w:r w:rsidRPr="00B31292">
        <w:rPr>
          <w:rFonts w:ascii="Garamond" w:eastAsia="Times New Roman" w:hAnsi="Garamond" w:cs="Times New Roman"/>
          <w:sz w:val="24"/>
          <w:szCs w:val="24"/>
        </w:rPr>
        <w:t xml:space="preserve">apitullin 18 </w:t>
      </w:r>
      <w:r w:rsidR="00BA12C3" w:rsidRPr="00B31292">
        <w:rPr>
          <w:rFonts w:ascii="Garamond" w:eastAsia="Times New Roman" w:hAnsi="Garamond" w:cs="Times New Roman"/>
          <w:sz w:val="24"/>
          <w:szCs w:val="24"/>
        </w:rPr>
        <w:t>“</w:t>
      </w:r>
      <w:r w:rsidRPr="00B31292">
        <w:rPr>
          <w:rFonts w:ascii="Garamond" w:eastAsia="Times New Roman" w:hAnsi="Garamond" w:cs="Times New Roman"/>
          <w:sz w:val="24"/>
          <w:szCs w:val="24"/>
        </w:rPr>
        <w:t>Statistikat</w:t>
      </w:r>
      <w:r w:rsidR="00BA12C3" w:rsidRPr="00B31292">
        <w:rPr>
          <w:rFonts w:ascii="Garamond" w:eastAsia="Times New Roman" w:hAnsi="Garamond" w:cs="Times New Roman"/>
          <w:sz w:val="24"/>
          <w:szCs w:val="24"/>
        </w:rPr>
        <w:t>”</w:t>
      </w:r>
      <w:r w:rsidRPr="00B31292">
        <w:rPr>
          <w:rFonts w:ascii="Garamond" w:eastAsia="Times New Roman" w:hAnsi="Garamond" w:cs="Times New Roman"/>
          <w:sz w:val="24"/>
          <w:szCs w:val="24"/>
        </w:rPr>
        <w:t>. Ky proces do të kërkojë një planifikim dhe përfshirje në Planin Kombëtar të Integrimit Evropian të burimeve të nevojshme njerëzore dhe financiare.</w:t>
      </w:r>
    </w:p>
    <w:p w14:paraId="0DBC9E5C" w14:textId="67601F50" w:rsidR="006E678B" w:rsidRPr="00B31292" w:rsidRDefault="006E678B" w:rsidP="003A4DBA">
      <w:pPr>
        <w:spacing w:after="0" w:line="240" w:lineRule="auto"/>
        <w:ind w:firstLine="284"/>
        <w:contextualSpacing/>
        <w:jc w:val="both"/>
        <w:rPr>
          <w:rFonts w:ascii="Garamond" w:eastAsia="Times New Roman" w:hAnsi="Garamond" w:cs="Times New Roman"/>
          <w:sz w:val="24"/>
          <w:szCs w:val="24"/>
        </w:rPr>
      </w:pPr>
      <w:r w:rsidRPr="00B31292">
        <w:rPr>
          <w:rFonts w:ascii="Garamond" w:eastAsia="Times New Roman" w:hAnsi="Garamond" w:cs="Times New Roman"/>
          <w:sz w:val="24"/>
          <w:szCs w:val="24"/>
        </w:rPr>
        <w:t xml:space="preserve">Në zbatim të </w:t>
      </w:r>
      <w:r w:rsidR="002E40BF" w:rsidRPr="00B31292">
        <w:rPr>
          <w:rFonts w:ascii="Garamond" w:eastAsia="Times New Roman" w:hAnsi="Garamond" w:cs="Times New Roman"/>
          <w:sz w:val="24"/>
          <w:szCs w:val="24"/>
        </w:rPr>
        <w:t>urdhrit</w:t>
      </w:r>
      <w:r w:rsidRPr="00B31292">
        <w:rPr>
          <w:rFonts w:ascii="Garamond" w:eastAsia="Times New Roman" w:hAnsi="Garamond" w:cs="Times New Roman"/>
          <w:sz w:val="24"/>
          <w:szCs w:val="24"/>
        </w:rPr>
        <w:t xml:space="preserve"> </w:t>
      </w:r>
      <w:r w:rsidR="004416BB" w:rsidRPr="00B31292">
        <w:rPr>
          <w:rFonts w:ascii="Garamond" w:eastAsia="Times New Roman" w:hAnsi="Garamond" w:cs="Times New Roman"/>
          <w:sz w:val="24"/>
          <w:szCs w:val="24"/>
        </w:rPr>
        <w:t xml:space="preserve">të Kryeministrit </w:t>
      </w:r>
      <w:r w:rsidRPr="00B31292">
        <w:rPr>
          <w:rFonts w:ascii="Garamond" w:eastAsia="Times New Roman" w:hAnsi="Garamond" w:cs="Times New Roman"/>
          <w:sz w:val="24"/>
          <w:szCs w:val="24"/>
        </w:rPr>
        <w:t xml:space="preserve">nr. 94, datë 20.5.2019, </w:t>
      </w:r>
      <w:r w:rsidR="00BA12C3" w:rsidRPr="00B31292">
        <w:rPr>
          <w:rFonts w:ascii="Garamond" w:eastAsia="Times New Roman" w:hAnsi="Garamond" w:cs="Times New Roman"/>
          <w:sz w:val="24"/>
          <w:szCs w:val="24"/>
        </w:rPr>
        <w:t>“</w:t>
      </w:r>
      <w:r w:rsidRPr="00B31292">
        <w:rPr>
          <w:rFonts w:ascii="Garamond" w:eastAsia="Times New Roman" w:hAnsi="Garamond" w:cs="Times New Roman"/>
          <w:sz w:val="24"/>
          <w:szCs w:val="24"/>
        </w:rPr>
        <w:t xml:space="preserve">Për ngritjen, përbërjen dhe funksionimin e </w:t>
      </w:r>
      <w:r w:rsidR="00F2621B" w:rsidRPr="00B31292">
        <w:rPr>
          <w:rFonts w:ascii="Garamond" w:eastAsia="Times New Roman" w:hAnsi="Garamond" w:cs="Times New Roman"/>
          <w:sz w:val="24"/>
          <w:szCs w:val="24"/>
        </w:rPr>
        <w:t>grupeve ndërinstitucionale të punës për integrimin evropian</w:t>
      </w:r>
      <w:r w:rsidR="004416BB" w:rsidRPr="00B31292">
        <w:rPr>
          <w:rFonts w:ascii="Garamond" w:eastAsia="Times New Roman" w:hAnsi="Garamond" w:cs="Times New Roman"/>
          <w:sz w:val="24"/>
          <w:szCs w:val="24"/>
        </w:rPr>
        <w:t xml:space="preserve"> </w:t>
      </w:r>
      <w:r w:rsidRPr="00B31292">
        <w:rPr>
          <w:rFonts w:ascii="Garamond" w:eastAsia="Times New Roman" w:hAnsi="Garamond" w:cs="Times New Roman"/>
          <w:sz w:val="24"/>
          <w:szCs w:val="24"/>
        </w:rPr>
        <w:t>(GNPIE)</w:t>
      </w:r>
      <w:r w:rsidR="00BA12C3" w:rsidRPr="00B31292">
        <w:rPr>
          <w:rFonts w:ascii="Garamond" w:eastAsia="Times New Roman" w:hAnsi="Garamond" w:cs="Times New Roman"/>
          <w:sz w:val="24"/>
          <w:szCs w:val="24"/>
        </w:rPr>
        <w:t>”</w:t>
      </w:r>
      <w:r w:rsidR="004416BB" w:rsidRPr="00B31292">
        <w:rPr>
          <w:rFonts w:ascii="Garamond" w:eastAsia="Times New Roman" w:hAnsi="Garamond" w:cs="Times New Roman"/>
          <w:sz w:val="24"/>
          <w:szCs w:val="24"/>
        </w:rPr>
        <w:t xml:space="preserve">, </w:t>
      </w:r>
      <w:r w:rsidRPr="00B31292">
        <w:rPr>
          <w:rFonts w:ascii="Garamond" w:eastAsia="Times New Roman" w:hAnsi="Garamond" w:cs="Times New Roman"/>
          <w:sz w:val="24"/>
          <w:szCs w:val="24"/>
        </w:rPr>
        <w:t xml:space="preserve">si drejtues dhe negociator i </w:t>
      </w:r>
      <w:r w:rsidR="002E40BF" w:rsidRPr="00B31292">
        <w:rPr>
          <w:rFonts w:ascii="Garamond" w:eastAsia="Times New Roman" w:hAnsi="Garamond" w:cs="Times New Roman"/>
          <w:sz w:val="24"/>
          <w:szCs w:val="24"/>
        </w:rPr>
        <w:t xml:space="preserve">kapitullit </w:t>
      </w:r>
      <w:r w:rsidRPr="00B31292">
        <w:rPr>
          <w:rFonts w:ascii="Garamond" w:eastAsia="Times New Roman" w:hAnsi="Garamond" w:cs="Times New Roman"/>
          <w:sz w:val="24"/>
          <w:szCs w:val="24"/>
        </w:rPr>
        <w:t xml:space="preserve">18, </w:t>
      </w:r>
      <w:r w:rsidR="004416BB" w:rsidRPr="00B31292">
        <w:rPr>
          <w:rFonts w:ascii="Garamond" w:eastAsia="Times New Roman" w:hAnsi="Garamond" w:cs="Times New Roman"/>
          <w:sz w:val="24"/>
          <w:szCs w:val="24"/>
        </w:rPr>
        <w:t>INSTAT</w:t>
      </w:r>
      <w:r w:rsidR="002E40BF" w:rsidRPr="00B31292">
        <w:rPr>
          <w:rFonts w:ascii="Garamond" w:eastAsia="Times New Roman" w:hAnsi="Garamond" w:cs="Times New Roman"/>
          <w:sz w:val="24"/>
          <w:szCs w:val="24"/>
        </w:rPr>
        <w:t>-i</w:t>
      </w:r>
      <w:r w:rsidR="004416BB" w:rsidRPr="00B31292">
        <w:rPr>
          <w:rFonts w:ascii="Garamond" w:eastAsia="Times New Roman" w:hAnsi="Garamond" w:cs="Times New Roman"/>
          <w:sz w:val="24"/>
          <w:szCs w:val="24"/>
        </w:rPr>
        <w:t xml:space="preserve"> </w:t>
      </w:r>
      <w:r w:rsidRPr="00B31292">
        <w:rPr>
          <w:rFonts w:ascii="Garamond" w:eastAsia="Times New Roman" w:hAnsi="Garamond" w:cs="Times New Roman"/>
          <w:sz w:val="24"/>
          <w:szCs w:val="24"/>
        </w:rPr>
        <w:t>do të vijojë organizimin e takimeve periodike të GNPIE-së për këtë kapitull</w:t>
      </w:r>
      <w:r w:rsidR="004416BB" w:rsidRPr="00B31292">
        <w:rPr>
          <w:rFonts w:ascii="Garamond" w:eastAsia="Times New Roman" w:hAnsi="Garamond" w:cs="Times New Roman"/>
          <w:sz w:val="24"/>
          <w:szCs w:val="24"/>
        </w:rPr>
        <w:t xml:space="preserve"> sipas </w:t>
      </w:r>
      <w:r w:rsidRPr="00B31292">
        <w:rPr>
          <w:rFonts w:ascii="Garamond" w:eastAsia="Times New Roman" w:hAnsi="Garamond" w:cs="Times New Roman"/>
          <w:sz w:val="24"/>
          <w:szCs w:val="24"/>
        </w:rPr>
        <w:t xml:space="preserve">metodologjisë </w:t>
      </w:r>
      <w:r w:rsidR="004416BB" w:rsidRPr="00B31292">
        <w:rPr>
          <w:rFonts w:ascii="Garamond" w:eastAsia="Times New Roman" w:hAnsi="Garamond" w:cs="Times New Roman"/>
          <w:sz w:val="24"/>
          <w:szCs w:val="24"/>
        </w:rPr>
        <w:t>p</w:t>
      </w:r>
      <w:r w:rsidRPr="00B31292">
        <w:rPr>
          <w:rFonts w:ascii="Garamond" w:eastAsia="Times New Roman" w:hAnsi="Garamond" w:cs="Times New Roman"/>
          <w:sz w:val="24"/>
          <w:szCs w:val="24"/>
        </w:rPr>
        <w:t>ë</w:t>
      </w:r>
      <w:r w:rsidR="004416BB" w:rsidRPr="00B31292">
        <w:rPr>
          <w:rFonts w:ascii="Garamond" w:eastAsia="Times New Roman" w:hAnsi="Garamond" w:cs="Times New Roman"/>
          <w:sz w:val="24"/>
          <w:szCs w:val="24"/>
        </w:rPr>
        <w:t xml:space="preserve">rkatëse, duke përdorur edhe instrumente si </w:t>
      </w:r>
      <w:r w:rsidRPr="00B31292">
        <w:rPr>
          <w:rFonts w:ascii="Garamond" w:eastAsia="Times New Roman" w:hAnsi="Garamond" w:cs="Times New Roman"/>
          <w:sz w:val="24"/>
          <w:szCs w:val="24"/>
        </w:rPr>
        <w:t xml:space="preserve">platforma </w:t>
      </w:r>
      <w:r w:rsidRPr="00B31292">
        <w:rPr>
          <w:rFonts w:ascii="Garamond" w:eastAsia="Times New Roman" w:hAnsi="Garamond" w:cs="Times New Roman"/>
          <w:i/>
          <w:iCs/>
          <w:sz w:val="24"/>
          <w:szCs w:val="24"/>
        </w:rPr>
        <w:t>online</w:t>
      </w:r>
      <w:r w:rsidRPr="00B31292">
        <w:rPr>
          <w:rFonts w:ascii="Garamond" w:eastAsia="Times New Roman" w:hAnsi="Garamond" w:cs="Times New Roman"/>
          <w:sz w:val="24"/>
          <w:szCs w:val="24"/>
        </w:rPr>
        <w:t xml:space="preserve"> e integrimit evropian PIEA, e cila do të furnizohet nga kontributi i an</w:t>
      </w:r>
      <w:r w:rsidR="00931677" w:rsidRPr="00B31292">
        <w:rPr>
          <w:rFonts w:ascii="Garamond" w:eastAsia="Times New Roman" w:hAnsi="Garamond" w:cs="Times New Roman"/>
          <w:sz w:val="24"/>
          <w:szCs w:val="24"/>
        </w:rPr>
        <w:t>ë</w:t>
      </w:r>
      <w:r w:rsidRPr="00B31292">
        <w:rPr>
          <w:rFonts w:ascii="Garamond" w:eastAsia="Times New Roman" w:hAnsi="Garamond" w:cs="Times New Roman"/>
          <w:sz w:val="24"/>
          <w:szCs w:val="24"/>
        </w:rPr>
        <w:t>tar</w:t>
      </w:r>
      <w:r w:rsidR="00931677" w:rsidRPr="00B31292">
        <w:rPr>
          <w:rFonts w:ascii="Garamond" w:eastAsia="Times New Roman" w:hAnsi="Garamond" w:cs="Times New Roman"/>
          <w:sz w:val="24"/>
          <w:szCs w:val="24"/>
        </w:rPr>
        <w:t>ë</w:t>
      </w:r>
      <w:r w:rsidRPr="00B31292">
        <w:rPr>
          <w:rFonts w:ascii="Garamond" w:eastAsia="Times New Roman" w:hAnsi="Garamond" w:cs="Times New Roman"/>
          <w:sz w:val="24"/>
          <w:szCs w:val="24"/>
        </w:rPr>
        <w:t>ve t</w:t>
      </w:r>
      <w:r w:rsidR="00931677" w:rsidRPr="00B31292">
        <w:rPr>
          <w:rFonts w:ascii="Garamond" w:eastAsia="Times New Roman" w:hAnsi="Garamond" w:cs="Times New Roman"/>
          <w:sz w:val="24"/>
          <w:szCs w:val="24"/>
        </w:rPr>
        <w:t>ë</w:t>
      </w:r>
      <w:r w:rsidRPr="00B31292">
        <w:rPr>
          <w:rFonts w:ascii="Garamond" w:eastAsia="Times New Roman" w:hAnsi="Garamond" w:cs="Times New Roman"/>
          <w:sz w:val="24"/>
          <w:szCs w:val="24"/>
        </w:rPr>
        <w:t xml:space="preserve"> GNPIE</w:t>
      </w:r>
      <w:r w:rsidR="00F2621B" w:rsidRPr="00B31292">
        <w:rPr>
          <w:rFonts w:ascii="Garamond" w:eastAsia="Times New Roman" w:hAnsi="Garamond" w:cs="Times New Roman"/>
          <w:sz w:val="24"/>
          <w:szCs w:val="24"/>
        </w:rPr>
        <w:t>-së</w:t>
      </w:r>
      <w:r w:rsidRPr="00B31292">
        <w:rPr>
          <w:rFonts w:ascii="Garamond" w:eastAsia="Times New Roman" w:hAnsi="Garamond" w:cs="Times New Roman"/>
          <w:sz w:val="24"/>
          <w:szCs w:val="24"/>
        </w:rPr>
        <w:t xml:space="preserve"> si pasqyrë zyrtare e zhvillimeve të </w:t>
      </w:r>
      <w:r w:rsidR="00F2621B" w:rsidRPr="00B31292">
        <w:rPr>
          <w:rFonts w:ascii="Garamond" w:eastAsia="Times New Roman" w:hAnsi="Garamond" w:cs="Times New Roman"/>
          <w:sz w:val="24"/>
          <w:szCs w:val="24"/>
        </w:rPr>
        <w:t>k</w:t>
      </w:r>
      <w:r w:rsidRPr="00B31292">
        <w:rPr>
          <w:rFonts w:ascii="Garamond" w:eastAsia="Times New Roman" w:hAnsi="Garamond" w:cs="Times New Roman"/>
          <w:sz w:val="24"/>
          <w:szCs w:val="24"/>
        </w:rPr>
        <w:t>apitulli</w:t>
      </w:r>
      <w:r w:rsidR="004416BB" w:rsidRPr="00B31292">
        <w:rPr>
          <w:rFonts w:ascii="Garamond" w:eastAsia="Times New Roman" w:hAnsi="Garamond" w:cs="Times New Roman"/>
          <w:sz w:val="24"/>
          <w:szCs w:val="24"/>
        </w:rPr>
        <w:t>t</w:t>
      </w:r>
      <w:r w:rsidRPr="00B31292">
        <w:rPr>
          <w:rFonts w:ascii="Garamond" w:eastAsia="Times New Roman" w:hAnsi="Garamond" w:cs="Times New Roman"/>
          <w:sz w:val="24"/>
          <w:szCs w:val="24"/>
        </w:rPr>
        <w:t xml:space="preserve"> 18 </w:t>
      </w:r>
      <w:r w:rsidR="00BA12C3" w:rsidRPr="00B31292">
        <w:rPr>
          <w:rFonts w:ascii="Garamond" w:eastAsia="Times New Roman" w:hAnsi="Garamond" w:cs="Times New Roman"/>
          <w:sz w:val="24"/>
          <w:szCs w:val="24"/>
        </w:rPr>
        <w:t>“</w:t>
      </w:r>
      <w:r w:rsidRPr="00B31292">
        <w:rPr>
          <w:rFonts w:ascii="Garamond" w:eastAsia="Times New Roman" w:hAnsi="Garamond" w:cs="Times New Roman"/>
          <w:sz w:val="24"/>
          <w:szCs w:val="24"/>
        </w:rPr>
        <w:t>Statistikat</w:t>
      </w:r>
      <w:r w:rsidR="00BA12C3" w:rsidRPr="00B31292">
        <w:rPr>
          <w:rFonts w:ascii="Garamond" w:eastAsia="Times New Roman" w:hAnsi="Garamond" w:cs="Times New Roman"/>
          <w:sz w:val="24"/>
          <w:szCs w:val="24"/>
        </w:rPr>
        <w:t>”</w:t>
      </w:r>
      <w:r w:rsidRPr="00B31292">
        <w:rPr>
          <w:rFonts w:ascii="Garamond" w:eastAsia="Times New Roman" w:hAnsi="Garamond" w:cs="Times New Roman"/>
          <w:sz w:val="24"/>
          <w:szCs w:val="24"/>
        </w:rPr>
        <w:t>.</w:t>
      </w:r>
      <w:r w:rsidR="002E2911" w:rsidRPr="00B31292">
        <w:rPr>
          <w:rFonts w:ascii="Garamond" w:eastAsia="Times New Roman" w:hAnsi="Garamond" w:cs="Times New Roman"/>
          <w:sz w:val="24"/>
          <w:szCs w:val="24"/>
        </w:rPr>
        <w:t xml:space="preserve"> </w:t>
      </w:r>
    </w:p>
    <w:p w14:paraId="1813D62A" w14:textId="6599125E" w:rsidR="006E678B" w:rsidRPr="00B31292" w:rsidRDefault="004416BB" w:rsidP="003A4DBA">
      <w:pPr>
        <w:spacing w:after="0" w:line="240" w:lineRule="auto"/>
        <w:ind w:firstLine="284"/>
        <w:contextualSpacing/>
        <w:jc w:val="both"/>
        <w:rPr>
          <w:rFonts w:ascii="Garamond" w:eastAsia="Times New Roman" w:hAnsi="Garamond" w:cs="Times New Roman"/>
          <w:sz w:val="24"/>
          <w:szCs w:val="24"/>
        </w:rPr>
      </w:pPr>
      <w:r w:rsidRPr="00B31292">
        <w:rPr>
          <w:rFonts w:ascii="Garamond" w:eastAsia="Times New Roman" w:hAnsi="Garamond" w:cs="Times New Roman"/>
          <w:sz w:val="24"/>
          <w:szCs w:val="24"/>
        </w:rPr>
        <w:t>M</w:t>
      </w:r>
      <w:r w:rsidR="006E678B" w:rsidRPr="00B31292">
        <w:rPr>
          <w:rFonts w:ascii="Garamond" w:eastAsia="Times New Roman" w:hAnsi="Garamond" w:cs="Times New Roman"/>
          <w:sz w:val="24"/>
          <w:szCs w:val="24"/>
        </w:rPr>
        <w:t>bështetur në VKM</w:t>
      </w:r>
      <w:r w:rsidR="002E40BF" w:rsidRPr="00B31292">
        <w:rPr>
          <w:rFonts w:ascii="Garamond" w:eastAsia="Times New Roman" w:hAnsi="Garamond" w:cs="Times New Roman"/>
          <w:sz w:val="24"/>
          <w:szCs w:val="24"/>
        </w:rPr>
        <w:t>-në</w:t>
      </w:r>
      <w:r w:rsidR="006E678B" w:rsidRPr="00B31292">
        <w:rPr>
          <w:rFonts w:ascii="Garamond" w:eastAsia="Times New Roman" w:hAnsi="Garamond" w:cs="Times New Roman"/>
          <w:sz w:val="24"/>
          <w:szCs w:val="24"/>
        </w:rPr>
        <w:t xml:space="preserve"> nr. 749, datë 19.12.2018</w:t>
      </w:r>
      <w:r w:rsidR="002E40BF" w:rsidRPr="00B31292">
        <w:rPr>
          <w:rFonts w:ascii="Garamond" w:eastAsia="Times New Roman" w:hAnsi="Garamond" w:cs="Times New Roman"/>
          <w:sz w:val="24"/>
          <w:szCs w:val="24"/>
        </w:rPr>
        <w:t>,</w:t>
      </w:r>
      <w:r w:rsidR="006E678B" w:rsidRPr="00B31292">
        <w:rPr>
          <w:rFonts w:ascii="Garamond" w:eastAsia="Times New Roman" w:hAnsi="Garamond" w:cs="Times New Roman"/>
          <w:sz w:val="24"/>
          <w:szCs w:val="24"/>
        </w:rPr>
        <w:t xml:space="preserve"> </w:t>
      </w:r>
      <w:r w:rsidR="00BA12C3" w:rsidRPr="00B31292">
        <w:rPr>
          <w:rFonts w:ascii="Garamond" w:eastAsia="Times New Roman" w:hAnsi="Garamond" w:cs="Times New Roman"/>
          <w:sz w:val="24"/>
          <w:szCs w:val="24"/>
        </w:rPr>
        <w:t>“</w:t>
      </w:r>
      <w:r w:rsidR="006E678B" w:rsidRPr="00B31292">
        <w:rPr>
          <w:rFonts w:ascii="Garamond" w:eastAsia="Times New Roman" w:hAnsi="Garamond" w:cs="Times New Roman"/>
          <w:sz w:val="24"/>
          <w:szCs w:val="24"/>
        </w:rPr>
        <w:t xml:space="preserve">Për krijimin, organizimin dhe funksionimin e strukturës shtetërore përgjegjëse, për zhvillimin e negociatave dhe lidhjen e </w:t>
      </w:r>
      <w:r w:rsidR="00F2621B" w:rsidRPr="00B31292">
        <w:rPr>
          <w:rFonts w:ascii="Garamond" w:eastAsia="Times New Roman" w:hAnsi="Garamond" w:cs="Times New Roman"/>
          <w:sz w:val="24"/>
          <w:szCs w:val="24"/>
        </w:rPr>
        <w:t xml:space="preserve">traktatit të aderimit </w:t>
      </w:r>
      <w:r w:rsidR="006E678B" w:rsidRPr="00B31292">
        <w:rPr>
          <w:rFonts w:ascii="Garamond" w:eastAsia="Times New Roman" w:hAnsi="Garamond" w:cs="Times New Roman"/>
          <w:sz w:val="24"/>
          <w:szCs w:val="24"/>
        </w:rPr>
        <w:t xml:space="preserve">të Republikës së Shqipërisë në Bashkimin </w:t>
      </w:r>
      <w:r w:rsidR="001544D9" w:rsidRPr="00B31292">
        <w:rPr>
          <w:rFonts w:ascii="Garamond" w:eastAsia="Times New Roman" w:hAnsi="Garamond" w:cs="Times New Roman"/>
          <w:sz w:val="24"/>
          <w:szCs w:val="24"/>
        </w:rPr>
        <w:t>Evropian</w:t>
      </w:r>
      <w:r w:rsidR="00BA12C3" w:rsidRPr="00B31292">
        <w:rPr>
          <w:rFonts w:ascii="Garamond" w:eastAsia="Times New Roman" w:hAnsi="Garamond" w:cs="Times New Roman"/>
          <w:sz w:val="24"/>
          <w:szCs w:val="24"/>
        </w:rPr>
        <w:t>”</w:t>
      </w:r>
      <w:r w:rsidR="001544D9" w:rsidRPr="00B31292">
        <w:rPr>
          <w:rFonts w:ascii="Garamond" w:eastAsia="Times New Roman" w:hAnsi="Garamond" w:cs="Times New Roman"/>
          <w:sz w:val="24"/>
          <w:szCs w:val="24"/>
        </w:rPr>
        <w:t xml:space="preserve"> dhe në zbatim të </w:t>
      </w:r>
      <w:r w:rsidR="002E40BF" w:rsidRPr="00B31292">
        <w:rPr>
          <w:rFonts w:ascii="Garamond" w:eastAsia="Times New Roman" w:hAnsi="Garamond" w:cs="Times New Roman"/>
          <w:sz w:val="24"/>
          <w:szCs w:val="24"/>
        </w:rPr>
        <w:t>u</w:t>
      </w:r>
      <w:r w:rsidR="001544D9" w:rsidRPr="00B31292">
        <w:rPr>
          <w:rFonts w:ascii="Garamond" w:eastAsia="Times New Roman" w:hAnsi="Garamond" w:cs="Times New Roman"/>
          <w:sz w:val="24"/>
          <w:szCs w:val="24"/>
        </w:rPr>
        <w:t>rdh</w:t>
      </w:r>
      <w:r w:rsidR="006E678B" w:rsidRPr="00B31292">
        <w:rPr>
          <w:rFonts w:ascii="Garamond" w:eastAsia="Times New Roman" w:hAnsi="Garamond" w:cs="Times New Roman"/>
          <w:sz w:val="24"/>
          <w:szCs w:val="24"/>
        </w:rPr>
        <w:t>rit të Kryeministrit nr.</w:t>
      </w:r>
      <w:r w:rsidR="002E40BF" w:rsidRPr="00B31292">
        <w:rPr>
          <w:rFonts w:ascii="Garamond" w:eastAsia="Times New Roman" w:hAnsi="Garamond" w:cs="Times New Roman"/>
          <w:sz w:val="24"/>
          <w:szCs w:val="24"/>
        </w:rPr>
        <w:t xml:space="preserve"> </w:t>
      </w:r>
      <w:r w:rsidR="006E678B" w:rsidRPr="00B31292">
        <w:rPr>
          <w:rFonts w:ascii="Garamond" w:eastAsia="Times New Roman" w:hAnsi="Garamond" w:cs="Times New Roman"/>
          <w:sz w:val="24"/>
          <w:szCs w:val="24"/>
        </w:rPr>
        <w:t>113, datë 30.8.2019</w:t>
      </w:r>
      <w:r w:rsidR="002E40BF" w:rsidRPr="00B31292">
        <w:rPr>
          <w:rFonts w:ascii="Garamond" w:eastAsia="Times New Roman" w:hAnsi="Garamond" w:cs="Times New Roman"/>
          <w:sz w:val="24"/>
          <w:szCs w:val="24"/>
        </w:rPr>
        <w:t>,</w:t>
      </w:r>
      <w:r w:rsidR="006E678B" w:rsidRPr="00B31292">
        <w:rPr>
          <w:rFonts w:ascii="Garamond" w:eastAsia="Times New Roman" w:hAnsi="Garamond" w:cs="Times New Roman"/>
          <w:sz w:val="24"/>
          <w:szCs w:val="24"/>
        </w:rPr>
        <w:t xml:space="preserve"> </w:t>
      </w:r>
      <w:r w:rsidR="00BA12C3" w:rsidRPr="00B31292">
        <w:rPr>
          <w:rFonts w:ascii="Garamond" w:eastAsia="Times New Roman" w:hAnsi="Garamond" w:cs="Times New Roman"/>
          <w:sz w:val="24"/>
          <w:szCs w:val="24"/>
        </w:rPr>
        <w:t>“</w:t>
      </w:r>
      <w:r w:rsidR="006E678B" w:rsidRPr="00B31292">
        <w:rPr>
          <w:rFonts w:ascii="Garamond" w:eastAsia="Times New Roman" w:hAnsi="Garamond" w:cs="Times New Roman"/>
          <w:sz w:val="24"/>
          <w:szCs w:val="24"/>
        </w:rPr>
        <w:t>Për format e pjesëmarrjes, funksionimin dhe strukturën institucionale të platformës së partneritetit për integrimin evropian</w:t>
      </w:r>
      <w:r w:rsidR="00BA12C3" w:rsidRPr="00B31292">
        <w:rPr>
          <w:rFonts w:ascii="Garamond" w:eastAsia="Times New Roman" w:hAnsi="Garamond" w:cs="Times New Roman"/>
          <w:sz w:val="24"/>
          <w:szCs w:val="24"/>
        </w:rPr>
        <w:t>”</w:t>
      </w:r>
      <w:r w:rsidR="006E678B" w:rsidRPr="00B31292">
        <w:rPr>
          <w:rFonts w:ascii="Garamond" w:eastAsia="Times New Roman" w:hAnsi="Garamond" w:cs="Times New Roman"/>
          <w:sz w:val="24"/>
          <w:szCs w:val="24"/>
        </w:rPr>
        <w:t>, INSTAT</w:t>
      </w:r>
      <w:r w:rsidR="002E40BF" w:rsidRPr="00B31292">
        <w:rPr>
          <w:rFonts w:ascii="Garamond" w:eastAsia="Times New Roman" w:hAnsi="Garamond" w:cs="Times New Roman"/>
          <w:sz w:val="24"/>
          <w:szCs w:val="24"/>
        </w:rPr>
        <w:t>-i</w:t>
      </w:r>
      <w:r w:rsidR="006E678B" w:rsidRPr="00B31292">
        <w:rPr>
          <w:rFonts w:ascii="Garamond" w:eastAsia="Times New Roman" w:hAnsi="Garamond" w:cs="Times New Roman"/>
          <w:sz w:val="24"/>
          <w:szCs w:val="24"/>
        </w:rPr>
        <w:t xml:space="preserve"> </w:t>
      </w:r>
      <w:r w:rsidRPr="00B31292">
        <w:rPr>
          <w:rFonts w:ascii="Garamond" w:eastAsia="Times New Roman" w:hAnsi="Garamond" w:cs="Times New Roman"/>
          <w:sz w:val="24"/>
          <w:szCs w:val="24"/>
        </w:rPr>
        <w:t xml:space="preserve">do të vijojë takimet në kuadër të procesit të </w:t>
      </w:r>
      <w:r w:rsidR="00F2621B" w:rsidRPr="00B31292">
        <w:rPr>
          <w:rFonts w:ascii="Garamond" w:eastAsia="Times New Roman" w:hAnsi="Garamond" w:cs="Times New Roman"/>
          <w:sz w:val="24"/>
          <w:szCs w:val="24"/>
        </w:rPr>
        <w:t xml:space="preserve">integrimit evropian </w:t>
      </w:r>
      <w:r w:rsidRPr="00B31292">
        <w:rPr>
          <w:rFonts w:ascii="Garamond" w:eastAsia="Times New Roman" w:hAnsi="Garamond" w:cs="Times New Roman"/>
          <w:sz w:val="24"/>
          <w:szCs w:val="24"/>
        </w:rPr>
        <w:t xml:space="preserve">me </w:t>
      </w:r>
      <w:r w:rsidR="006E678B" w:rsidRPr="00B31292">
        <w:rPr>
          <w:rFonts w:ascii="Garamond" w:eastAsia="Times New Roman" w:hAnsi="Garamond" w:cs="Times New Roman"/>
          <w:sz w:val="24"/>
          <w:szCs w:val="24"/>
        </w:rPr>
        <w:t xml:space="preserve">përfaqësues të </w:t>
      </w:r>
      <w:r w:rsidR="00F2621B" w:rsidRPr="00B31292">
        <w:rPr>
          <w:rFonts w:ascii="Garamond" w:eastAsia="Times New Roman" w:hAnsi="Garamond" w:cs="Times New Roman"/>
          <w:sz w:val="24"/>
          <w:szCs w:val="24"/>
        </w:rPr>
        <w:t>shoqërisë civile</w:t>
      </w:r>
      <w:r w:rsidR="006E678B" w:rsidRPr="00B31292">
        <w:rPr>
          <w:rFonts w:ascii="Garamond" w:eastAsia="Times New Roman" w:hAnsi="Garamond" w:cs="Times New Roman"/>
          <w:sz w:val="24"/>
          <w:szCs w:val="24"/>
        </w:rPr>
        <w:t xml:space="preserve">, </w:t>
      </w:r>
      <w:r w:rsidR="00F2621B" w:rsidRPr="00B31292">
        <w:rPr>
          <w:rFonts w:ascii="Garamond" w:eastAsia="Times New Roman" w:hAnsi="Garamond" w:cs="Times New Roman"/>
          <w:sz w:val="24"/>
          <w:szCs w:val="24"/>
        </w:rPr>
        <w:t>botës akademike dhe shoqatave të biznesit.</w:t>
      </w:r>
    </w:p>
    <w:p w14:paraId="78CD300B" w14:textId="2B7E1319" w:rsidR="00A119EE" w:rsidRPr="00B31292" w:rsidRDefault="004416BB" w:rsidP="003A4DBA">
      <w:pPr>
        <w:spacing w:after="0" w:line="240" w:lineRule="auto"/>
        <w:ind w:firstLine="284"/>
        <w:contextualSpacing/>
        <w:jc w:val="both"/>
        <w:rPr>
          <w:rFonts w:ascii="Garamond" w:hAnsi="Garamond" w:cs="Times New Roman"/>
          <w:sz w:val="24"/>
          <w:szCs w:val="24"/>
        </w:rPr>
      </w:pPr>
      <w:r w:rsidRPr="00B31292">
        <w:rPr>
          <w:rFonts w:ascii="Garamond" w:hAnsi="Garamond" w:cs="Times New Roman"/>
          <w:sz w:val="24"/>
          <w:szCs w:val="24"/>
        </w:rPr>
        <w:t>Nga ana tjetër, g</w:t>
      </w:r>
      <w:r w:rsidR="006E678B" w:rsidRPr="00B31292">
        <w:rPr>
          <w:rFonts w:ascii="Garamond" w:hAnsi="Garamond" w:cs="Times New Roman"/>
          <w:sz w:val="24"/>
          <w:szCs w:val="24"/>
        </w:rPr>
        <w:t>jatë vitit 2025</w:t>
      </w:r>
      <w:r w:rsidRPr="00B31292">
        <w:rPr>
          <w:rFonts w:ascii="Garamond" w:hAnsi="Garamond" w:cs="Times New Roman"/>
          <w:sz w:val="24"/>
          <w:szCs w:val="24"/>
        </w:rPr>
        <w:t>, INSTAT</w:t>
      </w:r>
      <w:r w:rsidR="002E40BF" w:rsidRPr="00B31292">
        <w:rPr>
          <w:rFonts w:ascii="Garamond" w:hAnsi="Garamond" w:cs="Times New Roman"/>
          <w:sz w:val="24"/>
          <w:szCs w:val="24"/>
        </w:rPr>
        <w:t>-i</w:t>
      </w:r>
      <w:r w:rsidR="006E678B" w:rsidRPr="00B31292">
        <w:rPr>
          <w:rFonts w:ascii="Garamond" w:hAnsi="Garamond" w:cs="Times New Roman"/>
          <w:sz w:val="24"/>
          <w:szCs w:val="24"/>
        </w:rPr>
        <w:t xml:space="preserve"> do të vijoj</w:t>
      </w:r>
      <w:r w:rsidR="001478C6" w:rsidRPr="00B31292">
        <w:rPr>
          <w:rFonts w:ascii="Garamond" w:hAnsi="Garamond" w:cs="Times New Roman"/>
          <w:sz w:val="24"/>
          <w:szCs w:val="24"/>
        </w:rPr>
        <w:t>ë</w:t>
      </w:r>
      <w:r w:rsidR="006E678B" w:rsidRPr="00B31292">
        <w:rPr>
          <w:rFonts w:ascii="Garamond" w:hAnsi="Garamond" w:cs="Times New Roman"/>
          <w:sz w:val="24"/>
          <w:szCs w:val="24"/>
        </w:rPr>
        <w:t xml:space="preserve"> kontributin në takimet e nivelit të lart</w:t>
      </w:r>
      <w:r w:rsidR="00675468" w:rsidRPr="00B31292">
        <w:rPr>
          <w:rFonts w:ascii="Garamond" w:hAnsi="Garamond" w:cs="Times New Roman"/>
          <w:sz w:val="24"/>
          <w:szCs w:val="24"/>
        </w:rPr>
        <w:t>ë</w:t>
      </w:r>
      <w:r w:rsidR="006E678B" w:rsidRPr="00B31292">
        <w:rPr>
          <w:rFonts w:ascii="Garamond" w:hAnsi="Garamond" w:cs="Times New Roman"/>
          <w:sz w:val="24"/>
          <w:szCs w:val="24"/>
        </w:rPr>
        <w:t xml:space="preserve"> t</w:t>
      </w:r>
      <w:r w:rsidR="00675468" w:rsidRPr="00B31292">
        <w:rPr>
          <w:rFonts w:ascii="Garamond" w:hAnsi="Garamond" w:cs="Times New Roman"/>
          <w:sz w:val="24"/>
          <w:szCs w:val="24"/>
        </w:rPr>
        <w:t>ë</w:t>
      </w:r>
      <w:r w:rsidR="006E678B" w:rsidRPr="00B31292">
        <w:rPr>
          <w:rFonts w:ascii="Garamond" w:hAnsi="Garamond" w:cs="Times New Roman"/>
          <w:sz w:val="24"/>
          <w:szCs w:val="24"/>
        </w:rPr>
        <w:t xml:space="preserve"> organizuar nga </w:t>
      </w:r>
      <w:r w:rsidR="009C0CE9" w:rsidRPr="00B31292">
        <w:rPr>
          <w:rFonts w:ascii="Garamond" w:hAnsi="Garamond" w:cs="Times New Roman"/>
          <w:sz w:val="24"/>
          <w:szCs w:val="24"/>
        </w:rPr>
        <w:t>Eurostat</w:t>
      </w:r>
      <w:r w:rsidR="00C80DD1" w:rsidRPr="00B31292">
        <w:rPr>
          <w:rFonts w:ascii="Garamond" w:hAnsi="Garamond" w:cs="Times New Roman"/>
          <w:sz w:val="24"/>
          <w:szCs w:val="24"/>
        </w:rPr>
        <w:t>i</w:t>
      </w:r>
      <w:r w:rsidR="006E678B" w:rsidRPr="00B31292">
        <w:rPr>
          <w:rFonts w:ascii="Garamond" w:hAnsi="Garamond" w:cs="Times New Roman"/>
          <w:sz w:val="24"/>
          <w:szCs w:val="24"/>
        </w:rPr>
        <w:t xml:space="preserve"> me vendet e Ballkanit Perëndimor, të Evropës Lindore</w:t>
      </w:r>
      <w:r w:rsidR="001478C6" w:rsidRPr="00B31292">
        <w:rPr>
          <w:rFonts w:ascii="Garamond" w:hAnsi="Garamond" w:cs="Times New Roman"/>
          <w:sz w:val="24"/>
          <w:szCs w:val="24"/>
        </w:rPr>
        <w:t>,</w:t>
      </w:r>
      <w:r w:rsidR="006E678B" w:rsidRPr="00B31292">
        <w:rPr>
          <w:rFonts w:ascii="Garamond" w:hAnsi="Garamond" w:cs="Times New Roman"/>
          <w:sz w:val="24"/>
          <w:szCs w:val="24"/>
        </w:rPr>
        <w:t xml:space="preserve"> si dhe Sistemit Statistikor Evropian</w:t>
      </w:r>
      <w:r w:rsidR="005929D5" w:rsidRPr="00B31292">
        <w:rPr>
          <w:rFonts w:ascii="Garamond" w:hAnsi="Garamond" w:cs="Times New Roman"/>
          <w:sz w:val="24"/>
          <w:szCs w:val="24"/>
        </w:rPr>
        <w:t>. INSTAT</w:t>
      </w:r>
      <w:r w:rsidR="002E40BF" w:rsidRPr="00B31292">
        <w:rPr>
          <w:rFonts w:ascii="Garamond" w:hAnsi="Garamond" w:cs="Times New Roman"/>
          <w:sz w:val="24"/>
          <w:szCs w:val="24"/>
        </w:rPr>
        <w:t>-i</w:t>
      </w:r>
      <w:r w:rsidR="005929D5" w:rsidRPr="00B31292">
        <w:rPr>
          <w:rFonts w:ascii="Garamond" w:hAnsi="Garamond" w:cs="Times New Roman"/>
          <w:sz w:val="24"/>
          <w:szCs w:val="24"/>
        </w:rPr>
        <w:t xml:space="preserve"> përfaqëson Shqipërinë në Grupin e Nivelit të Lartë për Partneritet, Koordinim dhe Zhvillim </w:t>
      </w:r>
      <w:r w:rsidR="00F2621B" w:rsidRPr="00B31292">
        <w:rPr>
          <w:rFonts w:ascii="Garamond" w:hAnsi="Garamond" w:cs="Times New Roman"/>
          <w:sz w:val="24"/>
          <w:szCs w:val="24"/>
        </w:rPr>
        <w:t xml:space="preserve">e </w:t>
      </w:r>
      <w:r w:rsidR="005929D5" w:rsidRPr="00B31292">
        <w:rPr>
          <w:rFonts w:ascii="Garamond" w:hAnsi="Garamond" w:cs="Times New Roman"/>
          <w:sz w:val="24"/>
          <w:szCs w:val="24"/>
        </w:rPr>
        <w:t>Kapacitete, të Kombeve të Bashkuara, dhe merr pjesë duke kontribuar në forume botërore</w:t>
      </w:r>
      <w:r w:rsidR="00C80DD1" w:rsidRPr="00B31292">
        <w:rPr>
          <w:rFonts w:ascii="Garamond" w:hAnsi="Garamond" w:cs="Times New Roman"/>
          <w:sz w:val="24"/>
          <w:szCs w:val="24"/>
        </w:rPr>
        <w:t xml:space="preserve"> të organizuara nga Kombet e Bashkuara, </w:t>
      </w:r>
      <w:r w:rsidR="00205B7E" w:rsidRPr="00B31292">
        <w:rPr>
          <w:rFonts w:ascii="Garamond" w:hAnsi="Garamond" w:cs="Times New Roman"/>
          <w:sz w:val="24"/>
          <w:szCs w:val="24"/>
        </w:rPr>
        <w:t xml:space="preserve">si dhe </w:t>
      </w:r>
      <w:r w:rsidR="00C80DD1" w:rsidRPr="00B31292">
        <w:rPr>
          <w:rFonts w:ascii="Garamond" w:hAnsi="Garamond" w:cs="Times New Roman"/>
          <w:sz w:val="24"/>
          <w:szCs w:val="24"/>
        </w:rPr>
        <w:t xml:space="preserve">jep </w:t>
      </w:r>
      <w:r w:rsidR="006E678B" w:rsidRPr="00B31292">
        <w:rPr>
          <w:rFonts w:ascii="Garamond" w:hAnsi="Garamond" w:cs="Times New Roman"/>
          <w:sz w:val="24"/>
          <w:szCs w:val="24"/>
        </w:rPr>
        <w:t xml:space="preserve">kontribut si </w:t>
      </w:r>
      <w:r w:rsidR="00205B7E" w:rsidRPr="00B31292">
        <w:rPr>
          <w:rFonts w:ascii="Garamond" w:hAnsi="Garamond" w:cs="Times New Roman"/>
          <w:sz w:val="24"/>
          <w:szCs w:val="24"/>
        </w:rPr>
        <w:t>në</w:t>
      </w:r>
      <w:r w:rsidR="006E678B" w:rsidRPr="00B31292">
        <w:rPr>
          <w:rFonts w:ascii="Garamond" w:hAnsi="Garamond" w:cs="Times New Roman"/>
          <w:sz w:val="24"/>
          <w:szCs w:val="24"/>
        </w:rPr>
        <w:t xml:space="preserve"> </w:t>
      </w:r>
      <w:hyperlink r:id="rId38" w:history="1">
        <w:r w:rsidR="006E678B" w:rsidRPr="00B31292">
          <w:rPr>
            <w:rFonts w:ascii="Garamond" w:hAnsi="Garamond" w:cs="Times New Roman"/>
            <w:sz w:val="24"/>
            <w:szCs w:val="24"/>
          </w:rPr>
          <w:t>Byro</w:t>
        </w:r>
        <w:r w:rsidR="00205B7E" w:rsidRPr="00B31292">
          <w:rPr>
            <w:rFonts w:ascii="Garamond" w:hAnsi="Garamond" w:cs="Times New Roman"/>
            <w:sz w:val="24"/>
            <w:szCs w:val="24"/>
          </w:rPr>
          <w:t>n</w:t>
        </w:r>
        <w:r w:rsidR="006E678B" w:rsidRPr="00B31292">
          <w:rPr>
            <w:rFonts w:ascii="Garamond" w:hAnsi="Garamond" w:cs="Times New Roman"/>
            <w:sz w:val="24"/>
            <w:szCs w:val="24"/>
          </w:rPr>
          <w:t xml:space="preserve">ë </w:t>
        </w:r>
        <w:r w:rsidR="00205B7E" w:rsidRPr="00B31292">
          <w:rPr>
            <w:rFonts w:ascii="Garamond" w:hAnsi="Garamond" w:cs="Times New Roman"/>
            <w:sz w:val="24"/>
            <w:szCs w:val="24"/>
          </w:rPr>
          <w:t>e</w:t>
        </w:r>
        <w:r w:rsidR="006E678B" w:rsidRPr="00B31292">
          <w:rPr>
            <w:rFonts w:ascii="Garamond" w:hAnsi="Garamond" w:cs="Times New Roman"/>
            <w:sz w:val="24"/>
            <w:szCs w:val="24"/>
          </w:rPr>
          <w:t xml:space="preserve"> Konferencës së Statisticienëve Evropianë të UNECE</w:t>
        </w:r>
      </w:hyperlink>
      <w:r w:rsidR="006E678B" w:rsidRPr="00B31292">
        <w:rPr>
          <w:rFonts w:ascii="Garamond" w:hAnsi="Garamond" w:cs="Times New Roman"/>
          <w:sz w:val="24"/>
          <w:szCs w:val="24"/>
        </w:rPr>
        <w:t>, për vitet 2023</w:t>
      </w:r>
      <w:r w:rsidR="002E40BF" w:rsidRPr="00B31292">
        <w:rPr>
          <w:rFonts w:ascii="Garamond" w:hAnsi="Garamond" w:cs="Times New Roman"/>
          <w:sz w:val="24"/>
          <w:szCs w:val="24"/>
        </w:rPr>
        <w:t>–</w:t>
      </w:r>
      <w:r w:rsidR="006E678B" w:rsidRPr="00B31292">
        <w:rPr>
          <w:rFonts w:ascii="Garamond" w:hAnsi="Garamond" w:cs="Times New Roman"/>
          <w:sz w:val="24"/>
          <w:szCs w:val="24"/>
        </w:rPr>
        <w:t>2025</w:t>
      </w:r>
      <w:r w:rsidR="00205B7E" w:rsidRPr="00B31292">
        <w:rPr>
          <w:rFonts w:ascii="Garamond" w:hAnsi="Garamond" w:cs="Times New Roman"/>
          <w:sz w:val="24"/>
          <w:szCs w:val="24"/>
        </w:rPr>
        <w:t>, si anëtar</w:t>
      </w:r>
      <w:r w:rsidR="006E678B" w:rsidRPr="00B31292">
        <w:rPr>
          <w:rFonts w:ascii="Garamond" w:hAnsi="Garamond" w:cs="Times New Roman"/>
          <w:sz w:val="24"/>
          <w:szCs w:val="24"/>
        </w:rPr>
        <w:t xml:space="preserve">. </w:t>
      </w:r>
    </w:p>
    <w:p w14:paraId="72B9179F" w14:textId="77777777" w:rsidR="005850AE" w:rsidRPr="00B31292" w:rsidRDefault="005D3FC3" w:rsidP="003A4DBA">
      <w:pPr>
        <w:spacing w:after="0" w:line="240" w:lineRule="auto"/>
        <w:ind w:firstLine="284"/>
        <w:contextualSpacing/>
        <w:jc w:val="both"/>
        <w:rPr>
          <w:rFonts w:ascii="Garamond" w:hAnsi="Garamond" w:cs="Times New Roman"/>
          <w:sz w:val="24"/>
          <w:szCs w:val="24"/>
        </w:rPr>
      </w:pPr>
      <w:r w:rsidRPr="00B31292">
        <w:rPr>
          <w:rFonts w:ascii="Garamond" w:eastAsia="Times New Roman" w:hAnsi="Garamond" w:cs="Times New Roman"/>
          <w:b/>
          <w:sz w:val="24"/>
          <w:szCs w:val="24"/>
        </w:rPr>
        <w:t>Bashkëpunimet ndërkombëtare</w:t>
      </w:r>
    </w:p>
    <w:p w14:paraId="41CC11E4" w14:textId="692E8161" w:rsidR="00781DF6" w:rsidRPr="00B31292" w:rsidRDefault="00C80DD1" w:rsidP="003A4DBA">
      <w:pPr>
        <w:spacing w:after="0" w:line="240" w:lineRule="auto"/>
        <w:ind w:firstLine="284"/>
        <w:contextualSpacing/>
        <w:jc w:val="both"/>
        <w:rPr>
          <w:rFonts w:ascii="Garamond" w:eastAsia="Times New Roman" w:hAnsi="Garamond" w:cs="Times New Roman"/>
          <w:sz w:val="24"/>
          <w:szCs w:val="24"/>
        </w:rPr>
      </w:pPr>
      <w:r w:rsidRPr="00B31292">
        <w:rPr>
          <w:rFonts w:ascii="Garamond" w:eastAsia="Times New Roman" w:hAnsi="Garamond" w:cs="Times New Roman"/>
          <w:sz w:val="24"/>
          <w:szCs w:val="24"/>
        </w:rPr>
        <w:t>Prodhuesit e statistikave zyrtare në vend kanë bashkëpunim të ngushtë me institucionet homologe të vendeve të zhvilluara dhe janë të përfshirë në aktivitetet që zhvillojnë organizatat ndërkombëtare</w:t>
      </w:r>
      <w:r w:rsidR="00F2621B" w:rsidRPr="00B31292">
        <w:rPr>
          <w:rFonts w:ascii="Garamond" w:eastAsia="Times New Roman" w:hAnsi="Garamond" w:cs="Times New Roman"/>
          <w:sz w:val="24"/>
          <w:szCs w:val="24"/>
        </w:rPr>
        <w:t>,</w:t>
      </w:r>
      <w:r w:rsidRPr="00B31292">
        <w:rPr>
          <w:rFonts w:ascii="Garamond" w:eastAsia="Times New Roman" w:hAnsi="Garamond" w:cs="Times New Roman"/>
          <w:sz w:val="24"/>
          <w:szCs w:val="24"/>
        </w:rPr>
        <w:t xml:space="preserve"> si Eurostati dhe Kombet e Bashkuara</w:t>
      </w:r>
      <w:r w:rsidR="00F2621B" w:rsidRPr="00B31292">
        <w:rPr>
          <w:rFonts w:ascii="Garamond" w:eastAsia="Times New Roman" w:hAnsi="Garamond" w:cs="Times New Roman"/>
          <w:sz w:val="24"/>
          <w:szCs w:val="24"/>
        </w:rPr>
        <w:t>,</w:t>
      </w:r>
      <w:r w:rsidRPr="00B31292">
        <w:rPr>
          <w:rFonts w:ascii="Garamond" w:eastAsia="Times New Roman" w:hAnsi="Garamond" w:cs="Times New Roman"/>
          <w:sz w:val="24"/>
          <w:szCs w:val="24"/>
        </w:rPr>
        <w:t xml:space="preserve"> për modernizimin e prodhimit statistikor. </w:t>
      </w:r>
      <w:r w:rsidR="00781DF6" w:rsidRPr="00B31292">
        <w:rPr>
          <w:rFonts w:ascii="Garamond" w:eastAsia="Times New Roman" w:hAnsi="Garamond" w:cs="Times New Roman"/>
          <w:sz w:val="24"/>
          <w:szCs w:val="24"/>
        </w:rPr>
        <w:t xml:space="preserve">Bashkëpunimi statistikor </w:t>
      </w:r>
      <w:r w:rsidRPr="00B31292">
        <w:rPr>
          <w:rFonts w:ascii="Garamond" w:eastAsia="Times New Roman" w:hAnsi="Garamond" w:cs="Times New Roman"/>
          <w:sz w:val="24"/>
          <w:szCs w:val="24"/>
        </w:rPr>
        <w:t xml:space="preserve">me Eurostatin </w:t>
      </w:r>
      <w:r w:rsidR="00781DF6" w:rsidRPr="00B31292">
        <w:rPr>
          <w:rFonts w:ascii="Garamond" w:eastAsia="Times New Roman" w:hAnsi="Garamond" w:cs="Times New Roman"/>
          <w:sz w:val="24"/>
          <w:szCs w:val="24"/>
        </w:rPr>
        <w:t xml:space="preserve">synon </w:t>
      </w:r>
      <w:r w:rsidRPr="00B31292">
        <w:rPr>
          <w:rFonts w:ascii="Garamond" w:eastAsia="Times New Roman" w:hAnsi="Garamond" w:cs="Times New Roman"/>
          <w:sz w:val="24"/>
          <w:szCs w:val="24"/>
        </w:rPr>
        <w:t xml:space="preserve">jo vetëm </w:t>
      </w:r>
      <w:r w:rsidR="00781DF6" w:rsidRPr="00B31292">
        <w:rPr>
          <w:rFonts w:ascii="Garamond" w:eastAsia="Times New Roman" w:hAnsi="Garamond" w:cs="Times New Roman"/>
          <w:sz w:val="24"/>
          <w:szCs w:val="24"/>
        </w:rPr>
        <w:t>forcimi</w:t>
      </w:r>
      <w:r w:rsidRPr="00B31292">
        <w:rPr>
          <w:rFonts w:ascii="Garamond" w:eastAsia="Times New Roman" w:hAnsi="Garamond" w:cs="Times New Roman"/>
          <w:sz w:val="24"/>
          <w:szCs w:val="24"/>
        </w:rPr>
        <w:t>n e</w:t>
      </w:r>
      <w:r w:rsidR="00781DF6" w:rsidRPr="00B31292">
        <w:rPr>
          <w:rFonts w:ascii="Garamond" w:eastAsia="Times New Roman" w:hAnsi="Garamond" w:cs="Times New Roman"/>
          <w:sz w:val="24"/>
          <w:szCs w:val="24"/>
        </w:rPr>
        <w:t xml:space="preserve"> Sistemit Kombëtar Statistikor</w:t>
      </w:r>
      <w:r w:rsidR="00F2621B" w:rsidRPr="00B31292">
        <w:rPr>
          <w:rFonts w:ascii="Garamond" w:eastAsia="Times New Roman" w:hAnsi="Garamond" w:cs="Times New Roman"/>
          <w:sz w:val="24"/>
          <w:szCs w:val="24"/>
        </w:rPr>
        <w:t>,</w:t>
      </w:r>
      <w:r w:rsidR="00781DF6" w:rsidRPr="00B31292">
        <w:rPr>
          <w:rFonts w:ascii="Garamond" w:eastAsia="Times New Roman" w:hAnsi="Garamond" w:cs="Times New Roman"/>
          <w:sz w:val="24"/>
          <w:szCs w:val="24"/>
        </w:rPr>
        <w:t xml:space="preserve"> duke përshtatur metodologjitë dhe praktikat m</w:t>
      </w:r>
      <w:r w:rsidRPr="00B31292">
        <w:rPr>
          <w:rFonts w:ascii="Garamond" w:eastAsia="Times New Roman" w:hAnsi="Garamond" w:cs="Times New Roman"/>
          <w:sz w:val="24"/>
          <w:szCs w:val="24"/>
        </w:rPr>
        <w:t xml:space="preserve">ë të mira të prodhimit statistikor, por edhe në drejtim të forcimit të kuadrit ligjor në përputhje me </w:t>
      </w:r>
      <w:r w:rsidR="00781DF6" w:rsidRPr="00B31292">
        <w:rPr>
          <w:rFonts w:ascii="Garamond" w:eastAsia="Times New Roman" w:hAnsi="Garamond" w:cs="Times New Roman"/>
          <w:i/>
          <w:iCs/>
          <w:sz w:val="24"/>
          <w:szCs w:val="24"/>
        </w:rPr>
        <w:t>acquis</w:t>
      </w:r>
      <w:r w:rsidR="00205B7E" w:rsidRPr="00B31292">
        <w:rPr>
          <w:rFonts w:ascii="Garamond" w:eastAsia="Times New Roman" w:hAnsi="Garamond" w:cs="Times New Roman"/>
          <w:sz w:val="24"/>
          <w:szCs w:val="24"/>
        </w:rPr>
        <w:t xml:space="preserve">, </w:t>
      </w:r>
      <w:r w:rsidRPr="00B31292">
        <w:rPr>
          <w:rFonts w:ascii="Garamond" w:eastAsia="Times New Roman" w:hAnsi="Garamond" w:cs="Times New Roman"/>
          <w:sz w:val="24"/>
          <w:szCs w:val="24"/>
        </w:rPr>
        <w:t xml:space="preserve">si dhe rritjes së kapaciteteve profesionale të statisticienëve. </w:t>
      </w:r>
    </w:p>
    <w:p w14:paraId="4CD73DA8" w14:textId="382646E6" w:rsidR="00781DF6" w:rsidRPr="00B31292" w:rsidRDefault="00C80DD1" w:rsidP="003A4DBA">
      <w:pPr>
        <w:spacing w:after="0" w:line="240" w:lineRule="auto"/>
        <w:ind w:firstLine="284"/>
        <w:contextualSpacing/>
        <w:jc w:val="both"/>
        <w:rPr>
          <w:rFonts w:ascii="Garamond" w:eastAsia="Times New Roman" w:hAnsi="Garamond" w:cs="Times New Roman"/>
          <w:sz w:val="24"/>
          <w:szCs w:val="24"/>
        </w:rPr>
      </w:pPr>
      <w:r w:rsidRPr="00B31292">
        <w:rPr>
          <w:rFonts w:ascii="Garamond" w:eastAsia="Times New Roman" w:hAnsi="Garamond" w:cs="Times New Roman"/>
          <w:sz w:val="24"/>
          <w:szCs w:val="24"/>
        </w:rPr>
        <w:t>Nëpërmjet projekteve mbështetëse të financuara nga fondet e Bashkimit Evropian përmes instrumenteve të tilla</w:t>
      </w:r>
      <w:r w:rsidR="00F2621B" w:rsidRPr="00B31292">
        <w:rPr>
          <w:rFonts w:ascii="Garamond" w:eastAsia="Times New Roman" w:hAnsi="Garamond" w:cs="Times New Roman"/>
          <w:sz w:val="24"/>
          <w:szCs w:val="24"/>
        </w:rPr>
        <w:t>,</w:t>
      </w:r>
      <w:r w:rsidRPr="00B31292">
        <w:rPr>
          <w:rFonts w:ascii="Garamond" w:eastAsia="Times New Roman" w:hAnsi="Garamond" w:cs="Times New Roman"/>
          <w:sz w:val="24"/>
          <w:szCs w:val="24"/>
        </w:rPr>
        <w:t xml:space="preserve"> si</w:t>
      </w:r>
      <w:r w:rsidR="00CA355C" w:rsidRPr="00B31292">
        <w:rPr>
          <w:rFonts w:ascii="Garamond" w:eastAsia="Times New Roman" w:hAnsi="Garamond" w:cs="Times New Roman"/>
          <w:sz w:val="24"/>
          <w:szCs w:val="24"/>
        </w:rPr>
        <w:t xml:space="preserve"> </w:t>
      </w:r>
      <w:r w:rsidR="00781DF6" w:rsidRPr="00B31292">
        <w:rPr>
          <w:rFonts w:ascii="Garamond" w:eastAsia="Times New Roman" w:hAnsi="Garamond" w:cs="Times New Roman"/>
          <w:sz w:val="24"/>
          <w:szCs w:val="24"/>
        </w:rPr>
        <w:t>IPA kombëtare dhe me shumëpërfitues</w:t>
      </w:r>
      <w:r w:rsidRPr="00B31292">
        <w:rPr>
          <w:rFonts w:ascii="Garamond" w:eastAsia="Times New Roman" w:hAnsi="Garamond" w:cs="Times New Roman"/>
          <w:sz w:val="24"/>
          <w:szCs w:val="24"/>
        </w:rPr>
        <w:t xml:space="preserve">, është arritur të ndërtohen metodologji dhe nivele komunikimi të cilat kanë mundësuar prodhimin e statistikave moderne dhe të krahasueshme. Gjithashtu, vende të ndryshme evropiane kontribuojnë me programet e tyre qeveritare për vendin tonë në fushën e përmirësimit të statistikave të nivelit vendor, infrastrukturën </w:t>
      </w:r>
      <w:r w:rsidR="00CA355C" w:rsidRPr="00B31292">
        <w:rPr>
          <w:rFonts w:ascii="Garamond" w:eastAsia="Times New Roman" w:hAnsi="Garamond" w:cs="Times New Roman"/>
          <w:sz w:val="24"/>
          <w:szCs w:val="24"/>
        </w:rPr>
        <w:t xml:space="preserve">teknologjisë së informacionit, ndërtimit të </w:t>
      </w:r>
      <w:r w:rsidR="002E40BF" w:rsidRPr="00B31292">
        <w:rPr>
          <w:rFonts w:ascii="Garamond" w:eastAsia="Times New Roman" w:hAnsi="Garamond" w:cs="Times New Roman"/>
          <w:sz w:val="24"/>
          <w:szCs w:val="24"/>
        </w:rPr>
        <w:t>regjistrave</w:t>
      </w:r>
      <w:r w:rsidR="00CA355C" w:rsidRPr="00B31292">
        <w:rPr>
          <w:rFonts w:ascii="Garamond" w:eastAsia="Times New Roman" w:hAnsi="Garamond" w:cs="Times New Roman"/>
          <w:sz w:val="24"/>
          <w:szCs w:val="24"/>
        </w:rPr>
        <w:t xml:space="preserve"> </w:t>
      </w:r>
      <w:r w:rsidRPr="00B31292">
        <w:rPr>
          <w:rFonts w:ascii="Garamond" w:eastAsia="Times New Roman" w:hAnsi="Garamond" w:cs="Times New Roman"/>
          <w:sz w:val="24"/>
          <w:szCs w:val="24"/>
        </w:rPr>
        <w:t>etj.</w:t>
      </w:r>
    </w:p>
    <w:p w14:paraId="5C0CF9A4" w14:textId="27C3FEFB" w:rsidR="00781DF6" w:rsidRPr="00B31292" w:rsidRDefault="00EE716C" w:rsidP="003A4DBA">
      <w:pPr>
        <w:spacing w:after="0" w:line="240" w:lineRule="auto"/>
        <w:ind w:firstLine="284"/>
        <w:contextualSpacing/>
        <w:jc w:val="both"/>
        <w:rPr>
          <w:rFonts w:ascii="Garamond" w:eastAsia="Times New Roman" w:hAnsi="Garamond" w:cs="Times New Roman"/>
          <w:b/>
          <w:sz w:val="24"/>
          <w:szCs w:val="24"/>
        </w:rPr>
      </w:pPr>
      <w:r w:rsidRPr="00B31292">
        <w:rPr>
          <w:rFonts w:ascii="Garamond" w:eastAsia="Times New Roman" w:hAnsi="Garamond" w:cs="Times New Roman"/>
          <w:b/>
          <w:sz w:val="24"/>
          <w:szCs w:val="24"/>
        </w:rPr>
        <w:t xml:space="preserve"> </w:t>
      </w:r>
      <w:r w:rsidR="00BA12C3" w:rsidRPr="00B31292">
        <w:rPr>
          <w:rFonts w:ascii="Garamond" w:eastAsia="Times New Roman" w:hAnsi="Garamond" w:cs="Times New Roman"/>
          <w:b/>
          <w:sz w:val="24"/>
          <w:szCs w:val="24"/>
        </w:rPr>
        <w:t>“</w:t>
      </w:r>
      <w:r w:rsidR="00781DF6" w:rsidRPr="00B31292">
        <w:rPr>
          <w:rFonts w:ascii="Garamond" w:eastAsia="Times New Roman" w:hAnsi="Garamond" w:cs="Times New Roman"/>
          <w:b/>
          <w:sz w:val="24"/>
          <w:szCs w:val="24"/>
        </w:rPr>
        <w:t xml:space="preserve">Programi i </w:t>
      </w:r>
      <w:r w:rsidR="00F2621B" w:rsidRPr="00B31292">
        <w:rPr>
          <w:rFonts w:ascii="Garamond" w:eastAsia="Times New Roman" w:hAnsi="Garamond" w:cs="Times New Roman"/>
          <w:b/>
          <w:sz w:val="24"/>
          <w:szCs w:val="24"/>
        </w:rPr>
        <w:t xml:space="preserve">bashkëpunimit statistikor me instrumentin shumëpërfitues </w:t>
      </w:r>
      <w:r w:rsidR="00781DF6" w:rsidRPr="00B31292">
        <w:rPr>
          <w:rFonts w:ascii="Garamond" w:eastAsia="Times New Roman" w:hAnsi="Garamond" w:cs="Times New Roman"/>
          <w:b/>
          <w:sz w:val="24"/>
          <w:szCs w:val="24"/>
        </w:rPr>
        <w:t>–</w:t>
      </w:r>
      <w:r w:rsidR="00CA355C" w:rsidRPr="00B31292">
        <w:rPr>
          <w:rFonts w:ascii="Garamond" w:eastAsia="Times New Roman" w:hAnsi="Garamond" w:cs="Times New Roman"/>
          <w:b/>
          <w:sz w:val="24"/>
          <w:szCs w:val="24"/>
        </w:rPr>
        <w:t xml:space="preserve"> IPA </w:t>
      </w:r>
      <w:r w:rsidR="00781DF6" w:rsidRPr="00B31292">
        <w:rPr>
          <w:rFonts w:ascii="Garamond" w:eastAsia="Times New Roman" w:hAnsi="Garamond" w:cs="Times New Roman"/>
          <w:b/>
          <w:sz w:val="24"/>
          <w:szCs w:val="24"/>
        </w:rPr>
        <w:t>2022</w:t>
      </w:r>
      <w:r w:rsidR="00BA12C3" w:rsidRPr="00B31292">
        <w:rPr>
          <w:rFonts w:ascii="Garamond" w:eastAsia="Times New Roman" w:hAnsi="Garamond" w:cs="Times New Roman"/>
          <w:b/>
          <w:sz w:val="24"/>
          <w:szCs w:val="24"/>
        </w:rPr>
        <w:t>”</w:t>
      </w:r>
    </w:p>
    <w:p w14:paraId="78D1EC74" w14:textId="7D85793A" w:rsidR="00781DF6" w:rsidRPr="00B31292" w:rsidRDefault="00781DF6" w:rsidP="003A4DBA">
      <w:pPr>
        <w:spacing w:after="0" w:line="240" w:lineRule="auto"/>
        <w:ind w:firstLine="284"/>
        <w:contextualSpacing/>
        <w:jc w:val="both"/>
        <w:rPr>
          <w:rFonts w:ascii="Garamond" w:eastAsia="Times New Roman" w:hAnsi="Garamond" w:cs="Times New Roman"/>
          <w:sz w:val="24"/>
          <w:szCs w:val="24"/>
        </w:rPr>
      </w:pPr>
      <w:r w:rsidRPr="00B31292">
        <w:rPr>
          <w:rFonts w:ascii="Garamond" w:eastAsia="Times New Roman" w:hAnsi="Garamond" w:cs="Times New Roman"/>
          <w:sz w:val="24"/>
          <w:szCs w:val="24"/>
        </w:rPr>
        <w:t xml:space="preserve">Në muajin </w:t>
      </w:r>
      <w:r w:rsidR="00F2621B" w:rsidRPr="00B31292">
        <w:rPr>
          <w:rFonts w:ascii="Garamond" w:eastAsia="Times New Roman" w:hAnsi="Garamond" w:cs="Times New Roman"/>
          <w:sz w:val="24"/>
          <w:szCs w:val="24"/>
        </w:rPr>
        <w:t>j</w:t>
      </w:r>
      <w:r w:rsidRPr="00B31292">
        <w:rPr>
          <w:rFonts w:ascii="Garamond" w:eastAsia="Times New Roman" w:hAnsi="Garamond" w:cs="Times New Roman"/>
          <w:sz w:val="24"/>
          <w:szCs w:val="24"/>
        </w:rPr>
        <w:t xml:space="preserve">anar të vitit 2024 filloi zbatimi i </w:t>
      </w:r>
      <w:r w:rsidR="00F2621B" w:rsidRPr="00B31292">
        <w:rPr>
          <w:rFonts w:ascii="Garamond" w:eastAsia="Times New Roman" w:hAnsi="Garamond" w:cs="Times New Roman"/>
          <w:sz w:val="24"/>
          <w:szCs w:val="24"/>
        </w:rPr>
        <w:t>p</w:t>
      </w:r>
      <w:r w:rsidRPr="00B31292">
        <w:rPr>
          <w:rFonts w:ascii="Garamond" w:eastAsia="Times New Roman" w:hAnsi="Garamond" w:cs="Times New Roman"/>
          <w:sz w:val="24"/>
          <w:szCs w:val="24"/>
        </w:rPr>
        <w:t xml:space="preserve">rogramit IPA shumëpërfitues 2022, i cili do të vijojë deri në muajin </w:t>
      </w:r>
      <w:r w:rsidR="00F2621B" w:rsidRPr="00B31292">
        <w:rPr>
          <w:rFonts w:ascii="Garamond" w:eastAsia="Times New Roman" w:hAnsi="Garamond" w:cs="Times New Roman"/>
          <w:sz w:val="24"/>
          <w:szCs w:val="24"/>
        </w:rPr>
        <w:t>d</w:t>
      </w:r>
      <w:r w:rsidRPr="00B31292">
        <w:rPr>
          <w:rFonts w:ascii="Garamond" w:eastAsia="Times New Roman" w:hAnsi="Garamond" w:cs="Times New Roman"/>
          <w:sz w:val="24"/>
          <w:szCs w:val="24"/>
        </w:rPr>
        <w:t xml:space="preserve">hjetor të vitit 2027. Mbështetja fokusohet në 15 fusha statistikore, në një prej të cilave përfitues është Banka e Shqipërisë. Mbështetja do të ofrohet përkatësisht për </w:t>
      </w:r>
      <w:r w:rsidR="00F2621B" w:rsidRPr="00B31292">
        <w:rPr>
          <w:rFonts w:ascii="Garamond" w:eastAsia="Times New Roman" w:hAnsi="Garamond" w:cs="Times New Roman"/>
          <w:sz w:val="24"/>
          <w:szCs w:val="24"/>
        </w:rPr>
        <w:t>statistikat e financiare të qeverisë dhe defiçitit të tejkaluar, indekset e harmonizuara të çmimeve të konsu</w:t>
      </w:r>
      <w:r w:rsidRPr="00B31292">
        <w:rPr>
          <w:rFonts w:ascii="Garamond" w:eastAsia="Times New Roman" w:hAnsi="Garamond" w:cs="Times New Roman"/>
          <w:sz w:val="24"/>
          <w:szCs w:val="24"/>
        </w:rPr>
        <w:t xml:space="preserve">matorit (HICP) dhe </w:t>
      </w:r>
      <w:r w:rsidR="00F2621B" w:rsidRPr="00B31292">
        <w:rPr>
          <w:rFonts w:ascii="Garamond" w:eastAsia="Times New Roman" w:hAnsi="Garamond" w:cs="Times New Roman"/>
          <w:sz w:val="24"/>
          <w:szCs w:val="24"/>
        </w:rPr>
        <w:t xml:space="preserve">indeksi i çmimeve të banesave </w:t>
      </w:r>
      <w:r w:rsidRPr="00B31292">
        <w:rPr>
          <w:rFonts w:ascii="Garamond" w:eastAsia="Times New Roman" w:hAnsi="Garamond" w:cs="Times New Roman"/>
          <w:sz w:val="24"/>
          <w:szCs w:val="24"/>
        </w:rPr>
        <w:t xml:space="preserve">(HPI); </w:t>
      </w:r>
      <w:r w:rsidR="00F2621B" w:rsidRPr="00B31292">
        <w:rPr>
          <w:rFonts w:ascii="Garamond" w:eastAsia="Times New Roman" w:hAnsi="Garamond" w:cs="Times New Roman"/>
          <w:sz w:val="24"/>
          <w:szCs w:val="24"/>
        </w:rPr>
        <w:t xml:space="preserve">barazitë </w:t>
      </w:r>
      <w:r w:rsidRPr="00B31292">
        <w:rPr>
          <w:rFonts w:ascii="Garamond" w:eastAsia="Times New Roman" w:hAnsi="Garamond" w:cs="Times New Roman"/>
          <w:sz w:val="24"/>
          <w:szCs w:val="24"/>
        </w:rPr>
        <w:t xml:space="preserve">e fuqisë blerëse (PPP), </w:t>
      </w:r>
      <w:r w:rsidR="00F2621B" w:rsidRPr="00B31292">
        <w:rPr>
          <w:rFonts w:ascii="Garamond" w:eastAsia="Times New Roman" w:hAnsi="Garamond" w:cs="Times New Roman"/>
          <w:sz w:val="24"/>
          <w:szCs w:val="24"/>
        </w:rPr>
        <w:t xml:space="preserve">statistikat afatshkurtra </w:t>
      </w:r>
      <w:r w:rsidRPr="00B31292">
        <w:rPr>
          <w:rFonts w:ascii="Garamond" w:eastAsia="Times New Roman" w:hAnsi="Garamond" w:cs="Times New Roman"/>
          <w:sz w:val="24"/>
          <w:szCs w:val="24"/>
        </w:rPr>
        <w:t xml:space="preserve">të </w:t>
      </w:r>
      <w:r w:rsidR="00F2621B" w:rsidRPr="00B31292">
        <w:rPr>
          <w:rFonts w:ascii="Garamond" w:eastAsia="Times New Roman" w:hAnsi="Garamond" w:cs="Times New Roman"/>
          <w:sz w:val="24"/>
          <w:szCs w:val="24"/>
        </w:rPr>
        <w:t>biznesit</w:t>
      </w:r>
      <w:r w:rsidRPr="00B31292">
        <w:rPr>
          <w:rFonts w:ascii="Garamond" w:eastAsia="Times New Roman" w:hAnsi="Garamond" w:cs="Times New Roman"/>
          <w:sz w:val="24"/>
          <w:szCs w:val="24"/>
        </w:rPr>
        <w:t xml:space="preserve">, </w:t>
      </w:r>
      <w:r w:rsidR="00F2621B" w:rsidRPr="00B31292">
        <w:rPr>
          <w:rFonts w:ascii="Garamond" w:eastAsia="Times New Roman" w:hAnsi="Garamond" w:cs="Times New Roman"/>
          <w:sz w:val="24"/>
          <w:szCs w:val="24"/>
        </w:rPr>
        <w:t xml:space="preserve">statistikat </w:t>
      </w:r>
      <w:r w:rsidRPr="00B31292">
        <w:rPr>
          <w:rFonts w:ascii="Garamond" w:eastAsia="Times New Roman" w:hAnsi="Garamond" w:cs="Times New Roman"/>
          <w:sz w:val="24"/>
          <w:szCs w:val="24"/>
        </w:rPr>
        <w:t xml:space="preserve">e </w:t>
      </w:r>
      <w:r w:rsidR="00F2621B" w:rsidRPr="00B31292">
        <w:rPr>
          <w:rFonts w:ascii="Garamond" w:eastAsia="Times New Roman" w:hAnsi="Garamond" w:cs="Times New Roman"/>
          <w:sz w:val="24"/>
          <w:szCs w:val="24"/>
        </w:rPr>
        <w:t>transportit</w:t>
      </w:r>
      <w:r w:rsidRPr="00B31292">
        <w:rPr>
          <w:rFonts w:ascii="Garamond" w:eastAsia="Times New Roman" w:hAnsi="Garamond" w:cs="Times New Roman"/>
          <w:sz w:val="24"/>
          <w:szCs w:val="24"/>
        </w:rPr>
        <w:t xml:space="preserve">, </w:t>
      </w:r>
      <w:r w:rsidR="00F2621B" w:rsidRPr="00B31292">
        <w:rPr>
          <w:rFonts w:ascii="Garamond" w:eastAsia="Times New Roman" w:hAnsi="Garamond" w:cs="Times New Roman"/>
          <w:sz w:val="24"/>
          <w:szCs w:val="24"/>
        </w:rPr>
        <w:t>statistikat strukturore të biznesit, vrojtimin e forcës së punës, vrojtimin e të ardhurave dhe nivelit të jetesës, sistemi i integruar evropian për mbrojtjen sociale, llogaritë ekonomike në mjedis, statistikat e ujit, menaxhimi i cilësisë, zhvillimi i qëndrueshëm, statistikat e qytetit/informacioni gjeografik, si dhe investimet e huaja direkte (përfitues i të cilës ë</w:t>
      </w:r>
      <w:r w:rsidRPr="00B31292">
        <w:rPr>
          <w:rFonts w:ascii="Garamond" w:eastAsia="Times New Roman" w:hAnsi="Garamond" w:cs="Times New Roman"/>
          <w:sz w:val="24"/>
          <w:szCs w:val="24"/>
        </w:rPr>
        <w:t>shtë Banka e Shqipërisë). Mbështetja fokusohet në cilësinë e prodhimit të statistikave dhe transmetimit të të dhënave, sigurimin e ekspertizës, si rritje të kapaciteteve të stafit të INSTAT</w:t>
      </w:r>
      <w:r w:rsidR="002E40BF" w:rsidRPr="00B31292">
        <w:rPr>
          <w:rFonts w:ascii="Garamond" w:eastAsia="Times New Roman" w:hAnsi="Garamond" w:cs="Times New Roman"/>
          <w:sz w:val="24"/>
          <w:szCs w:val="24"/>
        </w:rPr>
        <w:t>-it</w:t>
      </w:r>
      <w:r w:rsidRPr="00B31292">
        <w:rPr>
          <w:rFonts w:ascii="Garamond" w:eastAsia="Times New Roman" w:hAnsi="Garamond" w:cs="Times New Roman"/>
          <w:sz w:val="24"/>
          <w:szCs w:val="24"/>
        </w:rPr>
        <w:t xml:space="preserve"> të përfshirë në projektet statistikore.</w:t>
      </w:r>
    </w:p>
    <w:p w14:paraId="6478BF3C" w14:textId="13CDF65A" w:rsidR="00781DF6" w:rsidRPr="00B31292" w:rsidRDefault="00EE716C" w:rsidP="003A4DBA">
      <w:pPr>
        <w:spacing w:after="0" w:line="240" w:lineRule="auto"/>
        <w:ind w:firstLine="284"/>
        <w:contextualSpacing/>
        <w:jc w:val="both"/>
        <w:rPr>
          <w:rFonts w:ascii="Garamond" w:eastAsia="Times New Roman" w:hAnsi="Garamond" w:cs="Times New Roman"/>
          <w:b/>
          <w:sz w:val="24"/>
          <w:szCs w:val="24"/>
        </w:rPr>
      </w:pPr>
      <w:r w:rsidRPr="00B31292">
        <w:rPr>
          <w:rFonts w:ascii="Garamond" w:eastAsia="Times New Roman" w:hAnsi="Garamond" w:cs="Times New Roman"/>
          <w:b/>
          <w:sz w:val="24"/>
          <w:szCs w:val="24"/>
        </w:rPr>
        <w:t xml:space="preserve"> </w:t>
      </w:r>
      <w:r w:rsidR="00BA12C3" w:rsidRPr="00B31292">
        <w:rPr>
          <w:rFonts w:ascii="Garamond" w:eastAsia="Times New Roman" w:hAnsi="Garamond" w:cs="Times New Roman"/>
          <w:b/>
          <w:sz w:val="24"/>
          <w:szCs w:val="24"/>
        </w:rPr>
        <w:t>“</w:t>
      </w:r>
      <w:r w:rsidR="00781DF6" w:rsidRPr="00B31292">
        <w:rPr>
          <w:rFonts w:ascii="Garamond" w:eastAsia="Times New Roman" w:hAnsi="Garamond" w:cs="Times New Roman"/>
          <w:b/>
          <w:sz w:val="24"/>
          <w:szCs w:val="24"/>
        </w:rPr>
        <w:t xml:space="preserve">Financimi i </w:t>
      </w:r>
      <w:r w:rsidR="008D567F" w:rsidRPr="00B31292">
        <w:rPr>
          <w:rFonts w:ascii="Garamond" w:eastAsia="Times New Roman" w:hAnsi="Garamond" w:cs="Times New Roman"/>
          <w:b/>
          <w:sz w:val="24"/>
          <w:szCs w:val="24"/>
        </w:rPr>
        <w:t xml:space="preserve">drejtpërdrejtë për mbështetjen </w:t>
      </w:r>
      <w:r w:rsidR="00781DF6" w:rsidRPr="00B31292">
        <w:rPr>
          <w:rFonts w:ascii="Garamond" w:eastAsia="Times New Roman" w:hAnsi="Garamond" w:cs="Times New Roman"/>
          <w:b/>
          <w:sz w:val="24"/>
          <w:szCs w:val="24"/>
        </w:rPr>
        <w:t>e INSTAT</w:t>
      </w:r>
      <w:r w:rsidR="002E40BF" w:rsidRPr="00B31292">
        <w:rPr>
          <w:rFonts w:ascii="Garamond" w:eastAsia="Times New Roman" w:hAnsi="Garamond" w:cs="Times New Roman"/>
          <w:b/>
          <w:sz w:val="24"/>
          <w:szCs w:val="24"/>
        </w:rPr>
        <w:t>-it</w:t>
      </w:r>
      <w:r w:rsidR="00781DF6" w:rsidRPr="00B31292">
        <w:rPr>
          <w:rFonts w:ascii="Garamond" w:eastAsia="Times New Roman" w:hAnsi="Garamond" w:cs="Times New Roman"/>
          <w:b/>
          <w:sz w:val="24"/>
          <w:szCs w:val="24"/>
        </w:rPr>
        <w:t xml:space="preserve"> në </w:t>
      </w:r>
      <w:r w:rsidR="008D567F" w:rsidRPr="00B31292">
        <w:rPr>
          <w:rFonts w:ascii="Garamond" w:eastAsia="Times New Roman" w:hAnsi="Garamond" w:cs="Times New Roman"/>
          <w:b/>
          <w:sz w:val="24"/>
          <w:szCs w:val="24"/>
        </w:rPr>
        <w:t>k</w:t>
      </w:r>
      <w:r w:rsidR="00781DF6" w:rsidRPr="00B31292">
        <w:rPr>
          <w:rFonts w:ascii="Garamond" w:eastAsia="Times New Roman" w:hAnsi="Garamond" w:cs="Times New Roman"/>
          <w:b/>
          <w:sz w:val="24"/>
          <w:szCs w:val="24"/>
        </w:rPr>
        <w:t>ryerjen e Censit të Popullsisë dhe Banesave 2022</w:t>
      </w:r>
      <w:r w:rsidR="00BA12C3" w:rsidRPr="00B31292">
        <w:rPr>
          <w:rFonts w:ascii="Garamond" w:eastAsia="Times New Roman" w:hAnsi="Garamond" w:cs="Times New Roman"/>
          <w:b/>
          <w:sz w:val="24"/>
          <w:szCs w:val="24"/>
        </w:rPr>
        <w:t>”</w:t>
      </w:r>
      <w:r w:rsidR="00781DF6" w:rsidRPr="00B31292">
        <w:rPr>
          <w:rFonts w:ascii="Garamond" w:eastAsia="Times New Roman" w:hAnsi="Garamond" w:cs="Times New Roman"/>
          <w:b/>
          <w:sz w:val="24"/>
          <w:szCs w:val="24"/>
        </w:rPr>
        <w:t xml:space="preserve"> </w:t>
      </w:r>
      <w:r w:rsidR="008D567F" w:rsidRPr="00B31292">
        <w:rPr>
          <w:rFonts w:ascii="Garamond" w:eastAsia="Times New Roman" w:hAnsi="Garamond" w:cs="Times New Roman"/>
          <w:b/>
          <w:sz w:val="24"/>
          <w:szCs w:val="24"/>
        </w:rPr>
        <w:t xml:space="preserve">SIDA </w:t>
      </w:r>
      <w:r w:rsidR="00781DF6" w:rsidRPr="00B31292">
        <w:rPr>
          <w:rFonts w:ascii="Garamond" w:eastAsia="Times New Roman" w:hAnsi="Garamond" w:cs="Times New Roman"/>
          <w:b/>
          <w:sz w:val="24"/>
          <w:szCs w:val="24"/>
        </w:rPr>
        <w:t xml:space="preserve">(Agjencia </w:t>
      </w:r>
      <w:r w:rsidR="00433589" w:rsidRPr="00B31292">
        <w:rPr>
          <w:rFonts w:ascii="Garamond" w:eastAsia="Times New Roman" w:hAnsi="Garamond" w:cs="Times New Roman"/>
          <w:b/>
          <w:sz w:val="24"/>
          <w:szCs w:val="24"/>
        </w:rPr>
        <w:t>S</w:t>
      </w:r>
      <w:r w:rsidR="00781DF6" w:rsidRPr="00B31292">
        <w:rPr>
          <w:rFonts w:ascii="Garamond" w:eastAsia="Times New Roman" w:hAnsi="Garamond" w:cs="Times New Roman"/>
          <w:b/>
          <w:sz w:val="24"/>
          <w:szCs w:val="24"/>
        </w:rPr>
        <w:t xml:space="preserve">uedeze për </w:t>
      </w:r>
      <w:r w:rsidR="00433589" w:rsidRPr="00B31292">
        <w:rPr>
          <w:rFonts w:ascii="Garamond" w:eastAsia="Times New Roman" w:hAnsi="Garamond" w:cs="Times New Roman"/>
          <w:b/>
          <w:sz w:val="24"/>
          <w:szCs w:val="24"/>
        </w:rPr>
        <w:t>B</w:t>
      </w:r>
      <w:r w:rsidR="00781DF6" w:rsidRPr="00B31292">
        <w:rPr>
          <w:rFonts w:ascii="Garamond" w:eastAsia="Times New Roman" w:hAnsi="Garamond" w:cs="Times New Roman"/>
          <w:b/>
          <w:sz w:val="24"/>
          <w:szCs w:val="24"/>
        </w:rPr>
        <w:t xml:space="preserve">ashkëpunim </w:t>
      </w:r>
      <w:r w:rsidR="00433589" w:rsidRPr="00B31292">
        <w:rPr>
          <w:rFonts w:ascii="Garamond" w:eastAsia="Times New Roman" w:hAnsi="Garamond" w:cs="Times New Roman"/>
          <w:b/>
          <w:sz w:val="24"/>
          <w:szCs w:val="24"/>
        </w:rPr>
        <w:t>N</w:t>
      </w:r>
      <w:r w:rsidR="00781DF6" w:rsidRPr="00B31292">
        <w:rPr>
          <w:rFonts w:ascii="Garamond" w:eastAsia="Times New Roman" w:hAnsi="Garamond" w:cs="Times New Roman"/>
          <w:b/>
          <w:sz w:val="24"/>
          <w:szCs w:val="24"/>
        </w:rPr>
        <w:t>dërkombëtar):</w:t>
      </w:r>
    </w:p>
    <w:p w14:paraId="074D3ADD" w14:textId="71DC4546" w:rsidR="00781DF6" w:rsidRPr="00B31292" w:rsidRDefault="00781DF6" w:rsidP="003A4DBA">
      <w:pPr>
        <w:spacing w:after="0" w:line="240" w:lineRule="auto"/>
        <w:ind w:firstLine="284"/>
        <w:contextualSpacing/>
        <w:jc w:val="both"/>
        <w:rPr>
          <w:rFonts w:ascii="Garamond" w:eastAsia="Times New Roman" w:hAnsi="Garamond" w:cs="Times New Roman"/>
          <w:sz w:val="24"/>
          <w:szCs w:val="24"/>
        </w:rPr>
      </w:pPr>
      <w:r w:rsidRPr="00B31292">
        <w:rPr>
          <w:rFonts w:ascii="Garamond" w:eastAsia="Times New Roman" w:hAnsi="Garamond" w:cs="Times New Roman"/>
          <w:sz w:val="24"/>
          <w:szCs w:val="24"/>
        </w:rPr>
        <w:lastRenderedPageBreak/>
        <w:t xml:space="preserve">Nëpërmjet kontributit të Agjencisë Suedeze për Bashkëpunim Ndërkombëtar, </w:t>
      </w:r>
      <w:r w:rsidR="00C80DD1" w:rsidRPr="00B31292">
        <w:rPr>
          <w:rFonts w:ascii="Garamond" w:eastAsia="Times New Roman" w:hAnsi="Garamond" w:cs="Times New Roman"/>
          <w:sz w:val="24"/>
          <w:szCs w:val="24"/>
        </w:rPr>
        <w:t xml:space="preserve">për vitin 2025 </w:t>
      </w:r>
      <w:r w:rsidRPr="00B31292">
        <w:rPr>
          <w:rFonts w:ascii="Garamond" w:eastAsia="Times New Roman" w:hAnsi="Garamond" w:cs="Times New Roman"/>
          <w:sz w:val="24"/>
          <w:szCs w:val="24"/>
        </w:rPr>
        <w:t xml:space="preserve">synohet mbështetje për realizimin </w:t>
      </w:r>
      <w:r w:rsidR="00C80DD1" w:rsidRPr="00B31292">
        <w:rPr>
          <w:rFonts w:ascii="Garamond" w:eastAsia="Times New Roman" w:hAnsi="Garamond" w:cs="Times New Roman"/>
          <w:sz w:val="24"/>
          <w:szCs w:val="24"/>
        </w:rPr>
        <w:t>e</w:t>
      </w:r>
      <w:r w:rsidRPr="00B31292">
        <w:rPr>
          <w:rFonts w:ascii="Garamond" w:eastAsia="Times New Roman" w:hAnsi="Garamond" w:cs="Times New Roman"/>
          <w:sz w:val="24"/>
          <w:szCs w:val="24"/>
        </w:rPr>
        <w:t xml:space="preserve"> analizave të thelluara bazuar në rezultatet e Censit</w:t>
      </w:r>
      <w:r w:rsidR="008D567F" w:rsidRPr="00B31292">
        <w:rPr>
          <w:rFonts w:ascii="Garamond" w:eastAsia="Times New Roman" w:hAnsi="Garamond" w:cs="Times New Roman"/>
          <w:sz w:val="24"/>
          <w:szCs w:val="24"/>
        </w:rPr>
        <w:t>,</w:t>
      </w:r>
      <w:r w:rsidRPr="00B31292">
        <w:rPr>
          <w:rFonts w:ascii="Garamond" w:eastAsia="Times New Roman" w:hAnsi="Garamond" w:cs="Times New Roman"/>
          <w:sz w:val="24"/>
          <w:szCs w:val="24"/>
        </w:rPr>
        <w:t xml:space="preserve"> si dhe mirëmbajtj</w:t>
      </w:r>
      <w:r w:rsidR="00433589" w:rsidRPr="00B31292">
        <w:rPr>
          <w:rFonts w:ascii="Garamond" w:eastAsia="Times New Roman" w:hAnsi="Garamond" w:cs="Times New Roman"/>
          <w:sz w:val="24"/>
          <w:szCs w:val="24"/>
        </w:rPr>
        <w:t>en</w:t>
      </w:r>
      <w:r w:rsidRPr="00B31292">
        <w:rPr>
          <w:rFonts w:ascii="Garamond" w:eastAsia="Times New Roman" w:hAnsi="Garamond" w:cs="Times New Roman"/>
          <w:sz w:val="24"/>
          <w:szCs w:val="24"/>
        </w:rPr>
        <w:t xml:space="preserve"> e infrastrukturës </w:t>
      </w:r>
      <w:r w:rsidRPr="00B31292">
        <w:rPr>
          <w:rFonts w:ascii="Garamond" w:eastAsia="Times New Roman" w:hAnsi="Garamond" w:cs="Times New Roman"/>
          <w:i/>
          <w:sz w:val="24"/>
          <w:szCs w:val="24"/>
        </w:rPr>
        <w:t>backup</w:t>
      </w:r>
      <w:r w:rsidRPr="00B31292">
        <w:rPr>
          <w:rFonts w:ascii="Garamond" w:eastAsia="Times New Roman" w:hAnsi="Garamond" w:cs="Times New Roman"/>
          <w:sz w:val="24"/>
          <w:szCs w:val="24"/>
        </w:rPr>
        <w:t xml:space="preserve"> të Censit. Projekti parashikohet të përfundojë</w:t>
      </w:r>
      <w:r w:rsidRPr="00B31292">
        <w:rPr>
          <w:rFonts w:ascii="Garamond" w:hAnsi="Garamond" w:cs="Times New Roman"/>
          <w:sz w:val="24"/>
          <w:szCs w:val="24"/>
        </w:rPr>
        <w:t xml:space="preserve"> </w:t>
      </w:r>
      <w:r w:rsidRPr="00B31292">
        <w:rPr>
          <w:rFonts w:ascii="Garamond" w:eastAsia="Times New Roman" w:hAnsi="Garamond" w:cs="Times New Roman"/>
          <w:sz w:val="24"/>
          <w:szCs w:val="24"/>
        </w:rPr>
        <w:t xml:space="preserve">brenda muajit </w:t>
      </w:r>
      <w:r w:rsidR="008D567F" w:rsidRPr="00B31292">
        <w:rPr>
          <w:rFonts w:ascii="Garamond" w:eastAsia="Times New Roman" w:hAnsi="Garamond" w:cs="Times New Roman"/>
          <w:sz w:val="24"/>
          <w:szCs w:val="24"/>
        </w:rPr>
        <w:t>q</w:t>
      </w:r>
      <w:r w:rsidRPr="00B31292">
        <w:rPr>
          <w:rFonts w:ascii="Garamond" w:eastAsia="Times New Roman" w:hAnsi="Garamond" w:cs="Times New Roman"/>
          <w:sz w:val="24"/>
          <w:szCs w:val="24"/>
        </w:rPr>
        <w:t>ershor të vitit 2025.</w:t>
      </w:r>
    </w:p>
    <w:p w14:paraId="4F322B87" w14:textId="29981233" w:rsidR="00781DF6" w:rsidRPr="00B31292" w:rsidRDefault="00EE716C" w:rsidP="003A4DBA">
      <w:pPr>
        <w:spacing w:after="0" w:line="240" w:lineRule="auto"/>
        <w:ind w:firstLine="284"/>
        <w:contextualSpacing/>
        <w:jc w:val="both"/>
        <w:rPr>
          <w:rFonts w:ascii="Garamond" w:eastAsia="Times New Roman" w:hAnsi="Garamond" w:cs="Times New Roman"/>
          <w:b/>
          <w:sz w:val="24"/>
          <w:szCs w:val="24"/>
        </w:rPr>
      </w:pPr>
      <w:r w:rsidRPr="00B31292">
        <w:rPr>
          <w:rFonts w:ascii="Garamond" w:eastAsia="Times New Roman" w:hAnsi="Garamond" w:cs="Times New Roman"/>
          <w:b/>
          <w:sz w:val="24"/>
          <w:szCs w:val="24"/>
        </w:rPr>
        <w:t xml:space="preserve"> </w:t>
      </w:r>
      <w:r w:rsidR="00BA12C3" w:rsidRPr="00B31292">
        <w:rPr>
          <w:rFonts w:ascii="Garamond" w:eastAsia="Times New Roman" w:hAnsi="Garamond" w:cs="Times New Roman"/>
          <w:b/>
          <w:sz w:val="24"/>
          <w:szCs w:val="24"/>
        </w:rPr>
        <w:t>“</w:t>
      </w:r>
      <w:r w:rsidR="00781DF6" w:rsidRPr="00B31292">
        <w:rPr>
          <w:rFonts w:ascii="Garamond" w:eastAsia="Times New Roman" w:hAnsi="Garamond" w:cs="Times New Roman"/>
          <w:b/>
          <w:sz w:val="24"/>
          <w:szCs w:val="24"/>
        </w:rPr>
        <w:t xml:space="preserve">Statistika të </w:t>
      </w:r>
      <w:r w:rsidR="008D567F" w:rsidRPr="00B31292">
        <w:rPr>
          <w:rFonts w:ascii="Garamond" w:eastAsia="Times New Roman" w:hAnsi="Garamond" w:cs="Times New Roman"/>
          <w:b/>
          <w:sz w:val="24"/>
          <w:szCs w:val="24"/>
        </w:rPr>
        <w:t>forta vendore s</w:t>
      </w:r>
      <w:r w:rsidR="00781DF6" w:rsidRPr="00B31292">
        <w:rPr>
          <w:rFonts w:ascii="Garamond" w:eastAsia="Times New Roman" w:hAnsi="Garamond" w:cs="Times New Roman"/>
          <w:b/>
          <w:sz w:val="24"/>
          <w:szCs w:val="24"/>
        </w:rPr>
        <w:t>hqiptare</w:t>
      </w:r>
      <w:r w:rsidR="00BA12C3" w:rsidRPr="00B31292">
        <w:rPr>
          <w:rFonts w:ascii="Garamond" w:eastAsia="Times New Roman" w:hAnsi="Garamond" w:cs="Times New Roman"/>
          <w:b/>
          <w:sz w:val="24"/>
          <w:szCs w:val="24"/>
        </w:rPr>
        <w:t>”</w:t>
      </w:r>
      <w:r w:rsidR="00433589" w:rsidRPr="00B31292">
        <w:rPr>
          <w:rFonts w:ascii="Garamond" w:eastAsia="Times New Roman" w:hAnsi="Garamond" w:cs="Times New Roman"/>
          <w:b/>
          <w:sz w:val="24"/>
          <w:szCs w:val="24"/>
        </w:rPr>
        <w:t xml:space="preserve"> </w:t>
      </w:r>
      <w:r w:rsidR="002E40BF" w:rsidRPr="00B31292">
        <w:rPr>
          <w:rFonts w:ascii="Garamond" w:eastAsia="Times New Roman" w:hAnsi="Garamond" w:cs="Times New Roman"/>
          <w:b/>
          <w:sz w:val="24"/>
          <w:szCs w:val="24"/>
        </w:rPr>
        <w:t>–</w:t>
      </w:r>
      <w:r w:rsidR="00433589" w:rsidRPr="00B31292">
        <w:rPr>
          <w:rFonts w:ascii="Garamond" w:eastAsia="Times New Roman" w:hAnsi="Garamond" w:cs="Times New Roman"/>
          <w:b/>
          <w:sz w:val="24"/>
          <w:szCs w:val="24"/>
        </w:rPr>
        <w:t xml:space="preserve"> </w:t>
      </w:r>
      <w:r w:rsidR="00781DF6" w:rsidRPr="00B31292">
        <w:rPr>
          <w:rFonts w:ascii="Garamond" w:eastAsia="Times New Roman" w:hAnsi="Garamond" w:cs="Times New Roman"/>
          <w:b/>
          <w:sz w:val="24"/>
          <w:szCs w:val="24"/>
        </w:rPr>
        <w:t xml:space="preserve">SALSTAT II </w:t>
      </w:r>
    </w:p>
    <w:p w14:paraId="52BCA964" w14:textId="0F3FB282" w:rsidR="00781DF6" w:rsidRPr="00B31292" w:rsidRDefault="00781DF6" w:rsidP="003A4DBA">
      <w:pPr>
        <w:spacing w:after="0" w:line="240" w:lineRule="auto"/>
        <w:ind w:firstLine="284"/>
        <w:contextualSpacing/>
        <w:jc w:val="both"/>
        <w:rPr>
          <w:rFonts w:ascii="Garamond" w:eastAsia="Times New Roman" w:hAnsi="Garamond" w:cs="Times New Roman"/>
          <w:sz w:val="24"/>
          <w:szCs w:val="24"/>
        </w:rPr>
      </w:pPr>
      <w:r w:rsidRPr="00B31292">
        <w:rPr>
          <w:rFonts w:ascii="Garamond" w:eastAsia="Times New Roman" w:hAnsi="Garamond" w:cs="Times New Roman"/>
          <w:sz w:val="24"/>
          <w:szCs w:val="24"/>
        </w:rPr>
        <w:t xml:space="preserve">Zyra e Bashkëpunimit </w:t>
      </w:r>
      <w:r w:rsidR="002E40BF" w:rsidRPr="00B31292">
        <w:rPr>
          <w:rFonts w:ascii="Garamond" w:eastAsia="Times New Roman" w:hAnsi="Garamond" w:cs="Times New Roman"/>
          <w:sz w:val="24"/>
          <w:szCs w:val="24"/>
        </w:rPr>
        <w:t>Zviceran</w:t>
      </w:r>
      <w:r w:rsidRPr="00B31292">
        <w:rPr>
          <w:rFonts w:ascii="Garamond" w:eastAsia="Times New Roman" w:hAnsi="Garamond" w:cs="Times New Roman"/>
          <w:sz w:val="24"/>
          <w:szCs w:val="24"/>
        </w:rPr>
        <w:t xml:space="preserve"> për Zhvillim dhe Bashkëpunim (SDC) në bashkëpunim me Zyrën Federale të Statistikave (FSO) mbështet</w:t>
      </w:r>
      <w:r w:rsidR="00433589" w:rsidRPr="00B31292">
        <w:rPr>
          <w:rFonts w:ascii="Garamond" w:eastAsia="Times New Roman" w:hAnsi="Garamond" w:cs="Times New Roman"/>
          <w:sz w:val="24"/>
          <w:szCs w:val="24"/>
        </w:rPr>
        <w:t xml:space="preserve"> prej vitesh</w:t>
      </w:r>
      <w:r w:rsidRPr="00B31292">
        <w:rPr>
          <w:rFonts w:ascii="Garamond" w:eastAsia="Times New Roman" w:hAnsi="Garamond" w:cs="Times New Roman"/>
          <w:sz w:val="24"/>
          <w:szCs w:val="24"/>
        </w:rPr>
        <w:t xml:space="preserve"> INSTAT-in nëpërmjet projektit SALSTAT</w:t>
      </w:r>
      <w:r w:rsidR="008D567F" w:rsidRPr="00B31292">
        <w:rPr>
          <w:rFonts w:ascii="Garamond" w:eastAsia="Times New Roman" w:hAnsi="Garamond" w:cs="Times New Roman"/>
          <w:sz w:val="24"/>
          <w:szCs w:val="24"/>
        </w:rPr>
        <w:t>,</w:t>
      </w:r>
      <w:r w:rsidRPr="00B31292">
        <w:rPr>
          <w:rFonts w:ascii="Garamond" w:eastAsia="Times New Roman" w:hAnsi="Garamond" w:cs="Times New Roman"/>
          <w:sz w:val="24"/>
          <w:szCs w:val="24"/>
        </w:rPr>
        <w:t xml:space="preserve"> duke kontribuar në rritjen e kapaciteteve të stafit të bashkive mbi njohuritë në statistikat zyrtare dhe të Sistemit Kombëtar Statistikor. Ky projekt ka kontribuar</w:t>
      </w:r>
      <w:r w:rsidR="008D567F" w:rsidRPr="00B31292">
        <w:rPr>
          <w:rFonts w:ascii="Garamond" w:eastAsia="Times New Roman" w:hAnsi="Garamond" w:cs="Times New Roman"/>
          <w:sz w:val="24"/>
          <w:szCs w:val="24"/>
        </w:rPr>
        <w:t>,</w:t>
      </w:r>
      <w:r w:rsidRPr="00B31292">
        <w:rPr>
          <w:rFonts w:ascii="Garamond" w:eastAsia="Times New Roman" w:hAnsi="Garamond" w:cs="Times New Roman"/>
          <w:sz w:val="24"/>
          <w:szCs w:val="24"/>
        </w:rPr>
        <w:t xml:space="preserve"> gjithashtu</w:t>
      </w:r>
      <w:r w:rsidR="008D567F" w:rsidRPr="00B31292">
        <w:rPr>
          <w:rFonts w:ascii="Garamond" w:eastAsia="Times New Roman" w:hAnsi="Garamond" w:cs="Times New Roman"/>
          <w:sz w:val="24"/>
          <w:szCs w:val="24"/>
        </w:rPr>
        <w:t>,</w:t>
      </w:r>
      <w:r w:rsidRPr="00B31292">
        <w:rPr>
          <w:rFonts w:ascii="Garamond" w:eastAsia="Times New Roman" w:hAnsi="Garamond" w:cs="Times New Roman"/>
          <w:sz w:val="24"/>
          <w:szCs w:val="24"/>
        </w:rPr>
        <w:t xml:space="preserve"> në sigurimin e një pjesë të pajisjeve kompjuterike për Censin. Projekti është në fazën e dytë të zbatimit për periudhën</w:t>
      </w:r>
      <w:r w:rsidR="002E2911" w:rsidRPr="00B31292">
        <w:rPr>
          <w:rFonts w:ascii="Garamond" w:eastAsia="Times New Roman" w:hAnsi="Garamond" w:cs="Times New Roman"/>
          <w:sz w:val="24"/>
          <w:szCs w:val="24"/>
        </w:rPr>
        <w:t xml:space="preserve"> </w:t>
      </w:r>
      <w:r w:rsidR="002277EC" w:rsidRPr="00B31292">
        <w:rPr>
          <w:rFonts w:ascii="Garamond" w:eastAsia="Times New Roman" w:hAnsi="Garamond" w:cs="Times New Roman"/>
          <w:sz w:val="24"/>
          <w:szCs w:val="24"/>
        </w:rPr>
        <w:t>2022–2026</w:t>
      </w:r>
      <w:r w:rsidRPr="00B31292">
        <w:rPr>
          <w:rFonts w:ascii="Garamond" w:eastAsia="Times New Roman" w:hAnsi="Garamond" w:cs="Times New Roman"/>
          <w:sz w:val="24"/>
          <w:szCs w:val="24"/>
        </w:rPr>
        <w:t xml:space="preserve"> dhe ka për qëllim ngritjen e kapaciteteve për stafin e bashkive, zyrave rajonale dhe të përfaqësuesve të Agjencisë për Mbështetjen e Vetëqeverisjes Vendore me qëllim krijimin e njësive statistikore në nivel bashkie. Gjithashtu, nëpërmjet këtij projekti synohet krijimi i një regjistri statistikor të ndërtesave dhe banesave</w:t>
      </w:r>
      <w:r w:rsidR="008D567F" w:rsidRPr="00B31292">
        <w:rPr>
          <w:rFonts w:ascii="Garamond" w:eastAsia="Times New Roman" w:hAnsi="Garamond" w:cs="Times New Roman"/>
          <w:sz w:val="24"/>
          <w:szCs w:val="24"/>
        </w:rPr>
        <w:t>,</w:t>
      </w:r>
      <w:r w:rsidRPr="00B31292">
        <w:rPr>
          <w:rFonts w:ascii="Garamond" w:eastAsia="Times New Roman" w:hAnsi="Garamond" w:cs="Times New Roman"/>
          <w:sz w:val="24"/>
          <w:szCs w:val="24"/>
        </w:rPr>
        <w:t xml:space="preserve"> dhe të një regjistri statistikor të popullsisë rezidente, i cili do të jetë burimi i statistikave vjetore të popullsisë dhe banesave në të ardhmen.</w:t>
      </w:r>
    </w:p>
    <w:p w14:paraId="6DE7BAA0" w14:textId="02FD8C49" w:rsidR="00781DF6" w:rsidRPr="00B31292" w:rsidRDefault="00EE716C" w:rsidP="003A4DBA">
      <w:pPr>
        <w:spacing w:after="0" w:line="240" w:lineRule="auto"/>
        <w:ind w:firstLine="284"/>
        <w:contextualSpacing/>
        <w:jc w:val="both"/>
        <w:rPr>
          <w:rFonts w:ascii="Garamond" w:eastAsia="Times New Roman" w:hAnsi="Garamond" w:cs="Times New Roman"/>
          <w:b/>
          <w:sz w:val="24"/>
          <w:szCs w:val="24"/>
        </w:rPr>
      </w:pPr>
      <w:r w:rsidRPr="00B31292">
        <w:rPr>
          <w:rFonts w:ascii="Garamond" w:eastAsia="Times New Roman" w:hAnsi="Garamond" w:cs="Times New Roman"/>
          <w:b/>
          <w:sz w:val="24"/>
          <w:szCs w:val="24"/>
        </w:rPr>
        <w:t xml:space="preserve"> </w:t>
      </w:r>
      <w:r w:rsidR="00BA12C3" w:rsidRPr="00B31292">
        <w:rPr>
          <w:rFonts w:ascii="Garamond" w:eastAsia="Times New Roman" w:hAnsi="Garamond" w:cs="Times New Roman"/>
          <w:b/>
          <w:sz w:val="24"/>
          <w:szCs w:val="24"/>
        </w:rPr>
        <w:t>“</w:t>
      </w:r>
      <w:r w:rsidR="00781DF6" w:rsidRPr="00B31292">
        <w:rPr>
          <w:rFonts w:ascii="Garamond" w:eastAsia="Times New Roman" w:hAnsi="Garamond" w:cs="Times New Roman"/>
          <w:b/>
          <w:sz w:val="24"/>
          <w:szCs w:val="24"/>
        </w:rPr>
        <w:t xml:space="preserve">Asistencë </w:t>
      </w:r>
      <w:r w:rsidR="008D567F" w:rsidRPr="00B31292">
        <w:rPr>
          <w:rFonts w:ascii="Garamond" w:eastAsia="Times New Roman" w:hAnsi="Garamond" w:cs="Times New Roman"/>
          <w:b/>
          <w:sz w:val="24"/>
          <w:szCs w:val="24"/>
        </w:rPr>
        <w:t xml:space="preserve">teknike për realizimin </w:t>
      </w:r>
      <w:r w:rsidR="00781DF6" w:rsidRPr="00B31292">
        <w:rPr>
          <w:rFonts w:ascii="Garamond" w:eastAsia="Times New Roman" w:hAnsi="Garamond" w:cs="Times New Roman"/>
          <w:b/>
          <w:sz w:val="24"/>
          <w:szCs w:val="24"/>
        </w:rPr>
        <w:t>e Censit të Bujqësisë</w:t>
      </w:r>
      <w:r w:rsidR="00BA12C3" w:rsidRPr="00B31292">
        <w:rPr>
          <w:rFonts w:ascii="Garamond" w:eastAsia="Times New Roman" w:hAnsi="Garamond" w:cs="Times New Roman"/>
          <w:b/>
          <w:sz w:val="24"/>
          <w:szCs w:val="24"/>
        </w:rPr>
        <w:t>”</w:t>
      </w:r>
      <w:r w:rsidR="00781DF6" w:rsidRPr="00B31292">
        <w:rPr>
          <w:rFonts w:ascii="Garamond" w:eastAsia="Times New Roman" w:hAnsi="Garamond" w:cs="Times New Roman"/>
          <w:b/>
          <w:sz w:val="24"/>
          <w:szCs w:val="24"/>
        </w:rPr>
        <w:t xml:space="preserve"> – Fondi për </w:t>
      </w:r>
      <w:r w:rsidR="008D567F" w:rsidRPr="00B31292">
        <w:rPr>
          <w:rFonts w:ascii="Garamond" w:eastAsia="Times New Roman" w:hAnsi="Garamond" w:cs="Times New Roman"/>
          <w:b/>
          <w:sz w:val="24"/>
          <w:szCs w:val="24"/>
        </w:rPr>
        <w:t>lehtësimin e integrimit në</w:t>
      </w:r>
      <w:r w:rsidR="00781DF6" w:rsidRPr="00B31292">
        <w:rPr>
          <w:rFonts w:ascii="Garamond" w:eastAsia="Times New Roman" w:hAnsi="Garamond" w:cs="Times New Roman"/>
          <w:b/>
          <w:sz w:val="24"/>
          <w:szCs w:val="24"/>
        </w:rPr>
        <w:t xml:space="preserve"> BE – IPA 2014-2020 </w:t>
      </w:r>
    </w:p>
    <w:p w14:paraId="6DEF72A0" w14:textId="15B93D3B" w:rsidR="00781DF6" w:rsidRPr="00B31292" w:rsidRDefault="00781DF6" w:rsidP="003A4DBA">
      <w:pPr>
        <w:spacing w:after="0" w:line="240" w:lineRule="auto"/>
        <w:ind w:firstLine="284"/>
        <w:contextualSpacing/>
        <w:jc w:val="both"/>
        <w:rPr>
          <w:rFonts w:ascii="Garamond" w:eastAsia="Times New Roman" w:hAnsi="Garamond" w:cs="Times New Roman"/>
          <w:sz w:val="24"/>
          <w:szCs w:val="24"/>
        </w:rPr>
      </w:pPr>
      <w:r w:rsidRPr="00B31292">
        <w:rPr>
          <w:rFonts w:ascii="Garamond" w:eastAsia="Times New Roman" w:hAnsi="Garamond" w:cs="Times New Roman"/>
          <w:sz w:val="24"/>
          <w:szCs w:val="24"/>
        </w:rPr>
        <w:t xml:space="preserve">Bashkimi </w:t>
      </w:r>
      <w:r w:rsidR="008D567F" w:rsidRPr="00B31292">
        <w:rPr>
          <w:rFonts w:ascii="Garamond" w:eastAsia="Times New Roman" w:hAnsi="Garamond" w:cs="Times New Roman"/>
          <w:sz w:val="24"/>
          <w:szCs w:val="24"/>
        </w:rPr>
        <w:t>Evropian</w:t>
      </w:r>
      <w:r w:rsidRPr="00B31292">
        <w:rPr>
          <w:rFonts w:ascii="Garamond" w:eastAsia="Times New Roman" w:hAnsi="Garamond" w:cs="Times New Roman"/>
          <w:sz w:val="24"/>
          <w:szCs w:val="24"/>
        </w:rPr>
        <w:t xml:space="preserve"> përmes përdorimit të </w:t>
      </w:r>
      <w:r w:rsidR="008D567F" w:rsidRPr="00B31292">
        <w:rPr>
          <w:rFonts w:ascii="Garamond" w:eastAsia="Times New Roman" w:hAnsi="Garamond" w:cs="Times New Roman"/>
          <w:sz w:val="24"/>
          <w:szCs w:val="24"/>
        </w:rPr>
        <w:t xml:space="preserve">fondit për lehtësimin e integrimit </w:t>
      </w:r>
      <w:r w:rsidRPr="00B31292">
        <w:rPr>
          <w:rFonts w:ascii="Garamond" w:eastAsia="Times New Roman" w:hAnsi="Garamond" w:cs="Times New Roman"/>
          <w:sz w:val="24"/>
          <w:szCs w:val="24"/>
        </w:rPr>
        <w:t xml:space="preserve">në BE, IPA II, ka ofruar mbështetje për zbatimin e disa aktiviteteve operacionale të Censit të Bujqësisë përmes asistencës teknike në komponentët e metodologjisë të Censit dhe infrastrukturës së </w:t>
      </w:r>
      <w:r w:rsidR="008D567F" w:rsidRPr="00B31292">
        <w:rPr>
          <w:rFonts w:ascii="Garamond" w:eastAsia="Times New Roman" w:hAnsi="Garamond" w:cs="Times New Roman"/>
          <w:sz w:val="24"/>
          <w:szCs w:val="24"/>
        </w:rPr>
        <w:t>teknologjisë së informacionit, për një periudhë 18-mujore, e cila përfshin dhe gjysmën e parë të vi</w:t>
      </w:r>
      <w:r w:rsidRPr="00B31292">
        <w:rPr>
          <w:rFonts w:ascii="Garamond" w:eastAsia="Times New Roman" w:hAnsi="Garamond" w:cs="Times New Roman"/>
          <w:sz w:val="24"/>
          <w:szCs w:val="24"/>
        </w:rPr>
        <w:t>tit 2025.</w:t>
      </w:r>
    </w:p>
    <w:p w14:paraId="17D7DE68" w14:textId="7A8DE591" w:rsidR="00F40842" w:rsidRPr="00B31292" w:rsidRDefault="00F40842" w:rsidP="003A4DBA">
      <w:pPr>
        <w:spacing w:after="0" w:line="240" w:lineRule="auto"/>
        <w:ind w:firstLine="284"/>
        <w:contextualSpacing/>
        <w:jc w:val="both"/>
        <w:rPr>
          <w:rFonts w:ascii="Garamond" w:eastAsia="Times New Roman" w:hAnsi="Garamond" w:cs="Times New Roman"/>
          <w:sz w:val="24"/>
          <w:szCs w:val="24"/>
        </w:rPr>
      </w:pPr>
      <w:r w:rsidRPr="00B31292">
        <w:rPr>
          <w:rFonts w:ascii="Garamond" w:eastAsia="Times New Roman" w:hAnsi="Garamond" w:cs="Times New Roman"/>
          <w:sz w:val="24"/>
          <w:szCs w:val="24"/>
        </w:rPr>
        <w:t>Gjat</w:t>
      </w:r>
      <w:r w:rsidR="00315D3D" w:rsidRPr="00B31292">
        <w:rPr>
          <w:rFonts w:ascii="Garamond" w:eastAsia="Times New Roman" w:hAnsi="Garamond" w:cs="Times New Roman"/>
          <w:sz w:val="24"/>
          <w:szCs w:val="24"/>
        </w:rPr>
        <w:t>ë</w:t>
      </w:r>
      <w:r w:rsidRPr="00B31292">
        <w:rPr>
          <w:rFonts w:ascii="Garamond" w:eastAsia="Times New Roman" w:hAnsi="Garamond" w:cs="Times New Roman"/>
          <w:sz w:val="24"/>
          <w:szCs w:val="24"/>
        </w:rPr>
        <w:t xml:space="preserve"> vitit 2025, INSTAT</w:t>
      </w:r>
      <w:r w:rsidR="002E40BF" w:rsidRPr="00B31292">
        <w:rPr>
          <w:rFonts w:ascii="Garamond" w:eastAsia="Times New Roman" w:hAnsi="Garamond" w:cs="Times New Roman"/>
          <w:sz w:val="24"/>
          <w:szCs w:val="24"/>
        </w:rPr>
        <w:t>-i</w:t>
      </w:r>
      <w:r w:rsidRPr="00B31292">
        <w:rPr>
          <w:rFonts w:ascii="Garamond" w:eastAsia="Times New Roman" w:hAnsi="Garamond" w:cs="Times New Roman"/>
          <w:sz w:val="24"/>
          <w:szCs w:val="24"/>
        </w:rPr>
        <w:t xml:space="preserve"> synon t</w:t>
      </w:r>
      <w:r w:rsidR="00315D3D" w:rsidRPr="00B31292">
        <w:rPr>
          <w:rFonts w:ascii="Garamond" w:eastAsia="Times New Roman" w:hAnsi="Garamond" w:cs="Times New Roman"/>
          <w:sz w:val="24"/>
          <w:szCs w:val="24"/>
        </w:rPr>
        <w:t>ë</w:t>
      </w:r>
      <w:r w:rsidRPr="00B31292">
        <w:rPr>
          <w:rFonts w:ascii="Garamond" w:eastAsia="Times New Roman" w:hAnsi="Garamond" w:cs="Times New Roman"/>
          <w:sz w:val="24"/>
          <w:szCs w:val="24"/>
        </w:rPr>
        <w:t xml:space="preserve"> filloj</w:t>
      </w:r>
      <w:r w:rsidR="00315D3D" w:rsidRPr="00B31292">
        <w:rPr>
          <w:rFonts w:ascii="Garamond" w:eastAsia="Times New Roman" w:hAnsi="Garamond" w:cs="Times New Roman"/>
          <w:sz w:val="24"/>
          <w:szCs w:val="24"/>
        </w:rPr>
        <w:t>ë</w:t>
      </w:r>
      <w:r w:rsidRPr="00B31292">
        <w:rPr>
          <w:rFonts w:ascii="Garamond" w:eastAsia="Times New Roman" w:hAnsi="Garamond" w:cs="Times New Roman"/>
          <w:sz w:val="24"/>
          <w:szCs w:val="24"/>
        </w:rPr>
        <w:t xml:space="preserve"> procesin e anëtar</w:t>
      </w:r>
      <w:r w:rsidR="00315D3D" w:rsidRPr="00B31292">
        <w:rPr>
          <w:rFonts w:ascii="Garamond" w:eastAsia="Times New Roman" w:hAnsi="Garamond" w:cs="Times New Roman"/>
          <w:sz w:val="24"/>
          <w:szCs w:val="24"/>
        </w:rPr>
        <w:t>ë</w:t>
      </w:r>
      <w:r w:rsidRPr="00B31292">
        <w:rPr>
          <w:rFonts w:ascii="Garamond" w:eastAsia="Times New Roman" w:hAnsi="Garamond" w:cs="Times New Roman"/>
          <w:sz w:val="24"/>
          <w:szCs w:val="24"/>
        </w:rPr>
        <w:t>simit n</w:t>
      </w:r>
      <w:r w:rsidR="00315D3D" w:rsidRPr="00B31292">
        <w:rPr>
          <w:rFonts w:ascii="Garamond" w:eastAsia="Times New Roman" w:hAnsi="Garamond" w:cs="Times New Roman"/>
          <w:sz w:val="24"/>
          <w:szCs w:val="24"/>
        </w:rPr>
        <w:t>ë</w:t>
      </w:r>
      <w:r w:rsidRPr="00B31292">
        <w:rPr>
          <w:rFonts w:ascii="Garamond" w:eastAsia="Times New Roman" w:hAnsi="Garamond" w:cs="Times New Roman"/>
          <w:sz w:val="24"/>
          <w:szCs w:val="24"/>
        </w:rPr>
        <w:t xml:space="preserve"> platform</w:t>
      </w:r>
      <w:r w:rsidR="00315D3D" w:rsidRPr="00B31292">
        <w:rPr>
          <w:rFonts w:ascii="Garamond" w:eastAsia="Times New Roman" w:hAnsi="Garamond" w:cs="Times New Roman"/>
          <w:sz w:val="24"/>
          <w:szCs w:val="24"/>
        </w:rPr>
        <w:t>ë</w:t>
      </w:r>
      <w:r w:rsidRPr="00B31292">
        <w:rPr>
          <w:rFonts w:ascii="Garamond" w:eastAsia="Times New Roman" w:hAnsi="Garamond" w:cs="Times New Roman"/>
          <w:sz w:val="24"/>
          <w:szCs w:val="24"/>
        </w:rPr>
        <w:t xml:space="preserve">n </w:t>
      </w:r>
      <w:r w:rsidRPr="00B31292">
        <w:rPr>
          <w:rFonts w:ascii="Garamond" w:eastAsia="Times New Roman" w:hAnsi="Garamond" w:cs="Times New Roman"/>
          <w:b/>
          <w:sz w:val="24"/>
          <w:szCs w:val="24"/>
        </w:rPr>
        <w:t>SDDS (</w:t>
      </w:r>
      <w:r w:rsidRPr="00B31292">
        <w:rPr>
          <w:rFonts w:ascii="Garamond" w:eastAsia="Times New Roman" w:hAnsi="Garamond" w:cs="Times New Roman"/>
          <w:b/>
          <w:i/>
          <w:iCs/>
          <w:sz w:val="24"/>
          <w:szCs w:val="24"/>
        </w:rPr>
        <w:t>Special Data Dissemination Standard</w:t>
      </w:r>
      <w:r w:rsidRPr="00B31292">
        <w:rPr>
          <w:rFonts w:ascii="Garamond" w:eastAsia="Times New Roman" w:hAnsi="Garamond" w:cs="Times New Roman"/>
          <w:b/>
          <w:sz w:val="24"/>
          <w:szCs w:val="24"/>
        </w:rPr>
        <w:t>)</w:t>
      </w:r>
      <w:r w:rsidRPr="00B31292">
        <w:rPr>
          <w:rFonts w:ascii="Garamond" w:eastAsia="Times New Roman" w:hAnsi="Garamond" w:cs="Times New Roman"/>
          <w:sz w:val="24"/>
          <w:szCs w:val="24"/>
        </w:rPr>
        <w:t>, t</w:t>
      </w:r>
      <w:r w:rsidR="00315D3D" w:rsidRPr="00B31292">
        <w:rPr>
          <w:rFonts w:ascii="Garamond" w:eastAsia="Times New Roman" w:hAnsi="Garamond" w:cs="Times New Roman"/>
          <w:sz w:val="24"/>
          <w:szCs w:val="24"/>
        </w:rPr>
        <w:t>ë</w:t>
      </w:r>
      <w:r w:rsidRPr="00B31292">
        <w:rPr>
          <w:rFonts w:ascii="Garamond" w:eastAsia="Times New Roman" w:hAnsi="Garamond" w:cs="Times New Roman"/>
          <w:sz w:val="24"/>
          <w:szCs w:val="24"/>
        </w:rPr>
        <w:t xml:space="preserve"> Fondit Monetar Nd</w:t>
      </w:r>
      <w:r w:rsidR="00315D3D" w:rsidRPr="00B31292">
        <w:rPr>
          <w:rFonts w:ascii="Garamond" w:eastAsia="Times New Roman" w:hAnsi="Garamond" w:cs="Times New Roman"/>
          <w:sz w:val="24"/>
          <w:szCs w:val="24"/>
        </w:rPr>
        <w:t>ë</w:t>
      </w:r>
      <w:r w:rsidRPr="00B31292">
        <w:rPr>
          <w:rFonts w:ascii="Garamond" w:eastAsia="Times New Roman" w:hAnsi="Garamond" w:cs="Times New Roman"/>
          <w:sz w:val="24"/>
          <w:szCs w:val="24"/>
        </w:rPr>
        <w:t>rkomb</w:t>
      </w:r>
      <w:r w:rsidR="00315D3D" w:rsidRPr="00B31292">
        <w:rPr>
          <w:rFonts w:ascii="Garamond" w:eastAsia="Times New Roman" w:hAnsi="Garamond" w:cs="Times New Roman"/>
          <w:sz w:val="24"/>
          <w:szCs w:val="24"/>
        </w:rPr>
        <w:t>ë</w:t>
      </w:r>
      <w:r w:rsidRPr="00B31292">
        <w:rPr>
          <w:rFonts w:ascii="Garamond" w:eastAsia="Times New Roman" w:hAnsi="Garamond" w:cs="Times New Roman"/>
          <w:sz w:val="24"/>
          <w:szCs w:val="24"/>
        </w:rPr>
        <w:t>tar. Kalimi i Shqip</w:t>
      </w:r>
      <w:r w:rsidR="00315D3D" w:rsidRPr="00B31292">
        <w:rPr>
          <w:rFonts w:ascii="Garamond" w:eastAsia="Times New Roman" w:hAnsi="Garamond" w:cs="Times New Roman"/>
          <w:sz w:val="24"/>
          <w:szCs w:val="24"/>
        </w:rPr>
        <w:t>ë</w:t>
      </w:r>
      <w:r w:rsidRPr="00B31292">
        <w:rPr>
          <w:rFonts w:ascii="Garamond" w:eastAsia="Times New Roman" w:hAnsi="Garamond" w:cs="Times New Roman"/>
          <w:sz w:val="24"/>
          <w:szCs w:val="24"/>
        </w:rPr>
        <w:t>ris</w:t>
      </w:r>
      <w:r w:rsidR="00315D3D" w:rsidRPr="00B31292">
        <w:rPr>
          <w:rFonts w:ascii="Garamond" w:eastAsia="Times New Roman" w:hAnsi="Garamond" w:cs="Times New Roman"/>
          <w:sz w:val="24"/>
          <w:szCs w:val="24"/>
        </w:rPr>
        <w:t>ë</w:t>
      </w:r>
      <w:r w:rsidRPr="00B31292">
        <w:rPr>
          <w:rFonts w:ascii="Garamond" w:eastAsia="Times New Roman" w:hAnsi="Garamond" w:cs="Times New Roman"/>
          <w:sz w:val="24"/>
          <w:szCs w:val="24"/>
        </w:rPr>
        <w:t xml:space="preserve"> nga </w:t>
      </w:r>
      <w:r w:rsidR="00315D3D" w:rsidRPr="00B31292">
        <w:rPr>
          <w:rFonts w:ascii="Garamond" w:eastAsia="Times New Roman" w:hAnsi="Garamond" w:cs="Times New Roman"/>
          <w:i/>
          <w:iCs/>
          <w:sz w:val="24"/>
          <w:szCs w:val="24"/>
        </w:rPr>
        <w:t>Enhanced General Data Dissemination System</w:t>
      </w:r>
      <w:r w:rsidR="00315D3D" w:rsidRPr="00B31292">
        <w:rPr>
          <w:rFonts w:ascii="Garamond" w:eastAsia="Times New Roman" w:hAnsi="Garamond" w:cs="Times New Roman"/>
          <w:sz w:val="24"/>
          <w:szCs w:val="24"/>
        </w:rPr>
        <w:t xml:space="preserve"> </w:t>
      </w:r>
      <w:r w:rsidRPr="00B31292">
        <w:rPr>
          <w:rFonts w:ascii="Garamond" w:eastAsia="Times New Roman" w:hAnsi="Garamond" w:cs="Times New Roman"/>
          <w:sz w:val="24"/>
          <w:szCs w:val="24"/>
        </w:rPr>
        <w:t xml:space="preserve">(e-GDDS) </w:t>
      </w:r>
      <w:r w:rsidR="008D567F" w:rsidRPr="00B31292">
        <w:rPr>
          <w:rFonts w:ascii="Garamond" w:eastAsia="Times New Roman" w:hAnsi="Garamond" w:cs="Times New Roman"/>
          <w:sz w:val="24"/>
          <w:szCs w:val="24"/>
        </w:rPr>
        <w:t xml:space="preserve">në standardin e shpërndarjes së të dhënave </w:t>
      </w:r>
      <w:r w:rsidRPr="00B31292">
        <w:rPr>
          <w:rFonts w:ascii="Garamond" w:eastAsia="Times New Roman" w:hAnsi="Garamond" w:cs="Times New Roman"/>
          <w:sz w:val="24"/>
          <w:szCs w:val="24"/>
        </w:rPr>
        <w:t xml:space="preserve">(SDDS), është një dëshmi e fortë e angazhimit të </w:t>
      </w:r>
      <w:r w:rsidR="000A2B0C" w:rsidRPr="00B31292">
        <w:rPr>
          <w:rFonts w:ascii="Garamond" w:eastAsia="Times New Roman" w:hAnsi="Garamond" w:cs="Times New Roman"/>
          <w:sz w:val="24"/>
          <w:szCs w:val="24"/>
        </w:rPr>
        <w:t>S</w:t>
      </w:r>
      <w:r w:rsidR="00315D3D" w:rsidRPr="00B31292">
        <w:rPr>
          <w:rFonts w:ascii="Garamond" w:eastAsia="Times New Roman" w:hAnsi="Garamond" w:cs="Times New Roman"/>
          <w:sz w:val="24"/>
          <w:szCs w:val="24"/>
        </w:rPr>
        <w:t>istemit Kombëtar Statistikor,</w:t>
      </w:r>
      <w:r w:rsidRPr="00B31292">
        <w:rPr>
          <w:rFonts w:ascii="Garamond" w:eastAsia="Times New Roman" w:hAnsi="Garamond" w:cs="Times New Roman"/>
          <w:sz w:val="24"/>
          <w:szCs w:val="24"/>
        </w:rPr>
        <w:t xml:space="preserve"> për transparencën e të dhënave.</w:t>
      </w:r>
    </w:p>
    <w:p w14:paraId="63A18599" w14:textId="77777777" w:rsidR="0070191A" w:rsidRPr="00B31292" w:rsidRDefault="00F40842" w:rsidP="003A4DBA">
      <w:pPr>
        <w:spacing w:after="0" w:line="240" w:lineRule="auto"/>
        <w:ind w:firstLine="284"/>
        <w:contextualSpacing/>
        <w:jc w:val="both"/>
        <w:rPr>
          <w:rFonts w:ascii="Garamond" w:eastAsia="Times New Roman" w:hAnsi="Garamond" w:cs="Times New Roman"/>
          <w:sz w:val="24"/>
          <w:szCs w:val="24"/>
        </w:rPr>
      </w:pPr>
      <w:r w:rsidRPr="00B31292">
        <w:rPr>
          <w:rFonts w:ascii="Garamond" w:eastAsia="Times New Roman" w:hAnsi="Garamond" w:cs="Times New Roman"/>
          <w:sz w:val="24"/>
          <w:szCs w:val="24"/>
        </w:rPr>
        <w:t>An</w:t>
      </w:r>
      <w:r w:rsidR="00315D3D" w:rsidRPr="00B31292">
        <w:rPr>
          <w:rFonts w:ascii="Garamond" w:eastAsia="Times New Roman" w:hAnsi="Garamond" w:cs="Times New Roman"/>
          <w:sz w:val="24"/>
          <w:szCs w:val="24"/>
        </w:rPr>
        <w:t>ë</w:t>
      </w:r>
      <w:r w:rsidRPr="00B31292">
        <w:rPr>
          <w:rFonts w:ascii="Garamond" w:eastAsia="Times New Roman" w:hAnsi="Garamond" w:cs="Times New Roman"/>
          <w:sz w:val="24"/>
          <w:szCs w:val="24"/>
        </w:rPr>
        <w:t>tar</w:t>
      </w:r>
      <w:r w:rsidR="00315D3D" w:rsidRPr="00B31292">
        <w:rPr>
          <w:rFonts w:ascii="Garamond" w:eastAsia="Times New Roman" w:hAnsi="Garamond" w:cs="Times New Roman"/>
          <w:sz w:val="24"/>
          <w:szCs w:val="24"/>
        </w:rPr>
        <w:t>ë</w:t>
      </w:r>
      <w:r w:rsidRPr="00B31292">
        <w:rPr>
          <w:rFonts w:ascii="Garamond" w:eastAsia="Times New Roman" w:hAnsi="Garamond" w:cs="Times New Roman"/>
          <w:sz w:val="24"/>
          <w:szCs w:val="24"/>
        </w:rPr>
        <w:t>simi n</w:t>
      </w:r>
      <w:r w:rsidR="00315D3D" w:rsidRPr="00B31292">
        <w:rPr>
          <w:rFonts w:ascii="Garamond" w:eastAsia="Times New Roman" w:hAnsi="Garamond" w:cs="Times New Roman"/>
          <w:sz w:val="24"/>
          <w:szCs w:val="24"/>
        </w:rPr>
        <w:t>ë</w:t>
      </w:r>
      <w:r w:rsidRPr="00B31292">
        <w:rPr>
          <w:rFonts w:ascii="Garamond" w:eastAsia="Times New Roman" w:hAnsi="Garamond" w:cs="Times New Roman"/>
          <w:sz w:val="24"/>
          <w:szCs w:val="24"/>
        </w:rPr>
        <w:t xml:space="preserve"> SDDS pritet të përmirësojë përpilimin dhe shpërndarjen e të dhënave, të lehtësojë procesin e krijimit të politikave makroekonomike, të ndihmojë në rritjen e besimit të investitor</w:t>
      </w:r>
      <w:r w:rsidR="00315D3D" w:rsidRPr="00B31292">
        <w:rPr>
          <w:rFonts w:ascii="Garamond" w:eastAsia="Times New Roman" w:hAnsi="Garamond" w:cs="Times New Roman"/>
          <w:sz w:val="24"/>
          <w:szCs w:val="24"/>
        </w:rPr>
        <w:t>ë</w:t>
      </w:r>
      <w:r w:rsidRPr="00B31292">
        <w:rPr>
          <w:rFonts w:ascii="Garamond" w:eastAsia="Times New Roman" w:hAnsi="Garamond" w:cs="Times New Roman"/>
          <w:sz w:val="24"/>
          <w:szCs w:val="24"/>
        </w:rPr>
        <w:t>ve në kapacitetin institucional të vendit dhe të kontribuojë në stabilitetin ekonomik dhe financiar.</w:t>
      </w:r>
    </w:p>
    <w:p w14:paraId="7FB35ED6" w14:textId="77777777" w:rsidR="00D17E02" w:rsidRPr="00B31292" w:rsidRDefault="00D17E02" w:rsidP="003A4DBA">
      <w:pPr>
        <w:pStyle w:val="Heading2"/>
        <w:spacing w:before="0" w:line="240" w:lineRule="auto"/>
        <w:ind w:firstLine="284"/>
        <w:rPr>
          <w:rFonts w:ascii="Garamond" w:hAnsi="Garamond"/>
          <w:color w:val="auto"/>
          <w:sz w:val="24"/>
          <w:szCs w:val="24"/>
        </w:rPr>
      </w:pPr>
      <w:bookmarkStart w:id="45" w:name="_Toc182991979"/>
      <w:r w:rsidRPr="00B31292">
        <w:rPr>
          <w:rFonts w:ascii="Garamond" w:hAnsi="Garamond"/>
          <w:color w:val="auto"/>
          <w:sz w:val="24"/>
          <w:szCs w:val="24"/>
        </w:rPr>
        <w:t>VII. Objektivat e Zhvillimit të Qëndrueshëm (SDG)</w:t>
      </w:r>
      <w:bookmarkEnd w:id="45"/>
    </w:p>
    <w:p w14:paraId="1F4A2E95" w14:textId="72486FF6" w:rsidR="00D17E02" w:rsidRPr="00B31292" w:rsidRDefault="00D17E02" w:rsidP="003A4DBA">
      <w:pPr>
        <w:spacing w:after="0" w:line="240" w:lineRule="auto"/>
        <w:ind w:firstLine="284"/>
        <w:contextualSpacing/>
        <w:jc w:val="both"/>
        <w:rPr>
          <w:rFonts w:ascii="Garamond" w:eastAsia="Times New Roman" w:hAnsi="Garamond" w:cs="Times New Roman"/>
          <w:sz w:val="24"/>
          <w:szCs w:val="24"/>
        </w:rPr>
      </w:pPr>
      <w:r w:rsidRPr="00B31292">
        <w:rPr>
          <w:rFonts w:ascii="Garamond" w:eastAsia="Times New Roman" w:hAnsi="Garamond" w:cs="Times New Roman"/>
          <w:sz w:val="24"/>
          <w:szCs w:val="24"/>
        </w:rPr>
        <w:t>INSTAT</w:t>
      </w:r>
      <w:r w:rsidR="002E40BF" w:rsidRPr="00B31292">
        <w:rPr>
          <w:rFonts w:ascii="Garamond" w:eastAsia="Times New Roman" w:hAnsi="Garamond" w:cs="Times New Roman"/>
          <w:sz w:val="24"/>
          <w:szCs w:val="24"/>
        </w:rPr>
        <w:t>-i</w:t>
      </w:r>
      <w:r w:rsidRPr="00B31292">
        <w:rPr>
          <w:rFonts w:ascii="Garamond" w:eastAsia="Times New Roman" w:hAnsi="Garamond" w:cs="Times New Roman"/>
          <w:sz w:val="24"/>
          <w:szCs w:val="24"/>
        </w:rPr>
        <w:t xml:space="preserve">, prej disa vitesh ka tashmë në planin e punës, zbatimin e Agjendës 2030 për Objektivat e Zhvillimit të Qëndrueshëm, pasi statistikat janë instrumenti i zgjedhur për të vendosur bazën për monitorimin e zbatimit të këtyre qëllimeve në nivel kombëtar, rajonal dhe ndërkombëtar. Në sesionin e dyzet e gjashtë, të Komisionit Statistikor të Kombeve të Bashkuara, u dakordësua krijimi i </w:t>
      </w:r>
      <w:r w:rsidR="008D567F" w:rsidRPr="00B31292">
        <w:rPr>
          <w:rFonts w:ascii="Garamond" w:eastAsia="Times New Roman" w:hAnsi="Garamond" w:cs="Times New Roman"/>
          <w:sz w:val="24"/>
          <w:szCs w:val="24"/>
        </w:rPr>
        <w:t xml:space="preserve">grupit të nivelit të lartë për partneritetin, koordinimin dhe ngritjen e kapaciteteve </w:t>
      </w:r>
      <w:r w:rsidRPr="00B31292">
        <w:rPr>
          <w:rFonts w:ascii="Garamond" w:eastAsia="Times New Roman" w:hAnsi="Garamond" w:cs="Times New Roman"/>
          <w:sz w:val="24"/>
          <w:szCs w:val="24"/>
        </w:rPr>
        <w:t>për A</w:t>
      </w:r>
      <w:r w:rsidR="002E40BF" w:rsidRPr="00B31292">
        <w:rPr>
          <w:rFonts w:ascii="Garamond" w:eastAsia="Times New Roman" w:hAnsi="Garamond" w:cs="Times New Roman"/>
          <w:sz w:val="24"/>
          <w:szCs w:val="24"/>
        </w:rPr>
        <w:t>gj</w:t>
      </w:r>
      <w:r w:rsidRPr="00B31292">
        <w:rPr>
          <w:rFonts w:ascii="Garamond" w:eastAsia="Times New Roman" w:hAnsi="Garamond" w:cs="Times New Roman"/>
          <w:sz w:val="24"/>
          <w:szCs w:val="24"/>
        </w:rPr>
        <w:t xml:space="preserve">endën e vitit 2030 (HLG-PCCB), i përbërë nga </w:t>
      </w:r>
      <w:r w:rsidR="00882390" w:rsidRPr="00B31292">
        <w:rPr>
          <w:rFonts w:ascii="Garamond" w:eastAsia="Times New Roman" w:hAnsi="Garamond" w:cs="Times New Roman"/>
          <w:sz w:val="24"/>
          <w:szCs w:val="24"/>
        </w:rPr>
        <w:t>k</w:t>
      </w:r>
      <w:r w:rsidRPr="00B31292">
        <w:rPr>
          <w:rFonts w:ascii="Garamond" w:eastAsia="Times New Roman" w:hAnsi="Garamond" w:cs="Times New Roman"/>
          <w:sz w:val="24"/>
          <w:szCs w:val="24"/>
        </w:rPr>
        <w:t>ryestati</w:t>
      </w:r>
      <w:r w:rsidR="003B5833" w:rsidRPr="00B31292">
        <w:rPr>
          <w:rFonts w:ascii="Garamond" w:eastAsia="Times New Roman" w:hAnsi="Garamond" w:cs="Times New Roman"/>
          <w:sz w:val="24"/>
          <w:szCs w:val="24"/>
        </w:rPr>
        <w:t>sti</w:t>
      </w:r>
      <w:r w:rsidRPr="00B31292">
        <w:rPr>
          <w:rFonts w:ascii="Garamond" w:eastAsia="Times New Roman" w:hAnsi="Garamond" w:cs="Times New Roman"/>
          <w:sz w:val="24"/>
          <w:szCs w:val="24"/>
        </w:rPr>
        <w:t>cienë nga 2</w:t>
      </w:r>
      <w:r w:rsidR="00D3191E" w:rsidRPr="00B31292">
        <w:rPr>
          <w:rFonts w:ascii="Garamond" w:eastAsia="Times New Roman" w:hAnsi="Garamond" w:cs="Times New Roman"/>
          <w:sz w:val="24"/>
          <w:szCs w:val="24"/>
        </w:rPr>
        <w:t>2</w:t>
      </w:r>
      <w:r w:rsidRPr="00B31292">
        <w:rPr>
          <w:rFonts w:ascii="Garamond" w:eastAsia="Times New Roman" w:hAnsi="Garamond" w:cs="Times New Roman"/>
          <w:sz w:val="24"/>
          <w:szCs w:val="24"/>
        </w:rPr>
        <w:t xml:space="preserve"> zyra statistikore kombëtare që përfaqësojnë vendet e tjera në rajonet e tyre përkatëse. Ky grup kishte për detyrë të nxiste nacionalizimin e sistemit të monitorimit të A</w:t>
      </w:r>
      <w:r w:rsidR="008D567F" w:rsidRPr="00B31292">
        <w:rPr>
          <w:rFonts w:ascii="Garamond" w:eastAsia="Times New Roman" w:hAnsi="Garamond" w:cs="Times New Roman"/>
          <w:sz w:val="24"/>
          <w:szCs w:val="24"/>
        </w:rPr>
        <w:t>gj</w:t>
      </w:r>
      <w:r w:rsidRPr="00B31292">
        <w:rPr>
          <w:rFonts w:ascii="Garamond" w:eastAsia="Times New Roman" w:hAnsi="Garamond" w:cs="Times New Roman"/>
          <w:sz w:val="24"/>
          <w:szCs w:val="24"/>
        </w:rPr>
        <w:t xml:space="preserve">endës 2030 dhe nxitjen e ngritjes së kapaciteteve statistikore, partneritete dhe koordinim, ku theksohej se </w:t>
      </w:r>
      <w:r w:rsidR="008D567F" w:rsidRPr="00B31292">
        <w:rPr>
          <w:rFonts w:ascii="Garamond" w:eastAsia="Times New Roman" w:hAnsi="Garamond" w:cs="Times New Roman"/>
          <w:sz w:val="24"/>
          <w:szCs w:val="24"/>
        </w:rPr>
        <w:t xml:space="preserve">zyra statistikore </w:t>
      </w:r>
      <w:r w:rsidRPr="00B31292">
        <w:rPr>
          <w:rFonts w:ascii="Garamond" w:eastAsia="Times New Roman" w:hAnsi="Garamond" w:cs="Times New Roman"/>
          <w:sz w:val="24"/>
          <w:szCs w:val="24"/>
        </w:rPr>
        <w:t>duhet të koordinoj</w:t>
      </w:r>
      <w:r w:rsidR="003B5833" w:rsidRPr="00B31292">
        <w:rPr>
          <w:rFonts w:ascii="Garamond" w:eastAsia="Times New Roman" w:hAnsi="Garamond" w:cs="Times New Roman"/>
          <w:sz w:val="24"/>
          <w:szCs w:val="24"/>
        </w:rPr>
        <w:t>n</w:t>
      </w:r>
      <w:r w:rsidRPr="00B31292">
        <w:rPr>
          <w:rFonts w:ascii="Garamond" w:eastAsia="Times New Roman" w:hAnsi="Garamond" w:cs="Times New Roman"/>
          <w:sz w:val="24"/>
          <w:szCs w:val="24"/>
        </w:rPr>
        <w:t xml:space="preserve">ë zbatimin e agjendës në nivel vendi. Për të siguruar këtë gjë HLG-PCCB ka përgatitur këtë plan veprimi, </w:t>
      </w:r>
      <w:hyperlink r:id="rId39" w:history="1">
        <w:r w:rsidRPr="00B31292">
          <w:rPr>
            <w:rFonts w:ascii="Garamond" w:eastAsia="Times New Roman" w:hAnsi="Garamond" w:cs="Times New Roman"/>
            <w:sz w:val="24"/>
            <w:szCs w:val="24"/>
          </w:rPr>
          <w:t xml:space="preserve">Plani Global i Veprimit i </w:t>
        </w:r>
        <w:r w:rsidRPr="00B31292">
          <w:rPr>
            <w:rFonts w:ascii="Garamond" w:eastAsia="Times New Roman" w:hAnsi="Garamond" w:cs="Times New Roman"/>
            <w:i/>
            <w:iCs/>
            <w:sz w:val="24"/>
            <w:szCs w:val="24"/>
          </w:rPr>
          <w:t>Cape Town</w:t>
        </w:r>
        <w:r w:rsidRPr="00B31292">
          <w:rPr>
            <w:rFonts w:ascii="Garamond" w:eastAsia="Times New Roman" w:hAnsi="Garamond" w:cs="Times New Roman"/>
            <w:sz w:val="24"/>
            <w:szCs w:val="24"/>
          </w:rPr>
          <w:t xml:space="preserve"> (CTGAP</w:t>
        </w:r>
      </w:hyperlink>
      <w:r w:rsidRPr="00B31292">
        <w:rPr>
          <w:rFonts w:ascii="Garamond" w:eastAsia="Times New Roman" w:hAnsi="Garamond" w:cs="Times New Roman"/>
          <w:sz w:val="24"/>
          <w:szCs w:val="24"/>
        </w:rPr>
        <w:t xml:space="preserve">) i cili tashmë po rishikohet nga ky grup </w:t>
      </w:r>
      <w:r w:rsidR="003B5833" w:rsidRPr="00B31292">
        <w:rPr>
          <w:rFonts w:ascii="Garamond" w:eastAsia="Times New Roman" w:hAnsi="Garamond" w:cs="Times New Roman"/>
          <w:sz w:val="24"/>
          <w:szCs w:val="24"/>
        </w:rPr>
        <w:t>në të cilin</w:t>
      </w:r>
      <w:r w:rsidRPr="00B31292">
        <w:rPr>
          <w:rFonts w:ascii="Garamond" w:eastAsia="Times New Roman" w:hAnsi="Garamond" w:cs="Times New Roman"/>
          <w:sz w:val="24"/>
          <w:szCs w:val="24"/>
        </w:rPr>
        <w:t xml:space="preserve"> anëtar dhe bashkëdrejtues është INSTAT</w:t>
      </w:r>
      <w:r w:rsidR="002E40BF" w:rsidRPr="00B31292">
        <w:rPr>
          <w:rFonts w:ascii="Garamond" w:eastAsia="Times New Roman" w:hAnsi="Garamond" w:cs="Times New Roman"/>
          <w:sz w:val="24"/>
          <w:szCs w:val="24"/>
        </w:rPr>
        <w:t>-i</w:t>
      </w:r>
      <w:r w:rsidRPr="00B31292">
        <w:rPr>
          <w:rFonts w:ascii="Garamond" w:eastAsia="Times New Roman" w:hAnsi="Garamond" w:cs="Times New Roman"/>
          <w:sz w:val="24"/>
          <w:szCs w:val="24"/>
        </w:rPr>
        <w:t>.</w:t>
      </w:r>
    </w:p>
    <w:p w14:paraId="7BE9C0E6" w14:textId="5BC1BDB1" w:rsidR="00D17E02" w:rsidRPr="00B31292" w:rsidRDefault="00D17E02" w:rsidP="003A4DBA">
      <w:pPr>
        <w:spacing w:after="0" w:line="240" w:lineRule="auto"/>
        <w:ind w:firstLine="284"/>
        <w:contextualSpacing/>
        <w:jc w:val="both"/>
        <w:rPr>
          <w:rFonts w:ascii="Garamond" w:eastAsia="Times New Roman" w:hAnsi="Garamond" w:cs="Times New Roman"/>
          <w:sz w:val="24"/>
          <w:szCs w:val="24"/>
        </w:rPr>
      </w:pPr>
      <w:r w:rsidRPr="00B31292">
        <w:rPr>
          <w:rFonts w:ascii="Garamond" w:eastAsia="Times New Roman" w:hAnsi="Garamond" w:cs="Times New Roman"/>
          <w:sz w:val="24"/>
          <w:szCs w:val="24"/>
        </w:rPr>
        <w:t>INSTAT</w:t>
      </w:r>
      <w:r w:rsidR="008D567F" w:rsidRPr="00B31292">
        <w:rPr>
          <w:rFonts w:ascii="Garamond" w:eastAsia="Times New Roman" w:hAnsi="Garamond" w:cs="Times New Roman"/>
          <w:sz w:val="24"/>
          <w:szCs w:val="24"/>
        </w:rPr>
        <w:t>-i</w:t>
      </w:r>
      <w:r w:rsidRPr="00B31292">
        <w:rPr>
          <w:rFonts w:ascii="Garamond" w:eastAsia="Times New Roman" w:hAnsi="Garamond" w:cs="Times New Roman"/>
          <w:sz w:val="24"/>
          <w:szCs w:val="24"/>
        </w:rPr>
        <w:t xml:space="preserve"> </w:t>
      </w:r>
      <w:r w:rsidR="00C55E69" w:rsidRPr="00B31292">
        <w:rPr>
          <w:rFonts w:ascii="Garamond" w:eastAsia="Times New Roman" w:hAnsi="Garamond" w:cs="Times New Roman"/>
          <w:sz w:val="24"/>
          <w:szCs w:val="24"/>
        </w:rPr>
        <w:t>deri më tani ka prodhuar</w:t>
      </w:r>
      <w:r w:rsidRPr="00B31292">
        <w:rPr>
          <w:rFonts w:ascii="Garamond" w:eastAsia="Times New Roman" w:hAnsi="Garamond" w:cs="Times New Roman"/>
          <w:sz w:val="24"/>
          <w:szCs w:val="24"/>
        </w:rPr>
        <w:t xml:space="preserve"> 66 indikatorë statistikorë, të cilët përditësohen në platformën për OZHQ-të, në faqen zyrtare të INSTAT</w:t>
      </w:r>
      <w:r w:rsidR="008D567F" w:rsidRPr="00B31292">
        <w:rPr>
          <w:rFonts w:ascii="Garamond" w:eastAsia="Times New Roman" w:hAnsi="Garamond" w:cs="Times New Roman"/>
          <w:sz w:val="24"/>
          <w:szCs w:val="24"/>
        </w:rPr>
        <w:t>-it:</w:t>
      </w:r>
      <w:r w:rsidRPr="00B31292">
        <w:rPr>
          <w:rFonts w:ascii="Garamond" w:eastAsia="Times New Roman" w:hAnsi="Garamond" w:cs="Times New Roman"/>
          <w:sz w:val="24"/>
          <w:szCs w:val="24"/>
        </w:rPr>
        <w:t xml:space="preserve"> </w:t>
      </w:r>
      <w:hyperlink r:id="rId40" w:history="1">
        <w:r w:rsidRPr="00B31292">
          <w:rPr>
            <w:rFonts w:ascii="Garamond" w:eastAsia="Times New Roman" w:hAnsi="Garamond" w:cs="Times New Roman"/>
            <w:sz w:val="24"/>
            <w:szCs w:val="24"/>
            <w:u w:val="single"/>
          </w:rPr>
          <w:t>http://instat.gov.al/al/sdgs/</w:t>
        </w:r>
      </w:hyperlink>
      <w:r w:rsidRPr="00B31292">
        <w:rPr>
          <w:rFonts w:ascii="Garamond" w:eastAsia="Times New Roman" w:hAnsi="Garamond" w:cs="Times New Roman"/>
          <w:sz w:val="24"/>
          <w:szCs w:val="24"/>
        </w:rPr>
        <w:t>.</w:t>
      </w:r>
      <w:r w:rsidR="00243D10" w:rsidRPr="00B31292">
        <w:rPr>
          <w:rFonts w:ascii="Garamond" w:eastAsia="Times New Roman" w:hAnsi="Garamond" w:cs="Times New Roman"/>
          <w:sz w:val="24"/>
          <w:szCs w:val="24"/>
        </w:rPr>
        <w:t xml:space="preserve"> </w:t>
      </w:r>
      <w:r w:rsidRPr="00B31292">
        <w:rPr>
          <w:rFonts w:ascii="Garamond" w:eastAsia="Times New Roman" w:hAnsi="Garamond" w:cs="Times New Roman"/>
          <w:sz w:val="24"/>
          <w:szCs w:val="24"/>
        </w:rPr>
        <w:t xml:space="preserve">Viti 2025, do </w:t>
      </w:r>
      <w:r w:rsidR="003B5833" w:rsidRPr="00B31292">
        <w:rPr>
          <w:rFonts w:ascii="Garamond" w:eastAsia="Times New Roman" w:hAnsi="Garamond" w:cs="Times New Roman"/>
          <w:sz w:val="24"/>
          <w:szCs w:val="24"/>
        </w:rPr>
        <w:t>të jetë</w:t>
      </w:r>
      <w:r w:rsidRPr="00B31292">
        <w:rPr>
          <w:rFonts w:ascii="Garamond" w:eastAsia="Times New Roman" w:hAnsi="Garamond" w:cs="Times New Roman"/>
          <w:sz w:val="24"/>
          <w:szCs w:val="24"/>
        </w:rPr>
        <w:t xml:space="preserve"> </w:t>
      </w:r>
      <w:r w:rsidR="008F7303" w:rsidRPr="00B31292">
        <w:rPr>
          <w:rFonts w:ascii="Garamond" w:eastAsia="Times New Roman" w:hAnsi="Garamond" w:cs="Times New Roman"/>
          <w:sz w:val="24"/>
          <w:szCs w:val="24"/>
        </w:rPr>
        <w:t xml:space="preserve">viti i </w:t>
      </w:r>
      <w:r w:rsidRPr="00B31292">
        <w:rPr>
          <w:rFonts w:ascii="Garamond" w:eastAsia="Times New Roman" w:hAnsi="Garamond" w:cs="Times New Roman"/>
          <w:sz w:val="24"/>
          <w:szCs w:val="24"/>
        </w:rPr>
        <w:t>prodhimi</w:t>
      </w:r>
      <w:r w:rsidR="008F7303" w:rsidRPr="00B31292">
        <w:rPr>
          <w:rFonts w:ascii="Garamond" w:eastAsia="Times New Roman" w:hAnsi="Garamond" w:cs="Times New Roman"/>
          <w:sz w:val="24"/>
          <w:szCs w:val="24"/>
        </w:rPr>
        <w:t>t</w:t>
      </w:r>
      <w:r w:rsidRPr="00B31292">
        <w:rPr>
          <w:rFonts w:ascii="Garamond" w:eastAsia="Times New Roman" w:hAnsi="Garamond" w:cs="Times New Roman"/>
          <w:sz w:val="24"/>
          <w:szCs w:val="24"/>
        </w:rPr>
        <w:t xml:space="preserve"> </w:t>
      </w:r>
      <w:r w:rsidR="008F7303" w:rsidRPr="00B31292">
        <w:rPr>
          <w:rFonts w:ascii="Garamond" w:eastAsia="Times New Roman" w:hAnsi="Garamond" w:cs="Times New Roman"/>
          <w:sz w:val="24"/>
          <w:szCs w:val="24"/>
        </w:rPr>
        <w:t>të</w:t>
      </w:r>
      <w:r w:rsidRPr="00B31292">
        <w:rPr>
          <w:rFonts w:ascii="Garamond" w:eastAsia="Times New Roman" w:hAnsi="Garamond" w:cs="Times New Roman"/>
          <w:sz w:val="24"/>
          <w:szCs w:val="24"/>
        </w:rPr>
        <w:t xml:space="preserve"> numrit më të lartë të indikatorëve bazuar në të dhënat e Censit të Pop</w:t>
      </w:r>
      <w:r w:rsidR="00A13D42" w:rsidRPr="00B31292">
        <w:rPr>
          <w:rFonts w:ascii="Garamond" w:eastAsia="Times New Roman" w:hAnsi="Garamond" w:cs="Times New Roman"/>
          <w:sz w:val="24"/>
          <w:szCs w:val="24"/>
        </w:rPr>
        <w:t>ullsisë dhe Banesave</w:t>
      </w:r>
      <w:r w:rsidR="008D567F" w:rsidRPr="00B31292">
        <w:rPr>
          <w:rFonts w:ascii="Garamond" w:eastAsia="Times New Roman" w:hAnsi="Garamond" w:cs="Times New Roman"/>
          <w:sz w:val="24"/>
          <w:szCs w:val="24"/>
        </w:rPr>
        <w:t>,</w:t>
      </w:r>
      <w:r w:rsidR="00A13D42" w:rsidRPr="00B31292">
        <w:rPr>
          <w:rFonts w:ascii="Garamond" w:eastAsia="Times New Roman" w:hAnsi="Garamond" w:cs="Times New Roman"/>
          <w:sz w:val="24"/>
          <w:szCs w:val="24"/>
        </w:rPr>
        <w:t xml:space="preserve"> dhe vrojtimeve</w:t>
      </w:r>
      <w:r w:rsidR="008F7303" w:rsidRPr="00B31292">
        <w:rPr>
          <w:rFonts w:ascii="Garamond" w:eastAsia="Times New Roman" w:hAnsi="Garamond" w:cs="Times New Roman"/>
          <w:sz w:val="24"/>
          <w:szCs w:val="24"/>
        </w:rPr>
        <w:t xml:space="preserve"> të tjera të kryera </w:t>
      </w:r>
      <w:r w:rsidRPr="00B31292">
        <w:rPr>
          <w:rFonts w:ascii="Garamond" w:eastAsia="Times New Roman" w:hAnsi="Garamond" w:cs="Times New Roman"/>
          <w:sz w:val="24"/>
          <w:szCs w:val="24"/>
        </w:rPr>
        <w:t>gjatë vitit 2024.</w:t>
      </w:r>
    </w:p>
    <w:p w14:paraId="519A2F4A" w14:textId="5472B73D" w:rsidR="00D17E02" w:rsidRPr="00B31292" w:rsidRDefault="00D17E02" w:rsidP="003A4DBA">
      <w:pPr>
        <w:spacing w:after="0" w:line="240" w:lineRule="auto"/>
        <w:ind w:firstLine="284"/>
        <w:contextualSpacing/>
        <w:jc w:val="both"/>
        <w:rPr>
          <w:rFonts w:ascii="Garamond" w:eastAsia="Times New Roman" w:hAnsi="Garamond" w:cs="Times New Roman"/>
          <w:sz w:val="24"/>
          <w:szCs w:val="24"/>
        </w:rPr>
      </w:pPr>
      <w:r w:rsidRPr="00B31292">
        <w:rPr>
          <w:rFonts w:ascii="Garamond" w:eastAsia="Times New Roman" w:hAnsi="Garamond" w:cs="Times New Roman"/>
          <w:sz w:val="24"/>
          <w:szCs w:val="24"/>
        </w:rPr>
        <w:t>Gjithashtu</w:t>
      </w:r>
      <w:r w:rsidR="002E40BF" w:rsidRPr="00B31292">
        <w:rPr>
          <w:rFonts w:ascii="Garamond" w:eastAsia="Times New Roman" w:hAnsi="Garamond" w:cs="Times New Roman"/>
          <w:sz w:val="24"/>
          <w:szCs w:val="24"/>
        </w:rPr>
        <w:t>,</w:t>
      </w:r>
      <w:r w:rsidRPr="00B31292">
        <w:rPr>
          <w:rFonts w:ascii="Garamond" w:eastAsia="Times New Roman" w:hAnsi="Garamond" w:cs="Times New Roman"/>
          <w:sz w:val="24"/>
          <w:szCs w:val="24"/>
        </w:rPr>
        <w:t xml:space="preserve"> INSTAT</w:t>
      </w:r>
      <w:r w:rsidR="002E40BF" w:rsidRPr="00B31292">
        <w:rPr>
          <w:rFonts w:ascii="Garamond" w:eastAsia="Times New Roman" w:hAnsi="Garamond" w:cs="Times New Roman"/>
          <w:sz w:val="24"/>
          <w:szCs w:val="24"/>
        </w:rPr>
        <w:t>-i</w:t>
      </w:r>
      <w:r w:rsidR="008D567F" w:rsidRPr="00B31292">
        <w:rPr>
          <w:rFonts w:ascii="Garamond" w:eastAsia="Times New Roman" w:hAnsi="Garamond" w:cs="Times New Roman"/>
          <w:sz w:val="24"/>
          <w:szCs w:val="24"/>
        </w:rPr>
        <w:t>,</w:t>
      </w:r>
      <w:r w:rsidRPr="00B31292">
        <w:rPr>
          <w:rFonts w:ascii="Garamond" w:eastAsia="Times New Roman" w:hAnsi="Garamond" w:cs="Times New Roman"/>
          <w:sz w:val="24"/>
          <w:szCs w:val="24"/>
        </w:rPr>
        <w:t xml:space="preserve"> gjatë </w:t>
      </w:r>
      <w:r w:rsidR="00AF407C" w:rsidRPr="00B31292">
        <w:rPr>
          <w:rFonts w:ascii="Garamond" w:eastAsia="Times New Roman" w:hAnsi="Garamond" w:cs="Times New Roman"/>
          <w:sz w:val="24"/>
          <w:szCs w:val="24"/>
        </w:rPr>
        <w:t>periudhës</w:t>
      </w:r>
      <w:r w:rsidRPr="00B31292">
        <w:rPr>
          <w:rFonts w:ascii="Garamond" w:eastAsia="Times New Roman" w:hAnsi="Garamond" w:cs="Times New Roman"/>
          <w:sz w:val="24"/>
          <w:szCs w:val="24"/>
        </w:rPr>
        <w:t xml:space="preserve"> 2024</w:t>
      </w:r>
      <w:r w:rsidR="002E40BF" w:rsidRPr="00B31292">
        <w:rPr>
          <w:rFonts w:ascii="Garamond" w:eastAsia="Times New Roman" w:hAnsi="Garamond" w:cs="Times New Roman"/>
          <w:sz w:val="24"/>
          <w:szCs w:val="24"/>
        </w:rPr>
        <w:t>–</w:t>
      </w:r>
      <w:r w:rsidRPr="00B31292">
        <w:rPr>
          <w:rFonts w:ascii="Garamond" w:eastAsia="Times New Roman" w:hAnsi="Garamond" w:cs="Times New Roman"/>
          <w:sz w:val="24"/>
          <w:szCs w:val="24"/>
        </w:rPr>
        <w:t xml:space="preserve">2027, </w:t>
      </w:r>
      <w:r w:rsidR="00AF407C" w:rsidRPr="00B31292">
        <w:rPr>
          <w:rFonts w:ascii="Garamond" w:eastAsia="Times New Roman" w:hAnsi="Garamond" w:cs="Times New Roman"/>
          <w:sz w:val="24"/>
          <w:szCs w:val="24"/>
        </w:rPr>
        <w:t>ka në zbatim</w:t>
      </w:r>
      <w:r w:rsidRPr="00B31292">
        <w:rPr>
          <w:rFonts w:ascii="Garamond" w:eastAsia="Times New Roman" w:hAnsi="Garamond" w:cs="Times New Roman"/>
          <w:sz w:val="24"/>
          <w:szCs w:val="24"/>
        </w:rPr>
        <w:t xml:space="preserve"> një projekt statistikor për </w:t>
      </w:r>
      <w:r w:rsidR="00597728" w:rsidRPr="00B31292">
        <w:rPr>
          <w:rFonts w:ascii="Garamond" w:eastAsia="Times New Roman" w:hAnsi="Garamond" w:cs="Times New Roman"/>
          <w:sz w:val="24"/>
          <w:szCs w:val="24"/>
        </w:rPr>
        <w:t>Objektivat e Zhvillimit të Qëndrueshëm (</w:t>
      </w:r>
      <w:r w:rsidRPr="00B31292">
        <w:rPr>
          <w:rFonts w:ascii="Garamond" w:eastAsia="Times New Roman" w:hAnsi="Garamond" w:cs="Times New Roman"/>
          <w:sz w:val="24"/>
          <w:szCs w:val="24"/>
        </w:rPr>
        <w:t>OZHQ</w:t>
      </w:r>
      <w:r w:rsidR="00597728" w:rsidRPr="00B31292">
        <w:rPr>
          <w:rFonts w:ascii="Garamond" w:eastAsia="Times New Roman" w:hAnsi="Garamond" w:cs="Times New Roman"/>
          <w:sz w:val="24"/>
          <w:szCs w:val="24"/>
        </w:rPr>
        <w:t>)</w:t>
      </w:r>
      <w:r w:rsidRPr="00B31292">
        <w:rPr>
          <w:rFonts w:ascii="Garamond" w:eastAsia="Times New Roman" w:hAnsi="Garamond" w:cs="Times New Roman"/>
          <w:sz w:val="24"/>
          <w:szCs w:val="24"/>
        </w:rPr>
        <w:t xml:space="preserve">, pjesë e </w:t>
      </w:r>
      <w:r w:rsidR="008D567F" w:rsidRPr="00B31292">
        <w:rPr>
          <w:rFonts w:ascii="Garamond" w:eastAsia="Times New Roman" w:hAnsi="Garamond" w:cs="Times New Roman"/>
          <w:sz w:val="24"/>
          <w:szCs w:val="24"/>
        </w:rPr>
        <w:t>p</w:t>
      </w:r>
      <w:r w:rsidRPr="00B31292">
        <w:rPr>
          <w:rFonts w:ascii="Garamond" w:eastAsia="Times New Roman" w:hAnsi="Garamond" w:cs="Times New Roman"/>
          <w:sz w:val="24"/>
          <w:szCs w:val="24"/>
        </w:rPr>
        <w:t xml:space="preserve">rogramit </w:t>
      </w:r>
      <w:r w:rsidR="003B5833" w:rsidRPr="00B31292">
        <w:rPr>
          <w:rFonts w:ascii="Garamond" w:eastAsia="Times New Roman" w:hAnsi="Garamond" w:cs="Times New Roman"/>
          <w:sz w:val="24"/>
          <w:szCs w:val="24"/>
        </w:rPr>
        <w:t xml:space="preserve">IPA 2022 </w:t>
      </w:r>
      <w:r w:rsidR="008D567F" w:rsidRPr="00B31292">
        <w:rPr>
          <w:rFonts w:ascii="Garamond" w:eastAsia="Times New Roman" w:hAnsi="Garamond" w:cs="Times New Roman"/>
          <w:sz w:val="24"/>
          <w:szCs w:val="24"/>
        </w:rPr>
        <w:t>s</w:t>
      </w:r>
      <w:r w:rsidRPr="00B31292">
        <w:rPr>
          <w:rFonts w:ascii="Garamond" w:eastAsia="Times New Roman" w:hAnsi="Garamond" w:cs="Times New Roman"/>
          <w:sz w:val="24"/>
          <w:szCs w:val="24"/>
        </w:rPr>
        <w:t>humëpërfitues, i cili do të ketë në fokus përmirësimin e dashbordit për OZHQ-të, paraqitjen në mënyrë sa më të kuptueshme</w:t>
      </w:r>
      <w:r w:rsidR="003B5833" w:rsidRPr="00B31292">
        <w:rPr>
          <w:rFonts w:ascii="Garamond" w:hAnsi="Garamond"/>
          <w:sz w:val="24"/>
          <w:szCs w:val="24"/>
        </w:rPr>
        <w:t xml:space="preserve"> </w:t>
      </w:r>
      <w:r w:rsidR="003B5833" w:rsidRPr="00B31292">
        <w:rPr>
          <w:rFonts w:ascii="Garamond" w:eastAsia="Times New Roman" w:hAnsi="Garamond" w:cs="Times New Roman"/>
          <w:sz w:val="24"/>
          <w:szCs w:val="24"/>
        </w:rPr>
        <w:t>të indikatorëve</w:t>
      </w:r>
      <w:r w:rsidRPr="00B31292">
        <w:rPr>
          <w:rFonts w:ascii="Garamond" w:eastAsia="Times New Roman" w:hAnsi="Garamond" w:cs="Times New Roman"/>
          <w:sz w:val="24"/>
          <w:szCs w:val="24"/>
        </w:rPr>
        <w:t xml:space="preserve"> dhe komunikimin e tyre</w:t>
      </w:r>
      <w:r w:rsidR="003B5833" w:rsidRPr="00B31292">
        <w:rPr>
          <w:rFonts w:ascii="Garamond" w:eastAsia="Times New Roman" w:hAnsi="Garamond" w:cs="Times New Roman"/>
          <w:sz w:val="24"/>
          <w:szCs w:val="24"/>
        </w:rPr>
        <w:t xml:space="preserve"> te përdoruesit</w:t>
      </w:r>
      <w:r w:rsidRPr="00B31292">
        <w:rPr>
          <w:rFonts w:ascii="Garamond" w:eastAsia="Times New Roman" w:hAnsi="Garamond" w:cs="Times New Roman"/>
          <w:sz w:val="24"/>
          <w:szCs w:val="24"/>
        </w:rPr>
        <w:t>.</w:t>
      </w:r>
    </w:p>
    <w:p w14:paraId="5E834F42" w14:textId="2CF7C21E" w:rsidR="00963F80" w:rsidRPr="00B31292" w:rsidRDefault="00963F80" w:rsidP="003A4DBA">
      <w:pPr>
        <w:pStyle w:val="Heading2"/>
        <w:shd w:val="clear" w:color="auto" w:fill="FFFFFF" w:themeFill="background1"/>
        <w:spacing w:before="0" w:line="240" w:lineRule="auto"/>
        <w:ind w:firstLine="284"/>
        <w:rPr>
          <w:rFonts w:ascii="Garamond" w:hAnsi="Garamond"/>
          <w:color w:val="auto"/>
          <w:sz w:val="24"/>
          <w:szCs w:val="24"/>
        </w:rPr>
      </w:pPr>
      <w:bookmarkStart w:id="46" w:name="_Toc182991980"/>
      <w:r w:rsidRPr="00B31292">
        <w:rPr>
          <w:rFonts w:ascii="Garamond" w:hAnsi="Garamond"/>
          <w:color w:val="auto"/>
          <w:sz w:val="24"/>
          <w:szCs w:val="24"/>
        </w:rPr>
        <w:lastRenderedPageBreak/>
        <w:t>VII</w:t>
      </w:r>
      <w:r w:rsidR="00B31292">
        <w:rPr>
          <w:rFonts w:ascii="Garamond" w:hAnsi="Garamond"/>
          <w:color w:val="auto"/>
          <w:sz w:val="24"/>
          <w:szCs w:val="24"/>
        </w:rPr>
        <w:t>I</w:t>
      </w:r>
      <w:r w:rsidRPr="00B31292">
        <w:rPr>
          <w:rFonts w:ascii="Garamond" w:hAnsi="Garamond"/>
          <w:color w:val="auto"/>
          <w:sz w:val="24"/>
          <w:szCs w:val="24"/>
        </w:rPr>
        <w:t>. Burimet financiare dhe njerëzore</w:t>
      </w:r>
      <w:bookmarkEnd w:id="46"/>
    </w:p>
    <w:p w14:paraId="6E8471DD" w14:textId="7FAAF25B" w:rsidR="00963F80" w:rsidRPr="00B31292" w:rsidRDefault="00EE716C" w:rsidP="003A4DBA">
      <w:pPr>
        <w:shd w:val="clear" w:color="auto" w:fill="FFFFFF" w:themeFill="background1"/>
        <w:tabs>
          <w:tab w:val="left" w:pos="709"/>
        </w:tabs>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 xml:space="preserve"> </w:t>
      </w:r>
      <w:r w:rsidR="00963F80" w:rsidRPr="00B31292">
        <w:rPr>
          <w:rFonts w:ascii="Garamond" w:hAnsi="Garamond" w:cs="Times New Roman"/>
          <w:sz w:val="24"/>
          <w:szCs w:val="24"/>
        </w:rPr>
        <w:t>Për zbatimin e Planit Vjetor 2025 është parashikuar buxheti i INSTAT</w:t>
      </w:r>
      <w:r w:rsidR="002E40BF" w:rsidRPr="00B31292">
        <w:rPr>
          <w:rFonts w:ascii="Garamond" w:hAnsi="Garamond" w:cs="Times New Roman"/>
          <w:sz w:val="24"/>
          <w:szCs w:val="24"/>
        </w:rPr>
        <w:t>-it</w:t>
      </w:r>
      <w:r w:rsidR="00963F80" w:rsidRPr="00B31292">
        <w:rPr>
          <w:rFonts w:ascii="Garamond" w:hAnsi="Garamond" w:cs="Times New Roman"/>
          <w:sz w:val="24"/>
          <w:szCs w:val="24"/>
        </w:rPr>
        <w:t xml:space="preserve"> dhe stafi shtesë i nevojshëm për realizimin apo përmirësimin e aktiviteteve statistikore. Sipas udhëzimit plotësues nr. 9, datë 10.7.2024</w:t>
      </w:r>
      <w:r w:rsidR="002E40BF" w:rsidRPr="00B31292">
        <w:rPr>
          <w:rFonts w:ascii="Garamond" w:hAnsi="Garamond" w:cs="Times New Roman"/>
          <w:sz w:val="24"/>
          <w:szCs w:val="24"/>
        </w:rPr>
        <w:t>,</w:t>
      </w:r>
      <w:r w:rsidR="00963F80" w:rsidRPr="00B31292">
        <w:rPr>
          <w:rFonts w:ascii="Garamond" w:hAnsi="Garamond" w:cs="Times New Roman"/>
          <w:bCs/>
          <w:sz w:val="24"/>
          <w:szCs w:val="24"/>
        </w:rPr>
        <w:t xml:space="preserve"> </w:t>
      </w:r>
      <w:r w:rsidR="00BA12C3" w:rsidRPr="00B31292">
        <w:rPr>
          <w:rFonts w:ascii="Garamond" w:hAnsi="Garamond" w:cs="Times New Roman"/>
          <w:bCs/>
          <w:i/>
          <w:sz w:val="24"/>
          <w:szCs w:val="24"/>
        </w:rPr>
        <w:t>“</w:t>
      </w:r>
      <w:r w:rsidR="00963F80" w:rsidRPr="00B31292">
        <w:rPr>
          <w:rFonts w:ascii="Garamond" w:hAnsi="Garamond" w:cs="Times New Roman"/>
          <w:bCs/>
          <w:i/>
          <w:sz w:val="24"/>
          <w:szCs w:val="24"/>
        </w:rPr>
        <w:t>P</w:t>
      </w:r>
      <w:r w:rsidR="00963F80" w:rsidRPr="00B31292">
        <w:rPr>
          <w:rFonts w:ascii="Garamond" w:hAnsi="Garamond" w:cs="Times New Roman"/>
          <w:i/>
          <w:sz w:val="24"/>
          <w:szCs w:val="24"/>
        </w:rPr>
        <w:t>ë</w:t>
      </w:r>
      <w:r w:rsidR="00963F80" w:rsidRPr="00B31292">
        <w:rPr>
          <w:rFonts w:ascii="Garamond" w:hAnsi="Garamond" w:cs="Times New Roman"/>
          <w:bCs/>
          <w:i/>
          <w:sz w:val="24"/>
          <w:szCs w:val="24"/>
        </w:rPr>
        <w:t xml:space="preserve">r </w:t>
      </w:r>
      <w:r w:rsidR="002E40BF" w:rsidRPr="00B31292">
        <w:rPr>
          <w:rFonts w:ascii="Garamond" w:hAnsi="Garamond" w:cs="Times New Roman"/>
          <w:bCs/>
          <w:i/>
          <w:sz w:val="24"/>
          <w:szCs w:val="24"/>
        </w:rPr>
        <w:t>p</w:t>
      </w:r>
      <w:r w:rsidR="00963F80" w:rsidRPr="00B31292">
        <w:rPr>
          <w:rFonts w:ascii="Garamond" w:hAnsi="Garamond" w:cs="Times New Roman"/>
          <w:i/>
          <w:sz w:val="24"/>
          <w:szCs w:val="24"/>
        </w:rPr>
        <w:t>ë</w:t>
      </w:r>
      <w:r w:rsidR="00963F80" w:rsidRPr="00B31292">
        <w:rPr>
          <w:rFonts w:ascii="Garamond" w:hAnsi="Garamond" w:cs="Times New Roman"/>
          <w:bCs/>
          <w:i/>
          <w:sz w:val="24"/>
          <w:szCs w:val="24"/>
        </w:rPr>
        <w:t>rgatitjen e Programit Buxhetor Afatmes</w:t>
      </w:r>
      <w:r w:rsidR="00963F80" w:rsidRPr="00B31292">
        <w:rPr>
          <w:rFonts w:ascii="Garamond" w:hAnsi="Garamond" w:cs="Times New Roman"/>
          <w:i/>
          <w:sz w:val="24"/>
          <w:szCs w:val="24"/>
        </w:rPr>
        <w:t>ë</w:t>
      </w:r>
      <w:r w:rsidR="00963F80" w:rsidRPr="00B31292">
        <w:rPr>
          <w:rFonts w:ascii="Garamond" w:hAnsi="Garamond" w:cs="Times New Roman"/>
          <w:bCs/>
          <w:i/>
          <w:sz w:val="24"/>
          <w:szCs w:val="24"/>
        </w:rPr>
        <w:t>m 2025</w:t>
      </w:r>
      <w:r w:rsidR="002E40BF" w:rsidRPr="00B31292">
        <w:rPr>
          <w:rFonts w:ascii="Garamond" w:eastAsia="Times New Roman" w:hAnsi="Garamond" w:cs="Times New Roman"/>
          <w:sz w:val="24"/>
          <w:szCs w:val="24"/>
        </w:rPr>
        <w:t>–</w:t>
      </w:r>
      <w:r w:rsidR="00963F80" w:rsidRPr="00B31292">
        <w:rPr>
          <w:rFonts w:ascii="Garamond" w:hAnsi="Garamond" w:cs="Times New Roman"/>
          <w:bCs/>
          <w:i/>
          <w:sz w:val="24"/>
          <w:szCs w:val="24"/>
        </w:rPr>
        <w:t>2027</w:t>
      </w:r>
      <w:r w:rsidR="00BA12C3" w:rsidRPr="00B31292">
        <w:rPr>
          <w:rFonts w:ascii="Garamond" w:hAnsi="Garamond" w:cs="Times New Roman"/>
          <w:bCs/>
          <w:i/>
          <w:sz w:val="24"/>
          <w:szCs w:val="24"/>
        </w:rPr>
        <w:t>”</w:t>
      </w:r>
      <w:r w:rsidR="002E40BF" w:rsidRPr="00B31292">
        <w:rPr>
          <w:rFonts w:ascii="Garamond" w:hAnsi="Garamond" w:cs="Times New Roman"/>
          <w:bCs/>
          <w:i/>
          <w:sz w:val="24"/>
          <w:szCs w:val="24"/>
        </w:rPr>
        <w:t xml:space="preserve"> </w:t>
      </w:r>
      <w:r w:rsidR="00963F80" w:rsidRPr="00B31292">
        <w:rPr>
          <w:rFonts w:ascii="Garamond" w:hAnsi="Garamond" w:cs="Times New Roman"/>
          <w:sz w:val="24"/>
          <w:szCs w:val="24"/>
        </w:rPr>
        <w:t xml:space="preserve">është bërë shpërndarja e tavaneve buxhetore për institucionet, ku për </w:t>
      </w:r>
      <w:r w:rsidR="002E40BF" w:rsidRPr="00B31292">
        <w:rPr>
          <w:rFonts w:ascii="Garamond" w:hAnsi="Garamond" w:cs="Times New Roman"/>
          <w:sz w:val="24"/>
          <w:szCs w:val="24"/>
        </w:rPr>
        <w:t>Institutin</w:t>
      </w:r>
      <w:r w:rsidR="00963F80" w:rsidRPr="00B31292">
        <w:rPr>
          <w:rFonts w:ascii="Garamond" w:hAnsi="Garamond" w:cs="Times New Roman"/>
          <w:sz w:val="24"/>
          <w:szCs w:val="24"/>
        </w:rPr>
        <w:t xml:space="preserve"> e Statistikave, tavani buxhetor për vitin 2025 rezulton të jetë si në tabelën e mëposhtme:</w:t>
      </w:r>
    </w:p>
    <w:p w14:paraId="45ACCD29" w14:textId="5D939D42" w:rsidR="004F35E8" w:rsidRPr="00B31292" w:rsidRDefault="005F74C8" w:rsidP="003A4DBA">
      <w:pPr>
        <w:spacing w:after="0" w:line="240" w:lineRule="auto"/>
        <w:ind w:firstLine="284"/>
        <w:jc w:val="both"/>
        <w:rPr>
          <w:rFonts w:ascii="Garamond" w:eastAsia="Times New Roman" w:hAnsi="Garamond" w:cs="Times New Roman"/>
          <w:i/>
          <w:iCs/>
          <w:sz w:val="24"/>
          <w:szCs w:val="24"/>
          <w:lang w:eastAsia="en-GB"/>
        </w:rPr>
      </w:pPr>
      <w:r>
        <w:rPr>
          <w:rFonts w:ascii="Garamond" w:eastAsia="Times New Roman" w:hAnsi="Garamond" w:cs="Times New Roman"/>
          <w:i/>
          <w:iCs/>
          <w:sz w:val="24"/>
          <w:szCs w:val="24"/>
          <w:lang w:eastAsia="en-GB"/>
        </w:rPr>
        <w:t>Tabela nr. 25</w:t>
      </w:r>
      <w:r w:rsidR="002E40BF" w:rsidRPr="00B31292">
        <w:rPr>
          <w:rFonts w:ascii="Garamond" w:eastAsia="Times New Roman" w:hAnsi="Garamond" w:cs="Times New Roman"/>
          <w:i/>
          <w:iCs/>
          <w:sz w:val="24"/>
          <w:szCs w:val="24"/>
          <w:lang w:eastAsia="en-GB"/>
        </w:rPr>
        <w:t>:</w:t>
      </w:r>
      <w:r w:rsidR="004F35E8" w:rsidRPr="00B31292">
        <w:rPr>
          <w:rFonts w:ascii="Garamond" w:eastAsia="Times New Roman" w:hAnsi="Garamond" w:cs="Times New Roman"/>
          <w:i/>
          <w:iCs/>
          <w:sz w:val="24"/>
          <w:szCs w:val="24"/>
          <w:lang w:eastAsia="en-GB"/>
        </w:rPr>
        <w:t xml:space="preserve"> Parashikimi i buxhetit të INSTAT</w:t>
      </w:r>
      <w:r w:rsidR="002E40BF" w:rsidRPr="00B31292">
        <w:rPr>
          <w:rFonts w:ascii="Garamond" w:eastAsia="Times New Roman" w:hAnsi="Garamond" w:cs="Times New Roman"/>
          <w:i/>
          <w:iCs/>
          <w:sz w:val="24"/>
          <w:szCs w:val="24"/>
          <w:lang w:eastAsia="en-GB"/>
        </w:rPr>
        <w:t>-it</w:t>
      </w:r>
      <w:r w:rsidR="004F35E8" w:rsidRPr="00B31292">
        <w:rPr>
          <w:rFonts w:ascii="Garamond" w:eastAsia="Times New Roman" w:hAnsi="Garamond" w:cs="Times New Roman"/>
          <w:i/>
          <w:iCs/>
          <w:sz w:val="24"/>
          <w:szCs w:val="24"/>
          <w:lang w:eastAsia="en-GB"/>
        </w:rPr>
        <w:t xml:space="preserve"> për çdo fushë statistikore, si dhe për zëra të tjerë</w:t>
      </w:r>
    </w:p>
    <w:p w14:paraId="66C50A95" w14:textId="14959D76" w:rsidR="004F35E8" w:rsidRPr="00B31292" w:rsidRDefault="004F35E8" w:rsidP="003A4DBA">
      <w:pPr>
        <w:shd w:val="clear" w:color="auto" w:fill="FFFFFF"/>
        <w:tabs>
          <w:tab w:val="left" w:pos="709"/>
        </w:tabs>
        <w:spacing w:after="0" w:line="240" w:lineRule="auto"/>
        <w:jc w:val="both"/>
        <w:rPr>
          <w:rFonts w:ascii="Garamond" w:hAnsi="Garamond" w:cs="Times New Roman"/>
          <w:sz w:val="24"/>
          <w:szCs w:val="24"/>
        </w:rPr>
      </w:pPr>
      <w:r w:rsidRPr="00B31292">
        <w:rPr>
          <w:rFonts w:ascii="Garamond" w:eastAsia="Times New Roman" w:hAnsi="Garamond" w:cs="Times New Roman"/>
          <w:b/>
          <w:bCs/>
          <w:i/>
          <w:iCs/>
          <w:noProof/>
          <w:sz w:val="24"/>
          <w:szCs w:val="24"/>
          <w:lang w:val="en-US"/>
        </w:rPr>
        <w:drawing>
          <wp:inline distT="0" distB="0" distL="0" distR="0" wp14:anchorId="4AC66B7E" wp14:editId="48FA7D22">
            <wp:extent cx="5731510" cy="1873250"/>
            <wp:effectExtent l="0" t="0" r="254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731510" cy="1873250"/>
                    </a:xfrm>
                    <a:prstGeom prst="rect">
                      <a:avLst/>
                    </a:prstGeom>
                  </pic:spPr>
                </pic:pic>
              </a:graphicData>
            </a:graphic>
          </wp:inline>
        </w:drawing>
      </w:r>
    </w:p>
    <w:p w14:paraId="77D2C5CD" w14:textId="7F7BBF5E" w:rsidR="004F35E8" w:rsidRPr="00B31292" w:rsidRDefault="004F35E8" w:rsidP="003A4DBA">
      <w:pPr>
        <w:shd w:val="clear" w:color="auto" w:fill="FFFFFF"/>
        <w:tabs>
          <w:tab w:val="left" w:pos="709"/>
        </w:tabs>
        <w:spacing w:after="0" w:line="240" w:lineRule="auto"/>
        <w:ind w:firstLine="284"/>
        <w:jc w:val="both"/>
        <w:rPr>
          <w:rFonts w:ascii="Garamond" w:hAnsi="Garamond" w:cs="Times New Roman"/>
          <w:sz w:val="24"/>
          <w:szCs w:val="24"/>
        </w:rPr>
      </w:pPr>
      <w:r w:rsidRPr="00B31292">
        <w:rPr>
          <w:rFonts w:ascii="Garamond" w:eastAsia="Times New Roman" w:hAnsi="Garamond" w:cs="Times New Roman"/>
          <w:sz w:val="24"/>
          <w:szCs w:val="24"/>
          <w:lang w:eastAsia="en-GB"/>
        </w:rPr>
        <w:t>*Shënim</w:t>
      </w:r>
      <w:r w:rsidR="002E40BF" w:rsidRPr="00B31292">
        <w:rPr>
          <w:rFonts w:ascii="Garamond" w:eastAsia="Times New Roman" w:hAnsi="Garamond" w:cs="Times New Roman"/>
          <w:sz w:val="24"/>
          <w:szCs w:val="24"/>
          <w:lang w:eastAsia="en-GB"/>
        </w:rPr>
        <w:t>.</w:t>
      </w:r>
      <w:r w:rsidRPr="00B31292">
        <w:rPr>
          <w:rFonts w:ascii="Garamond" w:eastAsia="Times New Roman" w:hAnsi="Garamond" w:cs="Times New Roman"/>
          <w:sz w:val="24"/>
          <w:szCs w:val="24"/>
          <w:lang w:eastAsia="en-GB"/>
        </w:rPr>
        <w:t xml:space="preserve"> Buxheti sipas tavaneve buxhetore faza II (PBA 2025</w:t>
      </w:r>
      <w:r w:rsidR="002E40BF" w:rsidRPr="00B31292">
        <w:rPr>
          <w:rFonts w:ascii="Garamond" w:eastAsia="Times New Roman" w:hAnsi="Garamond" w:cs="Times New Roman"/>
          <w:sz w:val="24"/>
          <w:szCs w:val="24"/>
        </w:rPr>
        <w:t>–</w:t>
      </w:r>
      <w:r w:rsidRPr="00B31292">
        <w:rPr>
          <w:rFonts w:ascii="Garamond" w:eastAsia="Times New Roman" w:hAnsi="Garamond" w:cs="Times New Roman"/>
          <w:sz w:val="24"/>
          <w:szCs w:val="24"/>
          <w:lang w:eastAsia="en-GB"/>
        </w:rPr>
        <w:t>2027)</w:t>
      </w:r>
    </w:p>
    <w:p w14:paraId="770F2FD7" w14:textId="50923C59" w:rsidR="00963F80" w:rsidRPr="00B31292" w:rsidRDefault="00963F80" w:rsidP="003A4DBA">
      <w:pPr>
        <w:shd w:val="clear" w:color="auto" w:fill="FFFFFF"/>
        <w:tabs>
          <w:tab w:val="left" w:pos="709"/>
        </w:tabs>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Paraqitja e zërave financiarë sipas përqindjes që zënë në buxhetin total rezulton të jetë si në grafikun e</w:t>
      </w:r>
      <w:r w:rsidR="002E2911" w:rsidRPr="00B31292">
        <w:rPr>
          <w:rFonts w:ascii="Garamond" w:hAnsi="Garamond" w:cs="Times New Roman"/>
          <w:sz w:val="24"/>
          <w:szCs w:val="24"/>
        </w:rPr>
        <w:t xml:space="preserve"> </w:t>
      </w:r>
      <w:r w:rsidRPr="00B31292">
        <w:rPr>
          <w:rFonts w:ascii="Garamond" w:hAnsi="Garamond" w:cs="Times New Roman"/>
          <w:sz w:val="24"/>
          <w:szCs w:val="24"/>
        </w:rPr>
        <w:t>mëposhtëm:</w:t>
      </w:r>
    </w:p>
    <w:p w14:paraId="3408E01C" w14:textId="4D22B860" w:rsidR="00690887" w:rsidRPr="00B31292" w:rsidRDefault="004F35E8" w:rsidP="003A4DBA">
      <w:pPr>
        <w:shd w:val="clear" w:color="auto" w:fill="FFFFFF" w:themeFill="background1"/>
        <w:tabs>
          <w:tab w:val="left" w:pos="709"/>
        </w:tabs>
        <w:spacing w:after="0" w:line="240" w:lineRule="auto"/>
        <w:jc w:val="both"/>
        <w:rPr>
          <w:rFonts w:ascii="Garamond" w:hAnsi="Garamond" w:cs="Times New Roman"/>
          <w:sz w:val="24"/>
          <w:szCs w:val="24"/>
        </w:rPr>
      </w:pPr>
      <w:r w:rsidRPr="00B31292">
        <w:rPr>
          <w:rFonts w:ascii="Garamond" w:hAnsi="Garamond" w:cs="Times New Roman"/>
          <w:noProof/>
          <w:sz w:val="24"/>
          <w:szCs w:val="24"/>
          <w:lang w:val="en-US"/>
        </w:rPr>
        <w:drawing>
          <wp:inline distT="0" distB="0" distL="0" distR="0" wp14:anchorId="417E92AD" wp14:editId="500B5F39">
            <wp:extent cx="5731510" cy="2660015"/>
            <wp:effectExtent l="0" t="0" r="2540" b="698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731510" cy="2660015"/>
                    </a:xfrm>
                    <a:prstGeom prst="rect">
                      <a:avLst/>
                    </a:prstGeom>
                  </pic:spPr>
                </pic:pic>
              </a:graphicData>
            </a:graphic>
          </wp:inline>
        </w:drawing>
      </w:r>
      <w:r w:rsidR="00EE716C" w:rsidRPr="00B31292">
        <w:rPr>
          <w:rFonts w:ascii="Garamond" w:hAnsi="Garamond" w:cs="Times New Roman"/>
          <w:sz w:val="24"/>
          <w:szCs w:val="24"/>
        </w:rPr>
        <w:t xml:space="preserve"> </w:t>
      </w:r>
    </w:p>
    <w:p w14:paraId="7EF730ED" w14:textId="4FEC80F1" w:rsidR="00690887" w:rsidRPr="00B31292" w:rsidRDefault="00690887" w:rsidP="003A4DBA">
      <w:pPr>
        <w:tabs>
          <w:tab w:val="left" w:pos="709"/>
        </w:tabs>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Për</w:t>
      </w:r>
      <w:r w:rsidR="002E40BF" w:rsidRPr="00B31292">
        <w:rPr>
          <w:rFonts w:ascii="Garamond" w:hAnsi="Garamond" w:cs="Times New Roman"/>
          <w:sz w:val="24"/>
          <w:szCs w:val="24"/>
        </w:rPr>
        <w:t xml:space="preserve"> </w:t>
      </w:r>
      <w:r w:rsidRPr="00B31292">
        <w:rPr>
          <w:rFonts w:ascii="Garamond" w:hAnsi="Garamond" w:cs="Times New Roman"/>
          <w:sz w:val="24"/>
          <w:szCs w:val="24"/>
        </w:rPr>
        <w:t>sa i përket burimeve njerëzore, stafi i angazhuar për realizimin e Planit të PSZ 2025 është stafi i INSTAT</w:t>
      </w:r>
      <w:r w:rsidR="002E40BF" w:rsidRPr="00B31292">
        <w:rPr>
          <w:rFonts w:ascii="Garamond" w:hAnsi="Garamond" w:cs="Times New Roman"/>
          <w:sz w:val="24"/>
          <w:szCs w:val="24"/>
        </w:rPr>
        <w:t>-it</w:t>
      </w:r>
      <w:r w:rsidRPr="00B31292">
        <w:rPr>
          <w:rFonts w:ascii="Garamond" w:hAnsi="Garamond" w:cs="Times New Roman"/>
          <w:sz w:val="24"/>
          <w:szCs w:val="24"/>
        </w:rPr>
        <w:t>, 20 punonjës nga Banka e Shqipërisë, 19 punonjës nga Ministria e</w:t>
      </w:r>
      <w:r w:rsidR="002E2911" w:rsidRPr="00B31292">
        <w:rPr>
          <w:rFonts w:ascii="Garamond" w:hAnsi="Garamond" w:cs="Times New Roman"/>
          <w:sz w:val="24"/>
          <w:szCs w:val="24"/>
        </w:rPr>
        <w:t xml:space="preserve"> </w:t>
      </w:r>
      <w:r w:rsidRPr="00B31292">
        <w:rPr>
          <w:rFonts w:ascii="Garamond" w:hAnsi="Garamond" w:cs="Times New Roman"/>
          <w:sz w:val="24"/>
          <w:szCs w:val="24"/>
        </w:rPr>
        <w:t>Financave, 4 punonjës nga Agjencia Kombëtare e Burimeve Natyrore.</w:t>
      </w:r>
    </w:p>
    <w:p w14:paraId="6C1CDDE5" w14:textId="762AB440" w:rsidR="00433589" w:rsidRPr="00B31292" w:rsidRDefault="00EE716C" w:rsidP="003A4DBA">
      <w:pPr>
        <w:tabs>
          <w:tab w:val="left" w:pos="709"/>
        </w:tabs>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 xml:space="preserve"> </w:t>
      </w:r>
      <w:r w:rsidR="00433589" w:rsidRPr="00B31292">
        <w:rPr>
          <w:rFonts w:ascii="Garamond" w:hAnsi="Garamond" w:cs="Times New Roman"/>
          <w:sz w:val="24"/>
          <w:szCs w:val="24"/>
        </w:rPr>
        <w:t xml:space="preserve">Sipas parashikimeve të Programit të Statistikave Zyrtare </w:t>
      </w:r>
      <w:r w:rsidR="002277EC" w:rsidRPr="00B31292">
        <w:rPr>
          <w:rFonts w:ascii="Garamond" w:hAnsi="Garamond" w:cs="Times New Roman"/>
          <w:sz w:val="24"/>
          <w:szCs w:val="24"/>
        </w:rPr>
        <w:t>2022–2026</w:t>
      </w:r>
      <w:r w:rsidR="00433589" w:rsidRPr="00B31292">
        <w:rPr>
          <w:rFonts w:ascii="Garamond" w:hAnsi="Garamond" w:cs="Times New Roman"/>
          <w:sz w:val="24"/>
          <w:szCs w:val="24"/>
        </w:rPr>
        <w:t xml:space="preserve">, referuar </w:t>
      </w:r>
      <w:r w:rsidR="002E40BF" w:rsidRPr="00B31292">
        <w:rPr>
          <w:rFonts w:ascii="Garamond" w:hAnsi="Garamond" w:cs="Times New Roman"/>
          <w:sz w:val="24"/>
          <w:szCs w:val="24"/>
        </w:rPr>
        <w:t>t</w:t>
      </w:r>
      <w:r w:rsidR="00433589" w:rsidRPr="00B31292">
        <w:rPr>
          <w:rFonts w:ascii="Garamond" w:hAnsi="Garamond" w:cs="Times New Roman"/>
          <w:sz w:val="24"/>
          <w:szCs w:val="24"/>
        </w:rPr>
        <w:t>abelës nr. 17</w:t>
      </w:r>
      <w:r w:rsidR="002E40BF" w:rsidRPr="00B31292">
        <w:rPr>
          <w:rFonts w:ascii="Garamond" w:hAnsi="Garamond" w:cs="Times New Roman"/>
          <w:sz w:val="24"/>
          <w:szCs w:val="24"/>
        </w:rPr>
        <w:t>,</w:t>
      </w:r>
      <w:r w:rsidR="00433589" w:rsidRPr="00B31292">
        <w:rPr>
          <w:rFonts w:ascii="Garamond" w:hAnsi="Garamond" w:cs="Times New Roman"/>
          <w:sz w:val="24"/>
          <w:szCs w:val="24"/>
        </w:rPr>
        <w:t xml:space="preserve"> </w:t>
      </w:r>
      <w:r w:rsidR="00BA12C3" w:rsidRPr="00B31292">
        <w:rPr>
          <w:rFonts w:ascii="Garamond" w:hAnsi="Garamond" w:cs="Times New Roman"/>
          <w:sz w:val="24"/>
          <w:szCs w:val="24"/>
        </w:rPr>
        <w:t>“</w:t>
      </w:r>
      <w:r w:rsidR="00433589" w:rsidRPr="00B31292">
        <w:rPr>
          <w:rFonts w:ascii="Garamond" w:hAnsi="Garamond" w:cs="Times New Roman"/>
          <w:sz w:val="24"/>
          <w:szCs w:val="24"/>
        </w:rPr>
        <w:t xml:space="preserve">Nevojat për staf shtesë </w:t>
      </w:r>
      <w:r w:rsidR="002277EC" w:rsidRPr="00B31292">
        <w:rPr>
          <w:rFonts w:ascii="Garamond" w:hAnsi="Garamond" w:cs="Times New Roman"/>
          <w:sz w:val="24"/>
          <w:szCs w:val="24"/>
        </w:rPr>
        <w:t>2022–2026</w:t>
      </w:r>
      <w:r w:rsidR="00BA12C3" w:rsidRPr="00B31292">
        <w:rPr>
          <w:rFonts w:ascii="Garamond" w:hAnsi="Garamond" w:cs="Times New Roman"/>
          <w:sz w:val="24"/>
          <w:szCs w:val="24"/>
        </w:rPr>
        <w:t>”</w:t>
      </w:r>
      <w:r w:rsidR="00433589" w:rsidRPr="00B31292">
        <w:rPr>
          <w:rFonts w:ascii="Garamond" w:hAnsi="Garamond" w:cs="Times New Roman"/>
          <w:sz w:val="24"/>
          <w:szCs w:val="24"/>
        </w:rPr>
        <w:t>, shtesa e parashikuar për vitin 2025 është 12 punonjës për INSTAT</w:t>
      </w:r>
      <w:r w:rsidR="008D567F" w:rsidRPr="00B31292">
        <w:rPr>
          <w:rFonts w:ascii="Garamond" w:hAnsi="Garamond" w:cs="Times New Roman"/>
          <w:sz w:val="24"/>
          <w:szCs w:val="24"/>
        </w:rPr>
        <w:t>-in</w:t>
      </w:r>
      <w:r w:rsidR="00433589" w:rsidRPr="00B31292">
        <w:rPr>
          <w:rFonts w:ascii="Garamond" w:hAnsi="Garamond" w:cs="Times New Roman"/>
          <w:sz w:val="24"/>
          <w:szCs w:val="24"/>
        </w:rPr>
        <w:t xml:space="preserve"> dhe 2 punonjës për Bankën e Shqipërisë.</w:t>
      </w:r>
      <w:r w:rsidR="002E2911" w:rsidRPr="00B31292">
        <w:rPr>
          <w:rFonts w:ascii="Garamond" w:hAnsi="Garamond" w:cs="Times New Roman"/>
          <w:sz w:val="24"/>
          <w:szCs w:val="24"/>
        </w:rPr>
        <w:t xml:space="preserve"> </w:t>
      </w:r>
      <w:r w:rsidR="00433589" w:rsidRPr="00B31292">
        <w:rPr>
          <w:rFonts w:ascii="Garamond" w:hAnsi="Garamond" w:cs="Times New Roman"/>
          <w:sz w:val="24"/>
          <w:szCs w:val="24"/>
        </w:rPr>
        <w:t>Gjithashtu, që prej vitit 2023 referuar këtij programi, INSTAT</w:t>
      </w:r>
      <w:r w:rsidR="002E40BF" w:rsidRPr="00B31292">
        <w:rPr>
          <w:rFonts w:ascii="Garamond" w:hAnsi="Garamond" w:cs="Times New Roman"/>
          <w:sz w:val="24"/>
          <w:szCs w:val="24"/>
        </w:rPr>
        <w:t>-i</w:t>
      </w:r>
      <w:r w:rsidR="00433589" w:rsidRPr="00B31292">
        <w:rPr>
          <w:rFonts w:ascii="Garamond" w:hAnsi="Garamond" w:cs="Times New Roman"/>
          <w:sz w:val="24"/>
          <w:szCs w:val="24"/>
        </w:rPr>
        <w:t xml:space="preserve"> ka identifikuar nevojën për 18 punonjës shtesë për INSTAT</w:t>
      </w:r>
      <w:r w:rsidR="002E40BF" w:rsidRPr="00B31292">
        <w:rPr>
          <w:rFonts w:ascii="Garamond" w:hAnsi="Garamond" w:cs="Times New Roman"/>
          <w:sz w:val="24"/>
          <w:szCs w:val="24"/>
        </w:rPr>
        <w:t>-in</w:t>
      </w:r>
      <w:r w:rsidR="00433589" w:rsidRPr="00B31292">
        <w:rPr>
          <w:rFonts w:ascii="Garamond" w:hAnsi="Garamond" w:cs="Times New Roman"/>
          <w:sz w:val="24"/>
          <w:szCs w:val="24"/>
        </w:rPr>
        <w:t>, të cilët janë përfshirë në Programin Buxhetor Afatmesëm (PBA) të vit</w:t>
      </w:r>
      <w:r w:rsidR="008D567F" w:rsidRPr="00B31292">
        <w:rPr>
          <w:rFonts w:ascii="Garamond" w:hAnsi="Garamond" w:cs="Times New Roman"/>
          <w:sz w:val="24"/>
          <w:szCs w:val="24"/>
        </w:rPr>
        <w:t>eve</w:t>
      </w:r>
      <w:r w:rsidR="00433589" w:rsidRPr="00B31292">
        <w:rPr>
          <w:rFonts w:ascii="Garamond" w:hAnsi="Garamond" w:cs="Times New Roman"/>
          <w:sz w:val="24"/>
          <w:szCs w:val="24"/>
        </w:rPr>
        <w:t xml:space="preserve"> 2023</w:t>
      </w:r>
      <w:r w:rsidR="002E40BF" w:rsidRPr="00B31292">
        <w:rPr>
          <w:rFonts w:ascii="Garamond" w:eastAsia="Times New Roman" w:hAnsi="Garamond" w:cs="Times New Roman"/>
          <w:sz w:val="24"/>
          <w:szCs w:val="24"/>
        </w:rPr>
        <w:t>–</w:t>
      </w:r>
      <w:r w:rsidR="00433589" w:rsidRPr="00B31292">
        <w:rPr>
          <w:rFonts w:ascii="Garamond" w:hAnsi="Garamond" w:cs="Times New Roman"/>
          <w:sz w:val="24"/>
          <w:szCs w:val="24"/>
        </w:rPr>
        <w:t>2025, 2024</w:t>
      </w:r>
      <w:r w:rsidR="002E40BF" w:rsidRPr="00B31292">
        <w:rPr>
          <w:rFonts w:ascii="Garamond" w:eastAsia="Times New Roman" w:hAnsi="Garamond" w:cs="Times New Roman"/>
          <w:sz w:val="24"/>
          <w:szCs w:val="24"/>
        </w:rPr>
        <w:t>–</w:t>
      </w:r>
      <w:r w:rsidR="00433589" w:rsidRPr="00B31292">
        <w:rPr>
          <w:rFonts w:ascii="Garamond" w:hAnsi="Garamond" w:cs="Times New Roman"/>
          <w:sz w:val="24"/>
          <w:szCs w:val="24"/>
        </w:rPr>
        <w:t>2026, por që nuk janë miratuar në asnjë nga të dy PBA</w:t>
      </w:r>
      <w:r w:rsidR="002E40BF" w:rsidRPr="00B31292">
        <w:rPr>
          <w:rFonts w:ascii="Garamond" w:hAnsi="Garamond" w:cs="Times New Roman"/>
          <w:sz w:val="24"/>
          <w:szCs w:val="24"/>
        </w:rPr>
        <w:t>-të</w:t>
      </w:r>
      <w:r w:rsidR="00433589" w:rsidRPr="00B31292">
        <w:rPr>
          <w:rFonts w:ascii="Garamond" w:hAnsi="Garamond" w:cs="Times New Roman"/>
          <w:sz w:val="24"/>
          <w:szCs w:val="24"/>
        </w:rPr>
        <w:t>. Si pasojë, numri shtesë prej 18 punonjësish është paraqitur edhe në kërkesat shtesë të PBA 2025</w:t>
      </w:r>
      <w:r w:rsidR="002E40BF" w:rsidRPr="00B31292">
        <w:rPr>
          <w:rFonts w:ascii="Garamond" w:eastAsia="Times New Roman" w:hAnsi="Garamond" w:cs="Times New Roman"/>
          <w:sz w:val="24"/>
          <w:szCs w:val="24"/>
        </w:rPr>
        <w:t>–</w:t>
      </w:r>
      <w:r w:rsidR="00433589" w:rsidRPr="00B31292">
        <w:rPr>
          <w:rFonts w:ascii="Garamond" w:hAnsi="Garamond" w:cs="Times New Roman"/>
          <w:sz w:val="24"/>
          <w:szCs w:val="24"/>
        </w:rPr>
        <w:t>2027, por që ende nuk kemi një përgjigje për miratim ose jo.</w:t>
      </w:r>
    </w:p>
    <w:p w14:paraId="2A798651" w14:textId="02BA17EA" w:rsidR="00433589" w:rsidRPr="00B31292" w:rsidRDefault="00EE716C" w:rsidP="003A4DBA">
      <w:pPr>
        <w:tabs>
          <w:tab w:val="left" w:pos="709"/>
        </w:tabs>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 xml:space="preserve"> </w:t>
      </w:r>
      <w:r w:rsidR="00433589" w:rsidRPr="00B31292">
        <w:rPr>
          <w:rFonts w:ascii="Garamond" w:hAnsi="Garamond" w:cs="Times New Roman"/>
          <w:sz w:val="24"/>
          <w:szCs w:val="24"/>
        </w:rPr>
        <w:t>Për vitin 2025, INSTAT</w:t>
      </w:r>
      <w:r w:rsidR="002E40BF" w:rsidRPr="00B31292">
        <w:rPr>
          <w:rFonts w:ascii="Garamond" w:hAnsi="Garamond" w:cs="Times New Roman"/>
          <w:sz w:val="24"/>
          <w:szCs w:val="24"/>
        </w:rPr>
        <w:t>-i</w:t>
      </w:r>
      <w:r w:rsidR="00433589" w:rsidRPr="00B31292">
        <w:rPr>
          <w:rFonts w:ascii="Garamond" w:hAnsi="Garamond" w:cs="Times New Roman"/>
          <w:sz w:val="24"/>
          <w:szCs w:val="24"/>
        </w:rPr>
        <w:t xml:space="preserve"> kërkon që të adresohet ky numër, i cili është në përputhje me </w:t>
      </w:r>
      <w:r w:rsidR="008D567F" w:rsidRPr="00B31292">
        <w:rPr>
          <w:rFonts w:ascii="Garamond" w:hAnsi="Garamond" w:cs="Times New Roman"/>
          <w:sz w:val="24"/>
          <w:szCs w:val="24"/>
        </w:rPr>
        <w:t>p</w:t>
      </w:r>
      <w:r w:rsidR="00433589" w:rsidRPr="00B31292">
        <w:rPr>
          <w:rFonts w:ascii="Garamond" w:hAnsi="Garamond" w:cs="Times New Roman"/>
          <w:sz w:val="24"/>
          <w:szCs w:val="24"/>
        </w:rPr>
        <w:t xml:space="preserve">rogramin e miratuar të </w:t>
      </w:r>
      <w:r w:rsidR="008D567F" w:rsidRPr="00B31292">
        <w:rPr>
          <w:rFonts w:ascii="Garamond" w:hAnsi="Garamond" w:cs="Times New Roman"/>
          <w:sz w:val="24"/>
          <w:szCs w:val="24"/>
        </w:rPr>
        <w:t>statistikave zyrtare</w:t>
      </w:r>
      <w:r w:rsidR="00433589" w:rsidRPr="00B31292">
        <w:rPr>
          <w:rFonts w:ascii="Garamond" w:hAnsi="Garamond" w:cs="Times New Roman"/>
          <w:sz w:val="24"/>
          <w:szCs w:val="24"/>
        </w:rPr>
        <w:t>, duke përfshirë jo vetëm kërkesën për 12 punonjës të rinj për vitin 2025 sipas këtij plani, por edhe numrin e poz</w:t>
      </w:r>
      <w:r w:rsidR="002E40BF" w:rsidRPr="00B31292">
        <w:rPr>
          <w:rFonts w:ascii="Garamond" w:hAnsi="Garamond" w:cs="Times New Roman"/>
          <w:sz w:val="24"/>
          <w:szCs w:val="24"/>
        </w:rPr>
        <w:t>i</w:t>
      </w:r>
      <w:r w:rsidR="00433589" w:rsidRPr="00B31292">
        <w:rPr>
          <w:rFonts w:ascii="Garamond" w:hAnsi="Garamond" w:cs="Times New Roman"/>
          <w:sz w:val="24"/>
          <w:szCs w:val="24"/>
        </w:rPr>
        <w:t>cioneve të parashikuara më herët prej 18 punonjësish.</w:t>
      </w:r>
      <w:r w:rsidR="002E2911" w:rsidRPr="00B31292">
        <w:rPr>
          <w:rFonts w:ascii="Garamond" w:hAnsi="Garamond" w:cs="Times New Roman"/>
          <w:sz w:val="24"/>
          <w:szCs w:val="24"/>
        </w:rPr>
        <w:t xml:space="preserve"> </w:t>
      </w:r>
      <w:r w:rsidR="00433589" w:rsidRPr="00B31292">
        <w:rPr>
          <w:rFonts w:ascii="Garamond" w:hAnsi="Garamond" w:cs="Times New Roman"/>
          <w:sz w:val="24"/>
          <w:szCs w:val="24"/>
        </w:rPr>
        <w:t xml:space="preserve">Në total, sipas parashikimeve në Programin e Statistikave Zyrtare, si dhe për të </w:t>
      </w:r>
      <w:r w:rsidR="00433589" w:rsidRPr="00B31292">
        <w:rPr>
          <w:rFonts w:ascii="Garamond" w:hAnsi="Garamond" w:cs="Times New Roman"/>
          <w:sz w:val="24"/>
          <w:szCs w:val="24"/>
        </w:rPr>
        <w:lastRenderedPageBreak/>
        <w:t xml:space="preserve">mbuluar kërkesat në rritje për të dhëna, numri i kërkuar i punonjësve për vitin 2025 është 30 punonjës. </w:t>
      </w:r>
    </w:p>
    <w:p w14:paraId="1322891A" w14:textId="50D159CB" w:rsidR="00433589" w:rsidRPr="00B31292" w:rsidRDefault="00EE716C" w:rsidP="003A4DBA">
      <w:pPr>
        <w:tabs>
          <w:tab w:val="left" w:pos="709"/>
        </w:tabs>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 xml:space="preserve"> </w:t>
      </w:r>
      <w:r w:rsidR="00433589" w:rsidRPr="00B31292">
        <w:rPr>
          <w:rFonts w:ascii="Garamond" w:hAnsi="Garamond" w:cs="Times New Roman"/>
          <w:sz w:val="24"/>
          <w:szCs w:val="24"/>
        </w:rPr>
        <w:t xml:space="preserve">Kjo kërkesë për punonjës është thelbësore për të përballuar ngarkesën e punës dhe për të përmirësuar kapacitetet e prodhimit të statistikave, duke përfshirë zhvillimin e metodologjive dhe teknologjive të reja statistikore. </w:t>
      </w:r>
    </w:p>
    <w:p w14:paraId="2EF25C59" w14:textId="061AC40F" w:rsidR="00690887" w:rsidRPr="00B31292" w:rsidRDefault="002E2911" w:rsidP="003A4DBA">
      <w:pPr>
        <w:tabs>
          <w:tab w:val="left" w:pos="709"/>
        </w:tabs>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 xml:space="preserve"> </w:t>
      </w:r>
      <w:r w:rsidR="00690887" w:rsidRPr="00B31292">
        <w:rPr>
          <w:rFonts w:ascii="Garamond" w:hAnsi="Garamond" w:cs="Times New Roman"/>
          <w:sz w:val="24"/>
          <w:szCs w:val="24"/>
        </w:rPr>
        <w:t>Për ngritjen e kapaciteteve dhe nivelit profesional të stafit të agjencive statistikore, gjatë vitit 2025 INSTAT</w:t>
      </w:r>
      <w:r w:rsidR="002E40BF" w:rsidRPr="00B31292">
        <w:rPr>
          <w:rFonts w:ascii="Garamond" w:hAnsi="Garamond" w:cs="Times New Roman"/>
          <w:sz w:val="24"/>
          <w:szCs w:val="24"/>
        </w:rPr>
        <w:t>-i</w:t>
      </w:r>
      <w:r w:rsidR="00690887" w:rsidRPr="00B31292">
        <w:rPr>
          <w:rFonts w:ascii="Garamond" w:hAnsi="Garamond" w:cs="Times New Roman"/>
          <w:sz w:val="24"/>
          <w:szCs w:val="24"/>
        </w:rPr>
        <w:t xml:space="preserve"> planifikon të zhvillojë një sërë trajnimesh dedikuar prodhimit statistikor, cilësisë statistikore, metodave dhe sistemeve IT për grumbullimin dhe përpunimin e të dhënave, komunikimit dhe shpërndarjes së informacionit etj. Njohuritë e marra në këto trajnime do t’i shërbejnë rritjes së vazhdueshme të performancës në procesin e prodhimit statistikor në funksion të prodhimit në kohë dhe me cilësi të statistikave zyrtare.</w:t>
      </w:r>
    </w:p>
    <w:p w14:paraId="44C4D778" w14:textId="76AF97B7" w:rsidR="00B26B7E" w:rsidRPr="00B31292" w:rsidRDefault="00B26B7E" w:rsidP="003A4DBA">
      <w:pPr>
        <w:pStyle w:val="Heading2"/>
        <w:spacing w:before="0" w:line="240" w:lineRule="auto"/>
        <w:ind w:firstLine="284"/>
        <w:rPr>
          <w:rFonts w:ascii="Garamond" w:hAnsi="Garamond"/>
          <w:color w:val="auto"/>
          <w:sz w:val="24"/>
          <w:szCs w:val="24"/>
        </w:rPr>
      </w:pPr>
      <w:bookmarkStart w:id="47" w:name="_Toc182991981"/>
      <w:r w:rsidRPr="00B31292">
        <w:rPr>
          <w:rFonts w:ascii="Garamond" w:hAnsi="Garamond"/>
          <w:color w:val="auto"/>
          <w:sz w:val="24"/>
          <w:szCs w:val="24"/>
        </w:rPr>
        <w:t>I</w:t>
      </w:r>
      <w:r w:rsidR="00B31292">
        <w:rPr>
          <w:rFonts w:ascii="Garamond" w:hAnsi="Garamond"/>
          <w:color w:val="auto"/>
          <w:sz w:val="24"/>
          <w:szCs w:val="24"/>
        </w:rPr>
        <w:t>X</w:t>
      </w:r>
      <w:r w:rsidRPr="00B31292">
        <w:rPr>
          <w:rFonts w:ascii="Garamond" w:hAnsi="Garamond"/>
          <w:color w:val="auto"/>
          <w:sz w:val="24"/>
          <w:szCs w:val="24"/>
        </w:rPr>
        <w:t>. Analiza SWOT</w:t>
      </w:r>
      <w:bookmarkEnd w:id="47"/>
    </w:p>
    <w:p w14:paraId="4E8ADCF3" w14:textId="38342B79" w:rsidR="009E3315" w:rsidRPr="00B31292" w:rsidRDefault="00EE716C" w:rsidP="003A4DBA">
      <w:pPr>
        <w:tabs>
          <w:tab w:val="left" w:pos="720"/>
        </w:tabs>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 xml:space="preserve"> </w:t>
      </w:r>
      <w:r w:rsidR="009E3315" w:rsidRPr="00B31292">
        <w:rPr>
          <w:rFonts w:ascii="Garamond" w:hAnsi="Garamond" w:cs="Times New Roman"/>
          <w:sz w:val="24"/>
          <w:szCs w:val="24"/>
        </w:rPr>
        <w:t xml:space="preserve">Analiza </w:t>
      </w:r>
      <w:r w:rsidR="009E3315" w:rsidRPr="00B31292">
        <w:rPr>
          <w:rFonts w:ascii="Garamond" w:hAnsi="Garamond" w:cs="Times New Roman"/>
          <w:i/>
          <w:sz w:val="24"/>
          <w:szCs w:val="24"/>
        </w:rPr>
        <w:t>SWOT</w:t>
      </w:r>
      <w:r w:rsidR="009E3315" w:rsidRPr="00B31292">
        <w:rPr>
          <w:rFonts w:ascii="Garamond" w:hAnsi="Garamond" w:cs="Times New Roman"/>
          <w:sz w:val="24"/>
          <w:szCs w:val="24"/>
        </w:rPr>
        <w:t xml:space="preserve"> (pikat e forta, të dobëta, mundësitë dhe kërcënimet) është një kornizë e përdorur për të vlerësuar pozicionin e institucioneve prodhuese të statistikave zyrtare dhe për të zhvilluar programin nga ana strategjike. Analiza vlerëson faktorët e brendshëm dhe të jashtëm, si dhe potencialin aktual dhe të ardhshëm. Ky instrument është krijuar për të lehtësuar vështrimin realist, të bazuar në fakte, të drejtuar nga të dhënat në pikat e forta dhe të dobëta të Sistemit Kombëtar Statistikor dhe institucioneve mbështetëse.</w:t>
      </w:r>
    </w:p>
    <w:p w14:paraId="404B459F" w14:textId="34A94A92" w:rsidR="009E3315" w:rsidRPr="00B31292" w:rsidRDefault="00EE716C" w:rsidP="003A4DBA">
      <w:pPr>
        <w:tabs>
          <w:tab w:val="left" w:pos="720"/>
        </w:tabs>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 xml:space="preserve"> </w:t>
      </w:r>
      <w:r w:rsidR="009E3315" w:rsidRPr="00B31292">
        <w:rPr>
          <w:rFonts w:ascii="Garamond" w:hAnsi="Garamond" w:cs="Times New Roman"/>
          <w:sz w:val="24"/>
          <w:szCs w:val="24"/>
        </w:rPr>
        <w:t>Analiza SWOT përfshin klimën në të cilën funksionon Sistemi Kombëtar Statistikor, duke vënë në qendër INSTAT-in, si institucioni përgjegjës për koordinimin dhe monitorimin e ecurisë dhe performancës së këtij sistemi. Duke marrë parasysh kuadrin ligjor, ambientin dhe kulturën statistikore të institucioneve prodhuese dhe atyre furnizuese me të dhëna administrative, INSTAT-i ka vlerësuar kapacitetin, mekanizmat dhe burimet e nevojshme për të garantuar zbatimin e suksesshëm të aktiviteteve të parashikuara në program.</w:t>
      </w:r>
    </w:p>
    <w:p w14:paraId="22BABB75" w14:textId="7260D4C4" w:rsidR="009E3315" w:rsidRPr="00B31292" w:rsidRDefault="00EE716C" w:rsidP="003A4DBA">
      <w:pPr>
        <w:tabs>
          <w:tab w:val="left" w:pos="720"/>
        </w:tabs>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 xml:space="preserve"> </w:t>
      </w:r>
      <w:r w:rsidR="009E3315" w:rsidRPr="00B31292">
        <w:rPr>
          <w:rFonts w:ascii="Garamond" w:hAnsi="Garamond" w:cs="Times New Roman"/>
          <w:sz w:val="24"/>
          <w:szCs w:val="24"/>
        </w:rPr>
        <w:t xml:space="preserve">Një ndihmë të madhe për analizën kanë dhënë dhe japin raportet periodike të vlerësimit, të hartuara nga ekspertët e </w:t>
      </w:r>
      <w:r w:rsidR="009C0CE9" w:rsidRPr="00B31292">
        <w:rPr>
          <w:rFonts w:ascii="Garamond" w:hAnsi="Garamond" w:cs="Times New Roman"/>
          <w:sz w:val="24"/>
          <w:szCs w:val="24"/>
        </w:rPr>
        <w:t>Eurostat</w:t>
      </w:r>
      <w:r w:rsidR="009E3315" w:rsidRPr="00B31292">
        <w:rPr>
          <w:rFonts w:ascii="Garamond" w:hAnsi="Garamond" w:cs="Times New Roman"/>
          <w:sz w:val="24"/>
          <w:szCs w:val="24"/>
        </w:rPr>
        <w:t>it (</w:t>
      </w:r>
      <w:r w:rsidR="009E3315" w:rsidRPr="00B31292">
        <w:rPr>
          <w:rFonts w:ascii="Garamond" w:hAnsi="Garamond" w:cs="Times New Roman"/>
          <w:i/>
          <w:sz w:val="24"/>
          <w:szCs w:val="24"/>
        </w:rPr>
        <w:t>Peer Reviews</w:t>
      </w:r>
      <w:r w:rsidR="009E3315" w:rsidRPr="00B31292">
        <w:rPr>
          <w:rFonts w:ascii="Garamond" w:hAnsi="Garamond" w:cs="Times New Roman"/>
          <w:sz w:val="24"/>
          <w:szCs w:val="24"/>
        </w:rPr>
        <w:t>), përfshirja e statisticienëve në forumet ndërkombëtare dhe asistenca e huaj për aktivitete të veçanta statistikore.</w:t>
      </w:r>
      <w:r w:rsidRPr="00B31292">
        <w:rPr>
          <w:rFonts w:ascii="Garamond" w:hAnsi="Garamond" w:cs="Times New Roman"/>
          <w:sz w:val="24"/>
          <w:szCs w:val="24"/>
        </w:rPr>
        <w:t xml:space="preserve"> </w:t>
      </w:r>
    </w:p>
    <w:p w14:paraId="70B6310C" w14:textId="77777777" w:rsidR="009E3315" w:rsidRPr="00B31292" w:rsidRDefault="009E3315" w:rsidP="003A4DBA">
      <w:pPr>
        <w:tabs>
          <w:tab w:val="left" w:pos="720"/>
        </w:tabs>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Në këtë këndvështrim, analiza SWOT hartohet si vijon:</w:t>
      </w:r>
    </w:p>
    <w:p w14:paraId="2F241C2B" w14:textId="0573EE4D" w:rsidR="009E3315" w:rsidRPr="00B31292" w:rsidRDefault="009E3315" w:rsidP="003A4DBA">
      <w:pPr>
        <w:tabs>
          <w:tab w:val="left" w:pos="720"/>
        </w:tabs>
        <w:spacing w:after="0" w:line="240" w:lineRule="auto"/>
        <w:ind w:firstLine="284"/>
        <w:jc w:val="both"/>
        <w:rPr>
          <w:rFonts w:ascii="Garamond" w:hAnsi="Garamond" w:cs="Times New Roman"/>
          <w:bCs/>
          <w:sz w:val="24"/>
          <w:szCs w:val="24"/>
        </w:rPr>
      </w:pPr>
      <w:r w:rsidRPr="00B31292">
        <w:rPr>
          <w:rFonts w:ascii="Garamond" w:hAnsi="Garamond" w:cs="Times New Roman"/>
          <w:bCs/>
          <w:sz w:val="24"/>
          <w:szCs w:val="24"/>
        </w:rPr>
        <w:t>PIKAT E FORTA</w:t>
      </w:r>
    </w:p>
    <w:p w14:paraId="29790D1F" w14:textId="478616BE" w:rsidR="00EE716C" w:rsidRPr="00B31292" w:rsidRDefault="009508C8" w:rsidP="003A4DBA">
      <w:pPr>
        <w:tabs>
          <w:tab w:val="left" w:pos="720"/>
          <w:tab w:val="left" w:pos="1080"/>
        </w:tabs>
        <w:autoSpaceDE w:val="0"/>
        <w:autoSpaceDN w:val="0"/>
        <w:adjustRightInd w:val="0"/>
        <w:spacing w:after="0" w:line="240" w:lineRule="auto"/>
        <w:ind w:firstLine="284"/>
        <w:jc w:val="both"/>
        <w:rPr>
          <w:rFonts w:ascii="Garamond" w:hAnsi="Garamond" w:cs="Garamond"/>
          <w:color w:val="000000"/>
          <w:sz w:val="24"/>
          <w:szCs w:val="24"/>
        </w:rPr>
      </w:pPr>
      <w:r w:rsidRPr="00B31292">
        <w:rPr>
          <w:rFonts w:ascii="Garamond" w:hAnsi="Garamond" w:cs="Symbol"/>
          <w:color w:val="000000"/>
          <w:sz w:val="24"/>
          <w:szCs w:val="24"/>
        </w:rPr>
        <w:t>-</w:t>
      </w:r>
      <w:r w:rsidR="002E40BF" w:rsidRPr="00B31292">
        <w:rPr>
          <w:rFonts w:ascii="Garamond" w:hAnsi="Garamond" w:cs="Symbol"/>
          <w:color w:val="000000"/>
          <w:sz w:val="24"/>
          <w:szCs w:val="24"/>
        </w:rPr>
        <w:t xml:space="preserve"> </w:t>
      </w:r>
      <w:r w:rsidR="00EE716C" w:rsidRPr="00B31292">
        <w:rPr>
          <w:rFonts w:ascii="Garamond" w:hAnsi="Garamond" w:cs="Garamond"/>
          <w:b/>
          <w:bCs/>
          <w:color w:val="000000"/>
          <w:sz w:val="24"/>
          <w:szCs w:val="24"/>
        </w:rPr>
        <w:t>Legjislacion i përafruar</w:t>
      </w:r>
      <w:r w:rsidR="00EE716C" w:rsidRPr="00B31292">
        <w:rPr>
          <w:rFonts w:ascii="Garamond" w:hAnsi="Garamond" w:cs="Garamond"/>
          <w:color w:val="000000"/>
          <w:sz w:val="24"/>
          <w:szCs w:val="24"/>
        </w:rPr>
        <w:t>. Ligji nr. 17/2018</w:t>
      </w:r>
      <w:r w:rsidR="002E40BF" w:rsidRPr="00B31292">
        <w:rPr>
          <w:rFonts w:ascii="Garamond" w:hAnsi="Garamond" w:cs="Garamond"/>
          <w:color w:val="000000"/>
          <w:sz w:val="24"/>
          <w:szCs w:val="24"/>
        </w:rPr>
        <w:t>,</w:t>
      </w:r>
      <w:r w:rsidR="00EE716C" w:rsidRPr="00B31292">
        <w:rPr>
          <w:rFonts w:ascii="Garamond" w:hAnsi="Garamond" w:cs="Garamond"/>
          <w:color w:val="000000"/>
          <w:sz w:val="24"/>
          <w:szCs w:val="24"/>
        </w:rPr>
        <w:t xml:space="preserve"> </w:t>
      </w:r>
      <w:r w:rsidR="00BA12C3" w:rsidRPr="00B31292">
        <w:rPr>
          <w:rFonts w:ascii="Garamond" w:hAnsi="Garamond" w:cs="Garamond"/>
          <w:color w:val="000000"/>
          <w:sz w:val="24"/>
          <w:szCs w:val="24"/>
        </w:rPr>
        <w:t>“</w:t>
      </w:r>
      <w:r w:rsidR="00EE716C" w:rsidRPr="00B31292">
        <w:rPr>
          <w:rFonts w:ascii="Garamond" w:hAnsi="Garamond" w:cs="Garamond"/>
          <w:color w:val="000000"/>
          <w:sz w:val="24"/>
          <w:szCs w:val="24"/>
        </w:rPr>
        <w:t>Për statistikat zyrtare</w:t>
      </w:r>
      <w:r w:rsidR="00BA12C3" w:rsidRPr="00B31292">
        <w:rPr>
          <w:rFonts w:ascii="Garamond" w:hAnsi="Garamond" w:cs="Garamond"/>
          <w:color w:val="000000"/>
          <w:sz w:val="24"/>
          <w:szCs w:val="24"/>
        </w:rPr>
        <w:t>”</w:t>
      </w:r>
      <w:r w:rsidR="00EE716C" w:rsidRPr="00B31292">
        <w:rPr>
          <w:rFonts w:ascii="Garamond" w:hAnsi="Garamond" w:cs="Garamond"/>
          <w:color w:val="000000"/>
          <w:sz w:val="24"/>
          <w:szCs w:val="24"/>
        </w:rPr>
        <w:t xml:space="preserve"> është përafruar me </w:t>
      </w:r>
      <w:r w:rsidR="008D567F" w:rsidRPr="00B31292">
        <w:rPr>
          <w:rFonts w:ascii="Garamond" w:hAnsi="Garamond" w:cs="Garamond"/>
          <w:color w:val="000000"/>
          <w:sz w:val="24"/>
          <w:szCs w:val="24"/>
        </w:rPr>
        <w:t xml:space="preserve">rregulloren </w:t>
      </w:r>
      <w:r w:rsidR="00EE716C" w:rsidRPr="00B31292">
        <w:rPr>
          <w:rFonts w:ascii="Garamond" w:hAnsi="Garamond" w:cs="Garamond"/>
          <w:color w:val="000000"/>
          <w:sz w:val="24"/>
          <w:szCs w:val="24"/>
        </w:rPr>
        <w:t>(BE) 223/2009</w:t>
      </w:r>
      <w:r w:rsidR="002E40BF" w:rsidRPr="00B31292">
        <w:rPr>
          <w:rFonts w:ascii="Garamond" w:hAnsi="Garamond" w:cs="Garamond"/>
          <w:color w:val="000000"/>
          <w:sz w:val="24"/>
          <w:szCs w:val="24"/>
        </w:rPr>
        <w:t>,</w:t>
      </w:r>
      <w:r w:rsidR="00EE716C" w:rsidRPr="00B31292">
        <w:rPr>
          <w:rFonts w:ascii="Garamond" w:hAnsi="Garamond" w:cs="Garamond"/>
          <w:color w:val="000000"/>
          <w:sz w:val="24"/>
          <w:szCs w:val="24"/>
        </w:rPr>
        <w:t xml:space="preserve"> </w:t>
      </w:r>
      <w:r w:rsidR="00BA12C3" w:rsidRPr="00B31292">
        <w:rPr>
          <w:rFonts w:ascii="Garamond" w:hAnsi="Garamond" w:cs="Garamond"/>
          <w:color w:val="000000"/>
          <w:sz w:val="24"/>
          <w:szCs w:val="24"/>
        </w:rPr>
        <w:t>“</w:t>
      </w:r>
      <w:r w:rsidR="00EE716C" w:rsidRPr="00B31292">
        <w:rPr>
          <w:rFonts w:ascii="Garamond" w:hAnsi="Garamond" w:cs="Garamond"/>
          <w:color w:val="000000"/>
          <w:sz w:val="24"/>
          <w:szCs w:val="24"/>
        </w:rPr>
        <w:t>Për statistikat Evropiane</w:t>
      </w:r>
      <w:r w:rsidR="00BA12C3" w:rsidRPr="00B31292">
        <w:rPr>
          <w:rFonts w:ascii="Garamond" w:hAnsi="Garamond" w:cs="Garamond"/>
          <w:color w:val="000000"/>
          <w:sz w:val="24"/>
          <w:szCs w:val="24"/>
        </w:rPr>
        <w:t>”</w:t>
      </w:r>
      <w:r w:rsidR="00EE716C" w:rsidRPr="00B31292">
        <w:rPr>
          <w:rFonts w:ascii="Garamond" w:hAnsi="Garamond" w:cs="Garamond"/>
          <w:color w:val="000000"/>
          <w:sz w:val="24"/>
          <w:szCs w:val="24"/>
        </w:rPr>
        <w:t>, e ndryshuar, në interes të formalizimit të Sistemit Kombëtar Statistikor, rolit aktiv të përdoruesve dhe ndërtimit të instrumenteve monitoruese/raportuese. Kjo kornizë mundëson zbatimin e parimeve themelore të statistikave zyrtare, duke garantuar besueshmërinë dhe konfidencialitetin statistikor.</w:t>
      </w:r>
    </w:p>
    <w:p w14:paraId="23F92F30" w14:textId="0CD8F29D" w:rsidR="00EE716C" w:rsidRPr="00B31292" w:rsidRDefault="009508C8" w:rsidP="003A4DBA">
      <w:pPr>
        <w:tabs>
          <w:tab w:val="left" w:pos="720"/>
          <w:tab w:val="left" w:pos="1080"/>
        </w:tabs>
        <w:autoSpaceDE w:val="0"/>
        <w:autoSpaceDN w:val="0"/>
        <w:adjustRightInd w:val="0"/>
        <w:spacing w:after="0" w:line="240" w:lineRule="auto"/>
        <w:ind w:firstLine="284"/>
        <w:jc w:val="both"/>
        <w:rPr>
          <w:rFonts w:ascii="Garamond" w:hAnsi="Garamond" w:cs="Garamond"/>
          <w:color w:val="000000"/>
          <w:sz w:val="24"/>
          <w:szCs w:val="24"/>
        </w:rPr>
      </w:pPr>
      <w:r w:rsidRPr="00B31292">
        <w:rPr>
          <w:rFonts w:ascii="Garamond" w:hAnsi="Garamond" w:cs="Symbol"/>
          <w:color w:val="000000"/>
          <w:sz w:val="24"/>
          <w:szCs w:val="24"/>
        </w:rPr>
        <w:t>-</w:t>
      </w:r>
      <w:r w:rsidR="002E40BF" w:rsidRPr="00B31292">
        <w:rPr>
          <w:rFonts w:ascii="Garamond" w:hAnsi="Garamond" w:cs="Symbol"/>
          <w:color w:val="000000"/>
          <w:sz w:val="24"/>
          <w:szCs w:val="24"/>
        </w:rPr>
        <w:t xml:space="preserve"> </w:t>
      </w:r>
      <w:r w:rsidR="00EE716C" w:rsidRPr="00B31292">
        <w:rPr>
          <w:rFonts w:ascii="Garamond" w:hAnsi="Garamond" w:cs="Garamond"/>
          <w:b/>
          <w:bCs/>
          <w:color w:val="000000"/>
          <w:sz w:val="24"/>
          <w:szCs w:val="24"/>
        </w:rPr>
        <w:t xml:space="preserve">Mandat i konsoliduar për aksesin në të dhëna. </w:t>
      </w:r>
      <w:r w:rsidR="00EE716C" w:rsidRPr="00B31292">
        <w:rPr>
          <w:rFonts w:ascii="Garamond" w:hAnsi="Garamond" w:cs="Garamond"/>
          <w:color w:val="000000"/>
          <w:sz w:val="24"/>
          <w:szCs w:val="24"/>
        </w:rPr>
        <w:t>Legjislacioni për statistikat zyrtare ngarkon çdo institucion publik, mbajtës i të dhënave administrative, të furnizojë prodhuesit e statistikave zyrtare me informacionin e duhur vetëm për qëllime statistikore.</w:t>
      </w:r>
    </w:p>
    <w:p w14:paraId="2993FE82" w14:textId="672B0F43" w:rsidR="00EE716C" w:rsidRPr="00B31292" w:rsidRDefault="009508C8" w:rsidP="003A4DBA">
      <w:pPr>
        <w:tabs>
          <w:tab w:val="left" w:pos="720"/>
          <w:tab w:val="left" w:pos="1080"/>
        </w:tabs>
        <w:autoSpaceDE w:val="0"/>
        <w:autoSpaceDN w:val="0"/>
        <w:adjustRightInd w:val="0"/>
        <w:spacing w:after="0" w:line="240" w:lineRule="auto"/>
        <w:ind w:firstLine="284"/>
        <w:jc w:val="both"/>
        <w:rPr>
          <w:rFonts w:ascii="Garamond" w:hAnsi="Garamond" w:cs="Garamond"/>
          <w:color w:val="000000"/>
          <w:sz w:val="24"/>
          <w:szCs w:val="24"/>
        </w:rPr>
      </w:pPr>
      <w:r w:rsidRPr="00B31292">
        <w:rPr>
          <w:rFonts w:ascii="Garamond" w:hAnsi="Garamond" w:cs="Symbol"/>
          <w:color w:val="000000"/>
          <w:sz w:val="24"/>
          <w:szCs w:val="24"/>
        </w:rPr>
        <w:t>-</w:t>
      </w:r>
      <w:r w:rsidR="002E40BF" w:rsidRPr="00B31292">
        <w:rPr>
          <w:rFonts w:ascii="Garamond" w:hAnsi="Garamond" w:cs="Symbol"/>
          <w:color w:val="000000"/>
          <w:sz w:val="24"/>
          <w:szCs w:val="24"/>
        </w:rPr>
        <w:t xml:space="preserve"> </w:t>
      </w:r>
      <w:r w:rsidR="00EE716C" w:rsidRPr="00B31292">
        <w:rPr>
          <w:rFonts w:ascii="Garamond" w:hAnsi="Garamond" w:cs="Garamond"/>
          <w:b/>
          <w:bCs/>
          <w:color w:val="000000"/>
          <w:sz w:val="24"/>
          <w:szCs w:val="24"/>
        </w:rPr>
        <w:t xml:space="preserve">Komunikim i formalizuar me aktorët. </w:t>
      </w:r>
      <w:r w:rsidR="00EE716C" w:rsidRPr="00B31292">
        <w:rPr>
          <w:rFonts w:ascii="Garamond" w:hAnsi="Garamond" w:cs="Garamond"/>
          <w:color w:val="000000"/>
          <w:sz w:val="24"/>
          <w:szCs w:val="24"/>
        </w:rPr>
        <w:t>Gjatë vitit të fundit, INSTAT</w:t>
      </w:r>
      <w:r w:rsidR="002E40BF" w:rsidRPr="00B31292">
        <w:rPr>
          <w:rFonts w:ascii="Garamond" w:hAnsi="Garamond" w:cs="Garamond"/>
          <w:color w:val="000000"/>
          <w:sz w:val="24"/>
          <w:szCs w:val="24"/>
        </w:rPr>
        <w:t>-i</w:t>
      </w:r>
      <w:r w:rsidR="00EE716C" w:rsidRPr="00B31292">
        <w:rPr>
          <w:rFonts w:ascii="Garamond" w:hAnsi="Garamond" w:cs="Garamond"/>
          <w:color w:val="000000"/>
          <w:sz w:val="24"/>
          <w:szCs w:val="24"/>
        </w:rPr>
        <w:t xml:space="preserve"> ka intensifikuar format e komunikimit me institucionet që furnizojnë prodhuesit statistikorë me të dhëna administrative. Gjithashtu, marrëdhënia ndërmjet prodhuesve të statistikave zyrtare është formalizuar nëpërmjet krijimit të Komitetit të Prodhuesve Statistikorë, instrument i cili siguron një koordinim më të mirë në aspektin e planifikimit dhe shpërndarje</w:t>
      </w:r>
      <w:r w:rsidR="003A7EA0" w:rsidRPr="00B31292">
        <w:rPr>
          <w:rFonts w:ascii="Garamond" w:hAnsi="Garamond" w:cs="Garamond"/>
          <w:color w:val="000000"/>
          <w:sz w:val="24"/>
          <w:szCs w:val="24"/>
        </w:rPr>
        <w:t>s.</w:t>
      </w:r>
    </w:p>
    <w:p w14:paraId="2D97924D" w14:textId="79F56C15" w:rsidR="00EE716C" w:rsidRPr="00B31292" w:rsidRDefault="009508C8" w:rsidP="003A4DBA">
      <w:pPr>
        <w:tabs>
          <w:tab w:val="left" w:pos="720"/>
          <w:tab w:val="left" w:pos="1080"/>
        </w:tabs>
        <w:autoSpaceDE w:val="0"/>
        <w:autoSpaceDN w:val="0"/>
        <w:adjustRightInd w:val="0"/>
        <w:spacing w:after="0" w:line="240" w:lineRule="auto"/>
        <w:ind w:firstLine="284"/>
        <w:jc w:val="both"/>
        <w:rPr>
          <w:rFonts w:ascii="Garamond" w:hAnsi="Garamond" w:cs="Garamond"/>
          <w:color w:val="000000"/>
          <w:sz w:val="24"/>
          <w:szCs w:val="24"/>
        </w:rPr>
      </w:pPr>
      <w:r w:rsidRPr="00B31292">
        <w:rPr>
          <w:rFonts w:ascii="Garamond" w:hAnsi="Garamond" w:cs="Symbol"/>
          <w:color w:val="000000"/>
          <w:sz w:val="24"/>
          <w:szCs w:val="24"/>
        </w:rPr>
        <w:t>-</w:t>
      </w:r>
      <w:r w:rsidR="002E40BF" w:rsidRPr="00B31292">
        <w:rPr>
          <w:rFonts w:ascii="Garamond" w:hAnsi="Garamond" w:cs="Symbol"/>
          <w:color w:val="000000"/>
          <w:sz w:val="24"/>
          <w:szCs w:val="24"/>
        </w:rPr>
        <w:t xml:space="preserve"> </w:t>
      </w:r>
      <w:r w:rsidR="00EE716C" w:rsidRPr="00B31292">
        <w:rPr>
          <w:rFonts w:ascii="Garamond" w:hAnsi="Garamond" w:cs="Garamond"/>
          <w:b/>
          <w:bCs/>
          <w:color w:val="000000"/>
          <w:sz w:val="24"/>
          <w:szCs w:val="24"/>
        </w:rPr>
        <w:t>Punonjës të kualifikuar, të njohur për profesionalizmin dhe eksperiencën.</w:t>
      </w:r>
      <w:r w:rsidR="00EE716C" w:rsidRPr="00B31292">
        <w:rPr>
          <w:rFonts w:ascii="Garamond" w:hAnsi="Garamond" w:cs="Garamond"/>
          <w:color w:val="000000"/>
          <w:sz w:val="24"/>
          <w:szCs w:val="24"/>
        </w:rPr>
        <w:t xml:space="preserve"> Personeli i sistemit statistikor, veçanërisht i INSTAT-it, gëzon kapacitetet profesionale jo vetëm në fushat statistikore, por edhe në ato mbështetëse, si teknologji informacioni dhe administrative.</w:t>
      </w:r>
    </w:p>
    <w:p w14:paraId="2AD45BFB" w14:textId="3B4BFF0E" w:rsidR="00EE716C" w:rsidRPr="00B31292" w:rsidRDefault="009508C8" w:rsidP="003A4DBA">
      <w:pPr>
        <w:tabs>
          <w:tab w:val="left" w:pos="720"/>
          <w:tab w:val="left" w:pos="1080"/>
        </w:tabs>
        <w:autoSpaceDE w:val="0"/>
        <w:autoSpaceDN w:val="0"/>
        <w:adjustRightInd w:val="0"/>
        <w:spacing w:after="0" w:line="240" w:lineRule="auto"/>
        <w:ind w:firstLine="284"/>
        <w:jc w:val="both"/>
        <w:rPr>
          <w:rFonts w:ascii="Garamond" w:hAnsi="Garamond" w:cs="Garamond"/>
          <w:color w:val="000000"/>
          <w:sz w:val="24"/>
          <w:szCs w:val="24"/>
        </w:rPr>
      </w:pPr>
      <w:r w:rsidRPr="00B31292">
        <w:rPr>
          <w:rFonts w:ascii="Garamond" w:hAnsi="Garamond" w:cs="Symbol"/>
          <w:color w:val="000000"/>
          <w:sz w:val="24"/>
          <w:szCs w:val="24"/>
        </w:rPr>
        <w:t>-</w:t>
      </w:r>
      <w:r w:rsidR="002E40BF" w:rsidRPr="00B31292">
        <w:rPr>
          <w:rFonts w:ascii="Garamond" w:hAnsi="Garamond" w:cs="Symbol"/>
          <w:color w:val="000000"/>
          <w:sz w:val="24"/>
          <w:szCs w:val="24"/>
        </w:rPr>
        <w:t xml:space="preserve"> </w:t>
      </w:r>
      <w:r w:rsidR="00EE716C" w:rsidRPr="00B31292">
        <w:rPr>
          <w:rFonts w:ascii="Garamond" w:hAnsi="Garamond" w:cs="Garamond"/>
          <w:b/>
          <w:bCs/>
          <w:color w:val="000000"/>
          <w:sz w:val="24"/>
          <w:szCs w:val="24"/>
        </w:rPr>
        <w:t xml:space="preserve">Infrastrukturë trajnimi. </w:t>
      </w:r>
      <w:r w:rsidR="00EE716C" w:rsidRPr="00B31292">
        <w:rPr>
          <w:rFonts w:ascii="Garamond" w:hAnsi="Garamond" w:cs="Garamond"/>
          <w:color w:val="000000"/>
          <w:sz w:val="24"/>
          <w:szCs w:val="24"/>
        </w:rPr>
        <w:t>Qendra e Trajnimit Statistikor, sipas kërkesave të ligjit për statistikat zyrtare, ka mundësuar përgatitjen e trajnerëve dhe moduleve më të rëndësishme për të rritur kapacitetet profesionale të statisticienëve. Trajnimet ofrojnë njohuri mbi harmonizimin dhe standardet e akteve ndërkombëtare, njohuri teknike për disa fusha statistikore dhe njohuri themelore në aspektin menaxherial/lidership.</w:t>
      </w:r>
    </w:p>
    <w:p w14:paraId="2FD97504" w14:textId="57404D4D" w:rsidR="00EE716C" w:rsidRPr="00B31292" w:rsidRDefault="009508C8" w:rsidP="003A4DBA">
      <w:pPr>
        <w:tabs>
          <w:tab w:val="left" w:pos="720"/>
          <w:tab w:val="left" w:pos="1080"/>
        </w:tabs>
        <w:autoSpaceDE w:val="0"/>
        <w:autoSpaceDN w:val="0"/>
        <w:adjustRightInd w:val="0"/>
        <w:spacing w:after="0" w:line="240" w:lineRule="auto"/>
        <w:ind w:firstLine="284"/>
        <w:jc w:val="both"/>
        <w:rPr>
          <w:rFonts w:ascii="Garamond" w:hAnsi="Garamond" w:cs="Garamond"/>
          <w:color w:val="000000"/>
          <w:sz w:val="24"/>
          <w:szCs w:val="24"/>
        </w:rPr>
      </w:pPr>
      <w:r w:rsidRPr="00B31292">
        <w:rPr>
          <w:rFonts w:ascii="Garamond" w:hAnsi="Garamond" w:cs="Symbol"/>
          <w:color w:val="000000"/>
          <w:sz w:val="24"/>
          <w:szCs w:val="24"/>
        </w:rPr>
        <w:lastRenderedPageBreak/>
        <w:t>-</w:t>
      </w:r>
      <w:r w:rsidR="002E40BF" w:rsidRPr="00B31292">
        <w:rPr>
          <w:rFonts w:ascii="Garamond" w:hAnsi="Garamond" w:cs="Symbol"/>
          <w:color w:val="000000"/>
          <w:sz w:val="24"/>
          <w:szCs w:val="24"/>
        </w:rPr>
        <w:t xml:space="preserve"> </w:t>
      </w:r>
      <w:r w:rsidR="00EE716C" w:rsidRPr="00B31292">
        <w:rPr>
          <w:rFonts w:ascii="Garamond" w:hAnsi="Garamond" w:cs="Garamond"/>
          <w:b/>
          <w:bCs/>
          <w:color w:val="000000"/>
          <w:sz w:val="24"/>
          <w:szCs w:val="24"/>
        </w:rPr>
        <w:t xml:space="preserve">Mbështetje ndërkombëtare. </w:t>
      </w:r>
      <w:r w:rsidR="00EE716C" w:rsidRPr="00B31292">
        <w:rPr>
          <w:rFonts w:ascii="Garamond" w:hAnsi="Garamond" w:cs="Garamond"/>
          <w:color w:val="000000"/>
          <w:sz w:val="24"/>
          <w:szCs w:val="24"/>
        </w:rPr>
        <w:t>Sistemi Kombëtar Statistikor mbështetet nga programet e Bashkimit Evropian dhe të disa vendeve anëtare për kryerjen e sukse</w:t>
      </w:r>
      <w:r w:rsidR="002E40BF" w:rsidRPr="00B31292">
        <w:rPr>
          <w:rFonts w:ascii="Garamond" w:hAnsi="Garamond" w:cs="Garamond"/>
          <w:color w:val="000000"/>
          <w:sz w:val="24"/>
          <w:szCs w:val="24"/>
        </w:rPr>
        <w:t>s</w:t>
      </w:r>
      <w:r w:rsidR="00EE716C" w:rsidRPr="00B31292">
        <w:rPr>
          <w:rFonts w:ascii="Garamond" w:hAnsi="Garamond" w:cs="Garamond"/>
          <w:color w:val="000000"/>
          <w:sz w:val="24"/>
          <w:szCs w:val="24"/>
        </w:rPr>
        <w:t>shme të aktiviteteve statistikore</w:t>
      </w:r>
      <w:r w:rsidR="003A7EA0" w:rsidRPr="00B31292">
        <w:rPr>
          <w:rFonts w:ascii="Garamond" w:hAnsi="Garamond" w:cs="Garamond"/>
          <w:color w:val="000000"/>
          <w:sz w:val="24"/>
          <w:szCs w:val="24"/>
        </w:rPr>
        <w:t>,</w:t>
      </w:r>
      <w:r w:rsidR="00EE716C" w:rsidRPr="00B31292">
        <w:rPr>
          <w:rFonts w:ascii="Garamond" w:hAnsi="Garamond" w:cs="Garamond"/>
          <w:color w:val="000000"/>
          <w:sz w:val="24"/>
          <w:szCs w:val="24"/>
        </w:rPr>
        <w:t xml:space="preserve"> si dhe modernizimin e fazave të ndryshme të procesimit. Njëkohësisht, mbështetja ka ndihmuar në proceset e vlerësimit të performancës për të evidentuar pikat që kanë nevojë për ndërhyrje përmirësuese në të ardhmen.</w:t>
      </w:r>
    </w:p>
    <w:p w14:paraId="446AE335" w14:textId="58E25D8F" w:rsidR="00EE716C" w:rsidRPr="00B31292" w:rsidRDefault="009508C8" w:rsidP="003A4DBA">
      <w:pPr>
        <w:tabs>
          <w:tab w:val="left" w:pos="720"/>
          <w:tab w:val="left" w:pos="1080"/>
        </w:tabs>
        <w:autoSpaceDE w:val="0"/>
        <w:autoSpaceDN w:val="0"/>
        <w:adjustRightInd w:val="0"/>
        <w:spacing w:after="0" w:line="240" w:lineRule="auto"/>
        <w:ind w:firstLine="284"/>
        <w:jc w:val="both"/>
        <w:rPr>
          <w:rFonts w:ascii="Garamond" w:hAnsi="Garamond" w:cs="Garamond"/>
          <w:color w:val="000000"/>
          <w:sz w:val="24"/>
          <w:szCs w:val="24"/>
        </w:rPr>
      </w:pPr>
      <w:r w:rsidRPr="00B31292">
        <w:rPr>
          <w:rFonts w:ascii="Garamond" w:hAnsi="Garamond" w:cs="Symbol"/>
          <w:color w:val="000000"/>
          <w:sz w:val="24"/>
          <w:szCs w:val="24"/>
        </w:rPr>
        <w:t>-</w:t>
      </w:r>
      <w:r w:rsidR="002E40BF" w:rsidRPr="00B31292">
        <w:rPr>
          <w:rFonts w:ascii="Garamond" w:hAnsi="Garamond" w:cs="Symbol"/>
          <w:color w:val="000000"/>
          <w:sz w:val="24"/>
          <w:szCs w:val="24"/>
        </w:rPr>
        <w:t xml:space="preserve"> </w:t>
      </w:r>
      <w:r w:rsidR="00EE716C" w:rsidRPr="00B31292">
        <w:rPr>
          <w:rFonts w:ascii="Garamond" w:hAnsi="Garamond" w:cs="Garamond"/>
          <w:b/>
          <w:bCs/>
          <w:color w:val="000000"/>
          <w:sz w:val="24"/>
          <w:szCs w:val="24"/>
        </w:rPr>
        <w:t>Marrëdhënie ndërkombëtare.</w:t>
      </w:r>
      <w:r w:rsidR="00EE716C" w:rsidRPr="00B31292">
        <w:rPr>
          <w:rFonts w:ascii="Garamond" w:hAnsi="Garamond" w:cs="Garamond"/>
          <w:color w:val="000000"/>
          <w:sz w:val="24"/>
          <w:szCs w:val="24"/>
        </w:rPr>
        <w:t xml:space="preserve"> Prodhuesit e statistikave zyrtare janë në gjendje të bashkëpunojnë me partnerët e huaj për projekte të ndryshme rajonale dhe më gjerë</w:t>
      </w:r>
      <w:r w:rsidR="003A7EA0" w:rsidRPr="00B31292">
        <w:rPr>
          <w:rFonts w:ascii="Garamond" w:hAnsi="Garamond" w:cs="Garamond"/>
          <w:color w:val="000000"/>
          <w:sz w:val="24"/>
          <w:szCs w:val="24"/>
        </w:rPr>
        <w:t>,</w:t>
      </w:r>
      <w:r w:rsidR="00EE716C" w:rsidRPr="00B31292">
        <w:rPr>
          <w:rFonts w:ascii="Garamond" w:hAnsi="Garamond" w:cs="Garamond"/>
          <w:color w:val="000000"/>
          <w:sz w:val="24"/>
          <w:szCs w:val="24"/>
        </w:rPr>
        <w:t xml:space="preserve"> si dhe të kontribuojnë në nxjerrjen e udhëzimeve përmirësuese për prodhim statistikor. Nga ana tjetër, bashkëpunimet kanë ndikuar në rritjen e njohurive nëpërmjet shkëmbimit të eksperiencave.</w:t>
      </w:r>
    </w:p>
    <w:p w14:paraId="539B5067" w14:textId="5C051F17" w:rsidR="00EE716C" w:rsidRPr="00B31292" w:rsidRDefault="009508C8" w:rsidP="003A4DBA">
      <w:pPr>
        <w:tabs>
          <w:tab w:val="left" w:pos="720"/>
          <w:tab w:val="left" w:pos="1080"/>
        </w:tabs>
        <w:autoSpaceDE w:val="0"/>
        <w:autoSpaceDN w:val="0"/>
        <w:adjustRightInd w:val="0"/>
        <w:spacing w:after="0" w:line="240" w:lineRule="auto"/>
        <w:ind w:firstLine="284"/>
        <w:jc w:val="both"/>
        <w:rPr>
          <w:rFonts w:ascii="Garamond" w:hAnsi="Garamond" w:cs="Garamond"/>
          <w:color w:val="000000"/>
          <w:sz w:val="24"/>
          <w:szCs w:val="24"/>
        </w:rPr>
      </w:pPr>
      <w:r w:rsidRPr="00B31292">
        <w:rPr>
          <w:rFonts w:ascii="Garamond" w:hAnsi="Garamond" w:cs="Symbol"/>
          <w:color w:val="000000"/>
          <w:sz w:val="24"/>
          <w:szCs w:val="24"/>
        </w:rPr>
        <w:t>-</w:t>
      </w:r>
      <w:r w:rsidR="002E40BF" w:rsidRPr="00B31292">
        <w:rPr>
          <w:rFonts w:ascii="Garamond" w:hAnsi="Garamond" w:cs="Symbol"/>
          <w:color w:val="000000"/>
          <w:sz w:val="24"/>
          <w:szCs w:val="24"/>
        </w:rPr>
        <w:t xml:space="preserve"> </w:t>
      </w:r>
      <w:r w:rsidR="00EE716C" w:rsidRPr="00B31292">
        <w:rPr>
          <w:rFonts w:ascii="Garamond" w:hAnsi="Garamond" w:cs="Garamond"/>
          <w:b/>
          <w:bCs/>
          <w:color w:val="000000"/>
          <w:sz w:val="24"/>
          <w:szCs w:val="24"/>
        </w:rPr>
        <w:t xml:space="preserve">Infrastrukturë moderne e </w:t>
      </w:r>
      <w:r w:rsidR="003A7EA0" w:rsidRPr="00B31292">
        <w:rPr>
          <w:rFonts w:ascii="Garamond" w:hAnsi="Garamond" w:cs="Garamond"/>
          <w:b/>
          <w:bCs/>
          <w:color w:val="000000"/>
          <w:sz w:val="24"/>
          <w:szCs w:val="24"/>
        </w:rPr>
        <w:t>teknologjisë së informacionit</w:t>
      </w:r>
      <w:r w:rsidR="00EE716C" w:rsidRPr="00B31292">
        <w:rPr>
          <w:rFonts w:ascii="Garamond" w:hAnsi="Garamond" w:cs="Garamond"/>
          <w:b/>
          <w:bCs/>
          <w:color w:val="000000"/>
          <w:sz w:val="24"/>
          <w:szCs w:val="24"/>
        </w:rPr>
        <w:t>.</w:t>
      </w:r>
      <w:r w:rsidR="00EE716C" w:rsidRPr="00B31292">
        <w:rPr>
          <w:rFonts w:ascii="Garamond" w:hAnsi="Garamond" w:cs="Garamond"/>
          <w:color w:val="000000"/>
          <w:sz w:val="24"/>
          <w:szCs w:val="24"/>
        </w:rPr>
        <w:t xml:space="preserve"> Me mbështetjen e donatorëve dhe partnerëve është mundësuar ndërtimi i sistemeve IT në përputhje me kërkesat e kohës, si dhe rritja e kapaciteteve profesionale të stafit IT. Aftësia e stafit IT dhe monitorimi i vazhdueshëm i përparimeve teknologjike mundësojnë vendosjen në të njëjtin nivel me më të përparuarit.</w:t>
      </w:r>
    </w:p>
    <w:p w14:paraId="08686BB1" w14:textId="603C84E9" w:rsidR="00EE716C" w:rsidRPr="00B31292" w:rsidRDefault="009508C8" w:rsidP="003A4DBA">
      <w:pPr>
        <w:tabs>
          <w:tab w:val="left" w:pos="720"/>
          <w:tab w:val="left" w:pos="1080"/>
        </w:tabs>
        <w:autoSpaceDE w:val="0"/>
        <w:autoSpaceDN w:val="0"/>
        <w:adjustRightInd w:val="0"/>
        <w:spacing w:after="0" w:line="240" w:lineRule="auto"/>
        <w:ind w:firstLine="284"/>
        <w:jc w:val="both"/>
        <w:rPr>
          <w:rFonts w:ascii="Garamond" w:hAnsi="Garamond" w:cs="Garamond"/>
          <w:color w:val="000000"/>
          <w:sz w:val="24"/>
          <w:szCs w:val="24"/>
        </w:rPr>
      </w:pPr>
      <w:r w:rsidRPr="00B31292">
        <w:rPr>
          <w:rFonts w:ascii="Garamond" w:hAnsi="Garamond" w:cs="Symbol"/>
          <w:color w:val="000000"/>
          <w:sz w:val="24"/>
          <w:szCs w:val="24"/>
        </w:rPr>
        <w:t>-</w:t>
      </w:r>
      <w:r w:rsidR="002E40BF" w:rsidRPr="00B31292">
        <w:rPr>
          <w:rFonts w:ascii="Garamond" w:hAnsi="Garamond" w:cs="Symbol"/>
          <w:color w:val="000000"/>
          <w:sz w:val="24"/>
          <w:szCs w:val="24"/>
        </w:rPr>
        <w:t xml:space="preserve"> </w:t>
      </w:r>
      <w:r w:rsidR="00EE716C" w:rsidRPr="00B31292">
        <w:rPr>
          <w:rFonts w:ascii="Garamond" w:hAnsi="Garamond" w:cs="Garamond"/>
          <w:b/>
          <w:bCs/>
          <w:color w:val="000000"/>
          <w:sz w:val="24"/>
          <w:szCs w:val="24"/>
        </w:rPr>
        <w:t xml:space="preserve">Konfidencialiteti i të dhënave. </w:t>
      </w:r>
      <w:r w:rsidR="00EE716C" w:rsidRPr="00B31292">
        <w:rPr>
          <w:rFonts w:ascii="Garamond" w:hAnsi="Garamond" w:cs="Garamond"/>
          <w:color w:val="000000"/>
          <w:sz w:val="24"/>
          <w:szCs w:val="24"/>
        </w:rPr>
        <w:t>Për të rritur besueshmërinë e individëve, INSTAT</w:t>
      </w:r>
      <w:r w:rsidR="002E40BF" w:rsidRPr="00B31292">
        <w:rPr>
          <w:rFonts w:ascii="Garamond" w:hAnsi="Garamond" w:cs="Garamond"/>
          <w:color w:val="000000"/>
          <w:sz w:val="24"/>
          <w:szCs w:val="24"/>
        </w:rPr>
        <w:t>-i</w:t>
      </w:r>
      <w:r w:rsidR="00EE716C" w:rsidRPr="00B31292">
        <w:rPr>
          <w:rFonts w:ascii="Garamond" w:hAnsi="Garamond" w:cs="Garamond"/>
          <w:color w:val="000000"/>
          <w:sz w:val="24"/>
          <w:szCs w:val="24"/>
        </w:rPr>
        <w:t xml:space="preserve"> dhe prodhuesit e tjerë të statistikave zyrtare kanë ndërtuar infrastrukturën e duhur ligjore dhe teknike për të garantuar trajtimin e të dhënave të tyre si konfidenciale dhe në përputhje me legjislacionin për mbrojtjen e të dhënave personale.</w:t>
      </w:r>
    </w:p>
    <w:p w14:paraId="28F82AD6" w14:textId="08C50E13" w:rsidR="00EE716C" w:rsidRPr="00B31292" w:rsidRDefault="009508C8" w:rsidP="003A4DBA">
      <w:pPr>
        <w:tabs>
          <w:tab w:val="left" w:pos="720"/>
          <w:tab w:val="left" w:pos="1080"/>
        </w:tabs>
        <w:autoSpaceDE w:val="0"/>
        <w:autoSpaceDN w:val="0"/>
        <w:adjustRightInd w:val="0"/>
        <w:spacing w:after="0" w:line="240" w:lineRule="auto"/>
        <w:ind w:firstLine="284"/>
        <w:jc w:val="both"/>
        <w:rPr>
          <w:rFonts w:ascii="Garamond" w:hAnsi="Garamond" w:cs="Garamond"/>
          <w:color w:val="000000"/>
          <w:sz w:val="24"/>
          <w:szCs w:val="24"/>
        </w:rPr>
      </w:pPr>
      <w:r w:rsidRPr="00B31292">
        <w:rPr>
          <w:rFonts w:ascii="Garamond" w:hAnsi="Garamond" w:cs="Symbol"/>
          <w:color w:val="000000"/>
          <w:sz w:val="24"/>
          <w:szCs w:val="24"/>
        </w:rPr>
        <w:t>-</w:t>
      </w:r>
      <w:r w:rsidR="002E40BF" w:rsidRPr="00B31292">
        <w:rPr>
          <w:rFonts w:ascii="Garamond" w:hAnsi="Garamond" w:cs="Symbol"/>
          <w:color w:val="000000"/>
          <w:sz w:val="24"/>
          <w:szCs w:val="24"/>
        </w:rPr>
        <w:t xml:space="preserve"> </w:t>
      </w:r>
      <w:r w:rsidR="00EE716C" w:rsidRPr="00B31292">
        <w:rPr>
          <w:rFonts w:ascii="Garamond" w:hAnsi="Garamond" w:cs="Garamond"/>
          <w:b/>
          <w:bCs/>
          <w:color w:val="000000"/>
          <w:sz w:val="24"/>
          <w:szCs w:val="24"/>
        </w:rPr>
        <w:t>Cilësia statistikore.</w:t>
      </w:r>
      <w:r w:rsidR="00EE716C" w:rsidRPr="00B31292">
        <w:rPr>
          <w:rFonts w:ascii="Garamond" w:hAnsi="Garamond" w:cs="Garamond"/>
          <w:color w:val="000000"/>
          <w:sz w:val="24"/>
          <w:szCs w:val="24"/>
        </w:rPr>
        <w:t xml:space="preserve"> Përdorimi i instrumenteve GSBPM, Metadata, SIMS dhe </w:t>
      </w:r>
      <w:r w:rsidR="003A7EA0" w:rsidRPr="00B31292">
        <w:rPr>
          <w:rFonts w:ascii="Garamond" w:hAnsi="Garamond" w:cs="Garamond"/>
          <w:color w:val="000000"/>
          <w:sz w:val="24"/>
          <w:szCs w:val="24"/>
        </w:rPr>
        <w:t xml:space="preserve">raportet e cilësisë, shërbejnë jo vetëm për përmirësimin e cilësisë së aktiviteteve statistikore, por </w:t>
      </w:r>
      <w:r w:rsidR="00EE716C" w:rsidRPr="00B31292">
        <w:rPr>
          <w:rFonts w:ascii="Garamond" w:hAnsi="Garamond" w:cs="Garamond"/>
          <w:color w:val="000000"/>
          <w:sz w:val="24"/>
          <w:szCs w:val="24"/>
        </w:rPr>
        <w:t>edhe për rritjen e transparencës së prodhuesve në lidhje me publikun.</w:t>
      </w:r>
    </w:p>
    <w:p w14:paraId="53901CCC" w14:textId="5088652B" w:rsidR="00EE716C" w:rsidRPr="00B31292" w:rsidRDefault="009508C8" w:rsidP="003A4DBA">
      <w:pPr>
        <w:tabs>
          <w:tab w:val="left" w:pos="720"/>
          <w:tab w:val="left" w:pos="1080"/>
        </w:tabs>
        <w:autoSpaceDE w:val="0"/>
        <w:autoSpaceDN w:val="0"/>
        <w:adjustRightInd w:val="0"/>
        <w:spacing w:after="0" w:line="240" w:lineRule="auto"/>
        <w:ind w:firstLine="284"/>
        <w:jc w:val="both"/>
        <w:rPr>
          <w:rFonts w:ascii="Garamond" w:hAnsi="Garamond" w:cs="Garamond"/>
          <w:color w:val="000000"/>
          <w:sz w:val="24"/>
          <w:szCs w:val="24"/>
        </w:rPr>
      </w:pPr>
      <w:r w:rsidRPr="00B31292">
        <w:rPr>
          <w:rFonts w:ascii="Garamond" w:hAnsi="Garamond" w:cs="Symbol"/>
          <w:color w:val="000000"/>
          <w:sz w:val="24"/>
          <w:szCs w:val="24"/>
        </w:rPr>
        <w:t>-</w:t>
      </w:r>
      <w:r w:rsidR="002E40BF" w:rsidRPr="00B31292">
        <w:rPr>
          <w:rFonts w:ascii="Garamond" w:hAnsi="Garamond" w:cs="Symbol"/>
          <w:color w:val="000000"/>
          <w:sz w:val="24"/>
          <w:szCs w:val="24"/>
        </w:rPr>
        <w:t xml:space="preserve"> </w:t>
      </w:r>
      <w:r w:rsidR="00EE716C" w:rsidRPr="00B31292">
        <w:rPr>
          <w:rFonts w:ascii="Garamond" w:hAnsi="Garamond" w:cs="Garamond"/>
          <w:b/>
          <w:bCs/>
          <w:color w:val="000000"/>
          <w:sz w:val="24"/>
          <w:szCs w:val="24"/>
        </w:rPr>
        <w:t xml:space="preserve">Plani i vazhdimësisë. </w:t>
      </w:r>
      <w:r w:rsidR="00EE716C" w:rsidRPr="00B31292">
        <w:rPr>
          <w:rFonts w:ascii="Garamond" w:hAnsi="Garamond" w:cs="Garamond"/>
          <w:color w:val="000000"/>
          <w:sz w:val="24"/>
          <w:szCs w:val="24"/>
        </w:rPr>
        <w:t>Për arsye të eksperiencës negative të shkaktuar nga shkaqet madhore, tërmetet dhe pandemia, INSTAT</w:t>
      </w:r>
      <w:r w:rsidR="002E40BF" w:rsidRPr="00B31292">
        <w:rPr>
          <w:rFonts w:ascii="Garamond" w:hAnsi="Garamond" w:cs="Garamond"/>
          <w:color w:val="000000"/>
          <w:sz w:val="24"/>
          <w:szCs w:val="24"/>
        </w:rPr>
        <w:t>-i</w:t>
      </w:r>
      <w:r w:rsidR="00EE716C" w:rsidRPr="00B31292">
        <w:rPr>
          <w:rFonts w:ascii="Garamond" w:hAnsi="Garamond" w:cs="Garamond"/>
          <w:color w:val="000000"/>
          <w:sz w:val="24"/>
          <w:szCs w:val="24"/>
        </w:rPr>
        <w:t xml:space="preserve"> ka hartuar Planin e Vazhdimësisë për reagimin e institucionit në rast të ndeshjes së pengesave të tilla në të ardhmen.</w:t>
      </w:r>
    </w:p>
    <w:p w14:paraId="5AAD9BC5" w14:textId="127C0802" w:rsidR="00EE716C" w:rsidRPr="00B31292" w:rsidRDefault="009508C8" w:rsidP="003A4DBA">
      <w:pPr>
        <w:tabs>
          <w:tab w:val="left" w:pos="720"/>
          <w:tab w:val="left" w:pos="1080"/>
        </w:tabs>
        <w:autoSpaceDE w:val="0"/>
        <w:autoSpaceDN w:val="0"/>
        <w:adjustRightInd w:val="0"/>
        <w:spacing w:after="0" w:line="240" w:lineRule="auto"/>
        <w:ind w:firstLine="284"/>
        <w:jc w:val="both"/>
        <w:rPr>
          <w:rFonts w:ascii="Garamond" w:hAnsi="Garamond" w:cs="Garamond"/>
          <w:color w:val="000000"/>
          <w:sz w:val="24"/>
          <w:szCs w:val="24"/>
        </w:rPr>
      </w:pPr>
      <w:r w:rsidRPr="00B31292">
        <w:rPr>
          <w:rFonts w:ascii="Garamond" w:hAnsi="Garamond" w:cs="Symbol"/>
          <w:color w:val="000000"/>
          <w:sz w:val="24"/>
          <w:szCs w:val="24"/>
        </w:rPr>
        <w:t>-</w:t>
      </w:r>
      <w:r w:rsidR="002E40BF" w:rsidRPr="00B31292">
        <w:rPr>
          <w:rFonts w:ascii="Garamond" w:hAnsi="Garamond" w:cs="Symbol"/>
          <w:color w:val="000000"/>
          <w:sz w:val="24"/>
          <w:szCs w:val="24"/>
        </w:rPr>
        <w:t xml:space="preserve"> </w:t>
      </w:r>
      <w:r w:rsidR="00EE716C" w:rsidRPr="00B31292">
        <w:rPr>
          <w:rFonts w:ascii="Garamond" w:hAnsi="Garamond" w:cs="Garamond"/>
          <w:b/>
          <w:bCs/>
          <w:color w:val="000000"/>
          <w:sz w:val="24"/>
          <w:szCs w:val="24"/>
        </w:rPr>
        <w:t xml:space="preserve">Këshilli i Statistikave si zëri i përdoruesve. </w:t>
      </w:r>
      <w:r w:rsidR="00EE716C" w:rsidRPr="00B31292">
        <w:rPr>
          <w:rFonts w:ascii="Garamond" w:hAnsi="Garamond" w:cs="Garamond"/>
          <w:color w:val="000000"/>
          <w:sz w:val="24"/>
          <w:szCs w:val="24"/>
        </w:rPr>
        <w:t>Përdoruesit e statistikave zyrtare janë klienti i produkteve statistikore. Këshilli i Statistikave përbëhet nga përfaqësues të përdoruesve kryesorë në vend. Zëri i tyre ndihmon në proceset e planifikimit statistikor dhe monitorimit të performancës së sistemit.</w:t>
      </w:r>
    </w:p>
    <w:p w14:paraId="46A35A17" w14:textId="602C2A5B" w:rsidR="00EE716C" w:rsidRPr="00B31292" w:rsidRDefault="009508C8" w:rsidP="003A4DBA">
      <w:pPr>
        <w:tabs>
          <w:tab w:val="left" w:pos="720"/>
          <w:tab w:val="left" w:pos="1080"/>
        </w:tabs>
        <w:autoSpaceDE w:val="0"/>
        <w:autoSpaceDN w:val="0"/>
        <w:adjustRightInd w:val="0"/>
        <w:spacing w:after="0" w:line="240" w:lineRule="auto"/>
        <w:ind w:firstLine="284"/>
        <w:jc w:val="both"/>
        <w:rPr>
          <w:rFonts w:ascii="Garamond" w:hAnsi="Garamond" w:cs="Garamond"/>
          <w:color w:val="000000"/>
          <w:sz w:val="24"/>
          <w:szCs w:val="24"/>
        </w:rPr>
      </w:pPr>
      <w:r w:rsidRPr="00B31292">
        <w:rPr>
          <w:rFonts w:ascii="Garamond" w:hAnsi="Garamond" w:cs="Symbol"/>
          <w:color w:val="000000"/>
          <w:sz w:val="24"/>
          <w:szCs w:val="24"/>
        </w:rPr>
        <w:t>-</w:t>
      </w:r>
      <w:r w:rsidR="00EE716C" w:rsidRPr="00B31292">
        <w:rPr>
          <w:rFonts w:ascii="Garamond" w:hAnsi="Garamond" w:cs="Garamond"/>
          <w:b/>
          <w:bCs/>
          <w:color w:val="000000"/>
          <w:sz w:val="24"/>
          <w:szCs w:val="24"/>
        </w:rPr>
        <w:t xml:space="preserve">Mbështetje e qeverisë mbi besueshmërinë në të dhënat statistikore zyrtare. </w:t>
      </w:r>
      <w:r w:rsidR="00EE716C" w:rsidRPr="00B31292">
        <w:rPr>
          <w:rFonts w:ascii="Garamond" w:hAnsi="Garamond" w:cs="Garamond"/>
          <w:color w:val="000000"/>
          <w:sz w:val="24"/>
          <w:szCs w:val="24"/>
        </w:rPr>
        <w:t>Këshilli i Ministrave, nëpërmjet VKM</w:t>
      </w:r>
      <w:r w:rsidR="002E40BF" w:rsidRPr="00B31292">
        <w:rPr>
          <w:rFonts w:ascii="Garamond" w:hAnsi="Garamond" w:cs="Garamond"/>
          <w:color w:val="000000"/>
          <w:sz w:val="24"/>
          <w:szCs w:val="24"/>
        </w:rPr>
        <w:t>-së</w:t>
      </w:r>
      <w:r w:rsidR="00EE716C" w:rsidRPr="00B31292">
        <w:rPr>
          <w:rFonts w:ascii="Garamond" w:hAnsi="Garamond" w:cs="Garamond"/>
          <w:color w:val="000000"/>
          <w:sz w:val="24"/>
          <w:szCs w:val="24"/>
        </w:rPr>
        <w:t xml:space="preserve"> nr. 650, datë 10.11.2017, ka </w:t>
      </w:r>
      <w:r w:rsidR="002E40BF" w:rsidRPr="00B31292">
        <w:rPr>
          <w:rFonts w:ascii="Garamond" w:hAnsi="Garamond" w:cs="Garamond"/>
          <w:color w:val="000000"/>
          <w:sz w:val="24"/>
          <w:szCs w:val="24"/>
        </w:rPr>
        <w:t>shprehur</w:t>
      </w:r>
      <w:r w:rsidR="00EE716C" w:rsidRPr="00B31292">
        <w:rPr>
          <w:rFonts w:ascii="Garamond" w:hAnsi="Garamond" w:cs="Garamond"/>
          <w:color w:val="000000"/>
          <w:sz w:val="24"/>
          <w:szCs w:val="24"/>
        </w:rPr>
        <w:t xml:space="preserve"> angazhimin e tij për të respektuar kërkesat e standardeve evropiane dhe parimet statistikore, ka garantuar ruajtjen e pavarësisë profesionale të INSTAT-it dhe alokimin e burimeve të nevojshme financiare dhe njerëzore për kryerjen e aktiviteteve statistikore të programit.</w:t>
      </w:r>
    </w:p>
    <w:p w14:paraId="03C405B1" w14:textId="77777777" w:rsidR="00EE716C" w:rsidRPr="00B31292" w:rsidRDefault="00EE716C" w:rsidP="003A4DBA">
      <w:pPr>
        <w:tabs>
          <w:tab w:val="left" w:pos="720"/>
        </w:tabs>
        <w:autoSpaceDE w:val="0"/>
        <w:autoSpaceDN w:val="0"/>
        <w:adjustRightInd w:val="0"/>
        <w:spacing w:after="0" w:line="240" w:lineRule="auto"/>
        <w:ind w:firstLine="284"/>
        <w:jc w:val="both"/>
        <w:rPr>
          <w:rFonts w:ascii="Garamond" w:hAnsi="Garamond" w:cs="Garamond"/>
          <w:color w:val="000000"/>
          <w:sz w:val="24"/>
          <w:szCs w:val="24"/>
        </w:rPr>
      </w:pPr>
      <w:r w:rsidRPr="00B31292">
        <w:rPr>
          <w:rFonts w:ascii="Garamond" w:hAnsi="Garamond" w:cs="Garamond"/>
          <w:color w:val="000000"/>
          <w:sz w:val="24"/>
          <w:szCs w:val="24"/>
        </w:rPr>
        <w:t>PIKAT E DOBËTA</w:t>
      </w:r>
    </w:p>
    <w:p w14:paraId="121B08E8" w14:textId="4C3E4A5B" w:rsidR="00EE716C" w:rsidRPr="00B31292" w:rsidRDefault="009508C8" w:rsidP="003A4DBA">
      <w:pPr>
        <w:tabs>
          <w:tab w:val="left" w:pos="720"/>
          <w:tab w:val="left" w:pos="1080"/>
        </w:tabs>
        <w:autoSpaceDE w:val="0"/>
        <w:autoSpaceDN w:val="0"/>
        <w:adjustRightInd w:val="0"/>
        <w:spacing w:after="0" w:line="240" w:lineRule="auto"/>
        <w:ind w:firstLine="284"/>
        <w:jc w:val="both"/>
        <w:rPr>
          <w:rFonts w:ascii="Garamond" w:hAnsi="Garamond" w:cs="Garamond"/>
          <w:color w:val="000000"/>
          <w:sz w:val="24"/>
          <w:szCs w:val="24"/>
        </w:rPr>
      </w:pPr>
      <w:r w:rsidRPr="00B31292">
        <w:rPr>
          <w:rFonts w:ascii="Garamond" w:hAnsi="Garamond" w:cs="Symbol"/>
          <w:color w:val="000000"/>
          <w:sz w:val="24"/>
          <w:szCs w:val="24"/>
        </w:rPr>
        <w:t>-</w:t>
      </w:r>
      <w:r w:rsidR="002E40BF" w:rsidRPr="00B31292">
        <w:rPr>
          <w:rFonts w:ascii="Garamond" w:hAnsi="Garamond" w:cs="Symbol"/>
          <w:color w:val="000000"/>
          <w:sz w:val="24"/>
          <w:szCs w:val="24"/>
        </w:rPr>
        <w:t xml:space="preserve"> </w:t>
      </w:r>
      <w:r w:rsidR="00EE716C" w:rsidRPr="00B31292">
        <w:rPr>
          <w:rFonts w:ascii="Garamond" w:hAnsi="Garamond" w:cs="Garamond"/>
          <w:b/>
          <w:bCs/>
          <w:color w:val="000000"/>
          <w:sz w:val="24"/>
          <w:szCs w:val="24"/>
        </w:rPr>
        <w:t>Burime të pamjaftueshme.</w:t>
      </w:r>
      <w:r w:rsidR="00EE716C" w:rsidRPr="00B31292">
        <w:rPr>
          <w:rFonts w:ascii="Garamond" w:hAnsi="Garamond" w:cs="Garamond"/>
          <w:color w:val="000000"/>
          <w:sz w:val="24"/>
          <w:szCs w:val="24"/>
        </w:rPr>
        <w:t xml:space="preserve"> Burime të pamjaftueshme njerëzore nuk mundësojnë përmbushjen e kërkesave në rritje për statistika zyrtare.</w:t>
      </w:r>
    </w:p>
    <w:p w14:paraId="32316933" w14:textId="4BE023B4" w:rsidR="00EE716C" w:rsidRPr="00B31292" w:rsidRDefault="009508C8" w:rsidP="003A4DBA">
      <w:pPr>
        <w:tabs>
          <w:tab w:val="left" w:pos="720"/>
          <w:tab w:val="left" w:pos="1080"/>
        </w:tabs>
        <w:autoSpaceDE w:val="0"/>
        <w:autoSpaceDN w:val="0"/>
        <w:adjustRightInd w:val="0"/>
        <w:spacing w:after="0" w:line="240" w:lineRule="auto"/>
        <w:ind w:firstLine="284"/>
        <w:jc w:val="both"/>
        <w:rPr>
          <w:rFonts w:ascii="Garamond" w:hAnsi="Garamond" w:cs="Garamond"/>
          <w:color w:val="000000"/>
          <w:sz w:val="24"/>
          <w:szCs w:val="24"/>
        </w:rPr>
      </w:pPr>
      <w:r w:rsidRPr="00B31292">
        <w:rPr>
          <w:rFonts w:ascii="Garamond" w:hAnsi="Garamond" w:cs="Symbol"/>
          <w:color w:val="000000"/>
          <w:sz w:val="24"/>
          <w:szCs w:val="24"/>
        </w:rPr>
        <w:t>-</w:t>
      </w:r>
      <w:r w:rsidR="002E40BF" w:rsidRPr="00B31292">
        <w:rPr>
          <w:rFonts w:ascii="Garamond" w:hAnsi="Garamond" w:cs="Symbol"/>
          <w:color w:val="000000"/>
          <w:sz w:val="24"/>
          <w:szCs w:val="24"/>
        </w:rPr>
        <w:t xml:space="preserve"> </w:t>
      </w:r>
      <w:r w:rsidR="00EE716C" w:rsidRPr="00B31292">
        <w:rPr>
          <w:rFonts w:ascii="Garamond" w:hAnsi="Garamond" w:cs="Garamond"/>
          <w:b/>
          <w:bCs/>
          <w:color w:val="000000"/>
          <w:sz w:val="24"/>
          <w:szCs w:val="24"/>
        </w:rPr>
        <w:t>Auditi statistikor.</w:t>
      </w:r>
      <w:r w:rsidR="00EE716C" w:rsidRPr="00B31292">
        <w:rPr>
          <w:rFonts w:ascii="Garamond" w:hAnsi="Garamond" w:cs="Garamond"/>
          <w:color w:val="000000"/>
          <w:sz w:val="24"/>
          <w:szCs w:val="24"/>
        </w:rPr>
        <w:t xml:space="preserve"> INSTAT</w:t>
      </w:r>
      <w:r w:rsidR="002E40BF" w:rsidRPr="00B31292">
        <w:rPr>
          <w:rFonts w:ascii="Garamond" w:hAnsi="Garamond" w:cs="Garamond"/>
          <w:color w:val="000000"/>
          <w:sz w:val="24"/>
          <w:szCs w:val="24"/>
        </w:rPr>
        <w:t>-i</w:t>
      </w:r>
      <w:r w:rsidR="00EE716C" w:rsidRPr="00B31292">
        <w:rPr>
          <w:rFonts w:ascii="Garamond" w:hAnsi="Garamond" w:cs="Garamond"/>
          <w:color w:val="000000"/>
          <w:sz w:val="24"/>
          <w:szCs w:val="24"/>
        </w:rPr>
        <w:t>, nën cilësinë e institucionit përgjegjës për të garantuar zbatueshmërinë e parimeve statistikore, nuk zotëron kontroll të mjaftueshëm mbi cilësinë e të dhënave të ofruara nga institucionet publike dhe prodhuesit e tjerë të statistikave zyrtare, kryesisht mbi saktësinë, përpikmërinë, afatin kohor etj.</w:t>
      </w:r>
    </w:p>
    <w:p w14:paraId="2C9D96DB" w14:textId="0CB7534A" w:rsidR="00EE716C" w:rsidRPr="00B31292" w:rsidRDefault="009508C8" w:rsidP="003A4DBA">
      <w:pPr>
        <w:tabs>
          <w:tab w:val="left" w:pos="720"/>
          <w:tab w:val="left" w:pos="1080"/>
        </w:tabs>
        <w:autoSpaceDE w:val="0"/>
        <w:autoSpaceDN w:val="0"/>
        <w:adjustRightInd w:val="0"/>
        <w:spacing w:after="0" w:line="240" w:lineRule="auto"/>
        <w:ind w:firstLine="284"/>
        <w:jc w:val="both"/>
        <w:rPr>
          <w:rFonts w:ascii="Garamond" w:hAnsi="Garamond" w:cs="Garamond"/>
          <w:color w:val="000000"/>
          <w:sz w:val="24"/>
          <w:szCs w:val="24"/>
        </w:rPr>
      </w:pPr>
      <w:r w:rsidRPr="00B31292">
        <w:rPr>
          <w:rFonts w:ascii="Garamond" w:hAnsi="Garamond" w:cs="Symbol"/>
          <w:color w:val="000000"/>
          <w:sz w:val="24"/>
          <w:szCs w:val="24"/>
        </w:rPr>
        <w:t>-</w:t>
      </w:r>
      <w:r w:rsidR="002E40BF" w:rsidRPr="00B31292">
        <w:rPr>
          <w:rFonts w:ascii="Garamond" w:hAnsi="Garamond" w:cs="Symbol"/>
          <w:color w:val="000000"/>
          <w:sz w:val="24"/>
          <w:szCs w:val="24"/>
        </w:rPr>
        <w:t xml:space="preserve"> </w:t>
      </w:r>
      <w:r w:rsidR="00EE716C" w:rsidRPr="00B31292">
        <w:rPr>
          <w:rFonts w:ascii="Garamond" w:hAnsi="Garamond" w:cs="Garamond"/>
          <w:b/>
          <w:bCs/>
          <w:color w:val="000000"/>
          <w:sz w:val="24"/>
          <w:szCs w:val="24"/>
        </w:rPr>
        <w:t>Edukimi statistikor.</w:t>
      </w:r>
      <w:r w:rsidR="00EE716C" w:rsidRPr="00B31292">
        <w:rPr>
          <w:rFonts w:ascii="Garamond" w:hAnsi="Garamond" w:cs="Garamond"/>
          <w:color w:val="000000"/>
          <w:sz w:val="24"/>
          <w:szCs w:val="24"/>
        </w:rPr>
        <w:t xml:space="preserve"> Mangësitë në njohuritë statistikore ndikojnë negativisht në interpretimin e drejtë të treguesve statistikorë nga grupet e interesit, siç janë përdoruesit dhe media. Për këtë, trajnimi i vazhdueshëm i përdoruesve për fusha të ndryshme të statistikës do të ndikonte në rritjen e shkallës së interpretimit dhe analizave të informacionit statistikor.</w:t>
      </w:r>
    </w:p>
    <w:p w14:paraId="086923F1" w14:textId="2E5C6F13" w:rsidR="00EE716C" w:rsidRPr="00B31292" w:rsidRDefault="009508C8" w:rsidP="003A4DBA">
      <w:pPr>
        <w:tabs>
          <w:tab w:val="left" w:pos="720"/>
          <w:tab w:val="left" w:pos="1080"/>
        </w:tabs>
        <w:autoSpaceDE w:val="0"/>
        <w:autoSpaceDN w:val="0"/>
        <w:adjustRightInd w:val="0"/>
        <w:spacing w:after="0" w:line="240" w:lineRule="auto"/>
        <w:ind w:firstLine="284"/>
        <w:jc w:val="both"/>
        <w:rPr>
          <w:rFonts w:ascii="Garamond" w:hAnsi="Garamond" w:cs="Garamond"/>
          <w:b/>
          <w:bCs/>
          <w:color w:val="000000"/>
          <w:sz w:val="24"/>
          <w:szCs w:val="24"/>
        </w:rPr>
      </w:pPr>
      <w:r w:rsidRPr="00B31292">
        <w:rPr>
          <w:rFonts w:ascii="Garamond" w:hAnsi="Garamond" w:cs="Symbol"/>
          <w:color w:val="000000"/>
          <w:sz w:val="24"/>
          <w:szCs w:val="24"/>
        </w:rPr>
        <w:t>-</w:t>
      </w:r>
      <w:r w:rsidR="002E40BF" w:rsidRPr="00B31292">
        <w:rPr>
          <w:rFonts w:ascii="Garamond" w:hAnsi="Garamond" w:cs="Symbol"/>
          <w:color w:val="000000"/>
          <w:sz w:val="24"/>
          <w:szCs w:val="24"/>
        </w:rPr>
        <w:t xml:space="preserve"> </w:t>
      </w:r>
      <w:r w:rsidR="00EE716C" w:rsidRPr="00B31292">
        <w:rPr>
          <w:rFonts w:ascii="Garamond" w:hAnsi="Garamond" w:cs="Garamond"/>
          <w:b/>
          <w:bCs/>
          <w:color w:val="000000"/>
          <w:sz w:val="24"/>
          <w:szCs w:val="24"/>
        </w:rPr>
        <w:t xml:space="preserve">Shpërndarja e informacionit statistikor. </w:t>
      </w:r>
      <w:r w:rsidR="00EE716C" w:rsidRPr="00B31292">
        <w:rPr>
          <w:rFonts w:ascii="Garamond" w:hAnsi="Garamond" w:cs="Garamond"/>
          <w:color w:val="000000"/>
          <w:sz w:val="24"/>
          <w:szCs w:val="24"/>
        </w:rPr>
        <w:t>Shpërndarja e informacionit statistikor, në kohë dhe formate të aksesueshme për përdoruesit duhet të jetë prioritet i INSTAT</w:t>
      </w:r>
      <w:r w:rsidR="002E40BF" w:rsidRPr="00B31292">
        <w:rPr>
          <w:rFonts w:ascii="Garamond" w:hAnsi="Garamond" w:cs="Garamond"/>
          <w:color w:val="000000"/>
          <w:sz w:val="24"/>
          <w:szCs w:val="24"/>
        </w:rPr>
        <w:t>-it,</w:t>
      </w:r>
      <w:r w:rsidR="00EE716C" w:rsidRPr="00B31292">
        <w:rPr>
          <w:rFonts w:ascii="Garamond" w:hAnsi="Garamond" w:cs="Garamond"/>
          <w:color w:val="000000"/>
          <w:sz w:val="24"/>
          <w:szCs w:val="24"/>
        </w:rPr>
        <w:t xml:space="preserve"> duke përafruar të dhënat e publikuara në kalendar me ato të standardeve ndërkombëtare.</w:t>
      </w:r>
    </w:p>
    <w:p w14:paraId="44948A93" w14:textId="2DCA0468" w:rsidR="00EE716C" w:rsidRPr="00B31292" w:rsidRDefault="00EE716C" w:rsidP="003A4DBA">
      <w:pPr>
        <w:tabs>
          <w:tab w:val="left" w:pos="540"/>
          <w:tab w:val="left" w:pos="720"/>
        </w:tabs>
        <w:autoSpaceDE w:val="0"/>
        <w:autoSpaceDN w:val="0"/>
        <w:adjustRightInd w:val="0"/>
        <w:spacing w:after="0" w:line="240" w:lineRule="auto"/>
        <w:ind w:firstLine="284"/>
        <w:jc w:val="both"/>
        <w:rPr>
          <w:rFonts w:ascii="Garamond" w:hAnsi="Garamond" w:cs="Garamond"/>
          <w:color w:val="000000"/>
          <w:sz w:val="24"/>
          <w:szCs w:val="24"/>
        </w:rPr>
      </w:pPr>
      <w:r w:rsidRPr="00B31292">
        <w:rPr>
          <w:rFonts w:ascii="Garamond" w:hAnsi="Garamond" w:cs="Garamond"/>
          <w:color w:val="000000"/>
          <w:sz w:val="24"/>
          <w:szCs w:val="24"/>
        </w:rPr>
        <w:t>MUNDËSITË</w:t>
      </w:r>
    </w:p>
    <w:p w14:paraId="119501D2" w14:textId="584336D0" w:rsidR="00EE716C" w:rsidRPr="00B31292" w:rsidRDefault="009508C8" w:rsidP="003A4DBA">
      <w:pPr>
        <w:tabs>
          <w:tab w:val="left" w:pos="720"/>
          <w:tab w:val="left" w:pos="1080"/>
        </w:tabs>
        <w:autoSpaceDE w:val="0"/>
        <w:autoSpaceDN w:val="0"/>
        <w:adjustRightInd w:val="0"/>
        <w:spacing w:after="0" w:line="240" w:lineRule="auto"/>
        <w:ind w:firstLine="284"/>
        <w:jc w:val="both"/>
        <w:rPr>
          <w:rFonts w:ascii="Garamond" w:hAnsi="Garamond" w:cs="Garamond"/>
          <w:color w:val="000000"/>
          <w:sz w:val="24"/>
          <w:szCs w:val="24"/>
        </w:rPr>
      </w:pPr>
      <w:r w:rsidRPr="00B31292">
        <w:rPr>
          <w:rFonts w:ascii="Garamond" w:hAnsi="Garamond" w:cs="Symbol"/>
          <w:color w:val="000000"/>
          <w:sz w:val="24"/>
          <w:szCs w:val="24"/>
        </w:rPr>
        <w:t>-</w:t>
      </w:r>
      <w:r w:rsidR="0037387B" w:rsidRPr="00B31292">
        <w:rPr>
          <w:rFonts w:ascii="Garamond" w:hAnsi="Garamond" w:cs="Symbol"/>
          <w:color w:val="000000"/>
          <w:sz w:val="24"/>
          <w:szCs w:val="24"/>
        </w:rPr>
        <w:t xml:space="preserve"> </w:t>
      </w:r>
      <w:r w:rsidR="00EE716C" w:rsidRPr="00B31292">
        <w:rPr>
          <w:rFonts w:ascii="Garamond" w:hAnsi="Garamond" w:cs="Garamond"/>
          <w:b/>
          <w:bCs/>
          <w:color w:val="000000"/>
          <w:sz w:val="24"/>
          <w:szCs w:val="24"/>
        </w:rPr>
        <w:t xml:space="preserve">Integrimi </w:t>
      </w:r>
      <w:r w:rsidR="0037387B" w:rsidRPr="00B31292">
        <w:rPr>
          <w:rFonts w:ascii="Garamond" w:hAnsi="Garamond" w:cs="Garamond"/>
          <w:b/>
          <w:bCs/>
          <w:color w:val="000000"/>
          <w:sz w:val="24"/>
          <w:szCs w:val="24"/>
        </w:rPr>
        <w:t>e</w:t>
      </w:r>
      <w:r w:rsidR="00EE716C" w:rsidRPr="00B31292">
        <w:rPr>
          <w:rFonts w:ascii="Garamond" w:hAnsi="Garamond" w:cs="Garamond"/>
          <w:b/>
          <w:bCs/>
          <w:color w:val="000000"/>
          <w:sz w:val="24"/>
          <w:szCs w:val="24"/>
        </w:rPr>
        <w:t>vropian.</w:t>
      </w:r>
      <w:r w:rsidR="00EE716C" w:rsidRPr="00B31292">
        <w:rPr>
          <w:rFonts w:ascii="Garamond" w:hAnsi="Garamond" w:cs="Garamond"/>
          <w:color w:val="000000"/>
          <w:sz w:val="24"/>
          <w:szCs w:val="24"/>
        </w:rPr>
        <w:t xml:space="preserve"> Hapja e negociatave për anëtarësim në BE rrit nevojën për më shumë statistika reale dhe të besueshme. Par</w:t>
      </w:r>
      <w:r w:rsidR="003A7EA0" w:rsidRPr="00B31292">
        <w:rPr>
          <w:rFonts w:ascii="Garamond" w:hAnsi="Garamond" w:cs="Garamond"/>
          <w:color w:val="000000"/>
          <w:sz w:val="24"/>
          <w:szCs w:val="24"/>
        </w:rPr>
        <w:t>t</w:t>
      </w:r>
      <w:r w:rsidR="00EE716C" w:rsidRPr="00B31292">
        <w:rPr>
          <w:rFonts w:ascii="Garamond" w:hAnsi="Garamond" w:cs="Garamond"/>
          <w:color w:val="000000"/>
          <w:sz w:val="24"/>
          <w:szCs w:val="24"/>
        </w:rPr>
        <w:t>neriteti midis INSTAT-it dhe Eurostatit në këtë drejtim, krijon dhe premton mundësi për shkëmbime frytdhënëse të eksperiencave më të mira. Procesi i integrimit ndihmon</w:t>
      </w:r>
      <w:r w:rsidR="003A7EA0" w:rsidRPr="00B31292">
        <w:rPr>
          <w:rFonts w:ascii="Garamond" w:hAnsi="Garamond" w:cs="Garamond"/>
          <w:color w:val="000000"/>
          <w:sz w:val="24"/>
          <w:szCs w:val="24"/>
        </w:rPr>
        <w:t>,</w:t>
      </w:r>
      <w:r w:rsidR="00EE716C" w:rsidRPr="00B31292">
        <w:rPr>
          <w:rFonts w:ascii="Garamond" w:hAnsi="Garamond" w:cs="Garamond"/>
          <w:color w:val="000000"/>
          <w:sz w:val="24"/>
          <w:szCs w:val="24"/>
        </w:rPr>
        <w:t xml:space="preserve"> gjithashtu</w:t>
      </w:r>
      <w:r w:rsidR="003A7EA0" w:rsidRPr="00B31292">
        <w:rPr>
          <w:rFonts w:ascii="Garamond" w:hAnsi="Garamond" w:cs="Garamond"/>
          <w:color w:val="000000"/>
          <w:sz w:val="24"/>
          <w:szCs w:val="24"/>
        </w:rPr>
        <w:t>,</w:t>
      </w:r>
      <w:r w:rsidR="00EE716C" w:rsidRPr="00B31292">
        <w:rPr>
          <w:rFonts w:ascii="Garamond" w:hAnsi="Garamond" w:cs="Garamond"/>
          <w:color w:val="000000"/>
          <w:sz w:val="24"/>
          <w:szCs w:val="24"/>
        </w:rPr>
        <w:t xml:space="preserve"> personelin të rrisë shkallën e ndërgjegjësimit drejt standardeve </w:t>
      </w:r>
      <w:r w:rsidR="00EE716C" w:rsidRPr="00B31292">
        <w:rPr>
          <w:rFonts w:ascii="Garamond" w:hAnsi="Garamond" w:cs="Garamond"/>
          <w:color w:val="000000"/>
          <w:sz w:val="24"/>
          <w:szCs w:val="24"/>
        </w:rPr>
        <w:lastRenderedPageBreak/>
        <w:t xml:space="preserve">evropiane. Nga ana tjetër, përafrimi me </w:t>
      </w:r>
      <w:r w:rsidR="00EE716C" w:rsidRPr="00B31292">
        <w:rPr>
          <w:rFonts w:ascii="Garamond" w:hAnsi="Garamond" w:cs="Garamond"/>
          <w:i/>
          <w:iCs/>
          <w:color w:val="000000"/>
          <w:sz w:val="24"/>
          <w:szCs w:val="24"/>
        </w:rPr>
        <w:t>acquis communautaire</w:t>
      </w:r>
      <w:r w:rsidR="00EE716C" w:rsidRPr="00B31292">
        <w:rPr>
          <w:rFonts w:ascii="Garamond" w:hAnsi="Garamond" w:cs="Garamond"/>
          <w:color w:val="000000"/>
          <w:sz w:val="24"/>
          <w:szCs w:val="24"/>
        </w:rPr>
        <w:t xml:space="preserve"> ndikon në forcimin e legjislacionit të statistikave zyrtare dhe konsolidimin e Sistemit Kombëtar Statistikor.</w:t>
      </w:r>
    </w:p>
    <w:p w14:paraId="1C7395A8" w14:textId="0B8F4CA9" w:rsidR="00EE716C" w:rsidRPr="00B31292" w:rsidRDefault="009508C8" w:rsidP="003A4DBA">
      <w:pPr>
        <w:tabs>
          <w:tab w:val="left" w:pos="720"/>
          <w:tab w:val="left" w:pos="1080"/>
        </w:tabs>
        <w:autoSpaceDE w:val="0"/>
        <w:autoSpaceDN w:val="0"/>
        <w:adjustRightInd w:val="0"/>
        <w:spacing w:after="0" w:line="240" w:lineRule="auto"/>
        <w:ind w:firstLine="284"/>
        <w:jc w:val="both"/>
        <w:rPr>
          <w:rFonts w:ascii="Garamond" w:hAnsi="Garamond" w:cs="Garamond"/>
          <w:color w:val="000000"/>
          <w:sz w:val="24"/>
          <w:szCs w:val="24"/>
        </w:rPr>
      </w:pPr>
      <w:r w:rsidRPr="00B31292">
        <w:rPr>
          <w:rFonts w:ascii="Garamond" w:hAnsi="Garamond" w:cs="Symbol"/>
          <w:color w:val="000000"/>
          <w:sz w:val="24"/>
          <w:szCs w:val="24"/>
        </w:rPr>
        <w:t>-</w:t>
      </w:r>
      <w:r w:rsidR="0037387B" w:rsidRPr="00B31292">
        <w:rPr>
          <w:rFonts w:ascii="Garamond" w:hAnsi="Garamond" w:cs="Symbol"/>
          <w:color w:val="000000"/>
          <w:sz w:val="24"/>
          <w:szCs w:val="24"/>
        </w:rPr>
        <w:t xml:space="preserve"> </w:t>
      </w:r>
      <w:r w:rsidR="00EE716C" w:rsidRPr="00B31292">
        <w:rPr>
          <w:rFonts w:ascii="Garamond" w:hAnsi="Garamond" w:cs="Garamond"/>
          <w:b/>
          <w:bCs/>
          <w:color w:val="000000"/>
          <w:sz w:val="24"/>
          <w:szCs w:val="24"/>
        </w:rPr>
        <w:t>Modernizimi i teknologjisë.</w:t>
      </w:r>
      <w:r w:rsidR="00EE716C" w:rsidRPr="00B31292">
        <w:rPr>
          <w:rFonts w:ascii="Garamond" w:hAnsi="Garamond" w:cs="Garamond"/>
          <w:color w:val="000000"/>
          <w:sz w:val="24"/>
          <w:szCs w:val="24"/>
        </w:rPr>
        <w:t xml:space="preserve"> Përparimet në teknologjitë e informacionit sjellin përmirësime në sistemet e komunikimit midis INSTAT-it, furnizuesve me të dhëna administrative dhe përdoruesit. </w:t>
      </w:r>
    </w:p>
    <w:p w14:paraId="194102A2" w14:textId="259AAC05" w:rsidR="00EE716C" w:rsidRPr="00B31292" w:rsidRDefault="009508C8" w:rsidP="003A4DBA">
      <w:pPr>
        <w:tabs>
          <w:tab w:val="left" w:pos="720"/>
          <w:tab w:val="left" w:pos="1080"/>
        </w:tabs>
        <w:autoSpaceDE w:val="0"/>
        <w:autoSpaceDN w:val="0"/>
        <w:adjustRightInd w:val="0"/>
        <w:spacing w:after="0" w:line="240" w:lineRule="auto"/>
        <w:ind w:firstLine="284"/>
        <w:jc w:val="both"/>
        <w:rPr>
          <w:rFonts w:ascii="Garamond" w:hAnsi="Garamond" w:cs="Garamond"/>
          <w:color w:val="000000"/>
          <w:sz w:val="24"/>
          <w:szCs w:val="24"/>
        </w:rPr>
      </w:pPr>
      <w:r w:rsidRPr="00B31292">
        <w:rPr>
          <w:rFonts w:ascii="Garamond" w:hAnsi="Garamond" w:cs="Symbol"/>
          <w:color w:val="000000"/>
          <w:sz w:val="24"/>
          <w:szCs w:val="24"/>
        </w:rPr>
        <w:t>-</w:t>
      </w:r>
      <w:r w:rsidR="002E40BF" w:rsidRPr="00B31292">
        <w:rPr>
          <w:rFonts w:ascii="Garamond" w:hAnsi="Garamond" w:cs="Symbol"/>
          <w:color w:val="000000"/>
          <w:sz w:val="24"/>
          <w:szCs w:val="24"/>
        </w:rPr>
        <w:t xml:space="preserve"> </w:t>
      </w:r>
      <w:r w:rsidR="00EE716C" w:rsidRPr="00B31292">
        <w:rPr>
          <w:rFonts w:ascii="Garamond" w:hAnsi="Garamond" w:cs="Garamond"/>
          <w:b/>
          <w:bCs/>
          <w:color w:val="000000"/>
          <w:sz w:val="24"/>
          <w:szCs w:val="24"/>
        </w:rPr>
        <w:t>Procesi zhvillimor për cilësinë statistikore</w:t>
      </w:r>
      <w:r w:rsidR="00EE716C" w:rsidRPr="00B31292">
        <w:rPr>
          <w:rFonts w:ascii="Garamond" w:hAnsi="Garamond" w:cs="Garamond"/>
          <w:color w:val="000000"/>
          <w:sz w:val="24"/>
          <w:szCs w:val="24"/>
        </w:rPr>
        <w:t>. Përmirësimet në aspektin e cilësisë së statistikave që prodhon sistemi, ndikojnë në zbatimin e parimeve statistikore</w:t>
      </w:r>
      <w:r w:rsidR="003A7EA0" w:rsidRPr="00B31292">
        <w:rPr>
          <w:rFonts w:ascii="Garamond" w:hAnsi="Garamond" w:cs="Garamond"/>
          <w:color w:val="000000"/>
          <w:sz w:val="24"/>
          <w:szCs w:val="24"/>
        </w:rPr>
        <w:t>,</w:t>
      </w:r>
      <w:r w:rsidR="00EE716C" w:rsidRPr="00B31292">
        <w:rPr>
          <w:rFonts w:ascii="Garamond" w:hAnsi="Garamond" w:cs="Garamond"/>
          <w:color w:val="000000"/>
          <w:sz w:val="24"/>
          <w:szCs w:val="24"/>
        </w:rPr>
        <w:t xml:space="preserve"> si dhe transparencën e besueshmërinë e publikut në to.</w:t>
      </w:r>
    </w:p>
    <w:p w14:paraId="6E0EC7F5" w14:textId="53EFE313" w:rsidR="00EE716C" w:rsidRPr="00B31292" w:rsidRDefault="009508C8" w:rsidP="003A4DBA">
      <w:pPr>
        <w:tabs>
          <w:tab w:val="left" w:pos="720"/>
          <w:tab w:val="left" w:pos="1080"/>
        </w:tabs>
        <w:autoSpaceDE w:val="0"/>
        <w:autoSpaceDN w:val="0"/>
        <w:adjustRightInd w:val="0"/>
        <w:spacing w:after="0" w:line="240" w:lineRule="auto"/>
        <w:ind w:firstLine="284"/>
        <w:jc w:val="both"/>
        <w:rPr>
          <w:rFonts w:ascii="Garamond" w:hAnsi="Garamond" w:cs="Garamond"/>
          <w:color w:val="000000"/>
          <w:sz w:val="24"/>
          <w:szCs w:val="24"/>
        </w:rPr>
      </w:pPr>
      <w:r w:rsidRPr="00B31292">
        <w:rPr>
          <w:rFonts w:ascii="Garamond" w:hAnsi="Garamond" w:cs="Symbol"/>
          <w:color w:val="000000"/>
          <w:sz w:val="24"/>
          <w:szCs w:val="24"/>
        </w:rPr>
        <w:t>-</w:t>
      </w:r>
      <w:r w:rsidR="002E40BF" w:rsidRPr="00B31292">
        <w:rPr>
          <w:rFonts w:ascii="Garamond" w:hAnsi="Garamond" w:cs="Symbol"/>
          <w:color w:val="000000"/>
          <w:sz w:val="24"/>
          <w:szCs w:val="24"/>
        </w:rPr>
        <w:t xml:space="preserve"> </w:t>
      </w:r>
      <w:r w:rsidR="00EE716C" w:rsidRPr="00B31292">
        <w:rPr>
          <w:rFonts w:ascii="Garamond" w:hAnsi="Garamond" w:cs="Garamond"/>
          <w:b/>
          <w:bCs/>
          <w:color w:val="000000"/>
          <w:sz w:val="24"/>
          <w:szCs w:val="24"/>
        </w:rPr>
        <w:t>Përmbushje e kërkesave.</w:t>
      </w:r>
      <w:r w:rsidR="00EE716C" w:rsidRPr="00B31292">
        <w:rPr>
          <w:rFonts w:ascii="Garamond" w:hAnsi="Garamond" w:cs="Garamond"/>
          <w:color w:val="000000"/>
          <w:sz w:val="24"/>
          <w:szCs w:val="24"/>
        </w:rPr>
        <w:t xml:space="preserve"> Statistikat zyrtare të prodhuara do të mbështesin politikbërësit për hartimin e dokumenteve strategjike, politikave makroekonomike dhe sociale si në nivel kombëtar ashtu edhe rajonal.</w:t>
      </w:r>
    </w:p>
    <w:p w14:paraId="4819EA4E" w14:textId="3722FA7A" w:rsidR="00EE716C" w:rsidRPr="00B31292" w:rsidRDefault="009508C8" w:rsidP="003A4DBA">
      <w:pPr>
        <w:tabs>
          <w:tab w:val="left" w:pos="720"/>
          <w:tab w:val="left" w:pos="1080"/>
        </w:tabs>
        <w:autoSpaceDE w:val="0"/>
        <w:autoSpaceDN w:val="0"/>
        <w:adjustRightInd w:val="0"/>
        <w:spacing w:after="0" w:line="240" w:lineRule="auto"/>
        <w:ind w:firstLine="284"/>
        <w:jc w:val="both"/>
        <w:rPr>
          <w:rFonts w:ascii="Garamond" w:hAnsi="Garamond" w:cs="Garamond"/>
          <w:color w:val="000000"/>
          <w:sz w:val="24"/>
          <w:szCs w:val="24"/>
        </w:rPr>
      </w:pPr>
      <w:r w:rsidRPr="00B31292">
        <w:rPr>
          <w:rFonts w:ascii="Garamond" w:hAnsi="Garamond" w:cs="Symbol"/>
          <w:color w:val="000000"/>
          <w:sz w:val="24"/>
          <w:szCs w:val="24"/>
        </w:rPr>
        <w:t>-</w:t>
      </w:r>
      <w:r w:rsidR="002E40BF" w:rsidRPr="00B31292">
        <w:rPr>
          <w:rFonts w:ascii="Garamond" w:hAnsi="Garamond" w:cs="Symbol"/>
          <w:color w:val="000000"/>
          <w:sz w:val="24"/>
          <w:szCs w:val="24"/>
        </w:rPr>
        <w:t xml:space="preserve"> </w:t>
      </w:r>
      <w:r w:rsidR="00EE716C" w:rsidRPr="00B31292">
        <w:rPr>
          <w:rFonts w:ascii="Garamond" w:hAnsi="Garamond" w:cs="Garamond"/>
          <w:b/>
          <w:bCs/>
          <w:color w:val="000000"/>
          <w:sz w:val="24"/>
          <w:szCs w:val="24"/>
        </w:rPr>
        <w:t>Rritja e pagave.</w:t>
      </w:r>
      <w:r w:rsidR="00EE716C" w:rsidRPr="00B31292">
        <w:rPr>
          <w:rFonts w:ascii="Garamond" w:hAnsi="Garamond" w:cs="Garamond"/>
          <w:color w:val="000000"/>
          <w:sz w:val="24"/>
          <w:szCs w:val="24"/>
        </w:rPr>
        <w:t xml:space="preserve"> Rritja e pagave ndikon në rritjen e kënaqësisë së punonjësve, duke sjellë rritje të motivimit dhe performancës në punë. Gjithashtu, në nivel institucional ky instrument krijon mundësi që të reduktohen largimet duke sjellë si pasojë stabilitet në lëvizjet e punonjësve.</w:t>
      </w:r>
    </w:p>
    <w:p w14:paraId="41FFBDF4" w14:textId="77777777" w:rsidR="00EE716C" w:rsidRPr="00B31292" w:rsidRDefault="00EE716C" w:rsidP="003A4DBA">
      <w:pPr>
        <w:tabs>
          <w:tab w:val="left" w:pos="720"/>
        </w:tabs>
        <w:autoSpaceDE w:val="0"/>
        <w:autoSpaceDN w:val="0"/>
        <w:adjustRightInd w:val="0"/>
        <w:spacing w:after="0" w:line="240" w:lineRule="auto"/>
        <w:ind w:firstLine="284"/>
        <w:jc w:val="both"/>
        <w:rPr>
          <w:rFonts w:ascii="Garamond" w:hAnsi="Garamond" w:cs="Garamond"/>
          <w:color w:val="000000"/>
          <w:sz w:val="24"/>
          <w:szCs w:val="24"/>
        </w:rPr>
      </w:pPr>
      <w:r w:rsidRPr="00B31292">
        <w:rPr>
          <w:rFonts w:ascii="Garamond" w:hAnsi="Garamond" w:cs="Garamond"/>
          <w:color w:val="000000"/>
          <w:sz w:val="24"/>
          <w:szCs w:val="24"/>
        </w:rPr>
        <w:t>KËRCËNIMET</w:t>
      </w:r>
    </w:p>
    <w:p w14:paraId="0B271043" w14:textId="7D5C752B" w:rsidR="00EE716C" w:rsidRPr="00B31292" w:rsidRDefault="009508C8" w:rsidP="003A4DBA">
      <w:pPr>
        <w:tabs>
          <w:tab w:val="left" w:pos="0"/>
          <w:tab w:val="left" w:pos="720"/>
        </w:tabs>
        <w:autoSpaceDE w:val="0"/>
        <w:autoSpaceDN w:val="0"/>
        <w:adjustRightInd w:val="0"/>
        <w:spacing w:after="0" w:line="240" w:lineRule="auto"/>
        <w:ind w:firstLine="284"/>
        <w:jc w:val="both"/>
        <w:rPr>
          <w:rFonts w:ascii="Garamond" w:hAnsi="Garamond" w:cs="Garamond"/>
          <w:color w:val="000000"/>
          <w:sz w:val="24"/>
          <w:szCs w:val="24"/>
        </w:rPr>
      </w:pPr>
      <w:r w:rsidRPr="00B31292">
        <w:rPr>
          <w:rFonts w:ascii="Garamond" w:hAnsi="Garamond" w:cs="Symbol"/>
          <w:color w:val="000000"/>
          <w:sz w:val="24"/>
          <w:szCs w:val="24"/>
        </w:rPr>
        <w:t>-</w:t>
      </w:r>
      <w:r w:rsidR="002E40BF" w:rsidRPr="00B31292">
        <w:rPr>
          <w:rFonts w:ascii="Garamond" w:hAnsi="Garamond" w:cs="Symbol"/>
          <w:color w:val="000000"/>
          <w:sz w:val="24"/>
          <w:szCs w:val="24"/>
        </w:rPr>
        <w:t xml:space="preserve"> </w:t>
      </w:r>
      <w:r w:rsidR="00EE716C" w:rsidRPr="00B31292">
        <w:rPr>
          <w:rFonts w:ascii="Garamond" w:hAnsi="Garamond" w:cs="Garamond"/>
          <w:b/>
          <w:bCs/>
          <w:color w:val="000000"/>
          <w:sz w:val="24"/>
          <w:szCs w:val="24"/>
        </w:rPr>
        <w:t xml:space="preserve">Moszbatimi i detyrimeve që rrjedhin nga ky </w:t>
      </w:r>
      <w:r w:rsidR="003A7EA0" w:rsidRPr="00B31292">
        <w:rPr>
          <w:rFonts w:ascii="Garamond" w:hAnsi="Garamond" w:cs="Garamond"/>
          <w:b/>
          <w:bCs/>
          <w:color w:val="000000"/>
          <w:sz w:val="24"/>
          <w:szCs w:val="24"/>
        </w:rPr>
        <w:t>p</w:t>
      </w:r>
      <w:r w:rsidR="00EE716C" w:rsidRPr="00B31292">
        <w:rPr>
          <w:rFonts w:ascii="Garamond" w:hAnsi="Garamond" w:cs="Garamond"/>
          <w:b/>
          <w:bCs/>
          <w:color w:val="000000"/>
          <w:sz w:val="24"/>
          <w:szCs w:val="24"/>
        </w:rPr>
        <w:t>rogram</w:t>
      </w:r>
      <w:r w:rsidR="00EE716C" w:rsidRPr="00B31292">
        <w:rPr>
          <w:rFonts w:ascii="Garamond" w:hAnsi="Garamond" w:cs="Garamond"/>
          <w:color w:val="000000"/>
          <w:sz w:val="24"/>
          <w:szCs w:val="24"/>
        </w:rPr>
        <w:t xml:space="preserve"> nga të gjithë aktorët, si: mosrespektimi i afateve kohore për dërgimin e të dhënave dhe informacioni jo i plotë nga njësitë statistikore dhe siguruesit e të dhënave administrative, do të sillte vonesë në zbatimin e aktiviteteve statistikore sipas afateve të parashikuara dhe mangësi në sasinë dhe cilësinë e treguesve.</w:t>
      </w:r>
    </w:p>
    <w:p w14:paraId="74A78CEA" w14:textId="5F07EBEE" w:rsidR="00EE716C" w:rsidRPr="00B31292" w:rsidRDefault="009508C8" w:rsidP="003A4DBA">
      <w:pPr>
        <w:tabs>
          <w:tab w:val="left" w:pos="720"/>
          <w:tab w:val="left" w:pos="1080"/>
        </w:tabs>
        <w:autoSpaceDE w:val="0"/>
        <w:autoSpaceDN w:val="0"/>
        <w:adjustRightInd w:val="0"/>
        <w:spacing w:after="0" w:line="240" w:lineRule="auto"/>
        <w:ind w:firstLine="284"/>
        <w:jc w:val="both"/>
        <w:rPr>
          <w:rFonts w:ascii="Garamond" w:hAnsi="Garamond" w:cs="Garamond"/>
          <w:color w:val="000000"/>
          <w:sz w:val="24"/>
          <w:szCs w:val="24"/>
        </w:rPr>
      </w:pPr>
      <w:r w:rsidRPr="00B31292">
        <w:rPr>
          <w:rFonts w:ascii="Garamond" w:hAnsi="Garamond" w:cs="Symbol"/>
          <w:color w:val="000000"/>
          <w:sz w:val="24"/>
          <w:szCs w:val="24"/>
        </w:rPr>
        <w:t>-</w:t>
      </w:r>
      <w:r w:rsidR="002E40BF" w:rsidRPr="00B31292">
        <w:rPr>
          <w:rFonts w:ascii="Garamond" w:hAnsi="Garamond" w:cs="Symbol"/>
          <w:color w:val="000000"/>
          <w:sz w:val="24"/>
          <w:szCs w:val="24"/>
        </w:rPr>
        <w:t xml:space="preserve"> </w:t>
      </w:r>
      <w:r w:rsidR="00EE716C" w:rsidRPr="00B31292">
        <w:rPr>
          <w:rFonts w:ascii="Garamond" w:hAnsi="Garamond" w:cs="Garamond"/>
          <w:b/>
          <w:bCs/>
          <w:color w:val="000000"/>
          <w:sz w:val="24"/>
          <w:szCs w:val="24"/>
        </w:rPr>
        <w:t>Mungesa e strukturave statistikore</w:t>
      </w:r>
      <w:r w:rsidR="003A7EA0" w:rsidRPr="00B31292">
        <w:rPr>
          <w:rFonts w:ascii="Garamond" w:hAnsi="Garamond" w:cs="Garamond"/>
          <w:b/>
          <w:bCs/>
          <w:color w:val="000000"/>
          <w:sz w:val="24"/>
          <w:szCs w:val="24"/>
        </w:rPr>
        <w:t>,</w:t>
      </w:r>
      <w:r w:rsidR="00EE716C" w:rsidRPr="00B31292">
        <w:rPr>
          <w:rFonts w:ascii="Garamond" w:hAnsi="Garamond" w:cs="Garamond"/>
          <w:color w:val="000000"/>
          <w:sz w:val="24"/>
          <w:szCs w:val="24"/>
        </w:rPr>
        <w:t xml:space="preserve"> si dhe rishikimi i herëpashershëm i strukturës organizative në ministritë e linjës dhe institucionet e tjera që sigurojnë të dhënat administrative, rrezikon zbatimin cilësor të këtij programi.</w:t>
      </w:r>
    </w:p>
    <w:p w14:paraId="5AD5DE26" w14:textId="7A79CD78" w:rsidR="00EE716C" w:rsidRPr="00B31292" w:rsidRDefault="009508C8" w:rsidP="003A4DBA">
      <w:pPr>
        <w:tabs>
          <w:tab w:val="left" w:pos="0"/>
          <w:tab w:val="left" w:pos="720"/>
        </w:tabs>
        <w:autoSpaceDE w:val="0"/>
        <w:autoSpaceDN w:val="0"/>
        <w:adjustRightInd w:val="0"/>
        <w:spacing w:after="0" w:line="240" w:lineRule="auto"/>
        <w:ind w:firstLine="284"/>
        <w:jc w:val="both"/>
        <w:rPr>
          <w:rFonts w:ascii="Garamond" w:hAnsi="Garamond" w:cs="Garamond"/>
          <w:color w:val="000000"/>
          <w:sz w:val="24"/>
          <w:szCs w:val="24"/>
        </w:rPr>
      </w:pPr>
      <w:r w:rsidRPr="00B31292">
        <w:rPr>
          <w:rFonts w:ascii="Garamond" w:hAnsi="Garamond" w:cs="Symbol"/>
          <w:color w:val="000000"/>
          <w:sz w:val="24"/>
          <w:szCs w:val="24"/>
        </w:rPr>
        <w:t>-</w:t>
      </w:r>
      <w:r w:rsidR="002E40BF" w:rsidRPr="00B31292">
        <w:rPr>
          <w:rFonts w:ascii="Garamond" w:hAnsi="Garamond" w:cs="Symbol"/>
          <w:color w:val="000000"/>
          <w:sz w:val="24"/>
          <w:szCs w:val="24"/>
        </w:rPr>
        <w:t xml:space="preserve"> </w:t>
      </w:r>
      <w:r w:rsidR="00EE716C" w:rsidRPr="00B31292">
        <w:rPr>
          <w:rFonts w:ascii="Garamond" w:hAnsi="Garamond" w:cs="Garamond"/>
          <w:b/>
          <w:bCs/>
          <w:color w:val="000000"/>
          <w:sz w:val="24"/>
          <w:szCs w:val="24"/>
        </w:rPr>
        <w:t xml:space="preserve">Mungesa e burimeve financiare dhe njerëzore </w:t>
      </w:r>
      <w:r w:rsidR="00EE716C" w:rsidRPr="00B31292">
        <w:rPr>
          <w:rFonts w:ascii="Garamond" w:hAnsi="Garamond" w:cs="Garamond"/>
          <w:color w:val="000000"/>
          <w:sz w:val="24"/>
          <w:szCs w:val="24"/>
        </w:rPr>
        <w:t xml:space="preserve">mund të rrezikojë moskryerjen e vrojtimeve të parashikuara në këtë </w:t>
      </w:r>
      <w:r w:rsidR="003A7EA0" w:rsidRPr="00B31292">
        <w:rPr>
          <w:rFonts w:ascii="Garamond" w:hAnsi="Garamond" w:cs="Garamond"/>
          <w:color w:val="000000"/>
          <w:sz w:val="24"/>
          <w:szCs w:val="24"/>
        </w:rPr>
        <w:t>p</w:t>
      </w:r>
      <w:r w:rsidR="00EE716C" w:rsidRPr="00B31292">
        <w:rPr>
          <w:rFonts w:ascii="Garamond" w:hAnsi="Garamond" w:cs="Garamond"/>
          <w:color w:val="000000"/>
          <w:sz w:val="24"/>
          <w:szCs w:val="24"/>
        </w:rPr>
        <w:t>rogram.</w:t>
      </w:r>
    </w:p>
    <w:p w14:paraId="59B83C6F" w14:textId="7101C84D" w:rsidR="00EE716C" w:rsidRPr="00B31292" w:rsidRDefault="009508C8" w:rsidP="003A4DBA">
      <w:pPr>
        <w:tabs>
          <w:tab w:val="left" w:pos="0"/>
          <w:tab w:val="left" w:pos="720"/>
        </w:tabs>
        <w:autoSpaceDE w:val="0"/>
        <w:autoSpaceDN w:val="0"/>
        <w:adjustRightInd w:val="0"/>
        <w:spacing w:after="0" w:line="240" w:lineRule="auto"/>
        <w:ind w:firstLine="284"/>
        <w:jc w:val="both"/>
        <w:rPr>
          <w:rFonts w:ascii="Garamond" w:hAnsi="Garamond" w:cs="Garamond"/>
          <w:color w:val="000000"/>
          <w:sz w:val="24"/>
          <w:szCs w:val="24"/>
        </w:rPr>
      </w:pPr>
      <w:r w:rsidRPr="00B31292">
        <w:rPr>
          <w:rFonts w:ascii="Garamond" w:hAnsi="Garamond" w:cs="Symbol"/>
          <w:color w:val="000000"/>
          <w:sz w:val="24"/>
          <w:szCs w:val="24"/>
        </w:rPr>
        <w:t>-</w:t>
      </w:r>
      <w:r w:rsidR="002E40BF" w:rsidRPr="00B31292">
        <w:rPr>
          <w:rFonts w:ascii="Garamond" w:hAnsi="Garamond" w:cs="Symbol"/>
          <w:color w:val="000000"/>
          <w:sz w:val="24"/>
          <w:szCs w:val="24"/>
        </w:rPr>
        <w:t xml:space="preserve"> </w:t>
      </w:r>
      <w:r w:rsidR="00EE716C" w:rsidRPr="00B31292">
        <w:rPr>
          <w:rFonts w:ascii="Garamond" w:hAnsi="Garamond" w:cs="Garamond"/>
          <w:b/>
          <w:bCs/>
          <w:color w:val="000000"/>
          <w:sz w:val="24"/>
          <w:szCs w:val="24"/>
        </w:rPr>
        <w:t>Mospërdorimi i klasifikimeve të njëjta në të gjitha institucionet</w:t>
      </w:r>
      <w:r w:rsidR="00EE716C" w:rsidRPr="00B31292">
        <w:rPr>
          <w:rFonts w:ascii="Garamond" w:hAnsi="Garamond" w:cs="Garamond"/>
          <w:color w:val="000000"/>
          <w:sz w:val="24"/>
          <w:szCs w:val="24"/>
        </w:rPr>
        <w:t>. Nëse nuk do të arrihet përdorimi i klasifikimeve të parashikuara të implementohen gjatë zbatimit të këtij programi, atëherë kjo do të sillte mospërputhshmërinë e të dhënave për të njëjtët tregues.</w:t>
      </w:r>
    </w:p>
    <w:p w14:paraId="0BF345FE" w14:textId="547A404E" w:rsidR="00EE716C" w:rsidRPr="00B31292" w:rsidRDefault="009508C8" w:rsidP="003A4DBA">
      <w:pPr>
        <w:tabs>
          <w:tab w:val="left" w:pos="0"/>
          <w:tab w:val="left" w:pos="720"/>
        </w:tabs>
        <w:autoSpaceDE w:val="0"/>
        <w:autoSpaceDN w:val="0"/>
        <w:adjustRightInd w:val="0"/>
        <w:spacing w:after="0" w:line="240" w:lineRule="auto"/>
        <w:ind w:firstLine="284"/>
        <w:jc w:val="both"/>
        <w:rPr>
          <w:rFonts w:ascii="Garamond" w:hAnsi="Garamond" w:cs="Garamond"/>
          <w:b/>
          <w:bCs/>
          <w:color w:val="000000"/>
          <w:sz w:val="24"/>
          <w:szCs w:val="24"/>
        </w:rPr>
      </w:pPr>
      <w:r w:rsidRPr="00B31292">
        <w:rPr>
          <w:rFonts w:ascii="Garamond" w:hAnsi="Garamond" w:cs="Symbol"/>
          <w:color w:val="000000"/>
          <w:sz w:val="24"/>
          <w:szCs w:val="24"/>
        </w:rPr>
        <w:t>-</w:t>
      </w:r>
      <w:r w:rsidR="002E40BF" w:rsidRPr="00B31292">
        <w:rPr>
          <w:rFonts w:ascii="Garamond" w:hAnsi="Garamond" w:cs="Symbol"/>
          <w:color w:val="000000"/>
          <w:sz w:val="24"/>
          <w:szCs w:val="24"/>
        </w:rPr>
        <w:t xml:space="preserve"> </w:t>
      </w:r>
      <w:r w:rsidR="00EE716C" w:rsidRPr="00B31292">
        <w:rPr>
          <w:rFonts w:ascii="Garamond" w:hAnsi="Garamond" w:cs="Garamond"/>
          <w:b/>
          <w:bCs/>
          <w:color w:val="000000"/>
          <w:sz w:val="24"/>
          <w:szCs w:val="24"/>
        </w:rPr>
        <w:t xml:space="preserve">Sulmet kibernetike: </w:t>
      </w:r>
      <w:r w:rsidR="00EE716C" w:rsidRPr="00B31292">
        <w:rPr>
          <w:rFonts w:ascii="Garamond" w:hAnsi="Garamond" w:cs="Garamond"/>
          <w:color w:val="000000"/>
          <w:sz w:val="24"/>
          <w:szCs w:val="24"/>
        </w:rPr>
        <w:t>Siguria e të dhënave në kohën e sotme nuk është një detyrë e lehtë, në një mjedis ku sistemet e TI-së janë subjekt ndaj sulmeve kibernetike, hakerimeve dhe shumë kërcënimeve të tjera që mjediset e informacionit të di</w:t>
      </w:r>
      <w:r w:rsidR="002E40BF" w:rsidRPr="00B31292">
        <w:rPr>
          <w:rFonts w:ascii="Garamond" w:hAnsi="Garamond" w:cs="Garamond"/>
          <w:color w:val="000000"/>
          <w:sz w:val="24"/>
          <w:szCs w:val="24"/>
        </w:rPr>
        <w:t>gj</w:t>
      </w:r>
      <w:r w:rsidR="00EE716C" w:rsidRPr="00B31292">
        <w:rPr>
          <w:rFonts w:ascii="Garamond" w:hAnsi="Garamond" w:cs="Garamond"/>
          <w:color w:val="000000"/>
          <w:sz w:val="24"/>
          <w:szCs w:val="24"/>
        </w:rPr>
        <w:t>italizuar i ekspozohen, pavarësisht vendndodhjes apo mënyrës së lidhjes të përdorur.</w:t>
      </w:r>
    </w:p>
    <w:p w14:paraId="0ED0E8AF" w14:textId="1481D94E" w:rsidR="00EE716C" w:rsidRPr="00B31292" w:rsidRDefault="009508C8" w:rsidP="003A4DBA">
      <w:pPr>
        <w:tabs>
          <w:tab w:val="left" w:pos="0"/>
          <w:tab w:val="left" w:pos="720"/>
        </w:tabs>
        <w:autoSpaceDE w:val="0"/>
        <w:autoSpaceDN w:val="0"/>
        <w:adjustRightInd w:val="0"/>
        <w:spacing w:after="0" w:line="240" w:lineRule="auto"/>
        <w:ind w:firstLine="284"/>
        <w:jc w:val="both"/>
        <w:rPr>
          <w:rFonts w:ascii="Garamond" w:hAnsi="Garamond" w:cs="Garamond"/>
          <w:color w:val="000000"/>
          <w:sz w:val="24"/>
          <w:szCs w:val="24"/>
        </w:rPr>
      </w:pPr>
      <w:r w:rsidRPr="00B31292">
        <w:rPr>
          <w:rFonts w:ascii="Garamond" w:hAnsi="Garamond" w:cs="Symbol"/>
          <w:color w:val="000000"/>
          <w:sz w:val="24"/>
          <w:szCs w:val="24"/>
        </w:rPr>
        <w:t>-</w:t>
      </w:r>
      <w:r w:rsidR="002E40BF" w:rsidRPr="00B31292">
        <w:rPr>
          <w:rFonts w:ascii="Garamond" w:hAnsi="Garamond" w:cs="Symbol"/>
          <w:color w:val="000000"/>
          <w:sz w:val="24"/>
          <w:szCs w:val="24"/>
        </w:rPr>
        <w:t xml:space="preserve"> </w:t>
      </w:r>
      <w:r w:rsidR="00EE716C" w:rsidRPr="00B31292">
        <w:rPr>
          <w:rFonts w:ascii="Garamond" w:hAnsi="Garamond" w:cs="Garamond"/>
          <w:b/>
          <w:bCs/>
          <w:color w:val="000000"/>
          <w:sz w:val="24"/>
          <w:szCs w:val="24"/>
        </w:rPr>
        <w:t xml:space="preserve">Mospërafrimi i akteve me </w:t>
      </w:r>
      <w:r w:rsidR="00EE716C" w:rsidRPr="00B31292">
        <w:rPr>
          <w:rFonts w:ascii="Garamond" w:hAnsi="Garamond" w:cs="Garamond"/>
          <w:b/>
          <w:bCs/>
          <w:i/>
          <w:iCs/>
          <w:color w:val="000000"/>
          <w:sz w:val="24"/>
          <w:szCs w:val="24"/>
        </w:rPr>
        <w:t>acquis communitaire</w:t>
      </w:r>
      <w:r w:rsidR="00EE716C" w:rsidRPr="00B31292">
        <w:rPr>
          <w:rFonts w:ascii="Garamond" w:hAnsi="Garamond" w:cs="Garamond"/>
          <w:b/>
          <w:bCs/>
          <w:color w:val="000000"/>
          <w:sz w:val="24"/>
          <w:szCs w:val="24"/>
        </w:rPr>
        <w:t xml:space="preserve"> </w:t>
      </w:r>
      <w:r w:rsidR="002E40BF" w:rsidRPr="00B31292">
        <w:rPr>
          <w:rFonts w:ascii="Garamond" w:hAnsi="Garamond" w:cs="Garamond"/>
          <w:color w:val="000000"/>
          <w:sz w:val="24"/>
          <w:szCs w:val="24"/>
        </w:rPr>
        <w:t>cenon</w:t>
      </w:r>
      <w:r w:rsidR="00EE716C" w:rsidRPr="00B31292">
        <w:rPr>
          <w:rFonts w:ascii="Garamond" w:hAnsi="Garamond" w:cs="Garamond"/>
          <w:color w:val="000000"/>
          <w:sz w:val="24"/>
          <w:szCs w:val="24"/>
        </w:rPr>
        <w:t xml:space="preserve"> mosrealizimin e programit sipas standardeve evropiane, duke penguar/vonuar procesin e integrimit në fushën e statistikave.</w:t>
      </w:r>
    </w:p>
    <w:p w14:paraId="7F7B3905" w14:textId="4E586231" w:rsidR="00EE716C" w:rsidRPr="00B31292" w:rsidRDefault="009508C8" w:rsidP="003A4DBA">
      <w:pPr>
        <w:tabs>
          <w:tab w:val="left" w:pos="0"/>
          <w:tab w:val="left" w:pos="720"/>
        </w:tabs>
        <w:autoSpaceDE w:val="0"/>
        <w:autoSpaceDN w:val="0"/>
        <w:adjustRightInd w:val="0"/>
        <w:spacing w:after="0" w:line="240" w:lineRule="auto"/>
        <w:ind w:firstLine="284"/>
        <w:jc w:val="both"/>
        <w:rPr>
          <w:rFonts w:ascii="Garamond" w:hAnsi="Garamond" w:cs="Garamond"/>
          <w:color w:val="000000"/>
          <w:sz w:val="24"/>
          <w:szCs w:val="24"/>
        </w:rPr>
      </w:pPr>
      <w:r w:rsidRPr="00B31292">
        <w:rPr>
          <w:rFonts w:ascii="Garamond" w:hAnsi="Garamond" w:cs="Symbol"/>
          <w:color w:val="000000"/>
          <w:sz w:val="24"/>
          <w:szCs w:val="24"/>
        </w:rPr>
        <w:t>-</w:t>
      </w:r>
      <w:r w:rsidR="002E40BF" w:rsidRPr="00B31292">
        <w:rPr>
          <w:rFonts w:ascii="Garamond" w:hAnsi="Garamond" w:cs="Symbol"/>
          <w:color w:val="000000"/>
          <w:sz w:val="24"/>
          <w:szCs w:val="24"/>
        </w:rPr>
        <w:t xml:space="preserve"> </w:t>
      </w:r>
      <w:r w:rsidR="00EE716C" w:rsidRPr="00B31292">
        <w:rPr>
          <w:rFonts w:ascii="Garamond" w:hAnsi="Garamond" w:cs="Garamond"/>
          <w:b/>
          <w:bCs/>
          <w:color w:val="000000"/>
          <w:sz w:val="24"/>
          <w:szCs w:val="24"/>
        </w:rPr>
        <w:t xml:space="preserve">Forcat madhore. </w:t>
      </w:r>
      <w:r w:rsidR="00EE716C" w:rsidRPr="00B31292">
        <w:rPr>
          <w:rFonts w:ascii="Garamond" w:hAnsi="Garamond" w:cs="Garamond"/>
          <w:color w:val="000000"/>
          <w:sz w:val="24"/>
          <w:szCs w:val="24"/>
        </w:rPr>
        <w:t>Nga eksperienca e viteve të fundit, fenomene të tilla si tërmetet dhe pandemitë mund të ndikojnë drejtpërdrejtë në vazhdueshmërinë e proceseve statistikore</w:t>
      </w:r>
      <w:r w:rsidR="003A7EA0" w:rsidRPr="00B31292">
        <w:rPr>
          <w:rFonts w:ascii="Garamond" w:hAnsi="Garamond" w:cs="Garamond"/>
          <w:color w:val="000000"/>
          <w:sz w:val="24"/>
          <w:szCs w:val="24"/>
        </w:rPr>
        <w:t>,</w:t>
      </w:r>
      <w:r w:rsidR="00EE716C" w:rsidRPr="00B31292">
        <w:rPr>
          <w:rFonts w:ascii="Garamond" w:hAnsi="Garamond" w:cs="Garamond"/>
          <w:color w:val="000000"/>
          <w:sz w:val="24"/>
          <w:szCs w:val="24"/>
        </w:rPr>
        <w:t xml:space="preserve"> si dhe të kenë impakt në nivelet buxhetore</w:t>
      </w:r>
      <w:r w:rsidR="003A7EA0" w:rsidRPr="00B31292">
        <w:rPr>
          <w:rFonts w:ascii="Garamond" w:hAnsi="Garamond" w:cs="Garamond"/>
          <w:color w:val="000000"/>
          <w:sz w:val="24"/>
          <w:szCs w:val="24"/>
        </w:rPr>
        <w:t>.</w:t>
      </w:r>
      <w:r w:rsidR="00EE716C" w:rsidRPr="00B31292">
        <w:rPr>
          <w:rFonts w:ascii="Garamond" w:hAnsi="Garamond" w:cs="Garamond"/>
          <w:b/>
          <w:bCs/>
          <w:color w:val="000000"/>
          <w:sz w:val="24"/>
          <w:szCs w:val="24"/>
        </w:rPr>
        <w:t xml:space="preserve"> </w:t>
      </w:r>
    </w:p>
    <w:p w14:paraId="218E3669" w14:textId="708DC07B" w:rsidR="00024A60" w:rsidRPr="00B31292" w:rsidRDefault="00B26B7E" w:rsidP="003A4DBA">
      <w:pPr>
        <w:pStyle w:val="Heading2"/>
        <w:shd w:val="clear" w:color="auto" w:fill="FFFFFF" w:themeFill="background1"/>
        <w:spacing w:before="0" w:line="240" w:lineRule="auto"/>
        <w:ind w:firstLine="284"/>
        <w:jc w:val="both"/>
        <w:rPr>
          <w:rFonts w:ascii="Garamond" w:eastAsia="MS Mincho" w:hAnsi="Garamond"/>
          <w:color w:val="auto"/>
          <w:sz w:val="24"/>
          <w:szCs w:val="24"/>
        </w:rPr>
      </w:pPr>
      <w:bookmarkStart w:id="48" w:name="_Toc182991982"/>
      <w:r w:rsidRPr="00B31292">
        <w:rPr>
          <w:rFonts w:ascii="Garamond" w:eastAsia="MS Mincho" w:hAnsi="Garamond"/>
          <w:color w:val="auto"/>
          <w:sz w:val="24"/>
          <w:szCs w:val="24"/>
        </w:rPr>
        <w:t>X</w:t>
      </w:r>
      <w:r w:rsidR="00024A60" w:rsidRPr="00B31292">
        <w:rPr>
          <w:rFonts w:ascii="Garamond" w:eastAsia="MS Mincho" w:hAnsi="Garamond"/>
          <w:color w:val="auto"/>
          <w:sz w:val="24"/>
          <w:szCs w:val="24"/>
        </w:rPr>
        <w:t>. Analiza e risqeve dhe problemet e pritshme për kryerjen e aktiviteteve</w:t>
      </w:r>
      <w:bookmarkEnd w:id="48"/>
    </w:p>
    <w:p w14:paraId="67CA1928" w14:textId="6D93AF2A" w:rsidR="008B482F" w:rsidRPr="00B31292" w:rsidRDefault="00EE716C" w:rsidP="003A4DBA">
      <w:pPr>
        <w:shd w:val="clear" w:color="auto" w:fill="FFFFFF" w:themeFill="background1"/>
        <w:tabs>
          <w:tab w:val="left" w:pos="709"/>
        </w:tabs>
        <w:spacing w:after="0" w:line="240" w:lineRule="auto"/>
        <w:ind w:firstLine="284"/>
        <w:jc w:val="both"/>
        <w:rPr>
          <w:rFonts w:ascii="Garamond" w:hAnsi="Garamond"/>
          <w:sz w:val="24"/>
          <w:szCs w:val="24"/>
        </w:rPr>
      </w:pPr>
      <w:r w:rsidRPr="00B31292">
        <w:rPr>
          <w:rFonts w:ascii="Garamond" w:hAnsi="Garamond" w:cs="Times New Roman"/>
          <w:sz w:val="24"/>
          <w:szCs w:val="24"/>
        </w:rPr>
        <w:t xml:space="preserve"> </w:t>
      </w:r>
      <w:r w:rsidR="008B482F" w:rsidRPr="00B31292">
        <w:rPr>
          <w:rFonts w:ascii="Garamond" w:hAnsi="Garamond" w:cs="Times New Roman"/>
          <w:sz w:val="24"/>
          <w:szCs w:val="24"/>
        </w:rPr>
        <w:t xml:space="preserve">Secili aktivitet statistikor i parashikuar në Programin Vjetor 2025 dhe pasqyruar në </w:t>
      </w:r>
      <w:r w:rsidR="00466F72" w:rsidRPr="00B31292">
        <w:rPr>
          <w:rFonts w:ascii="Garamond" w:hAnsi="Garamond" w:cs="Times New Roman"/>
          <w:sz w:val="24"/>
          <w:szCs w:val="24"/>
        </w:rPr>
        <w:t>a</w:t>
      </w:r>
      <w:r w:rsidR="008B482F" w:rsidRPr="00B31292">
        <w:rPr>
          <w:rFonts w:ascii="Garamond" w:hAnsi="Garamond" w:cs="Times New Roman"/>
          <w:sz w:val="24"/>
          <w:szCs w:val="24"/>
        </w:rPr>
        <w:t>neksin e këtij plani, shoqërohet edhe me problematikat dhe nivelin e risqeve të mundshme që mund të ndikojnë në performancën e aktiviteteve. Në vështrimin e përgjithshëm të aneksit, konstatohet se ka një ngjashmëri në tematikat e risqeve të aktiviteteve, pavarësisht fushës apo temës në të cilën ata parashikohen kryesisht në vonesat në sigurimin e të dhënave, mospërmbushj</w:t>
      </w:r>
      <w:r w:rsidR="00466F72" w:rsidRPr="00B31292">
        <w:rPr>
          <w:rFonts w:ascii="Garamond" w:hAnsi="Garamond" w:cs="Times New Roman"/>
          <w:sz w:val="24"/>
          <w:szCs w:val="24"/>
        </w:rPr>
        <w:t>en</w:t>
      </w:r>
      <w:r w:rsidR="008B482F" w:rsidRPr="00B31292">
        <w:rPr>
          <w:rFonts w:ascii="Garamond" w:hAnsi="Garamond" w:cs="Times New Roman"/>
          <w:sz w:val="24"/>
          <w:szCs w:val="24"/>
        </w:rPr>
        <w:t xml:space="preserve"> e kritereve të cilësisë</w:t>
      </w:r>
      <w:r w:rsidR="00466F72" w:rsidRPr="00B31292">
        <w:rPr>
          <w:rFonts w:ascii="Garamond" w:hAnsi="Garamond" w:cs="Times New Roman"/>
          <w:sz w:val="24"/>
          <w:szCs w:val="24"/>
        </w:rPr>
        <w:t>,</w:t>
      </w:r>
      <w:r w:rsidR="008B482F" w:rsidRPr="00B31292">
        <w:rPr>
          <w:rFonts w:ascii="Garamond" w:hAnsi="Garamond" w:cs="Times New Roman"/>
          <w:sz w:val="24"/>
          <w:szCs w:val="24"/>
        </w:rPr>
        <w:t xml:space="preserve"> si: saktësia, përpikmëria dhe krahasueshmëria, për të dhënat administrative/vrojtimet statistikore, transmetimin e të dhënave, nivelin profesional, burimet financiare dhe njerëzore për kryerjen e aktiviteteve dhe lëvizjet e stafit.</w:t>
      </w:r>
      <w:r w:rsidR="008B482F" w:rsidRPr="00B31292">
        <w:rPr>
          <w:rFonts w:ascii="Garamond" w:hAnsi="Garamond"/>
          <w:sz w:val="24"/>
          <w:szCs w:val="24"/>
        </w:rPr>
        <w:t xml:space="preserve"> </w:t>
      </w:r>
    </w:p>
    <w:p w14:paraId="4F340A84" w14:textId="39F70E91" w:rsidR="00024A60" w:rsidRPr="00B31292" w:rsidRDefault="00EE716C" w:rsidP="003A4DBA">
      <w:pPr>
        <w:shd w:val="clear" w:color="auto" w:fill="FFFFFF" w:themeFill="background1"/>
        <w:tabs>
          <w:tab w:val="left" w:pos="709"/>
        </w:tabs>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 xml:space="preserve"> </w:t>
      </w:r>
      <w:r w:rsidR="008B482F" w:rsidRPr="00B31292">
        <w:rPr>
          <w:rFonts w:ascii="Garamond" w:hAnsi="Garamond" w:cs="Times New Roman"/>
          <w:sz w:val="24"/>
          <w:szCs w:val="24"/>
        </w:rPr>
        <w:t xml:space="preserve">Ndër risqet e analizuara është dhe pezullimi/vonesa e mbledhjes, prodhimit dhe shpërndarjes </w:t>
      </w:r>
      <w:r w:rsidR="00466F72" w:rsidRPr="00B31292">
        <w:rPr>
          <w:rFonts w:ascii="Garamond" w:hAnsi="Garamond" w:cs="Times New Roman"/>
          <w:sz w:val="24"/>
          <w:szCs w:val="24"/>
        </w:rPr>
        <w:t>s</w:t>
      </w:r>
      <w:r w:rsidR="008B482F" w:rsidRPr="00B31292">
        <w:rPr>
          <w:rFonts w:ascii="Garamond" w:hAnsi="Garamond" w:cs="Times New Roman"/>
          <w:sz w:val="24"/>
          <w:szCs w:val="24"/>
        </w:rPr>
        <w:t>ë statistikave zyrtare si pasojë e fatkeqësive natyrore, pandemive globale apo sulmeve kibernetike, të cilat paraqesin kërcënime të mëdha për sigurinë e sistemeve të TI-së. Në një mjedis ku sistemet di</w:t>
      </w:r>
      <w:r w:rsidR="00466F72" w:rsidRPr="00B31292">
        <w:rPr>
          <w:rFonts w:ascii="Garamond" w:hAnsi="Garamond" w:cs="Times New Roman"/>
          <w:sz w:val="24"/>
          <w:szCs w:val="24"/>
        </w:rPr>
        <w:t>gj</w:t>
      </w:r>
      <w:r w:rsidR="008B482F" w:rsidRPr="00B31292">
        <w:rPr>
          <w:rFonts w:ascii="Garamond" w:hAnsi="Garamond" w:cs="Times New Roman"/>
          <w:sz w:val="24"/>
          <w:szCs w:val="24"/>
        </w:rPr>
        <w:t xml:space="preserve">itale janë gjithnjë e më të ekspozuara ndaj hakerimeve dhe sulmeve të tjera të sofistikuara, ruajtja e sigurisë së të dhënave bëhet një risk i vazhdueshëm, pavarësisht vendndodhjes apo mënyrës së lidhjes </w:t>
      </w:r>
      <w:r w:rsidR="00466F72" w:rsidRPr="00B31292">
        <w:rPr>
          <w:rFonts w:ascii="Garamond" w:hAnsi="Garamond" w:cs="Times New Roman"/>
          <w:sz w:val="24"/>
          <w:szCs w:val="24"/>
        </w:rPr>
        <w:t>s</w:t>
      </w:r>
      <w:r w:rsidR="008B482F" w:rsidRPr="00B31292">
        <w:rPr>
          <w:rFonts w:ascii="Garamond" w:hAnsi="Garamond" w:cs="Times New Roman"/>
          <w:sz w:val="24"/>
          <w:szCs w:val="24"/>
        </w:rPr>
        <w:t>ë përdorur.</w:t>
      </w:r>
    </w:p>
    <w:p w14:paraId="61B8F6EE" w14:textId="6D26053D" w:rsidR="00B26F4B" w:rsidRPr="00B31292" w:rsidRDefault="00024A60" w:rsidP="003A4DBA">
      <w:pPr>
        <w:shd w:val="clear" w:color="auto" w:fill="FFFFFF" w:themeFill="background1"/>
        <w:tabs>
          <w:tab w:val="left" w:pos="2355"/>
        </w:tabs>
        <w:spacing w:after="0" w:line="240" w:lineRule="auto"/>
        <w:ind w:firstLine="284"/>
        <w:jc w:val="both"/>
        <w:rPr>
          <w:rFonts w:ascii="Garamond" w:hAnsi="Garamond" w:cs="Times New Roman"/>
          <w:bCs/>
          <w:i/>
          <w:sz w:val="24"/>
          <w:szCs w:val="24"/>
        </w:rPr>
      </w:pPr>
      <w:r w:rsidRPr="00B31292">
        <w:rPr>
          <w:rFonts w:ascii="Garamond" w:hAnsi="Garamond" w:cs="Times New Roman"/>
          <w:bCs/>
          <w:i/>
          <w:sz w:val="24"/>
          <w:szCs w:val="24"/>
        </w:rPr>
        <w:lastRenderedPageBreak/>
        <w:t xml:space="preserve">Tabela nr. </w:t>
      </w:r>
      <w:r w:rsidR="00215DA2" w:rsidRPr="00B31292">
        <w:rPr>
          <w:rFonts w:ascii="Garamond" w:hAnsi="Garamond" w:cs="Times New Roman"/>
          <w:bCs/>
          <w:i/>
          <w:sz w:val="24"/>
          <w:szCs w:val="24"/>
        </w:rPr>
        <w:t>2</w:t>
      </w:r>
      <w:r w:rsidR="005F74C8">
        <w:rPr>
          <w:rFonts w:ascii="Garamond" w:hAnsi="Garamond" w:cs="Times New Roman"/>
          <w:bCs/>
          <w:i/>
          <w:sz w:val="24"/>
          <w:szCs w:val="24"/>
        </w:rPr>
        <w:t>6</w:t>
      </w:r>
      <w:r w:rsidR="002E40BF" w:rsidRPr="00B31292">
        <w:rPr>
          <w:rFonts w:ascii="Garamond" w:hAnsi="Garamond" w:cs="Times New Roman"/>
          <w:bCs/>
          <w:i/>
          <w:sz w:val="24"/>
          <w:szCs w:val="24"/>
        </w:rPr>
        <w:t>:</w:t>
      </w:r>
      <w:r w:rsidRPr="00B31292">
        <w:rPr>
          <w:rFonts w:ascii="Garamond" w:hAnsi="Garamond" w:cs="Times New Roman"/>
          <w:bCs/>
          <w:i/>
          <w:sz w:val="24"/>
          <w:szCs w:val="24"/>
        </w:rPr>
        <w:t xml:space="preserve"> Risqet dhe nivelet e tyre për secilën fushë statistikore</w:t>
      </w:r>
    </w:p>
    <w:p w14:paraId="7C3D068F" w14:textId="4FE6A3B6" w:rsidR="004F35E8" w:rsidRPr="00B31292" w:rsidRDefault="004F35E8" w:rsidP="003A4DBA">
      <w:pPr>
        <w:shd w:val="clear" w:color="auto" w:fill="FFFFFF" w:themeFill="background1"/>
        <w:tabs>
          <w:tab w:val="left" w:pos="2355"/>
        </w:tabs>
        <w:spacing w:after="0" w:line="240" w:lineRule="auto"/>
        <w:ind w:firstLine="284"/>
        <w:jc w:val="both"/>
        <w:rPr>
          <w:rFonts w:ascii="Garamond" w:hAnsi="Garamond" w:cs="Times New Roman"/>
          <w:b/>
          <w:i/>
          <w:sz w:val="24"/>
          <w:szCs w:val="24"/>
        </w:rPr>
      </w:pPr>
      <w:r w:rsidRPr="00B31292">
        <w:rPr>
          <w:rFonts w:ascii="Garamond" w:hAnsi="Garamond" w:cs="Times New Roman"/>
          <w:b/>
          <w:i/>
          <w:noProof/>
          <w:sz w:val="24"/>
          <w:szCs w:val="24"/>
          <w:lang w:val="en-US"/>
        </w:rPr>
        <w:drawing>
          <wp:inline distT="0" distB="0" distL="0" distR="0" wp14:anchorId="5E2358E7" wp14:editId="6B0701B0">
            <wp:extent cx="5731510" cy="4908550"/>
            <wp:effectExtent l="0" t="0" r="254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731510" cy="4908550"/>
                    </a:xfrm>
                    <a:prstGeom prst="rect">
                      <a:avLst/>
                    </a:prstGeom>
                  </pic:spPr>
                </pic:pic>
              </a:graphicData>
            </a:graphic>
          </wp:inline>
        </w:drawing>
      </w:r>
    </w:p>
    <w:p w14:paraId="318CB797" w14:textId="16C45D2B" w:rsidR="008B482F" w:rsidRPr="00B31292" w:rsidRDefault="008B482F" w:rsidP="003A4DBA">
      <w:pPr>
        <w:shd w:val="clear" w:color="auto" w:fill="FFFFFF" w:themeFill="background1"/>
        <w:tabs>
          <w:tab w:val="left" w:pos="709"/>
        </w:tabs>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Për reduktimin e risqeve, INSTAT</w:t>
      </w:r>
      <w:r w:rsidR="002E40BF" w:rsidRPr="00B31292">
        <w:rPr>
          <w:rFonts w:ascii="Garamond" w:hAnsi="Garamond" w:cs="Times New Roman"/>
          <w:sz w:val="24"/>
          <w:szCs w:val="24"/>
        </w:rPr>
        <w:t>-i</w:t>
      </w:r>
      <w:r w:rsidRPr="00B31292">
        <w:rPr>
          <w:rFonts w:ascii="Garamond" w:hAnsi="Garamond" w:cs="Times New Roman"/>
          <w:sz w:val="24"/>
          <w:szCs w:val="24"/>
        </w:rPr>
        <w:t xml:space="preserve"> ka ndërmarrë një sërë iniciativash</w:t>
      </w:r>
      <w:r w:rsidR="002020A0" w:rsidRPr="00B31292">
        <w:rPr>
          <w:rFonts w:ascii="Garamond" w:hAnsi="Garamond" w:cs="Times New Roman"/>
          <w:sz w:val="24"/>
          <w:szCs w:val="24"/>
        </w:rPr>
        <w:t>,</w:t>
      </w:r>
      <w:r w:rsidRPr="00B31292">
        <w:rPr>
          <w:rFonts w:ascii="Garamond" w:hAnsi="Garamond" w:cs="Times New Roman"/>
          <w:sz w:val="24"/>
          <w:szCs w:val="24"/>
        </w:rPr>
        <w:t xml:space="preserve"> të cilat kanë të bëjnë me formalizimin e veprimtarive të planifikimit, zbatimit, monitorimit dhe raportimit të aktiviteteve statistikore. Për të përmirësuar sigurinë ndaj sulmeve kibernetike, INSTAT</w:t>
      </w:r>
      <w:r w:rsidR="002E40BF" w:rsidRPr="00B31292">
        <w:rPr>
          <w:rFonts w:ascii="Garamond" w:hAnsi="Garamond" w:cs="Times New Roman"/>
          <w:sz w:val="24"/>
          <w:szCs w:val="24"/>
        </w:rPr>
        <w:t>-i</w:t>
      </w:r>
      <w:r w:rsidRPr="00B31292">
        <w:rPr>
          <w:rFonts w:ascii="Garamond" w:hAnsi="Garamond" w:cs="Times New Roman"/>
          <w:sz w:val="24"/>
          <w:szCs w:val="24"/>
        </w:rPr>
        <w:t xml:space="preserve"> ka implementuar masa specifike mbrojtëse, duke përfshirë ngritjen e infrastrukturave të avancuara të sigurisë kibernetike, përditësimin e vazhdueshëm të protokolleve të sigurisë, zbatimin e sistemeve të monitorimit për zbulimin e hershëm të kërcënimeve dhe trajnimin periodik të stafit për mbrojtjen e të dhënave. </w:t>
      </w:r>
    </w:p>
    <w:p w14:paraId="7E6BED60" w14:textId="55F6B00F" w:rsidR="008B482F" w:rsidRPr="00B31292" w:rsidRDefault="00EE716C" w:rsidP="003A4DBA">
      <w:pPr>
        <w:shd w:val="clear" w:color="auto" w:fill="FFFFFF" w:themeFill="background1"/>
        <w:tabs>
          <w:tab w:val="left" w:pos="709"/>
        </w:tabs>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 xml:space="preserve"> </w:t>
      </w:r>
      <w:r w:rsidR="008B482F" w:rsidRPr="00B31292">
        <w:rPr>
          <w:rFonts w:ascii="Garamond" w:hAnsi="Garamond" w:cs="Times New Roman"/>
          <w:sz w:val="24"/>
          <w:szCs w:val="24"/>
        </w:rPr>
        <w:t>Gjithashtu, për të reduktuar vonesat në transmetimin e informacionit, si dhe për të përmirësuar cilësinë e të dhënave administrative që sigurohen nga institucionet prodhuese, gjatë vitit 2025, INSTAT</w:t>
      </w:r>
      <w:r w:rsidR="002E40BF" w:rsidRPr="00B31292">
        <w:rPr>
          <w:rFonts w:ascii="Garamond" w:hAnsi="Garamond" w:cs="Times New Roman"/>
          <w:sz w:val="24"/>
          <w:szCs w:val="24"/>
        </w:rPr>
        <w:t>-i</w:t>
      </w:r>
      <w:r w:rsidR="008B482F" w:rsidRPr="00B31292">
        <w:rPr>
          <w:rFonts w:ascii="Garamond" w:hAnsi="Garamond" w:cs="Times New Roman"/>
          <w:sz w:val="24"/>
          <w:szCs w:val="24"/>
        </w:rPr>
        <w:t xml:space="preserve"> ka negociuar me institucionet publike marrëveshje mirëkuptimi</w:t>
      </w:r>
      <w:r w:rsidR="00466F72" w:rsidRPr="00B31292">
        <w:rPr>
          <w:rFonts w:ascii="Garamond" w:hAnsi="Garamond" w:cs="Times New Roman"/>
          <w:sz w:val="24"/>
          <w:szCs w:val="24"/>
        </w:rPr>
        <w:t>,</w:t>
      </w:r>
      <w:r w:rsidR="008B482F" w:rsidRPr="00B31292">
        <w:rPr>
          <w:rFonts w:ascii="Garamond" w:hAnsi="Garamond" w:cs="Times New Roman"/>
          <w:sz w:val="24"/>
          <w:szCs w:val="24"/>
        </w:rPr>
        <w:t xml:space="preserve"> duke përcaktuar detyra dhe përgjegjësi të qarta ndërinstitucionale, ngritje grupesh pune dhe përcaktimin e formave dhe afateve të transmetimit të të dhënave të nevojshme. Ndikim të drejtpërdrejtë në reduktimin e risqeve kanë edhe aktivitetet zbatuese për arritjen e objektivave strategjikë të zhvillimit të Sistemit Kombëtar Statistikor, të reflektuara në </w:t>
      </w:r>
      <w:r w:rsidR="002E40BF" w:rsidRPr="00B31292">
        <w:rPr>
          <w:rFonts w:ascii="Garamond" w:hAnsi="Garamond" w:cs="Times New Roman"/>
          <w:sz w:val="24"/>
          <w:szCs w:val="24"/>
        </w:rPr>
        <w:t>s</w:t>
      </w:r>
      <w:r w:rsidR="008B482F" w:rsidRPr="00B31292">
        <w:rPr>
          <w:rFonts w:ascii="Garamond" w:hAnsi="Garamond" w:cs="Times New Roman"/>
          <w:sz w:val="24"/>
          <w:szCs w:val="24"/>
        </w:rPr>
        <w:t>eksionin II të këtij dokumenti.</w:t>
      </w:r>
    </w:p>
    <w:p w14:paraId="0D7E6DB2" w14:textId="771B5D7D" w:rsidR="00032EB4" w:rsidRPr="00B31292" w:rsidRDefault="003B2EB1" w:rsidP="003A4DBA">
      <w:pPr>
        <w:pStyle w:val="Heading2"/>
        <w:spacing w:before="0" w:line="240" w:lineRule="auto"/>
        <w:ind w:firstLine="284"/>
        <w:rPr>
          <w:rFonts w:ascii="Garamond" w:hAnsi="Garamond"/>
          <w:color w:val="auto"/>
          <w:sz w:val="24"/>
          <w:szCs w:val="24"/>
        </w:rPr>
      </w:pPr>
      <w:bookmarkStart w:id="49" w:name="_Toc182991983"/>
      <w:r w:rsidRPr="00B31292">
        <w:rPr>
          <w:rFonts w:ascii="Garamond" w:hAnsi="Garamond"/>
          <w:color w:val="auto"/>
          <w:sz w:val="24"/>
          <w:szCs w:val="24"/>
        </w:rPr>
        <w:t>X</w:t>
      </w:r>
      <w:r w:rsidR="00B31292" w:rsidRPr="00B31292">
        <w:rPr>
          <w:rFonts w:ascii="Garamond" w:hAnsi="Garamond"/>
          <w:color w:val="auto"/>
          <w:sz w:val="24"/>
          <w:szCs w:val="24"/>
        </w:rPr>
        <w:t>I</w:t>
      </w:r>
      <w:r w:rsidR="00024A60" w:rsidRPr="00B31292">
        <w:rPr>
          <w:rFonts w:ascii="Garamond" w:hAnsi="Garamond"/>
          <w:color w:val="auto"/>
          <w:sz w:val="24"/>
          <w:szCs w:val="24"/>
        </w:rPr>
        <w:t xml:space="preserve">. Notë shpjeguese për përdorimin e </w:t>
      </w:r>
      <w:r w:rsidR="002E40BF" w:rsidRPr="00B31292">
        <w:rPr>
          <w:rFonts w:ascii="Garamond" w:hAnsi="Garamond"/>
          <w:color w:val="auto"/>
          <w:sz w:val="24"/>
          <w:szCs w:val="24"/>
        </w:rPr>
        <w:t>a</w:t>
      </w:r>
      <w:r w:rsidR="00024A60" w:rsidRPr="00B31292">
        <w:rPr>
          <w:rFonts w:ascii="Garamond" w:hAnsi="Garamond"/>
          <w:color w:val="auto"/>
          <w:sz w:val="24"/>
          <w:szCs w:val="24"/>
        </w:rPr>
        <w:t>neksit</w:t>
      </w:r>
      <w:bookmarkEnd w:id="49"/>
      <w:r w:rsidR="00024A60" w:rsidRPr="00B31292">
        <w:rPr>
          <w:rFonts w:ascii="Garamond" w:hAnsi="Garamond"/>
          <w:color w:val="auto"/>
          <w:sz w:val="24"/>
          <w:szCs w:val="24"/>
        </w:rPr>
        <w:t xml:space="preserve"> </w:t>
      </w:r>
    </w:p>
    <w:p w14:paraId="11DE3172" w14:textId="6810DF41" w:rsidR="00024A60" w:rsidRPr="00B31292" w:rsidRDefault="00024A60" w:rsidP="003A4DBA">
      <w:pPr>
        <w:shd w:val="clear" w:color="auto" w:fill="FFFFFF" w:themeFill="background1"/>
        <w:tabs>
          <w:tab w:val="left" w:pos="2355"/>
        </w:tabs>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Aneksi</w:t>
      </w:r>
      <w:r w:rsidR="002E2911" w:rsidRPr="00B31292">
        <w:rPr>
          <w:rFonts w:ascii="Garamond" w:hAnsi="Garamond" w:cs="Times New Roman"/>
          <w:sz w:val="24"/>
          <w:szCs w:val="24"/>
        </w:rPr>
        <w:t xml:space="preserve"> </w:t>
      </w:r>
      <w:r w:rsidRPr="00B31292">
        <w:rPr>
          <w:rFonts w:ascii="Garamond" w:hAnsi="Garamond" w:cs="Times New Roman"/>
          <w:sz w:val="24"/>
          <w:szCs w:val="24"/>
        </w:rPr>
        <w:t>i Planit Vjetor 202</w:t>
      </w:r>
      <w:r w:rsidR="00D3704B" w:rsidRPr="00B31292">
        <w:rPr>
          <w:rFonts w:ascii="Garamond" w:hAnsi="Garamond" w:cs="Times New Roman"/>
          <w:sz w:val="24"/>
          <w:szCs w:val="24"/>
        </w:rPr>
        <w:t>5</w:t>
      </w:r>
      <w:r w:rsidRPr="00B31292">
        <w:rPr>
          <w:rFonts w:ascii="Garamond" w:hAnsi="Garamond" w:cs="Times New Roman"/>
          <w:sz w:val="24"/>
          <w:szCs w:val="24"/>
        </w:rPr>
        <w:t xml:space="preserve"> është hartuar sipas klasifikimit të përcaktuar në </w:t>
      </w:r>
      <w:r w:rsidR="002E40BF" w:rsidRPr="00B31292">
        <w:rPr>
          <w:rFonts w:ascii="Garamond" w:hAnsi="Garamond" w:cs="Times New Roman"/>
          <w:sz w:val="24"/>
          <w:szCs w:val="24"/>
        </w:rPr>
        <w:t>s</w:t>
      </w:r>
      <w:r w:rsidRPr="00B31292">
        <w:rPr>
          <w:rFonts w:ascii="Garamond" w:hAnsi="Garamond" w:cs="Times New Roman"/>
          <w:sz w:val="24"/>
          <w:szCs w:val="24"/>
        </w:rPr>
        <w:t>htojcën 1</w:t>
      </w:r>
      <w:r w:rsidR="00466F72" w:rsidRPr="00B31292">
        <w:rPr>
          <w:rFonts w:ascii="Garamond" w:hAnsi="Garamond" w:cs="Times New Roman"/>
          <w:sz w:val="24"/>
          <w:szCs w:val="24"/>
        </w:rPr>
        <w:t>,</w:t>
      </w:r>
      <w:r w:rsidRPr="00B31292">
        <w:rPr>
          <w:rFonts w:ascii="Garamond" w:hAnsi="Garamond" w:cs="Times New Roman"/>
          <w:sz w:val="24"/>
          <w:szCs w:val="24"/>
        </w:rPr>
        <w:t xml:space="preserve"> të ligjit të statistikave zyrtare (</w:t>
      </w:r>
      <w:r w:rsidR="002E40BF" w:rsidRPr="00B31292">
        <w:rPr>
          <w:rFonts w:ascii="Garamond" w:hAnsi="Garamond" w:cs="Times New Roman"/>
          <w:sz w:val="24"/>
          <w:szCs w:val="24"/>
        </w:rPr>
        <w:t>f</w:t>
      </w:r>
      <w:r w:rsidRPr="00B31292">
        <w:rPr>
          <w:rFonts w:ascii="Garamond" w:hAnsi="Garamond" w:cs="Times New Roman"/>
          <w:sz w:val="24"/>
          <w:szCs w:val="24"/>
        </w:rPr>
        <w:t xml:space="preserve">ushë/temë/nëntemë) duke ndjekur përmbajtjen e Programit të Statistikave Zyrtare </w:t>
      </w:r>
      <w:r w:rsidR="002277EC" w:rsidRPr="00B31292">
        <w:rPr>
          <w:rFonts w:ascii="Garamond" w:hAnsi="Garamond" w:cs="Times New Roman"/>
          <w:sz w:val="24"/>
          <w:szCs w:val="24"/>
        </w:rPr>
        <w:t>2022–2026</w:t>
      </w:r>
      <w:r w:rsidRPr="00B31292">
        <w:rPr>
          <w:rFonts w:ascii="Garamond" w:hAnsi="Garamond" w:cs="Times New Roman"/>
          <w:sz w:val="24"/>
          <w:szCs w:val="24"/>
        </w:rPr>
        <w:t xml:space="preserve"> për çdo modul. Përputhja e moduleve me temën është në linjë me klasifikimin statistikor të </w:t>
      </w:r>
      <w:r w:rsidR="00AF6064" w:rsidRPr="00B31292">
        <w:rPr>
          <w:rFonts w:ascii="Garamond" w:hAnsi="Garamond" w:cs="Times New Roman"/>
          <w:sz w:val="24"/>
          <w:szCs w:val="24"/>
        </w:rPr>
        <w:t>K</w:t>
      </w:r>
      <w:r w:rsidRPr="00B31292">
        <w:rPr>
          <w:rFonts w:ascii="Garamond" w:hAnsi="Garamond" w:cs="Times New Roman"/>
          <w:sz w:val="24"/>
          <w:szCs w:val="24"/>
        </w:rPr>
        <w:t>ompendium 20</w:t>
      </w:r>
      <w:r w:rsidR="00D3704B" w:rsidRPr="00B31292">
        <w:rPr>
          <w:rFonts w:ascii="Garamond" w:hAnsi="Garamond" w:cs="Times New Roman"/>
          <w:sz w:val="24"/>
          <w:szCs w:val="24"/>
        </w:rPr>
        <w:t>24</w:t>
      </w:r>
      <w:r w:rsidRPr="00B31292">
        <w:rPr>
          <w:rFonts w:ascii="Garamond" w:hAnsi="Garamond" w:cs="Times New Roman"/>
          <w:sz w:val="24"/>
          <w:szCs w:val="24"/>
        </w:rPr>
        <w:t xml:space="preserve"> të </w:t>
      </w:r>
      <w:r w:rsidR="009C0CE9" w:rsidRPr="00B31292">
        <w:rPr>
          <w:rFonts w:ascii="Garamond" w:hAnsi="Garamond" w:cs="Times New Roman"/>
          <w:sz w:val="24"/>
          <w:szCs w:val="24"/>
        </w:rPr>
        <w:t>Eurostat</w:t>
      </w:r>
      <w:r w:rsidR="00466F72" w:rsidRPr="00B31292">
        <w:rPr>
          <w:rFonts w:ascii="Garamond" w:hAnsi="Garamond" w:cs="Times New Roman"/>
          <w:sz w:val="24"/>
          <w:szCs w:val="24"/>
        </w:rPr>
        <w:t>it</w:t>
      </w:r>
      <w:r w:rsidRPr="00B31292">
        <w:rPr>
          <w:rFonts w:ascii="Garamond" w:hAnsi="Garamond" w:cs="Times New Roman"/>
          <w:sz w:val="24"/>
          <w:szCs w:val="24"/>
        </w:rPr>
        <w:t>. Çdo aktivitet statistikor i parashikuar për një temë të caktuar, shoqërohet me kolona të cilat tregojnë:</w:t>
      </w:r>
    </w:p>
    <w:p w14:paraId="7FAE7061" w14:textId="77777777" w:rsidR="00024A60" w:rsidRPr="00B31292" w:rsidRDefault="00024A60" w:rsidP="003A4DBA">
      <w:pPr>
        <w:shd w:val="clear" w:color="auto" w:fill="FFFFFF" w:themeFill="background1"/>
        <w:tabs>
          <w:tab w:val="left" w:pos="2355"/>
        </w:tabs>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 Kodi i aktivitetit;</w:t>
      </w:r>
    </w:p>
    <w:p w14:paraId="621A2CDA" w14:textId="77777777" w:rsidR="00024A60" w:rsidRPr="00B31292" w:rsidRDefault="00024A60" w:rsidP="003A4DBA">
      <w:pPr>
        <w:shd w:val="clear" w:color="auto" w:fill="FFFFFF" w:themeFill="background1"/>
        <w:tabs>
          <w:tab w:val="left" w:pos="2355"/>
        </w:tabs>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 Emërtimi i aktivitetit;</w:t>
      </w:r>
    </w:p>
    <w:p w14:paraId="21378B87" w14:textId="6A51C1A3" w:rsidR="00024A60" w:rsidRPr="00B31292" w:rsidRDefault="00024A60" w:rsidP="003A4DBA">
      <w:pPr>
        <w:shd w:val="clear" w:color="auto" w:fill="FFFFFF" w:themeFill="background1"/>
        <w:tabs>
          <w:tab w:val="left" w:pos="2355"/>
        </w:tabs>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lastRenderedPageBreak/>
        <w:t>- Lloji i aktivitetit</w:t>
      </w:r>
      <w:r w:rsidR="00466F72" w:rsidRPr="00B31292">
        <w:rPr>
          <w:rFonts w:ascii="Garamond" w:hAnsi="Garamond" w:cs="Times New Roman"/>
          <w:sz w:val="24"/>
          <w:szCs w:val="24"/>
        </w:rPr>
        <w:t>.</w:t>
      </w:r>
    </w:p>
    <w:p w14:paraId="6AF075D5" w14:textId="24F3B9EA" w:rsidR="00144F5C" w:rsidRPr="00B31292" w:rsidRDefault="001A6EBE" w:rsidP="003A4DBA">
      <w:pPr>
        <w:shd w:val="clear" w:color="auto" w:fill="FFFFFF" w:themeFill="background1"/>
        <w:tabs>
          <w:tab w:val="left" w:pos="2355"/>
        </w:tabs>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 xml:space="preserve">Përqindja e të dhënave nga </w:t>
      </w:r>
      <w:r w:rsidR="00466F72" w:rsidRPr="00B31292">
        <w:rPr>
          <w:rFonts w:ascii="Garamond" w:hAnsi="Garamond" w:cs="Times New Roman"/>
          <w:sz w:val="24"/>
          <w:szCs w:val="24"/>
        </w:rPr>
        <w:t>b</w:t>
      </w:r>
      <w:r w:rsidRPr="00B31292">
        <w:rPr>
          <w:rFonts w:ascii="Garamond" w:hAnsi="Garamond" w:cs="Times New Roman"/>
          <w:sz w:val="24"/>
          <w:szCs w:val="24"/>
        </w:rPr>
        <w:t>urimi administrativ/vrojtimi</w:t>
      </w:r>
      <w:r w:rsidR="00466F72" w:rsidRPr="00B31292">
        <w:rPr>
          <w:rFonts w:ascii="Garamond" w:hAnsi="Garamond" w:cs="Times New Roman"/>
          <w:sz w:val="24"/>
          <w:szCs w:val="24"/>
        </w:rPr>
        <w:t>:</w:t>
      </w:r>
    </w:p>
    <w:p w14:paraId="25E56AA3" w14:textId="77777777" w:rsidR="00024A60" w:rsidRPr="00B31292" w:rsidRDefault="00024A60" w:rsidP="003A4DBA">
      <w:pPr>
        <w:shd w:val="clear" w:color="auto" w:fill="FFFFFF" w:themeFill="background1"/>
        <w:tabs>
          <w:tab w:val="left" w:pos="2355"/>
        </w:tabs>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 Periodiciteti;</w:t>
      </w:r>
    </w:p>
    <w:p w14:paraId="6D38A53C" w14:textId="7CF1EE5A" w:rsidR="00024A60" w:rsidRPr="00B31292" w:rsidRDefault="00024A60" w:rsidP="003A4DBA">
      <w:pPr>
        <w:shd w:val="clear" w:color="auto" w:fill="FFFFFF" w:themeFill="background1"/>
        <w:tabs>
          <w:tab w:val="left" w:pos="2355"/>
        </w:tabs>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 xml:space="preserve">- </w:t>
      </w:r>
      <w:r w:rsidR="0048797B" w:rsidRPr="00B31292">
        <w:rPr>
          <w:rFonts w:ascii="Garamond" w:hAnsi="Garamond" w:cs="Times New Roman"/>
          <w:sz w:val="24"/>
          <w:szCs w:val="24"/>
        </w:rPr>
        <w:t>Treguesit</w:t>
      </w:r>
      <w:r w:rsidRPr="00B31292">
        <w:rPr>
          <w:rFonts w:ascii="Garamond" w:hAnsi="Garamond" w:cs="Times New Roman"/>
          <w:sz w:val="24"/>
          <w:szCs w:val="24"/>
        </w:rPr>
        <w:t xml:space="preserve"> </w:t>
      </w:r>
      <w:r w:rsidR="00466F72" w:rsidRPr="00B31292">
        <w:rPr>
          <w:rFonts w:ascii="Garamond" w:hAnsi="Garamond" w:cs="Times New Roman"/>
          <w:sz w:val="24"/>
          <w:szCs w:val="24"/>
        </w:rPr>
        <w:t>s</w:t>
      </w:r>
      <w:r w:rsidRPr="00B31292">
        <w:rPr>
          <w:rFonts w:ascii="Garamond" w:hAnsi="Garamond" w:cs="Times New Roman"/>
          <w:sz w:val="24"/>
          <w:szCs w:val="24"/>
        </w:rPr>
        <w:t>tatistikorë</w:t>
      </w:r>
      <w:r w:rsidR="00466F72" w:rsidRPr="00B31292">
        <w:rPr>
          <w:rFonts w:ascii="Garamond" w:hAnsi="Garamond" w:cs="Times New Roman"/>
          <w:sz w:val="24"/>
          <w:szCs w:val="24"/>
        </w:rPr>
        <w:t>;</w:t>
      </w:r>
    </w:p>
    <w:p w14:paraId="3127ED94" w14:textId="77777777" w:rsidR="00024A60" w:rsidRPr="00B31292" w:rsidRDefault="00024A60" w:rsidP="003A4DBA">
      <w:pPr>
        <w:shd w:val="clear" w:color="auto" w:fill="FFFFFF" w:themeFill="background1"/>
        <w:tabs>
          <w:tab w:val="left" w:pos="2355"/>
        </w:tabs>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 Afati i grumbullimit të të dhënave;</w:t>
      </w:r>
    </w:p>
    <w:p w14:paraId="63D20721" w14:textId="77777777" w:rsidR="00024A60" w:rsidRPr="00B31292" w:rsidRDefault="00024A60" w:rsidP="003A4DBA">
      <w:pPr>
        <w:shd w:val="clear" w:color="auto" w:fill="FFFFFF" w:themeFill="background1"/>
        <w:tabs>
          <w:tab w:val="left" w:pos="2355"/>
        </w:tabs>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 Afati i përpunimit të të dhënave</w:t>
      </w:r>
    </w:p>
    <w:p w14:paraId="0B6857F4" w14:textId="77777777" w:rsidR="00024A60" w:rsidRPr="00B31292" w:rsidRDefault="00024A60" w:rsidP="003A4DBA">
      <w:pPr>
        <w:shd w:val="clear" w:color="auto" w:fill="FFFFFF" w:themeFill="background1"/>
        <w:tabs>
          <w:tab w:val="left" w:pos="2355"/>
        </w:tabs>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 Afati i publikimit të rezultateve;</w:t>
      </w:r>
    </w:p>
    <w:p w14:paraId="3D02F2C0" w14:textId="77777777" w:rsidR="00024A60" w:rsidRPr="00B31292" w:rsidRDefault="00024A60" w:rsidP="003A4DBA">
      <w:pPr>
        <w:shd w:val="clear" w:color="auto" w:fill="FFFFFF" w:themeFill="background1"/>
        <w:tabs>
          <w:tab w:val="left" w:pos="2355"/>
        </w:tabs>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 Institucionet përgjegjëse për furnizimin me të dhëna;</w:t>
      </w:r>
    </w:p>
    <w:p w14:paraId="352771B0" w14:textId="77777777" w:rsidR="00024A60" w:rsidRPr="00B31292" w:rsidRDefault="00024A60" w:rsidP="003A4DBA">
      <w:pPr>
        <w:shd w:val="clear" w:color="auto" w:fill="FFFFFF" w:themeFill="background1"/>
        <w:tabs>
          <w:tab w:val="left" w:pos="2355"/>
        </w:tabs>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 Institucioni përgjegjës për aktivitetin;</w:t>
      </w:r>
    </w:p>
    <w:p w14:paraId="454140C8" w14:textId="77777777" w:rsidR="00024A60" w:rsidRPr="00B31292" w:rsidRDefault="00024A60" w:rsidP="003A4DBA">
      <w:pPr>
        <w:shd w:val="clear" w:color="auto" w:fill="FFFFFF" w:themeFill="background1"/>
        <w:tabs>
          <w:tab w:val="left" w:pos="2355"/>
        </w:tabs>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 Risku i pritshëm;</w:t>
      </w:r>
    </w:p>
    <w:p w14:paraId="735F1C4F" w14:textId="77777777" w:rsidR="00024A60" w:rsidRPr="00B31292" w:rsidRDefault="00024A60" w:rsidP="003A4DBA">
      <w:pPr>
        <w:shd w:val="clear" w:color="auto" w:fill="FFFFFF" w:themeFill="background1"/>
        <w:tabs>
          <w:tab w:val="left" w:pos="2355"/>
        </w:tabs>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 Niveli i riskut;</w:t>
      </w:r>
    </w:p>
    <w:p w14:paraId="22CDF2DE" w14:textId="77777777" w:rsidR="00024A60" w:rsidRPr="00B31292" w:rsidRDefault="00024A60" w:rsidP="003A4DBA">
      <w:pPr>
        <w:shd w:val="clear" w:color="auto" w:fill="FFFFFF" w:themeFill="background1"/>
        <w:tabs>
          <w:tab w:val="left" w:pos="2355"/>
        </w:tabs>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 Burimi financiar për mbulimin e aktivitetit.</w:t>
      </w:r>
    </w:p>
    <w:p w14:paraId="51EB0557" w14:textId="7C688474" w:rsidR="00024A60" w:rsidRPr="00B31292" w:rsidRDefault="00024A60" w:rsidP="003A4DBA">
      <w:pPr>
        <w:shd w:val="clear" w:color="auto" w:fill="FFFFFF" w:themeFill="background1"/>
        <w:tabs>
          <w:tab w:val="left" w:pos="2355"/>
        </w:tabs>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 xml:space="preserve">Shkurtimet </w:t>
      </w:r>
      <w:r w:rsidR="00BA12C3" w:rsidRPr="00B31292">
        <w:rPr>
          <w:rFonts w:ascii="Garamond" w:hAnsi="Garamond" w:cs="Times New Roman"/>
          <w:sz w:val="24"/>
          <w:szCs w:val="24"/>
        </w:rPr>
        <w:t>“</w:t>
      </w:r>
      <w:r w:rsidRPr="00B31292">
        <w:rPr>
          <w:rFonts w:ascii="Garamond" w:hAnsi="Garamond" w:cs="Times New Roman"/>
          <w:sz w:val="24"/>
          <w:szCs w:val="24"/>
        </w:rPr>
        <w:t>D</w:t>
      </w:r>
      <w:r w:rsidR="00BA12C3" w:rsidRPr="00B31292">
        <w:rPr>
          <w:rFonts w:ascii="Garamond" w:hAnsi="Garamond" w:cs="Times New Roman"/>
          <w:sz w:val="24"/>
          <w:szCs w:val="24"/>
        </w:rPr>
        <w:t>”</w:t>
      </w:r>
      <w:r w:rsidRPr="00B31292">
        <w:rPr>
          <w:rFonts w:ascii="Garamond" w:hAnsi="Garamond" w:cs="Times New Roman"/>
          <w:sz w:val="24"/>
          <w:szCs w:val="24"/>
        </w:rPr>
        <w:t xml:space="preserve">, </w:t>
      </w:r>
      <w:r w:rsidR="00BA12C3" w:rsidRPr="00B31292">
        <w:rPr>
          <w:rFonts w:ascii="Garamond" w:hAnsi="Garamond" w:cs="Times New Roman"/>
          <w:sz w:val="24"/>
          <w:szCs w:val="24"/>
        </w:rPr>
        <w:t>“</w:t>
      </w:r>
      <w:r w:rsidRPr="00B31292">
        <w:rPr>
          <w:rFonts w:ascii="Garamond" w:hAnsi="Garamond" w:cs="Times New Roman"/>
          <w:sz w:val="24"/>
          <w:szCs w:val="24"/>
        </w:rPr>
        <w:t>M</w:t>
      </w:r>
      <w:r w:rsidR="00BA12C3" w:rsidRPr="00B31292">
        <w:rPr>
          <w:rFonts w:ascii="Garamond" w:hAnsi="Garamond" w:cs="Times New Roman"/>
          <w:sz w:val="24"/>
          <w:szCs w:val="24"/>
        </w:rPr>
        <w:t>”</w:t>
      </w:r>
      <w:r w:rsidRPr="00B31292">
        <w:rPr>
          <w:rFonts w:ascii="Garamond" w:hAnsi="Garamond" w:cs="Times New Roman"/>
          <w:sz w:val="24"/>
          <w:szCs w:val="24"/>
        </w:rPr>
        <w:t xml:space="preserve">, </w:t>
      </w:r>
      <w:r w:rsidR="00BA12C3" w:rsidRPr="00B31292">
        <w:rPr>
          <w:rFonts w:ascii="Garamond" w:hAnsi="Garamond" w:cs="Times New Roman"/>
          <w:sz w:val="24"/>
          <w:szCs w:val="24"/>
        </w:rPr>
        <w:t>“</w:t>
      </w:r>
      <w:r w:rsidRPr="00B31292">
        <w:rPr>
          <w:rFonts w:ascii="Garamond" w:hAnsi="Garamond" w:cs="Times New Roman"/>
          <w:sz w:val="24"/>
          <w:szCs w:val="24"/>
        </w:rPr>
        <w:t>T</w:t>
      </w:r>
      <w:r w:rsidR="00BA12C3" w:rsidRPr="00B31292">
        <w:rPr>
          <w:rFonts w:ascii="Garamond" w:hAnsi="Garamond" w:cs="Times New Roman"/>
          <w:sz w:val="24"/>
          <w:szCs w:val="24"/>
        </w:rPr>
        <w:t>”</w:t>
      </w:r>
      <w:r w:rsidRPr="00B31292">
        <w:rPr>
          <w:rFonts w:ascii="Garamond" w:hAnsi="Garamond" w:cs="Times New Roman"/>
          <w:sz w:val="24"/>
          <w:szCs w:val="24"/>
        </w:rPr>
        <w:t xml:space="preserve"> dhe </w:t>
      </w:r>
      <w:r w:rsidR="00BA12C3" w:rsidRPr="00B31292">
        <w:rPr>
          <w:rFonts w:ascii="Garamond" w:hAnsi="Garamond" w:cs="Times New Roman"/>
          <w:sz w:val="24"/>
          <w:szCs w:val="24"/>
        </w:rPr>
        <w:t>“</w:t>
      </w:r>
      <w:r w:rsidRPr="00B31292">
        <w:rPr>
          <w:rFonts w:ascii="Garamond" w:hAnsi="Garamond" w:cs="Times New Roman"/>
          <w:sz w:val="24"/>
          <w:szCs w:val="24"/>
        </w:rPr>
        <w:t>V</w:t>
      </w:r>
      <w:r w:rsidR="00BA12C3" w:rsidRPr="00B31292">
        <w:rPr>
          <w:rFonts w:ascii="Garamond" w:hAnsi="Garamond" w:cs="Times New Roman"/>
          <w:sz w:val="24"/>
          <w:szCs w:val="24"/>
        </w:rPr>
        <w:t>”</w:t>
      </w:r>
      <w:r w:rsidRPr="00B31292">
        <w:rPr>
          <w:rFonts w:ascii="Garamond" w:hAnsi="Garamond" w:cs="Times New Roman"/>
          <w:sz w:val="24"/>
          <w:szCs w:val="24"/>
        </w:rPr>
        <w:t xml:space="preserve"> kanë kuptimin përkatësisht: </w:t>
      </w:r>
    </w:p>
    <w:p w14:paraId="4038BA84" w14:textId="171A7807" w:rsidR="00024A60" w:rsidRPr="00B31292" w:rsidRDefault="00024A60" w:rsidP="003A4DBA">
      <w:pPr>
        <w:shd w:val="clear" w:color="auto" w:fill="FFFFFF" w:themeFill="background1"/>
        <w:tabs>
          <w:tab w:val="left" w:pos="450"/>
        </w:tabs>
        <w:spacing w:after="0" w:line="240" w:lineRule="auto"/>
        <w:ind w:firstLine="284"/>
        <w:jc w:val="both"/>
        <w:rPr>
          <w:rFonts w:ascii="Garamond" w:hAnsi="Garamond" w:cs="Times New Roman"/>
          <w:sz w:val="24"/>
          <w:szCs w:val="24"/>
        </w:rPr>
      </w:pPr>
      <w:r w:rsidRPr="00B31292">
        <w:rPr>
          <w:rFonts w:ascii="Garamond" w:hAnsi="Garamond" w:cs="Times New Roman"/>
          <w:i/>
          <w:sz w:val="24"/>
          <w:szCs w:val="24"/>
        </w:rPr>
        <w:t>D</w:t>
      </w:r>
      <w:r w:rsidR="00EE716C" w:rsidRPr="00B31292">
        <w:rPr>
          <w:rFonts w:ascii="Garamond" w:hAnsi="Garamond" w:cs="Times New Roman"/>
          <w:sz w:val="24"/>
          <w:szCs w:val="24"/>
        </w:rPr>
        <w:t xml:space="preserve"> </w:t>
      </w:r>
      <w:r w:rsidR="00466F72" w:rsidRPr="00B31292">
        <w:rPr>
          <w:rFonts w:ascii="Garamond" w:hAnsi="Garamond" w:cs="Times New Roman"/>
          <w:sz w:val="24"/>
          <w:szCs w:val="24"/>
        </w:rPr>
        <w:t>–</w:t>
      </w:r>
      <w:r w:rsidRPr="00B31292">
        <w:rPr>
          <w:rFonts w:ascii="Garamond" w:hAnsi="Garamond" w:cs="Times New Roman"/>
          <w:sz w:val="24"/>
          <w:szCs w:val="24"/>
        </w:rPr>
        <w:t xml:space="preserve"> </w:t>
      </w:r>
      <w:r w:rsidR="00466F72" w:rsidRPr="00B31292">
        <w:rPr>
          <w:rFonts w:ascii="Garamond" w:hAnsi="Garamond" w:cs="Times New Roman"/>
          <w:sz w:val="24"/>
          <w:szCs w:val="24"/>
        </w:rPr>
        <w:t>d</w:t>
      </w:r>
      <w:r w:rsidRPr="00B31292">
        <w:rPr>
          <w:rFonts w:ascii="Garamond" w:hAnsi="Garamond" w:cs="Times New Roman"/>
          <w:sz w:val="24"/>
          <w:szCs w:val="24"/>
        </w:rPr>
        <w:t>itë</w:t>
      </w:r>
      <w:r w:rsidR="00466F72" w:rsidRPr="00B31292">
        <w:rPr>
          <w:rFonts w:ascii="Garamond" w:hAnsi="Garamond" w:cs="Times New Roman"/>
          <w:sz w:val="24"/>
          <w:szCs w:val="24"/>
        </w:rPr>
        <w:t>;</w:t>
      </w:r>
    </w:p>
    <w:p w14:paraId="5B58209C" w14:textId="342278FE" w:rsidR="00024A60" w:rsidRPr="00B31292" w:rsidRDefault="00024A60" w:rsidP="003A4DBA">
      <w:pPr>
        <w:shd w:val="clear" w:color="auto" w:fill="FFFFFF" w:themeFill="background1"/>
        <w:tabs>
          <w:tab w:val="left" w:pos="450"/>
        </w:tabs>
        <w:spacing w:after="0" w:line="240" w:lineRule="auto"/>
        <w:ind w:firstLine="284"/>
        <w:jc w:val="both"/>
        <w:rPr>
          <w:rFonts w:ascii="Garamond" w:hAnsi="Garamond" w:cs="Times New Roman"/>
          <w:sz w:val="24"/>
          <w:szCs w:val="24"/>
        </w:rPr>
      </w:pPr>
      <w:r w:rsidRPr="00B31292">
        <w:rPr>
          <w:rFonts w:ascii="Garamond" w:hAnsi="Garamond" w:cs="Times New Roman"/>
          <w:i/>
          <w:sz w:val="24"/>
          <w:szCs w:val="24"/>
        </w:rPr>
        <w:t>M</w:t>
      </w:r>
      <w:r w:rsidR="00EE716C" w:rsidRPr="00B31292">
        <w:rPr>
          <w:rFonts w:ascii="Garamond" w:hAnsi="Garamond" w:cs="Times New Roman"/>
          <w:sz w:val="24"/>
          <w:szCs w:val="24"/>
        </w:rPr>
        <w:t xml:space="preserve"> </w:t>
      </w:r>
      <w:r w:rsidR="00466F72" w:rsidRPr="00B31292">
        <w:rPr>
          <w:rFonts w:ascii="Garamond" w:hAnsi="Garamond" w:cs="Times New Roman"/>
          <w:sz w:val="24"/>
          <w:szCs w:val="24"/>
        </w:rPr>
        <w:t>–</w:t>
      </w:r>
      <w:r w:rsidRPr="00B31292">
        <w:rPr>
          <w:rFonts w:ascii="Garamond" w:hAnsi="Garamond" w:cs="Times New Roman"/>
          <w:sz w:val="24"/>
          <w:szCs w:val="24"/>
        </w:rPr>
        <w:t xml:space="preserve"> </w:t>
      </w:r>
      <w:r w:rsidR="00466F72" w:rsidRPr="00B31292">
        <w:rPr>
          <w:rFonts w:ascii="Garamond" w:hAnsi="Garamond" w:cs="Times New Roman"/>
          <w:sz w:val="24"/>
          <w:szCs w:val="24"/>
        </w:rPr>
        <w:t>m</w:t>
      </w:r>
      <w:r w:rsidRPr="00B31292">
        <w:rPr>
          <w:rFonts w:ascii="Garamond" w:hAnsi="Garamond" w:cs="Times New Roman"/>
          <w:sz w:val="24"/>
          <w:szCs w:val="24"/>
        </w:rPr>
        <w:t>uaj</w:t>
      </w:r>
      <w:r w:rsidR="00466F72" w:rsidRPr="00B31292">
        <w:rPr>
          <w:rFonts w:ascii="Garamond" w:hAnsi="Garamond" w:cs="Times New Roman"/>
          <w:sz w:val="24"/>
          <w:szCs w:val="24"/>
        </w:rPr>
        <w:t>;</w:t>
      </w:r>
    </w:p>
    <w:p w14:paraId="5EE7E586" w14:textId="7345379A" w:rsidR="00024A60" w:rsidRPr="00B31292" w:rsidRDefault="00024A60" w:rsidP="003A4DBA">
      <w:pPr>
        <w:shd w:val="clear" w:color="auto" w:fill="FFFFFF" w:themeFill="background1"/>
        <w:tabs>
          <w:tab w:val="left" w:pos="450"/>
        </w:tabs>
        <w:spacing w:after="0" w:line="240" w:lineRule="auto"/>
        <w:ind w:firstLine="284"/>
        <w:jc w:val="both"/>
        <w:rPr>
          <w:rFonts w:ascii="Garamond" w:hAnsi="Garamond" w:cs="Times New Roman"/>
          <w:sz w:val="24"/>
          <w:szCs w:val="24"/>
        </w:rPr>
      </w:pPr>
      <w:r w:rsidRPr="00B31292">
        <w:rPr>
          <w:rFonts w:ascii="Garamond" w:hAnsi="Garamond" w:cs="Times New Roman"/>
          <w:i/>
          <w:sz w:val="24"/>
          <w:szCs w:val="24"/>
        </w:rPr>
        <w:t>T</w:t>
      </w:r>
      <w:r w:rsidR="00EE716C" w:rsidRPr="00B31292">
        <w:rPr>
          <w:rFonts w:ascii="Garamond" w:hAnsi="Garamond" w:cs="Times New Roman"/>
          <w:sz w:val="24"/>
          <w:szCs w:val="24"/>
        </w:rPr>
        <w:t xml:space="preserve"> </w:t>
      </w:r>
      <w:r w:rsidR="00466F72" w:rsidRPr="00B31292">
        <w:rPr>
          <w:rFonts w:ascii="Garamond" w:hAnsi="Garamond" w:cs="Times New Roman"/>
          <w:sz w:val="24"/>
          <w:szCs w:val="24"/>
        </w:rPr>
        <w:t>–</w:t>
      </w:r>
      <w:r w:rsidRPr="00B31292">
        <w:rPr>
          <w:rFonts w:ascii="Garamond" w:hAnsi="Garamond" w:cs="Times New Roman"/>
          <w:sz w:val="24"/>
          <w:szCs w:val="24"/>
        </w:rPr>
        <w:t xml:space="preserve"> </w:t>
      </w:r>
      <w:r w:rsidR="00466F72" w:rsidRPr="00B31292">
        <w:rPr>
          <w:rFonts w:ascii="Garamond" w:hAnsi="Garamond" w:cs="Times New Roman"/>
          <w:sz w:val="24"/>
          <w:szCs w:val="24"/>
        </w:rPr>
        <w:t>t</w:t>
      </w:r>
      <w:r w:rsidRPr="00B31292">
        <w:rPr>
          <w:rFonts w:ascii="Garamond" w:hAnsi="Garamond" w:cs="Times New Roman"/>
          <w:sz w:val="24"/>
          <w:szCs w:val="24"/>
        </w:rPr>
        <w:t>remujor</w:t>
      </w:r>
      <w:r w:rsidR="00466F72" w:rsidRPr="00B31292">
        <w:rPr>
          <w:rFonts w:ascii="Garamond" w:hAnsi="Garamond" w:cs="Times New Roman"/>
          <w:sz w:val="24"/>
          <w:szCs w:val="24"/>
        </w:rPr>
        <w:t>;</w:t>
      </w:r>
    </w:p>
    <w:p w14:paraId="015D3241" w14:textId="76AE6FD3" w:rsidR="00024A60" w:rsidRPr="00B31292" w:rsidRDefault="00024A60" w:rsidP="003A4DBA">
      <w:pPr>
        <w:shd w:val="clear" w:color="auto" w:fill="FFFFFF" w:themeFill="background1"/>
        <w:tabs>
          <w:tab w:val="left" w:pos="450"/>
        </w:tabs>
        <w:spacing w:after="0" w:line="240" w:lineRule="auto"/>
        <w:ind w:firstLine="284"/>
        <w:jc w:val="both"/>
        <w:rPr>
          <w:rFonts w:ascii="Garamond" w:hAnsi="Garamond" w:cs="Times New Roman"/>
          <w:sz w:val="24"/>
          <w:szCs w:val="24"/>
        </w:rPr>
      </w:pPr>
      <w:r w:rsidRPr="00B31292">
        <w:rPr>
          <w:rFonts w:ascii="Garamond" w:hAnsi="Garamond" w:cs="Times New Roman"/>
          <w:i/>
          <w:sz w:val="24"/>
          <w:szCs w:val="24"/>
        </w:rPr>
        <w:t>V</w:t>
      </w:r>
      <w:r w:rsidR="00EE716C" w:rsidRPr="00B31292">
        <w:rPr>
          <w:rFonts w:ascii="Garamond" w:hAnsi="Garamond" w:cs="Times New Roman"/>
          <w:sz w:val="24"/>
          <w:szCs w:val="24"/>
        </w:rPr>
        <w:t xml:space="preserve"> </w:t>
      </w:r>
      <w:r w:rsidR="00466F72" w:rsidRPr="00B31292">
        <w:rPr>
          <w:rFonts w:ascii="Garamond" w:hAnsi="Garamond" w:cs="Times New Roman"/>
          <w:sz w:val="24"/>
          <w:szCs w:val="24"/>
        </w:rPr>
        <w:t>–</w:t>
      </w:r>
      <w:r w:rsidRPr="00B31292">
        <w:rPr>
          <w:rFonts w:ascii="Garamond" w:hAnsi="Garamond" w:cs="Times New Roman"/>
          <w:sz w:val="24"/>
          <w:szCs w:val="24"/>
        </w:rPr>
        <w:t xml:space="preserve"> </w:t>
      </w:r>
      <w:r w:rsidR="00466F72" w:rsidRPr="00B31292">
        <w:rPr>
          <w:rFonts w:ascii="Garamond" w:hAnsi="Garamond" w:cs="Times New Roman"/>
          <w:sz w:val="24"/>
          <w:szCs w:val="24"/>
        </w:rPr>
        <w:t>v</w:t>
      </w:r>
      <w:r w:rsidRPr="00B31292">
        <w:rPr>
          <w:rFonts w:ascii="Garamond" w:hAnsi="Garamond" w:cs="Times New Roman"/>
          <w:sz w:val="24"/>
          <w:szCs w:val="24"/>
        </w:rPr>
        <w:t>it</w:t>
      </w:r>
      <w:r w:rsidR="00466F72" w:rsidRPr="00B31292">
        <w:rPr>
          <w:rFonts w:ascii="Garamond" w:hAnsi="Garamond" w:cs="Times New Roman"/>
          <w:sz w:val="24"/>
          <w:szCs w:val="24"/>
        </w:rPr>
        <w:t>.</w:t>
      </w:r>
    </w:p>
    <w:p w14:paraId="6F5DA2A7" w14:textId="1D04E1E6" w:rsidR="00024A60" w:rsidRPr="00B31292" w:rsidRDefault="00024A60" w:rsidP="003A4DBA">
      <w:pPr>
        <w:shd w:val="clear" w:color="auto" w:fill="FFFFFF" w:themeFill="background1"/>
        <w:tabs>
          <w:tab w:val="left" w:pos="2355"/>
        </w:tabs>
        <w:spacing w:after="0" w:line="240" w:lineRule="auto"/>
        <w:ind w:firstLine="284"/>
        <w:jc w:val="both"/>
        <w:rPr>
          <w:rFonts w:ascii="Garamond" w:hAnsi="Garamond" w:cs="Times New Roman"/>
          <w:sz w:val="24"/>
          <w:szCs w:val="24"/>
        </w:rPr>
      </w:pPr>
      <w:r w:rsidRPr="00B31292">
        <w:rPr>
          <w:rFonts w:ascii="Garamond" w:hAnsi="Garamond" w:cs="Times New Roman"/>
          <w:i/>
          <w:sz w:val="24"/>
          <w:szCs w:val="24"/>
        </w:rPr>
        <w:t>Periudhë reference</w:t>
      </w:r>
      <w:r w:rsidRPr="00B31292">
        <w:rPr>
          <w:rFonts w:ascii="Garamond" w:hAnsi="Garamond" w:cs="Times New Roman"/>
          <w:sz w:val="24"/>
          <w:szCs w:val="24"/>
        </w:rPr>
        <w:t xml:space="preserve"> do të thotë periudha së cilës i referohen të dhënat e grumbulluara apo rezultatet e publikuara</w:t>
      </w:r>
      <w:r w:rsidR="00466F72" w:rsidRPr="00B31292">
        <w:rPr>
          <w:rFonts w:ascii="Garamond" w:hAnsi="Garamond" w:cs="Times New Roman"/>
          <w:sz w:val="24"/>
          <w:szCs w:val="24"/>
        </w:rPr>
        <w:t>.</w:t>
      </w:r>
    </w:p>
    <w:p w14:paraId="0CC41F82" w14:textId="3E19C5DB" w:rsidR="00024A60" w:rsidRPr="00B31292" w:rsidRDefault="00024A60" w:rsidP="003A4DBA">
      <w:pPr>
        <w:shd w:val="clear" w:color="auto" w:fill="FFFFFF" w:themeFill="background1"/>
        <w:tabs>
          <w:tab w:val="left" w:pos="2355"/>
        </w:tabs>
        <w:spacing w:after="0" w:line="240" w:lineRule="auto"/>
        <w:ind w:firstLine="284"/>
        <w:jc w:val="both"/>
        <w:rPr>
          <w:rFonts w:ascii="Garamond" w:hAnsi="Garamond" w:cs="Times New Roman"/>
          <w:b/>
          <w:i/>
          <w:sz w:val="24"/>
          <w:szCs w:val="24"/>
        </w:rPr>
      </w:pPr>
      <w:r w:rsidRPr="00B31292">
        <w:rPr>
          <w:rFonts w:ascii="Garamond" w:hAnsi="Garamond" w:cs="Times New Roman"/>
          <w:b/>
          <w:sz w:val="24"/>
          <w:szCs w:val="24"/>
        </w:rPr>
        <w:t xml:space="preserve">Shembull I: 1.1.1.1 Statistikat e </w:t>
      </w:r>
      <w:r w:rsidR="00466F72" w:rsidRPr="00B31292">
        <w:rPr>
          <w:rFonts w:ascii="Garamond" w:hAnsi="Garamond" w:cs="Times New Roman"/>
          <w:b/>
          <w:sz w:val="24"/>
          <w:szCs w:val="24"/>
        </w:rPr>
        <w:t>p</w:t>
      </w:r>
      <w:r w:rsidRPr="00B31292">
        <w:rPr>
          <w:rFonts w:ascii="Garamond" w:hAnsi="Garamond" w:cs="Times New Roman"/>
          <w:b/>
          <w:sz w:val="24"/>
          <w:szCs w:val="24"/>
        </w:rPr>
        <w:t>opullsisë</w:t>
      </w:r>
    </w:p>
    <w:p w14:paraId="5AF96B8F" w14:textId="7DC82577" w:rsidR="00024A60" w:rsidRPr="00B31292" w:rsidRDefault="00024A60" w:rsidP="003A4DBA">
      <w:pPr>
        <w:shd w:val="clear" w:color="auto" w:fill="FFFFFF" w:themeFill="background1"/>
        <w:tabs>
          <w:tab w:val="left" w:pos="2355"/>
        </w:tabs>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 xml:space="preserve">Në kolonën </w:t>
      </w:r>
      <w:r w:rsidR="00BA12C3" w:rsidRPr="00B31292">
        <w:rPr>
          <w:rFonts w:ascii="Garamond" w:hAnsi="Garamond" w:cs="Times New Roman"/>
          <w:sz w:val="24"/>
          <w:szCs w:val="24"/>
        </w:rPr>
        <w:t>“</w:t>
      </w:r>
      <w:r w:rsidRPr="00B31292">
        <w:rPr>
          <w:rFonts w:ascii="Garamond" w:hAnsi="Garamond" w:cs="Times New Roman"/>
          <w:sz w:val="24"/>
          <w:szCs w:val="24"/>
        </w:rPr>
        <w:t>Afati i grumbullimit të të</w:t>
      </w:r>
      <w:r w:rsidR="002F55ED" w:rsidRPr="00B31292">
        <w:rPr>
          <w:rFonts w:ascii="Garamond" w:hAnsi="Garamond" w:cs="Times New Roman"/>
          <w:sz w:val="24"/>
          <w:szCs w:val="24"/>
        </w:rPr>
        <w:t xml:space="preserve"> dhënave</w:t>
      </w:r>
      <w:r w:rsidR="00BA12C3" w:rsidRPr="00B31292">
        <w:rPr>
          <w:rFonts w:ascii="Garamond" w:hAnsi="Garamond" w:cs="Times New Roman"/>
          <w:sz w:val="24"/>
          <w:szCs w:val="24"/>
        </w:rPr>
        <w:t>”</w:t>
      </w:r>
      <w:r w:rsidR="002F55ED" w:rsidRPr="00B31292">
        <w:rPr>
          <w:rFonts w:ascii="Garamond" w:hAnsi="Garamond" w:cs="Times New Roman"/>
          <w:sz w:val="24"/>
          <w:szCs w:val="24"/>
        </w:rPr>
        <w:t xml:space="preserve"> rezulton </w:t>
      </w:r>
      <w:r w:rsidR="00BA12C3" w:rsidRPr="00B31292">
        <w:rPr>
          <w:rFonts w:ascii="Garamond" w:hAnsi="Garamond" w:cs="Times New Roman"/>
          <w:sz w:val="24"/>
          <w:szCs w:val="24"/>
        </w:rPr>
        <w:t>“</w:t>
      </w:r>
      <w:r w:rsidR="002F55ED" w:rsidRPr="00B31292">
        <w:rPr>
          <w:rFonts w:ascii="Garamond" w:hAnsi="Garamond" w:cs="Times New Roman"/>
          <w:sz w:val="24"/>
          <w:szCs w:val="24"/>
        </w:rPr>
        <w:t>V+9</w:t>
      </w:r>
      <w:r w:rsidR="00F83703" w:rsidRPr="00B31292">
        <w:rPr>
          <w:rFonts w:ascii="Garamond" w:hAnsi="Garamond" w:cs="Times New Roman"/>
          <w:sz w:val="24"/>
          <w:szCs w:val="24"/>
        </w:rPr>
        <w:t>0</w:t>
      </w:r>
      <w:r w:rsidRPr="00B31292">
        <w:rPr>
          <w:rFonts w:ascii="Garamond" w:hAnsi="Garamond" w:cs="Times New Roman"/>
          <w:sz w:val="24"/>
          <w:szCs w:val="24"/>
        </w:rPr>
        <w:t xml:space="preserve"> D</w:t>
      </w:r>
      <w:r w:rsidR="00BA12C3" w:rsidRPr="00B31292">
        <w:rPr>
          <w:rFonts w:ascii="Garamond" w:hAnsi="Garamond" w:cs="Times New Roman"/>
          <w:sz w:val="24"/>
          <w:szCs w:val="24"/>
        </w:rPr>
        <w:t>”</w:t>
      </w:r>
      <w:r w:rsidRPr="00B31292">
        <w:rPr>
          <w:rFonts w:ascii="Garamond" w:hAnsi="Garamond" w:cs="Times New Roman"/>
          <w:sz w:val="24"/>
          <w:szCs w:val="24"/>
        </w:rPr>
        <w:t>. Kjo do të thotë se gru</w:t>
      </w:r>
      <w:r w:rsidR="002F55ED" w:rsidRPr="00B31292">
        <w:rPr>
          <w:rFonts w:ascii="Garamond" w:hAnsi="Garamond" w:cs="Times New Roman"/>
          <w:sz w:val="24"/>
          <w:szCs w:val="24"/>
        </w:rPr>
        <w:t>mbullimi i të dhënave mbyllet 92</w:t>
      </w:r>
      <w:r w:rsidRPr="00B31292">
        <w:rPr>
          <w:rFonts w:ascii="Garamond" w:hAnsi="Garamond" w:cs="Times New Roman"/>
          <w:sz w:val="24"/>
          <w:szCs w:val="24"/>
        </w:rPr>
        <w:t xml:space="preserve"> ditë pas përfundimit të vitit referencë.</w:t>
      </w:r>
    </w:p>
    <w:p w14:paraId="2DA022AB" w14:textId="0C58213E" w:rsidR="00024A60" w:rsidRPr="00B31292" w:rsidRDefault="002F55ED" w:rsidP="003A4DBA">
      <w:pPr>
        <w:shd w:val="clear" w:color="auto" w:fill="FFFFFF" w:themeFill="background1"/>
        <w:tabs>
          <w:tab w:val="left" w:pos="2355"/>
        </w:tabs>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P.sh. Për vitin referencë 202</w:t>
      </w:r>
      <w:r w:rsidR="00F83703" w:rsidRPr="00B31292">
        <w:rPr>
          <w:rFonts w:ascii="Garamond" w:hAnsi="Garamond" w:cs="Times New Roman"/>
          <w:sz w:val="24"/>
          <w:szCs w:val="24"/>
        </w:rPr>
        <w:t>4</w:t>
      </w:r>
      <w:r w:rsidR="00024A60" w:rsidRPr="00B31292">
        <w:rPr>
          <w:rFonts w:ascii="Garamond" w:hAnsi="Garamond" w:cs="Times New Roman"/>
          <w:sz w:val="24"/>
          <w:szCs w:val="24"/>
        </w:rPr>
        <w:t>, afati i grumbull</w:t>
      </w:r>
      <w:r w:rsidRPr="00B31292">
        <w:rPr>
          <w:rFonts w:ascii="Garamond" w:hAnsi="Garamond" w:cs="Times New Roman"/>
          <w:sz w:val="24"/>
          <w:szCs w:val="24"/>
        </w:rPr>
        <w:t xml:space="preserve">imit të të dhënave është data </w:t>
      </w:r>
      <w:r w:rsidR="00F83703" w:rsidRPr="00B31292">
        <w:rPr>
          <w:rFonts w:ascii="Garamond" w:hAnsi="Garamond" w:cs="Times New Roman"/>
          <w:sz w:val="24"/>
          <w:szCs w:val="24"/>
        </w:rPr>
        <w:t>1</w:t>
      </w:r>
      <w:r w:rsidRPr="00B31292">
        <w:rPr>
          <w:rFonts w:ascii="Garamond" w:hAnsi="Garamond" w:cs="Times New Roman"/>
          <w:sz w:val="24"/>
          <w:szCs w:val="24"/>
        </w:rPr>
        <w:t xml:space="preserve"> </w:t>
      </w:r>
      <w:r w:rsidR="002E40BF" w:rsidRPr="00B31292">
        <w:rPr>
          <w:rFonts w:ascii="Garamond" w:hAnsi="Garamond" w:cs="Times New Roman"/>
          <w:sz w:val="24"/>
          <w:szCs w:val="24"/>
        </w:rPr>
        <w:t>p</w:t>
      </w:r>
      <w:r w:rsidRPr="00B31292">
        <w:rPr>
          <w:rFonts w:ascii="Garamond" w:hAnsi="Garamond" w:cs="Times New Roman"/>
          <w:sz w:val="24"/>
          <w:szCs w:val="24"/>
        </w:rPr>
        <w:t>rill 202</w:t>
      </w:r>
      <w:r w:rsidR="00F83703" w:rsidRPr="00B31292">
        <w:rPr>
          <w:rFonts w:ascii="Garamond" w:hAnsi="Garamond" w:cs="Times New Roman"/>
          <w:sz w:val="24"/>
          <w:szCs w:val="24"/>
        </w:rPr>
        <w:t>5</w:t>
      </w:r>
      <w:r w:rsidR="00024A60" w:rsidRPr="00B31292">
        <w:rPr>
          <w:rFonts w:ascii="Garamond" w:hAnsi="Garamond" w:cs="Times New Roman"/>
          <w:sz w:val="24"/>
          <w:szCs w:val="24"/>
        </w:rPr>
        <w:t>.</w:t>
      </w:r>
    </w:p>
    <w:p w14:paraId="735ECC2A" w14:textId="6A25156A" w:rsidR="00024A60" w:rsidRPr="00B31292" w:rsidRDefault="00024A60" w:rsidP="003A4DBA">
      <w:pPr>
        <w:shd w:val="clear" w:color="auto" w:fill="FFFFFF" w:themeFill="background1"/>
        <w:tabs>
          <w:tab w:val="left" w:pos="2355"/>
        </w:tabs>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 xml:space="preserve">Në kolonën </w:t>
      </w:r>
      <w:r w:rsidR="00BA12C3" w:rsidRPr="00B31292">
        <w:rPr>
          <w:rFonts w:ascii="Garamond" w:hAnsi="Garamond" w:cs="Times New Roman"/>
          <w:sz w:val="24"/>
          <w:szCs w:val="24"/>
        </w:rPr>
        <w:t>“</w:t>
      </w:r>
      <w:r w:rsidRPr="00B31292">
        <w:rPr>
          <w:rFonts w:ascii="Garamond" w:hAnsi="Garamond" w:cs="Times New Roman"/>
          <w:sz w:val="24"/>
          <w:szCs w:val="24"/>
        </w:rPr>
        <w:t xml:space="preserve">Afati i përpunimit të të </w:t>
      </w:r>
      <w:r w:rsidR="002F55ED" w:rsidRPr="00B31292">
        <w:rPr>
          <w:rFonts w:ascii="Garamond" w:hAnsi="Garamond" w:cs="Times New Roman"/>
          <w:sz w:val="24"/>
          <w:szCs w:val="24"/>
        </w:rPr>
        <w:t>dhënave</w:t>
      </w:r>
      <w:r w:rsidR="00BA12C3" w:rsidRPr="00B31292">
        <w:rPr>
          <w:rFonts w:ascii="Garamond" w:hAnsi="Garamond" w:cs="Times New Roman"/>
          <w:sz w:val="24"/>
          <w:szCs w:val="24"/>
        </w:rPr>
        <w:t>”</w:t>
      </w:r>
      <w:r w:rsidR="002F55ED" w:rsidRPr="00B31292">
        <w:rPr>
          <w:rFonts w:ascii="Garamond" w:hAnsi="Garamond" w:cs="Times New Roman"/>
          <w:sz w:val="24"/>
          <w:szCs w:val="24"/>
        </w:rPr>
        <w:t xml:space="preserve"> rezulton </w:t>
      </w:r>
      <w:r w:rsidR="00BA12C3" w:rsidRPr="00B31292">
        <w:rPr>
          <w:rFonts w:ascii="Garamond" w:hAnsi="Garamond" w:cs="Times New Roman"/>
          <w:sz w:val="24"/>
          <w:szCs w:val="24"/>
        </w:rPr>
        <w:t>“</w:t>
      </w:r>
      <w:r w:rsidR="002F55ED" w:rsidRPr="00B31292">
        <w:rPr>
          <w:rFonts w:ascii="Garamond" w:hAnsi="Garamond" w:cs="Times New Roman"/>
          <w:sz w:val="24"/>
          <w:szCs w:val="24"/>
        </w:rPr>
        <w:t>V+136</w:t>
      </w:r>
      <w:r w:rsidRPr="00B31292">
        <w:rPr>
          <w:rFonts w:ascii="Garamond" w:hAnsi="Garamond" w:cs="Times New Roman"/>
          <w:sz w:val="24"/>
          <w:szCs w:val="24"/>
        </w:rPr>
        <w:t xml:space="preserve"> D</w:t>
      </w:r>
      <w:r w:rsidR="00BA12C3" w:rsidRPr="00B31292">
        <w:rPr>
          <w:rFonts w:ascii="Garamond" w:hAnsi="Garamond" w:cs="Times New Roman"/>
          <w:sz w:val="24"/>
          <w:szCs w:val="24"/>
        </w:rPr>
        <w:t>”</w:t>
      </w:r>
      <w:r w:rsidRPr="00B31292">
        <w:rPr>
          <w:rFonts w:ascii="Garamond" w:hAnsi="Garamond" w:cs="Times New Roman"/>
          <w:sz w:val="24"/>
          <w:szCs w:val="24"/>
        </w:rPr>
        <w:t>. Kjo do të thotë që të d</w:t>
      </w:r>
      <w:r w:rsidR="002F55ED" w:rsidRPr="00B31292">
        <w:rPr>
          <w:rFonts w:ascii="Garamond" w:hAnsi="Garamond" w:cs="Times New Roman"/>
          <w:sz w:val="24"/>
          <w:szCs w:val="24"/>
        </w:rPr>
        <w:t xml:space="preserve">hënat përpunohen brenda datës 16 </w:t>
      </w:r>
      <w:r w:rsidR="002E40BF" w:rsidRPr="00B31292">
        <w:rPr>
          <w:rFonts w:ascii="Garamond" w:hAnsi="Garamond" w:cs="Times New Roman"/>
          <w:sz w:val="24"/>
          <w:szCs w:val="24"/>
        </w:rPr>
        <w:t>m</w:t>
      </w:r>
      <w:r w:rsidR="002F55ED" w:rsidRPr="00B31292">
        <w:rPr>
          <w:rFonts w:ascii="Garamond" w:hAnsi="Garamond" w:cs="Times New Roman"/>
          <w:sz w:val="24"/>
          <w:szCs w:val="24"/>
        </w:rPr>
        <w:t>aj 202</w:t>
      </w:r>
      <w:r w:rsidR="00D85FB4" w:rsidRPr="00B31292">
        <w:rPr>
          <w:rFonts w:ascii="Garamond" w:hAnsi="Garamond" w:cs="Times New Roman"/>
          <w:sz w:val="24"/>
          <w:szCs w:val="24"/>
        </w:rPr>
        <w:t>5</w:t>
      </w:r>
      <w:r w:rsidRPr="00B31292">
        <w:rPr>
          <w:rFonts w:ascii="Garamond" w:hAnsi="Garamond" w:cs="Times New Roman"/>
          <w:sz w:val="24"/>
          <w:szCs w:val="24"/>
        </w:rPr>
        <w:t>.</w:t>
      </w:r>
    </w:p>
    <w:p w14:paraId="16CB637E" w14:textId="20F32D3D" w:rsidR="00024A60" w:rsidRPr="00B31292" w:rsidRDefault="00024A60" w:rsidP="003A4DBA">
      <w:pPr>
        <w:shd w:val="clear" w:color="auto" w:fill="FFFFFF" w:themeFill="background1"/>
        <w:tabs>
          <w:tab w:val="left" w:pos="2355"/>
        </w:tabs>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 xml:space="preserve">Në kolonën </w:t>
      </w:r>
      <w:r w:rsidR="00BA12C3" w:rsidRPr="00B31292">
        <w:rPr>
          <w:rFonts w:ascii="Garamond" w:hAnsi="Garamond" w:cs="Times New Roman"/>
          <w:sz w:val="24"/>
          <w:szCs w:val="24"/>
        </w:rPr>
        <w:t>“</w:t>
      </w:r>
      <w:r w:rsidRPr="00B31292">
        <w:rPr>
          <w:rFonts w:ascii="Garamond" w:hAnsi="Garamond" w:cs="Times New Roman"/>
          <w:sz w:val="24"/>
          <w:szCs w:val="24"/>
        </w:rPr>
        <w:t>Afati i publikimi</w:t>
      </w:r>
      <w:r w:rsidR="002F55ED" w:rsidRPr="00B31292">
        <w:rPr>
          <w:rFonts w:ascii="Garamond" w:hAnsi="Garamond" w:cs="Times New Roman"/>
          <w:sz w:val="24"/>
          <w:szCs w:val="24"/>
        </w:rPr>
        <w:t>t të rezultateve</w:t>
      </w:r>
      <w:r w:rsidR="00BA12C3" w:rsidRPr="00B31292">
        <w:rPr>
          <w:rFonts w:ascii="Garamond" w:hAnsi="Garamond" w:cs="Times New Roman"/>
          <w:sz w:val="24"/>
          <w:szCs w:val="24"/>
        </w:rPr>
        <w:t>”</w:t>
      </w:r>
      <w:r w:rsidR="002F55ED" w:rsidRPr="00B31292">
        <w:rPr>
          <w:rFonts w:ascii="Garamond" w:hAnsi="Garamond" w:cs="Times New Roman"/>
          <w:sz w:val="24"/>
          <w:szCs w:val="24"/>
        </w:rPr>
        <w:t xml:space="preserve"> rezulton </w:t>
      </w:r>
      <w:r w:rsidR="00BA12C3" w:rsidRPr="00B31292">
        <w:rPr>
          <w:rFonts w:ascii="Garamond" w:hAnsi="Garamond" w:cs="Times New Roman"/>
          <w:sz w:val="24"/>
          <w:szCs w:val="24"/>
        </w:rPr>
        <w:t>“</w:t>
      </w:r>
      <w:r w:rsidR="002F55ED" w:rsidRPr="00B31292">
        <w:rPr>
          <w:rFonts w:ascii="Garamond" w:hAnsi="Garamond" w:cs="Times New Roman"/>
          <w:sz w:val="24"/>
          <w:szCs w:val="24"/>
        </w:rPr>
        <w:t>V+152</w:t>
      </w:r>
      <w:r w:rsidRPr="00B31292">
        <w:rPr>
          <w:rFonts w:ascii="Garamond" w:hAnsi="Garamond" w:cs="Times New Roman"/>
          <w:sz w:val="24"/>
          <w:szCs w:val="24"/>
        </w:rPr>
        <w:t xml:space="preserve"> D</w:t>
      </w:r>
      <w:r w:rsidR="00BA12C3" w:rsidRPr="00B31292">
        <w:rPr>
          <w:rFonts w:ascii="Garamond" w:hAnsi="Garamond" w:cs="Times New Roman"/>
          <w:sz w:val="24"/>
          <w:szCs w:val="24"/>
        </w:rPr>
        <w:t>”</w:t>
      </w:r>
      <w:r w:rsidRPr="00B31292">
        <w:rPr>
          <w:rFonts w:ascii="Garamond" w:hAnsi="Garamond" w:cs="Times New Roman"/>
          <w:sz w:val="24"/>
          <w:szCs w:val="24"/>
        </w:rPr>
        <w:t>. Kjo do të thotë s</w:t>
      </w:r>
      <w:r w:rsidR="002F55ED" w:rsidRPr="00B31292">
        <w:rPr>
          <w:rFonts w:ascii="Garamond" w:hAnsi="Garamond" w:cs="Times New Roman"/>
          <w:sz w:val="24"/>
          <w:szCs w:val="24"/>
        </w:rPr>
        <w:t>e rezultatet do të publikohen 152</w:t>
      </w:r>
      <w:r w:rsidRPr="00B31292">
        <w:rPr>
          <w:rFonts w:ascii="Garamond" w:hAnsi="Garamond" w:cs="Times New Roman"/>
          <w:sz w:val="24"/>
          <w:szCs w:val="24"/>
        </w:rPr>
        <w:t xml:space="preserve"> ditë pas mbylljes së vitit referencë. Nëse v</w:t>
      </w:r>
      <w:r w:rsidR="002F55ED" w:rsidRPr="00B31292">
        <w:rPr>
          <w:rFonts w:ascii="Garamond" w:hAnsi="Garamond" w:cs="Times New Roman"/>
          <w:sz w:val="24"/>
          <w:szCs w:val="24"/>
        </w:rPr>
        <w:t>iti referencë është 202</w:t>
      </w:r>
      <w:r w:rsidR="00D85FB4" w:rsidRPr="00B31292">
        <w:rPr>
          <w:rFonts w:ascii="Garamond" w:hAnsi="Garamond" w:cs="Times New Roman"/>
          <w:sz w:val="24"/>
          <w:szCs w:val="24"/>
        </w:rPr>
        <w:t>4</w:t>
      </w:r>
      <w:r w:rsidRPr="00B31292">
        <w:rPr>
          <w:rFonts w:ascii="Garamond" w:hAnsi="Garamond" w:cs="Times New Roman"/>
          <w:sz w:val="24"/>
          <w:szCs w:val="24"/>
        </w:rPr>
        <w:t>, atëherë publikim</w:t>
      </w:r>
      <w:r w:rsidR="002F55ED" w:rsidRPr="00B31292">
        <w:rPr>
          <w:rFonts w:ascii="Garamond" w:hAnsi="Garamond" w:cs="Times New Roman"/>
          <w:sz w:val="24"/>
          <w:szCs w:val="24"/>
        </w:rPr>
        <w:t xml:space="preserve">i i rezultateve do të jetë brenda datës 2 </w:t>
      </w:r>
      <w:r w:rsidR="002E40BF" w:rsidRPr="00B31292">
        <w:rPr>
          <w:rFonts w:ascii="Garamond" w:hAnsi="Garamond" w:cs="Times New Roman"/>
          <w:sz w:val="24"/>
          <w:szCs w:val="24"/>
        </w:rPr>
        <w:t>m</w:t>
      </w:r>
      <w:r w:rsidR="002F55ED" w:rsidRPr="00B31292">
        <w:rPr>
          <w:rFonts w:ascii="Garamond" w:hAnsi="Garamond" w:cs="Times New Roman"/>
          <w:sz w:val="24"/>
          <w:szCs w:val="24"/>
        </w:rPr>
        <w:t>aj 202</w:t>
      </w:r>
      <w:r w:rsidR="00D85FB4" w:rsidRPr="00B31292">
        <w:rPr>
          <w:rFonts w:ascii="Garamond" w:hAnsi="Garamond" w:cs="Times New Roman"/>
          <w:sz w:val="24"/>
          <w:szCs w:val="24"/>
        </w:rPr>
        <w:t>5</w:t>
      </w:r>
      <w:r w:rsidRPr="00B31292">
        <w:rPr>
          <w:rFonts w:ascii="Garamond" w:hAnsi="Garamond" w:cs="Times New Roman"/>
          <w:sz w:val="24"/>
          <w:szCs w:val="24"/>
        </w:rPr>
        <w:t>.</w:t>
      </w:r>
    </w:p>
    <w:p w14:paraId="2CFCA9F1" w14:textId="44995010" w:rsidR="00193F28" w:rsidRPr="00B31292" w:rsidRDefault="00024A60" w:rsidP="003A4DBA">
      <w:pPr>
        <w:shd w:val="clear" w:color="auto" w:fill="FFFFFF" w:themeFill="background1"/>
        <w:tabs>
          <w:tab w:val="left" w:pos="2355"/>
        </w:tabs>
        <w:spacing w:after="0" w:line="240" w:lineRule="auto"/>
        <w:ind w:firstLine="284"/>
        <w:jc w:val="both"/>
        <w:rPr>
          <w:rFonts w:ascii="Garamond" w:hAnsi="Garamond" w:cs="Times New Roman"/>
          <w:b/>
          <w:iCs/>
          <w:sz w:val="24"/>
          <w:szCs w:val="24"/>
        </w:rPr>
      </w:pPr>
      <w:r w:rsidRPr="00B31292">
        <w:rPr>
          <w:rFonts w:ascii="Garamond" w:hAnsi="Garamond" w:cs="Times New Roman"/>
          <w:b/>
          <w:sz w:val="24"/>
          <w:szCs w:val="24"/>
        </w:rPr>
        <w:t>Shembull III:</w:t>
      </w:r>
      <w:r w:rsidR="002E40BF" w:rsidRPr="00B31292">
        <w:rPr>
          <w:rFonts w:ascii="Garamond" w:hAnsi="Garamond" w:cs="Times New Roman"/>
          <w:b/>
          <w:sz w:val="24"/>
          <w:szCs w:val="24"/>
        </w:rPr>
        <w:t xml:space="preserve"> </w:t>
      </w:r>
      <w:r w:rsidR="00193F28" w:rsidRPr="00B31292">
        <w:rPr>
          <w:rFonts w:ascii="Garamond" w:hAnsi="Garamond" w:cs="Times New Roman"/>
          <w:b/>
          <w:iCs/>
          <w:sz w:val="24"/>
          <w:szCs w:val="24"/>
        </w:rPr>
        <w:t xml:space="preserve">1.4.2.1 Statistikat e </w:t>
      </w:r>
      <w:r w:rsidR="00466F72" w:rsidRPr="00B31292">
        <w:rPr>
          <w:rFonts w:ascii="Garamond" w:hAnsi="Garamond" w:cs="Times New Roman"/>
          <w:b/>
          <w:iCs/>
          <w:sz w:val="24"/>
          <w:szCs w:val="24"/>
        </w:rPr>
        <w:t>shëndetit dhe sigurisë në punë</w:t>
      </w:r>
    </w:p>
    <w:p w14:paraId="63F8AA45" w14:textId="392B28B6" w:rsidR="003A4DBA" w:rsidRPr="00B31292" w:rsidRDefault="00024A60" w:rsidP="003A4DBA">
      <w:pPr>
        <w:shd w:val="clear" w:color="auto" w:fill="FFFFFF" w:themeFill="background1"/>
        <w:tabs>
          <w:tab w:val="left" w:pos="2355"/>
        </w:tabs>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 xml:space="preserve">Në kolonën </w:t>
      </w:r>
      <w:r w:rsidR="00BA12C3" w:rsidRPr="00B31292">
        <w:rPr>
          <w:rFonts w:ascii="Garamond" w:hAnsi="Garamond" w:cs="Times New Roman"/>
          <w:sz w:val="24"/>
          <w:szCs w:val="24"/>
        </w:rPr>
        <w:t>“</w:t>
      </w:r>
      <w:r w:rsidRPr="00B31292">
        <w:rPr>
          <w:rFonts w:ascii="Garamond" w:hAnsi="Garamond" w:cs="Times New Roman"/>
          <w:sz w:val="24"/>
          <w:szCs w:val="24"/>
        </w:rPr>
        <w:t>Afati i g</w:t>
      </w:r>
      <w:r w:rsidR="00193F28" w:rsidRPr="00B31292">
        <w:rPr>
          <w:rFonts w:ascii="Garamond" w:hAnsi="Garamond" w:cs="Times New Roman"/>
          <w:sz w:val="24"/>
          <w:szCs w:val="24"/>
        </w:rPr>
        <w:t>rumbullimit</w:t>
      </w:r>
      <w:r w:rsidR="00BA12C3" w:rsidRPr="00B31292">
        <w:rPr>
          <w:rFonts w:ascii="Garamond" w:hAnsi="Garamond" w:cs="Times New Roman"/>
          <w:sz w:val="24"/>
          <w:szCs w:val="24"/>
        </w:rPr>
        <w:t>”</w:t>
      </w:r>
      <w:r w:rsidR="00193F28" w:rsidRPr="00B31292">
        <w:rPr>
          <w:rFonts w:ascii="Garamond" w:hAnsi="Garamond" w:cs="Times New Roman"/>
          <w:sz w:val="24"/>
          <w:szCs w:val="24"/>
        </w:rPr>
        <w:t xml:space="preserve"> rezulton </w:t>
      </w:r>
      <w:r w:rsidR="00BA12C3" w:rsidRPr="00B31292">
        <w:rPr>
          <w:rFonts w:ascii="Garamond" w:hAnsi="Garamond" w:cs="Times New Roman"/>
          <w:sz w:val="24"/>
          <w:szCs w:val="24"/>
        </w:rPr>
        <w:t>“</w:t>
      </w:r>
      <w:r w:rsidR="00193F28" w:rsidRPr="00B31292">
        <w:rPr>
          <w:rFonts w:ascii="Garamond" w:hAnsi="Garamond" w:cs="Times New Roman"/>
          <w:sz w:val="24"/>
          <w:szCs w:val="24"/>
        </w:rPr>
        <w:t>Dita e 180</w:t>
      </w:r>
      <w:r w:rsidRPr="00B31292">
        <w:rPr>
          <w:rFonts w:ascii="Garamond" w:hAnsi="Garamond" w:cs="Times New Roman"/>
          <w:sz w:val="24"/>
          <w:szCs w:val="24"/>
        </w:rPr>
        <w:t xml:space="preserve"> e V</w:t>
      </w:r>
      <w:r w:rsidR="00BA12C3" w:rsidRPr="00B31292">
        <w:rPr>
          <w:rFonts w:ascii="Garamond" w:hAnsi="Garamond" w:cs="Times New Roman"/>
          <w:sz w:val="24"/>
          <w:szCs w:val="24"/>
        </w:rPr>
        <w:t>”</w:t>
      </w:r>
      <w:r w:rsidRPr="00B31292">
        <w:rPr>
          <w:rFonts w:ascii="Garamond" w:hAnsi="Garamond" w:cs="Times New Roman"/>
          <w:sz w:val="24"/>
          <w:szCs w:val="24"/>
        </w:rPr>
        <w:t xml:space="preserve">. Kjo do të thotë që të dhënat grumbullohen brenda vitit referencë, përkatësisht në </w:t>
      </w:r>
      <w:r w:rsidR="00193F28" w:rsidRPr="00B31292">
        <w:rPr>
          <w:rFonts w:ascii="Garamond" w:hAnsi="Garamond" w:cs="Times New Roman"/>
          <w:sz w:val="24"/>
          <w:szCs w:val="24"/>
        </w:rPr>
        <w:t>ditën e 180</w:t>
      </w:r>
      <w:r w:rsidRPr="00B31292">
        <w:rPr>
          <w:rFonts w:ascii="Garamond" w:hAnsi="Garamond" w:cs="Times New Roman"/>
          <w:sz w:val="24"/>
          <w:szCs w:val="24"/>
        </w:rPr>
        <w:t xml:space="preserve"> të tij</w:t>
      </w:r>
      <w:r w:rsidR="00193F28" w:rsidRPr="00B31292">
        <w:rPr>
          <w:rFonts w:ascii="Garamond" w:hAnsi="Garamond" w:cs="Times New Roman"/>
          <w:sz w:val="24"/>
          <w:szCs w:val="24"/>
        </w:rPr>
        <w:t xml:space="preserve">, brenda datës 30 </w:t>
      </w:r>
      <w:r w:rsidR="002E40BF" w:rsidRPr="00B31292">
        <w:rPr>
          <w:rFonts w:ascii="Garamond" w:hAnsi="Garamond" w:cs="Times New Roman"/>
          <w:sz w:val="24"/>
          <w:szCs w:val="24"/>
        </w:rPr>
        <w:t>q</w:t>
      </w:r>
      <w:r w:rsidR="00193F28" w:rsidRPr="00B31292">
        <w:rPr>
          <w:rFonts w:ascii="Garamond" w:hAnsi="Garamond" w:cs="Times New Roman"/>
          <w:sz w:val="24"/>
          <w:szCs w:val="24"/>
        </w:rPr>
        <w:t>ershor të vitit referencë</w:t>
      </w:r>
      <w:r w:rsidRPr="00B31292">
        <w:rPr>
          <w:rFonts w:ascii="Garamond" w:hAnsi="Garamond" w:cs="Times New Roman"/>
          <w:sz w:val="24"/>
          <w:szCs w:val="24"/>
        </w:rPr>
        <w:t>.</w:t>
      </w:r>
    </w:p>
    <w:p w14:paraId="2FEF39F2" w14:textId="44B80232" w:rsidR="00024A60" w:rsidRPr="00B31292" w:rsidRDefault="00024A60" w:rsidP="003A4DBA">
      <w:pPr>
        <w:pStyle w:val="Heading2"/>
        <w:shd w:val="clear" w:color="auto" w:fill="FFFFFF" w:themeFill="background1"/>
        <w:spacing w:before="0" w:line="240" w:lineRule="auto"/>
        <w:ind w:firstLine="284"/>
        <w:rPr>
          <w:rFonts w:ascii="Garamond" w:eastAsia="MS Mincho" w:hAnsi="Garamond" w:cs="Times New Roman"/>
          <w:color w:val="auto"/>
          <w:sz w:val="24"/>
          <w:szCs w:val="24"/>
        </w:rPr>
      </w:pPr>
      <w:bookmarkStart w:id="50" w:name="_Toc182991984"/>
      <w:r w:rsidRPr="00B31292">
        <w:rPr>
          <w:rFonts w:ascii="Garamond" w:eastAsia="MS Mincho" w:hAnsi="Garamond" w:cs="Times New Roman"/>
          <w:color w:val="auto"/>
          <w:sz w:val="24"/>
          <w:szCs w:val="24"/>
        </w:rPr>
        <w:t>X</w:t>
      </w:r>
      <w:r w:rsidR="00B31292">
        <w:rPr>
          <w:rFonts w:ascii="Garamond" w:eastAsia="MS Mincho" w:hAnsi="Garamond" w:cs="Times New Roman"/>
          <w:color w:val="auto"/>
          <w:sz w:val="24"/>
          <w:szCs w:val="24"/>
        </w:rPr>
        <w:t>II</w:t>
      </w:r>
      <w:r w:rsidRPr="00B31292">
        <w:rPr>
          <w:rFonts w:ascii="Garamond" w:eastAsia="MS Mincho" w:hAnsi="Garamond" w:cs="Times New Roman"/>
          <w:color w:val="auto"/>
          <w:sz w:val="24"/>
          <w:szCs w:val="24"/>
        </w:rPr>
        <w:t>. Aneksi</w:t>
      </w:r>
      <w:bookmarkEnd w:id="50"/>
      <w:r w:rsidRPr="00B31292">
        <w:rPr>
          <w:rFonts w:ascii="Garamond" w:eastAsia="MS Mincho" w:hAnsi="Garamond" w:cs="Times New Roman"/>
          <w:color w:val="auto"/>
          <w:sz w:val="24"/>
          <w:szCs w:val="24"/>
        </w:rPr>
        <w:t xml:space="preserve"> </w:t>
      </w:r>
    </w:p>
    <w:p w14:paraId="76B1E82A" w14:textId="67891C64" w:rsidR="000A2254" w:rsidRPr="00B31292" w:rsidRDefault="00024A60" w:rsidP="000A2254">
      <w:pPr>
        <w:shd w:val="clear" w:color="auto" w:fill="FFFFFF" w:themeFill="background1"/>
        <w:tabs>
          <w:tab w:val="left" w:pos="2355"/>
        </w:tabs>
        <w:spacing w:after="0" w:line="240" w:lineRule="auto"/>
        <w:ind w:firstLine="284"/>
        <w:jc w:val="both"/>
        <w:rPr>
          <w:rFonts w:ascii="Garamond" w:hAnsi="Garamond" w:cs="Times New Roman"/>
          <w:sz w:val="24"/>
          <w:szCs w:val="24"/>
        </w:rPr>
      </w:pPr>
      <w:r w:rsidRPr="00B31292">
        <w:rPr>
          <w:rFonts w:ascii="Garamond" w:hAnsi="Garamond" w:cs="Times New Roman"/>
          <w:sz w:val="24"/>
          <w:szCs w:val="24"/>
        </w:rPr>
        <w:t>Aktivit</w:t>
      </w:r>
      <w:r w:rsidR="00050951" w:rsidRPr="00B31292">
        <w:rPr>
          <w:rFonts w:ascii="Garamond" w:hAnsi="Garamond" w:cs="Times New Roman"/>
          <w:sz w:val="24"/>
          <w:szCs w:val="24"/>
        </w:rPr>
        <w:t>etet statistikore për vitin 202</w:t>
      </w:r>
      <w:r w:rsidR="00B17404" w:rsidRPr="00B31292">
        <w:rPr>
          <w:rFonts w:ascii="Garamond" w:hAnsi="Garamond" w:cs="Times New Roman"/>
          <w:sz w:val="24"/>
          <w:szCs w:val="24"/>
        </w:rPr>
        <w:t>5</w:t>
      </w:r>
      <w:r w:rsidRPr="00B31292">
        <w:rPr>
          <w:rFonts w:ascii="Garamond" w:hAnsi="Garamond" w:cs="Times New Roman"/>
          <w:sz w:val="24"/>
          <w:szCs w:val="24"/>
        </w:rPr>
        <w:t>.</w:t>
      </w:r>
    </w:p>
    <w:p w14:paraId="440D899A" w14:textId="77777777" w:rsidR="000A2254" w:rsidRPr="00B31292" w:rsidRDefault="000A2254" w:rsidP="000A2254">
      <w:pPr>
        <w:shd w:val="clear" w:color="auto" w:fill="FFFFFF" w:themeFill="background1"/>
        <w:tabs>
          <w:tab w:val="left" w:pos="2355"/>
        </w:tabs>
        <w:spacing w:after="0" w:line="240" w:lineRule="auto"/>
        <w:jc w:val="both"/>
        <w:rPr>
          <w:rFonts w:ascii="Garamond" w:hAnsi="Garamond"/>
          <w:sz w:val="24"/>
          <w:szCs w:val="24"/>
        </w:rPr>
        <w:sectPr w:rsidR="000A2254" w:rsidRPr="00B31292" w:rsidSect="000A2254">
          <w:headerReference w:type="default" r:id="rId44"/>
          <w:footerReference w:type="default" r:id="rId45"/>
          <w:headerReference w:type="first" r:id="rId46"/>
          <w:footnotePr>
            <w:numFmt w:val="lowerRoman"/>
          </w:footnotePr>
          <w:pgSz w:w="11906" w:h="16838" w:code="9"/>
          <w:pgMar w:top="1418" w:right="1418" w:bottom="1418" w:left="1418" w:header="1304" w:footer="1134" w:gutter="0"/>
          <w:cols w:space="708"/>
          <w:docGrid w:linePitch="360"/>
        </w:sectPr>
      </w:pPr>
    </w:p>
    <w:tbl>
      <w:tblPr>
        <w:tblW w:w="5000" w:type="pct"/>
        <w:tblLook w:val="04A0" w:firstRow="1" w:lastRow="0" w:firstColumn="1" w:lastColumn="0" w:noHBand="0" w:noVBand="1"/>
      </w:tblPr>
      <w:tblGrid>
        <w:gridCol w:w="596"/>
        <w:gridCol w:w="596"/>
        <w:gridCol w:w="420"/>
        <w:gridCol w:w="417"/>
        <w:gridCol w:w="547"/>
        <w:gridCol w:w="537"/>
        <w:gridCol w:w="557"/>
        <w:gridCol w:w="820"/>
        <w:gridCol w:w="657"/>
        <w:gridCol w:w="669"/>
        <w:gridCol w:w="484"/>
        <w:gridCol w:w="644"/>
        <w:gridCol w:w="636"/>
        <w:gridCol w:w="1403"/>
        <w:gridCol w:w="790"/>
        <w:gridCol w:w="628"/>
        <w:gridCol w:w="672"/>
        <w:gridCol w:w="620"/>
        <w:gridCol w:w="620"/>
        <w:gridCol w:w="984"/>
        <w:gridCol w:w="695"/>
      </w:tblGrid>
      <w:tr w:rsidR="000A2254" w:rsidRPr="00B31292" w14:paraId="5F0745AA" w14:textId="77777777" w:rsidTr="000A2254">
        <w:trPr>
          <w:trHeight w:val="20"/>
        </w:trPr>
        <w:tc>
          <w:tcPr>
            <w:tcW w:w="215" w:type="pct"/>
            <w:tcBorders>
              <w:top w:val="single" w:sz="4" w:space="0" w:color="auto"/>
              <w:left w:val="single" w:sz="4" w:space="0" w:color="auto"/>
              <w:bottom w:val="single" w:sz="4" w:space="0" w:color="auto"/>
              <w:right w:val="single" w:sz="4" w:space="0" w:color="auto"/>
            </w:tcBorders>
            <w:shd w:val="clear" w:color="000000" w:fill="BFBFBF"/>
            <w:vAlign w:val="center"/>
            <w:hideMark/>
          </w:tcPr>
          <w:p w14:paraId="2DFD417A" w14:textId="53C23E8F" w:rsidR="000A2254" w:rsidRPr="00B31292" w:rsidRDefault="000A2254" w:rsidP="000A2254">
            <w:pPr>
              <w:spacing w:after="0" w:line="240" w:lineRule="auto"/>
              <w:rPr>
                <w:rFonts w:ascii="Garamond" w:eastAsia="Times New Roman" w:hAnsi="Garamond" w:cs="Times New Roman"/>
                <w:b/>
                <w:bCs/>
                <w:color w:val="000000"/>
                <w:sz w:val="10"/>
                <w:szCs w:val="10"/>
              </w:rPr>
            </w:pPr>
            <w:r w:rsidRPr="00B31292">
              <w:rPr>
                <w:rFonts w:ascii="Garamond" w:eastAsia="Times New Roman" w:hAnsi="Garamond" w:cs="Times New Roman"/>
                <w:b/>
                <w:bCs/>
                <w:color w:val="000000"/>
                <w:sz w:val="10"/>
                <w:szCs w:val="10"/>
              </w:rPr>
              <w:lastRenderedPageBreak/>
              <w:t xml:space="preserve">Kodi i </w:t>
            </w:r>
            <w:r w:rsidR="002E40BF" w:rsidRPr="00B31292">
              <w:rPr>
                <w:rFonts w:ascii="Garamond" w:eastAsia="Times New Roman" w:hAnsi="Garamond" w:cs="Times New Roman"/>
                <w:b/>
                <w:bCs/>
                <w:color w:val="000000"/>
                <w:sz w:val="10"/>
                <w:szCs w:val="10"/>
              </w:rPr>
              <w:t>fushës statistikore</w:t>
            </w:r>
          </w:p>
        </w:tc>
        <w:tc>
          <w:tcPr>
            <w:tcW w:w="215" w:type="pct"/>
            <w:tcBorders>
              <w:top w:val="single" w:sz="4" w:space="0" w:color="auto"/>
              <w:left w:val="nil"/>
              <w:bottom w:val="single" w:sz="4" w:space="0" w:color="auto"/>
              <w:right w:val="single" w:sz="4" w:space="0" w:color="auto"/>
            </w:tcBorders>
            <w:shd w:val="clear" w:color="000000" w:fill="BFBFBF"/>
            <w:vAlign w:val="center"/>
            <w:hideMark/>
          </w:tcPr>
          <w:p w14:paraId="67C5A7C8" w14:textId="2FA1E286" w:rsidR="000A2254" w:rsidRPr="00B31292" w:rsidRDefault="000A2254" w:rsidP="000A2254">
            <w:pPr>
              <w:spacing w:after="0" w:line="240" w:lineRule="auto"/>
              <w:rPr>
                <w:rFonts w:ascii="Garamond" w:eastAsia="Times New Roman" w:hAnsi="Garamond" w:cs="Times New Roman"/>
                <w:b/>
                <w:bCs/>
                <w:color w:val="000000"/>
                <w:sz w:val="10"/>
                <w:szCs w:val="10"/>
              </w:rPr>
            </w:pPr>
            <w:r w:rsidRPr="00B31292">
              <w:rPr>
                <w:rFonts w:ascii="Garamond" w:eastAsia="Times New Roman" w:hAnsi="Garamond" w:cs="Times New Roman"/>
                <w:b/>
                <w:bCs/>
                <w:color w:val="000000"/>
                <w:sz w:val="10"/>
                <w:szCs w:val="10"/>
              </w:rPr>
              <w:t xml:space="preserve">Fusha </w:t>
            </w:r>
            <w:r w:rsidR="002E40BF" w:rsidRPr="00B31292">
              <w:rPr>
                <w:rFonts w:ascii="Garamond" w:eastAsia="Times New Roman" w:hAnsi="Garamond" w:cs="Times New Roman"/>
                <w:b/>
                <w:bCs/>
                <w:color w:val="000000"/>
                <w:sz w:val="10"/>
                <w:szCs w:val="10"/>
              </w:rPr>
              <w:t>statistikore</w:t>
            </w:r>
          </w:p>
        </w:tc>
        <w:tc>
          <w:tcPr>
            <w:tcW w:w="155" w:type="pct"/>
            <w:tcBorders>
              <w:top w:val="single" w:sz="4" w:space="0" w:color="auto"/>
              <w:left w:val="nil"/>
              <w:bottom w:val="single" w:sz="4" w:space="0" w:color="auto"/>
              <w:right w:val="single" w:sz="4" w:space="0" w:color="auto"/>
            </w:tcBorders>
            <w:shd w:val="clear" w:color="000000" w:fill="BFBFBF"/>
            <w:vAlign w:val="center"/>
            <w:hideMark/>
          </w:tcPr>
          <w:p w14:paraId="24C281EB" w14:textId="373207E5" w:rsidR="000A2254" w:rsidRPr="00B31292" w:rsidRDefault="000A2254" w:rsidP="000A2254">
            <w:pPr>
              <w:spacing w:after="0" w:line="240" w:lineRule="auto"/>
              <w:rPr>
                <w:rFonts w:ascii="Garamond" w:eastAsia="Times New Roman" w:hAnsi="Garamond" w:cs="Times New Roman"/>
                <w:b/>
                <w:bCs/>
                <w:color w:val="000000"/>
                <w:sz w:val="10"/>
                <w:szCs w:val="10"/>
              </w:rPr>
            </w:pPr>
            <w:r w:rsidRPr="00B31292">
              <w:rPr>
                <w:rFonts w:ascii="Garamond" w:eastAsia="Times New Roman" w:hAnsi="Garamond" w:cs="Times New Roman"/>
                <w:b/>
                <w:bCs/>
                <w:color w:val="000000"/>
                <w:sz w:val="10"/>
                <w:szCs w:val="10"/>
              </w:rPr>
              <w:t xml:space="preserve">Kodi i </w:t>
            </w:r>
            <w:r w:rsidR="002E40BF" w:rsidRPr="00B31292">
              <w:rPr>
                <w:rFonts w:ascii="Garamond" w:eastAsia="Times New Roman" w:hAnsi="Garamond" w:cs="Times New Roman"/>
                <w:b/>
                <w:bCs/>
                <w:color w:val="000000"/>
                <w:sz w:val="10"/>
                <w:szCs w:val="10"/>
              </w:rPr>
              <w:t>temës</w:t>
            </w:r>
          </w:p>
        </w:tc>
        <w:tc>
          <w:tcPr>
            <w:tcW w:w="145" w:type="pct"/>
            <w:tcBorders>
              <w:top w:val="single" w:sz="4" w:space="0" w:color="auto"/>
              <w:left w:val="nil"/>
              <w:bottom w:val="single" w:sz="4" w:space="0" w:color="auto"/>
              <w:right w:val="single" w:sz="4" w:space="0" w:color="auto"/>
            </w:tcBorders>
            <w:shd w:val="clear" w:color="000000" w:fill="BFBFBF"/>
            <w:vAlign w:val="center"/>
            <w:hideMark/>
          </w:tcPr>
          <w:p w14:paraId="54FEDB2D" w14:textId="77777777" w:rsidR="000A2254" w:rsidRPr="00B31292" w:rsidRDefault="000A2254" w:rsidP="000A2254">
            <w:pPr>
              <w:spacing w:after="0" w:line="240" w:lineRule="auto"/>
              <w:rPr>
                <w:rFonts w:ascii="Garamond" w:eastAsia="Times New Roman" w:hAnsi="Garamond" w:cs="Times New Roman"/>
                <w:b/>
                <w:bCs/>
                <w:color w:val="000000"/>
                <w:sz w:val="10"/>
                <w:szCs w:val="10"/>
              </w:rPr>
            </w:pPr>
            <w:r w:rsidRPr="00B31292">
              <w:rPr>
                <w:rFonts w:ascii="Garamond" w:eastAsia="Times New Roman" w:hAnsi="Garamond" w:cs="Times New Roman"/>
                <w:b/>
                <w:bCs/>
                <w:color w:val="000000"/>
                <w:sz w:val="10"/>
                <w:szCs w:val="10"/>
              </w:rPr>
              <w:t>Tema</w:t>
            </w:r>
          </w:p>
        </w:tc>
        <w:tc>
          <w:tcPr>
            <w:tcW w:w="188" w:type="pct"/>
            <w:tcBorders>
              <w:top w:val="single" w:sz="4" w:space="0" w:color="auto"/>
              <w:left w:val="nil"/>
              <w:bottom w:val="single" w:sz="4" w:space="0" w:color="auto"/>
              <w:right w:val="single" w:sz="4" w:space="0" w:color="auto"/>
            </w:tcBorders>
            <w:shd w:val="clear" w:color="000000" w:fill="BFBFBF"/>
            <w:vAlign w:val="center"/>
            <w:hideMark/>
          </w:tcPr>
          <w:p w14:paraId="502B4023" w14:textId="4FA41662" w:rsidR="000A2254" w:rsidRPr="00B31292" w:rsidRDefault="000A2254" w:rsidP="000A2254">
            <w:pPr>
              <w:spacing w:after="0" w:line="240" w:lineRule="auto"/>
              <w:rPr>
                <w:rFonts w:ascii="Garamond" w:eastAsia="Times New Roman" w:hAnsi="Garamond" w:cs="Times New Roman"/>
                <w:b/>
                <w:bCs/>
                <w:color w:val="000000"/>
                <w:sz w:val="10"/>
                <w:szCs w:val="10"/>
              </w:rPr>
            </w:pPr>
            <w:r w:rsidRPr="00B31292">
              <w:rPr>
                <w:rFonts w:ascii="Garamond" w:eastAsia="Times New Roman" w:hAnsi="Garamond" w:cs="Times New Roman"/>
                <w:b/>
                <w:bCs/>
                <w:color w:val="000000"/>
                <w:sz w:val="10"/>
                <w:szCs w:val="10"/>
              </w:rPr>
              <w:t xml:space="preserve">Kodi i </w:t>
            </w:r>
            <w:r w:rsidR="002E40BF" w:rsidRPr="00B31292">
              <w:rPr>
                <w:rFonts w:ascii="Garamond" w:eastAsia="Times New Roman" w:hAnsi="Garamond" w:cs="Times New Roman"/>
                <w:b/>
                <w:bCs/>
                <w:color w:val="000000"/>
                <w:sz w:val="10"/>
                <w:szCs w:val="10"/>
              </w:rPr>
              <w:t>nëntemës</w:t>
            </w:r>
          </w:p>
        </w:tc>
        <w:tc>
          <w:tcPr>
            <w:tcW w:w="184" w:type="pct"/>
            <w:tcBorders>
              <w:top w:val="single" w:sz="4" w:space="0" w:color="auto"/>
              <w:left w:val="nil"/>
              <w:bottom w:val="single" w:sz="4" w:space="0" w:color="auto"/>
              <w:right w:val="single" w:sz="4" w:space="0" w:color="auto"/>
            </w:tcBorders>
            <w:shd w:val="clear" w:color="000000" w:fill="BFBFBF"/>
            <w:vAlign w:val="center"/>
            <w:hideMark/>
          </w:tcPr>
          <w:p w14:paraId="2648630C" w14:textId="77777777" w:rsidR="000A2254" w:rsidRPr="00B31292" w:rsidRDefault="000A2254" w:rsidP="000A2254">
            <w:pPr>
              <w:spacing w:after="0" w:line="240" w:lineRule="auto"/>
              <w:rPr>
                <w:rFonts w:ascii="Garamond" w:eastAsia="Times New Roman" w:hAnsi="Garamond" w:cs="Times New Roman"/>
                <w:b/>
                <w:bCs/>
                <w:color w:val="000000"/>
                <w:sz w:val="10"/>
                <w:szCs w:val="10"/>
              </w:rPr>
            </w:pPr>
            <w:r w:rsidRPr="00B31292">
              <w:rPr>
                <w:rFonts w:ascii="Garamond" w:eastAsia="Times New Roman" w:hAnsi="Garamond" w:cs="Times New Roman"/>
                <w:b/>
                <w:bCs/>
                <w:color w:val="000000"/>
                <w:sz w:val="10"/>
                <w:szCs w:val="10"/>
              </w:rPr>
              <w:t>Nëntema</w:t>
            </w:r>
          </w:p>
        </w:tc>
        <w:tc>
          <w:tcPr>
            <w:tcW w:w="199" w:type="pct"/>
            <w:tcBorders>
              <w:top w:val="single" w:sz="4" w:space="0" w:color="auto"/>
              <w:left w:val="nil"/>
              <w:bottom w:val="single" w:sz="4" w:space="0" w:color="auto"/>
              <w:right w:val="single" w:sz="4" w:space="0" w:color="auto"/>
            </w:tcBorders>
            <w:shd w:val="clear" w:color="000000" w:fill="BFBFBF"/>
            <w:vAlign w:val="center"/>
            <w:hideMark/>
          </w:tcPr>
          <w:p w14:paraId="420C7F27" w14:textId="14F586BF" w:rsidR="000A2254" w:rsidRPr="00B31292" w:rsidRDefault="000A2254" w:rsidP="000A2254">
            <w:pPr>
              <w:spacing w:after="0" w:line="240" w:lineRule="auto"/>
              <w:rPr>
                <w:rFonts w:ascii="Garamond" w:eastAsia="Times New Roman" w:hAnsi="Garamond" w:cs="Times New Roman"/>
                <w:b/>
                <w:bCs/>
                <w:color w:val="000000"/>
                <w:sz w:val="10"/>
                <w:szCs w:val="10"/>
              </w:rPr>
            </w:pPr>
            <w:r w:rsidRPr="00B31292">
              <w:rPr>
                <w:rFonts w:ascii="Garamond" w:eastAsia="Times New Roman" w:hAnsi="Garamond" w:cs="Times New Roman"/>
                <w:b/>
                <w:bCs/>
                <w:color w:val="000000"/>
                <w:sz w:val="10"/>
                <w:szCs w:val="10"/>
              </w:rPr>
              <w:t xml:space="preserve">Kodi i </w:t>
            </w:r>
            <w:r w:rsidR="002E40BF" w:rsidRPr="00B31292">
              <w:rPr>
                <w:rFonts w:ascii="Garamond" w:eastAsia="Times New Roman" w:hAnsi="Garamond" w:cs="Times New Roman"/>
                <w:b/>
                <w:bCs/>
                <w:color w:val="000000"/>
                <w:sz w:val="10"/>
                <w:szCs w:val="10"/>
              </w:rPr>
              <w:t xml:space="preserve">aktivitetit </w:t>
            </w:r>
            <w:r w:rsidRPr="00B31292">
              <w:rPr>
                <w:rFonts w:ascii="Garamond" w:eastAsia="Times New Roman" w:hAnsi="Garamond" w:cs="Times New Roman"/>
                <w:b/>
                <w:bCs/>
                <w:color w:val="000000"/>
                <w:sz w:val="10"/>
                <w:szCs w:val="10"/>
              </w:rPr>
              <w:t>statistikor</w:t>
            </w:r>
          </w:p>
        </w:tc>
        <w:tc>
          <w:tcPr>
            <w:tcW w:w="281" w:type="pct"/>
            <w:tcBorders>
              <w:top w:val="single" w:sz="4" w:space="0" w:color="auto"/>
              <w:left w:val="nil"/>
              <w:bottom w:val="single" w:sz="4" w:space="0" w:color="auto"/>
              <w:right w:val="single" w:sz="4" w:space="0" w:color="auto"/>
            </w:tcBorders>
            <w:shd w:val="clear" w:color="000000" w:fill="BFBFBF"/>
            <w:vAlign w:val="center"/>
            <w:hideMark/>
          </w:tcPr>
          <w:p w14:paraId="7476D30E" w14:textId="77777777" w:rsidR="000A2254" w:rsidRPr="00B31292" w:rsidRDefault="000A2254" w:rsidP="000A2254">
            <w:pPr>
              <w:spacing w:after="0" w:line="240" w:lineRule="auto"/>
              <w:rPr>
                <w:rFonts w:ascii="Garamond" w:eastAsia="Times New Roman" w:hAnsi="Garamond" w:cs="Times New Roman"/>
                <w:b/>
                <w:bCs/>
                <w:color w:val="000000"/>
                <w:sz w:val="10"/>
                <w:szCs w:val="10"/>
              </w:rPr>
            </w:pPr>
            <w:r w:rsidRPr="00B31292">
              <w:rPr>
                <w:rFonts w:ascii="Garamond" w:eastAsia="Times New Roman" w:hAnsi="Garamond" w:cs="Times New Roman"/>
                <w:b/>
                <w:bCs/>
                <w:color w:val="000000"/>
                <w:sz w:val="10"/>
                <w:szCs w:val="10"/>
              </w:rPr>
              <w:t>Aktiviteti</w:t>
            </w:r>
          </w:p>
        </w:tc>
        <w:tc>
          <w:tcPr>
            <w:tcW w:w="236" w:type="pct"/>
            <w:tcBorders>
              <w:top w:val="single" w:sz="4" w:space="0" w:color="auto"/>
              <w:left w:val="nil"/>
              <w:bottom w:val="single" w:sz="4" w:space="0" w:color="auto"/>
              <w:right w:val="single" w:sz="4" w:space="0" w:color="auto"/>
            </w:tcBorders>
            <w:shd w:val="clear" w:color="000000" w:fill="BFBFBF"/>
            <w:vAlign w:val="center"/>
            <w:hideMark/>
          </w:tcPr>
          <w:p w14:paraId="0D8BC2C4" w14:textId="77777777" w:rsidR="000A2254" w:rsidRPr="00B31292" w:rsidRDefault="000A2254" w:rsidP="000A2254">
            <w:pPr>
              <w:spacing w:after="0" w:line="240" w:lineRule="auto"/>
              <w:rPr>
                <w:rFonts w:ascii="Garamond" w:eastAsia="Times New Roman" w:hAnsi="Garamond" w:cs="Times New Roman"/>
                <w:b/>
                <w:bCs/>
                <w:color w:val="000000"/>
                <w:sz w:val="10"/>
                <w:szCs w:val="10"/>
              </w:rPr>
            </w:pPr>
            <w:r w:rsidRPr="00B31292">
              <w:rPr>
                <w:rFonts w:ascii="Garamond" w:eastAsia="Times New Roman" w:hAnsi="Garamond" w:cs="Times New Roman"/>
                <w:b/>
                <w:bCs/>
                <w:color w:val="000000"/>
                <w:sz w:val="10"/>
                <w:szCs w:val="10"/>
              </w:rPr>
              <w:t>Lloji i aktivitetit</w:t>
            </w:r>
          </w:p>
        </w:tc>
        <w:tc>
          <w:tcPr>
            <w:tcW w:w="238" w:type="pct"/>
            <w:tcBorders>
              <w:top w:val="single" w:sz="4" w:space="0" w:color="auto"/>
              <w:left w:val="nil"/>
              <w:bottom w:val="single" w:sz="4" w:space="0" w:color="auto"/>
              <w:right w:val="single" w:sz="4" w:space="0" w:color="auto"/>
            </w:tcBorders>
            <w:shd w:val="clear" w:color="000000" w:fill="BFBFBF"/>
            <w:vAlign w:val="center"/>
            <w:hideMark/>
          </w:tcPr>
          <w:p w14:paraId="45BB8449" w14:textId="5094AD98" w:rsidR="000A2254" w:rsidRPr="00B31292" w:rsidRDefault="000A2254" w:rsidP="000A2254">
            <w:pPr>
              <w:spacing w:after="0" w:line="240" w:lineRule="auto"/>
              <w:rPr>
                <w:rFonts w:ascii="Garamond" w:eastAsia="Times New Roman" w:hAnsi="Garamond" w:cs="Times New Roman"/>
                <w:b/>
                <w:bCs/>
                <w:color w:val="000000"/>
                <w:sz w:val="10"/>
                <w:szCs w:val="10"/>
              </w:rPr>
            </w:pPr>
            <w:r w:rsidRPr="00B31292">
              <w:rPr>
                <w:rFonts w:ascii="Garamond" w:eastAsia="Times New Roman" w:hAnsi="Garamond" w:cs="Times New Roman"/>
                <w:b/>
                <w:bCs/>
                <w:color w:val="000000"/>
                <w:sz w:val="10"/>
                <w:szCs w:val="10"/>
              </w:rPr>
              <w:t xml:space="preserve">% nga </w:t>
            </w:r>
            <w:r w:rsidR="002E40BF" w:rsidRPr="00B31292">
              <w:rPr>
                <w:rFonts w:ascii="Garamond" w:eastAsia="Times New Roman" w:hAnsi="Garamond" w:cs="Times New Roman"/>
                <w:b/>
                <w:bCs/>
                <w:color w:val="000000"/>
                <w:sz w:val="10"/>
                <w:szCs w:val="10"/>
              </w:rPr>
              <w:t xml:space="preserve">burimi </w:t>
            </w:r>
            <w:r w:rsidRPr="00B31292">
              <w:rPr>
                <w:rFonts w:ascii="Garamond" w:eastAsia="Times New Roman" w:hAnsi="Garamond" w:cs="Times New Roman"/>
                <w:b/>
                <w:bCs/>
                <w:color w:val="000000"/>
                <w:sz w:val="10"/>
                <w:szCs w:val="10"/>
              </w:rPr>
              <w:t>administrativ</w:t>
            </w:r>
          </w:p>
        </w:tc>
        <w:tc>
          <w:tcPr>
            <w:tcW w:w="180" w:type="pct"/>
            <w:tcBorders>
              <w:top w:val="single" w:sz="4" w:space="0" w:color="auto"/>
              <w:left w:val="nil"/>
              <w:bottom w:val="single" w:sz="4" w:space="0" w:color="auto"/>
              <w:right w:val="single" w:sz="4" w:space="0" w:color="auto"/>
            </w:tcBorders>
            <w:shd w:val="clear" w:color="000000" w:fill="BFBFBF"/>
            <w:vAlign w:val="center"/>
            <w:hideMark/>
          </w:tcPr>
          <w:p w14:paraId="45CECF5E" w14:textId="4B9C1C1F" w:rsidR="000A2254" w:rsidRPr="00B31292" w:rsidRDefault="000A2254" w:rsidP="000A2254">
            <w:pPr>
              <w:spacing w:after="0" w:line="240" w:lineRule="auto"/>
              <w:rPr>
                <w:rFonts w:ascii="Garamond" w:eastAsia="Times New Roman" w:hAnsi="Garamond" w:cs="Times New Roman"/>
                <w:b/>
                <w:bCs/>
                <w:color w:val="000000"/>
                <w:sz w:val="10"/>
                <w:szCs w:val="10"/>
              </w:rPr>
            </w:pPr>
            <w:r w:rsidRPr="00B31292">
              <w:rPr>
                <w:rFonts w:ascii="Garamond" w:eastAsia="Times New Roman" w:hAnsi="Garamond" w:cs="Times New Roman"/>
                <w:b/>
                <w:bCs/>
                <w:color w:val="000000"/>
                <w:sz w:val="10"/>
                <w:szCs w:val="10"/>
              </w:rPr>
              <w:t xml:space="preserve">% nga </w:t>
            </w:r>
            <w:r w:rsidR="002E40BF" w:rsidRPr="00B31292">
              <w:rPr>
                <w:rFonts w:ascii="Garamond" w:eastAsia="Times New Roman" w:hAnsi="Garamond" w:cs="Times New Roman"/>
                <w:b/>
                <w:bCs/>
                <w:color w:val="000000"/>
                <w:sz w:val="10"/>
                <w:szCs w:val="10"/>
              </w:rPr>
              <w:t>vrojtimi</w:t>
            </w:r>
          </w:p>
        </w:tc>
        <w:tc>
          <w:tcPr>
            <w:tcW w:w="228" w:type="pct"/>
            <w:tcBorders>
              <w:top w:val="single" w:sz="4" w:space="0" w:color="auto"/>
              <w:left w:val="nil"/>
              <w:bottom w:val="single" w:sz="4" w:space="0" w:color="auto"/>
              <w:right w:val="single" w:sz="4" w:space="0" w:color="auto"/>
            </w:tcBorders>
            <w:shd w:val="clear" w:color="000000" w:fill="BFBFBF"/>
            <w:vAlign w:val="center"/>
            <w:hideMark/>
          </w:tcPr>
          <w:p w14:paraId="29F623BD" w14:textId="77777777" w:rsidR="000A2254" w:rsidRPr="00B31292" w:rsidRDefault="000A2254" w:rsidP="000A2254">
            <w:pPr>
              <w:spacing w:after="0" w:line="240" w:lineRule="auto"/>
              <w:rPr>
                <w:rFonts w:ascii="Garamond" w:eastAsia="Times New Roman" w:hAnsi="Garamond" w:cs="Times New Roman"/>
                <w:b/>
                <w:bCs/>
                <w:color w:val="000000"/>
                <w:sz w:val="10"/>
                <w:szCs w:val="10"/>
              </w:rPr>
            </w:pPr>
            <w:r w:rsidRPr="00B31292">
              <w:rPr>
                <w:rFonts w:ascii="Garamond" w:eastAsia="Times New Roman" w:hAnsi="Garamond" w:cs="Times New Roman"/>
                <w:b/>
                <w:bCs/>
                <w:color w:val="000000"/>
                <w:sz w:val="10"/>
                <w:szCs w:val="10"/>
              </w:rPr>
              <w:t>Tipi i aktivitetit</w:t>
            </w:r>
          </w:p>
        </w:tc>
        <w:tc>
          <w:tcPr>
            <w:tcW w:w="222" w:type="pct"/>
            <w:tcBorders>
              <w:top w:val="single" w:sz="4" w:space="0" w:color="auto"/>
              <w:left w:val="nil"/>
              <w:bottom w:val="single" w:sz="4" w:space="0" w:color="auto"/>
              <w:right w:val="single" w:sz="4" w:space="0" w:color="auto"/>
            </w:tcBorders>
            <w:shd w:val="clear" w:color="000000" w:fill="BFBFBF"/>
            <w:vAlign w:val="center"/>
            <w:hideMark/>
          </w:tcPr>
          <w:p w14:paraId="62C5D449" w14:textId="77777777" w:rsidR="000A2254" w:rsidRPr="00B31292" w:rsidRDefault="000A2254" w:rsidP="000A2254">
            <w:pPr>
              <w:spacing w:after="0" w:line="240" w:lineRule="auto"/>
              <w:rPr>
                <w:rFonts w:ascii="Garamond" w:eastAsia="Times New Roman" w:hAnsi="Garamond" w:cs="Times New Roman"/>
                <w:b/>
                <w:bCs/>
                <w:color w:val="000000"/>
                <w:sz w:val="10"/>
                <w:szCs w:val="10"/>
              </w:rPr>
            </w:pPr>
            <w:r w:rsidRPr="00B31292">
              <w:rPr>
                <w:rFonts w:ascii="Garamond" w:eastAsia="Times New Roman" w:hAnsi="Garamond" w:cs="Times New Roman"/>
                <w:b/>
                <w:bCs/>
                <w:color w:val="000000"/>
                <w:sz w:val="10"/>
                <w:szCs w:val="10"/>
              </w:rPr>
              <w:t>Periodiciteti i aktivitetit</w:t>
            </w:r>
          </w:p>
        </w:tc>
        <w:tc>
          <w:tcPr>
            <w:tcW w:w="486" w:type="pct"/>
            <w:tcBorders>
              <w:top w:val="single" w:sz="4" w:space="0" w:color="auto"/>
              <w:left w:val="nil"/>
              <w:bottom w:val="single" w:sz="4" w:space="0" w:color="auto"/>
              <w:right w:val="single" w:sz="4" w:space="0" w:color="auto"/>
            </w:tcBorders>
            <w:shd w:val="clear" w:color="000000" w:fill="BFBFBF"/>
            <w:vAlign w:val="center"/>
            <w:hideMark/>
          </w:tcPr>
          <w:p w14:paraId="5A6DF16C" w14:textId="77777777" w:rsidR="000A2254" w:rsidRPr="00B31292" w:rsidRDefault="000A2254" w:rsidP="000A2254">
            <w:pPr>
              <w:spacing w:after="0" w:line="240" w:lineRule="auto"/>
              <w:rPr>
                <w:rFonts w:ascii="Garamond" w:eastAsia="Times New Roman" w:hAnsi="Garamond" w:cs="Times New Roman"/>
                <w:b/>
                <w:bCs/>
                <w:color w:val="000000"/>
                <w:sz w:val="10"/>
                <w:szCs w:val="10"/>
              </w:rPr>
            </w:pPr>
            <w:r w:rsidRPr="00B31292">
              <w:rPr>
                <w:rFonts w:ascii="Garamond" w:eastAsia="Times New Roman" w:hAnsi="Garamond" w:cs="Times New Roman"/>
                <w:b/>
                <w:bCs/>
                <w:color w:val="000000"/>
                <w:sz w:val="10"/>
                <w:szCs w:val="10"/>
              </w:rPr>
              <w:t>Treguesit statistikorë</w:t>
            </w:r>
          </w:p>
        </w:tc>
        <w:tc>
          <w:tcPr>
            <w:tcW w:w="299" w:type="pct"/>
            <w:tcBorders>
              <w:top w:val="single" w:sz="4" w:space="0" w:color="auto"/>
              <w:left w:val="nil"/>
              <w:bottom w:val="single" w:sz="4" w:space="0" w:color="auto"/>
              <w:right w:val="single" w:sz="4" w:space="0" w:color="auto"/>
            </w:tcBorders>
            <w:shd w:val="clear" w:color="000000" w:fill="BFBFBF"/>
            <w:vAlign w:val="center"/>
            <w:hideMark/>
          </w:tcPr>
          <w:p w14:paraId="46D3B492" w14:textId="77777777" w:rsidR="000A2254" w:rsidRPr="00B31292" w:rsidRDefault="000A2254" w:rsidP="000A2254">
            <w:pPr>
              <w:spacing w:after="0" w:line="240" w:lineRule="auto"/>
              <w:rPr>
                <w:rFonts w:ascii="Garamond" w:eastAsia="Times New Roman" w:hAnsi="Garamond" w:cs="Times New Roman"/>
                <w:b/>
                <w:bCs/>
                <w:color w:val="000000"/>
                <w:sz w:val="10"/>
                <w:szCs w:val="10"/>
              </w:rPr>
            </w:pPr>
            <w:r w:rsidRPr="00B31292">
              <w:rPr>
                <w:rFonts w:ascii="Garamond" w:eastAsia="Times New Roman" w:hAnsi="Garamond" w:cs="Times New Roman"/>
                <w:b/>
                <w:bCs/>
                <w:color w:val="000000"/>
                <w:sz w:val="10"/>
                <w:szCs w:val="10"/>
              </w:rPr>
              <w:t>Institucioni përgjegjës për furnizimin me të dhëna</w:t>
            </w:r>
          </w:p>
        </w:tc>
        <w:tc>
          <w:tcPr>
            <w:tcW w:w="224" w:type="pct"/>
            <w:tcBorders>
              <w:top w:val="single" w:sz="4" w:space="0" w:color="auto"/>
              <w:left w:val="nil"/>
              <w:bottom w:val="single" w:sz="4" w:space="0" w:color="auto"/>
              <w:right w:val="single" w:sz="4" w:space="0" w:color="auto"/>
            </w:tcBorders>
            <w:shd w:val="clear" w:color="000000" w:fill="BFBFBF"/>
            <w:vAlign w:val="center"/>
            <w:hideMark/>
          </w:tcPr>
          <w:p w14:paraId="42C313F0" w14:textId="77777777" w:rsidR="000A2254" w:rsidRPr="00B31292" w:rsidRDefault="000A2254" w:rsidP="000A2254">
            <w:pPr>
              <w:spacing w:after="0" w:line="240" w:lineRule="auto"/>
              <w:rPr>
                <w:rFonts w:ascii="Garamond" w:eastAsia="Times New Roman" w:hAnsi="Garamond" w:cs="Times New Roman"/>
                <w:b/>
                <w:bCs/>
                <w:color w:val="000000"/>
                <w:sz w:val="10"/>
                <w:szCs w:val="10"/>
              </w:rPr>
            </w:pPr>
            <w:r w:rsidRPr="00B31292">
              <w:rPr>
                <w:rFonts w:ascii="Garamond" w:eastAsia="Times New Roman" w:hAnsi="Garamond" w:cs="Times New Roman"/>
                <w:b/>
                <w:bCs/>
                <w:color w:val="000000"/>
                <w:sz w:val="10"/>
                <w:szCs w:val="10"/>
              </w:rPr>
              <w:t>Institucioni përgjegjës për prodhimin e të dhënave</w:t>
            </w:r>
          </w:p>
        </w:tc>
        <w:tc>
          <w:tcPr>
            <w:tcW w:w="244" w:type="pct"/>
            <w:tcBorders>
              <w:top w:val="single" w:sz="4" w:space="0" w:color="auto"/>
              <w:left w:val="nil"/>
              <w:bottom w:val="single" w:sz="4" w:space="0" w:color="auto"/>
              <w:right w:val="single" w:sz="4" w:space="0" w:color="auto"/>
            </w:tcBorders>
            <w:shd w:val="clear" w:color="000000" w:fill="BFBFBF"/>
            <w:vAlign w:val="center"/>
            <w:hideMark/>
          </w:tcPr>
          <w:p w14:paraId="50E0C24A" w14:textId="76BBF16B" w:rsidR="000A2254" w:rsidRPr="00B31292" w:rsidRDefault="000A2254" w:rsidP="000A2254">
            <w:pPr>
              <w:spacing w:after="0" w:line="240" w:lineRule="auto"/>
              <w:rPr>
                <w:rFonts w:ascii="Garamond" w:eastAsia="Times New Roman" w:hAnsi="Garamond" w:cs="Times New Roman"/>
                <w:b/>
                <w:bCs/>
                <w:color w:val="000000"/>
                <w:sz w:val="10"/>
                <w:szCs w:val="10"/>
              </w:rPr>
            </w:pPr>
            <w:r w:rsidRPr="00B31292">
              <w:rPr>
                <w:rFonts w:ascii="Garamond" w:eastAsia="Times New Roman" w:hAnsi="Garamond" w:cs="Times New Roman"/>
                <w:b/>
                <w:bCs/>
                <w:color w:val="000000"/>
                <w:sz w:val="10"/>
                <w:szCs w:val="10"/>
              </w:rPr>
              <w:t xml:space="preserve"> Afati i </w:t>
            </w:r>
            <w:r w:rsidR="002E40BF" w:rsidRPr="00B31292">
              <w:rPr>
                <w:rFonts w:ascii="Garamond" w:eastAsia="Times New Roman" w:hAnsi="Garamond" w:cs="Times New Roman"/>
                <w:b/>
                <w:bCs/>
                <w:color w:val="000000"/>
                <w:sz w:val="10"/>
                <w:szCs w:val="10"/>
              </w:rPr>
              <w:t xml:space="preserve">grumbullimit </w:t>
            </w:r>
            <w:r w:rsidRPr="00B31292">
              <w:rPr>
                <w:rFonts w:ascii="Garamond" w:eastAsia="Times New Roman" w:hAnsi="Garamond" w:cs="Times New Roman"/>
                <w:b/>
                <w:bCs/>
                <w:color w:val="000000"/>
                <w:sz w:val="10"/>
                <w:szCs w:val="10"/>
              </w:rPr>
              <w:t xml:space="preserve">të të dhënave </w:t>
            </w:r>
          </w:p>
        </w:tc>
        <w:tc>
          <w:tcPr>
            <w:tcW w:w="220" w:type="pct"/>
            <w:tcBorders>
              <w:top w:val="single" w:sz="4" w:space="0" w:color="auto"/>
              <w:left w:val="nil"/>
              <w:bottom w:val="single" w:sz="4" w:space="0" w:color="auto"/>
              <w:right w:val="single" w:sz="4" w:space="0" w:color="auto"/>
            </w:tcBorders>
            <w:shd w:val="clear" w:color="000000" w:fill="BFBFBF"/>
            <w:vAlign w:val="center"/>
            <w:hideMark/>
          </w:tcPr>
          <w:p w14:paraId="598A847F" w14:textId="7AB13D0A" w:rsidR="000A2254" w:rsidRPr="00B31292" w:rsidRDefault="000A2254" w:rsidP="000A2254">
            <w:pPr>
              <w:spacing w:after="0" w:line="240" w:lineRule="auto"/>
              <w:rPr>
                <w:rFonts w:ascii="Garamond" w:eastAsia="Times New Roman" w:hAnsi="Garamond" w:cs="Times New Roman"/>
                <w:b/>
                <w:bCs/>
                <w:color w:val="000000"/>
                <w:sz w:val="10"/>
                <w:szCs w:val="10"/>
              </w:rPr>
            </w:pPr>
            <w:r w:rsidRPr="00B31292">
              <w:rPr>
                <w:rFonts w:ascii="Garamond" w:eastAsia="Times New Roman" w:hAnsi="Garamond" w:cs="Times New Roman"/>
                <w:b/>
                <w:bCs/>
                <w:color w:val="000000"/>
                <w:sz w:val="10"/>
                <w:szCs w:val="10"/>
              </w:rPr>
              <w:t xml:space="preserve">Afati i </w:t>
            </w:r>
            <w:r w:rsidR="002E40BF" w:rsidRPr="00B31292">
              <w:rPr>
                <w:rFonts w:ascii="Garamond" w:eastAsia="Times New Roman" w:hAnsi="Garamond" w:cs="Times New Roman"/>
                <w:b/>
                <w:bCs/>
                <w:color w:val="000000"/>
                <w:sz w:val="10"/>
                <w:szCs w:val="10"/>
              </w:rPr>
              <w:t xml:space="preserve">përpunimit </w:t>
            </w:r>
            <w:r w:rsidRPr="00B31292">
              <w:rPr>
                <w:rFonts w:ascii="Garamond" w:eastAsia="Times New Roman" w:hAnsi="Garamond" w:cs="Times New Roman"/>
                <w:b/>
                <w:bCs/>
                <w:color w:val="000000"/>
                <w:sz w:val="10"/>
                <w:szCs w:val="10"/>
              </w:rPr>
              <w:t>të të dhënave</w:t>
            </w:r>
          </w:p>
        </w:tc>
        <w:tc>
          <w:tcPr>
            <w:tcW w:w="220" w:type="pct"/>
            <w:tcBorders>
              <w:top w:val="single" w:sz="4" w:space="0" w:color="auto"/>
              <w:left w:val="nil"/>
              <w:bottom w:val="single" w:sz="4" w:space="0" w:color="auto"/>
              <w:right w:val="single" w:sz="4" w:space="0" w:color="auto"/>
            </w:tcBorders>
            <w:shd w:val="clear" w:color="000000" w:fill="BFBFBF"/>
            <w:vAlign w:val="center"/>
            <w:hideMark/>
          </w:tcPr>
          <w:p w14:paraId="3209E064" w14:textId="6B58D70A" w:rsidR="000A2254" w:rsidRPr="00B31292" w:rsidRDefault="000A2254" w:rsidP="000A2254">
            <w:pPr>
              <w:spacing w:after="0" w:line="240" w:lineRule="auto"/>
              <w:rPr>
                <w:rFonts w:ascii="Garamond" w:eastAsia="Times New Roman" w:hAnsi="Garamond" w:cs="Times New Roman"/>
                <w:b/>
                <w:bCs/>
                <w:color w:val="000000"/>
                <w:sz w:val="10"/>
                <w:szCs w:val="10"/>
              </w:rPr>
            </w:pPr>
            <w:r w:rsidRPr="00B31292">
              <w:rPr>
                <w:rFonts w:ascii="Garamond" w:eastAsia="Times New Roman" w:hAnsi="Garamond" w:cs="Times New Roman"/>
                <w:b/>
                <w:bCs/>
                <w:color w:val="000000"/>
                <w:sz w:val="10"/>
                <w:szCs w:val="10"/>
              </w:rPr>
              <w:t xml:space="preserve">Afati i </w:t>
            </w:r>
            <w:r w:rsidR="002E40BF" w:rsidRPr="00B31292">
              <w:rPr>
                <w:rFonts w:ascii="Garamond" w:eastAsia="Times New Roman" w:hAnsi="Garamond" w:cs="Times New Roman"/>
                <w:b/>
                <w:bCs/>
                <w:color w:val="000000"/>
                <w:sz w:val="10"/>
                <w:szCs w:val="10"/>
              </w:rPr>
              <w:t xml:space="preserve">publikimit </w:t>
            </w:r>
            <w:r w:rsidRPr="00B31292">
              <w:rPr>
                <w:rFonts w:ascii="Garamond" w:eastAsia="Times New Roman" w:hAnsi="Garamond" w:cs="Times New Roman"/>
                <w:b/>
                <w:bCs/>
                <w:color w:val="000000"/>
                <w:sz w:val="10"/>
                <w:szCs w:val="10"/>
              </w:rPr>
              <w:t>të të dhënave</w:t>
            </w:r>
          </w:p>
        </w:tc>
        <w:tc>
          <w:tcPr>
            <w:tcW w:w="346" w:type="pct"/>
            <w:tcBorders>
              <w:top w:val="single" w:sz="4" w:space="0" w:color="auto"/>
              <w:left w:val="nil"/>
              <w:bottom w:val="single" w:sz="4" w:space="0" w:color="auto"/>
              <w:right w:val="single" w:sz="4" w:space="0" w:color="auto"/>
            </w:tcBorders>
            <w:shd w:val="clear" w:color="000000" w:fill="BFBFBF"/>
            <w:vAlign w:val="center"/>
            <w:hideMark/>
          </w:tcPr>
          <w:p w14:paraId="3FF23784" w14:textId="77777777" w:rsidR="000A2254" w:rsidRPr="00B31292" w:rsidRDefault="000A2254" w:rsidP="000A2254">
            <w:pPr>
              <w:spacing w:after="0" w:line="240" w:lineRule="auto"/>
              <w:rPr>
                <w:rFonts w:ascii="Garamond" w:eastAsia="Times New Roman" w:hAnsi="Garamond" w:cs="Times New Roman"/>
                <w:b/>
                <w:bCs/>
                <w:color w:val="000000"/>
                <w:sz w:val="10"/>
                <w:szCs w:val="10"/>
              </w:rPr>
            </w:pPr>
            <w:r w:rsidRPr="00B31292">
              <w:rPr>
                <w:rFonts w:ascii="Garamond" w:eastAsia="Times New Roman" w:hAnsi="Garamond" w:cs="Times New Roman"/>
                <w:b/>
                <w:bCs/>
                <w:color w:val="000000"/>
                <w:sz w:val="10"/>
                <w:szCs w:val="10"/>
              </w:rPr>
              <w:t>Risku dhe nivelet</w:t>
            </w:r>
          </w:p>
        </w:tc>
        <w:tc>
          <w:tcPr>
            <w:tcW w:w="273" w:type="pct"/>
            <w:tcBorders>
              <w:top w:val="single" w:sz="4" w:space="0" w:color="auto"/>
              <w:left w:val="nil"/>
              <w:bottom w:val="single" w:sz="4" w:space="0" w:color="auto"/>
              <w:right w:val="single" w:sz="4" w:space="0" w:color="auto"/>
            </w:tcBorders>
            <w:shd w:val="clear" w:color="000000" w:fill="BFBFBF"/>
            <w:vAlign w:val="center"/>
            <w:hideMark/>
          </w:tcPr>
          <w:p w14:paraId="4A489EF7" w14:textId="77777777" w:rsidR="000A2254" w:rsidRPr="00B31292" w:rsidRDefault="000A2254" w:rsidP="000A2254">
            <w:pPr>
              <w:spacing w:after="0" w:line="240" w:lineRule="auto"/>
              <w:rPr>
                <w:rFonts w:ascii="Garamond" w:eastAsia="Times New Roman" w:hAnsi="Garamond" w:cs="Times New Roman"/>
                <w:b/>
                <w:bCs/>
                <w:color w:val="000000"/>
                <w:sz w:val="10"/>
                <w:szCs w:val="10"/>
              </w:rPr>
            </w:pPr>
            <w:r w:rsidRPr="00B31292">
              <w:rPr>
                <w:rFonts w:ascii="Garamond" w:eastAsia="Times New Roman" w:hAnsi="Garamond" w:cs="Times New Roman"/>
                <w:b/>
                <w:bCs/>
                <w:color w:val="000000"/>
                <w:sz w:val="10"/>
                <w:szCs w:val="10"/>
              </w:rPr>
              <w:t>Burimet financiare</w:t>
            </w:r>
          </w:p>
        </w:tc>
      </w:tr>
      <w:tr w:rsidR="000A2254" w:rsidRPr="00B31292" w14:paraId="43CA6321" w14:textId="77777777" w:rsidTr="000A2254">
        <w:trPr>
          <w:trHeight w:val="20"/>
        </w:trPr>
        <w:tc>
          <w:tcPr>
            <w:tcW w:w="215" w:type="pct"/>
            <w:tcBorders>
              <w:top w:val="nil"/>
              <w:left w:val="single" w:sz="4" w:space="0" w:color="000000"/>
              <w:bottom w:val="single" w:sz="4" w:space="0" w:color="000000"/>
              <w:right w:val="nil"/>
            </w:tcBorders>
            <w:shd w:val="clear" w:color="000000" w:fill="F2F2F2"/>
            <w:vAlign w:val="center"/>
            <w:hideMark/>
          </w:tcPr>
          <w:p w14:paraId="35088617"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w:t>
            </w:r>
          </w:p>
        </w:tc>
        <w:tc>
          <w:tcPr>
            <w:tcW w:w="4785" w:type="pct"/>
            <w:gridSpan w:val="20"/>
            <w:tcBorders>
              <w:top w:val="nil"/>
              <w:left w:val="single" w:sz="4" w:space="0" w:color="auto"/>
              <w:bottom w:val="single" w:sz="4" w:space="0" w:color="auto"/>
              <w:right w:val="single" w:sz="4" w:space="0" w:color="auto"/>
            </w:tcBorders>
            <w:shd w:val="clear" w:color="000000" w:fill="F2F2F2"/>
            <w:vAlign w:val="center"/>
            <w:hideMark/>
          </w:tcPr>
          <w:p w14:paraId="230CF973" w14:textId="6E151B60"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Statistikat </w:t>
            </w:r>
            <w:r w:rsidR="00466F72" w:rsidRPr="00B31292">
              <w:rPr>
                <w:rFonts w:ascii="Garamond" w:eastAsia="Times New Roman" w:hAnsi="Garamond" w:cs="Times New Roman"/>
                <w:color w:val="000000"/>
                <w:sz w:val="10"/>
                <w:szCs w:val="10"/>
              </w:rPr>
              <w:t>sociale dhe demografike</w:t>
            </w:r>
          </w:p>
        </w:tc>
      </w:tr>
      <w:tr w:rsidR="000A2254" w:rsidRPr="00B31292" w14:paraId="288A9596" w14:textId="77777777" w:rsidTr="000A2254">
        <w:trPr>
          <w:trHeight w:val="20"/>
        </w:trPr>
        <w:tc>
          <w:tcPr>
            <w:tcW w:w="215" w:type="pct"/>
            <w:tcBorders>
              <w:top w:val="nil"/>
              <w:left w:val="nil"/>
              <w:bottom w:val="nil"/>
              <w:right w:val="nil"/>
            </w:tcBorders>
            <w:shd w:val="clear" w:color="000000" w:fill="FFFFFF"/>
            <w:vAlign w:val="bottom"/>
            <w:hideMark/>
          </w:tcPr>
          <w:p w14:paraId="4649C53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17200C8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single" w:sz="4" w:space="0" w:color="auto"/>
              <w:bottom w:val="single" w:sz="4" w:space="0" w:color="auto"/>
              <w:right w:val="single" w:sz="4" w:space="0" w:color="auto"/>
            </w:tcBorders>
            <w:shd w:val="clear" w:color="000000" w:fill="F2F2F2"/>
            <w:vAlign w:val="center"/>
            <w:hideMark/>
          </w:tcPr>
          <w:p w14:paraId="438E45D4"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1.1</w:t>
            </w:r>
          </w:p>
        </w:tc>
        <w:tc>
          <w:tcPr>
            <w:tcW w:w="4416" w:type="pct"/>
            <w:gridSpan w:val="18"/>
            <w:tcBorders>
              <w:top w:val="single" w:sz="4" w:space="0" w:color="auto"/>
              <w:left w:val="nil"/>
              <w:bottom w:val="single" w:sz="4" w:space="0" w:color="auto"/>
              <w:right w:val="single" w:sz="4" w:space="0" w:color="auto"/>
            </w:tcBorders>
            <w:shd w:val="clear" w:color="000000" w:fill="F2F2F2"/>
            <w:vAlign w:val="center"/>
            <w:hideMark/>
          </w:tcPr>
          <w:p w14:paraId="4419B03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Popullsia me vendbanim të zakonshëm në Shqipëri dhe jashtë saj</w:t>
            </w:r>
          </w:p>
        </w:tc>
      </w:tr>
      <w:tr w:rsidR="000A2254" w:rsidRPr="00B31292" w14:paraId="4EF79E94" w14:textId="77777777" w:rsidTr="000A2254">
        <w:trPr>
          <w:trHeight w:val="20"/>
        </w:trPr>
        <w:tc>
          <w:tcPr>
            <w:tcW w:w="215" w:type="pct"/>
            <w:tcBorders>
              <w:top w:val="nil"/>
              <w:left w:val="nil"/>
              <w:bottom w:val="nil"/>
              <w:right w:val="nil"/>
            </w:tcBorders>
            <w:shd w:val="clear" w:color="000000" w:fill="FFFFFF"/>
            <w:vAlign w:val="bottom"/>
            <w:hideMark/>
          </w:tcPr>
          <w:p w14:paraId="6799604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020F53E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21123257"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5221E54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single" w:sz="4" w:space="0" w:color="auto"/>
              <w:bottom w:val="single" w:sz="4" w:space="0" w:color="auto"/>
              <w:right w:val="single" w:sz="4" w:space="0" w:color="auto"/>
            </w:tcBorders>
            <w:shd w:val="clear" w:color="000000" w:fill="F2F2F2"/>
            <w:vAlign w:val="center"/>
            <w:hideMark/>
          </w:tcPr>
          <w:p w14:paraId="7965FC68"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1.1.1</w:t>
            </w:r>
          </w:p>
        </w:tc>
        <w:tc>
          <w:tcPr>
            <w:tcW w:w="4082" w:type="pct"/>
            <w:gridSpan w:val="16"/>
            <w:tcBorders>
              <w:top w:val="single" w:sz="4" w:space="0" w:color="auto"/>
              <w:left w:val="nil"/>
              <w:bottom w:val="single" w:sz="4" w:space="0" w:color="auto"/>
              <w:right w:val="single" w:sz="4" w:space="0" w:color="auto"/>
            </w:tcBorders>
            <w:shd w:val="clear" w:color="000000" w:fill="F2F2F2"/>
            <w:vAlign w:val="center"/>
            <w:hideMark/>
          </w:tcPr>
          <w:p w14:paraId="5891084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Demografi, migracion dhe projeksione</w:t>
            </w:r>
          </w:p>
        </w:tc>
      </w:tr>
      <w:tr w:rsidR="000A2254" w:rsidRPr="00B31292" w14:paraId="3126224C" w14:textId="77777777" w:rsidTr="000A2254">
        <w:trPr>
          <w:trHeight w:val="20"/>
        </w:trPr>
        <w:tc>
          <w:tcPr>
            <w:tcW w:w="215" w:type="pct"/>
            <w:tcBorders>
              <w:top w:val="nil"/>
              <w:left w:val="nil"/>
              <w:bottom w:val="nil"/>
              <w:right w:val="nil"/>
            </w:tcBorders>
            <w:shd w:val="clear" w:color="000000" w:fill="FFFFFF"/>
            <w:vAlign w:val="bottom"/>
            <w:hideMark/>
          </w:tcPr>
          <w:p w14:paraId="0C8B673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5B044FF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4F7CE1D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04F1D66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4CBAA4E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2F540A7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auto"/>
              <w:bottom w:val="single" w:sz="4" w:space="0" w:color="auto"/>
              <w:right w:val="single" w:sz="4" w:space="0" w:color="auto"/>
            </w:tcBorders>
            <w:shd w:val="clear" w:color="000000" w:fill="FFFFFF"/>
            <w:vAlign w:val="center"/>
            <w:hideMark/>
          </w:tcPr>
          <w:p w14:paraId="4621DF41"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1.1.1.1</w:t>
            </w:r>
          </w:p>
        </w:tc>
        <w:tc>
          <w:tcPr>
            <w:tcW w:w="281" w:type="pct"/>
            <w:tcBorders>
              <w:top w:val="nil"/>
              <w:left w:val="nil"/>
              <w:bottom w:val="single" w:sz="4" w:space="0" w:color="auto"/>
              <w:right w:val="single" w:sz="4" w:space="0" w:color="auto"/>
            </w:tcBorders>
            <w:shd w:val="clear" w:color="000000" w:fill="FFFFFF"/>
            <w:vAlign w:val="center"/>
            <w:hideMark/>
          </w:tcPr>
          <w:p w14:paraId="1C7E95A9" w14:textId="54495428"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xml:space="preserve">Statistikat e </w:t>
            </w:r>
            <w:r w:rsidR="008C7870" w:rsidRPr="00B31292">
              <w:rPr>
                <w:rFonts w:ascii="Garamond" w:eastAsia="Times New Roman" w:hAnsi="Garamond" w:cs="Times New Roman"/>
                <w:sz w:val="10"/>
                <w:szCs w:val="10"/>
              </w:rPr>
              <w:t>POPULLSISË</w:t>
            </w:r>
          </w:p>
        </w:tc>
        <w:tc>
          <w:tcPr>
            <w:tcW w:w="236" w:type="pct"/>
            <w:tcBorders>
              <w:top w:val="nil"/>
              <w:left w:val="nil"/>
              <w:bottom w:val="single" w:sz="4" w:space="0" w:color="auto"/>
              <w:right w:val="single" w:sz="4" w:space="0" w:color="auto"/>
            </w:tcBorders>
            <w:shd w:val="clear" w:color="000000" w:fill="FFFFFF"/>
            <w:vAlign w:val="center"/>
            <w:hideMark/>
          </w:tcPr>
          <w:p w14:paraId="3F402E17"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Kombinim i burimeve administrative dhe vrojtimeve</w:t>
            </w:r>
          </w:p>
        </w:tc>
        <w:tc>
          <w:tcPr>
            <w:tcW w:w="238" w:type="pct"/>
            <w:tcBorders>
              <w:top w:val="nil"/>
              <w:left w:val="nil"/>
              <w:bottom w:val="single" w:sz="4" w:space="0" w:color="auto"/>
              <w:right w:val="single" w:sz="4" w:space="0" w:color="auto"/>
            </w:tcBorders>
            <w:shd w:val="clear" w:color="000000" w:fill="FFFFFF"/>
            <w:noWrap/>
            <w:vAlign w:val="center"/>
            <w:hideMark/>
          </w:tcPr>
          <w:p w14:paraId="1C34FCF4"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60%</w:t>
            </w:r>
          </w:p>
        </w:tc>
        <w:tc>
          <w:tcPr>
            <w:tcW w:w="180" w:type="pct"/>
            <w:tcBorders>
              <w:top w:val="nil"/>
              <w:left w:val="nil"/>
              <w:bottom w:val="single" w:sz="4" w:space="0" w:color="auto"/>
              <w:right w:val="single" w:sz="4" w:space="0" w:color="auto"/>
            </w:tcBorders>
            <w:shd w:val="clear" w:color="000000" w:fill="FFFFFF"/>
            <w:noWrap/>
            <w:vAlign w:val="center"/>
            <w:hideMark/>
          </w:tcPr>
          <w:p w14:paraId="37D8D2E4"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40%</w:t>
            </w:r>
          </w:p>
        </w:tc>
        <w:tc>
          <w:tcPr>
            <w:tcW w:w="228" w:type="pct"/>
            <w:tcBorders>
              <w:top w:val="nil"/>
              <w:left w:val="nil"/>
              <w:bottom w:val="single" w:sz="4" w:space="0" w:color="auto"/>
              <w:right w:val="single" w:sz="4" w:space="0" w:color="auto"/>
            </w:tcBorders>
            <w:shd w:val="clear" w:color="000000" w:fill="FFFFFF"/>
            <w:vAlign w:val="center"/>
            <w:hideMark/>
          </w:tcPr>
          <w:p w14:paraId="141F3BC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tcBorders>
              <w:top w:val="nil"/>
              <w:left w:val="nil"/>
              <w:bottom w:val="single" w:sz="4" w:space="0" w:color="auto"/>
              <w:right w:val="single" w:sz="4" w:space="0" w:color="auto"/>
            </w:tcBorders>
            <w:shd w:val="clear" w:color="000000" w:fill="FFFFFF"/>
            <w:vAlign w:val="center"/>
            <w:hideMark/>
          </w:tcPr>
          <w:p w14:paraId="0D45686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Vjetor</w:t>
            </w:r>
          </w:p>
        </w:tc>
        <w:tc>
          <w:tcPr>
            <w:tcW w:w="486" w:type="pct"/>
            <w:tcBorders>
              <w:top w:val="nil"/>
              <w:left w:val="nil"/>
              <w:bottom w:val="single" w:sz="4" w:space="0" w:color="auto"/>
              <w:right w:val="single" w:sz="4" w:space="0" w:color="auto"/>
            </w:tcBorders>
            <w:shd w:val="clear" w:color="000000" w:fill="FFFFFF"/>
            <w:vAlign w:val="center"/>
            <w:hideMark/>
          </w:tcPr>
          <w:p w14:paraId="3AC253B0" w14:textId="16A9D51A"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Dendësia e popullsisë sipas qarkut</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 Fëmijë, adoleshentë dhe të rinj në raport me popullsinë e përgjithshme</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 Koeficienti i rritjes së popullsisë sipas qarkut</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4. Mosha mediane e popullsisë sipas qarkut dhe gjinisë</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5. Piramida e popullsisë më 1 janar sipas grup</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moshës dhe gjinisë</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6. Popullsia me 1 janar sipas grup</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moshës dhe gjinisë</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7. Popullsia më 1 janar sipas grup</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moshës, rajonit, qarkut dhe gjinisë</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8. Popullsia më 1 janar sipas moshës dhe gjinisë</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9. Popullsia më 1 janar sipas moshës, rajonit dhe gjinisë</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10. Popullsia më 1 janar sipas qarkut dhe gjinisë</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11. Popullsia mesatare sipas grup</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moshës dhe gjinisë</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12. Popullsia mesatare sipas qarkut dhe gjinisë</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13. Raporti gjinor i popullsisë</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14. Raporti i varësisë gjithsej</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15. Raporti i varësisë së të moshuarve</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16. Raporti i varësisë së të rinjve</w:t>
            </w:r>
            <w:r w:rsidR="008C7870" w:rsidRPr="00B31292">
              <w:rPr>
                <w:rFonts w:ascii="Garamond" w:eastAsia="Times New Roman" w:hAnsi="Garamond" w:cs="Times New Roman"/>
                <w:color w:val="000000"/>
                <w:sz w:val="10"/>
                <w:szCs w:val="10"/>
              </w:rPr>
              <w:t>.</w:t>
            </w:r>
          </w:p>
        </w:tc>
        <w:tc>
          <w:tcPr>
            <w:tcW w:w="299" w:type="pct"/>
            <w:tcBorders>
              <w:top w:val="nil"/>
              <w:left w:val="nil"/>
              <w:bottom w:val="single" w:sz="4" w:space="0" w:color="auto"/>
              <w:right w:val="single" w:sz="4" w:space="0" w:color="auto"/>
            </w:tcBorders>
            <w:shd w:val="clear" w:color="000000" w:fill="FFFFFF"/>
            <w:vAlign w:val="center"/>
            <w:hideMark/>
          </w:tcPr>
          <w:p w14:paraId="4C1169D8" w14:textId="0C60F60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Instituti i Statistikave</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Drejtoria e Përgjithshme e Gjendjes Civile</w:t>
            </w:r>
          </w:p>
        </w:tc>
        <w:tc>
          <w:tcPr>
            <w:tcW w:w="224" w:type="pct"/>
            <w:tcBorders>
              <w:top w:val="nil"/>
              <w:left w:val="nil"/>
              <w:bottom w:val="single" w:sz="4" w:space="0" w:color="auto"/>
              <w:right w:val="single" w:sz="4" w:space="0" w:color="auto"/>
            </w:tcBorders>
            <w:shd w:val="clear" w:color="000000" w:fill="FFFFFF"/>
            <w:vAlign w:val="center"/>
            <w:hideMark/>
          </w:tcPr>
          <w:p w14:paraId="53165451" w14:textId="534280DB"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8C7870" w:rsidRPr="00B31292">
              <w:rPr>
                <w:rFonts w:ascii="Garamond" w:eastAsia="Times New Roman" w:hAnsi="Garamond" w:cs="Times New Roman"/>
                <w:color w:val="000000"/>
                <w:sz w:val="10"/>
                <w:szCs w:val="10"/>
              </w:rPr>
              <w:t>-i</w:t>
            </w:r>
          </w:p>
        </w:tc>
        <w:tc>
          <w:tcPr>
            <w:tcW w:w="244" w:type="pct"/>
            <w:tcBorders>
              <w:top w:val="nil"/>
              <w:left w:val="nil"/>
              <w:bottom w:val="single" w:sz="4" w:space="0" w:color="auto"/>
              <w:right w:val="single" w:sz="4" w:space="0" w:color="auto"/>
            </w:tcBorders>
            <w:shd w:val="clear" w:color="000000" w:fill="FFFFFF"/>
            <w:vAlign w:val="center"/>
            <w:hideMark/>
          </w:tcPr>
          <w:p w14:paraId="1AAD80E5"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+ 90 D</w:t>
            </w:r>
          </w:p>
        </w:tc>
        <w:tc>
          <w:tcPr>
            <w:tcW w:w="220" w:type="pct"/>
            <w:tcBorders>
              <w:top w:val="nil"/>
              <w:left w:val="nil"/>
              <w:bottom w:val="single" w:sz="4" w:space="0" w:color="auto"/>
              <w:right w:val="single" w:sz="4" w:space="0" w:color="auto"/>
            </w:tcBorders>
            <w:shd w:val="clear" w:color="000000" w:fill="FFFFFF"/>
            <w:vAlign w:val="center"/>
            <w:hideMark/>
          </w:tcPr>
          <w:p w14:paraId="0D368006"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+ 136 D</w:t>
            </w:r>
          </w:p>
        </w:tc>
        <w:tc>
          <w:tcPr>
            <w:tcW w:w="220" w:type="pct"/>
            <w:tcBorders>
              <w:top w:val="nil"/>
              <w:left w:val="nil"/>
              <w:bottom w:val="single" w:sz="4" w:space="0" w:color="auto"/>
              <w:right w:val="single" w:sz="4" w:space="0" w:color="auto"/>
            </w:tcBorders>
            <w:shd w:val="clear" w:color="000000" w:fill="FFFFFF"/>
            <w:vAlign w:val="center"/>
            <w:hideMark/>
          </w:tcPr>
          <w:p w14:paraId="7EDA2DCF"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+ 152 D</w:t>
            </w:r>
          </w:p>
        </w:tc>
        <w:tc>
          <w:tcPr>
            <w:tcW w:w="346" w:type="pct"/>
            <w:tcBorders>
              <w:top w:val="nil"/>
              <w:left w:val="nil"/>
              <w:bottom w:val="single" w:sz="4" w:space="0" w:color="auto"/>
              <w:right w:val="single" w:sz="4" w:space="0" w:color="auto"/>
            </w:tcBorders>
            <w:shd w:val="clear" w:color="000000" w:fill="FFFFFF"/>
            <w:vAlign w:val="center"/>
            <w:hideMark/>
          </w:tcPr>
          <w:p w14:paraId="131C50EB" w14:textId="75E017C2"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Vonesa në procesin e grumbullimit të të dhënave nga burimet administrative, si dhe nga AFP</w:t>
            </w:r>
            <w:r w:rsidR="002E40BF" w:rsidRPr="00B31292">
              <w:rPr>
                <w:rFonts w:ascii="Garamond" w:eastAsia="Times New Roman" w:hAnsi="Garamond" w:cs="Times New Roman"/>
                <w:color w:val="000000"/>
                <w:sz w:val="10"/>
                <w:szCs w:val="10"/>
              </w:rPr>
              <w:t>-ja</w:t>
            </w:r>
            <w:r w:rsidRPr="00B31292">
              <w:rPr>
                <w:rFonts w:ascii="Garamond" w:eastAsia="Times New Roman" w:hAnsi="Garamond" w:cs="Times New Roman"/>
                <w:color w:val="000000"/>
                <w:sz w:val="10"/>
                <w:szCs w:val="10"/>
              </w:rPr>
              <w:t xml:space="preserve"> për </w:t>
            </w:r>
            <w:r w:rsidR="002E40BF" w:rsidRPr="00B31292">
              <w:rPr>
                <w:rFonts w:ascii="Garamond" w:eastAsia="Times New Roman" w:hAnsi="Garamond" w:cs="Times New Roman"/>
                <w:color w:val="000000"/>
                <w:sz w:val="10"/>
                <w:szCs w:val="10"/>
              </w:rPr>
              <w:t>vlerësimin</w:t>
            </w:r>
            <w:r w:rsidRPr="00B31292">
              <w:rPr>
                <w:rFonts w:ascii="Garamond" w:eastAsia="Times New Roman" w:hAnsi="Garamond" w:cs="Times New Roman"/>
                <w:color w:val="000000"/>
                <w:sz w:val="10"/>
                <w:szCs w:val="10"/>
              </w:rPr>
              <w:t xml:space="preserve"> e migracionit -|- 6</w:t>
            </w:r>
            <w:r w:rsidRPr="00B31292">
              <w:rPr>
                <w:rFonts w:ascii="Garamond" w:eastAsia="Times New Roman" w:hAnsi="Garamond" w:cs="Times New Roman"/>
                <w:color w:val="000000"/>
                <w:sz w:val="10"/>
                <w:szCs w:val="10"/>
              </w:rPr>
              <w:br/>
              <w:t>2. Mospërmbushja e kritereve të cilësisë</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si: saktësia, përpikmëria dhe krahasueshmëria, për të dhënat administrative/vrojtimet statistikore -|- 6</w:t>
            </w:r>
            <w:r w:rsidRPr="00B31292">
              <w:rPr>
                <w:rFonts w:ascii="Garamond" w:eastAsia="Times New Roman" w:hAnsi="Garamond" w:cs="Times New Roman"/>
                <w:color w:val="000000"/>
                <w:sz w:val="10"/>
                <w:szCs w:val="10"/>
              </w:rPr>
              <w:br/>
              <w:t xml:space="preserve">3. Pezullimi/vonesa e mbledhjes, prodhimit dhe shpërndarjes </w:t>
            </w:r>
            <w:r w:rsidR="008C7870" w:rsidRPr="00B31292">
              <w:rPr>
                <w:rFonts w:ascii="Garamond" w:eastAsia="Times New Roman" w:hAnsi="Garamond" w:cs="Times New Roman"/>
                <w:color w:val="000000"/>
                <w:sz w:val="10"/>
                <w:szCs w:val="10"/>
              </w:rPr>
              <w:t>s</w:t>
            </w:r>
            <w:r w:rsidRPr="00B31292">
              <w:rPr>
                <w:rFonts w:ascii="Garamond" w:eastAsia="Times New Roman" w:hAnsi="Garamond" w:cs="Times New Roman"/>
                <w:color w:val="000000"/>
                <w:sz w:val="10"/>
                <w:szCs w:val="10"/>
              </w:rPr>
              <w:t xml:space="preserve">ë statistikave zyrtare si pasojë e </w:t>
            </w:r>
            <w:r w:rsidR="008C7870" w:rsidRPr="00B31292">
              <w:rPr>
                <w:rFonts w:ascii="Garamond" w:eastAsia="Times New Roman" w:hAnsi="Garamond" w:cs="Times New Roman"/>
                <w:color w:val="000000"/>
                <w:sz w:val="10"/>
                <w:szCs w:val="10"/>
              </w:rPr>
              <w:t>f</w:t>
            </w:r>
            <w:r w:rsidRPr="00B31292">
              <w:rPr>
                <w:rFonts w:ascii="Garamond" w:eastAsia="Times New Roman" w:hAnsi="Garamond" w:cs="Times New Roman"/>
                <w:color w:val="000000"/>
                <w:sz w:val="10"/>
                <w:szCs w:val="10"/>
              </w:rPr>
              <w:t xml:space="preserve">atkeqësive natyrore/ </w:t>
            </w:r>
            <w:r w:rsidR="008C7870" w:rsidRPr="00B31292">
              <w:rPr>
                <w:rFonts w:ascii="Garamond" w:eastAsia="Times New Roman" w:hAnsi="Garamond" w:cs="Times New Roman"/>
                <w:color w:val="000000"/>
                <w:sz w:val="10"/>
                <w:szCs w:val="10"/>
              </w:rPr>
              <w:t>pandemi globale</w:t>
            </w:r>
            <w:r w:rsidRPr="00B31292">
              <w:rPr>
                <w:rFonts w:ascii="Garamond" w:eastAsia="Times New Roman" w:hAnsi="Garamond" w:cs="Times New Roman"/>
                <w:color w:val="000000"/>
                <w:sz w:val="10"/>
                <w:szCs w:val="10"/>
              </w:rPr>
              <w:t xml:space="preserve"> -|- 6</w:t>
            </w:r>
          </w:p>
        </w:tc>
        <w:tc>
          <w:tcPr>
            <w:tcW w:w="273" w:type="pct"/>
            <w:tcBorders>
              <w:top w:val="nil"/>
              <w:left w:val="nil"/>
              <w:bottom w:val="single" w:sz="4" w:space="0" w:color="auto"/>
              <w:right w:val="single" w:sz="4" w:space="0" w:color="auto"/>
            </w:tcBorders>
            <w:shd w:val="clear" w:color="000000" w:fill="FFFFFF"/>
            <w:vAlign w:val="center"/>
            <w:hideMark/>
          </w:tcPr>
          <w:p w14:paraId="4058FE7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Buxhet shteti</w:t>
            </w:r>
          </w:p>
        </w:tc>
      </w:tr>
      <w:tr w:rsidR="000A2254" w:rsidRPr="00B31292" w14:paraId="59F302C3" w14:textId="77777777" w:rsidTr="000A2254">
        <w:trPr>
          <w:trHeight w:val="20"/>
        </w:trPr>
        <w:tc>
          <w:tcPr>
            <w:tcW w:w="215" w:type="pct"/>
            <w:tcBorders>
              <w:top w:val="nil"/>
              <w:left w:val="nil"/>
              <w:bottom w:val="nil"/>
              <w:right w:val="nil"/>
            </w:tcBorders>
            <w:shd w:val="clear" w:color="000000" w:fill="FFFFFF"/>
            <w:vAlign w:val="bottom"/>
            <w:hideMark/>
          </w:tcPr>
          <w:p w14:paraId="1EFE9102"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15" w:type="pct"/>
            <w:tcBorders>
              <w:top w:val="nil"/>
              <w:left w:val="nil"/>
              <w:bottom w:val="nil"/>
              <w:right w:val="nil"/>
            </w:tcBorders>
            <w:shd w:val="clear" w:color="000000" w:fill="FFFFFF"/>
            <w:vAlign w:val="bottom"/>
            <w:hideMark/>
          </w:tcPr>
          <w:p w14:paraId="270DB39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53AECA9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739E1768"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188" w:type="pct"/>
            <w:tcBorders>
              <w:top w:val="nil"/>
              <w:left w:val="nil"/>
              <w:bottom w:val="nil"/>
              <w:right w:val="nil"/>
            </w:tcBorders>
            <w:shd w:val="clear" w:color="000000" w:fill="FFFFFF"/>
            <w:vAlign w:val="bottom"/>
            <w:hideMark/>
          </w:tcPr>
          <w:p w14:paraId="12F4DEDB"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184" w:type="pct"/>
            <w:tcBorders>
              <w:top w:val="nil"/>
              <w:left w:val="nil"/>
              <w:bottom w:val="nil"/>
              <w:right w:val="nil"/>
            </w:tcBorders>
            <w:shd w:val="clear" w:color="000000" w:fill="FFFFFF"/>
            <w:vAlign w:val="bottom"/>
            <w:hideMark/>
          </w:tcPr>
          <w:p w14:paraId="57162497"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199" w:type="pct"/>
            <w:tcBorders>
              <w:top w:val="nil"/>
              <w:left w:val="single" w:sz="4" w:space="0" w:color="auto"/>
              <w:bottom w:val="single" w:sz="4" w:space="0" w:color="auto"/>
              <w:right w:val="single" w:sz="4" w:space="0" w:color="auto"/>
            </w:tcBorders>
            <w:shd w:val="clear" w:color="000000" w:fill="FFFFFF"/>
            <w:vAlign w:val="center"/>
            <w:hideMark/>
          </w:tcPr>
          <w:p w14:paraId="07869511"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1.1.1.2</w:t>
            </w:r>
          </w:p>
        </w:tc>
        <w:tc>
          <w:tcPr>
            <w:tcW w:w="281" w:type="pct"/>
            <w:tcBorders>
              <w:top w:val="nil"/>
              <w:left w:val="nil"/>
              <w:bottom w:val="single" w:sz="4" w:space="0" w:color="auto"/>
              <w:right w:val="single" w:sz="4" w:space="0" w:color="auto"/>
            </w:tcBorders>
            <w:shd w:val="clear" w:color="000000" w:fill="FFFFFF"/>
            <w:vAlign w:val="center"/>
            <w:hideMark/>
          </w:tcPr>
          <w:p w14:paraId="51116958"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Projeksionet e popullsisë</w:t>
            </w:r>
          </w:p>
        </w:tc>
        <w:tc>
          <w:tcPr>
            <w:tcW w:w="236" w:type="pct"/>
            <w:tcBorders>
              <w:top w:val="nil"/>
              <w:left w:val="nil"/>
              <w:bottom w:val="single" w:sz="4" w:space="0" w:color="auto"/>
              <w:right w:val="single" w:sz="4" w:space="0" w:color="auto"/>
            </w:tcBorders>
            <w:shd w:val="clear" w:color="000000" w:fill="FFFFFF"/>
            <w:vAlign w:val="center"/>
            <w:hideMark/>
          </w:tcPr>
          <w:p w14:paraId="24032957"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Burim administrativ</w:t>
            </w:r>
          </w:p>
        </w:tc>
        <w:tc>
          <w:tcPr>
            <w:tcW w:w="238" w:type="pct"/>
            <w:tcBorders>
              <w:top w:val="nil"/>
              <w:left w:val="nil"/>
              <w:bottom w:val="single" w:sz="4" w:space="0" w:color="auto"/>
              <w:right w:val="single" w:sz="4" w:space="0" w:color="auto"/>
            </w:tcBorders>
            <w:shd w:val="clear" w:color="000000" w:fill="FFFFFF"/>
            <w:noWrap/>
            <w:vAlign w:val="center"/>
            <w:hideMark/>
          </w:tcPr>
          <w:p w14:paraId="2855B650"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180" w:type="pct"/>
            <w:tcBorders>
              <w:top w:val="nil"/>
              <w:left w:val="nil"/>
              <w:bottom w:val="single" w:sz="4" w:space="0" w:color="auto"/>
              <w:right w:val="single" w:sz="4" w:space="0" w:color="auto"/>
            </w:tcBorders>
            <w:shd w:val="clear" w:color="000000" w:fill="FFFFFF"/>
            <w:noWrap/>
            <w:vAlign w:val="center"/>
            <w:hideMark/>
          </w:tcPr>
          <w:p w14:paraId="7B3FEE61"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28" w:type="pct"/>
            <w:tcBorders>
              <w:top w:val="nil"/>
              <w:left w:val="nil"/>
              <w:bottom w:val="single" w:sz="4" w:space="0" w:color="auto"/>
              <w:right w:val="single" w:sz="4" w:space="0" w:color="auto"/>
            </w:tcBorders>
            <w:shd w:val="clear" w:color="000000" w:fill="FFFFFF"/>
            <w:vAlign w:val="center"/>
            <w:hideMark/>
          </w:tcPr>
          <w:p w14:paraId="5EA8FED7"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I vazhdueshëm</w:t>
            </w:r>
          </w:p>
        </w:tc>
        <w:tc>
          <w:tcPr>
            <w:tcW w:w="222" w:type="pct"/>
            <w:tcBorders>
              <w:top w:val="nil"/>
              <w:left w:val="nil"/>
              <w:bottom w:val="single" w:sz="4" w:space="0" w:color="auto"/>
              <w:right w:val="single" w:sz="4" w:space="0" w:color="auto"/>
            </w:tcBorders>
            <w:shd w:val="clear" w:color="000000" w:fill="FFFFFF"/>
            <w:vAlign w:val="center"/>
            <w:hideMark/>
          </w:tcPr>
          <w:p w14:paraId="144564D6"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Çdo 5 vjet</w:t>
            </w:r>
          </w:p>
        </w:tc>
        <w:tc>
          <w:tcPr>
            <w:tcW w:w="486" w:type="pct"/>
            <w:tcBorders>
              <w:top w:val="nil"/>
              <w:left w:val="nil"/>
              <w:bottom w:val="nil"/>
              <w:right w:val="single" w:sz="4" w:space="0" w:color="auto"/>
            </w:tcBorders>
            <w:shd w:val="clear" w:color="000000" w:fill="FFFFFF"/>
            <w:vAlign w:val="center"/>
            <w:hideMark/>
          </w:tcPr>
          <w:p w14:paraId="453A1A58" w14:textId="1C169422"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1. Popullsia në seri kohore</w:t>
            </w:r>
            <w:r w:rsidR="008C7870"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2. Popullsia sipas gjinisë</w:t>
            </w:r>
            <w:r w:rsidR="008C7870"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3. Popullsia sipas moshës</w:t>
            </w:r>
            <w:r w:rsidR="008C7870"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4. Popullsia sipas qarkut</w:t>
            </w:r>
            <w:r w:rsidR="008C7870"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5. Piramida e popullsisë</w:t>
            </w:r>
            <w:r w:rsidR="008C7870"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6. Koeficienti i varësisë</w:t>
            </w:r>
            <w:r w:rsidR="008C7870"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7. Popullsia mbi moshën e punës</w:t>
            </w:r>
            <w:r w:rsidR="008C7870"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8. Popullsia në moshë pune</w:t>
            </w:r>
            <w:r w:rsidR="008C7870"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9. Popullsia nën moshën e punës</w:t>
            </w:r>
            <w:r w:rsidR="008C7870"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10. Mosha mediane e popullsisë</w:t>
            </w:r>
            <w:r w:rsidR="008C7870"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11. Projeksionet e popullsisë sipas skenarëve</w:t>
            </w:r>
            <w:r w:rsidR="008C7870" w:rsidRPr="00B31292">
              <w:rPr>
                <w:rFonts w:ascii="Garamond" w:eastAsia="Times New Roman" w:hAnsi="Garamond" w:cs="Times New Roman"/>
                <w:sz w:val="10"/>
                <w:szCs w:val="10"/>
              </w:rPr>
              <w:t>.</w:t>
            </w:r>
          </w:p>
        </w:tc>
        <w:tc>
          <w:tcPr>
            <w:tcW w:w="299" w:type="pct"/>
            <w:tcBorders>
              <w:top w:val="nil"/>
              <w:left w:val="nil"/>
              <w:bottom w:val="single" w:sz="4" w:space="0" w:color="auto"/>
              <w:right w:val="single" w:sz="4" w:space="0" w:color="auto"/>
            </w:tcBorders>
            <w:shd w:val="clear" w:color="000000" w:fill="FFFFFF"/>
            <w:vAlign w:val="center"/>
            <w:hideMark/>
          </w:tcPr>
          <w:p w14:paraId="61116913"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xml:space="preserve">Instituti i Statistikave </w:t>
            </w:r>
          </w:p>
        </w:tc>
        <w:tc>
          <w:tcPr>
            <w:tcW w:w="224" w:type="pct"/>
            <w:tcBorders>
              <w:top w:val="nil"/>
              <w:left w:val="nil"/>
              <w:bottom w:val="single" w:sz="4" w:space="0" w:color="auto"/>
              <w:right w:val="single" w:sz="4" w:space="0" w:color="auto"/>
            </w:tcBorders>
            <w:shd w:val="clear" w:color="000000" w:fill="FFFFFF"/>
            <w:vAlign w:val="center"/>
            <w:hideMark/>
          </w:tcPr>
          <w:p w14:paraId="73F8E633" w14:textId="2A265DB0"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INSTAT</w:t>
            </w:r>
            <w:r w:rsidR="008C7870" w:rsidRPr="00B31292">
              <w:rPr>
                <w:rFonts w:ascii="Garamond" w:eastAsia="Times New Roman" w:hAnsi="Garamond" w:cs="Times New Roman"/>
                <w:sz w:val="10"/>
                <w:szCs w:val="10"/>
              </w:rPr>
              <w:t>-i</w:t>
            </w:r>
          </w:p>
        </w:tc>
        <w:tc>
          <w:tcPr>
            <w:tcW w:w="244" w:type="pct"/>
            <w:tcBorders>
              <w:top w:val="nil"/>
              <w:left w:val="nil"/>
              <w:bottom w:val="single" w:sz="4" w:space="0" w:color="auto"/>
              <w:right w:val="single" w:sz="4" w:space="0" w:color="auto"/>
            </w:tcBorders>
            <w:shd w:val="clear" w:color="000000" w:fill="FFFFFF"/>
            <w:vAlign w:val="center"/>
            <w:hideMark/>
          </w:tcPr>
          <w:p w14:paraId="2EA42CBD"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V+180 D</w:t>
            </w:r>
          </w:p>
        </w:tc>
        <w:tc>
          <w:tcPr>
            <w:tcW w:w="220" w:type="pct"/>
            <w:tcBorders>
              <w:top w:val="nil"/>
              <w:left w:val="nil"/>
              <w:bottom w:val="single" w:sz="4" w:space="0" w:color="auto"/>
              <w:right w:val="single" w:sz="4" w:space="0" w:color="auto"/>
            </w:tcBorders>
            <w:shd w:val="clear" w:color="000000" w:fill="FFFFFF"/>
            <w:vAlign w:val="center"/>
            <w:hideMark/>
          </w:tcPr>
          <w:p w14:paraId="6B550C06"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V + 244 D</w:t>
            </w:r>
          </w:p>
        </w:tc>
        <w:tc>
          <w:tcPr>
            <w:tcW w:w="220" w:type="pct"/>
            <w:tcBorders>
              <w:top w:val="nil"/>
              <w:left w:val="nil"/>
              <w:bottom w:val="single" w:sz="4" w:space="0" w:color="auto"/>
              <w:right w:val="single" w:sz="4" w:space="0" w:color="auto"/>
            </w:tcBorders>
            <w:shd w:val="clear" w:color="000000" w:fill="FFFFFF"/>
            <w:vAlign w:val="center"/>
            <w:hideMark/>
          </w:tcPr>
          <w:p w14:paraId="38BB3951"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V + 305 D</w:t>
            </w:r>
          </w:p>
        </w:tc>
        <w:tc>
          <w:tcPr>
            <w:tcW w:w="346" w:type="pct"/>
            <w:tcBorders>
              <w:top w:val="nil"/>
              <w:left w:val="nil"/>
              <w:bottom w:val="single" w:sz="4" w:space="0" w:color="auto"/>
              <w:right w:val="single" w:sz="4" w:space="0" w:color="auto"/>
            </w:tcBorders>
            <w:shd w:val="clear" w:color="000000" w:fill="FFFFFF"/>
            <w:vAlign w:val="center"/>
            <w:hideMark/>
          </w:tcPr>
          <w:p w14:paraId="0192AB13" w14:textId="5E0D657F"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1. Vonesa në procesin e grumbullimit dhe analizimit të të dhënave -|- 6</w:t>
            </w:r>
            <w:r w:rsidRPr="00B31292">
              <w:rPr>
                <w:rFonts w:ascii="Garamond" w:eastAsia="Times New Roman" w:hAnsi="Garamond" w:cs="Times New Roman"/>
                <w:sz w:val="10"/>
                <w:szCs w:val="10"/>
              </w:rPr>
              <w:br/>
              <w:t>2. Mospërmbushja e</w:t>
            </w:r>
            <w:r w:rsidR="003E16E0" w:rsidRPr="00B31292">
              <w:rPr>
                <w:rFonts w:ascii="Garamond" w:eastAsia="Times New Roman" w:hAnsi="Garamond" w:cs="Times New Roman"/>
                <w:sz w:val="10"/>
                <w:szCs w:val="10"/>
              </w:rPr>
              <w:t xml:space="preserve"> </w:t>
            </w:r>
            <w:r w:rsidR="00F667B8" w:rsidRPr="00B31292">
              <w:rPr>
                <w:rFonts w:ascii="Garamond" w:eastAsia="Times New Roman" w:hAnsi="Garamond" w:cs="Times New Roman"/>
                <w:sz w:val="10"/>
                <w:szCs w:val="10"/>
              </w:rPr>
              <w:t>kritereve të cilësisë, si:</w:t>
            </w:r>
            <w:r w:rsidRPr="00B31292">
              <w:rPr>
                <w:rFonts w:ascii="Garamond" w:eastAsia="Times New Roman" w:hAnsi="Garamond" w:cs="Times New Roman"/>
                <w:sz w:val="10"/>
                <w:szCs w:val="10"/>
              </w:rPr>
              <w:t xml:space="preserve"> saktësia, përpikmëria dhe krahasueshmëria e të dhënave -|- 6</w:t>
            </w:r>
          </w:p>
        </w:tc>
        <w:tc>
          <w:tcPr>
            <w:tcW w:w="273" w:type="pct"/>
            <w:tcBorders>
              <w:top w:val="nil"/>
              <w:left w:val="nil"/>
              <w:bottom w:val="single" w:sz="4" w:space="0" w:color="auto"/>
              <w:right w:val="single" w:sz="4" w:space="0" w:color="auto"/>
            </w:tcBorders>
            <w:shd w:val="clear" w:color="000000" w:fill="FFFFFF"/>
            <w:vAlign w:val="center"/>
            <w:hideMark/>
          </w:tcPr>
          <w:p w14:paraId="72B9B8CA"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Buxhet shteti</w:t>
            </w:r>
          </w:p>
        </w:tc>
      </w:tr>
      <w:tr w:rsidR="000A2254" w:rsidRPr="00B31292" w14:paraId="0B09E11D" w14:textId="77777777" w:rsidTr="000A2254">
        <w:trPr>
          <w:trHeight w:val="20"/>
        </w:trPr>
        <w:tc>
          <w:tcPr>
            <w:tcW w:w="215" w:type="pct"/>
            <w:tcBorders>
              <w:top w:val="nil"/>
              <w:left w:val="nil"/>
              <w:bottom w:val="nil"/>
              <w:right w:val="nil"/>
            </w:tcBorders>
            <w:shd w:val="clear" w:color="000000" w:fill="FFFFFF"/>
            <w:vAlign w:val="bottom"/>
            <w:hideMark/>
          </w:tcPr>
          <w:p w14:paraId="5ABDCF13" w14:textId="77777777" w:rsidR="000A2254" w:rsidRPr="00B31292" w:rsidRDefault="000A2254" w:rsidP="000A2254">
            <w:pPr>
              <w:spacing w:after="0" w:line="240" w:lineRule="auto"/>
              <w:rPr>
                <w:rFonts w:ascii="Garamond" w:eastAsia="Times New Roman" w:hAnsi="Garamond" w:cs="Times New Roman"/>
                <w:color w:val="C00000"/>
                <w:sz w:val="10"/>
                <w:szCs w:val="10"/>
              </w:rPr>
            </w:pPr>
            <w:r w:rsidRPr="00B31292">
              <w:rPr>
                <w:rFonts w:ascii="Garamond" w:eastAsia="Times New Roman" w:hAnsi="Garamond" w:cs="Times New Roman"/>
                <w:color w:val="C00000"/>
                <w:sz w:val="10"/>
                <w:szCs w:val="10"/>
              </w:rPr>
              <w:t> </w:t>
            </w:r>
          </w:p>
        </w:tc>
        <w:tc>
          <w:tcPr>
            <w:tcW w:w="215" w:type="pct"/>
            <w:tcBorders>
              <w:top w:val="nil"/>
              <w:left w:val="nil"/>
              <w:bottom w:val="nil"/>
              <w:right w:val="nil"/>
            </w:tcBorders>
            <w:shd w:val="clear" w:color="000000" w:fill="FFFFFF"/>
            <w:vAlign w:val="bottom"/>
            <w:hideMark/>
          </w:tcPr>
          <w:p w14:paraId="3EBDFCB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1995F3F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28BE317D" w14:textId="77777777" w:rsidR="000A2254" w:rsidRPr="00B31292" w:rsidRDefault="000A2254" w:rsidP="000A2254">
            <w:pPr>
              <w:spacing w:after="0" w:line="240" w:lineRule="auto"/>
              <w:rPr>
                <w:rFonts w:ascii="Garamond" w:eastAsia="Times New Roman" w:hAnsi="Garamond" w:cs="Times New Roman"/>
                <w:color w:val="C00000"/>
                <w:sz w:val="10"/>
                <w:szCs w:val="10"/>
              </w:rPr>
            </w:pPr>
            <w:r w:rsidRPr="00B31292">
              <w:rPr>
                <w:rFonts w:ascii="Garamond" w:eastAsia="Times New Roman" w:hAnsi="Garamond" w:cs="Times New Roman"/>
                <w:color w:val="C00000"/>
                <w:sz w:val="10"/>
                <w:szCs w:val="10"/>
              </w:rPr>
              <w:t> </w:t>
            </w:r>
          </w:p>
        </w:tc>
        <w:tc>
          <w:tcPr>
            <w:tcW w:w="188" w:type="pct"/>
            <w:tcBorders>
              <w:top w:val="nil"/>
              <w:left w:val="nil"/>
              <w:bottom w:val="nil"/>
              <w:right w:val="nil"/>
            </w:tcBorders>
            <w:shd w:val="clear" w:color="000000" w:fill="FFFFFF"/>
            <w:vAlign w:val="bottom"/>
            <w:hideMark/>
          </w:tcPr>
          <w:p w14:paraId="237D5690" w14:textId="77777777" w:rsidR="000A2254" w:rsidRPr="00B31292" w:rsidRDefault="000A2254" w:rsidP="000A2254">
            <w:pPr>
              <w:spacing w:after="0" w:line="240" w:lineRule="auto"/>
              <w:rPr>
                <w:rFonts w:ascii="Garamond" w:eastAsia="Times New Roman" w:hAnsi="Garamond" w:cs="Times New Roman"/>
                <w:color w:val="C00000"/>
                <w:sz w:val="10"/>
                <w:szCs w:val="10"/>
              </w:rPr>
            </w:pPr>
            <w:r w:rsidRPr="00B31292">
              <w:rPr>
                <w:rFonts w:ascii="Garamond" w:eastAsia="Times New Roman" w:hAnsi="Garamond" w:cs="Times New Roman"/>
                <w:color w:val="C00000"/>
                <w:sz w:val="10"/>
                <w:szCs w:val="10"/>
              </w:rPr>
              <w:t> </w:t>
            </w:r>
          </w:p>
        </w:tc>
        <w:tc>
          <w:tcPr>
            <w:tcW w:w="184" w:type="pct"/>
            <w:tcBorders>
              <w:top w:val="nil"/>
              <w:left w:val="nil"/>
              <w:bottom w:val="nil"/>
              <w:right w:val="nil"/>
            </w:tcBorders>
            <w:shd w:val="clear" w:color="000000" w:fill="FFFFFF"/>
            <w:vAlign w:val="bottom"/>
            <w:hideMark/>
          </w:tcPr>
          <w:p w14:paraId="1A6E9719" w14:textId="77777777" w:rsidR="000A2254" w:rsidRPr="00B31292" w:rsidRDefault="000A2254" w:rsidP="000A2254">
            <w:pPr>
              <w:spacing w:after="0" w:line="240" w:lineRule="auto"/>
              <w:rPr>
                <w:rFonts w:ascii="Garamond" w:eastAsia="Times New Roman" w:hAnsi="Garamond" w:cs="Times New Roman"/>
                <w:color w:val="C00000"/>
                <w:sz w:val="10"/>
                <w:szCs w:val="10"/>
              </w:rPr>
            </w:pPr>
            <w:r w:rsidRPr="00B31292">
              <w:rPr>
                <w:rFonts w:ascii="Garamond" w:eastAsia="Times New Roman" w:hAnsi="Garamond" w:cs="Times New Roman"/>
                <w:color w:val="C00000"/>
                <w:sz w:val="10"/>
                <w:szCs w:val="10"/>
              </w:rPr>
              <w:t> </w:t>
            </w:r>
          </w:p>
        </w:tc>
        <w:tc>
          <w:tcPr>
            <w:tcW w:w="199" w:type="pct"/>
            <w:tcBorders>
              <w:top w:val="nil"/>
              <w:left w:val="single" w:sz="4" w:space="0" w:color="auto"/>
              <w:bottom w:val="single" w:sz="4" w:space="0" w:color="auto"/>
              <w:right w:val="single" w:sz="4" w:space="0" w:color="auto"/>
            </w:tcBorders>
            <w:shd w:val="clear" w:color="000000" w:fill="FFFFFF"/>
            <w:vAlign w:val="center"/>
            <w:hideMark/>
          </w:tcPr>
          <w:p w14:paraId="1FA76A2F"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1.1.1.3</w:t>
            </w:r>
          </w:p>
        </w:tc>
        <w:tc>
          <w:tcPr>
            <w:tcW w:w="281" w:type="pct"/>
            <w:tcBorders>
              <w:top w:val="nil"/>
              <w:left w:val="nil"/>
              <w:bottom w:val="single" w:sz="4" w:space="0" w:color="auto"/>
              <w:right w:val="single" w:sz="4" w:space="0" w:color="auto"/>
            </w:tcBorders>
            <w:shd w:val="clear" w:color="000000" w:fill="FFFFFF"/>
            <w:vAlign w:val="center"/>
            <w:hideMark/>
          </w:tcPr>
          <w:p w14:paraId="74A14737" w14:textId="3A842106"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xml:space="preserve">Statistikat e </w:t>
            </w:r>
            <w:r w:rsidR="008C7870" w:rsidRPr="00B31292">
              <w:rPr>
                <w:rFonts w:ascii="Garamond" w:eastAsia="Times New Roman" w:hAnsi="Garamond" w:cs="Times New Roman"/>
                <w:sz w:val="10"/>
                <w:szCs w:val="10"/>
              </w:rPr>
              <w:t xml:space="preserve">migracionit ndërkombëtar </w:t>
            </w:r>
            <w:r w:rsidRPr="00B31292">
              <w:rPr>
                <w:rFonts w:ascii="Garamond" w:eastAsia="Times New Roman" w:hAnsi="Garamond" w:cs="Times New Roman"/>
                <w:sz w:val="10"/>
                <w:szCs w:val="10"/>
              </w:rPr>
              <w:t>dhe lëvizjet e brendshme</w:t>
            </w:r>
          </w:p>
        </w:tc>
        <w:tc>
          <w:tcPr>
            <w:tcW w:w="236" w:type="pct"/>
            <w:tcBorders>
              <w:top w:val="nil"/>
              <w:left w:val="nil"/>
              <w:bottom w:val="single" w:sz="4" w:space="0" w:color="auto"/>
              <w:right w:val="single" w:sz="4" w:space="0" w:color="auto"/>
            </w:tcBorders>
            <w:shd w:val="clear" w:color="000000" w:fill="FFFFFF"/>
            <w:vAlign w:val="center"/>
            <w:hideMark/>
          </w:tcPr>
          <w:p w14:paraId="6A360762" w14:textId="5636E5A6"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Kombinim i burimeve administrative dhe vrojtimeve (</w:t>
            </w:r>
            <w:r w:rsidR="00F33D56" w:rsidRPr="00B31292">
              <w:rPr>
                <w:rFonts w:ascii="Garamond" w:eastAsia="Times New Roman" w:hAnsi="Garamond" w:cs="Times New Roman"/>
                <w:sz w:val="10"/>
                <w:szCs w:val="10"/>
              </w:rPr>
              <w:t xml:space="preserve">derivuar </w:t>
            </w:r>
            <w:r w:rsidRPr="00B31292">
              <w:rPr>
                <w:rFonts w:ascii="Garamond" w:eastAsia="Times New Roman" w:hAnsi="Garamond" w:cs="Times New Roman"/>
                <w:sz w:val="10"/>
                <w:szCs w:val="10"/>
              </w:rPr>
              <w:t>nga LFS)</w:t>
            </w:r>
          </w:p>
        </w:tc>
        <w:tc>
          <w:tcPr>
            <w:tcW w:w="238" w:type="pct"/>
            <w:tcBorders>
              <w:top w:val="nil"/>
              <w:left w:val="nil"/>
              <w:bottom w:val="single" w:sz="4" w:space="0" w:color="auto"/>
              <w:right w:val="single" w:sz="4" w:space="0" w:color="auto"/>
            </w:tcBorders>
            <w:shd w:val="clear" w:color="000000" w:fill="FFFFFF"/>
            <w:noWrap/>
            <w:vAlign w:val="center"/>
            <w:hideMark/>
          </w:tcPr>
          <w:p w14:paraId="35C624ED"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40%</w:t>
            </w:r>
          </w:p>
        </w:tc>
        <w:tc>
          <w:tcPr>
            <w:tcW w:w="180" w:type="pct"/>
            <w:tcBorders>
              <w:top w:val="nil"/>
              <w:left w:val="nil"/>
              <w:bottom w:val="single" w:sz="4" w:space="0" w:color="auto"/>
              <w:right w:val="single" w:sz="4" w:space="0" w:color="auto"/>
            </w:tcBorders>
            <w:shd w:val="clear" w:color="000000" w:fill="FFFFFF"/>
            <w:noWrap/>
            <w:vAlign w:val="center"/>
            <w:hideMark/>
          </w:tcPr>
          <w:p w14:paraId="0D836846"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60%</w:t>
            </w:r>
          </w:p>
        </w:tc>
        <w:tc>
          <w:tcPr>
            <w:tcW w:w="228" w:type="pct"/>
            <w:tcBorders>
              <w:top w:val="nil"/>
              <w:left w:val="nil"/>
              <w:bottom w:val="single" w:sz="4" w:space="0" w:color="auto"/>
              <w:right w:val="single" w:sz="4" w:space="0" w:color="auto"/>
            </w:tcBorders>
            <w:shd w:val="clear" w:color="000000" w:fill="FFFFFF"/>
            <w:vAlign w:val="center"/>
            <w:hideMark/>
          </w:tcPr>
          <w:p w14:paraId="0544068C"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I vazhdueshëm</w:t>
            </w:r>
          </w:p>
        </w:tc>
        <w:tc>
          <w:tcPr>
            <w:tcW w:w="222" w:type="pct"/>
            <w:tcBorders>
              <w:top w:val="nil"/>
              <w:left w:val="nil"/>
              <w:bottom w:val="single" w:sz="4" w:space="0" w:color="auto"/>
              <w:right w:val="single" w:sz="4" w:space="0" w:color="auto"/>
            </w:tcBorders>
            <w:shd w:val="clear" w:color="000000" w:fill="FFFFFF"/>
            <w:vAlign w:val="center"/>
            <w:hideMark/>
          </w:tcPr>
          <w:p w14:paraId="1DBBD66B"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Vjetor</w:t>
            </w:r>
          </w:p>
        </w:tc>
        <w:tc>
          <w:tcPr>
            <w:tcW w:w="486" w:type="pct"/>
            <w:tcBorders>
              <w:top w:val="single" w:sz="4" w:space="0" w:color="auto"/>
              <w:left w:val="nil"/>
              <w:bottom w:val="nil"/>
              <w:right w:val="single" w:sz="4" w:space="0" w:color="auto"/>
            </w:tcBorders>
            <w:shd w:val="clear" w:color="000000" w:fill="FFFFFF"/>
            <w:vAlign w:val="center"/>
            <w:hideMark/>
          </w:tcPr>
          <w:p w14:paraId="4A1D8B21" w14:textId="2D61820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1. Arsyet e emigrimit</w:t>
            </w:r>
            <w:r w:rsidR="008C7870"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2. Emigracioni sipas gjinisë dhe moshës</w:t>
            </w:r>
            <w:r w:rsidR="008C7870"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3. Koeficienti bruto i emigrantëve</w:t>
            </w:r>
            <w:r w:rsidR="008C7870"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4. Koeficienti bruto i imigrantëve</w:t>
            </w:r>
            <w:r w:rsidR="008C7870"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5. Koeficienti bruto i migracionit të brendshëm neto sipas qarkut</w:t>
            </w:r>
            <w:r w:rsidR="008C7870"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6. Lëvizjet e brendshme të popullsisë sipas qarkut</w:t>
            </w:r>
            <w:r w:rsidR="008C7870"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7. Migracioni i brendshëm sipas grup</w:t>
            </w:r>
            <w:r w:rsidR="008C7870" w:rsidRPr="00B31292">
              <w:rPr>
                <w:rFonts w:ascii="Garamond" w:eastAsia="Times New Roman" w:hAnsi="Garamond" w:cs="Times New Roman"/>
                <w:sz w:val="10"/>
                <w:szCs w:val="10"/>
              </w:rPr>
              <w:t>-</w:t>
            </w:r>
            <w:r w:rsidRPr="00B31292">
              <w:rPr>
                <w:rFonts w:ascii="Garamond" w:eastAsia="Times New Roman" w:hAnsi="Garamond" w:cs="Times New Roman"/>
                <w:sz w:val="10"/>
                <w:szCs w:val="10"/>
              </w:rPr>
              <w:t>moshës dhe gjinisë</w:t>
            </w:r>
            <w:r w:rsidR="008C7870"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8. Migracioni neto</w:t>
            </w:r>
            <w:r w:rsidR="008C7870"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9. Numri i emigrantëve</w:t>
            </w:r>
            <w:r w:rsidR="008C7870"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10. Numri i imigrantëve</w:t>
            </w:r>
            <w:r w:rsidR="008C7870"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11. Piramida e lëvizjeve të brendshme sipas grup</w:t>
            </w:r>
            <w:r w:rsidR="008C7870" w:rsidRPr="00B31292">
              <w:rPr>
                <w:rFonts w:ascii="Garamond" w:eastAsia="Times New Roman" w:hAnsi="Garamond" w:cs="Times New Roman"/>
                <w:sz w:val="10"/>
                <w:szCs w:val="10"/>
              </w:rPr>
              <w:t>-</w:t>
            </w:r>
            <w:r w:rsidRPr="00B31292">
              <w:rPr>
                <w:rFonts w:ascii="Garamond" w:eastAsia="Times New Roman" w:hAnsi="Garamond" w:cs="Times New Roman"/>
                <w:sz w:val="10"/>
                <w:szCs w:val="10"/>
              </w:rPr>
              <w:t>moshës dhe gjinisë</w:t>
            </w:r>
            <w:r w:rsidR="008C7870" w:rsidRPr="00B31292">
              <w:rPr>
                <w:rFonts w:ascii="Garamond" w:eastAsia="Times New Roman" w:hAnsi="Garamond" w:cs="Times New Roman"/>
                <w:sz w:val="10"/>
                <w:szCs w:val="10"/>
              </w:rPr>
              <w:t>.</w:t>
            </w:r>
          </w:p>
        </w:tc>
        <w:tc>
          <w:tcPr>
            <w:tcW w:w="299" w:type="pct"/>
            <w:tcBorders>
              <w:top w:val="nil"/>
              <w:left w:val="nil"/>
              <w:bottom w:val="single" w:sz="4" w:space="0" w:color="auto"/>
              <w:right w:val="single" w:sz="4" w:space="0" w:color="auto"/>
            </w:tcBorders>
            <w:shd w:val="clear" w:color="000000" w:fill="FFFFFF"/>
            <w:vAlign w:val="center"/>
            <w:hideMark/>
          </w:tcPr>
          <w:p w14:paraId="6A6F5D08"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xml:space="preserve">Instituti i Statistikave </w:t>
            </w:r>
            <w:r w:rsidRPr="00B31292">
              <w:rPr>
                <w:rFonts w:ascii="Garamond" w:eastAsia="Times New Roman" w:hAnsi="Garamond" w:cs="Times New Roman"/>
                <w:sz w:val="10"/>
                <w:szCs w:val="10"/>
              </w:rPr>
              <w:br/>
              <w:t>Drejtoria e Përgjithshme e Gjendjes Civile</w:t>
            </w:r>
          </w:p>
        </w:tc>
        <w:tc>
          <w:tcPr>
            <w:tcW w:w="224" w:type="pct"/>
            <w:tcBorders>
              <w:top w:val="nil"/>
              <w:left w:val="nil"/>
              <w:bottom w:val="single" w:sz="4" w:space="0" w:color="auto"/>
              <w:right w:val="single" w:sz="4" w:space="0" w:color="auto"/>
            </w:tcBorders>
            <w:shd w:val="clear" w:color="000000" w:fill="FFFFFF"/>
            <w:vAlign w:val="center"/>
            <w:hideMark/>
          </w:tcPr>
          <w:p w14:paraId="4D50F943" w14:textId="4B3D0C90"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INSTAT</w:t>
            </w:r>
            <w:r w:rsidR="008C7870" w:rsidRPr="00B31292">
              <w:rPr>
                <w:rFonts w:ascii="Garamond" w:eastAsia="Times New Roman" w:hAnsi="Garamond" w:cs="Times New Roman"/>
                <w:sz w:val="10"/>
                <w:szCs w:val="10"/>
              </w:rPr>
              <w:t>-i</w:t>
            </w:r>
          </w:p>
        </w:tc>
        <w:tc>
          <w:tcPr>
            <w:tcW w:w="244" w:type="pct"/>
            <w:tcBorders>
              <w:top w:val="nil"/>
              <w:left w:val="nil"/>
              <w:bottom w:val="single" w:sz="4" w:space="0" w:color="auto"/>
              <w:right w:val="single" w:sz="4" w:space="0" w:color="auto"/>
            </w:tcBorders>
            <w:shd w:val="clear" w:color="000000" w:fill="FFFFFF"/>
            <w:vAlign w:val="center"/>
            <w:hideMark/>
          </w:tcPr>
          <w:p w14:paraId="367754C2"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+ 90 D</w:t>
            </w:r>
          </w:p>
        </w:tc>
        <w:tc>
          <w:tcPr>
            <w:tcW w:w="220" w:type="pct"/>
            <w:tcBorders>
              <w:top w:val="nil"/>
              <w:left w:val="nil"/>
              <w:bottom w:val="single" w:sz="4" w:space="0" w:color="auto"/>
              <w:right w:val="single" w:sz="4" w:space="0" w:color="auto"/>
            </w:tcBorders>
            <w:shd w:val="clear" w:color="000000" w:fill="FFFFFF"/>
            <w:vAlign w:val="center"/>
            <w:hideMark/>
          </w:tcPr>
          <w:p w14:paraId="1AFB7304"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+ 136 D</w:t>
            </w:r>
          </w:p>
        </w:tc>
        <w:tc>
          <w:tcPr>
            <w:tcW w:w="220" w:type="pct"/>
            <w:tcBorders>
              <w:top w:val="nil"/>
              <w:left w:val="nil"/>
              <w:bottom w:val="single" w:sz="4" w:space="0" w:color="auto"/>
              <w:right w:val="single" w:sz="4" w:space="0" w:color="auto"/>
            </w:tcBorders>
            <w:shd w:val="clear" w:color="000000" w:fill="FFFFFF"/>
            <w:vAlign w:val="center"/>
            <w:hideMark/>
          </w:tcPr>
          <w:p w14:paraId="3B782071"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+ 152 D</w:t>
            </w:r>
          </w:p>
        </w:tc>
        <w:tc>
          <w:tcPr>
            <w:tcW w:w="346" w:type="pct"/>
            <w:tcBorders>
              <w:top w:val="nil"/>
              <w:left w:val="nil"/>
              <w:bottom w:val="single" w:sz="4" w:space="0" w:color="auto"/>
              <w:right w:val="single" w:sz="4" w:space="0" w:color="auto"/>
            </w:tcBorders>
            <w:shd w:val="clear" w:color="000000" w:fill="FFFFFF"/>
            <w:vAlign w:val="center"/>
            <w:hideMark/>
          </w:tcPr>
          <w:p w14:paraId="0A816D8A" w14:textId="651A71F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1. Vonesa në procesin e grumbullimit të të dhënave nga AFP</w:t>
            </w:r>
            <w:r w:rsidR="002E40BF" w:rsidRPr="00B31292">
              <w:rPr>
                <w:rFonts w:ascii="Garamond" w:eastAsia="Times New Roman" w:hAnsi="Garamond" w:cs="Times New Roman"/>
                <w:sz w:val="10"/>
                <w:szCs w:val="10"/>
              </w:rPr>
              <w:t>-ja</w:t>
            </w:r>
            <w:r w:rsidRPr="00B31292">
              <w:rPr>
                <w:rFonts w:ascii="Garamond" w:eastAsia="Times New Roman" w:hAnsi="Garamond" w:cs="Times New Roman"/>
                <w:sz w:val="10"/>
                <w:szCs w:val="10"/>
              </w:rPr>
              <w:t xml:space="preserve"> për vlerësimin e migracionit -|- 6</w:t>
            </w:r>
            <w:r w:rsidRPr="00B31292">
              <w:rPr>
                <w:rFonts w:ascii="Garamond" w:eastAsia="Times New Roman" w:hAnsi="Garamond" w:cs="Times New Roman"/>
                <w:sz w:val="10"/>
                <w:szCs w:val="10"/>
              </w:rPr>
              <w:br/>
              <w:t>2. Mospërmbushja e kritereve të cilësisë</w:t>
            </w:r>
            <w:r w:rsidR="008C7870" w:rsidRPr="00B31292">
              <w:rPr>
                <w:rFonts w:ascii="Garamond" w:eastAsia="Times New Roman" w:hAnsi="Garamond" w:cs="Times New Roman"/>
                <w:sz w:val="10"/>
                <w:szCs w:val="10"/>
              </w:rPr>
              <w:t>,</w:t>
            </w:r>
            <w:r w:rsidRPr="00B31292">
              <w:rPr>
                <w:rFonts w:ascii="Garamond" w:eastAsia="Times New Roman" w:hAnsi="Garamond" w:cs="Times New Roman"/>
                <w:sz w:val="10"/>
                <w:szCs w:val="10"/>
              </w:rPr>
              <w:t xml:space="preserve"> si: saktësia, përpikmëria dhe krahasueshmëria, për vrojtimet statistikore -|- 6</w:t>
            </w:r>
          </w:p>
        </w:tc>
        <w:tc>
          <w:tcPr>
            <w:tcW w:w="273" w:type="pct"/>
            <w:tcBorders>
              <w:top w:val="nil"/>
              <w:left w:val="nil"/>
              <w:bottom w:val="single" w:sz="4" w:space="0" w:color="auto"/>
              <w:right w:val="single" w:sz="4" w:space="0" w:color="auto"/>
            </w:tcBorders>
            <w:shd w:val="clear" w:color="000000" w:fill="FFFFFF"/>
            <w:vAlign w:val="center"/>
            <w:hideMark/>
          </w:tcPr>
          <w:p w14:paraId="2253FC7C"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Buxhet shteti</w:t>
            </w:r>
          </w:p>
        </w:tc>
      </w:tr>
      <w:tr w:rsidR="000A2254" w:rsidRPr="00B31292" w14:paraId="111C1518" w14:textId="77777777" w:rsidTr="000A2254">
        <w:trPr>
          <w:trHeight w:val="20"/>
        </w:trPr>
        <w:tc>
          <w:tcPr>
            <w:tcW w:w="215" w:type="pct"/>
            <w:tcBorders>
              <w:top w:val="nil"/>
              <w:left w:val="nil"/>
              <w:bottom w:val="nil"/>
              <w:right w:val="nil"/>
            </w:tcBorders>
            <w:shd w:val="clear" w:color="000000" w:fill="FFFFFF"/>
            <w:vAlign w:val="bottom"/>
            <w:hideMark/>
          </w:tcPr>
          <w:p w14:paraId="150DD4A1"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lastRenderedPageBreak/>
              <w:t> </w:t>
            </w:r>
          </w:p>
        </w:tc>
        <w:tc>
          <w:tcPr>
            <w:tcW w:w="215" w:type="pct"/>
            <w:tcBorders>
              <w:top w:val="nil"/>
              <w:left w:val="nil"/>
              <w:bottom w:val="nil"/>
              <w:right w:val="nil"/>
            </w:tcBorders>
            <w:shd w:val="clear" w:color="000000" w:fill="FFFFFF"/>
            <w:vAlign w:val="bottom"/>
            <w:hideMark/>
          </w:tcPr>
          <w:p w14:paraId="4EA2D5B7"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155" w:type="pct"/>
            <w:tcBorders>
              <w:top w:val="nil"/>
              <w:left w:val="nil"/>
              <w:bottom w:val="nil"/>
              <w:right w:val="nil"/>
            </w:tcBorders>
            <w:shd w:val="clear" w:color="000000" w:fill="FFFFFF"/>
            <w:vAlign w:val="bottom"/>
            <w:hideMark/>
          </w:tcPr>
          <w:p w14:paraId="57EDB448"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145" w:type="pct"/>
            <w:tcBorders>
              <w:top w:val="nil"/>
              <w:left w:val="nil"/>
              <w:bottom w:val="nil"/>
              <w:right w:val="nil"/>
            </w:tcBorders>
            <w:shd w:val="clear" w:color="000000" w:fill="FFFFFF"/>
            <w:vAlign w:val="bottom"/>
            <w:hideMark/>
          </w:tcPr>
          <w:p w14:paraId="552A1016"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188" w:type="pct"/>
            <w:tcBorders>
              <w:top w:val="nil"/>
              <w:left w:val="nil"/>
              <w:bottom w:val="nil"/>
              <w:right w:val="nil"/>
            </w:tcBorders>
            <w:shd w:val="clear" w:color="000000" w:fill="FFFFFF"/>
            <w:vAlign w:val="bottom"/>
            <w:hideMark/>
          </w:tcPr>
          <w:p w14:paraId="49B80557"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184" w:type="pct"/>
            <w:tcBorders>
              <w:top w:val="nil"/>
              <w:left w:val="nil"/>
              <w:bottom w:val="nil"/>
              <w:right w:val="nil"/>
            </w:tcBorders>
            <w:shd w:val="clear" w:color="000000" w:fill="FFFFFF"/>
            <w:vAlign w:val="bottom"/>
            <w:hideMark/>
          </w:tcPr>
          <w:p w14:paraId="33B1C348"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199" w:type="pct"/>
            <w:tcBorders>
              <w:top w:val="nil"/>
              <w:left w:val="single" w:sz="4" w:space="0" w:color="auto"/>
              <w:bottom w:val="single" w:sz="4" w:space="0" w:color="auto"/>
              <w:right w:val="single" w:sz="4" w:space="0" w:color="auto"/>
            </w:tcBorders>
            <w:shd w:val="clear" w:color="000000" w:fill="FFFFFF"/>
            <w:vAlign w:val="center"/>
            <w:hideMark/>
          </w:tcPr>
          <w:p w14:paraId="459D717B"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1.1.1.4</w:t>
            </w:r>
          </w:p>
        </w:tc>
        <w:tc>
          <w:tcPr>
            <w:tcW w:w="281" w:type="pct"/>
            <w:tcBorders>
              <w:top w:val="nil"/>
              <w:left w:val="nil"/>
              <w:bottom w:val="single" w:sz="4" w:space="0" w:color="auto"/>
              <w:right w:val="single" w:sz="4" w:space="0" w:color="auto"/>
            </w:tcBorders>
            <w:shd w:val="clear" w:color="000000" w:fill="FFFFFF"/>
            <w:vAlign w:val="center"/>
            <w:hideMark/>
          </w:tcPr>
          <w:p w14:paraId="44174ABC"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Statistikat e diasporës shqiptare</w:t>
            </w:r>
          </w:p>
        </w:tc>
        <w:tc>
          <w:tcPr>
            <w:tcW w:w="236" w:type="pct"/>
            <w:tcBorders>
              <w:top w:val="nil"/>
              <w:left w:val="nil"/>
              <w:bottom w:val="single" w:sz="4" w:space="0" w:color="auto"/>
              <w:right w:val="single" w:sz="4" w:space="0" w:color="auto"/>
            </w:tcBorders>
            <w:shd w:val="clear" w:color="000000" w:fill="FFFFFF"/>
            <w:vAlign w:val="center"/>
            <w:hideMark/>
          </w:tcPr>
          <w:p w14:paraId="4C9AD9F9"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br/>
              <w:t>Kombinim i burimeve administrative dhe vrojtimeve</w:t>
            </w:r>
          </w:p>
        </w:tc>
        <w:tc>
          <w:tcPr>
            <w:tcW w:w="238" w:type="pct"/>
            <w:tcBorders>
              <w:top w:val="nil"/>
              <w:left w:val="nil"/>
              <w:bottom w:val="single" w:sz="4" w:space="0" w:color="auto"/>
              <w:right w:val="single" w:sz="4" w:space="0" w:color="auto"/>
            </w:tcBorders>
            <w:shd w:val="clear" w:color="000000" w:fill="FFFFFF"/>
            <w:noWrap/>
            <w:vAlign w:val="center"/>
            <w:hideMark/>
          </w:tcPr>
          <w:p w14:paraId="6BA910D4"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50%</w:t>
            </w:r>
          </w:p>
        </w:tc>
        <w:tc>
          <w:tcPr>
            <w:tcW w:w="180" w:type="pct"/>
            <w:tcBorders>
              <w:top w:val="nil"/>
              <w:left w:val="nil"/>
              <w:bottom w:val="single" w:sz="4" w:space="0" w:color="auto"/>
              <w:right w:val="single" w:sz="4" w:space="0" w:color="auto"/>
            </w:tcBorders>
            <w:shd w:val="clear" w:color="000000" w:fill="FFFFFF"/>
            <w:noWrap/>
            <w:vAlign w:val="center"/>
            <w:hideMark/>
          </w:tcPr>
          <w:p w14:paraId="4FF77A05"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50%</w:t>
            </w:r>
          </w:p>
        </w:tc>
        <w:tc>
          <w:tcPr>
            <w:tcW w:w="228" w:type="pct"/>
            <w:tcBorders>
              <w:top w:val="nil"/>
              <w:left w:val="nil"/>
              <w:bottom w:val="single" w:sz="4" w:space="0" w:color="auto"/>
              <w:right w:val="single" w:sz="4" w:space="0" w:color="auto"/>
            </w:tcBorders>
            <w:shd w:val="clear" w:color="000000" w:fill="FFFFFF"/>
            <w:vAlign w:val="center"/>
            <w:hideMark/>
          </w:tcPr>
          <w:p w14:paraId="6410E5F6"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I vazhdueshëm</w:t>
            </w:r>
          </w:p>
        </w:tc>
        <w:tc>
          <w:tcPr>
            <w:tcW w:w="222" w:type="pct"/>
            <w:tcBorders>
              <w:top w:val="nil"/>
              <w:left w:val="nil"/>
              <w:bottom w:val="single" w:sz="4" w:space="0" w:color="auto"/>
              <w:right w:val="single" w:sz="4" w:space="0" w:color="auto"/>
            </w:tcBorders>
            <w:shd w:val="clear" w:color="000000" w:fill="FFFFFF"/>
            <w:vAlign w:val="center"/>
            <w:hideMark/>
          </w:tcPr>
          <w:p w14:paraId="7752E787"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Çdo 5 vjet</w:t>
            </w:r>
          </w:p>
        </w:tc>
        <w:tc>
          <w:tcPr>
            <w:tcW w:w="486" w:type="pct"/>
            <w:tcBorders>
              <w:top w:val="single" w:sz="4" w:space="0" w:color="auto"/>
              <w:left w:val="nil"/>
              <w:bottom w:val="nil"/>
              <w:right w:val="single" w:sz="4" w:space="0" w:color="auto"/>
            </w:tcBorders>
            <w:shd w:val="clear" w:color="000000" w:fill="FFFFFF"/>
            <w:vAlign w:val="center"/>
            <w:hideMark/>
          </w:tcPr>
          <w:p w14:paraId="42892C17" w14:textId="05007B83"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1. Diaspora 1 janar</w:t>
            </w:r>
            <w:r w:rsidR="008C7870"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2. Piramida e popullsisë banuese dhe popullsia e shtetasve shqiptar</w:t>
            </w:r>
            <w:r w:rsidR="008C7870"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3. Piramida e diasporës</w:t>
            </w:r>
            <w:r w:rsidR="008C7870"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4. Diaspora sipas shteteve të destinacionit</w:t>
            </w:r>
            <w:r w:rsidR="008C7870"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 xml:space="preserve">5. Norma e rritjes vjetore </w:t>
            </w:r>
            <w:r w:rsidR="008C7870" w:rsidRPr="00B31292">
              <w:rPr>
                <w:rFonts w:ascii="Garamond" w:eastAsia="Times New Roman" w:hAnsi="Garamond" w:cs="Times New Roman"/>
                <w:sz w:val="10"/>
                <w:szCs w:val="10"/>
              </w:rPr>
              <w:t>të</w:t>
            </w:r>
            <w:r w:rsidRPr="00B31292">
              <w:rPr>
                <w:rFonts w:ascii="Garamond" w:eastAsia="Times New Roman" w:hAnsi="Garamond" w:cs="Times New Roman"/>
                <w:sz w:val="10"/>
                <w:szCs w:val="10"/>
              </w:rPr>
              <w:t xml:space="preserve"> emigrantëve shqiptarë sipas destinacioneve kryesore</w:t>
            </w:r>
            <w:r w:rsidR="008C7870"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6. Shqiptarët në Evropë</w:t>
            </w:r>
            <w:r w:rsidR="008C7870"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7. Karakteristikat social-demografike</w:t>
            </w:r>
            <w:r w:rsidR="008C7870"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 xml:space="preserve"> </w:t>
            </w:r>
          </w:p>
        </w:tc>
        <w:tc>
          <w:tcPr>
            <w:tcW w:w="299" w:type="pct"/>
            <w:tcBorders>
              <w:top w:val="nil"/>
              <w:left w:val="nil"/>
              <w:bottom w:val="single" w:sz="4" w:space="0" w:color="auto"/>
              <w:right w:val="single" w:sz="4" w:space="0" w:color="auto"/>
            </w:tcBorders>
            <w:shd w:val="clear" w:color="000000" w:fill="FFFFFF"/>
            <w:vAlign w:val="center"/>
            <w:hideMark/>
          </w:tcPr>
          <w:p w14:paraId="236D468C"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xml:space="preserve">Instituti i Statistikave </w:t>
            </w:r>
          </w:p>
        </w:tc>
        <w:tc>
          <w:tcPr>
            <w:tcW w:w="224" w:type="pct"/>
            <w:tcBorders>
              <w:top w:val="nil"/>
              <w:left w:val="nil"/>
              <w:bottom w:val="single" w:sz="4" w:space="0" w:color="auto"/>
              <w:right w:val="single" w:sz="4" w:space="0" w:color="auto"/>
            </w:tcBorders>
            <w:shd w:val="clear" w:color="000000" w:fill="FFFFFF"/>
            <w:vAlign w:val="center"/>
            <w:hideMark/>
          </w:tcPr>
          <w:p w14:paraId="32383AAF" w14:textId="3A96FF0A"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INSTAT</w:t>
            </w:r>
            <w:r w:rsidR="008C7870" w:rsidRPr="00B31292">
              <w:rPr>
                <w:rFonts w:ascii="Garamond" w:eastAsia="Times New Roman" w:hAnsi="Garamond" w:cs="Times New Roman"/>
                <w:sz w:val="10"/>
                <w:szCs w:val="10"/>
              </w:rPr>
              <w:t>-i</w:t>
            </w:r>
          </w:p>
        </w:tc>
        <w:tc>
          <w:tcPr>
            <w:tcW w:w="244" w:type="pct"/>
            <w:tcBorders>
              <w:top w:val="nil"/>
              <w:left w:val="nil"/>
              <w:bottom w:val="single" w:sz="4" w:space="0" w:color="auto"/>
              <w:right w:val="single" w:sz="4" w:space="0" w:color="auto"/>
            </w:tcBorders>
            <w:shd w:val="clear" w:color="000000" w:fill="FFFFFF"/>
            <w:vAlign w:val="center"/>
            <w:hideMark/>
          </w:tcPr>
          <w:p w14:paraId="32300C8A"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V + 212 D</w:t>
            </w:r>
          </w:p>
        </w:tc>
        <w:tc>
          <w:tcPr>
            <w:tcW w:w="220" w:type="pct"/>
            <w:tcBorders>
              <w:top w:val="nil"/>
              <w:left w:val="nil"/>
              <w:bottom w:val="single" w:sz="4" w:space="0" w:color="auto"/>
              <w:right w:val="single" w:sz="4" w:space="0" w:color="auto"/>
            </w:tcBorders>
            <w:shd w:val="clear" w:color="000000" w:fill="FFFFFF"/>
            <w:vAlign w:val="center"/>
            <w:hideMark/>
          </w:tcPr>
          <w:p w14:paraId="785DD01D"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V + 304 D</w:t>
            </w:r>
          </w:p>
        </w:tc>
        <w:tc>
          <w:tcPr>
            <w:tcW w:w="220" w:type="pct"/>
            <w:tcBorders>
              <w:top w:val="nil"/>
              <w:left w:val="nil"/>
              <w:bottom w:val="single" w:sz="4" w:space="0" w:color="auto"/>
              <w:right w:val="single" w:sz="4" w:space="0" w:color="auto"/>
            </w:tcBorders>
            <w:shd w:val="clear" w:color="000000" w:fill="FFFFFF"/>
            <w:vAlign w:val="center"/>
            <w:hideMark/>
          </w:tcPr>
          <w:p w14:paraId="4205DB67"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V + 335 D</w:t>
            </w:r>
          </w:p>
        </w:tc>
        <w:tc>
          <w:tcPr>
            <w:tcW w:w="346" w:type="pct"/>
            <w:tcBorders>
              <w:top w:val="nil"/>
              <w:left w:val="nil"/>
              <w:bottom w:val="single" w:sz="4" w:space="0" w:color="auto"/>
              <w:right w:val="single" w:sz="4" w:space="0" w:color="auto"/>
            </w:tcBorders>
            <w:shd w:val="clear" w:color="000000" w:fill="FFFFFF"/>
            <w:vAlign w:val="center"/>
            <w:hideMark/>
          </w:tcPr>
          <w:p w14:paraId="75BEC36D" w14:textId="7E8F0AE1"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1. Vonesa në procesin e grumbullimit dhe analizimit të të dhënave -|- 6</w:t>
            </w:r>
            <w:r w:rsidRPr="00B31292">
              <w:rPr>
                <w:rFonts w:ascii="Garamond" w:eastAsia="Times New Roman" w:hAnsi="Garamond" w:cs="Times New Roman"/>
                <w:sz w:val="10"/>
                <w:szCs w:val="10"/>
              </w:rPr>
              <w:br/>
              <w:t>2. Mospërmbushja e kritereve të cilësisë</w:t>
            </w:r>
            <w:r w:rsidR="008C7870" w:rsidRPr="00B31292">
              <w:rPr>
                <w:rFonts w:ascii="Garamond" w:eastAsia="Times New Roman" w:hAnsi="Garamond" w:cs="Times New Roman"/>
                <w:sz w:val="10"/>
                <w:szCs w:val="10"/>
              </w:rPr>
              <w:t>,</w:t>
            </w:r>
            <w:r w:rsidRPr="00B31292">
              <w:rPr>
                <w:rFonts w:ascii="Garamond" w:eastAsia="Times New Roman" w:hAnsi="Garamond" w:cs="Times New Roman"/>
                <w:sz w:val="10"/>
                <w:szCs w:val="10"/>
              </w:rPr>
              <w:t xml:space="preserve"> si: saktësia, përpikmëria dhe krahasueshmëria e të dhënave -|- 6</w:t>
            </w:r>
          </w:p>
        </w:tc>
        <w:tc>
          <w:tcPr>
            <w:tcW w:w="273" w:type="pct"/>
            <w:tcBorders>
              <w:top w:val="nil"/>
              <w:left w:val="nil"/>
              <w:bottom w:val="single" w:sz="4" w:space="0" w:color="auto"/>
              <w:right w:val="single" w:sz="4" w:space="0" w:color="auto"/>
            </w:tcBorders>
            <w:shd w:val="clear" w:color="000000" w:fill="FFFFFF"/>
            <w:vAlign w:val="center"/>
            <w:hideMark/>
          </w:tcPr>
          <w:p w14:paraId="325C119A"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Buxhet shteti</w:t>
            </w:r>
          </w:p>
        </w:tc>
      </w:tr>
      <w:tr w:rsidR="000A2254" w:rsidRPr="00B31292" w14:paraId="1AD844C5" w14:textId="77777777" w:rsidTr="000A2254">
        <w:trPr>
          <w:trHeight w:val="20"/>
        </w:trPr>
        <w:tc>
          <w:tcPr>
            <w:tcW w:w="215" w:type="pct"/>
            <w:tcBorders>
              <w:top w:val="nil"/>
              <w:left w:val="nil"/>
              <w:bottom w:val="nil"/>
              <w:right w:val="nil"/>
            </w:tcBorders>
            <w:shd w:val="clear" w:color="000000" w:fill="FFFFFF"/>
            <w:vAlign w:val="bottom"/>
            <w:hideMark/>
          </w:tcPr>
          <w:p w14:paraId="7D61EC8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30BB8A0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25A9FA3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04EFFBA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0594EA17"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3CE53A57"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0FBE81C"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1.1.1.5</w:t>
            </w:r>
          </w:p>
        </w:tc>
        <w:tc>
          <w:tcPr>
            <w:tcW w:w="281"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B043F1C"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Statistikat e ngjarjeve jetësore</w:t>
            </w:r>
          </w:p>
        </w:tc>
        <w:tc>
          <w:tcPr>
            <w:tcW w:w="236"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CF5CCD9"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Burim administrativ</w:t>
            </w:r>
          </w:p>
        </w:tc>
        <w:tc>
          <w:tcPr>
            <w:tcW w:w="238"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CC052BC"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180"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932CF17"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28"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D3F623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3A704E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Tremujor</w:t>
            </w:r>
          </w:p>
        </w:tc>
        <w:tc>
          <w:tcPr>
            <w:tcW w:w="486" w:type="pct"/>
            <w:tcBorders>
              <w:top w:val="single" w:sz="4" w:space="0" w:color="auto"/>
              <w:left w:val="nil"/>
              <w:bottom w:val="nil"/>
              <w:right w:val="nil"/>
            </w:tcBorders>
            <w:shd w:val="clear" w:color="000000" w:fill="FFFFFF"/>
            <w:hideMark/>
          </w:tcPr>
          <w:p w14:paraId="39734185" w14:textId="10C602B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Abortet e ndërprera ligjërisht sipas grup</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moshës së nënës</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 Divorcet gjithsej</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 Divorcet me kërkesën e bashkëshortes/bashkëshortit</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4. Indeksi sintetik i fekonditetit sipas qarkut</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5. Jetëgjatësia e pritur në moshën 55 vjeç</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6. Jetëgjatësia e pritur në moshën 80 vjeç</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7. Jetëgjatësia në lindje sipas qarkut dhe gjinisë</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8. Jetëgjatësia në moshën 60 vjeç</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9. Jetëgjatësia sipas grup</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moshës dhe gjinisë</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10. Koeficientët specifikë të fekonditetit sipas grup</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moshës</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11. Koeficienti bruto i divorceve</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12. Koeficienti bruto i lindjeve sipas qarkut</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13. Koeficienti bruto i martesës sipas qarkut</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14. Koeficienti bruto i riprodhimit</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15. Koeficienti bruto i vdekjeve sipas qarkut</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16. Koeficienti i divorceve për 100 martesa</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17. Koeficienti i lindshmërisë tek adoleshentët</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18. Koeficienti i shtesës natyrore</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19. Koeficienti neto i riprodhimit</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20. Lindjet e asistuara</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21. Lindjet e gjalla sipas muajit</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22. Lindjet e gjalla sipas peshës së lindjes dhe gjinisë</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23. Lindjet e gjalla sipas qarkut</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24. Lindjet e gjalla sipas qarkut, tregues tremujor</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25. Lindjet në adoleshencë</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26. Lindjet sipas bashkisë</w:t>
            </w:r>
            <w:r w:rsidR="008C7870" w:rsidRPr="00B31292">
              <w:rPr>
                <w:rFonts w:ascii="Garamond" w:eastAsia="Times New Roman" w:hAnsi="Garamond" w:cs="Times New Roman"/>
                <w:color w:val="000000"/>
                <w:sz w:val="10"/>
                <w:szCs w:val="10"/>
              </w:rPr>
              <w:t>.</w:t>
            </w:r>
          </w:p>
        </w:tc>
        <w:tc>
          <w:tcPr>
            <w:tcW w:w="29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5A568F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Drejtoria e Përgjithshme e Gjendjes Civile</w:t>
            </w:r>
          </w:p>
        </w:tc>
        <w:tc>
          <w:tcPr>
            <w:tcW w:w="22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5B91A9D" w14:textId="5CCE1240"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8C7870" w:rsidRPr="00B31292">
              <w:rPr>
                <w:rFonts w:ascii="Garamond" w:eastAsia="Times New Roman" w:hAnsi="Garamond" w:cs="Times New Roman"/>
                <w:color w:val="000000"/>
                <w:sz w:val="10"/>
                <w:szCs w:val="10"/>
              </w:rPr>
              <w:t>-i</w:t>
            </w:r>
          </w:p>
        </w:tc>
        <w:tc>
          <w:tcPr>
            <w:tcW w:w="24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93E99B5"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T + 15 D</w:t>
            </w:r>
          </w:p>
        </w:tc>
        <w:tc>
          <w:tcPr>
            <w:tcW w:w="220"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19B6FB9"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T + 35 D</w:t>
            </w:r>
          </w:p>
        </w:tc>
        <w:tc>
          <w:tcPr>
            <w:tcW w:w="220"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319E42D"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T + 45D</w:t>
            </w:r>
          </w:p>
        </w:tc>
        <w:tc>
          <w:tcPr>
            <w:tcW w:w="346"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3534F44" w14:textId="7ED6A362"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Vonesa në procesin e grumbullimit të të dhënave nga burimet administrative -|- 3</w:t>
            </w:r>
            <w:r w:rsidRPr="00B31292">
              <w:rPr>
                <w:rFonts w:ascii="Garamond" w:eastAsia="Times New Roman" w:hAnsi="Garamond" w:cs="Times New Roman"/>
                <w:color w:val="000000"/>
                <w:sz w:val="10"/>
                <w:szCs w:val="10"/>
              </w:rPr>
              <w:br/>
              <w:t>2. Mospërmbushja e kritereve të cilësisë</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si: saktësia, përpikmëria dhe krahasueshmëria, për të dhënat administrative -|- 3</w:t>
            </w:r>
            <w:r w:rsidRPr="00B31292">
              <w:rPr>
                <w:rFonts w:ascii="Garamond" w:eastAsia="Times New Roman" w:hAnsi="Garamond" w:cs="Times New Roman"/>
                <w:color w:val="000000"/>
                <w:sz w:val="10"/>
                <w:szCs w:val="10"/>
              </w:rPr>
              <w:br/>
              <w:t xml:space="preserve">3. Pezullimi/vonesa e mbledhjes, prodhimit dhe shpërndarjes </w:t>
            </w:r>
            <w:r w:rsidR="008C7870" w:rsidRPr="00B31292">
              <w:rPr>
                <w:rFonts w:ascii="Garamond" w:eastAsia="Times New Roman" w:hAnsi="Garamond" w:cs="Times New Roman"/>
                <w:color w:val="000000"/>
                <w:sz w:val="10"/>
                <w:szCs w:val="10"/>
              </w:rPr>
              <w:t>s</w:t>
            </w:r>
            <w:r w:rsidRPr="00B31292">
              <w:rPr>
                <w:rFonts w:ascii="Garamond" w:eastAsia="Times New Roman" w:hAnsi="Garamond" w:cs="Times New Roman"/>
                <w:color w:val="000000"/>
                <w:sz w:val="10"/>
                <w:szCs w:val="10"/>
              </w:rPr>
              <w:t xml:space="preserve">ë statistikave zyrtare si pasojë e </w:t>
            </w:r>
            <w:r w:rsidR="008C7870" w:rsidRPr="00B31292">
              <w:rPr>
                <w:rFonts w:ascii="Garamond" w:eastAsia="Times New Roman" w:hAnsi="Garamond" w:cs="Times New Roman"/>
                <w:color w:val="000000"/>
                <w:sz w:val="10"/>
                <w:szCs w:val="10"/>
              </w:rPr>
              <w:t xml:space="preserve">fatkeqësive natyrore/ pandemi globale </w:t>
            </w:r>
            <w:r w:rsidRPr="00B31292">
              <w:rPr>
                <w:rFonts w:ascii="Garamond" w:eastAsia="Times New Roman" w:hAnsi="Garamond" w:cs="Times New Roman"/>
                <w:color w:val="000000"/>
                <w:sz w:val="10"/>
                <w:szCs w:val="10"/>
              </w:rPr>
              <w:t>-|- 3</w:t>
            </w:r>
          </w:p>
        </w:tc>
        <w:tc>
          <w:tcPr>
            <w:tcW w:w="273"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E14B10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Buxhet shteti</w:t>
            </w:r>
          </w:p>
        </w:tc>
      </w:tr>
      <w:tr w:rsidR="000A2254" w:rsidRPr="00B31292" w14:paraId="3B1561E8" w14:textId="77777777" w:rsidTr="000A2254">
        <w:trPr>
          <w:trHeight w:val="20"/>
        </w:trPr>
        <w:tc>
          <w:tcPr>
            <w:tcW w:w="215" w:type="pct"/>
            <w:tcBorders>
              <w:top w:val="nil"/>
              <w:left w:val="nil"/>
              <w:bottom w:val="nil"/>
              <w:right w:val="nil"/>
            </w:tcBorders>
            <w:shd w:val="clear" w:color="000000" w:fill="FFFFFF"/>
            <w:vAlign w:val="bottom"/>
            <w:hideMark/>
          </w:tcPr>
          <w:p w14:paraId="75D2EA4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3772357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33797BA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5688BD2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56CE8AE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vMerge w:val="restart"/>
            <w:tcBorders>
              <w:top w:val="nil"/>
              <w:left w:val="nil"/>
              <w:bottom w:val="single" w:sz="4" w:space="0" w:color="000000"/>
              <w:right w:val="single" w:sz="4" w:space="0" w:color="auto"/>
            </w:tcBorders>
            <w:shd w:val="clear" w:color="000000" w:fill="FFFFFF"/>
            <w:vAlign w:val="bottom"/>
            <w:hideMark/>
          </w:tcPr>
          <w:p w14:paraId="4CB420DA"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vMerge/>
            <w:tcBorders>
              <w:top w:val="nil"/>
              <w:left w:val="single" w:sz="4" w:space="0" w:color="auto"/>
              <w:bottom w:val="single" w:sz="4" w:space="0" w:color="000000"/>
              <w:right w:val="single" w:sz="4" w:space="0" w:color="auto"/>
            </w:tcBorders>
            <w:vAlign w:val="center"/>
            <w:hideMark/>
          </w:tcPr>
          <w:p w14:paraId="355D2FFA"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81" w:type="pct"/>
            <w:vMerge/>
            <w:tcBorders>
              <w:top w:val="nil"/>
              <w:left w:val="single" w:sz="4" w:space="0" w:color="auto"/>
              <w:bottom w:val="single" w:sz="4" w:space="0" w:color="000000"/>
              <w:right w:val="single" w:sz="4" w:space="0" w:color="auto"/>
            </w:tcBorders>
            <w:vAlign w:val="center"/>
            <w:hideMark/>
          </w:tcPr>
          <w:p w14:paraId="5306490F" w14:textId="77777777" w:rsidR="000A2254" w:rsidRPr="00B31292" w:rsidRDefault="000A2254" w:rsidP="000A2254">
            <w:pPr>
              <w:spacing w:after="0" w:line="240" w:lineRule="auto"/>
              <w:rPr>
                <w:rFonts w:ascii="Garamond" w:eastAsia="Times New Roman" w:hAnsi="Garamond" w:cs="Times New Roman"/>
                <w:sz w:val="10"/>
                <w:szCs w:val="10"/>
              </w:rPr>
            </w:pPr>
          </w:p>
        </w:tc>
        <w:tc>
          <w:tcPr>
            <w:tcW w:w="236" w:type="pct"/>
            <w:vMerge/>
            <w:tcBorders>
              <w:top w:val="nil"/>
              <w:left w:val="single" w:sz="4" w:space="0" w:color="auto"/>
              <w:bottom w:val="single" w:sz="4" w:space="0" w:color="000000"/>
              <w:right w:val="single" w:sz="4" w:space="0" w:color="auto"/>
            </w:tcBorders>
            <w:vAlign w:val="center"/>
            <w:hideMark/>
          </w:tcPr>
          <w:p w14:paraId="332DA9FA" w14:textId="77777777" w:rsidR="000A2254" w:rsidRPr="00B31292" w:rsidRDefault="000A2254" w:rsidP="000A2254">
            <w:pPr>
              <w:spacing w:after="0" w:line="240" w:lineRule="auto"/>
              <w:rPr>
                <w:rFonts w:ascii="Garamond" w:eastAsia="Times New Roman" w:hAnsi="Garamond" w:cs="Times New Roman"/>
                <w:sz w:val="10"/>
                <w:szCs w:val="10"/>
              </w:rPr>
            </w:pPr>
          </w:p>
        </w:tc>
        <w:tc>
          <w:tcPr>
            <w:tcW w:w="238" w:type="pct"/>
            <w:vMerge/>
            <w:tcBorders>
              <w:top w:val="nil"/>
              <w:left w:val="single" w:sz="4" w:space="0" w:color="auto"/>
              <w:bottom w:val="single" w:sz="4" w:space="0" w:color="000000"/>
              <w:right w:val="single" w:sz="4" w:space="0" w:color="auto"/>
            </w:tcBorders>
            <w:vAlign w:val="center"/>
            <w:hideMark/>
          </w:tcPr>
          <w:p w14:paraId="79DEBA60" w14:textId="77777777" w:rsidR="000A2254" w:rsidRPr="00B31292" w:rsidRDefault="000A2254" w:rsidP="000A2254">
            <w:pPr>
              <w:spacing w:after="0" w:line="240" w:lineRule="auto"/>
              <w:rPr>
                <w:rFonts w:ascii="Garamond" w:eastAsia="Times New Roman" w:hAnsi="Garamond" w:cs="Times New Roman"/>
                <w:sz w:val="10"/>
                <w:szCs w:val="10"/>
              </w:rPr>
            </w:pPr>
          </w:p>
        </w:tc>
        <w:tc>
          <w:tcPr>
            <w:tcW w:w="180" w:type="pct"/>
            <w:vMerge/>
            <w:tcBorders>
              <w:top w:val="nil"/>
              <w:left w:val="single" w:sz="4" w:space="0" w:color="auto"/>
              <w:bottom w:val="single" w:sz="4" w:space="0" w:color="000000"/>
              <w:right w:val="single" w:sz="4" w:space="0" w:color="auto"/>
            </w:tcBorders>
            <w:vAlign w:val="center"/>
            <w:hideMark/>
          </w:tcPr>
          <w:p w14:paraId="70A0FDEB" w14:textId="77777777" w:rsidR="000A2254" w:rsidRPr="00B31292" w:rsidRDefault="000A2254" w:rsidP="000A2254">
            <w:pPr>
              <w:spacing w:after="0" w:line="240" w:lineRule="auto"/>
              <w:rPr>
                <w:rFonts w:ascii="Garamond" w:eastAsia="Times New Roman" w:hAnsi="Garamond" w:cs="Times New Roman"/>
                <w:sz w:val="10"/>
                <w:szCs w:val="10"/>
              </w:rPr>
            </w:pPr>
          </w:p>
        </w:tc>
        <w:tc>
          <w:tcPr>
            <w:tcW w:w="228" w:type="pct"/>
            <w:vMerge/>
            <w:tcBorders>
              <w:top w:val="nil"/>
              <w:left w:val="single" w:sz="4" w:space="0" w:color="auto"/>
              <w:bottom w:val="single" w:sz="4" w:space="0" w:color="000000"/>
              <w:right w:val="single" w:sz="4" w:space="0" w:color="auto"/>
            </w:tcBorders>
            <w:vAlign w:val="center"/>
            <w:hideMark/>
          </w:tcPr>
          <w:p w14:paraId="6B3A02C0"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22" w:type="pct"/>
            <w:vMerge/>
            <w:tcBorders>
              <w:top w:val="nil"/>
              <w:left w:val="single" w:sz="4" w:space="0" w:color="auto"/>
              <w:bottom w:val="single" w:sz="4" w:space="0" w:color="000000"/>
              <w:right w:val="single" w:sz="4" w:space="0" w:color="auto"/>
            </w:tcBorders>
            <w:vAlign w:val="center"/>
            <w:hideMark/>
          </w:tcPr>
          <w:p w14:paraId="2B886C9F"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486" w:type="pct"/>
            <w:tcBorders>
              <w:top w:val="nil"/>
              <w:left w:val="nil"/>
              <w:bottom w:val="nil"/>
              <w:right w:val="nil"/>
            </w:tcBorders>
            <w:shd w:val="clear" w:color="000000" w:fill="FFFFFF"/>
            <w:hideMark/>
          </w:tcPr>
          <w:p w14:paraId="2BBBE6C1" w14:textId="55E356AA"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27. Lindjet sipas gjinisë</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28. Lindjet sipas grup</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moshës së nënës</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29. Lindjet sipas grup</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moshës së nënës, qarkut dhe rajonit</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30. Lindjet sipas llojit (binjak, trinjak etj.)</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31. Lindjet sipas moshës së babait</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32. Lindjet sipas moshës së nënës, vitit të lindjes së nënës dhe gjinisë</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33. Lindjet sipas moshës së nënës, vitit të lindjes së nënës </w:t>
            </w:r>
            <w:r w:rsidRPr="00B31292">
              <w:rPr>
                <w:rFonts w:ascii="Garamond" w:eastAsia="Times New Roman" w:hAnsi="Garamond" w:cs="Times New Roman"/>
                <w:color w:val="000000"/>
                <w:sz w:val="10"/>
                <w:szCs w:val="10"/>
              </w:rPr>
              <w:lastRenderedPageBreak/>
              <w:t>dhe radhës në lindje</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34. Lindjet sipas moshës së nënës, vitit të lindjes së nënës dhe rajonit të rezidencës së nënës</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35. Lindjet sipas radhës së lindjes së fëmijës dhe gjinisë</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36. Lindjet sipas viteve të martesës së nënës</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37. Martesat sipas bashkisë</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38. Martesat sipas gjinisë dhe grup</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moshës</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39. Martesat sipas muajit</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40. Martesat sipas qarkut</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41. Martesat sipas shtetësisë së bashkëshortëve</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42. Mosha mesatare e martesës sipas qarkut dhe gjinisë</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43. Mosha mesatare e nënës në lindje sipas qarkut</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44. Raporti gjinor në lindje sipas qarkut</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45. Shtesa natyrore e popullsisë sipas qarkut dhe sipas bashkisë</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46. Tabelat e jetës</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47. Vdekjet e grupuara në ditë, nën 1 vjeç, sipas gjinisë</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48. Vdekjet fetale</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49. Vdekjet mbi 1 vjeç sipas qarkut dhe gjinisë</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50. Vdekjet nën 1 vjeç sipas qarkut dhe gjinisë</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51. Vdekjet sipas bashkisë</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52. Vdekjet sipas gjinisë</w:t>
            </w:r>
            <w:r w:rsidR="008C7870" w:rsidRPr="00B31292">
              <w:rPr>
                <w:rFonts w:ascii="Garamond" w:eastAsia="Times New Roman" w:hAnsi="Garamond" w:cs="Times New Roman"/>
                <w:color w:val="000000"/>
                <w:sz w:val="10"/>
                <w:szCs w:val="10"/>
              </w:rPr>
              <w:t>.</w:t>
            </w:r>
          </w:p>
        </w:tc>
        <w:tc>
          <w:tcPr>
            <w:tcW w:w="299" w:type="pct"/>
            <w:vMerge/>
            <w:tcBorders>
              <w:top w:val="nil"/>
              <w:left w:val="single" w:sz="4" w:space="0" w:color="auto"/>
              <w:bottom w:val="single" w:sz="4" w:space="0" w:color="000000"/>
              <w:right w:val="single" w:sz="4" w:space="0" w:color="auto"/>
            </w:tcBorders>
            <w:vAlign w:val="center"/>
            <w:hideMark/>
          </w:tcPr>
          <w:p w14:paraId="62904F88"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24" w:type="pct"/>
            <w:vMerge/>
            <w:tcBorders>
              <w:top w:val="nil"/>
              <w:left w:val="single" w:sz="4" w:space="0" w:color="auto"/>
              <w:bottom w:val="single" w:sz="4" w:space="0" w:color="000000"/>
              <w:right w:val="single" w:sz="4" w:space="0" w:color="auto"/>
            </w:tcBorders>
            <w:vAlign w:val="center"/>
            <w:hideMark/>
          </w:tcPr>
          <w:p w14:paraId="5547F0F1"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44" w:type="pct"/>
            <w:vMerge/>
            <w:tcBorders>
              <w:top w:val="nil"/>
              <w:left w:val="single" w:sz="4" w:space="0" w:color="auto"/>
              <w:bottom w:val="single" w:sz="4" w:space="0" w:color="000000"/>
              <w:right w:val="single" w:sz="4" w:space="0" w:color="auto"/>
            </w:tcBorders>
            <w:vAlign w:val="center"/>
            <w:hideMark/>
          </w:tcPr>
          <w:p w14:paraId="43F333E7"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20" w:type="pct"/>
            <w:vMerge/>
            <w:tcBorders>
              <w:top w:val="nil"/>
              <w:left w:val="single" w:sz="4" w:space="0" w:color="auto"/>
              <w:bottom w:val="single" w:sz="4" w:space="0" w:color="000000"/>
              <w:right w:val="single" w:sz="4" w:space="0" w:color="auto"/>
            </w:tcBorders>
            <w:vAlign w:val="center"/>
            <w:hideMark/>
          </w:tcPr>
          <w:p w14:paraId="641B0367"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20" w:type="pct"/>
            <w:vMerge/>
            <w:tcBorders>
              <w:top w:val="nil"/>
              <w:left w:val="single" w:sz="4" w:space="0" w:color="auto"/>
              <w:bottom w:val="single" w:sz="4" w:space="0" w:color="000000"/>
              <w:right w:val="single" w:sz="4" w:space="0" w:color="auto"/>
            </w:tcBorders>
            <w:vAlign w:val="center"/>
            <w:hideMark/>
          </w:tcPr>
          <w:p w14:paraId="7B5E6220"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346" w:type="pct"/>
            <w:vMerge/>
            <w:tcBorders>
              <w:top w:val="nil"/>
              <w:left w:val="single" w:sz="4" w:space="0" w:color="auto"/>
              <w:bottom w:val="single" w:sz="4" w:space="0" w:color="000000"/>
              <w:right w:val="single" w:sz="4" w:space="0" w:color="auto"/>
            </w:tcBorders>
            <w:vAlign w:val="center"/>
            <w:hideMark/>
          </w:tcPr>
          <w:p w14:paraId="6EE7726A"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73" w:type="pct"/>
            <w:vMerge/>
            <w:tcBorders>
              <w:top w:val="nil"/>
              <w:left w:val="single" w:sz="4" w:space="0" w:color="auto"/>
              <w:bottom w:val="single" w:sz="4" w:space="0" w:color="000000"/>
              <w:right w:val="single" w:sz="4" w:space="0" w:color="auto"/>
            </w:tcBorders>
            <w:vAlign w:val="center"/>
            <w:hideMark/>
          </w:tcPr>
          <w:p w14:paraId="401D3209"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r>
      <w:tr w:rsidR="000A2254" w:rsidRPr="00B31292" w14:paraId="2A23CCA2" w14:textId="77777777" w:rsidTr="000A2254">
        <w:trPr>
          <w:trHeight w:val="20"/>
        </w:trPr>
        <w:tc>
          <w:tcPr>
            <w:tcW w:w="215" w:type="pct"/>
            <w:tcBorders>
              <w:top w:val="nil"/>
              <w:left w:val="nil"/>
              <w:bottom w:val="nil"/>
              <w:right w:val="nil"/>
            </w:tcBorders>
            <w:shd w:val="clear" w:color="000000" w:fill="FFFFFF"/>
            <w:vAlign w:val="bottom"/>
            <w:hideMark/>
          </w:tcPr>
          <w:p w14:paraId="3E59C49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14D6CCD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0F7DFA2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6EF16E2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3F1C71F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vMerge/>
            <w:tcBorders>
              <w:top w:val="nil"/>
              <w:left w:val="nil"/>
              <w:bottom w:val="single" w:sz="4" w:space="0" w:color="000000"/>
              <w:right w:val="single" w:sz="4" w:space="0" w:color="auto"/>
            </w:tcBorders>
            <w:vAlign w:val="center"/>
            <w:hideMark/>
          </w:tcPr>
          <w:p w14:paraId="414BEA04"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199" w:type="pct"/>
            <w:vMerge/>
            <w:tcBorders>
              <w:top w:val="nil"/>
              <w:left w:val="single" w:sz="4" w:space="0" w:color="auto"/>
              <w:bottom w:val="single" w:sz="4" w:space="0" w:color="000000"/>
              <w:right w:val="single" w:sz="4" w:space="0" w:color="auto"/>
            </w:tcBorders>
            <w:vAlign w:val="center"/>
            <w:hideMark/>
          </w:tcPr>
          <w:p w14:paraId="185D6F87"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81" w:type="pct"/>
            <w:vMerge/>
            <w:tcBorders>
              <w:top w:val="nil"/>
              <w:left w:val="single" w:sz="4" w:space="0" w:color="auto"/>
              <w:bottom w:val="single" w:sz="4" w:space="0" w:color="000000"/>
              <w:right w:val="single" w:sz="4" w:space="0" w:color="auto"/>
            </w:tcBorders>
            <w:vAlign w:val="center"/>
            <w:hideMark/>
          </w:tcPr>
          <w:p w14:paraId="538C39E0" w14:textId="77777777" w:rsidR="000A2254" w:rsidRPr="00B31292" w:rsidRDefault="000A2254" w:rsidP="000A2254">
            <w:pPr>
              <w:spacing w:after="0" w:line="240" w:lineRule="auto"/>
              <w:rPr>
                <w:rFonts w:ascii="Garamond" w:eastAsia="Times New Roman" w:hAnsi="Garamond" w:cs="Times New Roman"/>
                <w:sz w:val="10"/>
                <w:szCs w:val="10"/>
              </w:rPr>
            </w:pPr>
          </w:p>
        </w:tc>
        <w:tc>
          <w:tcPr>
            <w:tcW w:w="236" w:type="pct"/>
            <w:vMerge/>
            <w:tcBorders>
              <w:top w:val="nil"/>
              <w:left w:val="single" w:sz="4" w:space="0" w:color="auto"/>
              <w:bottom w:val="single" w:sz="4" w:space="0" w:color="000000"/>
              <w:right w:val="single" w:sz="4" w:space="0" w:color="auto"/>
            </w:tcBorders>
            <w:vAlign w:val="center"/>
            <w:hideMark/>
          </w:tcPr>
          <w:p w14:paraId="45952A2E" w14:textId="77777777" w:rsidR="000A2254" w:rsidRPr="00B31292" w:rsidRDefault="000A2254" w:rsidP="000A2254">
            <w:pPr>
              <w:spacing w:after="0" w:line="240" w:lineRule="auto"/>
              <w:rPr>
                <w:rFonts w:ascii="Garamond" w:eastAsia="Times New Roman" w:hAnsi="Garamond" w:cs="Times New Roman"/>
                <w:sz w:val="10"/>
                <w:szCs w:val="10"/>
              </w:rPr>
            </w:pPr>
          </w:p>
        </w:tc>
        <w:tc>
          <w:tcPr>
            <w:tcW w:w="238" w:type="pct"/>
            <w:vMerge/>
            <w:tcBorders>
              <w:top w:val="nil"/>
              <w:left w:val="single" w:sz="4" w:space="0" w:color="auto"/>
              <w:bottom w:val="single" w:sz="4" w:space="0" w:color="000000"/>
              <w:right w:val="single" w:sz="4" w:space="0" w:color="auto"/>
            </w:tcBorders>
            <w:vAlign w:val="center"/>
            <w:hideMark/>
          </w:tcPr>
          <w:p w14:paraId="067FFE75" w14:textId="77777777" w:rsidR="000A2254" w:rsidRPr="00B31292" w:rsidRDefault="000A2254" w:rsidP="000A2254">
            <w:pPr>
              <w:spacing w:after="0" w:line="240" w:lineRule="auto"/>
              <w:rPr>
                <w:rFonts w:ascii="Garamond" w:eastAsia="Times New Roman" w:hAnsi="Garamond" w:cs="Times New Roman"/>
                <w:sz w:val="10"/>
                <w:szCs w:val="10"/>
              </w:rPr>
            </w:pPr>
          </w:p>
        </w:tc>
        <w:tc>
          <w:tcPr>
            <w:tcW w:w="180" w:type="pct"/>
            <w:vMerge/>
            <w:tcBorders>
              <w:top w:val="nil"/>
              <w:left w:val="single" w:sz="4" w:space="0" w:color="auto"/>
              <w:bottom w:val="single" w:sz="4" w:space="0" w:color="000000"/>
              <w:right w:val="single" w:sz="4" w:space="0" w:color="auto"/>
            </w:tcBorders>
            <w:vAlign w:val="center"/>
            <w:hideMark/>
          </w:tcPr>
          <w:p w14:paraId="77517683" w14:textId="77777777" w:rsidR="000A2254" w:rsidRPr="00B31292" w:rsidRDefault="000A2254" w:rsidP="000A2254">
            <w:pPr>
              <w:spacing w:after="0" w:line="240" w:lineRule="auto"/>
              <w:rPr>
                <w:rFonts w:ascii="Garamond" w:eastAsia="Times New Roman" w:hAnsi="Garamond" w:cs="Times New Roman"/>
                <w:sz w:val="10"/>
                <w:szCs w:val="10"/>
              </w:rPr>
            </w:pPr>
          </w:p>
        </w:tc>
        <w:tc>
          <w:tcPr>
            <w:tcW w:w="228" w:type="pct"/>
            <w:vMerge/>
            <w:tcBorders>
              <w:top w:val="nil"/>
              <w:left w:val="single" w:sz="4" w:space="0" w:color="auto"/>
              <w:bottom w:val="single" w:sz="4" w:space="0" w:color="000000"/>
              <w:right w:val="single" w:sz="4" w:space="0" w:color="auto"/>
            </w:tcBorders>
            <w:vAlign w:val="center"/>
            <w:hideMark/>
          </w:tcPr>
          <w:p w14:paraId="0B3C7FA5"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22" w:type="pct"/>
            <w:vMerge/>
            <w:tcBorders>
              <w:top w:val="nil"/>
              <w:left w:val="single" w:sz="4" w:space="0" w:color="auto"/>
              <w:bottom w:val="single" w:sz="4" w:space="0" w:color="000000"/>
              <w:right w:val="single" w:sz="4" w:space="0" w:color="auto"/>
            </w:tcBorders>
            <w:vAlign w:val="center"/>
            <w:hideMark/>
          </w:tcPr>
          <w:p w14:paraId="2AF9A0C1"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486" w:type="pct"/>
            <w:tcBorders>
              <w:top w:val="nil"/>
              <w:left w:val="nil"/>
              <w:bottom w:val="nil"/>
              <w:right w:val="nil"/>
            </w:tcBorders>
            <w:shd w:val="clear" w:color="000000" w:fill="FFFFFF"/>
            <w:hideMark/>
          </w:tcPr>
          <w:p w14:paraId="4598CE5A" w14:textId="6EC2544D"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53. Vdekjet sipas gjinisë, moshës, vitit të lindjes dhe shtetësisë</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54. Vdekjet sipas gjinisë, moshës, vitit të lindjes dhe statusit ligjor martesor</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55. Vdekjet sipas gjinisë, rajonit, moshës</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56. Vdekjet sipas gjinisë, rajonit, qarkut dhe grup</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moshës</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57. Vdekjet sipas grup</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moshës dhe gjinisë</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58. Vdekjet sipas muajit</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59. Vdekjet sipas qarkut</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60. Vdekjet sipas qarkut, tregues tremujor</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61. Vdekshmëria foshnjore</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62. Vdekshmëria nën 5 vjeç</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63. Vdekshmëria neonatale</w:t>
            </w:r>
            <w:r w:rsidR="008C7870" w:rsidRPr="00B31292">
              <w:rPr>
                <w:rFonts w:ascii="Garamond" w:eastAsia="Times New Roman" w:hAnsi="Garamond" w:cs="Times New Roman"/>
                <w:color w:val="000000"/>
                <w:sz w:val="10"/>
                <w:szCs w:val="10"/>
              </w:rPr>
              <w:t>.</w:t>
            </w:r>
          </w:p>
        </w:tc>
        <w:tc>
          <w:tcPr>
            <w:tcW w:w="299" w:type="pct"/>
            <w:vMerge/>
            <w:tcBorders>
              <w:top w:val="nil"/>
              <w:left w:val="single" w:sz="4" w:space="0" w:color="auto"/>
              <w:bottom w:val="single" w:sz="4" w:space="0" w:color="000000"/>
              <w:right w:val="single" w:sz="4" w:space="0" w:color="auto"/>
            </w:tcBorders>
            <w:vAlign w:val="center"/>
            <w:hideMark/>
          </w:tcPr>
          <w:p w14:paraId="12311C0E"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24" w:type="pct"/>
            <w:vMerge/>
            <w:tcBorders>
              <w:top w:val="nil"/>
              <w:left w:val="single" w:sz="4" w:space="0" w:color="auto"/>
              <w:bottom w:val="single" w:sz="4" w:space="0" w:color="000000"/>
              <w:right w:val="single" w:sz="4" w:space="0" w:color="auto"/>
            </w:tcBorders>
            <w:vAlign w:val="center"/>
            <w:hideMark/>
          </w:tcPr>
          <w:p w14:paraId="010DF1E6"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44" w:type="pct"/>
            <w:vMerge/>
            <w:tcBorders>
              <w:top w:val="nil"/>
              <w:left w:val="single" w:sz="4" w:space="0" w:color="auto"/>
              <w:bottom w:val="single" w:sz="4" w:space="0" w:color="000000"/>
              <w:right w:val="single" w:sz="4" w:space="0" w:color="auto"/>
            </w:tcBorders>
            <w:vAlign w:val="center"/>
            <w:hideMark/>
          </w:tcPr>
          <w:p w14:paraId="0F05A97F"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20" w:type="pct"/>
            <w:vMerge/>
            <w:tcBorders>
              <w:top w:val="nil"/>
              <w:left w:val="single" w:sz="4" w:space="0" w:color="auto"/>
              <w:bottom w:val="single" w:sz="4" w:space="0" w:color="000000"/>
              <w:right w:val="single" w:sz="4" w:space="0" w:color="auto"/>
            </w:tcBorders>
            <w:vAlign w:val="center"/>
            <w:hideMark/>
          </w:tcPr>
          <w:p w14:paraId="674435AB"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20" w:type="pct"/>
            <w:vMerge/>
            <w:tcBorders>
              <w:top w:val="nil"/>
              <w:left w:val="single" w:sz="4" w:space="0" w:color="auto"/>
              <w:bottom w:val="single" w:sz="4" w:space="0" w:color="000000"/>
              <w:right w:val="single" w:sz="4" w:space="0" w:color="auto"/>
            </w:tcBorders>
            <w:vAlign w:val="center"/>
            <w:hideMark/>
          </w:tcPr>
          <w:p w14:paraId="3ECBBFDE"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346" w:type="pct"/>
            <w:vMerge/>
            <w:tcBorders>
              <w:top w:val="nil"/>
              <w:left w:val="single" w:sz="4" w:space="0" w:color="auto"/>
              <w:bottom w:val="single" w:sz="4" w:space="0" w:color="000000"/>
              <w:right w:val="single" w:sz="4" w:space="0" w:color="auto"/>
            </w:tcBorders>
            <w:vAlign w:val="center"/>
            <w:hideMark/>
          </w:tcPr>
          <w:p w14:paraId="298C889B"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73" w:type="pct"/>
            <w:vMerge/>
            <w:tcBorders>
              <w:top w:val="nil"/>
              <w:left w:val="single" w:sz="4" w:space="0" w:color="auto"/>
              <w:bottom w:val="single" w:sz="4" w:space="0" w:color="000000"/>
              <w:right w:val="single" w:sz="4" w:space="0" w:color="auto"/>
            </w:tcBorders>
            <w:vAlign w:val="center"/>
            <w:hideMark/>
          </w:tcPr>
          <w:p w14:paraId="0F617DCD"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r>
      <w:tr w:rsidR="000A2254" w:rsidRPr="00B31292" w14:paraId="365B0C19" w14:textId="77777777" w:rsidTr="000A2254">
        <w:trPr>
          <w:trHeight w:val="20"/>
        </w:trPr>
        <w:tc>
          <w:tcPr>
            <w:tcW w:w="215" w:type="pct"/>
            <w:tcBorders>
              <w:top w:val="nil"/>
              <w:left w:val="nil"/>
              <w:bottom w:val="nil"/>
              <w:right w:val="nil"/>
            </w:tcBorders>
            <w:shd w:val="clear" w:color="000000" w:fill="FFFFFF"/>
            <w:vAlign w:val="bottom"/>
            <w:hideMark/>
          </w:tcPr>
          <w:p w14:paraId="3A6E2E4E"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15" w:type="pct"/>
            <w:tcBorders>
              <w:top w:val="nil"/>
              <w:left w:val="nil"/>
              <w:bottom w:val="nil"/>
              <w:right w:val="nil"/>
            </w:tcBorders>
            <w:shd w:val="clear" w:color="000000" w:fill="FFFFFF"/>
            <w:vAlign w:val="bottom"/>
            <w:hideMark/>
          </w:tcPr>
          <w:p w14:paraId="2FF33CCE"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155" w:type="pct"/>
            <w:tcBorders>
              <w:top w:val="nil"/>
              <w:left w:val="nil"/>
              <w:bottom w:val="nil"/>
              <w:right w:val="nil"/>
            </w:tcBorders>
            <w:shd w:val="clear" w:color="000000" w:fill="FFFFFF"/>
            <w:vAlign w:val="bottom"/>
            <w:hideMark/>
          </w:tcPr>
          <w:p w14:paraId="217075D7"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145" w:type="pct"/>
            <w:tcBorders>
              <w:top w:val="nil"/>
              <w:left w:val="nil"/>
              <w:bottom w:val="nil"/>
              <w:right w:val="nil"/>
            </w:tcBorders>
            <w:shd w:val="clear" w:color="000000" w:fill="FFFFFF"/>
            <w:vAlign w:val="bottom"/>
            <w:hideMark/>
          </w:tcPr>
          <w:p w14:paraId="72658C20"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188" w:type="pct"/>
            <w:tcBorders>
              <w:top w:val="nil"/>
              <w:left w:val="nil"/>
              <w:bottom w:val="nil"/>
              <w:right w:val="nil"/>
            </w:tcBorders>
            <w:shd w:val="clear" w:color="000000" w:fill="FFFFFF"/>
            <w:vAlign w:val="bottom"/>
            <w:hideMark/>
          </w:tcPr>
          <w:p w14:paraId="3CBD8B5B"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184" w:type="pct"/>
            <w:tcBorders>
              <w:top w:val="nil"/>
              <w:left w:val="nil"/>
              <w:bottom w:val="nil"/>
              <w:right w:val="nil"/>
            </w:tcBorders>
            <w:shd w:val="clear" w:color="000000" w:fill="FFFFFF"/>
            <w:vAlign w:val="bottom"/>
            <w:hideMark/>
          </w:tcPr>
          <w:p w14:paraId="4E97F2E8"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199" w:type="pct"/>
            <w:tcBorders>
              <w:top w:val="nil"/>
              <w:left w:val="single" w:sz="4" w:space="0" w:color="auto"/>
              <w:bottom w:val="single" w:sz="4" w:space="0" w:color="auto"/>
              <w:right w:val="single" w:sz="4" w:space="0" w:color="auto"/>
            </w:tcBorders>
            <w:shd w:val="clear" w:color="000000" w:fill="FFFFFF"/>
            <w:vAlign w:val="center"/>
            <w:hideMark/>
          </w:tcPr>
          <w:p w14:paraId="364E87BF"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1.1.1.6</w:t>
            </w:r>
          </w:p>
        </w:tc>
        <w:tc>
          <w:tcPr>
            <w:tcW w:w="281" w:type="pct"/>
            <w:tcBorders>
              <w:top w:val="nil"/>
              <w:left w:val="nil"/>
              <w:bottom w:val="single" w:sz="4" w:space="0" w:color="auto"/>
              <w:right w:val="single" w:sz="4" w:space="0" w:color="auto"/>
            </w:tcBorders>
            <w:shd w:val="clear" w:color="000000" w:fill="FFFFFF"/>
            <w:vAlign w:val="center"/>
            <w:hideMark/>
          </w:tcPr>
          <w:p w14:paraId="7DBA7F94" w14:textId="30319B9E"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xml:space="preserve">Vrojtimi </w:t>
            </w:r>
            <w:r w:rsidR="008C7870" w:rsidRPr="00B31292">
              <w:rPr>
                <w:rFonts w:ascii="Garamond" w:eastAsia="Times New Roman" w:hAnsi="Garamond" w:cs="Times New Roman"/>
                <w:sz w:val="10"/>
                <w:szCs w:val="10"/>
              </w:rPr>
              <w:t>i</w:t>
            </w:r>
            <w:r w:rsidRPr="00B31292">
              <w:rPr>
                <w:rFonts w:ascii="Garamond" w:eastAsia="Times New Roman" w:hAnsi="Garamond" w:cs="Times New Roman"/>
                <w:sz w:val="10"/>
                <w:szCs w:val="10"/>
              </w:rPr>
              <w:t xml:space="preserve"> Grupimeve të Treguesve të Shumëfishtë (MICS)</w:t>
            </w:r>
          </w:p>
        </w:tc>
        <w:tc>
          <w:tcPr>
            <w:tcW w:w="236" w:type="pct"/>
            <w:tcBorders>
              <w:top w:val="nil"/>
              <w:left w:val="nil"/>
              <w:bottom w:val="single" w:sz="4" w:space="0" w:color="auto"/>
              <w:right w:val="single" w:sz="4" w:space="0" w:color="auto"/>
            </w:tcBorders>
            <w:shd w:val="clear" w:color="000000" w:fill="FFFFFF"/>
            <w:vAlign w:val="center"/>
            <w:hideMark/>
          </w:tcPr>
          <w:p w14:paraId="76BD3EC2"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Vrojtim</w:t>
            </w:r>
          </w:p>
        </w:tc>
        <w:tc>
          <w:tcPr>
            <w:tcW w:w="238" w:type="pct"/>
            <w:tcBorders>
              <w:top w:val="nil"/>
              <w:left w:val="nil"/>
              <w:bottom w:val="single" w:sz="4" w:space="0" w:color="auto"/>
              <w:right w:val="single" w:sz="4" w:space="0" w:color="auto"/>
            </w:tcBorders>
            <w:shd w:val="clear" w:color="000000" w:fill="FFFFFF"/>
            <w:noWrap/>
            <w:vAlign w:val="center"/>
            <w:hideMark/>
          </w:tcPr>
          <w:p w14:paraId="551D8B31"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180" w:type="pct"/>
            <w:tcBorders>
              <w:top w:val="nil"/>
              <w:left w:val="nil"/>
              <w:bottom w:val="single" w:sz="4" w:space="0" w:color="auto"/>
              <w:right w:val="single" w:sz="4" w:space="0" w:color="auto"/>
            </w:tcBorders>
            <w:shd w:val="clear" w:color="000000" w:fill="FFFFFF"/>
            <w:noWrap/>
            <w:vAlign w:val="center"/>
            <w:hideMark/>
          </w:tcPr>
          <w:p w14:paraId="6971B43C"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228" w:type="pct"/>
            <w:tcBorders>
              <w:top w:val="nil"/>
              <w:left w:val="nil"/>
              <w:bottom w:val="single" w:sz="4" w:space="0" w:color="auto"/>
              <w:right w:val="single" w:sz="4" w:space="0" w:color="auto"/>
            </w:tcBorders>
            <w:shd w:val="clear" w:color="000000" w:fill="FFFFFF"/>
            <w:vAlign w:val="center"/>
            <w:hideMark/>
          </w:tcPr>
          <w:p w14:paraId="4A1C4F0B"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Tjetër</w:t>
            </w:r>
          </w:p>
        </w:tc>
        <w:tc>
          <w:tcPr>
            <w:tcW w:w="222" w:type="pct"/>
            <w:tcBorders>
              <w:top w:val="nil"/>
              <w:left w:val="nil"/>
              <w:bottom w:val="single" w:sz="4" w:space="0" w:color="auto"/>
              <w:right w:val="single" w:sz="4" w:space="0" w:color="auto"/>
            </w:tcBorders>
            <w:shd w:val="clear" w:color="000000" w:fill="FFFFFF"/>
            <w:vAlign w:val="center"/>
            <w:hideMark/>
          </w:tcPr>
          <w:p w14:paraId="3B112C64" w14:textId="7A2BD376"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Aktiviteti nuk ka një periodicitet fiks.</w:t>
            </w:r>
          </w:p>
        </w:tc>
        <w:tc>
          <w:tcPr>
            <w:tcW w:w="486" w:type="pct"/>
            <w:tcBorders>
              <w:top w:val="single" w:sz="4" w:space="0" w:color="auto"/>
              <w:left w:val="nil"/>
              <w:bottom w:val="single" w:sz="4" w:space="0" w:color="auto"/>
              <w:right w:val="single" w:sz="4" w:space="0" w:color="auto"/>
            </w:tcBorders>
            <w:shd w:val="clear" w:color="000000" w:fill="FFFFFF"/>
            <w:vAlign w:val="center"/>
            <w:hideMark/>
          </w:tcPr>
          <w:p w14:paraId="1CE0D88A" w14:textId="553B4366"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i/>
                <w:iCs/>
                <w:sz w:val="10"/>
                <w:szCs w:val="10"/>
              </w:rPr>
              <w:t>MICS - Temat bazë</w:t>
            </w:r>
            <w:r w:rsidRPr="00B31292">
              <w:rPr>
                <w:rFonts w:ascii="Garamond" w:eastAsia="Times New Roman" w:hAnsi="Garamond" w:cs="Times New Roman"/>
                <w:sz w:val="10"/>
                <w:szCs w:val="10"/>
              </w:rPr>
              <w:br/>
              <w:t>1. Tregues të përgjithshëm</w:t>
            </w:r>
            <w:r w:rsidR="008C7870"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2. Vdekshmëria</w:t>
            </w:r>
            <w:r w:rsidR="008C7870"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3. Lindshmëria dhe kujdesi i nënës</w:t>
            </w:r>
            <w:r w:rsidR="008C7870"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4. Imunizimi, ushqyerja e fëmijëve dhe shëndeti i tyre</w:t>
            </w:r>
            <w:r w:rsidR="008C7870"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5. Arsimi/edukimi</w:t>
            </w:r>
            <w:r w:rsidR="008C7870"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6. Dhuna, fëmijët që punojnë, martesat e hershme</w:t>
            </w:r>
            <w:r w:rsidR="008C7870"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7. Furnizimi me ujë dhe kanalizimet</w:t>
            </w:r>
            <w:r w:rsidR="008C7870"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r>
            <w:r w:rsidRPr="00B31292">
              <w:rPr>
                <w:rFonts w:ascii="Garamond" w:eastAsia="Times New Roman" w:hAnsi="Garamond" w:cs="Times New Roman"/>
                <w:i/>
                <w:iCs/>
                <w:sz w:val="10"/>
                <w:szCs w:val="10"/>
              </w:rPr>
              <w:br/>
              <w:t>MICS - Temat plotësuese</w:t>
            </w:r>
            <w:r w:rsidR="008C7870" w:rsidRPr="00B31292">
              <w:rPr>
                <w:rFonts w:ascii="Garamond" w:eastAsia="Times New Roman" w:hAnsi="Garamond" w:cs="Times New Roman"/>
                <w:i/>
                <w:iCs/>
                <w:sz w:val="10"/>
                <w:szCs w:val="10"/>
              </w:rPr>
              <w:t>:</w:t>
            </w:r>
            <w:r w:rsidRPr="00B31292">
              <w:rPr>
                <w:rFonts w:ascii="Garamond" w:eastAsia="Times New Roman" w:hAnsi="Garamond" w:cs="Times New Roman"/>
                <w:i/>
                <w:iCs/>
                <w:sz w:val="10"/>
                <w:szCs w:val="10"/>
              </w:rPr>
              <w:br/>
            </w:r>
            <w:r w:rsidRPr="00B31292">
              <w:rPr>
                <w:rFonts w:ascii="Garamond" w:eastAsia="Times New Roman" w:hAnsi="Garamond" w:cs="Times New Roman"/>
                <w:sz w:val="10"/>
                <w:szCs w:val="10"/>
              </w:rPr>
              <w:t>1. Pirja e duhanit, pasiguria për ushqimin, emergjenca</w:t>
            </w:r>
            <w:r w:rsidR="008C7870"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2. Riprodhimi dhe planifikimi familjar</w:t>
            </w:r>
            <w:r w:rsidR="008C7870"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3. Shëndeti, ushqyerja dhe zhvillimi i fëmijëve</w:t>
            </w:r>
            <w:r w:rsidR="008C7870"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4. Mësimi dhe fitimi i aftësive për të ardhmen</w:t>
            </w:r>
            <w:r w:rsidR="008C7870"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r>
            <w:r w:rsidRPr="00B31292">
              <w:rPr>
                <w:rFonts w:ascii="Garamond" w:eastAsia="Times New Roman" w:hAnsi="Garamond" w:cs="Times New Roman"/>
                <w:sz w:val="10"/>
                <w:szCs w:val="10"/>
              </w:rPr>
              <w:lastRenderedPageBreak/>
              <w:t>5. Mbrojtja nga dhuna dhe shfrytëzimi</w:t>
            </w:r>
            <w:r w:rsidR="008C7870"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6. Mundësi të barabarta për jetën</w:t>
            </w:r>
            <w:r w:rsidR="008C7870" w:rsidRPr="00B31292">
              <w:rPr>
                <w:rFonts w:ascii="Garamond" w:eastAsia="Times New Roman" w:hAnsi="Garamond" w:cs="Times New Roman"/>
                <w:sz w:val="10"/>
                <w:szCs w:val="10"/>
              </w:rPr>
              <w:t>.</w:t>
            </w:r>
          </w:p>
        </w:tc>
        <w:tc>
          <w:tcPr>
            <w:tcW w:w="299" w:type="pct"/>
            <w:tcBorders>
              <w:top w:val="nil"/>
              <w:left w:val="nil"/>
              <w:bottom w:val="single" w:sz="4" w:space="0" w:color="auto"/>
              <w:right w:val="single" w:sz="4" w:space="0" w:color="auto"/>
            </w:tcBorders>
            <w:shd w:val="clear" w:color="000000" w:fill="FFFFFF"/>
            <w:vAlign w:val="center"/>
            <w:hideMark/>
          </w:tcPr>
          <w:p w14:paraId="78DFE24C"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lastRenderedPageBreak/>
              <w:t xml:space="preserve">Instituti i Statistikave </w:t>
            </w:r>
          </w:p>
        </w:tc>
        <w:tc>
          <w:tcPr>
            <w:tcW w:w="224" w:type="pct"/>
            <w:tcBorders>
              <w:top w:val="nil"/>
              <w:left w:val="nil"/>
              <w:bottom w:val="single" w:sz="4" w:space="0" w:color="auto"/>
              <w:right w:val="single" w:sz="4" w:space="0" w:color="auto"/>
            </w:tcBorders>
            <w:shd w:val="clear" w:color="000000" w:fill="FFFFFF"/>
            <w:vAlign w:val="center"/>
            <w:hideMark/>
          </w:tcPr>
          <w:p w14:paraId="3FF97858" w14:textId="0F3F54A2"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INSTAT</w:t>
            </w:r>
            <w:r w:rsidR="008C7870" w:rsidRPr="00B31292">
              <w:rPr>
                <w:rFonts w:ascii="Garamond" w:eastAsia="Times New Roman" w:hAnsi="Garamond" w:cs="Times New Roman"/>
                <w:sz w:val="10"/>
                <w:szCs w:val="10"/>
              </w:rPr>
              <w:t>-i</w:t>
            </w:r>
          </w:p>
        </w:tc>
        <w:tc>
          <w:tcPr>
            <w:tcW w:w="244" w:type="pct"/>
            <w:tcBorders>
              <w:top w:val="nil"/>
              <w:left w:val="nil"/>
              <w:bottom w:val="single" w:sz="4" w:space="0" w:color="auto"/>
              <w:right w:val="single" w:sz="4" w:space="0" w:color="auto"/>
            </w:tcBorders>
            <w:shd w:val="clear" w:color="000000" w:fill="FFFFFF"/>
            <w:vAlign w:val="center"/>
            <w:hideMark/>
          </w:tcPr>
          <w:p w14:paraId="608A8FD3"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I papërcaktuar</w:t>
            </w:r>
          </w:p>
        </w:tc>
        <w:tc>
          <w:tcPr>
            <w:tcW w:w="220" w:type="pct"/>
            <w:tcBorders>
              <w:top w:val="nil"/>
              <w:left w:val="nil"/>
              <w:bottom w:val="single" w:sz="4" w:space="0" w:color="auto"/>
              <w:right w:val="single" w:sz="4" w:space="0" w:color="auto"/>
            </w:tcBorders>
            <w:shd w:val="clear" w:color="000000" w:fill="FFFFFF"/>
            <w:vAlign w:val="center"/>
            <w:hideMark/>
          </w:tcPr>
          <w:p w14:paraId="3EBC72E9"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I papërcaktuar</w:t>
            </w:r>
          </w:p>
        </w:tc>
        <w:tc>
          <w:tcPr>
            <w:tcW w:w="220" w:type="pct"/>
            <w:tcBorders>
              <w:top w:val="nil"/>
              <w:left w:val="nil"/>
              <w:bottom w:val="single" w:sz="4" w:space="0" w:color="auto"/>
              <w:right w:val="single" w:sz="4" w:space="0" w:color="auto"/>
            </w:tcBorders>
            <w:shd w:val="clear" w:color="000000" w:fill="FFFFFF"/>
            <w:vAlign w:val="center"/>
            <w:hideMark/>
          </w:tcPr>
          <w:p w14:paraId="5E9125A4"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I papërcaktuar</w:t>
            </w:r>
          </w:p>
        </w:tc>
        <w:tc>
          <w:tcPr>
            <w:tcW w:w="346" w:type="pct"/>
            <w:tcBorders>
              <w:top w:val="nil"/>
              <w:left w:val="nil"/>
              <w:bottom w:val="single" w:sz="4" w:space="0" w:color="auto"/>
              <w:right w:val="single" w:sz="4" w:space="0" w:color="auto"/>
            </w:tcBorders>
            <w:shd w:val="clear" w:color="000000" w:fill="FFFFFF"/>
            <w:vAlign w:val="center"/>
            <w:hideMark/>
          </w:tcPr>
          <w:p w14:paraId="015DEBFC" w14:textId="1762D47D"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1. Risku i realizmit ose jo të anketës në kohë</w:t>
            </w:r>
            <w:r w:rsidR="008C7870"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2. Vonesa në procesin e grumbullimit dhe analizimit të të dhënave</w:t>
            </w:r>
            <w:r w:rsidR="008C7870"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3. Mospërmbushja e kritereve të cilësisë</w:t>
            </w:r>
            <w:r w:rsidR="008C7870" w:rsidRPr="00B31292">
              <w:rPr>
                <w:rFonts w:ascii="Garamond" w:eastAsia="Times New Roman" w:hAnsi="Garamond" w:cs="Times New Roman"/>
                <w:sz w:val="10"/>
                <w:szCs w:val="10"/>
              </w:rPr>
              <w:t>,</w:t>
            </w:r>
            <w:r w:rsidRPr="00B31292">
              <w:rPr>
                <w:rFonts w:ascii="Garamond" w:eastAsia="Times New Roman" w:hAnsi="Garamond" w:cs="Times New Roman"/>
                <w:sz w:val="10"/>
                <w:szCs w:val="10"/>
              </w:rPr>
              <w:t xml:space="preserve"> si: saktësia, përpikmëria dhe krahasueshmëria e të dhënave</w:t>
            </w:r>
            <w:r w:rsidR="008C7870" w:rsidRPr="00B31292">
              <w:rPr>
                <w:rFonts w:ascii="Garamond" w:eastAsia="Times New Roman" w:hAnsi="Garamond" w:cs="Times New Roman"/>
                <w:sz w:val="10"/>
                <w:szCs w:val="10"/>
              </w:rPr>
              <w:t>.</w:t>
            </w:r>
          </w:p>
        </w:tc>
        <w:tc>
          <w:tcPr>
            <w:tcW w:w="273" w:type="pct"/>
            <w:tcBorders>
              <w:top w:val="nil"/>
              <w:left w:val="nil"/>
              <w:bottom w:val="single" w:sz="4" w:space="0" w:color="auto"/>
              <w:right w:val="single" w:sz="4" w:space="0" w:color="auto"/>
            </w:tcBorders>
            <w:shd w:val="clear" w:color="000000" w:fill="FFFFFF"/>
            <w:vAlign w:val="center"/>
            <w:hideMark/>
          </w:tcPr>
          <w:p w14:paraId="0B32C923" w14:textId="10A899C8"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Buxhet shteti dhe</w:t>
            </w:r>
            <w:r w:rsidR="002E2911" w:rsidRPr="00B31292">
              <w:rPr>
                <w:rFonts w:ascii="Garamond" w:eastAsia="Times New Roman" w:hAnsi="Garamond" w:cs="Times New Roman"/>
                <w:sz w:val="10"/>
                <w:szCs w:val="10"/>
              </w:rPr>
              <w:t xml:space="preserve"> </w:t>
            </w:r>
            <w:r w:rsidRPr="00B31292">
              <w:rPr>
                <w:rFonts w:ascii="Garamond" w:eastAsia="Times New Roman" w:hAnsi="Garamond" w:cs="Times New Roman"/>
                <w:sz w:val="10"/>
                <w:szCs w:val="10"/>
              </w:rPr>
              <w:t>donatorë</w:t>
            </w:r>
          </w:p>
        </w:tc>
      </w:tr>
      <w:tr w:rsidR="000A2254" w:rsidRPr="00B31292" w14:paraId="12686223" w14:textId="77777777" w:rsidTr="000A2254">
        <w:trPr>
          <w:trHeight w:val="20"/>
        </w:trPr>
        <w:tc>
          <w:tcPr>
            <w:tcW w:w="215" w:type="pct"/>
            <w:tcBorders>
              <w:top w:val="nil"/>
              <w:left w:val="nil"/>
              <w:bottom w:val="nil"/>
              <w:right w:val="nil"/>
            </w:tcBorders>
            <w:shd w:val="clear" w:color="000000" w:fill="FFFFFF"/>
            <w:vAlign w:val="bottom"/>
            <w:hideMark/>
          </w:tcPr>
          <w:p w14:paraId="5DEBEBE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3EC57307"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37DAAE4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5B5CD8B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single" w:sz="4" w:space="0" w:color="000000"/>
              <w:left w:val="single" w:sz="4" w:space="0" w:color="000000"/>
              <w:bottom w:val="single" w:sz="4" w:space="0" w:color="000000"/>
              <w:right w:val="nil"/>
            </w:tcBorders>
            <w:shd w:val="clear" w:color="000000" w:fill="FFFFFF"/>
            <w:vAlign w:val="center"/>
            <w:hideMark/>
          </w:tcPr>
          <w:p w14:paraId="13F2FF83"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1.1.2</w:t>
            </w:r>
          </w:p>
        </w:tc>
        <w:tc>
          <w:tcPr>
            <w:tcW w:w="4082" w:type="pct"/>
            <w:gridSpan w:val="16"/>
            <w:tcBorders>
              <w:top w:val="single" w:sz="4" w:space="0" w:color="auto"/>
              <w:left w:val="single" w:sz="4" w:space="0" w:color="auto"/>
              <w:bottom w:val="single" w:sz="4" w:space="0" w:color="auto"/>
              <w:right w:val="single" w:sz="4" w:space="0" w:color="auto"/>
            </w:tcBorders>
            <w:shd w:val="clear" w:color="000000" w:fill="FFFFFF"/>
            <w:vAlign w:val="center"/>
            <w:hideMark/>
          </w:tcPr>
          <w:p w14:paraId="6C40F0F2" w14:textId="6708C920"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Censi i </w:t>
            </w:r>
            <w:r w:rsidR="008C7870" w:rsidRPr="00B31292">
              <w:rPr>
                <w:rFonts w:ascii="Garamond" w:eastAsia="Times New Roman" w:hAnsi="Garamond" w:cs="Times New Roman"/>
                <w:color w:val="000000"/>
                <w:sz w:val="10"/>
                <w:szCs w:val="10"/>
              </w:rPr>
              <w:t>popullsisë dhe banesave</w:t>
            </w:r>
            <w:r w:rsidRPr="00B31292">
              <w:rPr>
                <w:rFonts w:ascii="Garamond" w:eastAsia="Times New Roman" w:hAnsi="Garamond" w:cs="Times New Roman"/>
                <w:color w:val="000000"/>
                <w:sz w:val="10"/>
                <w:szCs w:val="10"/>
              </w:rPr>
              <w:t>,</w:t>
            </w:r>
            <w:r w:rsidR="002E2911" w:rsidRPr="00B31292">
              <w:rPr>
                <w:rFonts w:ascii="Garamond" w:eastAsia="Times New Roman" w:hAnsi="Garamond" w:cs="Times New Roman"/>
                <w:color w:val="000000"/>
                <w:sz w:val="10"/>
                <w:szCs w:val="10"/>
              </w:rPr>
              <w:t xml:space="preserve"> </w:t>
            </w:r>
            <w:r w:rsidR="008C7870" w:rsidRPr="00B31292">
              <w:rPr>
                <w:rFonts w:ascii="Garamond" w:eastAsia="Times New Roman" w:hAnsi="Garamond" w:cs="Times New Roman"/>
                <w:color w:val="000000"/>
                <w:sz w:val="10"/>
                <w:szCs w:val="10"/>
              </w:rPr>
              <w:t>a</w:t>
            </w:r>
            <w:r w:rsidRPr="00B31292">
              <w:rPr>
                <w:rFonts w:ascii="Garamond" w:eastAsia="Times New Roman" w:hAnsi="Garamond" w:cs="Times New Roman"/>
                <w:color w:val="000000"/>
                <w:sz w:val="10"/>
                <w:szCs w:val="10"/>
              </w:rPr>
              <w:t>zilkërkuesit dhe të huajt</w:t>
            </w:r>
          </w:p>
        </w:tc>
      </w:tr>
      <w:tr w:rsidR="000A2254" w:rsidRPr="00B31292" w14:paraId="627392FB" w14:textId="77777777" w:rsidTr="000A2254">
        <w:trPr>
          <w:trHeight w:val="20"/>
        </w:trPr>
        <w:tc>
          <w:tcPr>
            <w:tcW w:w="215" w:type="pct"/>
            <w:tcBorders>
              <w:top w:val="nil"/>
              <w:left w:val="nil"/>
              <w:bottom w:val="nil"/>
              <w:right w:val="nil"/>
            </w:tcBorders>
            <w:shd w:val="clear" w:color="000000" w:fill="FFFFFF"/>
            <w:vAlign w:val="bottom"/>
            <w:hideMark/>
          </w:tcPr>
          <w:p w14:paraId="498993A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3DF3788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4064296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5D9594D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4E7B9A9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76E6DD0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000000"/>
              <w:bottom w:val="single" w:sz="4" w:space="0" w:color="000000"/>
              <w:right w:val="single" w:sz="4" w:space="0" w:color="000000"/>
            </w:tcBorders>
            <w:shd w:val="clear" w:color="000000" w:fill="FFFFFF"/>
            <w:vAlign w:val="center"/>
            <w:hideMark/>
          </w:tcPr>
          <w:p w14:paraId="11B9987B"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1.1.2.1</w:t>
            </w:r>
          </w:p>
        </w:tc>
        <w:tc>
          <w:tcPr>
            <w:tcW w:w="281" w:type="pct"/>
            <w:tcBorders>
              <w:top w:val="nil"/>
              <w:left w:val="nil"/>
              <w:bottom w:val="single" w:sz="4" w:space="0" w:color="000000"/>
              <w:right w:val="single" w:sz="4" w:space="0" w:color="000000"/>
            </w:tcBorders>
            <w:shd w:val="clear" w:color="000000" w:fill="FFFFFF"/>
            <w:vAlign w:val="center"/>
            <w:hideMark/>
          </w:tcPr>
          <w:p w14:paraId="181B58D0" w14:textId="4D6A11B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Aktiv</w:t>
            </w:r>
            <w:r w:rsidR="002E40BF" w:rsidRPr="00B31292">
              <w:rPr>
                <w:rFonts w:ascii="Garamond" w:eastAsia="Times New Roman" w:hAnsi="Garamond" w:cs="Times New Roman"/>
                <w:sz w:val="10"/>
                <w:szCs w:val="10"/>
              </w:rPr>
              <w:t>i</w:t>
            </w:r>
            <w:r w:rsidRPr="00B31292">
              <w:rPr>
                <w:rFonts w:ascii="Garamond" w:eastAsia="Times New Roman" w:hAnsi="Garamond" w:cs="Times New Roman"/>
                <w:sz w:val="10"/>
                <w:szCs w:val="10"/>
              </w:rPr>
              <w:t>tetet në kuadër të Censit të Popullsisë dhe Banesave:</w:t>
            </w:r>
            <w:r w:rsidRPr="00B31292">
              <w:rPr>
                <w:rFonts w:ascii="Garamond" w:eastAsia="Times New Roman" w:hAnsi="Garamond" w:cs="Times New Roman"/>
                <w:sz w:val="10"/>
                <w:szCs w:val="10"/>
              </w:rPr>
              <w:br/>
              <w:t>- Analizat tematike mbi fusha të ndryshme</w:t>
            </w:r>
            <w:r w:rsidRPr="00B31292">
              <w:rPr>
                <w:rFonts w:ascii="Garamond" w:eastAsia="Times New Roman" w:hAnsi="Garamond" w:cs="Times New Roman"/>
                <w:sz w:val="10"/>
                <w:szCs w:val="10"/>
              </w:rPr>
              <w:br/>
              <w:t>- Mikrodata në dispozicion për përdoruesit e jashtëm</w:t>
            </w:r>
          </w:p>
        </w:tc>
        <w:tc>
          <w:tcPr>
            <w:tcW w:w="236" w:type="pct"/>
            <w:tcBorders>
              <w:top w:val="nil"/>
              <w:left w:val="nil"/>
              <w:bottom w:val="single" w:sz="4" w:space="0" w:color="000000"/>
              <w:right w:val="single" w:sz="4" w:space="0" w:color="000000"/>
            </w:tcBorders>
            <w:shd w:val="clear" w:color="000000" w:fill="FFFFFF"/>
            <w:vAlign w:val="center"/>
            <w:hideMark/>
          </w:tcPr>
          <w:p w14:paraId="6C2AEAE4"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Vrojtim</w:t>
            </w:r>
          </w:p>
        </w:tc>
        <w:tc>
          <w:tcPr>
            <w:tcW w:w="238" w:type="pct"/>
            <w:tcBorders>
              <w:top w:val="nil"/>
              <w:left w:val="nil"/>
              <w:bottom w:val="single" w:sz="4" w:space="0" w:color="auto"/>
              <w:right w:val="single" w:sz="4" w:space="0" w:color="auto"/>
            </w:tcBorders>
            <w:shd w:val="clear" w:color="000000" w:fill="FFFFFF"/>
            <w:noWrap/>
            <w:vAlign w:val="center"/>
            <w:hideMark/>
          </w:tcPr>
          <w:p w14:paraId="45822A09"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180" w:type="pct"/>
            <w:tcBorders>
              <w:top w:val="nil"/>
              <w:left w:val="nil"/>
              <w:bottom w:val="single" w:sz="4" w:space="0" w:color="auto"/>
              <w:right w:val="single" w:sz="4" w:space="0" w:color="auto"/>
            </w:tcBorders>
            <w:shd w:val="clear" w:color="000000" w:fill="FFFFFF"/>
            <w:noWrap/>
            <w:vAlign w:val="center"/>
            <w:hideMark/>
          </w:tcPr>
          <w:p w14:paraId="2D9362D4"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228" w:type="pct"/>
            <w:tcBorders>
              <w:top w:val="nil"/>
              <w:left w:val="nil"/>
              <w:bottom w:val="single" w:sz="4" w:space="0" w:color="000000"/>
              <w:right w:val="single" w:sz="4" w:space="0" w:color="000000"/>
            </w:tcBorders>
            <w:shd w:val="clear" w:color="000000" w:fill="FFFFFF"/>
            <w:vAlign w:val="center"/>
            <w:hideMark/>
          </w:tcPr>
          <w:p w14:paraId="0A432467"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Tjetër</w:t>
            </w:r>
          </w:p>
        </w:tc>
        <w:tc>
          <w:tcPr>
            <w:tcW w:w="222" w:type="pct"/>
            <w:tcBorders>
              <w:top w:val="nil"/>
              <w:left w:val="nil"/>
              <w:bottom w:val="single" w:sz="4" w:space="0" w:color="000000"/>
              <w:right w:val="single" w:sz="4" w:space="0" w:color="000000"/>
            </w:tcBorders>
            <w:shd w:val="clear" w:color="000000" w:fill="FFFFFF"/>
            <w:vAlign w:val="center"/>
            <w:hideMark/>
          </w:tcPr>
          <w:p w14:paraId="4CD83E8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Çdo 10 vite </w:t>
            </w:r>
          </w:p>
        </w:tc>
        <w:tc>
          <w:tcPr>
            <w:tcW w:w="486" w:type="pct"/>
            <w:tcBorders>
              <w:top w:val="nil"/>
              <w:left w:val="nil"/>
              <w:bottom w:val="single" w:sz="4" w:space="0" w:color="auto"/>
              <w:right w:val="single" w:sz="4" w:space="0" w:color="auto"/>
            </w:tcBorders>
            <w:shd w:val="clear" w:color="000000" w:fill="FFFFFF"/>
            <w:vAlign w:val="center"/>
            <w:hideMark/>
          </w:tcPr>
          <w:p w14:paraId="1EE3F3AD" w14:textId="476B97A2"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1. Banesat e zakonshme/jo të zakonshme për banim (ose pjesërisht për banim)</w:t>
            </w:r>
            <w:r w:rsidR="002E2911" w:rsidRPr="00B31292">
              <w:rPr>
                <w:rFonts w:ascii="Garamond" w:eastAsia="Times New Roman" w:hAnsi="Garamond" w:cs="Times New Roman"/>
                <w:sz w:val="10"/>
                <w:szCs w:val="10"/>
              </w:rPr>
              <w:t xml:space="preserve"> </w:t>
            </w:r>
            <w:r w:rsidRPr="00B31292">
              <w:rPr>
                <w:rFonts w:ascii="Garamond" w:eastAsia="Times New Roman" w:hAnsi="Garamond" w:cs="Times New Roman"/>
                <w:sz w:val="10"/>
                <w:szCs w:val="10"/>
              </w:rPr>
              <w:t>ose kolektive, sipas llojit dhe pronësisë</w:t>
            </w:r>
            <w:r w:rsidR="008C7870"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2. Banesat sipas llojit të furnizimit me ujë, energji elektrik, ngrohje</w:t>
            </w:r>
            <w:r w:rsidR="008C7870"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3. Banesat sipas sipërfaqes së përdorur për banimi</w:t>
            </w:r>
            <w:r w:rsidR="008C7870"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4. Banesat sipas statusit të banuar/të pabanuar</w:t>
            </w:r>
            <w:r w:rsidR="008C7870"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5. Llojet e pajisjeve shtëpiake të përdorura nga NjEF</w:t>
            </w:r>
            <w:r w:rsidR="008C7870" w:rsidRPr="00B31292">
              <w:rPr>
                <w:rFonts w:ascii="Garamond" w:eastAsia="Times New Roman" w:hAnsi="Garamond" w:cs="Times New Roman"/>
                <w:sz w:val="10"/>
                <w:szCs w:val="10"/>
              </w:rPr>
              <w:t>-të.</w:t>
            </w:r>
            <w:r w:rsidRPr="00B31292">
              <w:rPr>
                <w:rFonts w:ascii="Garamond" w:eastAsia="Times New Roman" w:hAnsi="Garamond" w:cs="Times New Roman"/>
                <w:sz w:val="10"/>
                <w:szCs w:val="10"/>
              </w:rPr>
              <w:br/>
              <w:t>6. Ndërtesat për banim (ose pjesërisht për banim) sipas viti/periudhës së ndërtimit, materialit të ndërtimit</w:t>
            </w:r>
            <w:r w:rsidR="008C7870"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7. NjEF</w:t>
            </w:r>
            <w:r w:rsidR="008C7870" w:rsidRPr="00B31292">
              <w:rPr>
                <w:rFonts w:ascii="Garamond" w:eastAsia="Times New Roman" w:hAnsi="Garamond" w:cs="Times New Roman"/>
                <w:sz w:val="10"/>
                <w:szCs w:val="10"/>
              </w:rPr>
              <w:t>-të</w:t>
            </w:r>
            <w:r w:rsidRPr="00B31292">
              <w:rPr>
                <w:rFonts w:ascii="Garamond" w:eastAsia="Times New Roman" w:hAnsi="Garamond" w:cs="Times New Roman"/>
                <w:sz w:val="10"/>
                <w:szCs w:val="10"/>
              </w:rPr>
              <w:t xml:space="preserve"> private dhe kolektive sipas madhësisë (numri të anëtarëve për NjEF)</w:t>
            </w:r>
            <w:r w:rsidR="008C7870"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8. Numri i anëtarëve të mëparshëm të NjEF</w:t>
            </w:r>
            <w:r w:rsidR="008C7870" w:rsidRPr="00B31292">
              <w:rPr>
                <w:rFonts w:ascii="Garamond" w:eastAsia="Times New Roman" w:hAnsi="Garamond" w:cs="Times New Roman"/>
                <w:sz w:val="10"/>
                <w:szCs w:val="10"/>
              </w:rPr>
              <w:t>-ve</w:t>
            </w:r>
            <w:r w:rsidRPr="00B31292">
              <w:rPr>
                <w:rFonts w:ascii="Garamond" w:eastAsia="Times New Roman" w:hAnsi="Garamond" w:cs="Times New Roman"/>
                <w:sz w:val="10"/>
                <w:szCs w:val="10"/>
              </w:rPr>
              <w:t xml:space="preserve"> (emigrantët) sipas llojit të NjEF</w:t>
            </w:r>
            <w:r w:rsidR="008C7870" w:rsidRPr="00B31292">
              <w:rPr>
                <w:rFonts w:ascii="Garamond" w:eastAsia="Times New Roman" w:hAnsi="Garamond" w:cs="Times New Roman"/>
                <w:sz w:val="10"/>
                <w:szCs w:val="10"/>
              </w:rPr>
              <w:t>-së</w:t>
            </w:r>
            <w:r w:rsidRPr="00B31292">
              <w:rPr>
                <w:rFonts w:ascii="Garamond" w:eastAsia="Times New Roman" w:hAnsi="Garamond" w:cs="Times New Roman"/>
                <w:sz w:val="10"/>
                <w:szCs w:val="10"/>
              </w:rPr>
              <w:t>, vitit dhe arsyes së largimit</w:t>
            </w:r>
            <w:r w:rsidR="008C7870"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9. Numri i nënave sipas numrit të fëmijëve që kanë lindur gjallë, si dhe numri i fëmijëve që jetojnë</w:t>
            </w:r>
            <w:r w:rsidR="008C7870"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10. Numri i NjEF</w:t>
            </w:r>
            <w:r w:rsidR="008C7870" w:rsidRPr="00B31292">
              <w:rPr>
                <w:rFonts w:ascii="Garamond" w:eastAsia="Times New Roman" w:hAnsi="Garamond" w:cs="Times New Roman"/>
                <w:sz w:val="10"/>
                <w:szCs w:val="10"/>
              </w:rPr>
              <w:t>-ve</w:t>
            </w:r>
            <w:r w:rsidRPr="00B31292">
              <w:rPr>
                <w:rFonts w:ascii="Garamond" w:eastAsia="Times New Roman" w:hAnsi="Garamond" w:cs="Times New Roman"/>
                <w:sz w:val="10"/>
                <w:szCs w:val="10"/>
              </w:rPr>
              <w:t xml:space="preserve"> sipas llojit të tokës bujqësore që kanë në përdorim dhe sipërfaqet respektive</w:t>
            </w:r>
            <w:r w:rsidR="008C7870"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11. Numri i NjEF</w:t>
            </w:r>
            <w:r w:rsidR="008C7870" w:rsidRPr="00B31292">
              <w:rPr>
                <w:rFonts w:ascii="Garamond" w:eastAsia="Times New Roman" w:hAnsi="Garamond" w:cs="Times New Roman"/>
                <w:sz w:val="10"/>
                <w:szCs w:val="10"/>
              </w:rPr>
              <w:t>-ve</w:t>
            </w:r>
            <w:r w:rsidRPr="00B31292">
              <w:rPr>
                <w:rFonts w:ascii="Garamond" w:eastAsia="Times New Roman" w:hAnsi="Garamond" w:cs="Times New Roman"/>
                <w:sz w:val="10"/>
                <w:szCs w:val="10"/>
              </w:rPr>
              <w:t xml:space="preserve"> sipas numrit të blegtorisë/</w:t>
            </w:r>
            <w:r w:rsidR="008C7870" w:rsidRPr="00B31292">
              <w:rPr>
                <w:rFonts w:ascii="Garamond" w:eastAsia="Times New Roman" w:hAnsi="Garamond" w:cs="Times New Roman"/>
                <w:sz w:val="10"/>
                <w:szCs w:val="10"/>
              </w:rPr>
              <w:t xml:space="preserve"> </w:t>
            </w:r>
            <w:r w:rsidRPr="00B31292">
              <w:rPr>
                <w:rFonts w:ascii="Garamond" w:eastAsia="Times New Roman" w:hAnsi="Garamond" w:cs="Times New Roman"/>
                <w:sz w:val="10"/>
                <w:szCs w:val="10"/>
              </w:rPr>
              <w:t>shpendëve/koshereve të bletëve që disponojnë</w:t>
            </w:r>
            <w:r w:rsidR="008C7870"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12. Popullsia banuese që ka jetuar ndonjëherë jashtë shtetit dhe është kthyer, sipas arsyes së kthimit</w:t>
            </w:r>
            <w:r w:rsidR="008C7870"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13. Popullsia e personave të pastrehë</w:t>
            </w:r>
            <w:r w:rsidR="008C7870"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14. Popullsia në nivel kombëtar, qarku, bashkie dhe njësie administrative, sipas gjinisë dhe moshës/gru</w:t>
            </w:r>
            <w:r w:rsidR="0038521B" w:rsidRPr="00B31292">
              <w:rPr>
                <w:rFonts w:ascii="Garamond" w:eastAsia="Times New Roman" w:hAnsi="Garamond" w:cs="Times New Roman"/>
                <w:sz w:val="10"/>
                <w:szCs w:val="10"/>
              </w:rPr>
              <w:t>p</w:t>
            </w:r>
            <w:r w:rsidR="008C7870" w:rsidRPr="00B31292">
              <w:rPr>
                <w:rFonts w:ascii="Garamond" w:eastAsia="Times New Roman" w:hAnsi="Garamond" w:cs="Times New Roman"/>
                <w:sz w:val="10"/>
                <w:szCs w:val="10"/>
              </w:rPr>
              <w:t>-</w:t>
            </w:r>
            <w:r w:rsidRPr="00B31292">
              <w:rPr>
                <w:rFonts w:ascii="Garamond" w:eastAsia="Times New Roman" w:hAnsi="Garamond" w:cs="Times New Roman"/>
                <w:sz w:val="10"/>
                <w:szCs w:val="10"/>
              </w:rPr>
              <w:t>moshës</w:t>
            </w:r>
            <w:r w:rsidR="008C7870"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15. Popullsia sipas identitetit etnik, besimit fetar, gjuhës</w:t>
            </w:r>
            <w:r w:rsidR="008C7870"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16. Popullsia sipas nivelit arsimor zyrtar që ndjekin dhe/ose që kanë përfunduar</w:t>
            </w:r>
            <w:r w:rsidR="008C7870"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17. Popullsia sipas shkallës ë vështirësive për aftësitë e kufizuara</w:t>
            </w:r>
            <w:r w:rsidR="008C7870"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18. Popullsia sipas statusit të martesës dhe</w:t>
            </w:r>
            <w:r w:rsidR="008C7870" w:rsidRPr="00B31292">
              <w:rPr>
                <w:rFonts w:ascii="Garamond" w:eastAsia="Times New Roman" w:hAnsi="Garamond" w:cs="Times New Roman"/>
                <w:sz w:val="10"/>
                <w:szCs w:val="10"/>
              </w:rPr>
              <w:t>/</w:t>
            </w:r>
            <w:r w:rsidRPr="00B31292">
              <w:rPr>
                <w:rFonts w:ascii="Garamond" w:eastAsia="Times New Roman" w:hAnsi="Garamond" w:cs="Times New Roman"/>
                <w:sz w:val="10"/>
                <w:szCs w:val="10"/>
              </w:rPr>
              <w:t>ose</w:t>
            </w:r>
            <w:r w:rsidR="008C7870" w:rsidRPr="00B31292">
              <w:rPr>
                <w:rFonts w:ascii="Garamond" w:eastAsia="Times New Roman" w:hAnsi="Garamond" w:cs="Times New Roman"/>
                <w:sz w:val="10"/>
                <w:szCs w:val="10"/>
              </w:rPr>
              <w:t xml:space="preserve"> </w:t>
            </w:r>
            <w:r w:rsidRPr="00B31292">
              <w:rPr>
                <w:rFonts w:ascii="Garamond" w:eastAsia="Times New Roman" w:hAnsi="Garamond" w:cs="Times New Roman"/>
                <w:sz w:val="10"/>
                <w:szCs w:val="10"/>
              </w:rPr>
              <w:t>bashkëjetesës</w:t>
            </w:r>
            <w:r w:rsidR="008C7870"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19. Popullsia sipas statusit të punësimit, profesionit, orëve të punës, industrisë ku punojnë, vendndodhjes së punës, kohës së vajtjes në punë, llojit të transportit për të shkuar në punë</w:t>
            </w:r>
            <w:r w:rsidR="008C7870"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20. Popullsia sipas vendbanimit të zakonshëm të NjEF</w:t>
            </w:r>
            <w:r w:rsidR="008C7870" w:rsidRPr="00B31292">
              <w:rPr>
                <w:rFonts w:ascii="Garamond" w:eastAsia="Times New Roman" w:hAnsi="Garamond" w:cs="Times New Roman"/>
                <w:sz w:val="10"/>
                <w:szCs w:val="10"/>
              </w:rPr>
              <w:t>-ve</w:t>
            </w:r>
            <w:r w:rsidRPr="00B31292">
              <w:rPr>
                <w:rFonts w:ascii="Garamond" w:eastAsia="Times New Roman" w:hAnsi="Garamond" w:cs="Times New Roman"/>
                <w:sz w:val="10"/>
                <w:szCs w:val="10"/>
              </w:rPr>
              <w:t xml:space="preserve"> private në banesa të zakonshme ose jo të zakonshme, si dhe të NjEF</w:t>
            </w:r>
            <w:r w:rsidR="008C7870" w:rsidRPr="00B31292">
              <w:rPr>
                <w:rFonts w:ascii="Garamond" w:eastAsia="Times New Roman" w:hAnsi="Garamond" w:cs="Times New Roman"/>
                <w:sz w:val="10"/>
                <w:szCs w:val="10"/>
              </w:rPr>
              <w:t>-ve</w:t>
            </w:r>
            <w:r w:rsidRPr="00B31292">
              <w:rPr>
                <w:rFonts w:ascii="Garamond" w:eastAsia="Times New Roman" w:hAnsi="Garamond" w:cs="Times New Roman"/>
                <w:sz w:val="10"/>
                <w:szCs w:val="10"/>
              </w:rPr>
              <w:t xml:space="preserve"> </w:t>
            </w:r>
            <w:r w:rsidRPr="00B31292">
              <w:rPr>
                <w:rFonts w:ascii="Garamond" w:eastAsia="Times New Roman" w:hAnsi="Garamond" w:cs="Times New Roman"/>
                <w:sz w:val="10"/>
                <w:szCs w:val="10"/>
              </w:rPr>
              <w:lastRenderedPageBreak/>
              <w:t>kolektive në banesa kolektive</w:t>
            </w:r>
            <w:r w:rsidR="008C7870"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21. Popullsia sipas vendlindjes, shtetësisë dhe vendbanimit të zakonshëm</w:t>
            </w:r>
            <w:r w:rsidR="008C7870" w:rsidRPr="00B31292">
              <w:rPr>
                <w:rFonts w:ascii="Garamond" w:eastAsia="Times New Roman" w:hAnsi="Garamond" w:cs="Times New Roman"/>
                <w:sz w:val="10"/>
                <w:szCs w:val="10"/>
              </w:rPr>
              <w:t>.</w:t>
            </w:r>
          </w:p>
        </w:tc>
        <w:tc>
          <w:tcPr>
            <w:tcW w:w="299" w:type="pct"/>
            <w:tcBorders>
              <w:top w:val="nil"/>
              <w:left w:val="nil"/>
              <w:bottom w:val="single" w:sz="4" w:space="0" w:color="000000"/>
              <w:right w:val="nil"/>
            </w:tcBorders>
            <w:shd w:val="clear" w:color="000000" w:fill="FFFFFF"/>
            <w:vAlign w:val="center"/>
            <w:hideMark/>
          </w:tcPr>
          <w:p w14:paraId="2A07E88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lastRenderedPageBreak/>
              <w:t>Instituti i Statistikave</w:t>
            </w:r>
          </w:p>
        </w:tc>
        <w:tc>
          <w:tcPr>
            <w:tcW w:w="224" w:type="pct"/>
            <w:tcBorders>
              <w:top w:val="nil"/>
              <w:left w:val="single" w:sz="4" w:space="0" w:color="auto"/>
              <w:bottom w:val="single" w:sz="4" w:space="0" w:color="auto"/>
              <w:right w:val="single" w:sz="4" w:space="0" w:color="auto"/>
            </w:tcBorders>
            <w:shd w:val="clear" w:color="000000" w:fill="FFFFFF"/>
            <w:vAlign w:val="center"/>
            <w:hideMark/>
          </w:tcPr>
          <w:p w14:paraId="0C702AC2" w14:textId="3C7E5893"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8C7870" w:rsidRPr="00B31292">
              <w:rPr>
                <w:rFonts w:ascii="Garamond" w:eastAsia="Times New Roman" w:hAnsi="Garamond" w:cs="Times New Roman"/>
                <w:color w:val="000000"/>
                <w:sz w:val="10"/>
                <w:szCs w:val="10"/>
              </w:rPr>
              <w:t>-i</w:t>
            </w:r>
          </w:p>
        </w:tc>
        <w:tc>
          <w:tcPr>
            <w:tcW w:w="244" w:type="pct"/>
            <w:tcBorders>
              <w:top w:val="nil"/>
              <w:left w:val="nil"/>
              <w:bottom w:val="single" w:sz="4" w:space="0" w:color="auto"/>
              <w:right w:val="single" w:sz="4" w:space="0" w:color="auto"/>
            </w:tcBorders>
            <w:shd w:val="clear" w:color="000000" w:fill="FFFFFF"/>
            <w:vAlign w:val="center"/>
            <w:hideMark/>
          </w:tcPr>
          <w:p w14:paraId="4625124B"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20" w:type="pct"/>
            <w:tcBorders>
              <w:top w:val="nil"/>
              <w:left w:val="nil"/>
              <w:bottom w:val="single" w:sz="4" w:space="0" w:color="auto"/>
              <w:right w:val="single" w:sz="4" w:space="0" w:color="auto"/>
            </w:tcBorders>
            <w:shd w:val="clear" w:color="000000" w:fill="FFFFFF"/>
            <w:vAlign w:val="center"/>
            <w:hideMark/>
          </w:tcPr>
          <w:p w14:paraId="173B9B78"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Nëntor 2025</w:t>
            </w:r>
          </w:p>
        </w:tc>
        <w:tc>
          <w:tcPr>
            <w:tcW w:w="220" w:type="pct"/>
            <w:tcBorders>
              <w:top w:val="nil"/>
              <w:left w:val="nil"/>
              <w:bottom w:val="single" w:sz="4" w:space="0" w:color="auto"/>
              <w:right w:val="single" w:sz="4" w:space="0" w:color="auto"/>
            </w:tcBorders>
            <w:shd w:val="clear" w:color="000000" w:fill="FFFFFF"/>
            <w:vAlign w:val="center"/>
            <w:hideMark/>
          </w:tcPr>
          <w:p w14:paraId="64C8045D"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31 Dhjetor 2025</w:t>
            </w:r>
          </w:p>
        </w:tc>
        <w:tc>
          <w:tcPr>
            <w:tcW w:w="346" w:type="pct"/>
            <w:tcBorders>
              <w:top w:val="nil"/>
              <w:left w:val="nil"/>
              <w:bottom w:val="single" w:sz="4" w:space="0" w:color="auto"/>
              <w:right w:val="single" w:sz="4" w:space="0" w:color="auto"/>
            </w:tcBorders>
            <w:shd w:val="clear" w:color="000000" w:fill="FFFFFF"/>
            <w:vAlign w:val="center"/>
            <w:hideMark/>
          </w:tcPr>
          <w:p w14:paraId="685C3F58" w14:textId="146A5594"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1. Sulmet kibernetike-|- 7</w:t>
            </w:r>
            <w:r w:rsidRPr="00B31292">
              <w:rPr>
                <w:rFonts w:ascii="Garamond" w:eastAsia="Times New Roman" w:hAnsi="Garamond" w:cs="Times New Roman"/>
                <w:color w:val="000000"/>
                <w:sz w:val="10"/>
                <w:szCs w:val="10"/>
              </w:rPr>
              <w:br/>
              <w:t xml:space="preserve">2. </w:t>
            </w:r>
            <w:r w:rsidR="00FD245C" w:rsidRPr="00B31292">
              <w:rPr>
                <w:rFonts w:ascii="Garamond" w:eastAsia="Times New Roman" w:hAnsi="Garamond" w:cs="Times New Roman"/>
                <w:color w:val="000000"/>
                <w:sz w:val="10"/>
                <w:szCs w:val="10"/>
              </w:rPr>
              <w:t>Lëvizja</w:t>
            </w:r>
            <w:r w:rsidRPr="00B31292">
              <w:rPr>
                <w:rFonts w:ascii="Garamond" w:eastAsia="Times New Roman" w:hAnsi="Garamond" w:cs="Times New Roman"/>
                <w:color w:val="000000"/>
                <w:sz w:val="10"/>
                <w:szCs w:val="10"/>
              </w:rPr>
              <w:t xml:space="preserve"> e stafit -|- 5</w:t>
            </w:r>
            <w:r w:rsidRPr="00B31292">
              <w:rPr>
                <w:rFonts w:ascii="Garamond" w:eastAsia="Times New Roman" w:hAnsi="Garamond" w:cs="Times New Roman"/>
                <w:color w:val="000000"/>
                <w:sz w:val="10"/>
                <w:szCs w:val="10"/>
              </w:rPr>
              <w:br/>
            </w:r>
          </w:p>
        </w:tc>
        <w:tc>
          <w:tcPr>
            <w:tcW w:w="273" w:type="pct"/>
            <w:tcBorders>
              <w:top w:val="nil"/>
              <w:left w:val="nil"/>
              <w:bottom w:val="single" w:sz="4" w:space="0" w:color="auto"/>
              <w:right w:val="single" w:sz="4" w:space="0" w:color="auto"/>
            </w:tcBorders>
            <w:shd w:val="clear" w:color="000000" w:fill="FFFFFF"/>
            <w:vAlign w:val="center"/>
            <w:hideMark/>
          </w:tcPr>
          <w:p w14:paraId="35F711D3" w14:textId="38B5B68B"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 Kombinuar (</w:t>
            </w:r>
            <w:r w:rsidR="00C23C70" w:rsidRPr="00B31292">
              <w:rPr>
                <w:rFonts w:ascii="Garamond" w:eastAsia="Times New Roman" w:hAnsi="Garamond" w:cs="Times New Roman"/>
                <w:color w:val="000000"/>
                <w:sz w:val="10"/>
                <w:szCs w:val="10"/>
              </w:rPr>
              <w:t>buxhet shteti + donatorët</w:t>
            </w:r>
            <w:r w:rsidRPr="00B31292">
              <w:rPr>
                <w:rFonts w:ascii="Garamond" w:eastAsia="Times New Roman" w:hAnsi="Garamond" w:cs="Times New Roman"/>
                <w:color w:val="000000"/>
                <w:sz w:val="10"/>
                <w:szCs w:val="10"/>
              </w:rPr>
              <w:t>)</w:t>
            </w:r>
          </w:p>
        </w:tc>
      </w:tr>
      <w:tr w:rsidR="000A2254" w:rsidRPr="00B31292" w14:paraId="7B86030F" w14:textId="77777777" w:rsidTr="000A2254">
        <w:trPr>
          <w:trHeight w:val="20"/>
        </w:trPr>
        <w:tc>
          <w:tcPr>
            <w:tcW w:w="215" w:type="pct"/>
            <w:tcBorders>
              <w:top w:val="nil"/>
              <w:left w:val="nil"/>
              <w:bottom w:val="nil"/>
              <w:right w:val="nil"/>
            </w:tcBorders>
            <w:shd w:val="clear" w:color="000000" w:fill="FFFFFF"/>
            <w:vAlign w:val="bottom"/>
            <w:hideMark/>
          </w:tcPr>
          <w:p w14:paraId="06DAA46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0CE157D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3BF284F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61E4506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0EEE24C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61052B6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000000"/>
              <w:bottom w:val="nil"/>
              <w:right w:val="single" w:sz="4" w:space="0" w:color="000000"/>
            </w:tcBorders>
            <w:shd w:val="clear" w:color="000000" w:fill="FFFFFF"/>
            <w:vAlign w:val="center"/>
            <w:hideMark/>
          </w:tcPr>
          <w:p w14:paraId="1E5ECABD"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1.1.2.2</w:t>
            </w:r>
          </w:p>
        </w:tc>
        <w:tc>
          <w:tcPr>
            <w:tcW w:w="281" w:type="pct"/>
            <w:tcBorders>
              <w:top w:val="nil"/>
              <w:left w:val="nil"/>
              <w:bottom w:val="nil"/>
              <w:right w:val="single" w:sz="4" w:space="0" w:color="000000"/>
            </w:tcBorders>
            <w:shd w:val="clear" w:color="000000" w:fill="FFFFFF"/>
            <w:vAlign w:val="center"/>
            <w:hideMark/>
          </w:tcPr>
          <w:p w14:paraId="3594709B"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Statistikat e azilit dhe të huajve</w:t>
            </w:r>
          </w:p>
        </w:tc>
        <w:tc>
          <w:tcPr>
            <w:tcW w:w="236" w:type="pct"/>
            <w:tcBorders>
              <w:top w:val="nil"/>
              <w:left w:val="nil"/>
              <w:bottom w:val="nil"/>
              <w:right w:val="single" w:sz="4" w:space="0" w:color="000000"/>
            </w:tcBorders>
            <w:shd w:val="clear" w:color="000000" w:fill="FFFFFF"/>
            <w:vAlign w:val="center"/>
            <w:hideMark/>
          </w:tcPr>
          <w:p w14:paraId="1AB0A9C7"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38" w:type="pct"/>
            <w:tcBorders>
              <w:top w:val="nil"/>
              <w:left w:val="nil"/>
              <w:bottom w:val="single" w:sz="4" w:space="0" w:color="auto"/>
              <w:right w:val="single" w:sz="4" w:space="0" w:color="auto"/>
            </w:tcBorders>
            <w:shd w:val="clear" w:color="000000" w:fill="FFFFFF"/>
            <w:noWrap/>
            <w:vAlign w:val="center"/>
            <w:hideMark/>
          </w:tcPr>
          <w:p w14:paraId="066DE501"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180" w:type="pct"/>
            <w:tcBorders>
              <w:top w:val="nil"/>
              <w:left w:val="nil"/>
              <w:bottom w:val="single" w:sz="4" w:space="0" w:color="auto"/>
              <w:right w:val="single" w:sz="4" w:space="0" w:color="auto"/>
            </w:tcBorders>
            <w:shd w:val="clear" w:color="000000" w:fill="FFFFFF"/>
            <w:noWrap/>
            <w:vAlign w:val="center"/>
            <w:hideMark/>
          </w:tcPr>
          <w:p w14:paraId="40F70332"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28" w:type="pct"/>
            <w:tcBorders>
              <w:top w:val="nil"/>
              <w:left w:val="nil"/>
              <w:bottom w:val="single" w:sz="4" w:space="0" w:color="auto"/>
              <w:right w:val="single" w:sz="4" w:space="0" w:color="auto"/>
            </w:tcBorders>
            <w:shd w:val="clear" w:color="000000" w:fill="FFFFFF"/>
            <w:vAlign w:val="center"/>
            <w:hideMark/>
          </w:tcPr>
          <w:p w14:paraId="5F4278F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22" w:type="pct"/>
            <w:tcBorders>
              <w:top w:val="nil"/>
              <w:left w:val="nil"/>
              <w:bottom w:val="nil"/>
              <w:right w:val="single" w:sz="4" w:space="0" w:color="000000"/>
            </w:tcBorders>
            <w:shd w:val="clear" w:color="000000" w:fill="FFFFFF"/>
            <w:vAlign w:val="center"/>
            <w:hideMark/>
          </w:tcPr>
          <w:p w14:paraId="142799D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486" w:type="pct"/>
            <w:tcBorders>
              <w:top w:val="nil"/>
              <w:left w:val="nil"/>
              <w:bottom w:val="nil"/>
              <w:right w:val="single" w:sz="4" w:space="0" w:color="auto"/>
            </w:tcBorders>
            <w:shd w:val="clear" w:color="000000" w:fill="FFFFFF"/>
            <w:vAlign w:val="center"/>
            <w:hideMark/>
          </w:tcPr>
          <w:p w14:paraId="4E45751E"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99" w:type="pct"/>
            <w:tcBorders>
              <w:top w:val="nil"/>
              <w:left w:val="nil"/>
              <w:bottom w:val="nil"/>
              <w:right w:val="nil"/>
            </w:tcBorders>
            <w:shd w:val="clear" w:color="000000" w:fill="FFFFFF"/>
            <w:vAlign w:val="center"/>
            <w:hideMark/>
          </w:tcPr>
          <w:p w14:paraId="59AAD99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24" w:type="pct"/>
            <w:tcBorders>
              <w:top w:val="nil"/>
              <w:left w:val="single" w:sz="4" w:space="0" w:color="auto"/>
              <w:bottom w:val="nil"/>
              <w:right w:val="single" w:sz="4" w:space="0" w:color="auto"/>
            </w:tcBorders>
            <w:shd w:val="clear" w:color="000000" w:fill="FFFFFF"/>
            <w:vAlign w:val="center"/>
            <w:hideMark/>
          </w:tcPr>
          <w:p w14:paraId="0A6A399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44" w:type="pct"/>
            <w:tcBorders>
              <w:top w:val="nil"/>
              <w:left w:val="nil"/>
              <w:bottom w:val="nil"/>
              <w:right w:val="single" w:sz="4" w:space="0" w:color="auto"/>
            </w:tcBorders>
            <w:shd w:val="clear" w:color="000000" w:fill="FFFFFF"/>
            <w:vAlign w:val="center"/>
            <w:hideMark/>
          </w:tcPr>
          <w:p w14:paraId="2830377D"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20" w:type="pct"/>
            <w:tcBorders>
              <w:top w:val="nil"/>
              <w:left w:val="nil"/>
              <w:bottom w:val="nil"/>
              <w:right w:val="single" w:sz="4" w:space="0" w:color="auto"/>
            </w:tcBorders>
            <w:shd w:val="clear" w:color="000000" w:fill="FFFFFF"/>
            <w:vAlign w:val="center"/>
            <w:hideMark/>
          </w:tcPr>
          <w:p w14:paraId="5CCD83E2"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20" w:type="pct"/>
            <w:tcBorders>
              <w:top w:val="nil"/>
              <w:left w:val="nil"/>
              <w:bottom w:val="nil"/>
              <w:right w:val="single" w:sz="4" w:space="0" w:color="auto"/>
            </w:tcBorders>
            <w:shd w:val="clear" w:color="000000" w:fill="FFFFFF"/>
            <w:vAlign w:val="center"/>
            <w:hideMark/>
          </w:tcPr>
          <w:p w14:paraId="53496E42"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346" w:type="pct"/>
            <w:tcBorders>
              <w:top w:val="nil"/>
              <w:left w:val="nil"/>
              <w:bottom w:val="single" w:sz="4" w:space="0" w:color="auto"/>
              <w:right w:val="single" w:sz="4" w:space="0" w:color="auto"/>
            </w:tcBorders>
            <w:shd w:val="clear" w:color="000000" w:fill="FFFFFF"/>
            <w:vAlign w:val="center"/>
            <w:hideMark/>
          </w:tcPr>
          <w:p w14:paraId="4317CF2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73" w:type="pct"/>
            <w:tcBorders>
              <w:top w:val="nil"/>
              <w:left w:val="nil"/>
              <w:bottom w:val="single" w:sz="4" w:space="0" w:color="auto"/>
              <w:right w:val="single" w:sz="4" w:space="0" w:color="auto"/>
            </w:tcBorders>
            <w:shd w:val="clear" w:color="000000" w:fill="FFFFFF"/>
            <w:vAlign w:val="center"/>
            <w:hideMark/>
          </w:tcPr>
          <w:p w14:paraId="03735B6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r>
      <w:tr w:rsidR="000A2254" w:rsidRPr="00B31292" w14:paraId="1863FCE8" w14:textId="77777777" w:rsidTr="000A2254">
        <w:trPr>
          <w:trHeight w:val="20"/>
        </w:trPr>
        <w:tc>
          <w:tcPr>
            <w:tcW w:w="215" w:type="pct"/>
            <w:tcBorders>
              <w:top w:val="nil"/>
              <w:left w:val="nil"/>
              <w:bottom w:val="nil"/>
              <w:right w:val="nil"/>
            </w:tcBorders>
            <w:shd w:val="clear" w:color="000000" w:fill="FFFFFF"/>
            <w:vAlign w:val="center"/>
            <w:hideMark/>
          </w:tcPr>
          <w:p w14:paraId="5F3060B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center"/>
            <w:hideMark/>
          </w:tcPr>
          <w:p w14:paraId="5DFA451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center"/>
            <w:hideMark/>
          </w:tcPr>
          <w:p w14:paraId="65392E3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center"/>
            <w:hideMark/>
          </w:tcPr>
          <w:p w14:paraId="5DAEC9E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center"/>
            <w:hideMark/>
          </w:tcPr>
          <w:p w14:paraId="158549B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center"/>
            <w:hideMark/>
          </w:tcPr>
          <w:p w14:paraId="3568AE7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F90629"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1.1.2.2.1</w:t>
            </w:r>
          </w:p>
        </w:tc>
        <w:tc>
          <w:tcPr>
            <w:tcW w:w="281" w:type="pct"/>
            <w:tcBorders>
              <w:top w:val="single" w:sz="4" w:space="0" w:color="auto"/>
              <w:left w:val="nil"/>
              <w:bottom w:val="single" w:sz="4" w:space="0" w:color="auto"/>
              <w:right w:val="single" w:sz="4" w:space="0" w:color="auto"/>
            </w:tcBorders>
            <w:shd w:val="clear" w:color="000000" w:fill="FFFFFF"/>
            <w:vAlign w:val="center"/>
            <w:hideMark/>
          </w:tcPr>
          <w:p w14:paraId="6B6E15F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Statistikat e Azilit</w:t>
            </w:r>
          </w:p>
        </w:tc>
        <w:tc>
          <w:tcPr>
            <w:tcW w:w="236" w:type="pct"/>
            <w:tcBorders>
              <w:top w:val="single" w:sz="4" w:space="0" w:color="000000"/>
              <w:left w:val="nil"/>
              <w:bottom w:val="nil"/>
              <w:right w:val="single" w:sz="4" w:space="0" w:color="000000"/>
            </w:tcBorders>
            <w:shd w:val="clear" w:color="000000" w:fill="FFFFFF"/>
            <w:vAlign w:val="center"/>
            <w:hideMark/>
          </w:tcPr>
          <w:p w14:paraId="794D2148"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Burim administrativ</w:t>
            </w:r>
          </w:p>
        </w:tc>
        <w:tc>
          <w:tcPr>
            <w:tcW w:w="238" w:type="pct"/>
            <w:tcBorders>
              <w:top w:val="nil"/>
              <w:left w:val="nil"/>
              <w:bottom w:val="single" w:sz="4" w:space="0" w:color="auto"/>
              <w:right w:val="single" w:sz="4" w:space="0" w:color="auto"/>
            </w:tcBorders>
            <w:shd w:val="clear" w:color="000000" w:fill="FFFFFF"/>
            <w:noWrap/>
            <w:vAlign w:val="center"/>
            <w:hideMark/>
          </w:tcPr>
          <w:p w14:paraId="1F02B9E0"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180" w:type="pct"/>
            <w:tcBorders>
              <w:top w:val="nil"/>
              <w:left w:val="nil"/>
              <w:bottom w:val="single" w:sz="4" w:space="0" w:color="auto"/>
              <w:right w:val="single" w:sz="4" w:space="0" w:color="auto"/>
            </w:tcBorders>
            <w:shd w:val="clear" w:color="000000" w:fill="FFFFFF"/>
            <w:noWrap/>
            <w:vAlign w:val="center"/>
            <w:hideMark/>
          </w:tcPr>
          <w:p w14:paraId="46A17D72"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28" w:type="pct"/>
            <w:tcBorders>
              <w:top w:val="nil"/>
              <w:left w:val="nil"/>
              <w:bottom w:val="single" w:sz="4" w:space="0" w:color="auto"/>
              <w:right w:val="single" w:sz="4" w:space="0" w:color="auto"/>
            </w:tcBorders>
            <w:shd w:val="clear" w:color="000000" w:fill="FFFFFF"/>
            <w:vAlign w:val="center"/>
            <w:hideMark/>
          </w:tcPr>
          <w:p w14:paraId="3C566BA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tcBorders>
              <w:top w:val="single" w:sz="4" w:space="0" w:color="000000"/>
              <w:left w:val="nil"/>
              <w:bottom w:val="nil"/>
              <w:right w:val="single" w:sz="4" w:space="0" w:color="000000"/>
            </w:tcBorders>
            <w:shd w:val="clear" w:color="000000" w:fill="FFFFFF"/>
            <w:vAlign w:val="center"/>
            <w:hideMark/>
          </w:tcPr>
          <w:p w14:paraId="5A6D05C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Vjetor</w:t>
            </w:r>
          </w:p>
        </w:tc>
        <w:tc>
          <w:tcPr>
            <w:tcW w:w="486" w:type="pct"/>
            <w:tcBorders>
              <w:top w:val="single" w:sz="4" w:space="0" w:color="auto"/>
              <w:left w:val="nil"/>
              <w:bottom w:val="nil"/>
              <w:right w:val="single" w:sz="4" w:space="0" w:color="auto"/>
            </w:tcBorders>
            <w:shd w:val="clear" w:color="000000" w:fill="FFFFFF"/>
            <w:vAlign w:val="center"/>
            <w:hideMark/>
          </w:tcPr>
          <w:p w14:paraId="2383F698" w14:textId="68881872"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br/>
              <w:t>1. Numri i azilkërkuesve në Shqipëri</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 Azilkërkuesit sipas gjinisë</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 Azilkërkuesit sipas vendit të origjinës</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4. Fitimi dhe lënia e shtetësisë shqiptare</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5. Fitimi i shtetësisë </w:t>
            </w:r>
            <w:r w:rsidR="008C7870" w:rsidRPr="00B31292">
              <w:rPr>
                <w:rFonts w:ascii="Garamond" w:eastAsia="Times New Roman" w:hAnsi="Garamond" w:cs="Times New Roman"/>
                <w:color w:val="000000"/>
                <w:sz w:val="10"/>
                <w:szCs w:val="10"/>
              </w:rPr>
              <w:t>s</w:t>
            </w:r>
            <w:r w:rsidRPr="00B31292">
              <w:rPr>
                <w:rFonts w:ascii="Garamond" w:eastAsia="Times New Roman" w:hAnsi="Garamond" w:cs="Times New Roman"/>
                <w:color w:val="000000"/>
                <w:sz w:val="10"/>
                <w:szCs w:val="10"/>
              </w:rPr>
              <w:t>hqiptare sipas vendit të origjinës</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6. Fitimi dhe lënia e shtetësisë </w:t>
            </w:r>
            <w:r w:rsidR="008C7870" w:rsidRPr="00B31292">
              <w:rPr>
                <w:rFonts w:ascii="Garamond" w:eastAsia="Times New Roman" w:hAnsi="Garamond" w:cs="Times New Roman"/>
                <w:color w:val="000000"/>
                <w:sz w:val="10"/>
                <w:szCs w:val="10"/>
              </w:rPr>
              <w:t>s</w:t>
            </w:r>
            <w:r w:rsidRPr="00B31292">
              <w:rPr>
                <w:rFonts w:ascii="Garamond" w:eastAsia="Times New Roman" w:hAnsi="Garamond" w:cs="Times New Roman"/>
                <w:color w:val="000000"/>
                <w:sz w:val="10"/>
                <w:szCs w:val="10"/>
              </w:rPr>
              <w:t>hqiptare, sipas grup-moshës</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7. Kërkesat për azil sipas muajit</w:t>
            </w:r>
            <w:r w:rsidR="008C7870" w:rsidRPr="00B31292">
              <w:rPr>
                <w:rFonts w:ascii="Garamond" w:eastAsia="Times New Roman" w:hAnsi="Garamond" w:cs="Times New Roman"/>
                <w:color w:val="000000"/>
                <w:sz w:val="10"/>
                <w:szCs w:val="10"/>
              </w:rPr>
              <w:t>.</w:t>
            </w:r>
          </w:p>
        </w:tc>
        <w:tc>
          <w:tcPr>
            <w:tcW w:w="299" w:type="pct"/>
            <w:tcBorders>
              <w:top w:val="single" w:sz="4" w:space="0" w:color="auto"/>
              <w:left w:val="nil"/>
              <w:bottom w:val="single" w:sz="4" w:space="0" w:color="auto"/>
              <w:right w:val="single" w:sz="4" w:space="0" w:color="auto"/>
            </w:tcBorders>
            <w:shd w:val="clear" w:color="000000" w:fill="FFFFFF"/>
            <w:vAlign w:val="center"/>
            <w:hideMark/>
          </w:tcPr>
          <w:p w14:paraId="1897E16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 Ministria e Brendshme</w:t>
            </w:r>
          </w:p>
        </w:tc>
        <w:tc>
          <w:tcPr>
            <w:tcW w:w="224" w:type="pct"/>
            <w:tcBorders>
              <w:top w:val="single" w:sz="4" w:space="0" w:color="auto"/>
              <w:left w:val="nil"/>
              <w:bottom w:val="single" w:sz="4" w:space="0" w:color="auto"/>
              <w:right w:val="single" w:sz="4" w:space="0" w:color="auto"/>
            </w:tcBorders>
            <w:shd w:val="clear" w:color="000000" w:fill="FFFFFF"/>
            <w:vAlign w:val="center"/>
            <w:hideMark/>
          </w:tcPr>
          <w:p w14:paraId="15AE6756" w14:textId="54BC6083"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8C7870" w:rsidRPr="00B31292">
              <w:rPr>
                <w:rFonts w:ascii="Garamond" w:eastAsia="Times New Roman" w:hAnsi="Garamond" w:cs="Times New Roman"/>
                <w:color w:val="000000"/>
                <w:sz w:val="10"/>
                <w:szCs w:val="10"/>
              </w:rPr>
              <w:t>-i</w:t>
            </w:r>
          </w:p>
        </w:tc>
        <w:tc>
          <w:tcPr>
            <w:tcW w:w="244" w:type="pct"/>
            <w:tcBorders>
              <w:top w:val="single" w:sz="4" w:space="0" w:color="auto"/>
              <w:left w:val="nil"/>
              <w:bottom w:val="single" w:sz="4" w:space="0" w:color="auto"/>
              <w:right w:val="single" w:sz="4" w:space="0" w:color="auto"/>
            </w:tcBorders>
            <w:shd w:val="clear" w:color="000000" w:fill="FFFFFF"/>
            <w:vAlign w:val="center"/>
            <w:hideMark/>
          </w:tcPr>
          <w:p w14:paraId="5EBF15F2"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+ 153 D</w:t>
            </w:r>
          </w:p>
        </w:tc>
        <w:tc>
          <w:tcPr>
            <w:tcW w:w="220" w:type="pct"/>
            <w:tcBorders>
              <w:top w:val="single" w:sz="4" w:space="0" w:color="auto"/>
              <w:left w:val="nil"/>
              <w:bottom w:val="single" w:sz="4" w:space="0" w:color="auto"/>
              <w:right w:val="single" w:sz="4" w:space="0" w:color="auto"/>
            </w:tcBorders>
            <w:shd w:val="clear" w:color="000000" w:fill="FFFFFF"/>
            <w:vAlign w:val="center"/>
            <w:hideMark/>
          </w:tcPr>
          <w:p w14:paraId="63B9DE99"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+ 174 D</w:t>
            </w:r>
          </w:p>
        </w:tc>
        <w:tc>
          <w:tcPr>
            <w:tcW w:w="220" w:type="pct"/>
            <w:tcBorders>
              <w:top w:val="single" w:sz="4" w:space="0" w:color="auto"/>
              <w:left w:val="nil"/>
              <w:bottom w:val="single" w:sz="4" w:space="0" w:color="auto"/>
              <w:right w:val="single" w:sz="4" w:space="0" w:color="auto"/>
            </w:tcBorders>
            <w:shd w:val="clear" w:color="000000" w:fill="FFFFFF"/>
            <w:vAlign w:val="center"/>
            <w:hideMark/>
          </w:tcPr>
          <w:p w14:paraId="6C9D6CD2"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+ 185 D</w:t>
            </w:r>
          </w:p>
        </w:tc>
        <w:tc>
          <w:tcPr>
            <w:tcW w:w="346" w:type="pct"/>
            <w:tcBorders>
              <w:top w:val="nil"/>
              <w:left w:val="nil"/>
              <w:bottom w:val="single" w:sz="4" w:space="0" w:color="auto"/>
              <w:right w:val="single" w:sz="4" w:space="0" w:color="auto"/>
            </w:tcBorders>
            <w:shd w:val="clear" w:color="000000" w:fill="FFFFFF"/>
            <w:vAlign w:val="center"/>
            <w:hideMark/>
          </w:tcPr>
          <w:p w14:paraId="6E649AF0" w14:textId="481EB74A"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Vonesa në procesin e grumbullimit të të dhënave nga burimet administrative -|- 3</w:t>
            </w:r>
            <w:r w:rsidRPr="00B31292">
              <w:rPr>
                <w:rFonts w:ascii="Garamond" w:eastAsia="Times New Roman" w:hAnsi="Garamond" w:cs="Times New Roman"/>
                <w:color w:val="000000"/>
                <w:sz w:val="10"/>
                <w:szCs w:val="10"/>
              </w:rPr>
              <w:br/>
              <w:t>2. Mospërmbushja e kritereve të cilësisë</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si: saktësia, përpikmëria dhe krahasueshmëria, për të dhënat administrative -|- 3</w:t>
            </w:r>
          </w:p>
        </w:tc>
        <w:tc>
          <w:tcPr>
            <w:tcW w:w="273" w:type="pct"/>
            <w:tcBorders>
              <w:top w:val="nil"/>
              <w:left w:val="nil"/>
              <w:bottom w:val="single" w:sz="4" w:space="0" w:color="auto"/>
              <w:right w:val="single" w:sz="4" w:space="0" w:color="auto"/>
            </w:tcBorders>
            <w:shd w:val="clear" w:color="000000" w:fill="FFFFFF"/>
            <w:vAlign w:val="center"/>
            <w:hideMark/>
          </w:tcPr>
          <w:p w14:paraId="2498E3B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Buxhet shteti</w:t>
            </w:r>
          </w:p>
        </w:tc>
      </w:tr>
      <w:tr w:rsidR="000A2254" w:rsidRPr="00B31292" w14:paraId="7095646D" w14:textId="77777777" w:rsidTr="000A2254">
        <w:trPr>
          <w:trHeight w:val="20"/>
        </w:trPr>
        <w:tc>
          <w:tcPr>
            <w:tcW w:w="215" w:type="pct"/>
            <w:tcBorders>
              <w:top w:val="nil"/>
              <w:left w:val="nil"/>
              <w:bottom w:val="nil"/>
              <w:right w:val="nil"/>
            </w:tcBorders>
            <w:shd w:val="clear" w:color="000000" w:fill="FFFFFF"/>
            <w:vAlign w:val="center"/>
            <w:hideMark/>
          </w:tcPr>
          <w:p w14:paraId="4EEA109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center"/>
            <w:hideMark/>
          </w:tcPr>
          <w:p w14:paraId="048A850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center"/>
            <w:hideMark/>
          </w:tcPr>
          <w:p w14:paraId="511E757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center"/>
            <w:hideMark/>
          </w:tcPr>
          <w:p w14:paraId="188E711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center"/>
            <w:hideMark/>
          </w:tcPr>
          <w:p w14:paraId="2B944A2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center"/>
            <w:hideMark/>
          </w:tcPr>
          <w:p w14:paraId="72EE989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auto"/>
              <w:bottom w:val="single" w:sz="4" w:space="0" w:color="auto"/>
              <w:right w:val="single" w:sz="4" w:space="0" w:color="auto"/>
            </w:tcBorders>
            <w:shd w:val="clear" w:color="000000" w:fill="FFFFFF"/>
            <w:vAlign w:val="center"/>
            <w:hideMark/>
          </w:tcPr>
          <w:p w14:paraId="4661609A"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1.1.2.2.2</w:t>
            </w:r>
          </w:p>
        </w:tc>
        <w:tc>
          <w:tcPr>
            <w:tcW w:w="281" w:type="pct"/>
            <w:tcBorders>
              <w:top w:val="nil"/>
              <w:left w:val="nil"/>
              <w:bottom w:val="single" w:sz="4" w:space="0" w:color="auto"/>
              <w:right w:val="single" w:sz="4" w:space="0" w:color="auto"/>
            </w:tcBorders>
            <w:shd w:val="clear" w:color="000000" w:fill="FFFFFF"/>
            <w:vAlign w:val="center"/>
            <w:hideMark/>
          </w:tcPr>
          <w:p w14:paraId="20C3DC2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Statistikat e të huajve</w:t>
            </w:r>
          </w:p>
        </w:tc>
        <w:tc>
          <w:tcPr>
            <w:tcW w:w="236" w:type="pct"/>
            <w:tcBorders>
              <w:top w:val="single" w:sz="4" w:space="0" w:color="000000"/>
              <w:left w:val="nil"/>
              <w:bottom w:val="nil"/>
              <w:right w:val="single" w:sz="4" w:space="0" w:color="000000"/>
            </w:tcBorders>
            <w:shd w:val="clear" w:color="000000" w:fill="FFFFFF"/>
            <w:vAlign w:val="center"/>
            <w:hideMark/>
          </w:tcPr>
          <w:p w14:paraId="14E250DD"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Burim administrativ</w:t>
            </w:r>
          </w:p>
        </w:tc>
        <w:tc>
          <w:tcPr>
            <w:tcW w:w="238" w:type="pct"/>
            <w:tcBorders>
              <w:top w:val="nil"/>
              <w:left w:val="nil"/>
              <w:bottom w:val="single" w:sz="4" w:space="0" w:color="auto"/>
              <w:right w:val="single" w:sz="4" w:space="0" w:color="auto"/>
            </w:tcBorders>
            <w:shd w:val="clear" w:color="000000" w:fill="FFFFFF"/>
            <w:noWrap/>
            <w:vAlign w:val="center"/>
            <w:hideMark/>
          </w:tcPr>
          <w:p w14:paraId="4944EFB3"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180" w:type="pct"/>
            <w:tcBorders>
              <w:top w:val="nil"/>
              <w:left w:val="nil"/>
              <w:bottom w:val="single" w:sz="4" w:space="0" w:color="auto"/>
              <w:right w:val="single" w:sz="4" w:space="0" w:color="auto"/>
            </w:tcBorders>
            <w:shd w:val="clear" w:color="000000" w:fill="FFFFFF"/>
            <w:noWrap/>
            <w:vAlign w:val="center"/>
            <w:hideMark/>
          </w:tcPr>
          <w:p w14:paraId="74AC6F74"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28" w:type="pct"/>
            <w:tcBorders>
              <w:top w:val="nil"/>
              <w:left w:val="nil"/>
              <w:bottom w:val="single" w:sz="4" w:space="0" w:color="auto"/>
              <w:right w:val="single" w:sz="4" w:space="0" w:color="auto"/>
            </w:tcBorders>
            <w:shd w:val="clear" w:color="000000" w:fill="FFFFFF"/>
            <w:vAlign w:val="center"/>
            <w:hideMark/>
          </w:tcPr>
          <w:p w14:paraId="163CB5A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tcBorders>
              <w:top w:val="single" w:sz="4" w:space="0" w:color="000000"/>
              <w:left w:val="nil"/>
              <w:bottom w:val="nil"/>
              <w:right w:val="single" w:sz="4" w:space="0" w:color="000000"/>
            </w:tcBorders>
            <w:shd w:val="clear" w:color="000000" w:fill="FFFFFF"/>
            <w:vAlign w:val="center"/>
            <w:hideMark/>
          </w:tcPr>
          <w:p w14:paraId="3211423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Vjetor</w:t>
            </w:r>
          </w:p>
        </w:tc>
        <w:tc>
          <w:tcPr>
            <w:tcW w:w="486" w:type="pct"/>
            <w:tcBorders>
              <w:top w:val="single" w:sz="4" w:space="0" w:color="auto"/>
              <w:left w:val="nil"/>
              <w:bottom w:val="nil"/>
              <w:right w:val="single" w:sz="4" w:space="0" w:color="auto"/>
            </w:tcBorders>
            <w:shd w:val="clear" w:color="000000" w:fill="FFFFFF"/>
            <w:vAlign w:val="center"/>
            <w:hideMark/>
          </w:tcPr>
          <w:p w14:paraId="5B256E66" w14:textId="1D29F6D2"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Numri i të huajve me leje qëndrimi që jetojnë në Shqipëri</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 Të huajt me leje qëndrimi sipas grup-moshës dhe gjinisë</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 Aplikimet për leje qëndrimi sipas vendit të origjinës</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4. Aplikimet për leje qëndrimi në Shqipëri</w:t>
            </w:r>
            <w:r w:rsidR="008C7870"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sipas afatit të qëndrimit</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5. Të huajt me leje qëndrimi sipas vendit të origjinës/</w:t>
            </w:r>
            <w:r w:rsidR="008C7870"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kontinenteve</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6. Të huajt me leje qëndrimi sipas arsyes së aplikimit</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7. Të huajt me leje qëndrimi sipas arsyes</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8. Të huajt e parregullt sipas vendit të origjinës</w:t>
            </w:r>
            <w:r w:rsidR="008C7870" w:rsidRPr="00B31292">
              <w:rPr>
                <w:rFonts w:ascii="Garamond" w:eastAsia="Times New Roman" w:hAnsi="Garamond" w:cs="Times New Roman"/>
                <w:color w:val="000000"/>
                <w:sz w:val="10"/>
                <w:szCs w:val="10"/>
              </w:rPr>
              <w:t>.</w:t>
            </w:r>
          </w:p>
        </w:tc>
        <w:tc>
          <w:tcPr>
            <w:tcW w:w="299" w:type="pct"/>
            <w:tcBorders>
              <w:top w:val="nil"/>
              <w:left w:val="nil"/>
              <w:bottom w:val="single" w:sz="4" w:space="0" w:color="auto"/>
              <w:right w:val="single" w:sz="4" w:space="0" w:color="auto"/>
            </w:tcBorders>
            <w:shd w:val="clear" w:color="000000" w:fill="FFFFFF"/>
            <w:vAlign w:val="center"/>
            <w:hideMark/>
          </w:tcPr>
          <w:p w14:paraId="46093105" w14:textId="6F73EB41" w:rsidR="000A2254" w:rsidRPr="00B31292" w:rsidRDefault="000A2254" w:rsidP="003E16E0">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Drejtoria e Përgjithshme e Policisë</w:t>
            </w:r>
            <w:r w:rsidR="004D4EF5"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Drejtoria për Kufirin dhe Migracionin</w:t>
            </w:r>
          </w:p>
        </w:tc>
        <w:tc>
          <w:tcPr>
            <w:tcW w:w="224" w:type="pct"/>
            <w:tcBorders>
              <w:top w:val="nil"/>
              <w:left w:val="nil"/>
              <w:bottom w:val="single" w:sz="4" w:space="0" w:color="auto"/>
              <w:right w:val="single" w:sz="4" w:space="0" w:color="auto"/>
            </w:tcBorders>
            <w:shd w:val="clear" w:color="000000" w:fill="FFFFFF"/>
            <w:vAlign w:val="center"/>
            <w:hideMark/>
          </w:tcPr>
          <w:p w14:paraId="69AA7138" w14:textId="01BA0ABC"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8C7870" w:rsidRPr="00B31292">
              <w:rPr>
                <w:rFonts w:ascii="Garamond" w:eastAsia="Times New Roman" w:hAnsi="Garamond" w:cs="Times New Roman"/>
                <w:color w:val="000000"/>
                <w:sz w:val="10"/>
                <w:szCs w:val="10"/>
              </w:rPr>
              <w:t>-i</w:t>
            </w:r>
          </w:p>
        </w:tc>
        <w:tc>
          <w:tcPr>
            <w:tcW w:w="244" w:type="pct"/>
            <w:tcBorders>
              <w:top w:val="nil"/>
              <w:left w:val="nil"/>
              <w:bottom w:val="single" w:sz="4" w:space="0" w:color="auto"/>
              <w:right w:val="single" w:sz="4" w:space="0" w:color="auto"/>
            </w:tcBorders>
            <w:shd w:val="clear" w:color="000000" w:fill="FFFFFF"/>
            <w:vAlign w:val="center"/>
            <w:hideMark/>
          </w:tcPr>
          <w:p w14:paraId="4AC65A78"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+ 182 D</w:t>
            </w:r>
          </w:p>
        </w:tc>
        <w:tc>
          <w:tcPr>
            <w:tcW w:w="220" w:type="pct"/>
            <w:tcBorders>
              <w:top w:val="nil"/>
              <w:left w:val="nil"/>
              <w:bottom w:val="single" w:sz="4" w:space="0" w:color="auto"/>
              <w:right w:val="single" w:sz="4" w:space="0" w:color="auto"/>
            </w:tcBorders>
            <w:shd w:val="clear" w:color="000000" w:fill="FFFFFF"/>
            <w:vAlign w:val="center"/>
            <w:hideMark/>
          </w:tcPr>
          <w:p w14:paraId="3689815D"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+ 213 D</w:t>
            </w:r>
          </w:p>
        </w:tc>
        <w:tc>
          <w:tcPr>
            <w:tcW w:w="220" w:type="pct"/>
            <w:tcBorders>
              <w:top w:val="nil"/>
              <w:left w:val="nil"/>
              <w:bottom w:val="single" w:sz="4" w:space="0" w:color="auto"/>
              <w:right w:val="single" w:sz="4" w:space="0" w:color="auto"/>
            </w:tcBorders>
            <w:shd w:val="clear" w:color="000000" w:fill="FFFFFF"/>
            <w:vAlign w:val="center"/>
            <w:hideMark/>
          </w:tcPr>
          <w:p w14:paraId="5434A978"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+ 234 D</w:t>
            </w:r>
          </w:p>
        </w:tc>
        <w:tc>
          <w:tcPr>
            <w:tcW w:w="346" w:type="pct"/>
            <w:tcBorders>
              <w:top w:val="nil"/>
              <w:left w:val="nil"/>
              <w:bottom w:val="single" w:sz="4" w:space="0" w:color="auto"/>
              <w:right w:val="single" w:sz="4" w:space="0" w:color="auto"/>
            </w:tcBorders>
            <w:shd w:val="clear" w:color="000000" w:fill="FFFFFF"/>
            <w:vAlign w:val="center"/>
            <w:hideMark/>
          </w:tcPr>
          <w:p w14:paraId="035654E3" w14:textId="67BA3142"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Vonesa në procesin e grumbullimit të të dhënave nga burimet administrative -|- 3</w:t>
            </w:r>
            <w:r w:rsidRPr="00B31292">
              <w:rPr>
                <w:rFonts w:ascii="Garamond" w:eastAsia="Times New Roman" w:hAnsi="Garamond" w:cs="Times New Roman"/>
                <w:color w:val="000000"/>
                <w:sz w:val="10"/>
                <w:szCs w:val="10"/>
              </w:rPr>
              <w:br/>
              <w:t>2. Mospërmbushja e kritereve të cilësisë</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si: saktësia, përpikmëria dhe krahasueshmëria, për të dhënat administrative -|- 3</w:t>
            </w:r>
          </w:p>
        </w:tc>
        <w:tc>
          <w:tcPr>
            <w:tcW w:w="273" w:type="pct"/>
            <w:tcBorders>
              <w:top w:val="nil"/>
              <w:left w:val="nil"/>
              <w:bottom w:val="single" w:sz="4" w:space="0" w:color="auto"/>
              <w:right w:val="single" w:sz="4" w:space="0" w:color="auto"/>
            </w:tcBorders>
            <w:shd w:val="clear" w:color="000000" w:fill="FFFFFF"/>
            <w:vAlign w:val="center"/>
            <w:hideMark/>
          </w:tcPr>
          <w:p w14:paraId="2203385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Buxhet shteti</w:t>
            </w:r>
          </w:p>
        </w:tc>
      </w:tr>
      <w:tr w:rsidR="000A2254" w:rsidRPr="00B31292" w14:paraId="4CDD17E3" w14:textId="77777777" w:rsidTr="000A2254">
        <w:trPr>
          <w:trHeight w:val="20"/>
        </w:trPr>
        <w:tc>
          <w:tcPr>
            <w:tcW w:w="215" w:type="pct"/>
            <w:tcBorders>
              <w:top w:val="nil"/>
              <w:left w:val="nil"/>
              <w:bottom w:val="nil"/>
              <w:right w:val="nil"/>
            </w:tcBorders>
            <w:shd w:val="clear" w:color="000000" w:fill="FFFFFF"/>
            <w:vAlign w:val="bottom"/>
            <w:hideMark/>
          </w:tcPr>
          <w:p w14:paraId="2E3AAF5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1C65A5A7"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0290B39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04474D8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single" w:sz="4" w:space="0" w:color="000000"/>
              <w:left w:val="single" w:sz="4" w:space="0" w:color="000000"/>
              <w:bottom w:val="single" w:sz="4" w:space="0" w:color="000000"/>
              <w:right w:val="nil"/>
            </w:tcBorders>
            <w:shd w:val="clear" w:color="000000" w:fill="F0F0F0"/>
            <w:vAlign w:val="center"/>
            <w:hideMark/>
          </w:tcPr>
          <w:p w14:paraId="3E74FB93"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1.1.3</w:t>
            </w:r>
          </w:p>
        </w:tc>
        <w:tc>
          <w:tcPr>
            <w:tcW w:w="4082" w:type="pct"/>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28E3F93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Statistikat gjinore</w:t>
            </w:r>
          </w:p>
        </w:tc>
      </w:tr>
      <w:tr w:rsidR="000A2254" w:rsidRPr="00B31292" w14:paraId="60AD55F3" w14:textId="77777777" w:rsidTr="000A2254">
        <w:trPr>
          <w:trHeight w:val="20"/>
        </w:trPr>
        <w:tc>
          <w:tcPr>
            <w:tcW w:w="215" w:type="pct"/>
            <w:tcBorders>
              <w:top w:val="nil"/>
              <w:left w:val="nil"/>
              <w:bottom w:val="nil"/>
              <w:right w:val="nil"/>
            </w:tcBorders>
            <w:shd w:val="clear" w:color="000000" w:fill="FFFFFF"/>
            <w:vAlign w:val="bottom"/>
            <w:hideMark/>
          </w:tcPr>
          <w:p w14:paraId="58EA35E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2C23DCD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76DB840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5E6530F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6B159DD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3755674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vMerge w:val="restart"/>
            <w:tcBorders>
              <w:top w:val="nil"/>
              <w:left w:val="single" w:sz="4" w:space="0" w:color="auto"/>
              <w:bottom w:val="single" w:sz="4" w:space="0" w:color="000000"/>
              <w:right w:val="single" w:sz="4" w:space="0" w:color="auto"/>
            </w:tcBorders>
            <w:shd w:val="clear" w:color="auto" w:fill="auto"/>
            <w:vAlign w:val="center"/>
            <w:hideMark/>
          </w:tcPr>
          <w:p w14:paraId="6268A3F3"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1.1.3.1</w:t>
            </w:r>
          </w:p>
        </w:tc>
        <w:tc>
          <w:tcPr>
            <w:tcW w:w="281" w:type="pct"/>
            <w:vMerge w:val="restart"/>
            <w:tcBorders>
              <w:top w:val="nil"/>
              <w:left w:val="single" w:sz="4" w:space="0" w:color="auto"/>
              <w:bottom w:val="single" w:sz="4" w:space="0" w:color="000000"/>
              <w:right w:val="single" w:sz="4" w:space="0" w:color="auto"/>
            </w:tcBorders>
            <w:shd w:val="clear" w:color="auto" w:fill="auto"/>
            <w:vAlign w:val="center"/>
            <w:hideMark/>
          </w:tcPr>
          <w:p w14:paraId="63669D35"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Statistikat gjinore</w:t>
            </w:r>
          </w:p>
        </w:tc>
        <w:tc>
          <w:tcPr>
            <w:tcW w:w="236" w:type="pct"/>
            <w:vMerge w:val="restart"/>
            <w:tcBorders>
              <w:top w:val="nil"/>
              <w:left w:val="single" w:sz="4" w:space="0" w:color="auto"/>
              <w:bottom w:val="single" w:sz="4" w:space="0" w:color="000000"/>
              <w:right w:val="single" w:sz="4" w:space="0" w:color="auto"/>
            </w:tcBorders>
            <w:shd w:val="clear" w:color="auto" w:fill="auto"/>
            <w:vAlign w:val="center"/>
            <w:hideMark/>
          </w:tcPr>
          <w:p w14:paraId="72A9E4B9"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Kombinim i burimeve administrative dhe vrojtimeve</w:t>
            </w:r>
          </w:p>
        </w:tc>
        <w:tc>
          <w:tcPr>
            <w:tcW w:w="23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AB891AD"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50%</w:t>
            </w:r>
          </w:p>
        </w:tc>
        <w:tc>
          <w:tcPr>
            <w:tcW w:w="18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5B99F73"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50%</w:t>
            </w:r>
          </w:p>
        </w:tc>
        <w:tc>
          <w:tcPr>
            <w:tcW w:w="228" w:type="pct"/>
            <w:vMerge w:val="restart"/>
            <w:tcBorders>
              <w:top w:val="nil"/>
              <w:left w:val="single" w:sz="4" w:space="0" w:color="auto"/>
              <w:bottom w:val="single" w:sz="4" w:space="0" w:color="000000"/>
              <w:right w:val="single" w:sz="4" w:space="0" w:color="auto"/>
            </w:tcBorders>
            <w:shd w:val="clear" w:color="auto" w:fill="auto"/>
            <w:vAlign w:val="center"/>
            <w:hideMark/>
          </w:tcPr>
          <w:p w14:paraId="0D26AD29"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vMerge w:val="restart"/>
            <w:tcBorders>
              <w:top w:val="nil"/>
              <w:left w:val="single" w:sz="4" w:space="0" w:color="auto"/>
              <w:bottom w:val="single" w:sz="4" w:space="0" w:color="000000"/>
              <w:right w:val="single" w:sz="4" w:space="0" w:color="auto"/>
            </w:tcBorders>
            <w:shd w:val="clear" w:color="auto" w:fill="auto"/>
            <w:vAlign w:val="center"/>
            <w:hideMark/>
          </w:tcPr>
          <w:p w14:paraId="1FCDC215"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Vjetor</w:t>
            </w:r>
          </w:p>
        </w:tc>
        <w:tc>
          <w:tcPr>
            <w:tcW w:w="486" w:type="pct"/>
            <w:tcBorders>
              <w:top w:val="nil"/>
              <w:left w:val="nil"/>
              <w:bottom w:val="nil"/>
              <w:right w:val="nil"/>
            </w:tcBorders>
            <w:shd w:val="clear" w:color="auto" w:fill="auto"/>
            <w:vAlign w:val="center"/>
            <w:hideMark/>
          </w:tcPr>
          <w:p w14:paraId="339B5E58" w14:textId="7C2EE2EC" w:rsidR="000A2254" w:rsidRPr="00A621AF" w:rsidRDefault="000A2254" w:rsidP="00A621AF">
            <w:pPr>
              <w:spacing w:after="0" w:line="240" w:lineRule="auto"/>
              <w:rPr>
                <w:rFonts w:ascii="Garamond" w:eastAsia="Times New Roman" w:hAnsi="Garamond" w:cs="Times New Roman"/>
                <w:color w:val="000000"/>
                <w:sz w:val="10"/>
                <w:szCs w:val="10"/>
                <w:highlight w:val="yellow"/>
              </w:rPr>
            </w:pPr>
            <w:r w:rsidRPr="00B31292">
              <w:rPr>
                <w:rFonts w:ascii="Garamond" w:eastAsia="Times New Roman" w:hAnsi="Garamond" w:cs="Times New Roman"/>
                <w:color w:val="000000"/>
                <w:sz w:val="10"/>
                <w:szCs w:val="10"/>
              </w:rPr>
              <w:t>1. Përbërja e parlamentit që nga viti 1920</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 Deputetët sipas partive politike dhe gjinisë</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 Përbërja e parlamentit sipas pozicionit</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4. Përbërja e komisioneve parlamentare sipas gjinisë</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5. Pozicionet në sistemin e drejtësisë sipas gjinisë</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6. Pjesëmarrja e gruas në misionet diplomatike</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7. Numri i punonjësve në strukturat e policisë sipas gradave dhe gjinisë</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8. Numri i punonjësve në </w:t>
            </w:r>
            <w:r w:rsidR="008C7870" w:rsidRPr="00B31292">
              <w:rPr>
                <w:rFonts w:ascii="Garamond" w:eastAsia="Times New Roman" w:hAnsi="Garamond" w:cs="Times New Roman"/>
                <w:color w:val="000000"/>
                <w:sz w:val="10"/>
                <w:szCs w:val="10"/>
              </w:rPr>
              <w:t xml:space="preserve">Forcat </w:t>
            </w:r>
            <w:r w:rsidRPr="00B31292">
              <w:rPr>
                <w:rFonts w:ascii="Garamond" w:eastAsia="Times New Roman" w:hAnsi="Garamond" w:cs="Times New Roman"/>
                <w:color w:val="000000"/>
                <w:sz w:val="10"/>
                <w:szCs w:val="10"/>
              </w:rPr>
              <w:t xml:space="preserve">e </w:t>
            </w:r>
            <w:r w:rsidR="008C7870" w:rsidRPr="00B31292">
              <w:rPr>
                <w:rFonts w:ascii="Garamond" w:eastAsia="Times New Roman" w:hAnsi="Garamond" w:cs="Times New Roman"/>
                <w:color w:val="000000"/>
                <w:sz w:val="10"/>
                <w:szCs w:val="10"/>
              </w:rPr>
              <w:t xml:space="preserve">Armatosura </w:t>
            </w:r>
            <w:r w:rsidRPr="00B31292">
              <w:rPr>
                <w:rFonts w:ascii="Garamond" w:eastAsia="Times New Roman" w:hAnsi="Garamond" w:cs="Times New Roman"/>
                <w:color w:val="000000"/>
                <w:sz w:val="10"/>
                <w:szCs w:val="10"/>
              </w:rPr>
              <w:t>sipas gjinisë</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9. Të dhëna gjinore për kandidimin në zgjedhjet për organet e qeverisjes vendore për Këshillin Bashkiak</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10. Pozicionet sipas nivelit të menaxhimit në institucionet e administratës publike</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11. Përfituesit e skemave </w:t>
            </w:r>
            <w:r w:rsidRPr="00A621AF">
              <w:rPr>
                <w:rFonts w:ascii="Garamond" w:eastAsia="Times New Roman" w:hAnsi="Garamond" w:cs="Times New Roman"/>
                <w:color w:val="000000"/>
                <w:sz w:val="10"/>
                <w:szCs w:val="10"/>
              </w:rPr>
              <w:t>mbështetëse nga Agjencia Shqiptare e Zhvillimit të Investimeve</w:t>
            </w:r>
            <w:r w:rsidRPr="00B31292">
              <w:rPr>
                <w:rFonts w:ascii="Garamond" w:eastAsia="Times New Roman" w:hAnsi="Garamond" w:cs="Times New Roman"/>
                <w:color w:val="000000"/>
                <w:sz w:val="10"/>
                <w:szCs w:val="10"/>
              </w:rPr>
              <w:t xml:space="preserve"> sipas gjinisë</w:t>
            </w:r>
            <w:r w:rsidR="00A621AF">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w:t>
            </w:r>
            <w:r w:rsidR="00A621AF">
              <w:rPr>
                <w:rFonts w:ascii="Garamond" w:eastAsia="Times New Roman" w:hAnsi="Garamond" w:cs="Times New Roman"/>
                <w:color w:val="000000"/>
                <w:sz w:val="10"/>
                <w:szCs w:val="10"/>
              </w:rPr>
              <w:t>2</w:t>
            </w:r>
            <w:r w:rsidRPr="00B31292">
              <w:rPr>
                <w:rFonts w:ascii="Garamond" w:eastAsia="Times New Roman" w:hAnsi="Garamond" w:cs="Times New Roman"/>
                <w:color w:val="000000"/>
                <w:sz w:val="10"/>
                <w:szCs w:val="10"/>
              </w:rPr>
              <w:t>. Kreditë e marra në bankat e nivelit të dytë të ndara sipas gjinisë së kredimarrësit</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w:t>
            </w:r>
            <w:r w:rsidR="00A621AF">
              <w:rPr>
                <w:rFonts w:ascii="Garamond" w:eastAsia="Times New Roman" w:hAnsi="Garamond" w:cs="Times New Roman"/>
                <w:color w:val="000000"/>
                <w:sz w:val="10"/>
                <w:szCs w:val="10"/>
              </w:rPr>
              <w:t>3</w:t>
            </w:r>
            <w:r w:rsidRPr="00B31292">
              <w:rPr>
                <w:rFonts w:ascii="Garamond" w:eastAsia="Times New Roman" w:hAnsi="Garamond" w:cs="Times New Roman"/>
                <w:color w:val="000000"/>
                <w:sz w:val="10"/>
                <w:szCs w:val="10"/>
              </w:rPr>
              <w:t>. Pensione në skemën e sigurimeve shoqërore</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w:t>
            </w:r>
            <w:r w:rsidR="00A621AF">
              <w:rPr>
                <w:rFonts w:ascii="Garamond" w:eastAsia="Times New Roman" w:hAnsi="Garamond" w:cs="Times New Roman"/>
                <w:color w:val="000000"/>
                <w:sz w:val="10"/>
                <w:szCs w:val="10"/>
              </w:rPr>
              <w:t>4</w:t>
            </w:r>
            <w:r w:rsidRPr="00B31292">
              <w:rPr>
                <w:rFonts w:ascii="Garamond" w:eastAsia="Times New Roman" w:hAnsi="Garamond" w:cs="Times New Roman"/>
                <w:color w:val="000000"/>
                <w:sz w:val="10"/>
                <w:szCs w:val="10"/>
              </w:rPr>
              <w:t>. Kontribuesit në skemën e sigurimit vullnetar sipas gjinisë</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r>
            <w:r w:rsidRPr="00B31292">
              <w:rPr>
                <w:rFonts w:ascii="Garamond" w:eastAsia="Times New Roman" w:hAnsi="Garamond" w:cs="Times New Roman"/>
                <w:color w:val="000000"/>
                <w:sz w:val="10"/>
                <w:szCs w:val="10"/>
              </w:rPr>
              <w:lastRenderedPageBreak/>
              <w:t>1</w:t>
            </w:r>
            <w:r w:rsidR="00A621AF">
              <w:rPr>
                <w:rFonts w:ascii="Garamond" w:eastAsia="Times New Roman" w:hAnsi="Garamond" w:cs="Times New Roman"/>
                <w:color w:val="000000"/>
                <w:sz w:val="10"/>
                <w:szCs w:val="10"/>
              </w:rPr>
              <w:t>5</w:t>
            </w:r>
            <w:r w:rsidRPr="00B31292">
              <w:rPr>
                <w:rFonts w:ascii="Garamond" w:eastAsia="Times New Roman" w:hAnsi="Garamond" w:cs="Times New Roman"/>
                <w:color w:val="000000"/>
                <w:sz w:val="10"/>
                <w:szCs w:val="10"/>
              </w:rPr>
              <w:t>. Numri total i punëkërkuesve të papunë, të regjistruar në kurse formimi profesional dhe në programe të nxitjes së punësimit</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w:t>
            </w:r>
            <w:r w:rsidR="00A621AF">
              <w:rPr>
                <w:rFonts w:ascii="Garamond" w:eastAsia="Times New Roman" w:hAnsi="Garamond" w:cs="Times New Roman"/>
                <w:color w:val="000000"/>
                <w:sz w:val="10"/>
                <w:szCs w:val="10"/>
              </w:rPr>
              <w:t>6</w:t>
            </w:r>
            <w:r w:rsidRPr="00B31292">
              <w:rPr>
                <w:rFonts w:ascii="Garamond" w:eastAsia="Times New Roman" w:hAnsi="Garamond" w:cs="Times New Roman"/>
                <w:color w:val="000000"/>
                <w:sz w:val="10"/>
                <w:szCs w:val="10"/>
              </w:rPr>
              <w:t>. Punëkërkues të papunë të regjistruar në kurse formimi profesional</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w:t>
            </w:r>
            <w:r w:rsidR="00A621AF">
              <w:rPr>
                <w:rFonts w:ascii="Garamond" w:eastAsia="Times New Roman" w:hAnsi="Garamond" w:cs="Times New Roman"/>
                <w:color w:val="000000"/>
                <w:sz w:val="10"/>
                <w:szCs w:val="10"/>
              </w:rPr>
              <w:t>7</w:t>
            </w:r>
            <w:r w:rsidRPr="00B31292">
              <w:rPr>
                <w:rFonts w:ascii="Garamond" w:eastAsia="Times New Roman" w:hAnsi="Garamond" w:cs="Times New Roman"/>
                <w:color w:val="000000"/>
                <w:sz w:val="10"/>
                <w:szCs w:val="10"/>
              </w:rPr>
              <w:t>. Punëkërkues të papunë pjesëmarrës në programe të nxitjes së punësimit</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w:t>
            </w:r>
            <w:r w:rsidR="00A621AF">
              <w:rPr>
                <w:rFonts w:ascii="Garamond" w:eastAsia="Times New Roman" w:hAnsi="Garamond" w:cs="Times New Roman"/>
                <w:color w:val="000000"/>
                <w:sz w:val="10"/>
                <w:szCs w:val="10"/>
              </w:rPr>
              <w:t>8</w:t>
            </w:r>
            <w:r w:rsidRPr="00B31292">
              <w:rPr>
                <w:rFonts w:ascii="Garamond" w:eastAsia="Times New Roman" w:hAnsi="Garamond" w:cs="Times New Roman"/>
                <w:color w:val="000000"/>
                <w:sz w:val="10"/>
                <w:szCs w:val="10"/>
              </w:rPr>
              <w:t>. Punëkërkues të papunë sipas grup</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moshave dhe gjinisë</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r>
            <w:r w:rsidR="00A621AF">
              <w:rPr>
                <w:rFonts w:ascii="Garamond" w:eastAsia="Times New Roman" w:hAnsi="Garamond" w:cs="Times New Roman"/>
                <w:color w:val="000000"/>
                <w:sz w:val="10"/>
                <w:szCs w:val="10"/>
              </w:rPr>
              <w:t>19</w:t>
            </w:r>
            <w:r w:rsidRPr="00B31292">
              <w:rPr>
                <w:rFonts w:ascii="Garamond" w:eastAsia="Times New Roman" w:hAnsi="Garamond" w:cs="Times New Roman"/>
                <w:color w:val="000000"/>
                <w:sz w:val="10"/>
                <w:szCs w:val="10"/>
              </w:rPr>
              <w:t>. Numri i familjeve që marrin ndihmë ekonomike, sipas gjinisë së kryefamiljarit</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w:t>
            </w:r>
            <w:r w:rsidR="00A621AF">
              <w:rPr>
                <w:rFonts w:ascii="Garamond" w:eastAsia="Times New Roman" w:hAnsi="Garamond" w:cs="Times New Roman"/>
                <w:color w:val="000000"/>
                <w:sz w:val="10"/>
                <w:szCs w:val="10"/>
              </w:rPr>
              <w:t>0</w:t>
            </w:r>
            <w:r w:rsidRPr="00B31292">
              <w:rPr>
                <w:rFonts w:ascii="Garamond" w:eastAsia="Times New Roman" w:hAnsi="Garamond" w:cs="Times New Roman"/>
                <w:color w:val="000000"/>
                <w:sz w:val="10"/>
                <w:szCs w:val="10"/>
              </w:rPr>
              <w:t xml:space="preserve">. Përqindja e grave të moshës </w:t>
            </w:r>
            <w:r w:rsidR="00FD245C" w:rsidRPr="00B31292">
              <w:rPr>
                <w:rFonts w:ascii="Garamond" w:eastAsia="Times New Roman" w:hAnsi="Garamond" w:cs="Times New Roman"/>
                <w:color w:val="000000"/>
                <w:sz w:val="10"/>
                <w:szCs w:val="10"/>
              </w:rPr>
              <w:t>18–74 vjeç</w:t>
            </w:r>
            <w:r w:rsidRPr="00B31292">
              <w:rPr>
                <w:rFonts w:ascii="Garamond" w:eastAsia="Times New Roman" w:hAnsi="Garamond" w:cs="Times New Roman"/>
                <w:color w:val="000000"/>
                <w:sz w:val="10"/>
                <w:szCs w:val="10"/>
              </w:rPr>
              <w:t xml:space="preserve"> të dhunuara fizikisht në 12 muajt e fundit</w:t>
            </w:r>
            <w:r w:rsidR="008C7870" w:rsidRPr="00B31292">
              <w:rPr>
                <w:rFonts w:ascii="Garamond" w:eastAsia="Times New Roman" w:hAnsi="Garamond" w:cs="Times New Roman"/>
                <w:color w:val="000000"/>
                <w:sz w:val="10"/>
                <w:szCs w:val="10"/>
              </w:rPr>
              <w:t>.</w:t>
            </w:r>
          </w:p>
        </w:tc>
        <w:tc>
          <w:tcPr>
            <w:tcW w:w="299" w:type="pct"/>
            <w:vMerge w:val="restart"/>
            <w:tcBorders>
              <w:top w:val="nil"/>
              <w:left w:val="single" w:sz="4" w:space="0" w:color="auto"/>
              <w:bottom w:val="single" w:sz="4" w:space="0" w:color="000000"/>
              <w:right w:val="single" w:sz="4" w:space="0" w:color="auto"/>
            </w:tcBorders>
            <w:shd w:val="clear" w:color="auto" w:fill="auto"/>
            <w:vAlign w:val="center"/>
            <w:hideMark/>
          </w:tcPr>
          <w:p w14:paraId="6A7F3114" w14:textId="0CD5A68A"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lastRenderedPageBreak/>
              <w:t>Instituti i Statistikave, Kryeministria</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Ministria e Financave dhe Ekonomisë</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 Banka e Shqipërisë</w:t>
            </w:r>
            <w:r w:rsidR="008C7870" w:rsidRPr="00B31292">
              <w:rPr>
                <w:rFonts w:ascii="Garamond" w:eastAsia="Times New Roman" w:hAnsi="Garamond" w:cs="Times New Roman"/>
                <w:color w:val="000000"/>
                <w:sz w:val="10"/>
                <w:szCs w:val="10"/>
              </w:rPr>
              <w:t>,</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Ministria e Shëndetësisë dhe Mbrojtjes Sociale</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Ministria e Brendshme,</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Ministria e Infrastrukturës dhe Energjisë,</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Ministria e Mbrojtjes, Ministria e Drejtësisë, Ministria</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për Marrëdhëniet me Parlamentin</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 xml:space="preserve"> Drejtoria e Përgjithshme e Policisë</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 Instituti i Sigurimeve Shoqërore</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 xml:space="preserve"> Instituti i Shëndetit Publik</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 xml:space="preserve"> Drejtoria e Përgjithshme </w:t>
            </w:r>
            <w:r w:rsidRPr="00B31292">
              <w:rPr>
                <w:rFonts w:ascii="Garamond" w:eastAsia="Times New Roman" w:hAnsi="Garamond" w:cs="Times New Roman"/>
                <w:color w:val="000000"/>
                <w:sz w:val="10"/>
                <w:szCs w:val="10"/>
              </w:rPr>
              <w:lastRenderedPageBreak/>
              <w:t>e Shërbimit të Transportit Rrugor</w:t>
            </w:r>
            <w:r w:rsidR="00FD245C"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(DPSHTRR)</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 xml:space="preserve"> Shërbimi Kombëtar i Punësimit</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 Universiteti Bujqësor i Tiranës</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Prokuroria e Përgjithshme</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 Komisioni Qendror i Zgjedhjeve</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 xml:space="preserve"> Shkolla e Magjistraturës</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 Agjencia Kombëtare e Punësimit dhe Aftësive</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 Ministria e Mbrojtjes</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 xml:space="preserve"> Agjencia Shqiptare e Zhvillimit të Investimeve</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 xml:space="preserve"> Avokati i Popullit</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Drejtoria e Përgjithshme e Burgjeve</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 Këshilli i Lartë Gjy</w:t>
            </w:r>
            <w:r w:rsidR="00FD245C" w:rsidRPr="00B31292">
              <w:rPr>
                <w:rFonts w:ascii="Garamond" w:eastAsia="Times New Roman" w:hAnsi="Garamond" w:cs="Times New Roman"/>
                <w:color w:val="000000"/>
                <w:sz w:val="10"/>
                <w:szCs w:val="10"/>
              </w:rPr>
              <w:t>që</w:t>
            </w:r>
            <w:r w:rsidRPr="00B31292">
              <w:rPr>
                <w:rFonts w:ascii="Garamond" w:eastAsia="Times New Roman" w:hAnsi="Garamond" w:cs="Times New Roman"/>
                <w:color w:val="000000"/>
                <w:sz w:val="10"/>
                <w:szCs w:val="10"/>
              </w:rPr>
              <w:t>sor</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Kuvendi i Shqipërisë</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 Universitetet</w:t>
            </w:r>
          </w:p>
        </w:tc>
        <w:tc>
          <w:tcPr>
            <w:tcW w:w="224" w:type="pct"/>
            <w:vMerge w:val="restart"/>
            <w:tcBorders>
              <w:top w:val="nil"/>
              <w:left w:val="single" w:sz="4" w:space="0" w:color="auto"/>
              <w:bottom w:val="single" w:sz="4" w:space="0" w:color="000000"/>
              <w:right w:val="single" w:sz="4" w:space="0" w:color="auto"/>
            </w:tcBorders>
            <w:shd w:val="clear" w:color="auto" w:fill="auto"/>
            <w:vAlign w:val="center"/>
            <w:hideMark/>
          </w:tcPr>
          <w:p w14:paraId="2C8AC7AD" w14:textId="1DE348A8"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lastRenderedPageBreak/>
              <w:t>INSTAT</w:t>
            </w:r>
            <w:r w:rsidR="008C7870" w:rsidRPr="00B31292">
              <w:rPr>
                <w:rFonts w:ascii="Garamond" w:eastAsia="Times New Roman" w:hAnsi="Garamond" w:cs="Times New Roman"/>
                <w:color w:val="000000"/>
                <w:sz w:val="10"/>
                <w:szCs w:val="10"/>
              </w:rPr>
              <w:t>-i</w:t>
            </w:r>
          </w:p>
        </w:tc>
        <w:tc>
          <w:tcPr>
            <w:tcW w:w="24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31AF18A"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+ 120D</w:t>
            </w:r>
          </w:p>
        </w:tc>
        <w:tc>
          <w:tcPr>
            <w:tcW w:w="220"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BB13618"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+ 127D</w:t>
            </w:r>
          </w:p>
        </w:tc>
        <w:tc>
          <w:tcPr>
            <w:tcW w:w="220"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874ECF7"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+ 221D</w:t>
            </w:r>
          </w:p>
        </w:tc>
        <w:tc>
          <w:tcPr>
            <w:tcW w:w="346" w:type="pct"/>
            <w:vMerge w:val="restart"/>
            <w:tcBorders>
              <w:top w:val="nil"/>
              <w:left w:val="single" w:sz="4" w:space="0" w:color="auto"/>
              <w:bottom w:val="single" w:sz="4" w:space="0" w:color="000000"/>
              <w:right w:val="single" w:sz="4" w:space="0" w:color="auto"/>
            </w:tcBorders>
            <w:shd w:val="clear" w:color="auto" w:fill="auto"/>
            <w:vAlign w:val="center"/>
            <w:hideMark/>
          </w:tcPr>
          <w:p w14:paraId="38B3AD0D" w14:textId="71252030"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Vonesa në procesin e grumbullimit të të dhënave nga burimet administrative si dhe nga anketat. -|- 6</w:t>
            </w:r>
            <w:r w:rsidRPr="00B31292">
              <w:rPr>
                <w:rFonts w:ascii="Garamond" w:eastAsia="Times New Roman" w:hAnsi="Garamond" w:cs="Times New Roman"/>
                <w:color w:val="000000"/>
                <w:sz w:val="10"/>
                <w:szCs w:val="10"/>
              </w:rPr>
              <w:br/>
              <w:t>2. Mospërmbushja e kritereve të cilësisë</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si: saktësia, përpikmëria dhe krahasueshmëria. -|- 6</w:t>
            </w:r>
            <w:r w:rsidRPr="00B31292">
              <w:rPr>
                <w:rFonts w:ascii="Garamond" w:eastAsia="Times New Roman" w:hAnsi="Garamond" w:cs="Times New Roman"/>
                <w:color w:val="000000"/>
                <w:sz w:val="10"/>
                <w:szCs w:val="10"/>
              </w:rPr>
              <w:br/>
              <w:t xml:space="preserve">3. Pezullimi/vonesa e mbledhjes, prodhimit </w:t>
            </w:r>
            <w:r w:rsidR="00F667B8" w:rsidRPr="00B31292">
              <w:rPr>
                <w:rFonts w:ascii="Garamond" w:eastAsia="Times New Roman" w:hAnsi="Garamond" w:cs="Times New Roman"/>
                <w:color w:val="000000"/>
                <w:sz w:val="10"/>
                <w:szCs w:val="10"/>
              </w:rPr>
              <w:t>dhe shpërndarjes së statistikave zyrtare si pasojë e fatkeqësive natyrore/ pandemive globale</w:t>
            </w:r>
            <w:r w:rsidRPr="00B31292">
              <w:rPr>
                <w:rFonts w:ascii="Garamond" w:eastAsia="Times New Roman" w:hAnsi="Garamond" w:cs="Times New Roman"/>
                <w:color w:val="000000"/>
                <w:sz w:val="10"/>
                <w:szCs w:val="10"/>
              </w:rPr>
              <w:t>. -|- 1</w:t>
            </w:r>
          </w:p>
        </w:tc>
        <w:tc>
          <w:tcPr>
            <w:tcW w:w="273" w:type="pct"/>
            <w:vMerge w:val="restart"/>
            <w:tcBorders>
              <w:top w:val="nil"/>
              <w:left w:val="single" w:sz="4" w:space="0" w:color="auto"/>
              <w:bottom w:val="single" w:sz="4" w:space="0" w:color="000000"/>
              <w:right w:val="single" w:sz="4" w:space="0" w:color="auto"/>
            </w:tcBorders>
            <w:shd w:val="clear" w:color="auto" w:fill="auto"/>
            <w:vAlign w:val="center"/>
            <w:hideMark/>
          </w:tcPr>
          <w:p w14:paraId="6002A62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Buxhet shteti</w:t>
            </w:r>
          </w:p>
        </w:tc>
      </w:tr>
      <w:tr w:rsidR="000A2254" w:rsidRPr="00B31292" w14:paraId="5B87E000" w14:textId="77777777" w:rsidTr="000A2254">
        <w:trPr>
          <w:trHeight w:val="20"/>
        </w:trPr>
        <w:tc>
          <w:tcPr>
            <w:tcW w:w="215" w:type="pct"/>
            <w:tcBorders>
              <w:top w:val="nil"/>
              <w:left w:val="nil"/>
              <w:bottom w:val="nil"/>
              <w:right w:val="nil"/>
            </w:tcBorders>
            <w:shd w:val="clear" w:color="000000" w:fill="FFFFFF"/>
            <w:vAlign w:val="bottom"/>
            <w:hideMark/>
          </w:tcPr>
          <w:p w14:paraId="74C72A0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17A5790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4221243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0C77129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4F10348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3BBC999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vMerge/>
            <w:tcBorders>
              <w:top w:val="nil"/>
              <w:left w:val="single" w:sz="4" w:space="0" w:color="auto"/>
              <w:bottom w:val="single" w:sz="4" w:space="0" w:color="000000"/>
              <w:right w:val="single" w:sz="4" w:space="0" w:color="auto"/>
            </w:tcBorders>
            <w:vAlign w:val="center"/>
            <w:hideMark/>
          </w:tcPr>
          <w:p w14:paraId="4D5D925E"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81" w:type="pct"/>
            <w:vMerge/>
            <w:tcBorders>
              <w:top w:val="nil"/>
              <w:left w:val="single" w:sz="4" w:space="0" w:color="auto"/>
              <w:bottom w:val="single" w:sz="4" w:space="0" w:color="000000"/>
              <w:right w:val="single" w:sz="4" w:space="0" w:color="auto"/>
            </w:tcBorders>
            <w:vAlign w:val="center"/>
            <w:hideMark/>
          </w:tcPr>
          <w:p w14:paraId="19C50FCB" w14:textId="77777777" w:rsidR="000A2254" w:rsidRPr="00B31292" w:rsidRDefault="000A2254" w:rsidP="000A2254">
            <w:pPr>
              <w:spacing w:after="0" w:line="240" w:lineRule="auto"/>
              <w:rPr>
                <w:rFonts w:ascii="Garamond" w:eastAsia="Times New Roman" w:hAnsi="Garamond" w:cs="Times New Roman"/>
                <w:sz w:val="10"/>
                <w:szCs w:val="10"/>
              </w:rPr>
            </w:pPr>
          </w:p>
        </w:tc>
        <w:tc>
          <w:tcPr>
            <w:tcW w:w="236" w:type="pct"/>
            <w:vMerge/>
            <w:tcBorders>
              <w:top w:val="nil"/>
              <w:left w:val="single" w:sz="4" w:space="0" w:color="auto"/>
              <w:bottom w:val="single" w:sz="4" w:space="0" w:color="000000"/>
              <w:right w:val="single" w:sz="4" w:space="0" w:color="auto"/>
            </w:tcBorders>
            <w:vAlign w:val="center"/>
            <w:hideMark/>
          </w:tcPr>
          <w:p w14:paraId="37FBAAF3" w14:textId="77777777" w:rsidR="000A2254" w:rsidRPr="00B31292" w:rsidRDefault="000A2254" w:rsidP="000A2254">
            <w:pPr>
              <w:spacing w:after="0" w:line="240" w:lineRule="auto"/>
              <w:rPr>
                <w:rFonts w:ascii="Garamond" w:eastAsia="Times New Roman" w:hAnsi="Garamond" w:cs="Times New Roman"/>
                <w:sz w:val="10"/>
                <w:szCs w:val="10"/>
              </w:rPr>
            </w:pPr>
          </w:p>
        </w:tc>
        <w:tc>
          <w:tcPr>
            <w:tcW w:w="238" w:type="pct"/>
            <w:vMerge/>
            <w:tcBorders>
              <w:top w:val="nil"/>
              <w:left w:val="single" w:sz="4" w:space="0" w:color="auto"/>
              <w:bottom w:val="single" w:sz="4" w:space="0" w:color="000000"/>
              <w:right w:val="single" w:sz="4" w:space="0" w:color="auto"/>
            </w:tcBorders>
            <w:vAlign w:val="center"/>
            <w:hideMark/>
          </w:tcPr>
          <w:p w14:paraId="4CD9FBB3" w14:textId="77777777" w:rsidR="000A2254" w:rsidRPr="00B31292" w:rsidRDefault="000A2254" w:rsidP="000A2254">
            <w:pPr>
              <w:spacing w:after="0" w:line="240" w:lineRule="auto"/>
              <w:rPr>
                <w:rFonts w:ascii="Garamond" w:eastAsia="Times New Roman" w:hAnsi="Garamond" w:cs="Times New Roman"/>
                <w:sz w:val="10"/>
                <w:szCs w:val="10"/>
              </w:rPr>
            </w:pPr>
          </w:p>
        </w:tc>
        <w:tc>
          <w:tcPr>
            <w:tcW w:w="180" w:type="pct"/>
            <w:vMerge/>
            <w:tcBorders>
              <w:top w:val="nil"/>
              <w:left w:val="single" w:sz="4" w:space="0" w:color="auto"/>
              <w:bottom w:val="single" w:sz="4" w:space="0" w:color="000000"/>
              <w:right w:val="single" w:sz="4" w:space="0" w:color="auto"/>
            </w:tcBorders>
            <w:vAlign w:val="center"/>
            <w:hideMark/>
          </w:tcPr>
          <w:p w14:paraId="6199F08B" w14:textId="77777777" w:rsidR="000A2254" w:rsidRPr="00B31292" w:rsidRDefault="000A2254" w:rsidP="000A2254">
            <w:pPr>
              <w:spacing w:after="0" w:line="240" w:lineRule="auto"/>
              <w:rPr>
                <w:rFonts w:ascii="Garamond" w:eastAsia="Times New Roman" w:hAnsi="Garamond" w:cs="Times New Roman"/>
                <w:sz w:val="10"/>
                <w:szCs w:val="10"/>
              </w:rPr>
            </w:pPr>
          </w:p>
        </w:tc>
        <w:tc>
          <w:tcPr>
            <w:tcW w:w="228" w:type="pct"/>
            <w:vMerge/>
            <w:tcBorders>
              <w:top w:val="nil"/>
              <w:left w:val="single" w:sz="4" w:space="0" w:color="auto"/>
              <w:bottom w:val="single" w:sz="4" w:space="0" w:color="000000"/>
              <w:right w:val="single" w:sz="4" w:space="0" w:color="auto"/>
            </w:tcBorders>
            <w:vAlign w:val="center"/>
            <w:hideMark/>
          </w:tcPr>
          <w:p w14:paraId="69AE01A0"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22" w:type="pct"/>
            <w:vMerge/>
            <w:tcBorders>
              <w:top w:val="nil"/>
              <w:left w:val="single" w:sz="4" w:space="0" w:color="auto"/>
              <w:bottom w:val="single" w:sz="4" w:space="0" w:color="000000"/>
              <w:right w:val="single" w:sz="4" w:space="0" w:color="auto"/>
            </w:tcBorders>
            <w:vAlign w:val="center"/>
            <w:hideMark/>
          </w:tcPr>
          <w:p w14:paraId="53813E00"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486" w:type="pct"/>
            <w:tcBorders>
              <w:top w:val="nil"/>
              <w:left w:val="nil"/>
              <w:bottom w:val="nil"/>
              <w:right w:val="nil"/>
            </w:tcBorders>
            <w:shd w:val="clear" w:color="auto" w:fill="auto"/>
            <w:vAlign w:val="center"/>
            <w:hideMark/>
          </w:tcPr>
          <w:p w14:paraId="20346EE7" w14:textId="305B3E49"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2</w:t>
            </w:r>
            <w:r w:rsidR="00A621AF">
              <w:rPr>
                <w:rFonts w:ascii="Garamond" w:eastAsia="Times New Roman" w:hAnsi="Garamond" w:cs="Times New Roman"/>
                <w:color w:val="000000"/>
                <w:sz w:val="10"/>
                <w:szCs w:val="10"/>
              </w:rPr>
              <w:t>1</w:t>
            </w:r>
            <w:r w:rsidRPr="00B31292">
              <w:rPr>
                <w:rFonts w:ascii="Garamond" w:eastAsia="Times New Roman" w:hAnsi="Garamond" w:cs="Times New Roman"/>
                <w:color w:val="000000"/>
                <w:sz w:val="10"/>
                <w:szCs w:val="10"/>
              </w:rPr>
              <w:t xml:space="preserve">. Përqindja e grave të moshës </w:t>
            </w:r>
            <w:r w:rsidR="00FD245C" w:rsidRPr="00B31292">
              <w:rPr>
                <w:rFonts w:ascii="Garamond" w:eastAsia="Times New Roman" w:hAnsi="Garamond" w:cs="Times New Roman"/>
                <w:color w:val="000000"/>
                <w:sz w:val="10"/>
                <w:szCs w:val="10"/>
              </w:rPr>
              <w:t>18–74 vjeç</w:t>
            </w:r>
            <w:r w:rsidRPr="00B31292">
              <w:rPr>
                <w:rFonts w:ascii="Garamond" w:eastAsia="Times New Roman" w:hAnsi="Garamond" w:cs="Times New Roman"/>
                <w:color w:val="000000"/>
                <w:sz w:val="10"/>
                <w:szCs w:val="10"/>
              </w:rPr>
              <w:t xml:space="preserve"> të dhunuara fizikisht ndonjëherë në jetë</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w:t>
            </w:r>
            <w:r w:rsidR="00A621AF">
              <w:rPr>
                <w:rFonts w:ascii="Garamond" w:eastAsia="Times New Roman" w:hAnsi="Garamond" w:cs="Times New Roman"/>
                <w:color w:val="000000"/>
                <w:sz w:val="10"/>
                <w:szCs w:val="10"/>
              </w:rPr>
              <w:t>2</w:t>
            </w:r>
            <w:r w:rsidRPr="00B31292">
              <w:rPr>
                <w:rFonts w:ascii="Garamond" w:eastAsia="Times New Roman" w:hAnsi="Garamond" w:cs="Times New Roman"/>
                <w:color w:val="000000"/>
                <w:sz w:val="10"/>
                <w:szCs w:val="10"/>
              </w:rPr>
              <w:t xml:space="preserve">. Përqindja e grave të moshës </w:t>
            </w:r>
            <w:r w:rsidR="00FD245C" w:rsidRPr="00B31292">
              <w:rPr>
                <w:rFonts w:ascii="Garamond" w:eastAsia="Times New Roman" w:hAnsi="Garamond" w:cs="Times New Roman"/>
                <w:color w:val="000000"/>
                <w:sz w:val="10"/>
                <w:szCs w:val="10"/>
              </w:rPr>
              <w:t>18–74 vjeç</w:t>
            </w:r>
            <w:r w:rsidRPr="00B31292">
              <w:rPr>
                <w:rFonts w:ascii="Garamond" w:eastAsia="Times New Roman" w:hAnsi="Garamond" w:cs="Times New Roman"/>
                <w:color w:val="000000"/>
                <w:sz w:val="10"/>
                <w:szCs w:val="10"/>
              </w:rPr>
              <w:t xml:space="preserve"> të dhunuara seksualisht në 12 muajt e fundit</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w:t>
            </w:r>
            <w:r w:rsidR="00A621AF">
              <w:rPr>
                <w:rFonts w:ascii="Garamond" w:eastAsia="Times New Roman" w:hAnsi="Garamond" w:cs="Times New Roman"/>
                <w:color w:val="000000"/>
                <w:sz w:val="10"/>
                <w:szCs w:val="10"/>
              </w:rPr>
              <w:t>3</w:t>
            </w:r>
            <w:r w:rsidRPr="00B31292">
              <w:rPr>
                <w:rFonts w:ascii="Garamond" w:eastAsia="Times New Roman" w:hAnsi="Garamond" w:cs="Times New Roman"/>
                <w:color w:val="000000"/>
                <w:sz w:val="10"/>
                <w:szCs w:val="10"/>
              </w:rPr>
              <w:t xml:space="preserve">. Përqindja e grave të moshës </w:t>
            </w:r>
            <w:r w:rsidR="00FD245C" w:rsidRPr="00B31292">
              <w:rPr>
                <w:rFonts w:ascii="Garamond" w:eastAsia="Times New Roman" w:hAnsi="Garamond" w:cs="Times New Roman"/>
                <w:color w:val="000000"/>
                <w:sz w:val="10"/>
                <w:szCs w:val="10"/>
              </w:rPr>
              <w:t>18–74 vjeç</w:t>
            </w:r>
            <w:r w:rsidRPr="00B31292">
              <w:rPr>
                <w:rFonts w:ascii="Garamond" w:eastAsia="Times New Roman" w:hAnsi="Garamond" w:cs="Times New Roman"/>
                <w:color w:val="000000"/>
                <w:sz w:val="10"/>
                <w:szCs w:val="10"/>
              </w:rPr>
              <w:t xml:space="preserve"> të dhunuara seksualisht ndonjëherë në jetë</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w:t>
            </w:r>
            <w:r w:rsidR="00A621AF">
              <w:rPr>
                <w:rFonts w:ascii="Garamond" w:eastAsia="Times New Roman" w:hAnsi="Garamond" w:cs="Times New Roman"/>
                <w:color w:val="000000"/>
                <w:sz w:val="10"/>
                <w:szCs w:val="10"/>
              </w:rPr>
              <w:t>4</w:t>
            </w:r>
            <w:r w:rsidRPr="00B31292">
              <w:rPr>
                <w:rFonts w:ascii="Garamond" w:eastAsia="Times New Roman" w:hAnsi="Garamond" w:cs="Times New Roman"/>
                <w:color w:val="000000"/>
                <w:sz w:val="10"/>
                <w:szCs w:val="10"/>
              </w:rPr>
              <w:t xml:space="preserve">. Përqindja e grave të moshës </w:t>
            </w:r>
            <w:r w:rsidR="00FD245C" w:rsidRPr="00B31292">
              <w:rPr>
                <w:rFonts w:ascii="Garamond" w:eastAsia="Times New Roman" w:hAnsi="Garamond" w:cs="Times New Roman"/>
                <w:color w:val="000000"/>
                <w:sz w:val="10"/>
                <w:szCs w:val="10"/>
              </w:rPr>
              <w:t>18–74 vjeç</w:t>
            </w:r>
            <w:r w:rsidRPr="00B31292">
              <w:rPr>
                <w:rFonts w:ascii="Garamond" w:eastAsia="Times New Roman" w:hAnsi="Garamond" w:cs="Times New Roman"/>
                <w:color w:val="000000"/>
                <w:sz w:val="10"/>
                <w:szCs w:val="10"/>
              </w:rPr>
              <w:t xml:space="preserve"> të dhunuara psikologjikisht në 12 muajt e fundit</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2</w:t>
            </w:r>
            <w:r w:rsidR="00A621AF">
              <w:rPr>
                <w:rFonts w:ascii="Garamond" w:eastAsia="Times New Roman" w:hAnsi="Garamond" w:cs="Times New Roman"/>
                <w:color w:val="000000"/>
                <w:sz w:val="10"/>
                <w:szCs w:val="10"/>
              </w:rPr>
              <w:t>5</w:t>
            </w:r>
            <w:r w:rsidRPr="00B31292">
              <w:rPr>
                <w:rFonts w:ascii="Garamond" w:eastAsia="Times New Roman" w:hAnsi="Garamond" w:cs="Times New Roman"/>
                <w:color w:val="000000"/>
                <w:sz w:val="10"/>
                <w:szCs w:val="10"/>
              </w:rPr>
              <w:t xml:space="preserve">. Përqindja e grave të moshës </w:t>
            </w:r>
            <w:r w:rsidR="00FD245C" w:rsidRPr="00B31292">
              <w:rPr>
                <w:rFonts w:ascii="Garamond" w:eastAsia="Times New Roman" w:hAnsi="Garamond" w:cs="Times New Roman"/>
                <w:color w:val="000000"/>
                <w:sz w:val="10"/>
                <w:szCs w:val="10"/>
              </w:rPr>
              <w:t>18–74 vjeç</w:t>
            </w:r>
            <w:r w:rsidRPr="00B31292">
              <w:rPr>
                <w:rFonts w:ascii="Garamond" w:eastAsia="Times New Roman" w:hAnsi="Garamond" w:cs="Times New Roman"/>
                <w:color w:val="000000"/>
                <w:sz w:val="10"/>
                <w:szCs w:val="10"/>
              </w:rPr>
              <w:t xml:space="preserve"> të dhunuara psiko</w:t>
            </w:r>
            <w:r w:rsidR="00C23C70" w:rsidRPr="00B31292">
              <w:rPr>
                <w:rFonts w:ascii="Garamond" w:eastAsia="Times New Roman" w:hAnsi="Garamond" w:cs="Times New Roman"/>
                <w:color w:val="000000"/>
                <w:sz w:val="10"/>
                <w:szCs w:val="10"/>
              </w:rPr>
              <w:t>l</w:t>
            </w:r>
            <w:r w:rsidRPr="00B31292">
              <w:rPr>
                <w:rFonts w:ascii="Garamond" w:eastAsia="Times New Roman" w:hAnsi="Garamond" w:cs="Times New Roman"/>
                <w:color w:val="000000"/>
                <w:sz w:val="10"/>
                <w:szCs w:val="10"/>
              </w:rPr>
              <w:t>ogjikisht ndonjëherë në jetë</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w:t>
            </w:r>
            <w:r w:rsidR="00A621AF">
              <w:rPr>
                <w:rFonts w:ascii="Garamond" w:eastAsia="Times New Roman" w:hAnsi="Garamond" w:cs="Times New Roman"/>
                <w:color w:val="000000"/>
                <w:sz w:val="10"/>
                <w:szCs w:val="10"/>
              </w:rPr>
              <w:t>6</w:t>
            </w:r>
            <w:r w:rsidRPr="00B31292">
              <w:rPr>
                <w:rFonts w:ascii="Garamond" w:eastAsia="Times New Roman" w:hAnsi="Garamond" w:cs="Times New Roman"/>
                <w:color w:val="000000"/>
                <w:sz w:val="10"/>
                <w:szCs w:val="10"/>
              </w:rPr>
              <w:t xml:space="preserve">. Përqindja e grave të moshës </w:t>
            </w:r>
            <w:r w:rsidR="00FD245C" w:rsidRPr="00B31292">
              <w:rPr>
                <w:rFonts w:ascii="Garamond" w:eastAsia="Times New Roman" w:hAnsi="Garamond" w:cs="Times New Roman"/>
                <w:color w:val="000000"/>
                <w:sz w:val="10"/>
                <w:szCs w:val="10"/>
              </w:rPr>
              <w:t>18–74 vjeç</w:t>
            </w:r>
            <w:r w:rsidRPr="00B31292">
              <w:rPr>
                <w:rFonts w:ascii="Garamond" w:eastAsia="Times New Roman" w:hAnsi="Garamond" w:cs="Times New Roman"/>
                <w:color w:val="000000"/>
                <w:sz w:val="10"/>
                <w:szCs w:val="10"/>
              </w:rPr>
              <w:t xml:space="preserve"> të dhunuara fizikisht dhe/ose seksualisht në 12 muajt e fundit nga partneri</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w:t>
            </w:r>
            <w:r w:rsidR="00A621AF">
              <w:rPr>
                <w:rFonts w:ascii="Garamond" w:eastAsia="Times New Roman" w:hAnsi="Garamond" w:cs="Times New Roman"/>
                <w:color w:val="000000"/>
                <w:sz w:val="10"/>
                <w:szCs w:val="10"/>
              </w:rPr>
              <w:t>7</w:t>
            </w:r>
            <w:r w:rsidRPr="00B31292">
              <w:rPr>
                <w:rFonts w:ascii="Garamond" w:eastAsia="Times New Roman" w:hAnsi="Garamond" w:cs="Times New Roman"/>
                <w:color w:val="000000"/>
                <w:sz w:val="10"/>
                <w:szCs w:val="10"/>
              </w:rPr>
              <w:t xml:space="preserve">. Përqindja e grave të moshës </w:t>
            </w:r>
            <w:r w:rsidR="00FD245C" w:rsidRPr="00B31292">
              <w:rPr>
                <w:rFonts w:ascii="Garamond" w:eastAsia="Times New Roman" w:hAnsi="Garamond" w:cs="Times New Roman"/>
                <w:color w:val="000000"/>
                <w:sz w:val="10"/>
                <w:szCs w:val="10"/>
              </w:rPr>
              <w:t>18–74 vjeç</w:t>
            </w:r>
            <w:r w:rsidRPr="00B31292">
              <w:rPr>
                <w:rFonts w:ascii="Garamond" w:eastAsia="Times New Roman" w:hAnsi="Garamond" w:cs="Times New Roman"/>
                <w:color w:val="000000"/>
                <w:sz w:val="10"/>
                <w:szCs w:val="10"/>
              </w:rPr>
              <w:t xml:space="preserve"> të dhunuara fizikisht dhe/ose seksualisht ndonjëherë në jetë nga partneri</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w:t>
            </w:r>
            <w:r w:rsidR="00A621AF">
              <w:rPr>
                <w:rFonts w:ascii="Garamond" w:eastAsia="Times New Roman" w:hAnsi="Garamond" w:cs="Times New Roman"/>
                <w:color w:val="000000"/>
                <w:sz w:val="10"/>
                <w:szCs w:val="10"/>
              </w:rPr>
              <w:t>8</w:t>
            </w:r>
            <w:r w:rsidRPr="00B31292">
              <w:rPr>
                <w:rFonts w:ascii="Garamond" w:eastAsia="Times New Roman" w:hAnsi="Garamond" w:cs="Times New Roman"/>
                <w:color w:val="000000"/>
                <w:sz w:val="10"/>
                <w:szCs w:val="10"/>
              </w:rPr>
              <w:t xml:space="preserve">. Përqindja e grave të moshës </w:t>
            </w:r>
            <w:r w:rsidR="00FD245C" w:rsidRPr="00B31292">
              <w:rPr>
                <w:rFonts w:ascii="Garamond" w:eastAsia="Times New Roman" w:hAnsi="Garamond" w:cs="Times New Roman"/>
                <w:color w:val="000000"/>
                <w:sz w:val="10"/>
                <w:szCs w:val="10"/>
              </w:rPr>
              <w:t>18–74 vjeç</w:t>
            </w:r>
            <w:r w:rsidRPr="00B31292">
              <w:rPr>
                <w:rFonts w:ascii="Garamond" w:eastAsia="Times New Roman" w:hAnsi="Garamond" w:cs="Times New Roman"/>
                <w:color w:val="000000"/>
                <w:sz w:val="10"/>
                <w:szCs w:val="10"/>
              </w:rPr>
              <w:t xml:space="preserve"> të dhunuara ekonomikisht ndonjëherë në jetë</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r>
            <w:r w:rsidR="00A621AF">
              <w:rPr>
                <w:rFonts w:ascii="Garamond" w:eastAsia="Times New Roman" w:hAnsi="Garamond" w:cs="Times New Roman"/>
                <w:color w:val="000000"/>
                <w:sz w:val="10"/>
                <w:szCs w:val="10"/>
              </w:rPr>
              <w:t>29</w:t>
            </w:r>
            <w:r w:rsidRPr="00B31292">
              <w:rPr>
                <w:rFonts w:ascii="Garamond" w:eastAsia="Times New Roman" w:hAnsi="Garamond" w:cs="Times New Roman"/>
                <w:color w:val="000000"/>
                <w:sz w:val="10"/>
                <w:szCs w:val="10"/>
              </w:rPr>
              <w:t xml:space="preserve">. Përqindja e grave të moshës </w:t>
            </w:r>
            <w:r w:rsidR="00FD245C" w:rsidRPr="00B31292">
              <w:rPr>
                <w:rFonts w:ascii="Garamond" w:eastAsia="Times New Roman" w:hAnsi="Garamond" w:cs="Times New Roman"/>
                <w:color w:val="000000"/>
                <w:sz w:val="10"/>
                <w:szCs w:val="10"/>
              </w:rPr>
              <w:t>20–24 vjeç</w:t>
            </w:r>
            <w:r w:rsidRPr="00B31292">
              <w:rPr>
                <w:rFonts w:ascii="Garamond" w:eastAsia="Times New Roman" w:hAnsi="Garamond" w:cs="Times New Roman"/>
                <w:color w:val="000000"/>
                <w:sz w:val="10"/>
                <w:szCs w:val="10"/>
              </w:rPr>
              <w:t xml:space="preserve"> që janë martuar ose hynë në një marrëdhënie para moshës 18 vjeç</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 3</w:t>
            </w:r>
            <w:r w:rsidR="00A621AF">
              <w:rPr>
                <w:rFonts w:ascii="Garamond" w:eastAsia="Times New Roman" w:hAnsi="Garamond" w:cs="Times New Roman"/>
                <w:color w:val="000000"/>
                <w:sz w:val="10"/>
                <w:szCs w:val="10"/>
              </w:rPr>
              <w:t>0</w:t>
            </w:r>
            <w:r w:rsidRPr="00B31292">
              <w:rPr>
                <w:rFonts w:ascii="Garamond" w:eastAsia="Times New Roman" w:hAnsi="Garamond" w:cs="Times New Roman"/>
                <w:color w:val="000000"/>
                <w:sz w:val="10"/>
                <w:szCs w:val="10"/>
              </w:rPr>
              <w:t>. Mosha mesatare e daljes në pension për pensionet e reja të pleqërisë</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w:t>
            </w:r>
            <w:r w:rsidR="00A621AF">
              <w:rPr>
                <w:rFonts w:ascii="Garamond" w:eastAsia="Times New Roman" w:hAnsi="Garamond" w:cs="Times New Roman"/>
                <w:color w:val="000000"/>
                <w:sz w:val="10"/>
                <w:szCs w:val="10"/>
              </w:rPr>
              <w:t>1.</w:t>
            </w:r>
            <w:r w:rsidRPr="00B31292">
              <w:rPr>
                <w:rFonts w:ascii="Garamond" w:eastAsia="Times New Roman" w:hAnsi="Garamond" w:cs="Times New Roman"/>
                <w:color w:val="000000"/>
                <w:sz w:val="10"/>
                <w:szCs w:val="10"/>
              </w:rPr>
              <w:t xml:space="preserve"> Ankesa sipas të drejtës së shkelur dhe gjinisë</w:t>
            </w:r>
            <w:r w:rsidR="008C7870" w:rsidRPr="00B31292">
              <w:rPr>
                <w:rFonts w:ascii="Garamond" w:eastAsia="Times New Roman" w:hAnsi="Garamond" w:cs="Times New Roman"/>
                <w:color w:val="000000"/>
                <w:sz w:val="10"/>
                <w:szCs w:val="10"/>
              </w:rPr>
              <w:t>.</w:t>
            </w:r>
            <w:bookmarkStart w:id="51" w:name="_GoBack"/>
            <w:bookmarkEnd w:id="51"/>
          </w:p>
        </w:tc>
        <w:tc>
          <w:tcPr>
            <w:tcW w:w="299" w:type="pct"/>
            <w:vMerge/>
            <w:tcBorders>
              <w:top w:val="nil"/>
              <w:left w:val="single" w:sz="4" w:space="0" w:color="auto"/>
              <w:bottom w:val="single" w:sz="4" w:space="0" w:color="000000"/>
              <w:right w:val="single" w:sz="4" w:space="0" w:color="auto"/>
            </w:tcBorders>
            <w:vAlign w:val="center"/>
            <w:hideMark/>
          </w:tcPr>
          <w:p w14:paraId="168F52C9"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24" w:type="pct"/>
            <w:vMerge/>
            <w:tcBorders>
              <w:top w:val="nil"/>
              <w:left w:val="single" w:sz="4" w:space="0" w:color="auto"/>
              <w:bottom w:val="single" w:sz="4" w:space="0" w:color="000000"/>
              <w:right w:val="single" w:sz="4" w:space="0" w:color="auto"/>
            </w:tcBorders>
            <w:vAlign w:val="center"/>
            <w:hideMark/>
          </w:tcPr>
          <w:p w14:paraId="1367ABB5"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44" w:type="pct"/>
            <w:vMerge/>
            <w:tcBorders>
              <w:top w:val="nil"/>
              <w:left w:val="single" w:sz="4" w:space="0" w:color="auto"/>
              <w:bottom w:val="single" w:sz="4" w:space="0" w:color="000000"/>
              <w:right w:val="single" w:sz="4" w:space="0" w:color="auto"/>
            </w:tcBorders>
            <w:vAlign w:val="center"/>
            <w:hideMark/>
          </w:tcPr>
          <w:p w14:paraId="0B330B8F"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20" w:type="pct"/>
            <w:vMerge/>
            <w:tcBorders>
              <w:top w:val="nil"/>
              <w:left w:val="single" w:sz="4" w:space="0" w:color="auto"/>
              <w:bottom w:val="single" w:sz="4" w:space="0" w:color="000000"/>
              <w:right w:val="single" w:sz="4" w:space="0" w:color="auto"/>
            </w:tcBorders>
            <w:vAlign w:val="center"/>
            <w:hideMark/>
          </w:tcPr>
          <w:p w14:paraId="404F2765"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20" w:type="pct"/>
            <w:vMerge/>
            <w:tcBorders>
              <w:top w:val="nil"/>
              <w:left w:val="single" w:sz="4" w:space="0" w:color="auto"/>
              <w:bottom w:val="single" w:sz="4" w:space="0" w:color="000000"/>
              <w:right w:val="single" w:sz="4" w:space="0" w:color="auto"/>
            </w:tcBorders>
            <w:vAlign w:val="center"/>
            <w:hideMark/>
          </w:tcPr>
          <w:p w14:paraId="37A71B3E"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346" w:type="pct"/>
            <w:vMerge/>
            <w:tcBorders>
              <w:top w:val="nil"/>
              <w:left w:val="single" w:sz="4" w:space="0" w:color="auto"/>
              <w:bottom w:val="single" w:sz="4" w:space="0" w:color="000000"/>
              <w:right w:val="single" w:sz="4" w:space="0" w:color="auto"/>
            </w:tcBorders>
            <w:vAlign w:val="center"/>
            <w:hideMark/>
          </w:tcPr>
          <w:p w14:paraId="20CCF34A"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73" w:type="pct"/>
            <w:vMerge/>
            <w:tcBorders>
              <w:top w:val="nil"/>
              <w:left w:val="single" w:sz="4" w:space="0" w:color="auto"/>
              <w:bottom w:val="single" w:sz="4" w:space="0" w:color="000000"/>
              <w:right w:val="single" w:sz="4" w:space="0" w:color="auto"/>
            </w:tcBorders>
            <w:vAlign w:val="center"/>
            <w:hideMark/>
          </w:tcPr>
          <w:p w14:paraId="719E2895"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r>
      <w:tr w:rsidR="000A2254" w:rsidRPr="00B31292" w14:paraId="6ADAD2E9" w14:textId="77777777" w:rsidTr="000A2254">
        <w:trPr>
          <w:trHeight w:val="20"/>
        </w:trPr>
        <w:tc>
          <w:tcPr>
            <w:tcW w:w="215" w:type="pct"/>
            <w:tcBorders>
              <w:top w:val="nil"/>
              <w:left w:val="nil"/>
              <w:bottom w:val="nil"/>
              <w:right w:val="nil"/>
            </w:tcBorders>
            <w:shd w:val="clear" w:color="000000" w:fill="FFFFFF"/>
            <w:vAlign w:val="bottom"/>
            <w:hideMark/>
          </w:tcPr>
          <w:p w14:paraId="06A9543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2910914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7BA14B3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75CE9C2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124A2A1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423E643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vMerge w:val="restart"/>
            <w:tcBorders>
              <w:top w:val="nil"/>
              <w:left w:val="single" w:sz="4" w:space="0" w:color="auto"/>
              <w:bottom w:val="single" w:sz="4" w:space="0" w:color="000000"/>
              <w:right w:val="single" w:sz="4" w:space="0" w:color="auto"/>
            </w:tcBorders>
            <w:shd w:val="clear" w:color="auto" w:fill="auto"/>
            <w:vAlign w:val="center"/>
            <w:hideMark/>
          </w:tcPr>
          <w:p w14:paraId="6E96747B"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1.1.3.2</w:t>
            </w:r>
          </w:p>
        </w:tc>
        <w:tc>
          <w:tcPr>
            <w:tcW w:w="281" w:type="pct"/>
            <w:vMerge w:val="restart"/>
            <w:tcBorders>
              <w:top w:val="nil"/>
              <w:left w:val="single" w:sz="4" w:space="0" w:color="auto"/>
              <w:bottom w:val="single" w:sz="4" w:space="0" w:color="000000"/>
              <w:right w:val="single" w:sz="4" w:space="0" w:color="auto"/>
            </w:tcBorders>
            <w:shd w:val="clear" w:color="auto" w:fill="auto"/>
            <w:vAlign w:val="center"/>
            <w:hideMark/>
          </w:tcPr>
          <w:p w14:paraId="1CFF73DE"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Indeksi i barazisë gjinore</w:t>
            </w:r>
          </w:p>
        </w:tc>
        <w:tc>
          <w:tcPr>
            <w:tcW w:w="236" w:type="pct"/>
            <w:vMerge w:val="restart"/>
            <w:tcBorders>
              <w:top w:val="nil"/>
              <w:left w:val="single" w:sz="4" w:space="0" w:color="auto"/>
              <w:bottom w:val="single" w:sz="4" w:space="0" w:color="000000"/>
              <w:right w:val="single" w:sz="4" w:space="0" w:color="auto"/>
            </w:tcBorders>
            <w:shd w:val="clear" w:color="auto" w:fill="auto"/>
            <w:vAlign w:val="center"/>
            <w:hideMark/>
          </w:tcPr>
          <w:p w14:paraId="0F0CD5C1"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Kombinim i burimeve administrative dhe vrojtimeve</w:t>
            </w:r>
          </w:p>
        </w:tc>
        <w:tc>
          <w:tcPr>
            <w:tcW w:w="23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A71193D"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40%</w:t>
            </w:r>
          </w:p>
        </w:tc>
        <w:tc>
          <w:tcPr>
            <w:tcW w:w="18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FE227FA"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60%</w:t>
            </w:r>
          </w:p>
        </w:tc>
        <w:tc>
          <w:tcPr>
            <w:tcW w:w="228" w:type="pct"/>
            <w:vMerge w:val="restart"/>
            <w:tcBorders>
              <w:top w:val="nil"/>
              <w:left w:val="single" w:sz="4" w:space="0" w:color="auto"/>
              <w:bottom w:val="single" w:sz="4" w:space="0" w:color="000000"/>
              <w:right w:val="single" w:sz="4" w:space="0" w:color="auto"/>
            </w:tcBorders>
            <w:shd w:val="clear" w:color="auto" w:fill="auto"/>
            <w:vAlign w:val="center"/>
            <w:hideMark/>
          </w:tcPr>
          <w:p w14:paraId="0224948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vMerge w:val="restart"/>
            <w:tcBorders>
              <w:top w:val="nil"/>
              <w:left w:val="single" w:sz="4" w:space="0" w:color="auto"/>
              <w:bottom w:val="single" w:sz="4" w:space="0" w:color="000000"/>
              <w:right w:val="single" w:sz="4" w:space="0" w:color="auto"/>
            </w:tcBorders>
            <w:shd w:val="clear" w:color="auto" w:fill="auto"/>
            <w:vAlign w:val="center"/>
            <w:hideMark/>
          </w:tcPr>
          <w:p w14:paraId="5063292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Vjetor</w:t>
            </w:r>
          </w:p>
        </w:tc>
        <w:tc>
          <w:tcPr>
            <w:tcW w:w="486" w:type="pct"/>
            <w:tcBorders>
              <w:top w:val="single" w:sz="4" w:space="0" w:color="auto"/>
              <w:left w:val="nil"/>
              <w:bottom w:val="nil"/>
              <w:right w:val="single" w:sz="4" w:space="0" w:color="auto"/>
            </w:tcBorders>
            <w:shd w:val="clear" w:color="000000" w:fill="FFFFFF"/>
            <w:vAlign w:val="center"/>
            <w:hideMark/>
          </w:tcPr>
          <w:p w14:paraId="072DBD46" w14:textId="5A71175B"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Norma ekuivalente e punësimit në kohë të plotë</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 Kohëzgjatja e jetës në punë</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 Të punësuar në arsim, humanitare, shëndetësi dhe punë sociale</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4. Aftësia për të marrë kohë për çështje personale dhe familjare</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5. Indeksi i Prosperitetit të Karrierës</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6. Të ardhurat mesatare mujore</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r>
            <w:r w:rsidRPr="00B31292">
              <w:rPr>
                <w:rFonts w:ascii="Garamond" w:eastAsia="Times New Roman" w:hAnsi="Garamond" w:cs="Times New Roman"/>
                <w:color w:val="000000"/>
                <w:sz w:val="10"/>
                <w:szCs w:val="10"/>
              </w:rPr>
              <w:lastRenderedPageBreak/>
              <w:t>7. Të ardhura neto mesatare të ekuivalentuara</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8. Jo në risk varfërie</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9. Ndarja e kuintileve S20/80 të të ardhurave</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10. Popullsia me arsim të lartë</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11. Arsimi dhe trajnimi formal dhe joformal</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12. Studentët në arsim të lartë në fushat e arsimit, shëndet dhe </w:t>
            </w:r>
            <w:r w:rsidR="00FD245C" w:rsidRPr="00B31292">
              <w:rPr>
                <w:rFonts w:ascii="Garamond" w:eastAsia="Times New Roman" w:hAnsi="Garamond" w:cs="Times New Roman"/>
                <w:color w:val="000000"/>
                <w:sz w:val="10"/>
                <w:szCs w:val="10"/>
              </w:rPr>
              <w:t>mirëqenie</w:t>
            </w:r>
            <w:r w:rsidRPr="00B31292">
              <w:rPr>
                <w:rFonts w:ascii="Garamond" w:eastAsia="Times New Roman" w:hAnsi="Garamond" w:cs="Times New Roman"/>
                <w:color w:val="000000"/>
                <w:sz w:val="10"/>
                <w:szCs w:val="10"/>
              </w:rPr>
              <w:t>, arte dhe humanitare</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13. Kujdesi për fëmijët dhe gjyshërit ose personat e moshuar ose me aftësi të </w:t>
            </w:r>
            <w:r w:rsidR="00FD245C" w:rsidRPr="00B31292">
              <w:rPr>
                <w:rFonts w:ascii="Garamond" w:eastAsia="Times New Roman" w:hAnsi="Garamond" w:cs="Times New Roman"/>
                <w:color w:val="000000"/>
                <w:sz w:val="10"/>
                <w:szCs w:val="10"/>
              </w:rPr>
              <w:t>kufizuar</w:t>
            </w:r>
            <w:r w:rsidR="008C7870" w:rsidRPr="00B31292">
              <w:rPr>
                <w:rFonts w:ascii="Garamond" w:eastAsia="Times New Roman" w:hAnsi="Garamond" w:cs="Times New Roman"/>
                <w:color w:val="000000"/>
                <w:sz w:val="10"/>
                <w:szCs w:val="10"/>
              </w:rPr>
              <w:t>a.</w:t>
            </w:r>
            <w:r w:rsidRPr="00B31292">
              <w:rPr>
                <w:rFonts w:ascii="Garamond" w:eastAsia="Times New Roman" w:hAnsi="Garamond" w:cs="Times New Roman"/>
                <w:color w:val="000000"/>
                <w:sz w:val="10"/>
                <w:szCs w:val="10"/>
              </w:rPr>
              <w:br/>
              <w:t>14. Personat që bëjnë garim dhe/ose punë shtëpie</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15. Aktivitetet sportive, kulturore dhe të kohës së lirë</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16. Aktivitet vullnetare dhe ato bamirëse</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17. Përpjesa ministrore</w:t>
            </w:r>
            <w:r w:rsidRPr="00B31292">
              <w:rPr>
                <w:rFonts w:ascii="Garamond" w:eastAsia="Times New Roman" w:hAnsi="Garamond" w:cs="Times New Roman"/>
                <w:color w:val="000000"/>
                <w:sz w:val="10"/>
                <w:szCs w:val="10"/>
              </w:rPr>
              <w:br/>
              <w:t>18. Përpjesa e anëtarëve të bordeve për kompanitë e kuotuara</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19. Përpjesa e anëtarëve të bankës </w:t>
            </w:r>
            <w:r w:rsidR="00FD245C" w:rsidRPr="00B31292">
              <w:rPr>
                <w:rFonts w:ascii="Garamond" w:eastAsia="Times New Roman" w:hAnsi="Garamond" w:cs="Times New Roman"/>
                <w:color w:val="000000"/>
                <w:sz w:val="10"/>
                <w:szCs w:val="10"/>
              </w:rPr>
              <w:t>qendrore</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20. Përpjesa e anëtarëve të organizatave të kompanive të kërkimit</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21. Përpjesa e anëtarëve të bordit të organizatave transmetuese</w:t>
            </w:r>
            <w:r w:rsidR="007A799B" w:rsidRPr="00B31292">
              <w:rPr>
                <w:rFonts w:ascii="Garamond" w:eastAsia="Times New Roman" w:hAnsi="Garamond" w:cs="Times New Roman"/>
                <w:color w:val="000000"/>
                <w:sz w:val="10"/>
                <w:szCs w:val="10"/>
              </w:rPr>
              <w:t>.</w:t>
            </w:r>
          </w:p>
        </w:tc>
        <w:tc>
          <w:tcPr>
            <w:tcW w:w="299" w:type="pct"/>
            <w:vMerge w:val="restart"/>
            <w:tcBorders>
              <w:top w:val="nil"/>
              <w:left w:val="single" w:sz="4" w:space="0" w:color="auto"/>
              <w:bottom w:val="single" w:sz="4" w:space="0" w:color="000000"/>
              <w:right w:val="single" w:sz="4" w:space="0" w:color="auto"/>
            </w:tcBorders>
            <w:shd w:val="clear" w:color="auto" w:fill="auto"/>
            <w:vAlign w:val="center"/>
            <w:hideMark/>
          </w:tcPr>
          <w:p w14:paraId="00C2C83A" w14:textId="0704DAE8"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lastRenderedPageBreak/>
              <w:t>Instituti i Statistikave</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Kryeministria</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Banka e Shqipërisë</w:t>
            </w:r>
            <w:r w:rsidR="008C787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Komisioni Qendror i Zgjedhjeve</w:t>
            </w:r>
            <w:r w:rsidR="008C7870" w:rsidRPr="00B31292">
              <w:rPr>
                <w:rFonts w:ascii="Garamond" w:eastAsia="Times New Roman" w:hAnsi="Garamond" w:cs="Times New Roman"/>
                <w:color w:val="000000"/>
                <w:sz w:val="10"/>
                <w:szCs w:val="10"/>
              </w:rPr>
              <w:t>,</w:t>
            </w:r>
          </w:p>
        </w:tc>
        <w:tc>
          <w:tcPr>
            <w:tcW w:w="224" w:type="pct"/>
            <w:vMerge w:val="restart"/>
            <w:tcBorders>
              <w:top w:val="nil"/>
              <w:left w:val="single" w:sz="4" w:space="0" w:color="auto"/>
              <w:bottom w:val="single" w:sz="4" w:space="0" w:color="000000"/>
              <w:right w:val="single" w:sz="4" w:space="0" w:color="auto"/>
            </w:tcBorders>
            <w:shd w:val="clear" w:color="auto" w:fill="auto"/>
            <w:vAlign w:val="center"/>
            <w:hideMark/>
          </w:tcPr>
          <w:p w14:paraId="4B88097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p>
        </w:tc>
        <w:tc>
          <w:tcPr>
            <w:tcW w:w="24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CE04DD6"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V+90D</w:t>
            </w:r>
          </w:p>
        </w:tc>
        <w:tc>
          <w:tcPr>
            <w:tcW w:w="220"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416D8BF"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V+150</w:t>
            </w:r>
          </w:p>
        </w:tc>
        <w:tc>
          <w:tcPr>
            <w:tcW w:w="220"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B85CE3B"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346" w:type="pct"/>
            <w:vMerge w:val="restart"/>
            <w:tcBorders>
              <w:top w:val="nil"/>
              <w:left w:val="single" w:sz="4" w:space="0" w:color="auto"/>
              <w:bottom w:val="single" w:sz="4" w:space="0" w:color="000000"/>
              <w:right w:val="single" w:sz="4" w:space="0" w:color="auto"/>
            </w:tcBorders>
            <w:shd w:val="clear" w:color="auto" w:fill="auto"/>
            <w:vAlign w:val="center"/>
            <w:hideMark/>
          </w:tcPr>
          <w:p w14:paraId="5745AC2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Vonesa në marrjen e të dhënave nga burimet administrative -|- 4</w:t>
            </w:r>
          </w:p>
        </w:tc>
        <w:tc>
          <w:tcPr>
            <w:tcW w:w="273" w:type="pct"/>
            <w:vMerge w:val="restart"/>
            <w:tcBorders>
              <w:top w:val="nil"/>
              <w:left w:val="single" w:sz="4" w:space="0" w:color="auto"/>
              <w:bottom w:val="single" w:sz="4" w:space="0" w:color="000000"/>
              <w:right w:val="single" w:sz="4" w:space="0" w:color="auto"/>
            </w:tcBorders>
            <w:shd w:val="clear" w:color="auto" w:fill="auto"/>
            <w:vAlign w:val="center"/>
            <w:hideMark/>
          </w:tcPr>
          <w:p w14:paraId="26E99A8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Buxhet shteti</w:t>
            </w:r>
          </w:p>
        </w:tc>
      </w:tr>
      <w:tr w:rsidR="000A2254" w:rsidRPr="00B31292" w14:paraId="6DA4F540" w14:textId="77777777" w:rsidTr="000A2254">
        <w:trPr>
          <w:trHeight w:val="20"/>
        </w:trPr>
        <w:tc>
          <w:tcPr>
            <w:tcW w:w="215" w:type="pct"/>
            <w:tcBorders>
              <w:top w:val="nil"/>
              <w:left w:val="nil"/>
              <w:bottom w:val="nil"/>
              <w:right w:val="nil"/>
            </w:tcBorders>
            <w:shd w:val="clear" w:color="000000" w:fill="FFFFFF"/>
            <w:vAlign w:val="bottom"/>
            <w:hideMark/>
          </w:tcPr>
          <w:p w14:paraId="67DA1D9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35AF22A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1AD1E60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017216E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10E446A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2078104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vMerge/>
            <w:tcBorders>
              <w:top w:val="nil"/>
              <w:left w:val="single" w:sz="4" w:space="0" w:color="auto"/>
              <w:bottom w:val="single" w:sz="4" w:space="0" w:color="000000"/>
              <w:right w:val="single" w:sz="4" w:space="0" w:color="auto"/>
            </w:tcBorders>
            <w:vAlign w:val="center"/>
            <w:hideMark/>
          </w:tcPr>
          <w:p w14:paraId="39151FF7"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81" w:type="pct"/>
            <w:vMerge/>
            <w:tcBorders>
              <w:top w:val="nil"/>
              <w:left w:val="single" w:sz="4" w:space="0" w:color="auto"/>
              <w:bottom w:val="single" w:sz="4" w:space="0" w:color="000000"/>
              <w:right w:val="single" w:sz="4" w:space="0" w:color="auto"/>
            </w:tcBorders>
            <w:vAlign w:val="center"/>
            <w:hideMark/>
          </w:tcPr>
          <w:p w14:paraId="7A781058" w14:textId="77777777" w:rsidR="000A2254" w:rsidRPr="00B31292" w:rsidRDefault="000A2254" w:rsidP="000A2254">
            <w:pPr>
              <w:spacing w:after="0" w:line="240" w:lineRule="auto"/>
              <w:rPr>
                <w:rFonts w:ascii="Garamond" w:eastAsia="Times New Roman" w:hAnsi="Garamond" w:cs="Times New Roman"/>
                <w:sz w:val="10"/>
                <w:szCs w:val="10"/>
              </w:rPr>
            </w:pPr>
          </w:p>
        </w:tc>
        <w:tc>
          <w:tcPr>
            <w:tcW w:w="236" w:type="pct"/>
            <w:vMerge/>
            <w:tcBorders>
              <w:top w:val="nil"/>
              <w:left w:val="single" w:sz="4" w:space="0" w:color="auto"/>
              <w:bottom w:val="single" w:sz="4" w:space="0" w:color="000000"/>
              <w:right w:val="single" w:sz="4" w:space="0" w:color="auto"/>
            </w:tcBorders>
            <w:vAlign w:val="center"/>
            <w:hideMark/>
          </w:tcPr>
          <w:p w14:paraId="6B17FEBF" w14:textId="77777777" w:rsidR="000A2254" w:rsidRPr="00B31292" w:rsidRDefault="000A2254" w:rsidP="000A2254">
            <w:pPr>
              <w:spacing w:after="0" w:line="240" w:lineRule="auto"/>
              <w:rPr>
                <w:rFonts w:ascii="Garamond" w:eastAsia="Times New Roman" w:hAnsi="Garamond" w:cs="Times New Roman"/>
                <w:sz w:val="10"/>
                <w:szCs w:val="10"/>
              </w:rPr>
            </w:pPr>
          </w:p>
        </w:tc>
        <w:tc>
          <w:tcPr>
            <w:tcW w:w="238" w:type="pct"/>
            <w:vMerge/>
            <w:tcBorders>
              <w:top w:val="nil"/>
              <w:left w:val="single" w:sz="4" w:space="0" w:color="auto"/>
              <w:bottom w:val="single" w:sz="4" w:space="0" w:color="000000"/>
              <w:right w:val="single" w:sz="4" w:space="0" w:color="auto"/>
            </w:tcBorders>
            <w:vAlign w:val="center"/>
            <w:hideMark/>
          </w:tcPr>
          <w:p w14:paraId="1294CC1E" w14:textId="77777777" w:rsidR="000A2254" w:rsidRPr="00B31292" w:rsidRDefault="000A2254" w:rsidP="000A2254">
            <w:pPr>
              <w:spacing w:after="0" w:line="240" w:lineRule="auto"/>
              <w:rPr>
                <w:rFonts w:ascii="Garamond" w:eastAsia="Times New Roman" w:hAnsi="Garamond" w:cs="Times New Roman"/>
                <w:sz w:val="10"/>
                <w:szCs w:val="10"/>
              </w:rPr>
            </w:pPr>
          </w:p>
        </w:tc>
        <w:tc>
          <w:tcPr>
            <w:tcW w:w="180" w:type="pct"/>
            <w:vMerge/>
            <w:tcBorders>
              <w:top w:val="nil"/>
              <w:left w:val="single" w:sz="4" w:space="0" w:color="auto"/>
              <w:bottom w:val="single" w:sz="4" w:space="0" w:color="000000"/>
              <w:right w:val="single" w:sz="4" w:space="0" w:color="auto"/>
            </w:tcBorders>
            <w:vAlign w:val="center"/>
            <w:hideMark/>
          </w:tcPr>
          <w:p w14:paraId="71674F92" w14:textId="77777777" w:rsidR="000A2254" w:rsidRPr="00B31292" w:rsidRDefault="000A2254" w:rsidP="000A2254">
            <w:pPr>
              <w:spacing w:after="0" w:line="240" w:lineRule="auto"/>
              <w:rPr>
                <w:rFonts w:ascii="Garamond" w:eastAsia="Times New Roman" w:hAnsi="Garamond" w:cs="Times New Roman"/>
                <w:sz w:val="10"/>
                <w:szCs w:val="10"/>
              </w:rPr>
            </w:pPr>
          </w:p>
        </w:tc>
        <w:tc>
          <w:tcPr>
            <w:tcW w:w="228" w:type="pct"/>
            <w:vMerge/>
            <w:tcBorders>
              <w:top w:val="nil"/>
              <w:left w:val="single" w:sz="4" w:space="0" w:color="auto"/>
              <w:bottom w:val="single" w:sz="4" w:space="0" w:color="000000"/>
              <w:right w:val="single" w:sz="4" w:space="0" w:color="auto"/>
            </w:tcBorders>
            <w:vAlign w:val="center"/>
            <w:hideMark/>
          </w:tcPr>
          <w:p w14:paraId="2364887B"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22" w:type="pct"/>
            <w:vMerge/>
            <w:tcBorders>
              <w:top w:val="nil"/>
              <w:left w:val="single" w:sz="4" w:space="0" w:color="auto"/>
              <w:bottom w:val="single" w:sz="4" w:space="0" w:color="000000"/>
              <w:right w:val="single" w:sz="4" w:space="0" w:color="auto"/>
            </w:tcBorders>
            <w:vAlign w:val="center"/>
            <w:hideMark/>
          </w:tcPr>
          <w:p w14:paraId="62D494A6"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486" w:type="pct"/>
            <w:tcBorders>
              <w:top w:val="nil"/>
              <w:left w:val="nil"/>
              <w:bottom w:val="single" w:sz="4" w:space="0" w:color="auto"/>
              <w:right w:val="single" w:sz="4" w:space="0" w:color="auto"/>
            </w:tcBorders>
            <w:shd w:val="clear" w:color="000000" w:fill="FFFFFF"/>
            <w:hideMark/>
          </w:tcPr>
          <w:p w14:paraId="10578677" w14:textId="6BC6D233"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22. Përpjesa e anëtarëve e kompanive të trupit më të lartë vendimmarrës të organizatave sportive Olimpike</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23. Shëndeti i vetëperceptuar</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24. Jetëgjatësia e shëndetshme</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25. Duhanpirja e dëmshme</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26. Aktiviteti fizik dhe/ose konsumi i frutave dhe perimeve</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27. Nevojat e paplotësuara për ekzaminim mjekësor</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28. Nevojat e paplotësuara për ekzaminim dentar</w:t>
            </w:r>
            <w:r w:rsidR="007A799B" w:rsidRPr="00B31292">
              <w:rPr>
                <w:rFonts w:ascii="Garamond" w:eastAsia="Times New Roman" w:hAnsi="Garamond" w:cs="Times New Roman"/>
                <w:color w:val="000000"/>
                <w:sz w:val="10"/>
                <w:szCs w:val="10"/>
              </w:rPr>
              <w:t>.</w:t>
            </w:r>
          </w:p>
        </w:tc>
        <w:tc>
          <w:tcPr>
            <w:tcW w:w="299" w:type="pct"/>
            <w:vMerge/>
            <w:tcBorders>
              <w:top w:val="nil"/>
              <w:left w:val="single" w:sz="4" w:space="0" w:color="auto"/>
              <w:bottom w:val="single" w:sz="4" w:space="0" w:color="000000"/>
              <w:right w:val="single" w:sz="4" w:space="0" w:color="auto"/>
            </w:tcBorders>
            <w:vAlign w:val="center"/>
            <w:hideMark/>
          </w:tcPr>
          <w:p w14:paraId="08CE34C3"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24" w:type="pct"/>
            <w:vMerge/>
            <w:tcBorders>
              <w:top w:val="nil"/>
              <w:left w:val="single" w:sz="4" w:space="0" w:color="auto"/>
              <w:bottom w:val="single" w:sz="4" w:space="0" w:color="000000"/>
              <w:right w:val="single" w:sz="4" w:space="0" w:color="auto"/>
            </w:tcBorders>
            <w:vAlign w:val="center"/>
            <w:hideMark/>
          </w:tcPr>
          <w:p w14:paraId="69CAD2C9"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44" w:type="pct"/>
            <w:vMerge/>
            <w:tcBorders>
              <w:top w:val="nil"/>
              <w:left w:val="single" w:sz="4" w:space="0" w:color="auto"/>
              <w:bottom w:val="single" w:sz="4" w:space="0" w:color="000000"/>
              <w:right w:val="single" w:sz="4" w:space="0" w:color="auto"/>
            </w:tcBorders>
            <w:vAlign w:val="center"/>
            <w:hideMark/>
          </w:tcPr>
          <w:p w14:paraId="250560D5"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20" w:type="pct"/>
            <w:vMerge/>
            <w:tcBorders>
              <w:top w:val="nil"/>
              <w:left w:val="single" w:sz="4" w:space="0" w:color="auto"/>
              <w:bottom w:val="single" w:sz="4" w:space="0" w:color="000000"/>
              <w:right w:val="single" w:sz="4" w:space="0" w:color="auto"/>
            </w:tcBorders>
            <w:vAlign w:val="center"/>
            <w:hideMark/>
          </w:tcPr>
          <w:p w14:paraId="5A608FDD"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20" w:type="pct"/>
            <w:vMerge/>
            <w:tcBorders>
              <w:top w:val="nil"/>
              <w:left w:val="single" w:sz="4" w:space="0" w:color="auto"/>
              <w:bottom w:val="single" w:sz="4" w:space="0" w:color="000000"/>
              <w:right w:val="single" w:sz="4" w:space="0" w:color="auto"/>
            </w:tcBorders>
            <w:vAlign w:val="center"/>
            <w:hideMark/>
          </w:tcPr>
          <w:p w14:paraId="457BEBE0"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346" w:type="pct"/>
            <w:vMerge/>
            <w:tcBorders>
              <w:top w:val="nil"/>
              <w:left w:val="single" w:sz="4" w:space="0" w:color="auto"/>
              <w:bottom w:val="single" w:sz="4" w:space="0" w:color="000000"/>
              <w:right w:val="single" w:sz="4" w:space="0" w:color="auto"/>
            </w:tcBorders>
            <w:vAlign w:val="center"/>
            <w:hideMark/>
          </w:tcPr>
          <w:p w14:paraId="3E14BB01"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73" w:type="pct"/>
            <w:vMerge/>
            <w:tcBorders>
              <w:top w:val="nil"/>
              <w:left w:val="single" w:sz="4" w:space="0" w:color="auto"/>
              <w:bottom w:val="single" w:sz="4" w:space="0" w:color="000000"/>
              <w:right w:val="single" w:sz="4" w:space="0" w:color="auto"/>
            </w:tcBorders>
            <w:vAlign w:val="center"/>
            <w:hideMark/>
          </w:tcPr>
          <w:p w14:paraId="3C56EBE8"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r>
      <w:tr w:rsidR="000A2254" w:rsidRPr="00B31292" w14:paraId="32B3377E" w14:textId="77777777" w:rsidTr="000A2254">
        <w:trPr>
          <w:trHeight w:val="20"/>
        </w:trPr>
        <w:tc>
          <w:tcPr>
            <w:tcW w:w="215" w:type="pct"/>
            <w:tcBorders>
              <w:top w:val="nil"/>
              <w:left w:val="nil"/>
              <w:bottom w:val="nil"/>
              <w:right w:val="nil"/>
            </w:tcBorders>
            <w:shd w:val="clear" w:color="000000" w:fill="FFFFFF"/>
            <w:vAlign w:val="bottom"/>
            <w:hideMark/>
          </w:tcPr>
          <w:p w14:paraId="6C618D8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757EBEC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single" w:sz="4" w:space="0" w:color="000000"/>
              <w:left w:val="single" w:sz="4" w:space="0" w:color="000000"/>
              <w:bottom w:val="single" w:sz="4" w:space="0" w:color="000000"/>
              <w:right w:val="nil"/>
            </w:tcBorders>
            <w:shd w:val="clear" w:color="000000" w:fill="F0F0F0"/>
            <w:vAlign w:val="center"/>
            <w:hideMark/>
          </w:tcPr>
          <w:p w14:paraId="1A695FDD"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1.2</w:t>
            </w:r>
          </w:p>
        </w:tc>
        <w:tc>
          <w:tcPr>
            <w:tcW w:w="4416" w:type="pct"/>
            <w:gridSpan w:val="18"/>
            <w:tcBorders>
              <w:top w:val="single" w:sz="4" w:space="0" w:color="auto"/>
              <w:left w:val="single" w:sz="4" w:space="0" w:color="auto"/>
              <w:bottom w:val="single" w:sz="4" w:space="0" w:color="auto"/>
              <w:right w:val="single" w:sz="4" w:space="0" w:color="auto"/>
            </w:tcBorders>
            <w:shd w:val="clear" w:color="000000" w:fill="F0F0F0"/>
            <w:vAlign w:val="center"/>
            <w:hideMark/>
          </w:tcPr>
          <w:p w14:paraId="578F6219" w14:textId="091ED8C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Puna dhe </w:t>
            </w:r>
            <w:r w:rsidR="00FD245C" w:rsidRPr="00B31292">
              <w:rPr>
                <w:rFonts w:ascii="Garamond" w:eastAsia="Times New Roman" w:hAnsi="Garamond" w:cs="Times New Roman"/>
                <w:color w:val="000000"/>
                <w:sz w:val="10"/>
                <w:szCs w:val="10"/>
              </w:rPr>
              <w:t>kostot e punës</w:t>
            </w:r>
          </w:p>
        </w:tc>
      </w:tr>
      <w:tr w:rsidR="000A2254" w:rsidRPr="00B31292" w14:paraId="74166312" w14:textId="77777777" w:rsidTr="000A2254">
        <w:trPr>
          <w:trHeight w:val="20"/>
        </w:trPr>
        <w:tc>
          <w:tcPr>
            <w:tcW w:w="215" w:type="pct"/>
            <w:tcBorders>
              <w:top w:val="nil"/>
              <w:left w:val="nil"/>
              <w:bottom w:val="nil"/>
              <w:right w:val="nil"/>
            </w:tcBorders>
            <w:shd w:val="clear" w:color="000000" w:fill="FFFFFF"/>
            <w:vAlign w:val="bottom"/>
            <w:hideMark/>
          </w:tcPr>
          <w:p w14:paraId="2064B18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51FAFF8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2528B69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25F126E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single" w:sz="4" w:space="0" w:color="000000"/>
              <w:bottom w:val="single" w:sz="4" w:space="0" w:color="000000"/>
              <w:right w:val="nil"/>
            </w:tcBorders>
            <w:shd w:val="clear" w:color="000000" w:fill="F0F0F0"/>
            <w:vAlign w:val="center"/>
            <w:hideMark/>
          </w:tcPr>
          <w:p w14:paraId="2F6D5AC9"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1.2.1</w:t>
            </w:r>
          </w:p>
        </w:tc>
        <w:tc>
          <w:tcPr>
            <w:tcW w:w="4082" w:type="pct"/>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11408AB8" w14:textId="30F51C3F"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Punësimi dhe </w:t>
            </w:r>
            <w:r w:rsidR="00FD245C" w:rsidRPr="00B31292">
              <w:rPr>
                <w:rFonts w:ascii="Garamond" w:eastAsia="Times New Roman" w:hAnsi="Garamond" w:cs="Times New Roman"/>
                <w:color w:val="000000"/>
                <w:sz w:val="10"/>
                <w:szCs w:val="10"/>
              </w:rPr>
              <w:t>papunësia</w:t>
            </w:r>
          </w:p>
        </w:tc>
      </w:tr>
      <w:tr w:rsidR="000A2254" w:rsidRPr="00B31292" w14:paraId="70CD5DCB" w14:textId="77777777" w:rsidTr="000A2254">
        <w:trPr>
          <w:trHeight w:val="20"/>
        </w:trPr>
        <w:tc>
          <w:tcPr>
            <w:tcW w:w="215" w:type="pct"/>
            <w:tcBorders>
              <w:top w:val="nil"/>
              <w:left w:val="nil"/>
              <w:bottom w:val="nil"/>
              <w:right w:val="nil"/>
            </w:tcBorders>
            <w:shd w:val="clear" w:color="000000" w:fill="FFFFFF"/>
            <w:vAlign w:val="bottom"/>
            <w:hideMark/>
          </w:tcPr>
          <w:p w14:paraId="19E3AC8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4E5E0AE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08D5670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7DDD93C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387C757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19B34D7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000000"/>
              <w:bottom w:val="single" w:sz="4" w:space="0" w:color="000000"/>
              <w:right w:val="single" w:sz="4" w:space="0" w:color="000000"/>
            </w:tcBorders>
            <w:shd w:val="clear" w:color="auto" w:fill="auto"/>
            <w:vAlign w:val="center"/>
            <w:hideMark/>
          </w:tcPr>
          <w:p w14:paraId="0EAEC185"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1.2.1.1</w:t>
            </w:r>
          </w:p>
        </w:tc>
        <w:tc>
          <w:tcPr>
            <w:tcW w:w="281" w:type="pct"/>
            <w:tcBorders>
              <w:top w:val="nil"/>
              <w:left w:val="nil"/>
              <w:bottom w:val="single" w:sz="4" w:space="0" w:color="000000"/>
              <w:right w:val="single" w:sz="4" w:space="0" w:color="000000"/>
            </w:tcBorders>
            <w:shd w:val="clear" w:color="auto" w:fill="auto"/>
            <w:vAlign w:val="center"/>
            <w:hideMark/>
          </w:tcPr>
          <w:p w14:paraId="6142BA25" w14:textId="166AA199"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xml:space="preserve">Statistika të </w:t>
            </w:r>
            <w:r w:rsidR="007A799B" w:rsidRPr="00B31292">
              <w:rPr>
                <w:rFonts w:ascii="Garamond" w:eastAsia="Times New Roman" w:hAnsi="Garamond" w:cs="Times New Roman"/>
                <w:sz w:val="10"/>
                <w:szCs w:val="10"/>
              </w:rPr>
              <w:t>forcave të punës</w:t>
            </w:r>
          </w:p>
        </w:tc>
        <w:tc>
          <w:tcPr>
            <w:tcW w:w="236" w:type="pct"/>
            <w:tcBorders>
              <w:top w:val="nil"/>
              <w:left w:val="nil"/>
              <w:bottom w:val="single" w:sz="4" w:space="0" w:color="000000"/>
              <w:right w:val="single" w:sz="4" w:space="0" w:color="000000"/>
            </w:tcBorders>
            <w:shd w:val="clear" w:color="auto" w:fill="auto"/>
            <w:vAlign w:val="center"/>
            <w:hideMark/>
          </w:tcPr>
          <w:p w14:paraId="57EC0B6F"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Vrojtim</w:t>
            </w:r>
          </w:p>
        </w:tc>
        <w:tc>
          <w:tcPr>
            <w:tcW w:w="238" w:type="pct"/>
            <w:tcBorders>
              <w:top w:val="nil"/>
              <w:left w:val="nil"/>
              <w:bottom w:val="single" w:sz="4" w:space="0" w:color="auto"/>
              <w:right w:val="single" w:sz="4" w:space="0" w:color="auto"/>
            </w:tcBorders>
            <w:shd w:val="clear" w:color="auto" w:fill="auto"/>
            <w:vAlign w:val="center"/>
            <w:hideMark/>
          </w:tcPr>
          <w:p w14:paraId="157F940B"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180" w:type="pct"/>
            <w:tcBorders>
              <w:top w:val="nil"/>
              <w:left w:val="nil"/>
              <w:bottom w:val="single" w:sz="4" w:space="0" w:color="auto"/>
              <w:right w:val="single" w:sz="4" w:space="0" w:color="auto"/>
            </w:tcBorders>
            <w:shd w:val="clear" w:color="000000" w:fill="FFFFFF"/>
            <w:noWrap/>
            <w:vAlign w:val="center"/>
            <w:hideMark/>
          </w:tcPr>
          <w:p w14:paraId="5A5F20FE"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228" w:type="pct"/>
            <w:tcBorders>
              <w:top w:val="nil"/>
              <w:left w:val="nil"/>
              <w:bottom w:val="single" w:sz="4" w:space="0" w:color="auto"/>
              <w:right w:val="single" w:sz="4" w:space="0" w:color="auto"/>
            </w:tcBorders>
            <w:shd w:val="clear" w:color="auto" w:fill="auto"/>
            <w:vAlign w:val="center"/>
            <w:hideMark/>
          </w:tcPr>
          <w:p w14:paraId="0E81968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tcBorders>
              <w:top w:val="nil"/>
              <w:left w:val="nil"/>
              <w:bottom w:val="single" w:sz="4" w:space="0" w:color="000000"/>
              <w:right w:val="single" w:sz="4" w:space="0" w:color="000000"/>
            </w:tcBorders>
            <w:shd w:val="clear" w:color="auto" w:fill="auto"/>
            <w:vAlign w:val="center"/>
            <w:hideMark/>
          </w:tcPr>
          <w:p w14:paraId="1C7976B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Tremujor</w:t>
            </w:r>
          </w:p>
        </w:tc>
        <w:tc>
          <w:tcPr>
            <w:tcW w:w="486" w:type="pct"/>
            <w:tcBorders>
              <w:top w:val="nil"/>
              <w:left w:val="nil"/>
              <w:bottom w:val="single" w:sz="4" w:space="0" w:color="auto"/>
              <w:right w:val="single" w:sz="4" w:space="0" w:color="auto"/>
            </w:tcBorders>
            <w:shd w:val="clear" w:color="000000" w:fill="FFFFFF"/>
            <w:vAlign w:val="center"/>
            <w:hideMark/>
          </w:tcPr>
          <w:p w14:paraId="7ACD107D" w14:textId="457E871E"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Shkalla e përfshirjes në forcat e punës</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 Shkalla e papunësisë</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 Shkalla e punësimit</w:t>
            </w:r>
            <w:r w:rsidR="007A799B" w:rsidRPr="00B31292">
              <w:rPr>
                <w:rFonts w:ascii="Garamond" w:eastAsia="Times New Roman" w:hAnsi="Garamond" w:cs="Times New Roman"/>
                <w:color w:val="000000"/>
                <w:sz w:val="10"/>
                <w:szCs w:val="10"/>
              </w:rPr>
              <w:t>.</w:t>
            </w:r>
          </w:p>
        </w:tc>
        <w:tc>
          <w:tcPr>
            <w:tcW w:w="299" w:type="pct"/>
            <w:tcBorders>
              <w:top w:val="nil"/>
              <w:left w:val="nil"/>
              <w:bottom w:val="single" w:sz="4" w:space="0" w:color="000000"/>
              <w:right w:val="nil"/>
            </w:tcBorders>
            <w:shd w:val="clear" w:color="auto" w:fill="auto"/>
            <w:vAlign w:val="center"/>
            <w:hideMark/>
          </w:tcPr>
          <w:p w14:paraId="27FE97D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Instituti i Statistikave</w:t>
            </w:r>
          </w:p>
        </w:tc>
        <w:tc>
          <w:tcPr>
            <w:tcW w:w="224" w:type="pct"/>
            <w:tcBorders>
              <w:top w:val="nil"/>
              <w:left w:val="single" w:sz="4" w:space="0" w:color="auto"/>
              <w:bottom w:val="single" w:sz="4" w:space="0" w:color="auto"/>
              <w:right w:val="single" w:sz="4" w:space="0" w:color="auto"/>
            </w:tcBorders>
            <w:shd w:val="clear" w:color="auto" w:fill="auto"/>
            <w:vAlign w:val="center"/>
            <w:hideMark/>
          </w:tcPr>
          <w:p w14:paraId="6D1362C6" w14:textId="20F9201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7A799B" w:rsidRPr="00B31292">
              <w:rPr>
                <w:rFonts w:ascii="Garamond" w:eastAsia="Times New Roman" w:hAnsi="Garamond" w:cs="Times New Roman"/>
                <w:color w:val="000000"/>
                <w:sz w:val="10"/>
                <w:szCs w:val="10"/>
              </w:rPr>
              <w:t>-i</w:t>
            </w:r>
          </w:p>
        </w:tc>
        <w:tc>
          <w:tcPr>
            <w:tcW w:w="244" w:type="pct"/>
            <w:tcBorders>
              <w:top w:val="nil"/>
              <w:left w:val="nil"/>
              <w:bottom w:val="single" w:sz="4" w:space="0" w:color="auto"/>
              <w:right w:val="single" w:sz="4" w:space="0" w:color="auto"/>
            </w:tcBorders>
            <w:shd w:val="clear" w:color="000000" w:fill="FFFFFF"/>
            <w:vAlign w:val="center"/>
            <w:hideMark/>
          </w:tcPr>
          <w:p w14:paraId="1BC14011"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T + 7D</w:t>
            </w:r>
          </w:p>
        </w:tc>
        <w:tc>
          <w:tcPr>
            <w:tcW w:w="220" w:type="pct"/>
            <w:tcBorders>
              <w:top w:val="nil"/>
              <w:left w:val="nil"/>
              <w:bottom w:val="single" w:sz="4" w:space="0" w:color="auto"/>
              <w:right w:val="single" w:sz="4" w:space="0" w:color="auto"/>
            </w:tcBorders>
            <w:shd w:val="clear" w:color="000000" w:fill="FFFFFF"/>
            <w:vAlign w:val="center"/>
            <w:hideMark/>
          </w:tcPr>
          <w:p w14:paraId="5FC382A6"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T + 64D</w:t>
            </w:r>
          </w:p>
        </w:tc>
        <w:tc>
          <w:tcPr>
            <w:tcW w:w="220" w:type="pct"/>
            <w:tcBorders>
              <w:top w:val="nil"/>
              <w:left w:val="nil"/>
              <w:bottom w:val="single" w:sz="4" w:space="0" w:color="auto"/>
              <w:right w:val="single" w:sz="4" w:space="0" w:color="auto"/>
            </w:tcBorders>
            <w:shd w:val="clear" w:color="000000" w:fill="FFFFFF"/>
            <w:vAlign w:val="center"/>
            <w:hideMark/>
          </w:tcPr>
          <w:p w14:paraId="6A77F62A"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T + 71D</w:t>
            </w:r>
          </w:p>
        </w:tc>
        <w:tc>
          <w:tcPr>
            <w:tcW w:w="346" w:type="pct"/>
            <w:tcBorders>
              <w:top w:val="nil"/>
              <w:left w:val="nil"/>
              <w:bottom w:val="single" w:sz="4" w:space="0" w:color="auto"/>
              <w:right w:val="single" w:sz="4" w:space="0" w:color="auto"/>
            </w:tcBorders>
            <w:shd w:val="clear" w:color="auto" w:fill="auto"/>
            <w:vAlign w:val="center"/>
            <w:hideMark/>
          </w:tcPr>
          <w:p w14:paraId="172B9DA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1. Vonesë në marrjen e të dhënave nga terreni -|- 2 </w:t>
            </w:r>
          </w:p>
        </w:tc>
        <w:tc>
          <w:tcPr>
            <w:tcW w:w="273" w:type="pct"/>
            <w:tcBorders>
              <w:top w:val="nil"/>
              <w:left w:val="nil"/>
              <w:bottom w:val="single" w:sz="4" w:space="0" w:color="auto"/>
              <w:right w:val="single" w:sz="4" w:space="0" w:color="auto"/>
            </w:tcBorders>
            <w:shd w:val="clear" w:color="auto" w:fill="auto"/>
            <w:vAlign w:val="center"/>
            <w:hideMark/>
          </w:tcPr>
          <w:p w14:paraId="7F4AB9F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Buxhet shteti</w:t>
            </w:r>
          </w:p>
        </w:tc>
      </w:tr>
      <w:tr w:rsidR="000A2254" w:rsidRPr="00B31292" w14:paraId="065E20B7" w14:textId="77777777" w:rsidTr="000A2254">
        <w:trPr>
          <w:trHeight w:val="20"/>
        </w:trPr>
        <w:tc>
          <w:tcPr>
            <w:tcW w:w="215" w:type="pct"/>
            <w:tcBorders>
              <w:top w:val="nil"/>
              <w:left w:val="nil"/>
              <w:bottom w:val="nil"/>
              <w:right w:val="nil"/>
            </w:tcBorders>
            <w:shd w:val="clear" w:color="000000" w:fill="FFFFFF"/>
            <w:vAlign w:val="bottom"/>
            <w:hideMark/>
          </w:tcPr>
          <w:p w14:paraId="11943AF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7EA615A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449A7DC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75D8969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1116AB8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2DC001C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000000"/>
              <w:bottom w:val="nil"/>
              <w:right w:val="single" w:sz="4" w:space="0" w:color="000000"/>
            </w:tcBorders>
            <w:shd w:val="clear" w:color="auto" w:fill="auto"/>
            <w:vAlign w:val="center"/>
            <w:hideMark/>
          </w:tcPr>
          <w:p w14:paraId="3A115363"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1.2.1.2</w:t>
            </w:r>
          </w:p>
        </w:tc>
        <w:tc>
          <w:tcPr>
            <w:tcW w:w="281" w:type="pct"/>
            <w:tcBorders>
              <w:top w:val="nil"/>
              <w:left w:val="nil"/>
              <w:bottom w:val="nil"/>
              <w:right w:val="single" w:sz="4" w:space="0" w:color="000000"/>
            </w:tcBorders>
            <w:shd w:val="clear" w:color="auto" w:fill="auto"/>
            <w:vAlign w:val="center"/>
            <w:hideMark/>
          </w:tcPr>
          <w:p w14:paraId="45B8CEDD" w14:textId="369527EB"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xml:space="preserve">Statistika të </w:t>
            </w:r>
            <w:r w:rsidR="007A799B" w:rsidRPr="00B31292">
              <w:rPr>
                <w:rFonts w:ascii="Garamond" w:eastAsia="Times New Roman" w:hAnsi="Garamond" w:cs="Times New Roman"/>
                <w:sz w:val="10"/>
                <w:szCs w:val="10"/>
              </w:rPr>
              <w:t>tregut të pu</w:t>
            </w:r>
            <w:r w:rsidRPr="00B31292">
              <w:rPr>
                <w:rFonts w:ascii="Garamond" w:eastAsia="Times New Roman" w:hAnsi="Garamond" w:cs="Times New Roman"/>
                <w:sz w:val="10"/>
                <w:szCs w:val="10"/>
              </w:rPr>
              <w:t>nës</w:t>
            </w:r>
          </w:p>
        </w:tc>
        <w:tc>
          <w:tcPr>
            <w:tcW w:w="236" w:type="pct"/>
            <w:tcBorders>
              <w:top w:val="nil"/>
              <w:left w:val="nil"/>
              <w:bottom w:val="nil"/>
              <w:right w:val="single" w:sz="4" w:space="0" w:color="000000"/>
            </w:tcBorders>
            <w:shd w:val="clear" w:color="auto" w:fill="auto"/>
            <w:vAlign w:val="center"/>
            <w:hideMark/>
          </w:tcPr>
          <w:p w14:paraId="5DE4BC37"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Burim administrativ</w:t>
            </w:r>
          </w:p>
        </w:tc>
        <w:tc>
          <w:tcPr>
            <w:tcW w:w="238" w:type="pct"/>
            <w:tcBorders>
              <w:top w:val="nil"/>
              <w:left w:val="nil"/>
              <w:bottom w:val="single" w:sz="4" w:space="0" w:color="auto"/>
              <w:right w:val="single" w:sz="4" w:space="0" w:color="auto"/>
            </w:tcBorders>
            <w:shd w:val="clear" w:color="auto" w:fill="auto"/>
            <w:noWrap/>
            <w:vAlign w:val="center"/>
            <w:hideMark/>
          </w:tcPr>
          <w:p w14:paraId="2B157235"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180" w:type="pct"/>
            <w:tcBorders>
              <w:top w:val="nil"/>
              <w:left w:val="nil"/>
              <w:bottom w:val="single" w:sz="4" w:space="0" w:color="auto"/>
              <w:right w:val="single" w:sz="8" w:space="0" w:color="auto"/>
            </w:tcBorders>
            <w:shd w:val="clear" w:color="auto" w:fill="auto"/>
            <w:vAlign w:val="center"/>
            <w:hideMark/>
          </w:tcPr>
          <w:p w14:paraId="70CB2821"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28" w:type="pct"/>
            <w:tcBorders>
              <w:top w:val="nil"/>
              <w:left w:val="single" w:sz="4" w:space="0" w:color="auto"/>
              <w:bottom w:val="single" w:sz="4" w:space="0" w:color="auto"/>
              <w:right w:val="single" w:sz="4" w:space="0" w:color="auto"/>
            </w:tcBorders>
            <w:shd w:val="clear" w:color="auto" w:fill="auto"/>
            <w:vAlign w:val="center"/>
            <w:hideMark/>
          </w:tcPr>
          <w:p w14:paraId="3CCF61C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tcBorders>
              <w:top w:val="nil"/>
              <w:left w:val="nil"/>
              <w:bottom w:val="nil"/>
              <w:right w:val="single" w:sz="4" w:space="0" w:color="000000"/>
            </w:tcBorders>
            <w:shd w:val="clear" w:color="auto" w:fill="auto"/>
            <w:vAlign w:val="center"/>
            <w:hideMark/>
          </w:tcPr>
          <w:p w14:paraId="7AE665B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Tremujor</w:t>
            </w:r>
          </w:p>
        </w:tc>
        <w:tc>
          <w:tcPr>
            <w:tcW w:w="486" w:type="pct"/>
            <w:tcBorders>
              <w:top w:val="nil"/>
              <w:left w:val="nil"/>
              <w:bottom w:val="nil"/>
              <w:right w:val="single" w:sz="4" w:space="0" w:color="auto"/>
            </w:tcBorders>
            <w:shd w:val="clear" w:color="auto" w:fill="auto"/>
            <w:vAlign w:val="center"/>
            <w:hideMark/>
          </w:tcPr>
          <w:p w14:paraId="73D8B1DC" w14:textId="2FD304C8"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Bilanci i forcave të punës</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 Të punësuar sipas sektorëve</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 Të punësuar në sektorin shtetëror sipas nivelit arsimor</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4.</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Të punësuar në sektorin shtetëror sipas grupeve kryesore të profesioneve</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5.</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 xml:space="preserve">Shkalla e </w:t>
            </w:r>
            <w:r w:rsidR="00FD245C" w:rsidRPr="00B31292">
              <w:rPr>
                <w:rFonts w:ascii="Garamond" w:eastAsia="Times New Roman" w:hAnsi="Garamond" w:cs="Times New Roman"/>
                <w:color w:val="000000"/>
                <w:sz w:val="10"/>
                <w:szCs w:val="10"/>
              </w:rPr>
              <w:t>papunësisë</w:t>
            </w:r>
            <w:r w:rsidRPr="00B31292">
              <w:rPr>
                <w:rFonts w:ascii="Garamond" w:eastAsia="Times New Roman" w:hAnsi="Garamond" w:cs="Times New Roman"/>
                <w:color w:val="000000"/>
                <w:sz w:val="10"/>
                <w:szCs w:val="10"/>
              </w:rPr>
              <w:t xml:space="preserve"> së regjistruar</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6.</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Punëkërkues të papunë të regjistruar sipas gjinisë</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7. Punëkërkues të papun</w:t>
            </w:r>
            <w:r w:rsidR="007A799B"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të regjistruar sipas nivelit arsimor</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8. Punëkërkues të papunë të regjistruar sipas grup</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moshave</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9. Punëkërkues të papunë të regjistruar në numër dhe përqindje</w:t>
            </w:r>
            <w:r w:rsidR="007A799B" w:rsidRPr="00B31292">
              <w:rPr>
                <w:rFonts w:ascii="Garamond" w:eastAsia="Times New Roman" w:hAnsi="Garamond" w:cs="Times New Roman"/>
                <w:color w:val="000000"/>
                <w:sz w:val="10"/>
                <w:szCs w:val="10"/>
              </w:rPr>
              <w:t>.</w:t>
            </w:r>
          </w:p>
        </w:tc>
        <w:tc>
          <w:tcPr>
            <w:tcW w:w="299" w:type="pct"/>
            <w:tcBorders>
              <w:top w:val="nil"/>
              <w:left w:val="nil"/>
              <w:bottom w:val="nil"/>
              <w:right w:val="nil"/>
            </w:tcBorders>
            <w:shd w:val="clear" w:color="auto" w:fill="auto"/>
            <w:vAlign w:val="center"/>
            <w:hideMark/>
          </w:tcPr>
          <w:p w14:paraId="5B2C2E58" w14:textId="07AAF812"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Drejtoria e Përgjithshme e Tatimeve</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Shërbimi Kombëtar i Punësimit</w:t>
            </w:r>
          </w:p>
        </w:tc>
        <w:tc>
          <w:tcPr>
            <w:tcW w:w="224" w:type="pct"/>
            <w:tcBorders>
              <w:top w:val="nil"/>
              <w:left w:val="single" w:sz="4" w:space="0" w:color="auto"/>
              <w:bottom w:val="nil"/>
              <w:right w:val="single" w:sz="4" w:space="0" w:color="auto"/>
            </w:tcBorders>
            <w:shd w:val="clear" w:color="auto" w:fill="auto"/>
            <w:vAlign w:val="center"/>
            <w:hideMark/>
          </w:tcPr>
          <w:p w14:paraId="48FAD5B0" w14:textId="7D8BC33A"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7A799B" w:rsidRPr="00B31292">
              <w:rPr>
                <w:rFonts w:ascii="Garamond" w:eastAsia="Times New Roman" w:hAnsi="Garamond" w:cs="Times New Roman"/>
                <w:color w:val="000000"/>
                <w:sz w:val="10"/>
                <w:szCs w:val="10"/>
              </w:rPr>
              <w:t>-i</w:t>
            </w:r>
          </w:p>
        </w:tc>
        <w:tc>
          <w:tcPr>
            <w:tcW w:w="244" w:type="pct"/>
            <w:tcBorders>
              <w:top w:val="nil"/>
              <w:left w:val="nil"/>
              <w:bottom w:val="single" w:sz="4" w:space="0" w:color="auto"/>
              <w:right w:val="single" w:sz="4" w:space="0" w:color="auto"/>
            </w:tcBorders>
            <w:shd w:val="clear" w:color="000000" w:fill="FFFFFF"/>
            <w:vAlign w:val="center"/>
            <w:hideMark/>
          </w:tcPr>
          <w:p w14:paraId="59E4941B"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T + 58D</w:t>
            </w:r>
          </w:p>
        </w:tc>
        <w:tc>
          <w:tcPr>
            <w:tcW w:w="220" w:type="pct"/>
            <w:tcBorders>
              <w:top w:val="nil"/>
              <w:left w:val="nil"/>
              <w:bottom w:val="single" w:sz="4" w:space="0" w:color="auto"/>
              <w:right w:val="single" w:sz="4" w:space="0" w:color="auto"/>
            </w:tcBorders>
            <w:shd w:val="clear" w:color="000000" w:fill="FFFFFF"/>
            <w:vAlign w:val="center"/>
            <w:hideMark/>
          </w:tcPr>
          <w:p w14:paraId="3112C17A"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T + 63D</w:t>
            </w:r>
          </w:p>
        </w:tc>
        <w:tc>
          <w:tcPr>
            <w:tcW w:w="220" w:type="pct"/>
            <w:tcBorders>
              <w:top w:val="nil"/>
              <w:left w:val="nil"/>
              <w:bottom w:val="single" w:sz="4" w:space="0" w:color="auto"/>
              <w:right w:val="single" w:sz="4" w:space="0" w:color="auto"/>
            </w:tcBorders>
            <w:shd w:val="clear" w:color="000000" w:fill="FFFFFF"/>
            <w:vAlign w:val="center"/>
            <w:hideMark/>
          </w:tcPr>
          <w:p w14:paraId="37952DDA"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T + 72D</w:t>
            </w:r>
          </w:p>
        </w:tc>
        <w:tc>
          <w:tcPr>
            <w:tcW w:w="346" w:type="pct"/>
            <w:tcBorders>
              <w:top w:val="nil"/>
              <w:left w:val="nil"/>
              <w:bottom w:val="single" w:sz="4" w:space="0" w:color="auto"/>
              <w:right w:val="single" w:sz="4" w:space="0" w:color="auto"/>
            </w:tcBorders>
            <w:shd w:val="clear" w:color="auto" w:fill="auto"/>
            <w:vAlign w:val="center"/>
            <w:hideMark/>
          </w:tcPr>
          <w:p w14:paraId="710CD770" w14:textId="668BA00B"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Vonesë në marrjen e të dhënave</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 xml:space="preserve">-|- 2 </w:t>
            </w:r>
          </w:p>
        </w:tc>
        <w:tc>
          <w:tcPr>
            <w:tcW w:w="273" w:type="pct"/>
            <w:tcBorders>
              <w:top w:val="nil"/>
              <w:left w:val="nil"/>
              <w:bottom w:val="single" w:sz="4" w:space="0" w:color="auto"/>
              <w:right w:val="single" w:sz="4" w:space="0" w:color="auto"/>
            </w:tcBorders>
            <w:shd w:val="clear" w:color="000000" w:fill="FFFFFF"/>
            <w:vAlign w:val="center"/>
            <w:hideMark/>
          </w:tcPr>
          <w:p w14:paraId="14B1DC5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Buxhet shteti</w:t>
            </w:r>
          </w:p>
        </w:tc>
      </w:tr>
      <w:tr w:rsidR="000A2254" w:rsidRPr="00B31292" w14:paraId="59F5E6D2" w14:textId="77777777" w:rsidTr="000A2254">
        <w:trPr>
          <w:trHeight w:val="20"/>
        </w:trPr>
        <w:tc>
          <w:tcPr>
            <w:tcW w:w="215" w:type="pct"/>
            <w:tcBorders>
              <w:top w:val="nil"/>
              <w:left w:val="nil"/>
              <w:bottom w:val="nil"/>
              <w:right w:val="nil"/>
            </w:tcBorders>
            <w:shd w:val="clear" w:color="000000" w:fill="FFFFFF"/>
            <w:vAlign w:val="bottom"/>
            <w:hideMark/>
          </w:tcPr>
          <w:p w14:paraId="6419C7A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4C0DFE5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4FE3BFF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6F48A84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single" w:sz="4" w:space="0" w:color="000000"/>
              <w:left w:val="single" w:sz="4" w:space="0" w:color="000000"/>
              <w:bottom w:val="single" w:sz="4" w:space="0" w:color="000000"/>
              <w:right w:val="nil"/>
            </w:tcBorders>
            <w:shd w:val="clear" w:color="000000" w:fill="F0F0F0"/>
            <w:vAlign w:val="center"/>
            <w:hideMark/>
          </w:tcPr>
          <w:p w14:paraId="516C3FB9"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1.2.2</w:t>
            </w:r>
          </w:p>
        </w:tc>
        <w:tc>
          <w:tcPr>
            <w:tcW w:w="4082" w:type="pct"/>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40D5825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Kostoja e punës dhe të ardhurat nga puna</w:t>
            </w:r>
          </w:p>
        </w:tc>
      </w:tr>
      <w:tr w:rsidR="000A2254" w:rsidRPr="00B31292" w14:paraId="43A05D64" w14:textId="77777777" w:rsidTr="000A2254">
        <w:trPr>
          <w:trHeight w:val="20"/>
        </w:trPr>
        <w:tc>
          <w:tcPr>
            <w:tcW w:w="215" w:type="pct"/>
            <w:tcBorders>
              <w:top w:val="nil"/>
              <w:left w:val="nil"/>
              <w:bottom w:val="nil"/>
              <w:right w:val="nil"/>
            </w:tcBorders>
            <w:shd w:val="clear" w:color="000000" w:fill="FFFFFF"/>
            <w:vAlign w:val="bottom"/>
            <w:hideMark/>
          </w:tcPr>
          <w:p w14:paraId="49A4EE5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lastRenderedPageBreak/>
              <w:t> </w:t>
            </w:r>
          </w:p>
        </w:tc>
        <w:tc>
          <w:tcPr>
            <w:tcW w:w="215" w:type="pct"/>
            <w:tcBorders>
              <w:top w:val="nil"/>
              <w:left w:val="nil"/>
              <w:bottom w:val="nil"/>
              <w:right w:val="nil"/>
            </w:tcBorders>
            <w:shd w:val="clear" w:color="000000" w:fill="FFFFFF"/>
            <w:vAlign w:val="bottom"/>
            <w:hideMark/>
          </w:tcPr>
          <w:p w14:paraId="57594B1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17A27B0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4F55EAC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2E1C68C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12EB57C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000000"/>
              <w:bottom w:val="single" w:sz="4" w:space="0" w:color="000000"/>
              <w:right w:val="single" w:sz="4" w:space="0" w:color="000000"/>
            </w:tcBorders>
            <w:shd w:val="clear" w:color="auto" w:fill="auto"/>
            <w:vAlign w:val="center"/>
            <w:hideMark/>
          </w:tcPr>
          <w:p w14:paraId="699358D0"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1.2.2.1</w:t>
            </w:r>
          </w:p>
        </w:tc>
        <w:tc>
          <w:tcPr>
            <w:tcW w:w="281" w:type="pct"/>
            <w:tcBorders>
              <w:top w:val="nil"/>
              <w:left w:val="nil"/>
              <w:bottom w:val="single" w:sz="4" w:space="0" w:color="000000"/>
              <w:right w:val="single" w:sz="4" w:space="0" w:color="000000"/>
            </w:tcBorders>
            <w:shd w:val="clear" w:color="auto" w:fill="auto"/>
            <w:vAlign w:val="center"/>
            <w:hideMark/>
          </w:tcPr>
          <w:p w14:paraId="54C31680" w14:textId="2499948C"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xml:space="preserve">Statistika të </w:t>
            </w:r>
            <w:r w:rsidR="007A799B" w:rsidRPr="00B31292">
              <w:rPr>
                <w:rFonts w:ascii="Garamond" w:eastAsia="Times New Roman" w:hAnsi="Garamond" w:cs="Times New Roman"/>
                <w:sz w:val="10"/>
                <w:szCs w:val="10"/>
              </w:rPr>
              <w:t>fitimeve dhe kostos së punës</w:t>
            </w:r>
          </w:p>
        </w:tc>
        <w:tc>
          <w:tcPr>
            <w:tcW w:w="236" w:type="pct"/>
            <w:tcBorders>
              <w:top w:val="nil"/>
              <w:left w:val="nil"/>
              <w:bottom w:val="single" w:sz="4" w:space="0" w:color="000000"/>
              <w:right w:val="single" w:sz="4" w:space="0" w:color="000000"/>
            </w:tcBorders>
            <w:shd w:val="clear" w:color="auto" w:fill="auto"/>
            <w:vAlign w:val="center"/>
            <w:hideMark/>
          </w:tcPr>
          <w:p w14:paraId="5B431EC4"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Vrojtim</w:t>
            </w:r>
          </w:p>
        </w:tc>
        <w:tc>
          <w:tcPr>
            <w:tcW w:w="238" w:type="pct"/>
            <w:tcBorders>
              <w:top w:val="nil"/>
              <w:left w:val="nil"/>
              <w:bottom w:val="single" w:sz="4" w:space="0" w:color="auto"/>
              <w:right w:val="single" w:sz="4" w:space="0" w:color="auto"/>
            </w:tcBorders>
            <w:shd w:val="clear" w:color="auto" w:fill="auto"/>
            <w:vAlign w:val="center"/>
            <w:hideMark/>
          </w:tcPr>
          <w:p w14:paraId="39001F1E"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180" w:type="pct"/>
            <w:tcBorders>
              <w:top w:val="nil"/>
              <w:left w:val="nil"/>
              <w:bottom w:val="single" w:sz="4" w:space="0" w:color="auto"/>
              <w:right w:val="single" w:sz="4" w:space="0" w:color="auto"/>
            </w:tcBorders>
            <w:shd w:val="clear" w:color="auto" w:fill="auto"/>
            <w:noWrap/>
            <w:vAlign w:val="center"/>
            <w:hideMark/>
          </w:tcPr>
          <w:p w14:paraId="54B69A8A"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228" w:type="pct"/>
            <w:tcBorders>
              <w:top w:val="nil"/>
              <w:left w:val="nil"/>
              <w:bottom w:val="single" w:sz="4" w:space="0" w:color="auto"/>
              <w:right w:val="single" w:sz="4" w:space="0" w:color="auto"/>
            </w:tcBorders>
            <w:shd w:val="clear" w:color="auto" w:fill="auto"/>
            <w:vAlign w:val="center"/>
            <w:hideMark/>
          </w:tcPr>
          <w:p w14:paraId="7C53756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tcBorders>
              <w:top w:val="nil"/>
              <w:left w:val="nil"/>
              <w:bottom w:val="single" w:sz="4" w:space="0" w:color="000000"/>
              <w:right w:val="single" w:sz="4" w:space="0" w:color="000000"/>
            </w:tcBorders>
            <w:shd w:val="clear" w:color="auto" w:fill="auto"/>
            <w:vAlign w:val="center"/>
            <w:hideMark/>
          </w:tcPr>
          <w:p w14:paraId="28CBBF0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Çdo 4 vite</w:t>
            </w:r>
          </w:p>
        </w:tc>
        <w:tc>
          <w:tcPr>
            <w:tcW w:w="486" w:type="pct"/>
            <w:tcBorders>
              <w:top w:val="nil"/>
              <w:left w:val="nil"/>
              <w:bottom w:val="nil"/>
              <w:right w:val="single" w:sz="4" w:space="0" w:color="auto"/>
            </w:tcBorders>
            <w:shd w:val="clear" w:color="auto" w:fill="auto"/>
            <w:vAlign w:val="center"/>
            <w:hideMark/>
          </w:tcPr>
          <w:p w14:paraId="2B6BEB20" w14:textId="3003A298"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Kostoja mesatare e punës për njësi pune me kohë të plotë sipas aktiviteteve ekonomike, në lekë</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 Kostoja mesatare e punës për njësi pune me kohë të plotë sipas madhësisë së ndërmarrjes, në lekë</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 Komponentët e kostos mesatare vjetore për njësi pune me kohë të plotë sipas aktiviteteve ekonomike të agreguara</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4. Struktura e kostos së punës sipas madhësisë së ndërmarrjes</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5. Struktura e kostos së punës sipas aktivitetit ekonomi</w:t>
            </w:r>
            <w:r w:rsidR="007A799B" w:rsidRPr="00B31292">
              <w:rPr>
                <w:rFonts w:ascii="Garamond" w:eastAsia="Times New Roman" w:hAnsi="Garamond" w:cs="Times New Roman"/>
                <w:color w:val="000000"/>
                <w:sz w:val="10"/>
                <w:szCs w:val="10"/>
              </w:rPr>
              <w:t>k.</w:t>
            </w:r>
          </w:p>
        </w:tc>
        <w:tc>
          <w:tcPr>
            <w:tcW w:w="299" w:type="pct"/>
            <w:tcBorders>
              <w:top w:val="nil"/>
              <w:left w:val="nil"/>
              <w:bottom w:val="single" w:sz="4" w:space="0" w:color="000000"/>
              <w:right w:val="nil"/>
            </w:tcBorders>
            <w:shd w:val="clear" w:color="auto" w:fill="auto"/>
            <w:vAlign w:val="center"/>
            <w:hideMark/>
          </w:tcPr>
          <w:p w14:paraId="6627E8F7"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Instituti i Statistikave</w:t>
            </w:r>
          </w:p>
        </w:tc>
        <w:tc>
          <w:tcPr>
            <w:tcW w:w="224" w:type="pct"/>
            <w:tcBorders>
              <w:top w:val="nil"/>
              <w:left w:val="single" w:sz="4" w:space="0" w:color="auto"/>
              <w:bottom w:val="single" w:sz="4" w:space="0" w:color="auto"/>
              <w:right w:val="single" w:sz="4" w:space="0" w:color="auto"/>
            </w:tcBorders>
            <w:shd w:val="clear" w:color="auto" w:fill="auto"/>
            <w:vAlign w:val="center"/>
            <w:hideMark/>
          </w:tcPr>
          <w:p w14:paraId="24212A5E" w14:textId="7E77D5D8"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7A799B" w:rsidRPr="00B31292">
              <w:rPr>
                <w:rFonts w:ascii="Garamond" w:eastAsia="Times New Roman" w:hAnsi="Garamond" w:cs="Times New Roman"/>
                <w:color w:val="000000"/>
                <w:sz w:val="10"/>
                <w:szCs w:val="10"/>
              </w:rPr>
              <w:t>-i</w:t>
            </w:r>
          </w:p>
        </w:tc>
        <w:tc>
          <w:tcPr>
            <w:tcW w:w="244" w:type="pct"/>
            <w:tcBorders>
              <w:top w:val="nil"/>
              <w:left w:val="nil"/>
              <w:bottom w:val="single" w:sz="4" w:space="0" w:color="auto"/>
              <w:right w:val="single" w:sz="4" w:space="0" w:color="auto"/>
            </w:tcBorders>
            <w:shd w:val="clear" w:color="000000" w:fill="FFFFFF"/>
            <w:vAlign w:val="center"/>
            <w:hideMark/>
          </w:tcPr>
          <w:p w14:paraId="27631B70"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4V + 181D</w:t>
            </w:r>
          </w:p>
        </w:tc>
        <w:tc>
          <w:tcPr>
            <w:tcW w:w="220" w:type="pct"/>
            <w:tcBorders>
              <w:top w:val="nil"/>
              <w:left w:val="nil"/>
              <w:bottom w:val="single" w:sz="4" w:space="0" w:color="auto"/>
              <w:right w:val="single" w:sz="4" w:space="0" w:color="auto"/>
            </w:tcBorders>
            <w:shd w:val="clear" w:color="000000" w:fill="FFFFFF"/>
            <w:vAlign w:val="center"/>
            <w:hideMark/>
          </w:tcPr>
          <w:p w14:paraId="20204F83"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4V + 486D</w:t>
            </w:r>
          </w:p>
        </w:tc>
        <w:tc>
          <w:tcPr>
            <w:tcW w:w="220" w:type="pct"/>
            <w:tcBorders>
              <w:top w:val="nil"/>
              <w:left w:val="nil"/>
              <w:bottom w:val="single" w:sz="4" w:space="0" w:color="auto"/>
              <w:right w:val="single" w:sz="4" w:space="0" w:color="auto"/>
            </w:tcBorders>
            <w:shd w:val="clear" w:color="000000" w:fill="FFFFFF"/>
            <w:vAlign w:val="center"/>
            <w:hideMark/>
          </w:tcPr>
          <w:p w14:paraId="1297146F"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4V + 293D</w:t>
            </w:r>
          </w:p>
        </w:tc>
        <w:tc>
          <w:tcPr>
            <w:tcW w:w="346" w:type="pct"/>
            <w:tcBorders>
              <w:top w:val="nil"/>
              <w:left w:val="nil"/>
              <w:bottom w:val="single" w:sz="4" w:space="0" w:color="auto"/>
              <w:right w:val="single" w:sz="4" w:space="0" w:color="auto"/>
            </w:tcBorders>
            <w:shd w:val="clear" w:color="auto" w:fill="auto"/>
            <w:vAlign w:val="center"/>
            <w:hideMark/>
          </w:tcPr>
          <w:p w14:paraId="48F7908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1. Vonesë në marrjen e të dhënave nga terreni -|- 2 </w:t>
            </w:r>
          </w:p>
        </w:tc>
        <w:tc>
          <w:tcPr>
            <w:tcW w:w="273" w:type="pct"/>
            <w:tcBorders>
              <w:top w:val="nil"/>
              <w:left w:val="nil"/>
              <w:bottom w:val="single" w:sz="4" w:space="0" w:color="auto"/>
              <w:right w:val="single" w:sz="4" w:space="0" w:color="auto"/>
            </w:tcBorders>
            <w:shd w:val="clear" w:color="auto" w:fill="auto"/>
            <w:vAlign w:val="center"/>
            <w:hideMark/>
          </w:tcPr>
          <w:p w14:paraId="5C6FAF2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Buxhet shteti</w:t>
            </w:r>
          </w:p>
        </w:tc>
      </w:tr>
      <w:tr w:rsidR="000A2254" w:rsidRPr="00B31292" w14:paraId="0C8C6023" w14:textId="77777777" w:rsidTr="000A2254">
        <w:trPr>
          <w:trHeight w:val="20"/>
        </w:trPr>
        <w:tc>
          <w:tcPr>
            <w:tcW w:w="215" w:type="pct"/>
            <w:tcBorders>
              <w:top w:val="nil"/>
              <w:left w:val="nil"/>
              <w:bottom w:val="nil"/>
              <w:right w:val="nil"/>
            </w:tcBorders>
            <w:shd w:val="clear" w:color="000000" w:fill="FFFFFF"/>
            <w:vAlign w:val="bottom"/>
            <w:hideMark/>
          </w:tcPr>
          <w:p w14:paraId="7A2B8B7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7392084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44557B77"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1E6E6A0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0CE7958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2B5FE18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000000"/>
              <w:bottom w:val="nil"/>
              <w:right w:val="single" w:sz="4" w:space="0" w:color="000000"/>
            </w:tcBorders>
            <w:shd w:val="clear" w:color="auto" w:fill="auto"/>
            <w:vAlign w:val="center"/>
            <w:hideMark/>
          </w:tcPr>
          <w:p w14:paraId="185B4266"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1.2.2.2</w:t>
            </w:r>
          </w:p>
        </w:tc>
        <w:tc>
          <w:tcPr>
            <w:tcW w:w="281" w:type="pct"/>
            <w:tcBorders>
              <w:top w:val="nil"/>
              <w:left w:val="nil"/>
              <w:bottom w:val="nil"/>
              <w:right w:val="single" w:sz="4" w:space="0" w:color="000000"/>
            </w:tcBorders>
            <w:shd w:val="clear" w:color="auto" w:fill="auto"/>
            <w:vAlign w:val="center"/>
            <w:hideMark/>
          </w:tcPr>
          <w:p w14:paraId="000EF470"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Statistikat mbi pagat</w:t>
            </w:r>
          </w:p>
        </w:tc>
        <w:tc>
          <w:tcPr>
            <w:tcW w:w="236" w:type="pct"/>
            <w:tcBorders>
              <w:top w:val="nil"/>
              <w:left w:val="nil"/>
              <w:bottom w:val="nil"/>
              <w:right w:val="single" w:sz="4" w:space="0" w:color="000000"/>
            </w:tcBorders>
            <w:shd w:val="clear" w:color="auto" w:fill="auto"/>
            <w:vAlign w:val="center"/>
            <w:hideMark/>
          </w:tcPr>
          <w:p w14:paraId="58C414B3"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Burim administrativ</w:t>
            </w:r>
          </w:p>
        </w:tc>
        <w:tc>
          <w:tcPr>
            <w:tcW w:w="238" w:type="pct"/>
            <w:tcBorders>
              <w:top w:val="nil"/>
              <w:left w:val="nil"/>
              <w:bottom w:val="single" w:sz="4" w:space="0" w:color="auto"/>
              <w:right w:val="single" w:sz="4" w:space="0" w:color="auto"/>
            </w:tcBorders>
            <w:shd w:val="clear" w:color="auto" w:fill="auto"/>
            <w:noWrap/>
            <w:vAlign w:val="center"/>
            <w:hideMark/>
          </w:tcPr>
          <w:p w14:paraId="755AF0B7"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180" w:type="pct"/>
            <w:tcBorders>
              <w:top w:val="nil"/>
              <w:left w:val="nil"/>
              <w:bottom w:val="single" w:sz="4" w:space="0" w:color="auto"/>
              <w:right w:val="single" w:sz="8" w:space="0" w:color="auto"/>
            </w:tcBorders>
            <w:shd w:val="clear" w:color="auto" w:fill="auto"/>
            <w:vAlign w:val="center"/>
            <w:hideMark/>
          </w:tcPr>
          <w:p w14:paraId="3CD19437"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28" w:type="pct"/>
            <w:tcBorders>
              <w:top w:val="nil"/>
              <w:left w:val="single" w:sz="4" w:space="0" w:color="auto"/>
              <w:bottom w:val="single" w:sz="4" w:space="0" w:color="auto"/>
              <w:right w:val="single" w:sz="4" w:space="0" w:color="auto"/>
            </w:tcBorders>
            <w:shd w:val="clear" w:color="auto" w:fill="auto"/>
            <w:vAlign w:val="center"/>
            <w:hideMark/>
          </w:tcPr>
          <w:p w14:paraId="4F2FE60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tcBorders>
              <w:top w:val="nil"/>
              <w:left w:val="nil"/>
              <w:bottom w:val="nil"/>
              <w:right w:val="single" w:sz="4" w:space="0" w:color="000000"/>
            </w:tcBorders>
            <w:shd w:val="clear" w:color="auto" w:fill="auto"/>
            <w:vAlign w:val="center"/>
            <w:hideMark/>
          </w:tcPr>
          <w:p w14:paraId="7B97C75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Tremujor</w:t>
            </w:r>
          </w:p>
        </w:tc>
        <w:tc>
          <w:tcPr>
            <w:tcW w:w="486" w:type="pct"/>
            <w:tcBorders>
              <w:top w:val="single" w:sz="4" w:space="0" w:color="auto"/>
              <w:left w:val="nil"/>
              <w:bottom w:val="nil"/>
              <w:right w:val="single" w:sz="4" w:space="0" w:color="auto"/>
            </w:tcBorders>
            <w:shd w:val="clear" w:color="auto" w:fill="auto"/>
            <w:vAlign w:val="center"/>
            <w:hideMark/>
          </w:tcPr>
          <w:p w14:paraId="08C86FE4" w14:textId="6B8AFAB5"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1. Paga mesatare mujore </w:t>
            </w:r>
            <w:r w:rsidR="00FD245C" w:rsidRPr="00B31292">
              <w:rPr>
                <w:rFonts w:ascii="Garamond" w:eastAsia="Times New Roman" w:hAnsi="Garamond" w:cs="Times New Roman"/>
                <w:color w:val="000000"/>
                <w:sz w:val="10"/>
                <w:szCs w:val="10"/>
              </w:rPr>
              <w:t>për</w:t>
            </w:r>
            <w:r w:rsidRPr="00B31292">
              <w:rPr>
                <w:rFonts w:ascii="Garamond" w:eastAsia="Times New Roman" w:hAnsi="Garamond" w:cs="Times New Roman"/>
                <w:color w:val="000000"/>
                <w:sz w:val="10"/>
                <w:szCs w:val="10"/>
              </w:rPr>
              <w:t xml:space="preserve"> t</w:t>
            </w:r>
            <w:r w:rsidR="00FD245C"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w:t>
            </w:r>
            <w:r w:rsidR="00FD245C" w:rsidRPr="00B31292">
              <w:rPr>
                <w:rFonts w:ascii="Garamond" w:eastAsia="Times New Roman" w:hAnsi="Garamond" w:cs="Times New Roman"/>
                <w:color w:val="000000"/>
                <w:sz w:val="10"/>
                <w:szCs w:val="10"/>
              </w:rPr>
              <w:t>punësuarit</w:t>
            </w:r>
            <w:r w:rsidRPr="00B31292">
              <w:rPr>
                <w:rFonts w:ascii="Garamond" w:eastAsia="Times New Roman" w:hAnsi="Garamond" w:cs="Times New Roman"/>
                <w:color w:val="000000"/>
                <w:sz w:val="10"/>
                <w:szCs w:val="10"/>
              </w:rPr>
              <w:t xml:space="preserve"> me pag</w:t>
            </w:r>
            <w:r w:rsidR="00FD245C" w:rsidRPr="00B31292">
              <w:rPr>
                <w:rFonts w:ascii="Garamond" w:eastAsia="Times New Roman" w:hAnsi="Garamond" w:cs="Times New Roman"/>
                <w:color w:val="000000"/>
                <w:sz w:val="10"/>
                <w:szCs w:val="10"/>
              </w:rPr>
              <w:t>ë</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2. Paga mesatare mujore </w:t>
            </w:r>
            <w:r w:rsidR="00FD245C" w:rsidRPr="00B31292">
              <w:rPr>
                <w:rFonts w:ascii="Garamond" w:eastAsia="Times New Roman" w:hAnsi="Garamond" w:cs="Times New Roman"/>
                <w:color w:val="000000"/>
                <w:sz w:val="10"/>
                <w:szCs w:val="10"/>
              </w:rPr>
              <w:t>për</w:t>
            </w:r>
            <w:r w:rsidRPr="00B31292">
              <w:rPr>
                <w:rFonts w:ascii="Garamond" w:eastAsia="Times New Roman" w:hAnsi="Garamond" w:cs="Times New Roman"/>
                <w:color w:val="000000"/>
                <w:sz w:val="10"/>
                <w:szCs w:val="10"/>
              </w:rPr>
              <w:t xml:space="preserve"> t</w:t>
            </w:r>
            <w:r w:rsidR="00FD245C"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w:t>
            </w:r>
            <w:r w:rsidR="00FD245C" w:rsidRPr="00B31292">
              <w:rPr>
                <w:rFonts w:ascii="Garamond" w:eastAsia="Times New Roman" w:hAnsi="Garamond" w:cs="Times New Roman"/>
                <w:color w:val="000000"/>
                <w:sz w:val="10"/>
                <w:szCs w:val="10"/>
              </w:rPr>
              <w:t>punësuarit</w:t>
            </w:r>
            <w:r w:rsidRPr="00B31292">
              <w:rPr>
                <w:rFonts w:ascii="Garamond" w:eastAsia="Times New Roman" w:hAnsi="Garamond" w:cs="Times New Roman"/>
                <w:color w:val="000000"/>
                <w:sz w:val="10"/>
                <w:szCs w:val="10"/>
              </w:rPr>
              <w:t xml:space="preserve"> me pag</w:t>
            </w:r>
            <w:r w:rsidR="00FD245C"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n</w:t>
            </w:r>
            <w:r w:rsidR="00FD245C"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sektorin </w:t>
            </w:r>
            <w:r w:rsidR="00FD245C" w:rsidRPr="00B31292">
              <w:rPr>
                <w:rFonts w:ascii="Garamond" w:eastAsia="Times New Roman" w:hAnsi="Garamond" w:cs="Times New Roman"/>
                <w:color w:val="000000"/>
                <w:sz w:val="10"/>
                <w:szCs w:val="10"/>
              </w:rPr>
              <w:t>shtetëror</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 xml:space="preserve">3. Paga mesatare mujore </w:t>
            </w:r>
            <w:r w:rsidR="00FD245C" w:rsidRPr="00B31292">
              <w:rPr>
                <w:rFonts w:ascii="Garamond" w:eastAsia="Times New Roman" w:hAnsi="Garamond" w:cs="Times New Roman"/>
                <w:color w:val="000000"/>
                <w:sz w:val="10"/>
                <w:szCs w:val="10"/>
              </w:rPr>
              <w:t>për</w:t>
            </w:r>
            <w:r w:rsidRPr="00B31292">
              <w:rPr>
                <w:rFonts w:ascii="Garamond" w:eastAsia="Times New Roman" w:hAnsi="Garamond" w:cs="Times New Roman"/>
                <w:color w:val="000000"/>
                <w:sz w:val="10"/>
                <w:szCs w:val="10"/>
              </w:rPr>
              <w:t xml:space="preserve"> t</w:t>
            </w:r>
            <w:r w:rsidR="00FD245C"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w:t>
            </w:r>
            <w:r w:rsidR="00FD245C" w:rsidRPr="00B31292">
              <w:rPr>
                <w:rFonts w:ascii="Garamond" w:eastAsia="Times New Roman" w:hAnsi="Garamond" w:cs="Times New Roman"/>
                <w:color w:val="000000"/>
                <w:sz w:val="10"/>
                <w:szCs w:val="10"/>
              </w:rPr>
              <w:t>punësuarit</w:t>
            </w:r>
            <w:r w:rsidRPr="00B31292">
              <w:rPr>
                <w:rFonts w:ascii="Garamond" w:eastAsia="Times New Roman" w:hAnsi="Garamond" w:cs="Times New Roman"/>
                <w:color w:val="000000"/>
                <w:sz w:val="10"/>
                <w:szCs w:val="10"/>
              </w:rPr>
              <w:t xml:space="preserve"> me pag</w:t>
            </w:r>
            <w:r w:rsidR="00FD245C"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n</w:t>
            </w:r>
            <w:r w:rsidR="00FD245C"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sektorin privat</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4. Paga mesatare mujore sipas aktiviteteve ekonomike</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5. Paga mesatare mujore sipas grup-profesioneve</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6. Hendeku gjinor i pagave sipas aktiviteteve ekonomike</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7. Hendeku gjinor i pagave sipas grup-profesioneve</w:t>
            </w:r>
            <w:r w:rsidR="007A799B" w:rsidRPr="00B31292">
              <w:rPr>
                <w:rFonts w:ascii="Garamond" w:eastAsia="Times New Roman" w:hAnsi="Garamond" w:cs="Times New Roman"/>
                <w:color w:val="000000"/>
                <w:sz w:val="10"/>
                <w:szCs w:val="10"/>
              </w:rPr>
              <w:t>.</w:t>
            </w:r>
          </w:p>
        </w:tc>
        <w:tc>
          <w:tcPr>
            <w:tcW w:w="299" w:type="pct"/>
            <w:tcBorders>
              <w:top w:val="nil"/>
              <w:left w:val="nil"/>
              <w:bottom w:val="nil"/>
              <w:right w:val="nil"/>
            </w:tcBorders>
            <w:shd w:val="clear" w:color="auto" w:fill="auto"/>
            <w:vAlign w:val="center"/>
            <w:hideMark/>
          </w:tcPr>
          <w:p w14:paraId="0C79325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Drejtoria e Përgjithshme e Tatimeve</w:t>
            </w:r>
          </w:p>
        </w:tc>
        <w:tc>
          <w:tcPr>
            <w:tcW w:w="224" w:type="pct"/>
            <w:tcBorders>
              <w:top w:val="nil"/>
              <w:left w:val="single" w:sz="4" w:space="0" w:color="auto"/>
              <w:bottom w:val="nil"/>
              <w:right w:val="single" w:sz="4" w:space="0" w:color="auto"/>
            </w:tcBorders>
            <w:shd w:val="clear" w:color="auto" w:fill="auto"/>
            <w:vAlign w:val="center"/>
            <w:hideMark/>
          </w:tcPr>
          <w:p w14:paraId="208D8D33" w14:textId="6620B8E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7A799B" w:rsidRPr="00B31292">
              <w:rPr>
                <w:rFonts w:ascii="Garamond" w:eastAsia="Times New Roman" w:hAnsi="Garamond" w:cs="Times New Roman"/>
                <w:color w:val="000000"/>
                <w:sz w:val="10"/>
                <w:szCs w:val="10"/>
              </w:rPr>
              <w:t>-i</w:t>
            </w:r>
          </w:p>
        </w:tc>
        <w:tc>
          <w:tcPr>
            <w:tcW w:w="244" w:type="pct"/>
            <w:tcBorders>
              <w:top w:val="nil"/>
              <w:left w:val="nil"/>
              <w:bottom w:val="single" w:sz="4" w:space="0" w:color="auto"/>
              <w:right w:val="single" w:sz="4" w:space="0" w:color="auto"/>
            </w:tcBorders>
            <w:shd w:val="clear" w:color="000000" w:fill="FFFFFF"/>
            <w:vAlign w:val="center"/>
            <w:hideMark/>
          </w:tcPr>
          <w:p w14:paraId="716EA395"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T + 58D</w:t>
            </w:r>
          </w:p>
        </w:tc>
        <w:tc>
          <w:tcPr>
            <w:tcW w:w="220" w:type="pct"/>
            <w:tcBorders>
              <w:top w:val="nil"/>
              <w:left w:val="nil"/>
              <w:bottom w:val="single" w:sz="4" w:space="0" w:color="auto"/>
              <w:right w:val="single" w:sz="4" w:space="0" w:color="auto"/>
            </w:tcBorders>
            <w:shd w:val="clear" w:color="000000" w:fill="FFFFFF"/>
            <w:vAlign w:val="center"/>
            <w:hideMark/>
          </w:tcPr>
          <w:p w14:paraId="3C8684F6"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T + 63D</w:t>
            </w:r>
          </w:p>
        </w:tc>
        <w:tc>
          <w:tcPr>
            <w:tcW w:w="220" w:type="pct"/>
            <w:tcBorders>
              <w:top w:val="nil"/>
              <w:left w:val="nil"/>
              <w:bottom w:val="single" w:sz="4" w:space="0" w:color="auto"/>
              <w:right w:val="single" w:sz="4" w:space="0" w:color="auto"/>
            </w:tcBorders>
            <w:shd w:val="clear" w:color="000000" w:fill="FFFFFF"/>
            <w:vAlign w:val="center"/>
            <w:hideMark/>
          </w:tcPr>
          <w:p w14:paraId="0FA7B8B2"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T + 72D</w:t>
            </w:r>
          </w:p>
        </w:tc>
        <w:tc>
          <w:tcPr>
            <w:tcW w:w="346" w:type="pct"/>
            <w:tcBorders>
              <w:top w:val="nil"/>
              <w:left w:val="nil"/>
              <w:bottom w:val="single" w:sz="4" w:space="0" w:color="auto"/>
              <w:right w:val="single" w:sz="4" w:space="0" w:color="auto"/>
            </w:tcBorders>
            <w:shd w:val="clear" w:color="auto" w:fill="auto"/>
            <w:vAlign w:val="center"/>
            <w:hideMark/>
          </w:tcPr>
          <w:p w14:paraId="30654AA6" w14:textId="14BD04D9"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Vonesë në marrjen e të dhënave</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 xml:space="preserve">-|- 2 </w:t>
            </w:r>
          </w:p>
        </w:tc>
        <w:tc>
          <w:tcPr>
            <w:tcW w:w="273" w:type="pct"/>
            <w:tcBorders>
              <w:top w:val="nil"/>
              <w:left w:val="nil"/>
              <w:bottom w:val="single" w:sz="4" w:space="0" w:color="auto"/>
              <w:right w:val="single" w:sz="4" w:space="0" w:color="auto"/>
            </w:tcBorders>
            <w:shd w:val="clear" w:color="000000" w:fill="FFFFFF"/>
            <w:vAlign w:val="center"/>
            <w:hideMark/>
          </w:tcPr>
          <w:p w14:paraId="38ED8EC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Buxhet shteti</w:t>
            </w:r>
          </w:p>
        </w:tc>
      </w:tr>
      <w:tr w:rsidR="000A2254" w:rsidRPr="00B31292" w14:paraId="52D8A389" w14:textId="77777777" w:rsidTr="000A2254">
        <w:trPr>
          <w:trHeight w:val="20"/>
        </w:trPr>
        <w:tc>
          <w:tcPr>
            <w:tcW w:w="215" w:type="pct"/>
            <w:tcBorders>
              <w:top w:val="nil"/>
              <w:left w:val="nil"/>
              <w:bottom w:val="nil"/>
              <w:right w:val="nil"/>
            </w:tcBorders>
            <w:shd w:val="clear" w:color="000000" w:fill="FFFFFF"/>
            <w:vAlign w:val="bottom"/>
            <w:hideMark/>
          </w:tcPr>
          <w:p w14:paraId="0050D66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383D6C3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single" w:sz="4" w:space="0" w:color="000000"/>
              <w:left w:val="single" w:sz="4" w:space="0" w:color="000000"/>
              <w:bottom w:val="single" w:sz="4" w:space="0" w:color="000000"/>
              <w:right w:val="nil"/>
            </w:tcBorders>
            <w:shd w:val="clear" w:color="000000" w:fill="F0F0F0"/>
            <w:vAlign w:val="center"/>
            <w:hideMark/>
          </w:tcPr>
          <w:p w14:paraId="276DEC3A"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1.3</w:t>
            </w:r>
          </w:p>
        </w:tc>
        <w:tc>
          <w:tcPr>
            <w:tcW w:w="4416" w:type="pct"/>
            <w:gridSpan w:val="18"/>
            <w:tcBorders>
              <w:top w:val="single" w:sz="4" w:space="0" w:color="auto"/>
              <w:left w:val="single" w:sz="4" w:space="0" w:color="auto"/>
              <w:bottom w:val="single" w:sz="4" w:space="0" w:color="auto"/>
              <w:right w:val="single" w:sz="4" w:space="0" w:color="auto"/>
            </w:tcBorders>
            <w:shd w:val="clear" w:color="000000" w:fill="F0F0F0"/>
            <w:vAlign w:val="center"/>
            <w:hideMark/>
          </w:tcPr>
          <w:p w14:paraId="3F0C384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Arsimi dhe trajnimet</w:t>
            </w:r>
          </w:p>
        </w:tc>
      </w:tr>
      <w:tr w:rsidR="000A2254" w:rsidRPr="00B31292" w14:paraId="3FDBAA20" w14:textId="77777777" w:rsidTr="000A2254">
        <w:trPr>
          <w:trHeight w:val="20"/>
        </w:trPr>
        <w:tc>
          <w:tcPr>
            <w:tcW w:w="215" w:type="pct"/>
            <w:tcBorders>
              <w:top w:val="nil"/>
              <w:left w:val="nil"/>
              <w:bottom w:val="nil"/>
              <w:right w:val="nil"/>
            </w:tcBorders>
            <w:shd w:val="clear" w:color="000000" w:fill="FFFFFF"/>
            <w:vAlign w:val="bottom"/>
            <w:hideMark/>
          </w:tcPr>
          <w:p w14:paraId="5C06962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03BA8E9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26FDE4F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7545BFF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single" w:sz="4" w:space="0" w:color="auto"/>
              <w:bottom w:val="single" w:sz="4" w:space="0" w:color="auto"/>
              <w:right w:val="single" w:sz="4" w:space="0" w:color="auto"/>
            </w:tcBorders>
            <w:shd w:val="clear" w:color="000000" w:fill="F0F0F0"/>
            <w:vAlign w:val="center"/>
            <w:hideMark/>
          </w:tcPr>
          <w:p w14:paraId="0FE1E6E2"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1.3.1</w:t>
            </w:r>
          </w:p>
        </w:tc>
        <w:tc>
          <w:tcPr>
            <w:tcW w:w="4082" w:type="pct"/>
            <w:gridSpan w:val="16"/>
            <w:tcBorders>
              <w:top w:val="single" w:sz="4" w:space="0" w:color="auto"/>
              <w:left w:val="nil"/>
              <w:bottom w:val="single" w:sz="4" w:space="0" w:color="auto"/>
              <w:right w:val="single" w:sz="4" w:space="0" w:color="000000"/>
            </w:tcBorders>
            <w:shd w:val="clear" w:color="000000" w:fill="F0F0F0"/>
            <w:vAlign w:val="center"/>
            <w:hideMark/>
          </w:tcPr>
          <w:p w14:paraId="68632DA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Arsimi</w:t>
            </w:r>
          </w:p>
        </w:tc>
      </w:tr>
      <w:tr w:rsidR="000A2254" w:rsidRPr="00B31292" w14:paraId="0F80DFDF" w14:textId="77777777" w:rsidTr="000A2254">
        <w:trPr>
          <w:trHeight w:val="20"/>
        </w:trPr>
        <w:tc>
          <w:tcPr>
            <w:tcW w:w="215" w:type="pct"/>
            <w:tcBorders>
              <w:top w:val="nil"/>
              <w:left w:val="nil"/>
              <w:bottom w:val="nil"/>
              <w:right w:val="nil"/>
            </w:tcBorders>
            <w:shd w:val="clear" w:color="000000" w:fill="FFFFFF"/>
            <w:vAlign w:val="bottom"/>
            <w:hideMark/>
          </w:tcPr>
          <w:p w14:paraId="691A5F8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33CF5F9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3593CBE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0202036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224A7AB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1E536E1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01B35980"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1.3.1.1</w:t>
            </w:r>
          </w:p>
        </w:tc>
        <w:tc>
          <w:tcPr>
            <w:tcW w:w="281"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587D419D"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Statistika të regjistrimeve në arsim</w:t>
            </w:r>
          </w:p>
        </w:tc>
        <w:tc>
          <w:tcPr>
            <w:tcW w:w="236" w:type="pct"/>
            <w:vMerge w:val="restart"/>
            <w:tcBorders>
              <w:top w:val="nil"/>
              <w:left w:val="single" w:sz="4" w:space="0" w:color="000000"/>
              <w:bottom w:val="single" w:sz="4" w:space="0" w:color="000000"/>
              <w:right w:val="single" w:sz="4" w:space="0" w:color="auto"/>
            </w:tcBorders>
            <w:shd w:val="clear" w:color="auto" w:fill="auto"/>
            <w:vAlign w:val="center"/>
            <w:hideMark/>
          </w:tcPr>
          <w:p w14:paraId="584B1421"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Burim administrativ</w:t>
            </w:r>
          </w:p>
        </w:tc>
        <w:tc>
          <w:tcPr>
            <w:tcW w:w="23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3501CA4"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18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3679393"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28" w:type="pct"/>
            <w:vMerge w:val="restart"/>
            <w:tcBorders>
              <w:top w:val="nil"/>
              <w:left w:val="single" w:sz="4" w:space="0" w:color="auto"/>
              <w:bottom w:val="single" w:sz="4" w:space="0" w:color="000000"/>
              <w:right w:val="single" w:sz="4" w:space="0" w:color="auto"/>
            </w:tcBorders>
            <w:shd w:val="clear" w:color="auto" w:fill="auto"/>
            <w:vAlign w:val="center"/>
            <w:hideMark/>
          </w:tcPr>
          <w:p w14:paraId="779539A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vMerge w:val="restart"/>
            <w:tcBorders>
              <w:top w:val="nil"/>
              <w:left w:val="single" w:sz="4" w:space="0" w:color="auto"/>
              <w:bottom w:val="single" w:sz="4" w:space="0" w:color="000000"/>
              <w:right w:val="single" w:sz="4" w:space="0" w:color="auto"/>
            </w:tcBorders>
            <w:shd w:val="clear" w:color="auto" w:fill="auto"/>
            <w:vAlign w:val="center"/>
            <w:hideMark/>
          </w:tcPr>
          <w:p w14:paraId="32D0BD6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Vjetor</w:t>
            </w:r>
          </w:p>
        </w:tc>
        <w:tc>
          <w:tcPr>
            <w:tcW w:w="486" w:type="pct"/>
            <w:tcBorders>
              <w:top w:val="nil"/>
              <w:left w:val="nil"/>
              <w:bottom w:val="nil"/>
              <w:right w:val="nil"/>
            </w:tcBorders>
            <w:shd w:val="clear" w:color="000000" w:fill="FFFFFF"/>
            <w:hideMark/>
          </w:tcPr>
          <w:p w14:paraId="0CFF62F4" w14:textId="22125D39"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Kopshte dhe fëmijë të regjistruar</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2. Raporti bruto i regjistrimeve në kopshte </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GER</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3. Raporti i neto i regjistrimeve në kopshte </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NER</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4. Indeksi i barazisë gjinore GPI (mbi GER)</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5. Raporti fëmijëve në kopshte sipas gjinisë</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6. Raporti i fëmijëve në kopshte publike dhe jopublike</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7. Përqindja e fëmijëve nga mosha 3</w:t>
            </w:r>
            <w:r w:rsidR="00FD245C"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6 vjeç të përfshirë në edukimin në fëmijërinë e hershme</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8. Shkalla e pjesëmarrjes </w:t>
            </w:r>
            <w:r w:rsidR="007A799B" w:rsidRPr="00B31292">
              <w:rPr>
                <w:rFonts w:ascii="Garamond" w:eastAsia="Times New Roman" w:hAnsi="Garamond" w:cs="Times New Roman"/>
                <w:color w:val="000000"/>
                <w:sz w:val="10"/>
                <w:szCs w:val="10"/>
              </w:rPr>
              <w:t>s</w:t>
            </w:r>
            <w:r w:rsidRPr="00B31292">
              <w:rPr>
                <w:rFonts w:ascii="Garamond" w:eastAsia="Times New Roman" w:hAnsi="Garamond" w:cs="Times New Roman"/>
                <w:color w:val="000000"/>
                <w:sz w:val="10"/>
                <w:szCs w:val="10"/>
              </w:rPr>
              <w:t>ë fëmijëve 5</w:t>
            </w:r>
            <w:r w:rsidR="00FD245C"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6 vjeç në klasat përgatitore dhe grupet e 3-ta të kopshteve, sipas gjinisë</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9. Numri i edukatoreve në kopshte</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10. Raporti i</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fëmijëve për një edukatore</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11. </w:t>
            </w:r>
            <w:r w:rsidR="00FD245C" w:rsidRPr="00B31292">
              <w:rPr>
                <w:rFonts w:ascii="Garamond" w:eastAsia="Times New Roman" w:hAnsi="Garamond" w:cs="Times New Roman"/>
                <w:color w:val="000000"/>
                <w:sz w:val="10"/>
                <w:szCs w:val="10"/>
              </w:rPr>
              <w:t>Fëmijë</w:t>
            </w:r>
            <w:r w:rsidRPr="00B31292">
              <w:rPr>
                <w:rFonts w:ascii="Garamond" w:eastAsia="Times New Roman" w:hAnsi="Garamond" w:cs="Times New Roman"/>
                <w:color w:val="000000"/>
                <w:sz w:val="10"/>
                <w:szCs w:val="10"/>
              </w:rPr>
              <w:t xml:space="preserve"> të regjistruar në kopshte publike sipas bashkive</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12. Numri i nxënësve në arsimin 9</w:t>
            </w:r>
            <w:r w:rsidR="00FD245C"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vjeçar publik dhe privat</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13. Përqindja e fëmijëve jashtë shkolle - niveli ISCED 1</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14. Përqindja e fëmijëve jashtë shkolle - niveli ISCED 2</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15. Raporti bruto i regjistrimeve në klasën e pestë</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16. Raporti bruto i regjistrimeve në klasën e </w:t>
            </w:r>
            <w:r w:rsidRPr="00B31292">
              <w:rPr>
                <w:rFonts w:ascii="Garamond" w:eastAsia="Times New Roman" w:hAnsi="Garamond" w:cs="Times New Roman"/>
                <w:color w:val="000000"/>
                <w:sz w:val="10"/>
                <w:szCs w:val="10"/>
              </w:rPr>
              <w:lastRenderedPageBreak/>
              <w:t>nëntë</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17. Përqindja e fëmijëve të moshës më të madhe për klasën përkatëse </w:t>
            </w:r>
            <w:r w:rsidR="00FD245C"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niveli ISCED 1</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18. Përqindja e fëmijëve të moshës më të madhe për klasën përkatëse </w:t>
            </w:r>
            <w:r w:rsidR="00FD245C"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niveli ISCED 2</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19. Raporti bruto i regjistrimeve në arsimin 9</w:t>
            </w:r>
            <w:r w:rsidR="00FD245C"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vjeçar </w:t>
            </w:r>
            <w:r w:rsidR="00FD245C"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GER</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20. Raporti i neto i regjistrimeve në arsimin 9</w:t>
            </w:r>
            <w:r w:rsidR="00FD245C"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vjeçar </w:t>
            </w:r>
            <w:r w:rsidR="00FD245C"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NER</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21. Indeksi i barazisë gjinore GPI (mbi GER)</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22. Indeksi i paritetit gjinor</w:t>
            </w:r>
            <w:r w:rsidR="00FD245C"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 xml:space="preserve"> niveli ISCED 1</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23. Indeksi i paritetit gjinor- niveli ISCED 2</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24. Shkalla e pjesëmarrjes në të mësuarit e organizuar (1 vit para moshës zyrtare të hyrjes në fillore) </w:t>
            </w:r>
            <w:r w:rsidR="00FD245C"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4.2.2 SDG</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r>
          </w:p>
        </w:tc>
        <w:tc>
          <w:tcPr>
            <w:tcW w:w="299" w:type="pct"/>
            <w:vMerge w:val="restart"/>
            <w:tcBorders>
              <w:top w:val="nil"/>
              <w:left w:val="single" w:sz="4" w:space="0" w:color="auto"/>
              <w:bottom w:val="single" w:sz="4" w:space="0" w:color="000000"/>
              <w:right w:val="single" w:sz="4" w:space="0" w:color="auto"/>
            </w:tcBorders>
            <w:shd w:val="clear" w:color="auto" w:fill="auto"/>
            <w:vAlign w:val="center"/>
            <w:hideMark/>
          </w:tcPr>
          <w:p w14:paraId="3C83DD25" w14:textId="7DBE995E"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lastRenderedPageBreak/>
              <w:t>Ministria e Financave dhe Ekonomisë</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Ministria e Arsimit, Sportit dhe Rinisë</w:t>
            </w:r>
          </w:p>
        </w:tc>
        <w:tc>
          <w:tcPr>
            <w:tcW w:w="224" w:type="pct"/>
            <w:vMerge w:val="restart"/>
            <w:tcBorders>
              <w:top w:val="nil"/>
              <w:left w:val="single" w:sz="4" w:space="0" w:color="auto"/>
              <w:bottom w:val="single" w:sz="4" w:space="0" w:color="000000"/>
              <w:right w:val="single" w:sz="4" w:space="0" w:color="auto"/>
            </w:tcBorders>
            <w:shd w:val="clear" w:color="auto" w:fill="auto"/>
            <w:vAlign w:val="center"/>
            <w:hideMark/>
          </w:tcPr>
          <w:p w14:paraId="29C7984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p>
        </w:tc>
        <w:tc>
          <w:tcPr>
            <w:tcW w:w="24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928B7D9"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+ 71D</w:t>
            </w:r>
          </w:p>
        </w:tc>
        <w:tc>
          <w:tcPr>
            <w:tcW w:w="220"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A21EF8D"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+ 95D</w:t>
            </w:r>
          </w:p>
        </w:tc>
        <w:tc>
          <w:tcPr>
            <w:tcW w:w="220"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2EFC764"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+ 106D</w:t>
            </w:r>
          </w:p>
        </w:tc>
        <w:tc>
          <w:tcPr>
            <w:tcW w:w="346" w:type="pct"/>
            <w:vMerge w:val="restart"/>
            <w:tcBorders>
              <w:top w:val="nil"/>
              <w:left w:val="single" w:sz="4" w:space="0" w:color="auto"/>
              <w:bottom w:val="single" w:sz="4" w:space="0" w:color="000000"/>
              <w:right w:val="single" w:sz="4" w:space="0" w:color="auto"/>
            </w:tcBorders>
            <w:shd w:val="clear" w:color="auto" w:fill="auto"/>
            <w:vAlign w:val="center"/>
            <w:hideMark/>
          </w:tcPr>
          <w:p w14:paraId="23C138FF" w14:textId="0CF7EFD1"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Vonesa në procesin e grumbullimit të të dhënave nga burimet administrative -|- 4</w:t>
            </w:r>
            <w:r w:rsidRPr="00B31292">
              <w:rPr>
                <w:rFonts w:ascii="Garamond" w:eastAsia="Times New Roman" w:hAnsi="Garamond" w:cs="Times New Roman"/>
                <w:color w:val="000000"/>
                <w:sz w:val="10"/>
                <w:szCs w:val="10"/>
              </w:rPr>
              <w:br/>
              <w:t xml:space="preserve">2. Pezullimi/vonesa e mbledhjes, prodhimit </w:t>
            </w:r>
            <w:r w:rsidR="00F667B8" w:rsidRPr="00B31292">
              <w:rPr>
                <w:rFonts w:ascii="Garamond" w:eastAsia="Times New Roman" w:hAnsi="Garamond" w:cs="Times New Roman"/>
                <w:color w:val="000000"/>
                <w:sz w:val="10"/>
                <w:szCs w:val="10"/>
              </w:rPr>
              <w:t>dhe shpërndarjes së statistikave zyrtare si pasojë e fatkeqësive natyrore/ pandemive globale</w:t>
            </w:r>
            <w:r w:rsidR="007A799B"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etj. -|- 4</w:t>
            </w:r>
          </w:p>
        </w:tc>
        <w:tc>
          <w:tcPr>
            <w:tcW w:w="273" w:type="pct"/>
            <w:vMerge w:val="restart"/>
            <w:tcBorders>
              <w:top w:val="nil"/>
              <w:left w:val="single" w:sz="4" w:space="0" w:color="auto"/>
              <w:bottom w:val="single" w:sz="4" w:space="0" w:color="000000"/>
              <w:right w:val="single" w:sz="4" w:space="0" w:color="auto"/>
            </w:tcBorders>
            <w:shd w:val="clear" w:color="auto" w:fill="auto"/>
            <w:vAlign w:val="center"/>
            <w:hideMark/>
          </w:tcPr>
          <w:p w14:paraId="46B4572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Buxhet shteti</w:t>
            </w:r>
          </w:p>
        </w:tc>
      </w:tr>
      <w:tr w:rsidR="000A2254" w:rsidRPr="00B31292" w14:paraId="2492BF83" w14:textId="77777777" w:rsidTr="000A2254">
        <w:trPr>
          <w:trHeight w:val="20"/>
        </w:trPr>
        <w:tc>
          <w:tcPr>
            <w:tcW w:w="215" w:type="pct"/>
            <w:tcBorders>
              <w:top w:val="nil"/>
              <w:left w:val="nil"/>
              <w:bottom w:val="nil"/>
              <w:right w:val="nil"/>
            </w:tcBorders>
            <w:shd w:val="clear" w:color="000000" w:fill="FFFFFF"/>
            <w:vAlign w:val="bottom"/>
            <w:hideMark/>
          </w:tcPr>
          <w:p w14:paraId="5E1919E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0404372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30C45A1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77BFE68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17FCF87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5ED55C5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vMerge/>
            <w:tcBorders>
              <w:top w:val="nil"/>
              <w:left w:val="single" w:sz="4" w:space="0" w:color="000000"/>
              <w:bottom w:val="single" w:sz="4" w:space="0" w:color="000000"/>
              <w:right w:val="single" w:sz="4" w:space="0" w:color="000000"/>
            </w:tcBorders>
            <w:vAlign w:val="center"/>
            <w:hideMark/>
          </w:tcPr>
          <w:p w14:paraId="3A43CD98"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81" w:type="pct"/>
            <w:vMerge/>
            <w:tcBorders>
              <w:top w:val="nil"/>
              <w:left w:val="single" w:sz="4" w:space="0" w:color="000000"/>
              <w:bottom w:val="single" w:sz="4" w:space="0" w:color="000000"/>
              <w:right w:val="single" w:sz="4" w:space="0" w:color="000000"/>
            </w:tcBorders>
            <w:vAlign w:val="center"/>
            <w:hideMark/>
          </w:tcPr>
          <w:p w14:paraId="56331A35" w14:textId="77777777" w:rsidR="000A2254" w:rsidRPr="00B31292" w:rsidRDefault="000A2254" w:rsidP="000A2254">
            <w:pPr>
              <w:spacing w:after="0" w:line="240" w:lineRule="auto"/>
              <w:rPr>
                <w:rFonts w:ascii="Garamond" w:eastAsia="Times New Roman" w:hAnsi="Garamond" w:cs="Times New Roman"/>
                <w:sz w:val="10"/>
                <w:szCs w:val="10"/>
              </w:rPr>
            </w:pPr>
          </w:p>
        </w:tc>
        <w:tc>
          <w:tcPr>
            <w:tcW w:w="236" w:type="pct"/>
            <w:vMerge/>
            <w:tcBorders>
              <w:top w:val="nil"/>
              <w:left w:val="single" w:sz="4" w:space="0" w:color="000000"/>
              <w:bottom w:val="single" w:sz="4" w:space="0" w:color="000000"/>
              <w:right w:val="single" w:sz="4" w:space="0" w:color="auto"/>
            </w:tcBorders>
            <w:vAlign w:val="center"/>
            <w:hideMark/>
          </w:tcPr>
          <w:p w14:paraId="018142DE" w14:textId="77777777" w:rsidR="000A2254" w:rsidRPr="00B31292" w:rsidRDefault="000A2254" w:rsidP="000A2254">
            <w:pPr>
              <w:spacing w:after="0" w:line="240" w:lineRule="auto"/>
              <w:rPr>
                <w:rFonts w:ascii="Garamond" w:eastAsia="Times New Roman" w:hAnsi="Garamond" w:cs="Times New Roman"/>
                <w:sz w:val="10"/>
                <w:szCs w:val="10"/>
              </w:rPr>
            </w:pPr>
          </w:p>
        </w:tc>
        <w:tc>
          <w:tcPr>
            <w:tcW w:w="238" w:type="pct"/>
            <w:vMerge/>
            <w:tcBorders>
              <w:top w:val="nil"/>
              <w:left w:val="single" w:sz="4" w:space="0" w:color="auto"/>
              <w:bottom w:val="single" w:sz="4" w:space="0" w:color="000000"/>
              <w:right w:val="single" w:sz="4" w:space="0" w:color="auto"/>
            </w:tcBorders>
            <w:vAlign w:val="center"/>
            <w:hideMark/>
          </w:tcPr>
          <w:p w14:paraId="56EEE96E" w14:textId="77777777" w:rsidR="000A2254" w:rsidRPr="00B31292" w:rsidRDefault="000A2254" w:rsidP="000A2254">
            <w:pPr>
              <w:spacing w:after="0" w:line="240" w:lineRule="auto"/>
              <w:rPr>
                <w:rFonts w:ascii="Garamond" w:eastAsia="Times New Roman" w:hAnsi="Garamond" w:cs="Times New Roman"/>
                <w:sz w:val="10"/>
                <w:szCs w:val="10"/>
              </w:rPr>
            </w:pPr>
          </w:p>
        </w:tc>
        <w:tc>
          <w:tcPr>
            <w:tcW w:w="180" w:type="pct"/>
            <w:vMerge/>
            <w:tcBorders>
              <w:top w:val="nil"/>
              <w:left w:val="single" w:sz="4" w:space="0" w:color="auto"/>
              <w:bottom w:val="single" w:sz="4" w:space="0" w:color="000000"/>
              <w:right w:val="single" w:sz="4" w:space="0" w:color="auto"/>
            </w:tcBorders>
            <w:vAlign w:val="center"/>
            <w:hideMark/>
          </w:tcPr>
          <w:p w14:paraId="267E164D" w14:textId="77777777" w:rsidR="000A2254" w:rsidRPr="00B31292" w:rsidRDefault="000A2254" w:rsidP="000A2254">
            <w:pPr>
              <w:spacing w:after="0" w:line="240" w:lineRule="auto"/>
              <w:rPr>
                <w:rFonts w:ascii="Garamond" w:eastAsia="Times New Roman" w:hAnsi="Garamond" w:cs="Times New Roman"/>
                <w:sz w:val="10"/>
                <w:szCs w:val="10"/>
              </w:rPr>
            </w:pPr>
          </w:p>
        </w:tc>
        <w:tc>
          <w:tcPr>
            <w:tcW w:w="228" w:type="pct"/>
            <w:vMerge/>
            <w:tcBorders>
              <w:top w:val="nil"/>
              <w:left w:val="single" w:sz="4" w:space="0" w:color="auto"/>
              <w:bottom w:val="single" w:sz="4" w:space="0" w:color="000000"/>
              <w:right w:val="single" w:sz="4" w:space="0" w:color="auto"/>
            </w:tcBorders>
            <w:vAlign w:val="center"/>
            <w:hideMark/>
          </w:tcPr>
          <w:p w14:paraId="4E2A5825"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22" w:type="pct"/>
            <w:vMerge/>
            <w:tcBorders>
              <w:top w:val="nil"/>
              <w:left w:val="single" w:sz="4" w:space="0" w:color="auto"/>
              <w:bottom w:val="single" w:sz="4" w:space="0" w:color="000000"/>
              <w:right w:val="single" w:sz="4" w:space="0" w:color="auto"/>
            </w:tcBorders>
            <w:vAlign w:val="center"/>
            <w:hideMark/>
          </w:tcPr>
          <w:p w14:paraId="49846AEB"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486" w:type="pct"/>
            <w:tcBorders>
              <w:top w:val="nil"/>
              <w:left w:val="nil"/>
              <w:bottom w:val="nil"/>
              <w:right w:val="nil"/>
            </w:tcBorders>
            <w:shd w:val="clear" w:color="000000" w:fill="FFFFFF"/>
            <w:hideMark/>
          </w:tcPr>
          <w:p w14:paraId="78068D4A" w14:textId="15AEAF0B"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25. Raporti bruto i regjistrimeve në ciklin e ulët të arsimit 9-vjeçar </w:t>
            </w:r>
            <w:r w:rsidR="00FD245C"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GER</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26. Raporti bruto i regjistrimeve n</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ciklin e lartë të arsimit 9-vjeçar </w:t>
            </w:r>
            <w:r w:rsidR="00FD245C"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GER</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27. Raporti neto i regjistrimeve n</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ciklin e ulët të arsimit 9-vjeçar </w:t>
            </w:r>
            <w:r w:rsidR="00FD245C"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NER</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28. Raporti neto i regjistrimeve n</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ciklin e lartë të arsimit 9-vjeçar </w:t>
            </w:r>
            <w:r w:rsidR="00FD245C"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NER</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29. Raporti i nxënësve meshkuj</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femra për të dy ciklet e arsimit 9-vjeçar </w:t>
            </w:r>
            <w:r w:rsidR="00FD245C"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(Indeksi i paritetit gjinor</w:t>
            </w:r>
            <w:r w:rsidR="00FD245C"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 xml:space="preserve"> niveli ISCED 1+2)</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30. Raporti i nxënësve në shkolla publike dhe jopublike</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31. Numri i mësuesve në arsimin 9</w:t>
            </w:r>
            <w:r w:rsidR="00FD245C"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vjeçar publik dhe privat</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32. Raporti nxënës për mësues për të dy</w:t>
            </w:r>
            <w:r w:rsidR="007A799B" w:rsidRPr="00B31292">
              <w:rPr>
                <w:rFonts w:ascii="Garamond" w:eastAsia="Times New Roman" w:hAnsi="Garamond" w:cs="Times New Roman"/>
                <w:color w:val="000000"/>
                <w:sz w:val="10"/>
                <w:szCs w:val="10"/>
              </w:rPr>
              <w:t>ja</w:t>
            </w:r>
            <w:r w:rsidRPr="00B31292">
              <w:rPr>
                <w:rFonts w:ascii="Garamond" w:eastAsia="Times New Roman" w:hAnsi="Garamond" w:cs="Times New Roman"/>
                <w:color w:val="000000"/>
                <w:sz w:val="10"/>
                <w:szCs w:val="10"/>
              </w:rPr>
              <w:t xml:space="preserve"> ciklet e arsimit 9-vjeçar</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PTR</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33. Niveli i shkollimit të trupit arsimor sipas cikleve</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34. Numri i shkollave 9</w:t>
            </w:r>
            <w:r w:rsidR="00FD245C"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vjeçare publik dhe privat</w:t>
            </w:r>
            <w:r w:rsidR="007A799B" w:rsidRPr="00B31292">
              <w:rPr>
                <w:rFonts w:ascii="Garamond" w:eastAsia="Times New Roman" w:hAnsi="Garamond" w:cs="Times New Roman"/>
                <w:color w:val="000000"/>
                <w:sz w:val="10"/>
                <w:szCs w:val="10"/>
              </w:rPr>
              <w:t>e.</w:t>
            </w:r>
            <w:r w:rsidRPr="00B31292">
              <w:rPr>
                <w:rFonts w:ascii="Garamond" w:eastAsia="Times New Roman" w:hAnsi="Garamond" w:cs="Times New Roman"/>
                <w:color w:val="000000"/>
                <w:sz w:val="10"/>
                <w:szCs w:val="10"/>
              </w:rPr>
              <w:br/>
              <w:t>35. Raporti i nxënësve për klasë për të dy</w:t>
            </w:r>
            <w:r w:rsidR="007A799B" w:rsidRPr="00B31292">
              <w:rPr>
                <w:rFonts w:ascii="Garamond" w:eastAsia="Times New Roman" w:hAnsi="Garamond" w:cs="Times New Roman"/>
                <w:color w:val="000000"/>
                <w:sz w:val="10"/>
                <w:szCs w:val="10"/>
              </w:rPr>
              <w:t>ja</w:t>
            </w:r>
            <w:r w:rsidRPr="00B31292">
              <w:rPr>
                <w:rFonts w:ascii="Garamond" w:eastAsia="Times New Roman" w:hAnsi="Garamond" w:cs="Times New Roman"/>
                <w:color w:val="000000"/>
                <w:sz w:val="10"/>
                <w:szCs w:val="10"/>
              </w:rPr>
              <w:t xml:space="preserve"> ciklet e arsimit 9-vjeçar</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36. Përqindja e përsëritësve në arsimin 9</w:t>
            </w:r>
            <w:r w:rsidR="00FD245C"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vjeçar dhe sipas cikleve</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37. Numri i </w:t>
            </w:r>
            <w:r w:rsidR="00FD245C" w:rsidRPr="00B31292">
              <w:rPr>
                <w:rFonts w:ascii="Garamond" w:eastAsia="Times New Roman" w:hAnsi="Garamond" w:cs="Times New Roman"/>
                <w:color w:val="000000"/>
                <w:sz w:val="10"/>
                <w:szCs w:val="10"/>
              </w:rPr>
              <w:t>nxënësve</w:t>
            </w:r>
            <w:r w:rsidRPr="00B31292">
              <w:rPr>
                <w:rFonts w:ascii="Garamond" w:eastAsia="Times New Roman" w:hAnsi="Garamond" w:cs="Times New Roman"/>
                <w:color w:val="000000"/>
                <w:sz w:val="10"/>
                <w:szCs w:val="10"/>
              </w:rPr>
              <w:t xml:space="preserve"> në arsimin 9</w:t>
            </w:r>
            <w:r w:rsidR="00FD245C"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vjeçar publik sipas bashkive</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38. Raporti i nxënësve për klasë në arsimin 9</w:t>
            </w:r>
            <w:r w:rsidR="00FD245C"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vjeçar publik sipas bashkive</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39. Raporti i nxënësve për mësues në arsimin 9</w:t>
            </w:r>
            <w:r w:rsidR="00FD245C"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vjeçar publik sipas bashkive</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40. Raporti bruto i regjistrimeve GER </w:t>
            </w:r>
            <w:r w:rsidR="00FD245C"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arsimi i mesëm</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41. Raporti neto i regjistrimeve NER </w:t>
            </w:r>
            <w:r w:rsidR="00FD245C"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arsimi i mesëm</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42. Përqindja e shkollave me infrastrukturën dhe materialet e përshtatura për nxënësit me </w:t>
            </w:r>
            <w:r w:rsidRPr="00B31292">
              <w:rPr>
                <w:rFonts w:ascii="Garamond" w:eastAsia="Times New Roman" w:hAnsi="Garamond" w:cs="Times New Roman"/>
                <w:color w:val="000000"/>
                <w:sz w:val="10"/>
                <w:szCs w:val="10"/>
              </w:rPr>
              <w:lastRenderedPageBreak/>
              <w:t xml:space="preserve">aftësi të kufizuara </w:t>
            </w:r>
            <w:r w:rsidR="00FD245C"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007A799B" w:rsidRPr="00B31292">
              <w:rPr>
                <w:rFonts w:ascii="Garamond" w:eastAsia="Times New Roman" w:hAnsi="Garamond" w:cs="Times New Roman"/>
                <w:color w:val="000000"/>
                <w:sz w:val="10"/>
                <w:szCs w:val="10"/>
              </w:rPr>
              <w:t>n</w:t>
            </w:r>
            <w:r w:rsidRPr="00B31292">
              <w:rPr>
                <w:rFonts w:ascii="Garamond" w:eastAsia="Times New Roman" w:hAnsi="Garamond" w:cs="Times New Roman"/>
                <w:color w:val="000000"/>
                <w:sz w:val="10"/>
                <w:szCs w:val="10"/>
              </w:rPr>
              <w:t>iveli ISCED 1</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43. Përqindja e shkollave me infrastrukturën dhe materialet e përshtatura për nxënësit me aftësi të kufizuara </w:t>
            </w:r>
            <w:r w:rsidR="00FD245C"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007A799B" w:rsidRPr="00B31292">
              <w:rPr>
                <w:rFonts w:ascii="Garamond" w:eastAsia="Times New Roman" w:hAnsi="Garamond" w:cs="Times New Roman"/>
                <w:color w:val="000000"/>
                <w:sz w:val="10"/>
                <w:szCs w:val="10"/>
              </w:rPr>
              <w:t>n</w:t>
            </w:r>
            <w:r w:rsidRPr="00B31292">
              <w:rPr>
                <w:rFonts w:ascii="Garamond" w:eastAsia="Times New Roman" w:hAnsi="Garamond" w:cs="Times New Roman"/>
                <w:color w:val="000000"/>
                <w:sz w:val="10"/>
                <w:szCs w:val="10"/>
              </w:rPr>
              <w:t>iveli ISCED 2</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44. Përqindja e shkollave që kanë akses në energji elektrike </w:t>
            </w:r>
            <w:r w:rsidR="00FD245C"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Niveli ISCED 1</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45. Përqindja e shkollave që kanë akses në internet për qëllime pedagogjike </w:t>
            </w:r>
            <w:r w:rsidR="00FD245C"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007A799B" w:rsidRPr="00B31292">
              <w:rPr>
                <w:rFonts w:ascii="Garamond" w:eastAsia="Times New Roman" w:hAnsi="Garamond" w:cs="Times New Roman"/>
                <w:color w:val="000000"/>
                <w:sz w:val="10"/>
                <w:szCs w:val="10"/>
              </w:rPr>
              <w:t>n</w:t>
            </w:r>
            <w:r w:rsidRPr="00B31292">
              <w:rPr>
                <w:rFonts w:ascii="Garamond" w:eastAsia="Times New Roman" w:hAnsi="Garamond" w:cs="Times New Roman"/>
                <w:color w:val="000000"/>
                <w:sz w:val="10"/>
                <w:szCs w:val="10"/>
              </w:rPr>
              <w:t>iveli ISCED 1</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46. Përqindja e shkollave që kanë akses në kompjuterë për qëllime pedagogjike </w:t>
            </w:r>
            <w:r w:rsidR="00FD245C" w:rsidRPr="00B31292">
              <w:rPr>
                <w:rFonts w:ascii="Garamond" w:eastAsia="Times New Roman" w:hAnsi="Garamond" w:cs="Times New Roman"/>
                <w:color w:val="000000"/>
                <w:sz w:val="10"/>
                <w:szCs w:val="10"/>
              </w:rPr>
              <w:t xml:space="preserve">– </w:t>
            </w:r>
            <w:r w:rsidR="007A799B" w:rsidRPr="00B31292">
              <w:rPr>
                <w:rFonts w:ascii="Garamond" w:eastAsia="Times New Roman" w:hAnsi="Garamond" w:cs="Times New Roman"/>
                <w:color w:val="000000"/>
                <w:sz w:val="10"/>
                <w:szCs w:val="10"/>
              </w:rPr>
              <w:t>n</w:t>
            </w:r>
            <w:r w:rsidRPr="00B31292">
              <w:rPr>
                <w:rFonts w:ascii="Garamond" w:eastAsia="Times New Roman" w:hAnsi="Garamond" w:cs="Times New Roman"/>
                <w:color w:val="000000"/>
                <w:sz w:val="10"/>
                <w:szCs w:val="10"/>
              </w:rPr>
              <w:t>iveli ISCED 1</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47. Përqindja e shkollave që kanë akses në energji elektrike </w:t>
            </w:r>
            <w:r w:rsidR="00FD245C"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Niveli ISCED 2</w:t>
            </w:r>
            <w:r w:rsidR="007A799B" w:rsidRPr="00B31292">
              <w:rPr>
                <w:rFonts w:ascii="Garamond" w:eastAsia="Times New Roman" w:hAnsi="Garamond" w:cs="Times New Roman"/>
                <w:color w:val="000000"/>
                <w:sz w:val="10"/>
                <w:szCs w:val="10"/>
              </w:rPr>
              <w:t>.</w:t>
            </w:r>
          </w:p>
        </w:tc>
        <w:tc>
          <w:tcPr>
            <w:tcW w:w="299" w:type="pct"/>
            <w:vMerge/>
            <w:tcBorders>
              <w:top w:val="nil"/>
              <w:left w:val="single" w:sz="4" w:space="0" w:color="auto"/>
              <w:bottom w:val="single" w:sz="4" w:space="0" w:color="000000"/>
              <w:right w:val="single" w:sz="4" w:space="0" w:color="auto"/>
            </w:tcBorders>
            <w:vAlign w:val="center"/>
            <w:hideMark/>
          </w:tcPr>
          <w:p w14:paraId="2E673A82"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24" w:type="pct"/>
            <w:vMerge/>
            <w:tcBorders>
              <w:top w:val="nil"/>
              <w:left w:val="single" w:sz="4" w:space="0" w:color="auto"/>
              <w:bottom w:val="single" w:sz="4" w:space="0" w:color="000000"/>
              <w:right w:val="single" w:sz="4" w:space="0" w:color="auto"/>
            </w:tcBorders>
            <w:vAlign w:val="center"/>
            <w:hideMark/>
          </w:tcPr>
          <w:p w14:paraId="493C52FC"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44" w:type="pct"/>
            <w:vMerge/>
            <w:tcBorders>
              <w:top w:val="nil"/>
              <w:left w:val="single" w:sz="4" w:space="0" w:color="auto"/>
              <w:bottom w:val="single" w:sz="4" w:space="0" w:color="000000"/>
              <w:right w:val="single" w:sz="4" w:space="0" w:color="auto"/>
            </w:tcBorders>
            <w:vAlign w:val="center"/>
            <w:hideMark/>
          </w:tcPr>
          <w:p w14:paraId="2A486B82"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20" w:type="pct"/>
            <w:vMerge/>
            <w:tcBorders>
              <w:top w:val="nil"/>
              <w:left w:val="single" w:sz="4" w:space="0" w:color="auto"/>
              <w:bottom w:val="single" w:sz="4" w:space="0" w:color="000000"/>
              <w:right w:val="single" w:sz="4" w:space="0" w:color="auto"/>
            </w:tcBorders>
            <w:vAlign w:val="center"/>
            <w:hideMark/>
          </w:tcPr>
          <w:p w14:paraId="37512B86"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20" w:type="pct"/>
            <w:vMerge/>
            <w:tcBorders>
              <w:top w:val="nil"/>
              <w:left w:val="single" w:sz="4" w:space="0" w:color="auto"/>
              <w:bottom w:val="single" w:sz="4" w:space="0" w:color="000000"/>
              <w:right w:val="single" w:sz="4" w:space="0" w:color="auto"/>
            </w:tcBorders>
            <w:vAlign w:val="center"/>
            <w:hideMark/>
          </w:tcPr>
          <w:p w14:paraId="3FFF9097"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346" w:type="pct"/>
            <w:vMerge/>
            <w:tcBorders>
              <w:top w:val="nil"/>
              <w:left w:val="single" w:sz="4" w:space="0" w:color="auto"/>
              <w:bottom w:val="single" w:sz="4" w:space="0" w:color="000000"/>
              <w:right w:val="single" w:sz="4" w:space="0" w:color="auto"/>
            </w:tcBorders>
            <w:vAlign w:val="center"/>
            <w:hideMark/>
          </w:tcPr>
          <w:p w14:paraId="4A5AD3B0"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73" w:type="pct"/>
            <w:vMerge/>
            <w:tcBorders>
              <w:top w:val="nil"/>
              <w:left w:val="single" w:sz="4" w:space="0" w:color="auto"/>
              <w:bottom w:val="single" w:sz="4" w:space="0" w:color="000000"/>
              <w:right w:val="single" w:sz="4" w:space="0" w:color="auto"/>
            </w:tcBorders>
            <w:vAlign w:val="center"/>
            <w:hideMark/>
          </w:tcPr>
          <w:p w14:paraId="1977D0D2"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r>
      <w:tr w:rsidR="000A2254" w:rsidRPr="00B31292" w14:paraId="18947F6D" w14:textId="77777777" w:rsidTr="000A2254">
        <w:trPr>
          <w:trHeight w:val="20"/>
        </w:trPr>
        <w:tc>
          <w:tcPr>
            <w:tcW w:w="215" w:type="pct"/>
            <w:tcBorders>
              <w:top w:val="nil"/>
              <w:left w:val="nil"/>
              <w:bottom w:val="nil"/>
              <w:right w:val="nil"/>
            </w:tcBorders>
            <w:shd w:val="clear" w:color="000000" w:fill="FFFFFF"/>
            <w:vAlign w:val="bottom"/>
            <w:hideMark/>
          </w:tcPr>
          <w:p w14:paraId="2CC9D96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56A65C4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472FB09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0B95862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0248CAC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3D98261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vMerge/>
            <w:tcBorders>
              <w:top w:val="nil"/>
              <w:left w:val="single" w:sz="4" w:space="0" w:color="000000"/>
              <w:bottom w:val="single" w:sz="4" w:space="0" w:color="000000"/>
              <w:right w:val="single" w:sz="4" w:space="0" w:color="000000"/>
            </w:tcBorders>
            <w:vAlign w:val="center"/>
            <w:hideMark/>
          </w:tcPr>
          <w:p w14:paraId="10FAD6A5"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81" w:type="pct"/>
            <w:vMerge/>
            <w:tcBorders>
              <w:top w:val="nil"/>
              <w:left w:val="single" w:sz="4" w:space="0" w:color="000000"/>
              <w:bottom w:val="single" w:sz="4" w:space="0" w:color="000000"/>
              <w:right w:val="single" w:sz="4" w:space="0" w:color="000000"/>
            </w:tcBorders>
            <w:vAlign w:val="center"/>
            <w:hideMark/>
          </w:tcPr>
          <w:p w14:paraId="02093397" w14:textId="77777777" w:rsidR="000A2254" w:rsidRPr="00B31292" w:rsidRDefault="000A2254" w:rsidP="000A2254">
            <w:pPr>
              <w:spacing w:after="0" w:line="240" w:lineRule="auto"/>
              <w:rPr>
                <w:rFonts w:ascii="Garamond" w:eastAsia="Times New Roman" w:hAnsi="Garamond" w:cs="Times New Roman"/>
                <w:sz w:val="10"/>
                <w:szCs w:val="10"/>
              </w:rPr>
            </w:pPr>
          </w:p>
        </w:tc>
        <w:tc>
          <w:tcPr>
            <w:tcW w:w="236" w:type="pct"/>
            <w:vMerge/>
            <w:tcBorders>
              <w:top w:val="nil"/>
              <w:left w:val="single" w:sz="4" w:space="0" w:color="000000"/>
              <w:bottom w:val="single" w:sz="4" w:space="0" w:color="000000"/>
              <w:right w:val="single" w:sz="4" w:space="0" w:color="auto"/>
            </w:tcBorders>
            <w:vAlign w:val="center"/>
            <w:hideMark/>
          </w:tcPr>
          <w:p w14:paraId="360CCB73" w14:textId="77777777" w:rsidR="000A2254" w:rsidRPr="00B31292" w:rsidRDefault="000A2254" w:rsidP="000A2254">
            <w:pPr>
              <w:spacing w:after="0" w:line="240" w:lineRule="auto"/>
              <w:rPr>
                <w:rFonts w:ascii="Garamond" w:eastAsia="Times New Roman" w:hAnsi="Garamond" w:cs="Times New Roman"/>
                <w:sz w:val="10"/>
                <w:szCs w:val="10"/>
              </w:rPr>
            </w:pPr>
          </w:p>
        </w:tc>
        <w:tc>
          <w:tcPr>
            <w:tcW w:w="238" w:type="pct"/>
            <w:vMerge/>
            <w:tcBorders>
              <w:top w:val="nil"/>
              <w:left w:val="single" w:sz="4" w:space="0" w:color="auto"/>
              <w:bottom w:val="single" w:sz="4" w:space="0" w:color="000000"/>
              <w:right w:val="single" w:sz="4" w:space="0" w:color="auto"/>
            </w:tcBorders>
            <w:vAlign w:val="center"/>
            <w:hideMark/>
          </w:tcPr>
          <w:p w14:paraId="23E5B8F9" w14:textId="77777777" w:rsidR="000A2254" w:rsidRPr="00B31292" w:rsidRDefault="000A2254" w:rsidP="000A2254">
            <w:pPr>
              <w:spacing w:after="0" w:line="240" w:lineRule="auto"/>
              <w:rPr>
                <w:rFonts w:ascii="Garamond" w:eastAsia="Times New Roman" w:hAnsi="Garamond" w:cs="Times New Roman"/>
                <w:sz w:val="10"/>
                <w:szCs w:val="10"/>
              </w:rPr>
            </w:pPr>
          </w:p>
        </w:tc>
        <w:tc>
          <w:tcPr>
            <w:tcW w:w="180" w:type="pct"/>
            <w:vMerge/>
            <w:tcBorders>
              <w:top w:val="nil"/>
              <w:left w:val="single" w:sz="4" w:space="0" w:color="auto"/>
              <w:bottom w:val="single" w:sz="4" w:space="0" w:color="000000"/>
              <w:right w:val="single" w:sz="4" w:space="0" w:color="auto"/>
            </w:tcBorders>
            <w:vAlign w:val="center"/>
            <w:hideMark/>
          </w:tcPr>
          <w:p w14:paraId="3EF5E9CB" w14:textId="77777777" w:rsidR="000A2254" w:rsidRPr="00B31292" w:rsidRDefault="000A2254" w:rsidP="000A2254">
            <w:pPr>
              <w:spacing w:after="0" w:line="240" w:lineRule="auto"/>
              <w:rPr>
                <w:rFonts w:ascii="Garamond" w:eastAsia="Times New Roman" w:hAnsi="Garamond" w:cs="Times New Roman"/>
                <w:sz w:val="10"/>
                <w:szCs w:val="10"/>
              </w:rPr>
            </w:pPr>
          </w:p>
        </w:tc>
        <w:tc>
          <w:tcPr>
            <w:tcW w:w="228" w:type="pct"/>
            <w:vMerge/>
            <w:tcBorders>
              <w:top w:val="nil"/>
              <w:left w:val="single" w:sz="4" w:space="0" w:color="auto"/>
              <w:bottom w:val="single" w:sz="4" w:space="0" w:color="000000"/>
              <w:right w:val="single" w:sz="4" w:space="0" w:color="auto"/>
            </w:tcBorders>
            <w:vAlign w:val="center"/>
            <w:hideMark/>
          </w:tcPr>
          <w:p w14:paraId="7B16F991"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22" w:type="pct"/>
            <w:vMerge/>
            <w:tcBorders>
              <w:top w:val="nil"/>
              <w:left w:val="single" w:sz="4" w:space="0" w:color="auto"/>
              <w:bottom w:val="single" w:sz="4" w:space="0" w:color="000000"/>
              <w:right w:val="single" w:sz="4" w:space="0" w:color="auto"/>
            </w:tcBorders>
            <w:vAlign w:val="center"/>
            <w:hideMark/>
          </w:tcPr>
          <w:p w14:paraId="3B71344D"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486" w:type="pct"/>
            <w:tcBorders>
              <w:top w:val="nil"/>
              <w:left w:val="nil"/>
              <w:bottom w:val="nil"/>
              <w:right w:val="nil"/>
            </w:tcBorders>
            <w:shd w:val="clear" w:color="000000" w:fill="FFFFFF"/>
            <w:hideMark/>
          </w:tcPr>
          <w:p w14:paraId="00F034EF" w14:textId="2D72E97C"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48. Përqindja e shkollave që kanë akses në internet për qëllime pedagogjike </w:t>
            </w:r>
            <w:r w:rsidR="00FD245C"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007A799B" w:rsidRPr="00B31292">
              <w:rPr>
                <w:rFonts w:ascii="Garamond" w:eastAsia="Times New Roman" w:hAnsi="Garamond" w:cs="Times New Roman"/>
                <w:color w:val="000000"/>
                <w:sz w:val="10"/>
                <w:szCs w:val="10"/>
              </w:rPr>
              <w:t>n</w:t>
            </w:r>
            <w:r w:rsidRPr="00B31292">
              <w:rPr>
                <w:rFonts w:ascii="Garamond" w:eastAsia="Times New Roman" w:hAnsi="Garamond" w:cs="Times New Roman"/>
                <w:color w:val="000000"/>
                <w:sz w:val="10"/>
                <w:szCs w:val="10"/>
              </w:rPr>
              <w:t>iveli ISCED 2</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49. Përqindja e shkollave që kanë akses në kompjuter për qëllime pedagogjike </w:t>
            </w:r>
            <w:r w:rsidR="00FD245C"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007A799B" w:rsidRPr="00B31292">
              <w:rPr>
                <w:rFonts w:ascii="Garamond" w:eastAsia="Times New Roman" w:hAnsi="Garamond" w:cs="Times New Roman"/>
                <w:color w:val="000000"/>
                <w:sz w:val="10"/>
                <w:szCs w:val="10"/>
              </w:rPr>
              <w:t>n</w:t>
            </w:r>
            <w:r w:rsidRPr="00B31292">
              <w:rPr>
                <w:rFonts w:ascii="Garamond" w:eastAsia="Times New Roman" w:hAnsi="Garamond" w:cs="Times New Roman"/>
                <w:color w:val="000000"/>
                <w:sz w:val="10"/>
                <w:szCs w:val="10"/>
              </w:rPr>
              <w:t>iveli ISCED 2</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50. Përqindja e mësuesve që kanë marrë trajnim gjatë punës në 12 muajt e fundit</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sipas llojit të trajnimit</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51. Indeksi i barazisë gjinore GPI (</w:t>
            </w:r>
            <w:r w:rsidRPr="00B31292">
              <w:rPr>
                <w:rFonts w:ascii="Garamond" w:eastAsia="Times New Roman" w:hAnsi="Garamond" w:cs="Times New Roman"/>
                <w:i/>
                <w:iCs/>
                <w:color w:val="000000"/>
                <w:sz w:val="10"/>
                <w:szCs w:val="10"/>
              </w:rPr>
              <w:t>on GER</w:t>
            </w:r>
            <w:r w:rsidRPr="00B31292">
              <w:rPr>
                <w:rFonts w:ascii="Garamond" w:eastAsia="Times New Roman" w:hAnsi="Garamond" w:cs="Times New Roman"/>
                <w:color w:val="000000"/>
                <w:sz w:val="10"/>
                <w:szCs w:val="10"/>
              </w:rPr>
              <w:t xml:space="preserve">) </w:t>
            </w:r>
            <w:r w:rsidR="00FD245C"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007A799B" w:rsidRPr="00B31292">
              <w:rPr>
                <w:rFonts w:ascii="Garamond" w:eastAsia="Times New Roman" w:hAnsi="Garamond" w:cs="Times New Roman"/>
                <w:color w:val="000000"/>
                <w:sz w:val="10"/>
                <w:szCs w:val="10"/>
              </w:rPr>
              <w:t>i</w:t>
            </w:r>
            <w:r w:rsidRPr="00B31292">
              <w:rPr>
                <w:rFonts w:ascii="Garamond" w:eastAsia="Times New Roman" w:hAnsi="Garamond" w:cs="Times New Roman"/>
                <w:color w:val="000000"/>
                <w:sz w:val="10"/>
                <w:szCs w:val="10"/>
              </w:rPr>
              <w:t>ndeksi i paritetit gjinor</w:t>
            </w:r>
            <w:r w:rsidR="007A799B"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 xml:space="preserve"> niveli ISCED 3)</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52. Numri i nxënësve për klasë me kohë të plotë</w:t>
            </w:r>
            <w:r w:rsidRPr="00B31292">
              <w:rPr>
                <w:rFonts w:ascii="Garamond" w:eastAsia="Times New Roman" w:hAnsi="Garamond" w:cs="Times New Roman"/>
                <w:color w:val="000000"/>
                <w:sz w:val="10"/>
                <w:szCs w:val="10"/>
              </w:rPr>
              <w:br/>
              <w:t>50. Përqindja e mësuesve që kanë marrë trajnim gjatë punës në 12 muajt e fundit sipas llojit të trajnimit</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51. Indeksi i barazisë gjinore GPI (</w:t>
            </w:r>
            <w:r w:rsidRPr="00B31292">
              <w:rPr>
                <w:rFonts w:ascii="Garamond" w:eastAsia="Times New Roman" w:hAnsi="Garamond" w:cs="Times New Roman"/>
                <w:i/>
                <w:iCs/>
                <w:color w:val="000000"/>
                <w:sz w:val="10"/>
                <w:szCs w:val="10"/>
              </w:rPr>
              <w:t>on GER</w:t>
            </w:r>
            <w:r w:rsidRPr="00B31292">
              <w:rPr>
                <w:rFonts w:ascii="Garamond" w:eastAsia="Times New Roman" w:hAnsi="Garamond" w:cs="Times New Roman"/>
                <w:color w:val="000000"/>
                <w:sz w:val="10"/>
                <w:szCs w:val="10"/>
              </w:rPr>
              <w:t xml:space="preserve">) </w:t>
            </w:r>
            <w:r w:rsidR="00FD245C"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(Indeksi i paritetit gjinor</w:t>
            </w:r>
            <w:r w:rsidR="00FD245C"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 xml:space="preserve"> niveli ISCED 3)</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52. Numri i nxënësve për klasë me kohë të plotë</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53. Numri i nxënësve për mësues me kohë të plotë</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54. Numri i </w:t>
            </w:r>
            <w:r w:rsidR="00FD245C" w:rsidRPr="00B31292">
              <w:rPr>
                <w:rFonts w:ascii="Garamond" w:eastAsia="Times New Roman" w:hAnsi="Garamond" w:cs="Times New Roman"/>
                <w:color w:val="000000"/>
                <w:sz w:val="10"/>
                <w:szCs w:val="10"/>
              </w:rPr>
              <w:t>nxënësve</w:t>
            </w:r>
            <w:r w:rsidRPr="00B31292">
              <w:rPr>
                <w:rFonts w:ascii="Garamond" w:eastAsia="Times New Roman" w:hAnsi="Garamond" w:cs="Times New Roman"/>
                <w:color w:val="000000"/>
                <w:sz w:val="10"/>
                <w:szCs w:val="10"/>
              </w:rPr>
              <w:t xml:space="preserve"> në arsimin e mesëm publik sipas programeve dhe bashkive</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55. Niveli i shkollimit e trupit mësimor</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56. Numri i shkollave të mesme dhe raporti publik</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privat</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57. Numri i nxënësve në arsimin e mesëm</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58. Raporti bruto i regjistrimeve GER </w:t>
            </w:r>
            <w:r w:rsidR="00FD245C"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arsimi i lartë </w:t>
            </w:r>
            <w:r w:rsidR="00FD245C"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ISCED_5-8</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59. Përqindja e fëmijëve jashtë shkolle </w:t>
            </w:r>
            <w:r w:rsidR="00FD245C"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niveli ISCED 3</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60. Përqindja e shkollave me infrastrukturën dhe materialet e përshtatura për nxënësit me aftësi të kufizuara </w:t>
            </w:r>
            <w:r w:rsidR="00FD245C"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007A799B" w:rsidRPr="00B31292">
              <w:rPr>
                <w:rFonts w:ascii="Garamond" w:eastAsia="Times New Roman" w:hAnsi="Garamond" w:cs="Times New Roman"/>
                <w:color w:val="000000"/>
                <w:sz w:val="10"/>
                <w:szCs w:val="10"/>
              </w:rPr>
              <w:t>n</w:t>
            </w:r>
            <w:r w:rsidRPr="00B31292">
              <w:rPr>
                <w:rFonts w:ascii="Garamond" w:eastAsia="Times New Roman" w:hAnsi="Garamond" w:cs="Times New Roman"/>
                <w:color w:val="000000"/>
                <w:sz w:val="10"/>
                <w:szCs w:val="10"/>
              </w:rPr>
              <w:t>iveli ISCED 3</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61. Përqindja e shkollave që kanë akses në energji elektrike </w:t>
            </w:r>
            <w:r w:rsidR="00FD245C"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Niveli ISCED 3</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62. Përqindja e shkollave që kanë akses në internet për qëllime pedagogjike </w:t>
            </w:r>
            <w:r w:rsidR="00FD245C" w:rsidRPr="00B31292">
              <w:rPr>
                <w:rFonts w:ascii="Garamond" w:eastAsia="Times New Roman" w:hAnsi="Garamond" w:cs="Times New Roman"/>
                <w:color w:val="000000"/>
                <w:sz w:val="10"/>
                <w:szCs w:val="10"/>
              </w:rPr>
              <w:t xml:space="preserve">– </w:t>
            </w:r>
            <w:r w:rsidR="007A799B" w:rsidRPr="00B31292">
              <w:rPr>
                <w:rFonts w:ascii="Garamond" w:eastAsia="Times New Roman" w:hAnsi="Garamond" w:cs="Times New Roman"/>
                <w:color w:val="000000"/>
                <w:sz w:val="10"/>
                <w:szCs w:val="10"/>
              </w:rPr>
              <w:t>n</w:t>
            </w:r>
            <w:r w:rsidRPr="00B31292">
              <w:rPr>
                <w:rFonts w:ascii="Garamond" w:eastAsia="Times New Roman" w:hAnsi="Garamond" w:cs="Times New Roman"/>
                <w:color w:val="000000"/>
                <w:sz w:val="10"/>
                <w:szCs w:val="10"/>
              </w:rPr>
              <w:t>iveli ISCED 3</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63. Përqindja e shkollave që </w:t>
            </w:r>
            <w:r w:rsidRPr="00B31292">
              <w:rPr>
                <w:rFonts w:ascii="Garamond" w:eastAsia="Times New Roman" w:hAnsi="Garamond" w:cs="Times New Roman"/>
                <w:color w:val="000000"/>
                <w:sz w:val="10"/>
                <w:szCs w:val="10"/>
              </w:rPr>
              <w:lastRenderedPageBreak/>
              <w:t xml:space="preserve">kanë akses në kompjuterë për qëllime pedagogjike </w:t>
            </w:r>
            <w:r w:rsidR="00FD245C"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007A799B" w:rsidRPr="00B31292">
              <w:rPr>
                <w:rFonts w:ascii="Garamond" w:eastAsia="Times New Roman" w:hAnsi="Garamond" w:cs="Times New Roman"/>
                <w:color w:val="000000"/>
                <w:sz w:val="10"/>
                <w:szCs w:val="10"/>
              </w:rPr>
              <w:t>n</w:t>
            </w:r>
            <w:r w:rsidRPr="00B31292">
              <w:rPr>
                <w:rFonts w:ascii="Garamond" w:eastAsia="Times New Roman" w:hAnsi="Garamond" w:cs="Times New Roman"/>
                <w:color w:val="000000"/>
                <w:sz w:val="10"/>
                <w:szCs w:val="10"/>
              </w:rPr>
              <w:t>iveli ISCED 3</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64. Përqindja e mësuesve që kanë marrë trajnim gjatë punës në 12 muajt e fundit sipas llojit të trajnimit</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65. Raporti meshkuj</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femra i studentëve në arsimin e lartë </w:t>
            </w:r>
            <w:r w:rsidR="00FD245C"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007A799B" w:rsidRPr="00B31292">
              <w:rPr>
                <w:rFonts w:ascii="Garamond" w:eastAsia="Times New Roman" w:hAnsi="Garamond" w:cs="Times New Roman"/>
                <w:color w:val="000000"/>
                <w:sz w:val="10"/>
                <w:szCs w:val="10"/>
              </w:rPr>
              <w:t>i</w:t>
            </w:r>
            <w:r w:rsidRPr="00B31292">
              <w:rPr>
                <w:rFonts w:ascii="Garamond" w:eastAsia="Times New Roman" w:hAnsi="Garamond" w:cs="Times New Roman"/>
                <w:color w:val="000000"/>
                <w:sz w:val="10"/>
                <w:szCs w:val="10"/>
              </w:rPr>
              <w:t>ndeksi i barazisë gjinore GPI (</w:t>
            </w:r>
            <w:r w:rsidRPr="00B31292">
              <w:rPr>
                <w:rFonts w:ascii="Garamond" w:eastAsia="Times New Roman" w:hAnsi="Garamond" w:cs="Times New Roman"/>
                <w:i/>
                <w:iCs/>
                <w:color w:val="000000"/>
                <w:sz w:val="10"/>
                <w:szCs w:val="10"/>
              </w:rPr>
              <w:t>on GER</w:t>
            </w:r>
            <w:r w:rsidRPr="00B31292">
              <w:rPr>
                <w:rFonts w:ascii="Garamond" w:eastAsia="Times New Roman" w:hAnsi="Garamond" w:cs="Times New Roman"/>
                <w:color w:val="000000"/>
                <w:sz w:val="10"/>
                <w:szCs w:val="10"/>
              </w:rPr>
              <w:t>)</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66. Raporti i studentëve të regjistruar në shkollat e larta publike/private sipas gjinisë</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67. Studentë të regjistruar në shkollat e larta sipas fushave të studimit</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68. Trup mësimor efektiv dhe i jashtëm në universitete publike</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69. Raporti i studentëve të regjistruar</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sipas gjinisë në universitete e fakultete</w:t>
            </w:r>
            <w:r w:rsidR="007A799B" w:rsidRPr="00B31292">
              <w:rPr>
                <w:rFonts w:ascii="Garamond" w:eastAsia="Times New Roman" w:hAnsi="Garamond" w:cs="Times New Roman"/>
                <w:color w:val="000000"/>
                <w:sz w:val="10"/>
                <w:szCs w:val="10"/>
              </w:rPr>
              <w:t>.</w:t>
            </w:r>
          </w:p>
        </w:tc>
        <w:tc>
          <w:tcPr>
            <w:tcW w:w="299" w:type="pct"/>
            <w:vMerge/>
            <w:tcBorders>
              <w:top w:val="nil"/>
              <w:left w:val="single" w:sz="4" w:space="0" w:color="auto"/>
              <w:bottom w:val="single" w:sz="4" w:space="0" w:color="000000"/>
              <w:right w:val="single" w:sz="4" w:space="0" w:color="auto"/>
            </w:tcBorders>
            <w:vAlign w:val="center"/>
            <w:hideMark/>
          </w:tcPr>
          <w:p w14:paraId="1A2B68D4"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24" w:type="pct"/>
            <w:vMerge/>
            <w:tcBorders>
              <w:top w:val="nil"/>
              <w:left w:val="single" w:sz="4" w:space="0" w:color="auto"/>
              <w:bottom w:val="single" w:sz="4" w:space="0" w:color="000000"/>
              <w:right w:val="single" w:sz="4" w:space="0" w:color="auto"/>
            </w:tcBorders>
            <w:vAlign w:val="center"/>
            <w:hideMark/>
          </w:tcPr>
          <w:p w14:paraId="0E6142BE"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44" w:type="pct"/>
            <w:vMerge/>
            <w:tcBorders>
              <w:top w:val="nil"/>
              <w:left w:val="single" w:sz="4" w:space="0" w:color="auto"/>
              <w:bottom w:val="single" w:sz="4" w:space="0" w:color="000000"/>
              <w:right w:val="single" w:sz="4" w:space="0" w:color="auto"/>
            </w:tcBorders>
            <w:vAlign w:val="center"/>
            <w:hideMark/>
          </w:tcPr>
          <w:p w14:paraId="444A3B11"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20" w:type="pct"/>
            <w:vMerge/>
            <w:tcBorders>
              <w:top w:val="nil"/>
              <w:left w:val="single" w:sz="4" w:space="0" w:color="auto"/>
              <w:bottom w:val="single" w:sz="4" w:space="0" w:color="000000"/>
              <w:right w:val="single" w:sz="4" w:space="0" w:color="auto"/>
            </w:tcBorders>
            <w:vAlign w:val="center"/>
            <w:hideMark/>
          </w:tcPr>
          <w:p w14:paraId="6EC8DAAB"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20" w:type="pct"/>
            <w:vMerge/>
            <w:tcBorders>
              <w:top w:val="nil"/>
              <w:left w:val="single" w:sz="4" w:space="0" w:color="auto"/>
              <w:bottom w:val="single" w:sz="4" w:space="0" w:color="000000"/>
              <w:right w:val="single" w:sz="4" w:space="0" w:color="auto"/>
            </w:tcBorders>
            <w:vAlign w:val="center"/>
            <w:hideMark/>
          </w:tcPr>
          <w:p w14:paraId="2A79D266"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346" w:type="pct"/>
            <w:vMerge/>
            <w:tcBorders>
              <w:top w:val="nil"/>
              <w:left w:val="single" w:sz="4" w:space="0" w:color="auto"/>
              <w:bottom w:val="single" w:sz="4" w:space="0" w:color="000000"/>
              <w:right w:val="single" w:sz="4" w:space="0" w:color="auto"/>
            </w:tcBorders>
            <w:vAlign w:val="center"/>
            <w:hideMark/>
          </w:tcPr>
          <w:p w14:paraId="1E896BB2"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73" w:type="pct"/>
            <w:vMerge/>
            <w:tcBorders>
              <w:top w:val="nil"/>
              <w:left w:val="single" w:sz="4" w:space="0" w:color="auto"/>
              <w:bottom w:val="single" w:sz="4" w:space="0" w:color="000000"/>
              <w:right w:val="single" w:sz="4" w:space="0" w:color="auto"/>
            </w:tcBorders>
            <w:vAlign w:val="center"/>
            <w:hideMark/>
          </w:tcPr>
          <w:p w14:paraId="18F560EF"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r>
      <w:tr w:rsidR="000A2254" w:rsidRPr="00B31292" w14:paraId="1E59EEB5" w14:textId="77777777" w:rsidTr="000A2254">
        <w:trPr>
          <w:trHeight w:val="20"/>
        </w:trPr>
        <w:tc>
          <w:tcPr>
            <w:tcW w:w="215" w:type="pct"/>
            <w:tcBorders>
              <w:top w:val="nil"/>
              <w:left w:val="nil"/>
              <w:bottom w:val="nil"/>
              <w:right w:val="nil"/>
            </w:tcBorders>
            <w:shd w:val="clear" w:color="000000" w:fill="FFFFFF"/>
            <w:vAlign w:val="bottom"/>
            <w:hideMark/>
          </w:tcPr>
          <w:p w14:paraId="13E940D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7668E2B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30CFC28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2D65B84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325BB82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03B4EF77"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vMerge/>
            <w:tcBorders>
              <w:top w:val="nil"/>
              <w:left w:val="single" w:sz="4" w:space="0" w:color="000000"/>
              <w:bottom w:val="single" w:sz="4" w:space="0" w:color="000000"/>
              <w:right w:val="single" w:sz="4" w:space="0" w:color="000000"/>
            </w:tcBorders>
            <w:vAlign w:val="center"/>
            <w:hideMark/>
          </w:tcPr>
          <w:p w14:paraId="4F53514A"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81" w:type="pct"/>
            <w:vMerge/>
            <w:tcBorders>
              <w:top w:val="nil"/>
              <w:left w:val="single" w:sz="4" w:space="0" w:color="000000"/>
              <w:bottom w:val="single" w:sz="4" w:space="0" w:color="000000"/>
              <w:right w:val="single" w:sz="4" w:space="0" w:color="000000"/>
            </w:tcBorders>
            <w:vAlign w:val="center"/>
            <w:hideMark/>
          </w:tcPr>
          <w:p w14:paraId="4A627267" w14:textId="77777777" w:rsidR="000A2254" w:rsidRPr="00B31292" w:rsidRDefault="000A2254" w:rsidP="000A2254">
            <w:pPr>
              <w:spacing w:after="0" w:line="240" w:lineRule="auto"/>
              <w:rPr>
                <w:rFonts w:ascii="Garamond" w:eastAsia="Times New Roman" w:hAnsi="Garamond" w:cs="Times New Roman"/>
                <w:sz w:val="10"/>
                <w:szCs w:val="10"/>
              </w:rPr>
            </w:pPr>
          </w:p>
        </w:tc>
        <w:tc>
          <w:tcPr>
            <w:tcW w:w="236" w:type="pct"/>
            <w:vMerge/>
            <w:tcBorders>
              <w:top w:val="nil"/>
              <w:left w:val="single" w:sz="4" w:space="0" w:color="000000"/>
              <w:bottom w:val="single" w:sz="4" w:space="0" w:color="000000"/>
              <w:right w:val="single" w:sz="4" w:space="0" w:color="auto"/>
            </w:tcBorders>
            <w:vAlign w:val="center"/>
            <w:hideMark/>
          </w:tcPr>
          <w:p w14:paraId="3DCBB02F" w14:textId="77777777" w:rsidR="000A2254" w:rsidRPr="00B31292" w:rsidRDefault="000A2254" w:rsidP="000A2254">
            <w:pPr>
              <w:spacing w:after="0" w:line="240" w:lineRule="auto"/>
              <w:rPr>
                <w:rFonts w:ascii="Garamond" w:eastAsia="Times New Roman" w:hAnsi="Garamond" w:cs="Times New Roman"/>
                <w:sz w:val="10"/>
                <w:szCs w:val="10"/>
              </w:rPr>
            </w:pPr>
          </w:p>
        </w:tc>
        <w:tc>
          <w:tcPr>
            <w:tcW w:w="238" w:type="pct"/>
            <w:vMerge/>
            <w:tcBorders>
              <w:top w:val="nil"/>
              <w:left w:val="single" w:sz="4" w:space="0" w:color="auto"/>
              <w:bottom w:val="single" w:sz="4" w:space="0" w:color="000000"/>
              <w:right w:val="single" w:sz="4" w:space="0" w:color="auto"/>
            </w:tcBorders>
            <w:vAlign w:val="center"/>
            <w:hideMark/>
          </w:tcPr>
          <w:p w14:paraId="4A32E1F3" w14:textId="77777777" w:rsidR="000A2254" w:rsidRPr="00B31292" w:rsidRDefault="000A2254" w:rsidP="000A2254">
            <w:pPr>
              <w:spacing w:after="0" w:line="240" w:lineRule="auto"/>
              <w:rPr>
                <w:rFonts w:ascii="Garamond" w:eastAsia="Times New Roman" w:hAnsi="Garamond" w:cs="Times New Roman"/>
                <w:sz w:val="10"/>
                <w:szCs w:val="10"/>
              </w:rPr>
            </w:pPr>
          </w:p>
        </w:tc>
        <w:tc>
          <w:tcPr>
            <w:tcW w:w="180" w:type="pct"/>
            <w:vMerge/>
            <w:tcBorders>
              <w:top w:val="nil"/>
              <w:left w:val="single" w:sz="4" w:space="0" w:color="auto"/>
              <w:bottom w:val="single" w:sz="4" w:space="0" w:color="000000"/>
              <w:right w:val="single" w:sz="4" w:space="0" w:color="auto"/>
            </w:tcBorders>
            <w:vAlign w:val="center"/>
            <w:hideMark/>
          </w:tcPr>
          <w:p w14:paraId="1D13102E" w14:textId="77777777" w:rsidR="000A2254" w:rsidRPr="00B31292" w:rsidRDefault="000A2254" w:rsidP="000A2254">
            <w:pPr>
              <w:spacing w:after="0" w:line="240" w:lineRule="auto"/>
              <w:rPr>
                <w:rFonts w:ascii="Garamond" w:eastAsia="Times New Roman" w:hAnsi="Garamond" w:cs="Times New Roman"/>
                <w:sz w:val="10"/>
                <w:szCs w:val="10"/>
              </w:rPr>
            </w:pPr>
          </w:p>
        </w:tc>
        <w:tc>
          <w:tcPr>
            <w:tcW w:w="228" w:type="pct"/>
            <w:vMerge/>
            <w:tcBorders>
              <w:top w:val="nil"/>
              <w:left w:val="single" w:sz="4" w:space="0" w:color="auto"/>
              <w:bottom w:val="single" w:sz="4" w:space="0" w:color="000000"/>
              <w:right w:val="single" w:sz="4" w:space="0" w:color="auto"/>
            </w:tcBorders>
            <w:vAlign w:val="center"/>
            <w:hideMark/>
          </w:tcPr>
          <w:p w14:paraId="7F607392"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22" w:type="pct"/>
            <w:vMerge/>
            <w:tcBorders>
              <w:top w:val="nil"/>
              <w:left w:val="single" w:sz="4" w:space="0" w:color="auto"/>
              <w:bottom w:val="single" w:sz="4" w:space="0" w:color="000000"/>
              <w:right w:val="single" w:sz="4" w:space="0" w:color="auto"/>
            </w:tcBorders>
            <w:vAlign w:val="center"/>
            <w:hideMark/>
          </w:tcPr>
          <w:p w14:paraId="323EB774"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486" w:type="pct"/>
            <w:tcBorders>
              <w:top w:val="nil"/>
              <w:left w:val="nil"/>
              <w:bottom w:val="nil"/>
              <w:right w:val="nil"/>
            </w:tcBorders>
            <w:shd w:val="clear" w:color="000000" w:fill="FFFFFF"/>
            <w:hideMark/>
          </w:tcPr>
          <w:p w14:paraId="2B10AA18" w14:textId="1C6D4CBF"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70. Studentë të pranuar të rinj për vitin akademik me kohë të plotë ose të pjesshme</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71. Raporti i studentëve në arsimin publik me studentë në arsimin jopublik</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72. Raporti i studentëve të huaj me vendës</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73. Numri i studentëve të huaj si përqindje e numrit total të studentëve në arsimin e lartë në Shqipëri</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74. Përqindja e studentëve të regjistruar në programet STEM</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75. Numri i </w:t>
            </w:r>
            <w:r w:rsidR="007A799B" w:rsidRPr="00B31292">
              <w:rPr>
                <w:rFonts w:ascii="Garamond" w:eastAsia="Times New Roman" w:hAnsi="Garamond" w:cs="Times New Roman"/>
                <w:color w:val="000000"/>
                <w:sz w:val="10"/>
                <w:szCs w:val="10"/>
              </w:rPr>
              <w:t>u</w:t>
            </w:r>
            <w:r w:rsidRPr="00B31292">
              <w:rPr>
                <w:rFonts w:ascii="Garamond" w:eastAsia="Times New Roman" w:hAnsi="Garamond" w:cs="Times New Roman"/>
                <w:color w:val="000000"/>
                <w:sz w:val="10"/>
                <w:szCs w:val="10"/>
              </w:rPr>
              <w:t>niversiteteve publike e private</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76. Shpenzime të buxhetit të shtetit për arsimin publik</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77. Përqindja e shpenzimeve për arsimin ndaj totalit gjithsej të shpenzimeve dhe GDP</w:t>
            </w:r>
            <w:r w:rsidR="007A799B" w:rsidRPr="00B31292">
              <w:rPr>
                <w:rFonts w:ascii="Garamond" w:eastAsia="Times New Roman" w:hAnsi="Garamond" w:cs="Times New Roman"/>
                <w:color w:val="000000"/>
                <w:sz w:val="10"/>
                <w:szCs w:val="10"/>
              </w:rPr>
              <w:t>.</w:t>
            </w:r>
          </w:p>
        </w:tc>
        <w:tc>
          <w:tcPr>
            <w:tcW w:w="299" w:type="pct"/>
            <w:vMerge/>
            <w:tcBorders>
              <w:top w:val="nil"/>
              <w:left w:val="single" w:sz="4" w:space="0" w:color="auto"/>
              <w:bottom w:val="single" w:sz="4" w:space="0" w:color="000000"/>
              <w:right w:val="single" w:sz="4" w:space="0" w:color="auto"/>
            </w:tcBorders>
            <w:vAlign w:val="center"/>
            <w:hideMark/>
          </w:tcPr>
          <w:p w14:paraId="395A231A"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24" w:type="pct"/>
            <w:vMerge/>
            <w:tcBorders>
              <w:top w:val="nil"/>
              <w:left w:val="single" w:sz="4" w:space="0" w:color="auto"/>
              <w:bottom w:val="single" w:sz="4" w:space="0" w:color="000000"/>
              <w:right w:val="single" w:sz="4" w:space="0" w:color="auto"/>
            </w:tcBorders>
            <w:vAlign w:val="center"/>
            <w:hideMark/>
          </w:tcPr>
          <w:p w14:paraId="520161C1"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44" w:type="pct"/>
            <w:vMerge/>
            <w:tcBorders>
              <w:top w:val="nil"/>
              <w:left w:val="single" w:sz="4" w:space="0" w:color="auto"/>
              <w:bottom w:val="single" w:sz="4" w:space="0" w:color="000000"/>
              <w:right w:val="single" w:sz="4" w:space="0" w:color="auto"/>
            </w:tcBorders>
            <w:vAlign w:val="center"/>
            <w:hideMark/>
          </w:tcPr>
          <w:p w14:paraId="1A1003A1"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20" w:type="pct"/>
            <w:vMerge/>
            <w:tcBorders>
              <w:top w:val="nil"/>
              <w:left w:val="single" w:sz="4" w:space="0" w:color="auto"/>
              <w:bottom w:val="single" w:sz="4" w:space="0" w:color="000000"/>
              <w:right w:val="single" w:sz="4" w:space="0" w:color="auto"/>
            </w:tcBorders>
            <w:vAlign w:val="center"/>
            <w:hideMark/>
          </w:tcPr>
          <w:p w14:paraId="7367FB25"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20" w:type="pct"/>
            <w:vMerge/>
            <w:tcBorders>
              <w:top w:val="nil"/>
              <w:left w:val="single" w:sz="4" w:space="0" w:color="auto"/>
              <w:bottom w:val="single" w:sz="4" w:space="0" w:color="000000"/>
              <w:right w:val="single" w:sz="4" w:space="0" w:color="auto"/>
            </w:tcBorders>
            <w:vAlign w:val="center"/>
            <w:hideMark/>
          </w:tcPr>
          <w:p w14:paraId="771ABB77"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346" w:type="pct"/>
            <w:vMerge/>
            <w:tcBorders>
              <w:top w:val="nil"/>
              <w:left w:val="single" w:sz="4" w:space="0" w:color="auto"/>
              <w:bottom w:val="single" w:sz="4" w:space="0" w:color="000000"/>
              <w:right w:val="single" w:sz="4" w:space="0" w:color="auto"/>
            </w:tcBorders>
            <w:vAlign w:val="center"/>
            <w:hideMark/>
          </w:tcPr>
          <w:p w14:paraId="5796BC57"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73" w:type="pct"/>
            <w:vMerge/>
            <w:tcBorders>
              <w:top w:val="nil"/>
              <w:left w:val="single" w:sz="4" w:space="0" w:color="auto"/>
              <w:bottom w:val="single" w:sz="4" w:space="0" w:color="000000"/>
              <w:right w:val="single" w:sz="4" w:space="0" w:color="auto"/>
            </w:tcBorders>
            <w:vAlign w:val="center"/>
            <w:hideMark/>
          </w:tcPr>
          <w:p w14:paraId="4CC4360A"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r>
      <w:tr w:rsidR="000A2254" w:rsidRPr="00B31292" w14:paraId="1B9D1362" w14:textId="77777777" w:rsidTr="000A2254">
        <w:trPr>
          <w:trHeight w:val="20"/>
        </w:trPr>
        <w:tc>
          <w:tcPr>
            <w:tcW w:w="215" w:type="pct"/>
            <w:tcBorders>
              <w:top w:val="nil"/>
              <w:left w:val="nil"/>
              <w:bottom w:val="nil"/>
              <w:right w:val="nil"/>
            </w:tcBorders>
            <w:shd w:val="clear" w:color="000000" w:fill="FFFFFF"/>
            <w:vAlign w:val="bottom"/>
            <w:hideMark/>
          </w:tcPr>
          <w:p w14:paraId="7B275DC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3044CAA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5A1FF13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1676995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5EE457F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790FB0F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000000"/>
              <w:bottom w:val="single" w:sz="4" w:space="0" w:color="000000"/>
              <w:right w:val="single" w:sz="4" w:space="0" w:color="000000"/>
            </w:tcBorders>
            <w:shd w:val="clear" w:color="auto" w:fill="auto"/>
            <w:vAlign w:val="center"/>
            <w:hideMark/>
          </w:tcPr>
          <w:p w14:paraId="6A05C954"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1.3.1.2</w:t>
            </w:r>
          </w:p>
        </w:tc>
        <w:tc>
          <w:tcPr>
            <w:tcW w:w="281" w:type="pct"/>
            <w:tcBorders>
              <w:top w:val="nil"/>
              <w:left w:val="nil"/>
              <w:bottom w:val="nil"/>
              <w:right w:val="single" w:sz="4" w:space="0" w:color="000000"/>
            </w:tcBorders>
            <w:shd w:val="clear" w:color="auto" w:fill="auto"/>
            <w:vAlign w:val="center"/>
            <w:hideMark/>
          </w:tcPr>
          <w:p w14:paraId="7B09793F"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Statistika të diplomimeve në arsim</w:t>
            </w:r>
          </w:p>
        </w:tc>
        <w:tc>
          <w:tcPr>
            <w:tcW w:w="236" w:type="pct"/>
            <w:tcBorders>
              <w:top w:val="nil"/>
              <w:left w:val="nil"/>
              <w:bottom w:val="nil"/>
              <w:right w:val="single" w:sz="4" w:space="0" w:color="000000"/>
            </w:tcBorders>
            <w:shd w:val="clear" w:color="auto" w:fill="auto"/>
            <w:vAlign w:val="center"/>
            <w:hideMark/>
          </w:tcPr>
          <w:p w14:paraId="357D6F02"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Burim administrativ</w:t>
            </w:r>
          </w:p>
        </w:tc>
        <w:tc>
          <w:tcPr>
            <w:tcW w:w="238" w:type="pct"/>
            <w:tcBorders>
              <w:top w:val="nil"/>
              <w:left w:val="nil"/>
              <w:bottom w:val="nil"/>
              <w:right w:val="single" w:sz="4" w:space="0" w:color="auto"/>
            </w:tcBorders>
            <w:shd w:val="clear" w:color="auto" w:fill="auto"/>
            <w:noWrap/>
            <w:vAlign w:val="center"/>
            <w:hideMark/>
          </w:tcPr>
          <w:p w14:paraId="281862CA"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180" w:type="pct"/>
            <w:tcBorders>
              <w:top w:val="nil"/>
              <w:left w:val="nil"/>
              <w:bottom w:val="nil"/>
              <w:right w:val="single" w:sz="4" w:space="0" w:color="auto"/>
            </w:tcBorders>
            <w:shd w:val="clear" w:color="auto" w:fill="auto"/>
            <w:noWrap/>
            <w:vAlign w:val="center"/>
            <w:hideMark/>
          </w:tcPr>
          <w:p w14:paraId="4A92A8AA"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28" w:type="pct"/>
            <w:tcBorders>
              <w:top w:val="nil"/>
              <w:left w:val="nil"/>
              <w:bottom w:val="single" w:sz="4" w:space="0" w:color="auto"/>
              <w:right w:val="single" w:sz="4" w:space="0" w:color="auto"/>
            </w:tcBorders>
            <w:shd w:val="clear" w:color="auto" w:fill="auto"/>
            <w:vAlign w:val="center"/>
            <w:hideMark/>
          </w:tcPr>
          <w:p w14:paraId="775D4DF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tcBorders>
              <w:top w:val="nil"/>
              <w:left w:val="nil"/>
              <w:bottom w:val="single" w:sz="4" w:space="0" w:color="000000"/>
              <w:right w:val="nil"/>
            </w:tcBorders>
            <w:shd w:val="clear" w:color="auto" w:fill="auto"/>
            <w:vAlign w:val="center"/>
            <w:hideMark/>
          </w:tcPr>
          <w:p w14:paraId="5184A5C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Vjetor</w:t>
            </w:r>
          </w:p>
        </w:tc>
        <w:tc>
          <w:tcPr>
            <w:tcW w:w="48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8D924E6" w14:textId="15C059D1"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1. Raporti i nxënësve që </w:t>
            </w:r>
            <w:r w:rsidR="00C23C70" w:rsidRPr="00B31292">
              <w:rPr>
                <w:rFonts w:ascii="Garamond" w:eastAsia="Times New Roman" w:hAnsi="Garamond" w:cs="Times New Roman"/>
                <w:color w:val="000000"/>
                <w:sz w:val="10"/>
                <w:szCs w:val="10"/>
              </w:rPr>
              <w:t>marrin</w:t>
            </w:r>
            <w:r w:rsidRPr="00B31292">
              <w:rPr>
                <w:rFonts w:ascii="Garamond" w:eastAsia="Times New Roman" w:hAnsi="Garamond" w:cs="Times New Roman"/>
                <w:color w:val="000000"/>
                <w:sz w:val="10"/>
                <w:szCs w:val="10"/>
              </w:rPr>
              <w:t xml:space="preserve"> dëftesë pjekurie</w:t>
            </w:r>
            <w:r w:rsidRPr="00B31292">
              <w:rPr>
                <w:rFonts w:ascii="Garamond" w:eastAsia="Times New Roman" w:hAnsi="Garamond" w:cs="Times New Roman"/>
                <w:color w:val="000000"/>
                <w:sz w:val="10"/>
                <w:szCs w:val="10"/>
              </w:rPr>
              <w:br/>
              <w:t>2. Raporti i studentëve të diplomuar sipas gjinisë në universitete e fakultete</w:t>
            </w:r>
            <w:r w:rsidRPr="00B31292">
              <w:rPr>
                <w:rFonts w:ascii="Garamond" w:eastAsia="Times New Roman" w:hAnsi="Garamond" w:cs="Times New Roman"/>
                <w:color w:val="000000"/>
                <w:sz w:val="10"/>
                <w:szCs w:val="10"/>
              </w:rPr>
              <w:br/>
              <w:t>3. Raporti i studentëve t</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regjistruar e të diplomuar me kohë të plotë ose të pjesshme</w:t>
            </w:r>
            <w:r w:rsidRPr="00B31292">
              <w:rPr>
                <w:rFonts w:ascii="Garamond" w:eastAsia="Times New Roman" w:hAnsi="Garamond" w:cs="Times New Roman"/>
                <w:color w:val="000000"/>
                <w:sz w:val="10"/>
                <w:szCs w:val="10"/>
              </w:rPr>
              <w:br/>
              <w:t>4. Të larguarit herët nga shkollimi (</w:t>
            </w:r>
            <w:r w:rsidRPr="00B31292">
              <w:rPr>
                <w:rFonts w:ascii="Garamond" w:eastAsia="Times New Roman" w:hAnsi="Garamond" w:cs="Times New Roman"/>
                <w:i/>
                <w:iCs/>
                <w:color w:val="000000"/>
                <w:sz w:val="10"/>
                <w:szCs w:val="10"/>
              </w:rPr>
              <w:t>Early School leavers</w:t>
            </w:r>
            <w:r w:rsidRPr="00B31292">
              <w:rPr>
                <w:rFonts w:ascii="Garamond" w:eastAsia="Times New Roman" w:hAnsi="Garamond" w:cs="Times New Roman"/>
                <w:color w:val="000000"/>
                <w:sz w:val="10"/>
                <w:szCs w:val="10"/>
              </w:rPr>
              <w:t xml:space="preserve">) (nga LFS) </w:t>
            </w:r>
            <w:r w:rsidRPr="00B31292">
              <w:rPr>
                <w:rFonts w:ascii="Garamond" w:eastAsia="Times New Roman" w:hAnsi="Garamond" w:cs="Times New Roman"/>
                <w:color w:val="000000"/>
                <w:sz w:val="10"/>
                <w:szCs w:val="10"/>
              </w:rPr>
              <w:br/>
              <w:t>5. Përqindja e popullsisë të moshës 30</w:t>
            </w:r>
            <w:r w:rsidR="00FD245C"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34 vjeç me arsimim të lartë (nga LFS)</w:t>
            </w:r>
            <w:r w:rsidRPr="00B31292">
              <w:rPr>
                <w:rFonts w:ascii="Garamond" w:eastAsia="Times New Roman" w:hAnsi="Garamond" w:cs="Times New Roman"/>
                <w:color w:val="000000"/>
                <w:sz w:val="10"/>
                <w:szCs w:val="10"/>
              </w:rPr>
              <w:br/>
              <w:t>6. Studentë të diplomuar dhe sipas fushave të studimit</w:t>
            </w:r>
          </w:p>
        </w:tc>
        <w:tc>
          <w:tcPr>
            <w:tcW w:w="299" w:type="pct"/>
            <w:tcBorders>
              <w:top w:val="nil"/>
              <w:left w:val="nil"/>
              <w:bottom w:val="single" w:sz="4" w:space="0" w:color="000000"/>
              <w:right w:val="nil"/>
            </w:tcBorders>
            <w:shd w:val="clear" w:color="auto" w:fill="auto"/>
            <w:vAlign w:val="center"/>
            <w:hideMark/>
          </w:tcPr>
          <w:p w14:paraId="6D6988AF" w14:textId="3C49BA41"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Ministria e Financave dhe Ekonomisë</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Ministria e Arsimit, Sportit dhe Rinisë</w:t>
            </w:r>
          </w:p>
        </w:tc>
        <w:tc>
          <w:tcPr>
            <w:tcW w:w="224" w:type="pct"/>
            <w:tcBorders>
              <w:top w:val="nil"/>
              <w:left w:val="single" w:sz="4" w:space="0" w:color="auto"/>
              <w:bottom w:val="single" w:sz="4" w:space="0" w:color="auto"/>
              <w:right w:val="single" w:sz="4" w:space="0" w:color="auto"/>
            </w:tcBorders>
            <w:shd w:val="clear" w:color="auto" w:fill="auto"/>
            <w:vAlign w:val="center"/>
            <w:hideMark/>
          </w:tcPr>
          <w:p w14:paraId="04AD8874" w14:textId="52BF40A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7A799B" w:rsidRPr="00B31292">
              <w:rPr>
                <w:rFonts w:ascii="Garamond" w:eastAsia="Times New Roman" w:hAnsi="Garamond" w:cs="Times New Roman"/>
                <w:color w:val="000000"/>
                <w:sz w:val="10"/>
                <w:szCs w:val="10"/>
              </w:rPr>
              <w:t>-i</w:t>
            </w:r>
          </w:p>
        </w:tc>
        <w:tc>
          <w:tcPr>
            <w:tcW w:w="244" w:type="pct"/>
            <w:tcBorders>
              <w:top w:val="nil"/>
              <w:left w:val="nil"/>
              <w:bottom w:val="single" w:sz="4" w:space="0" w:color="auto"/>
              <w:right w:val="single" w:sz="4" w:space="0" w:color="auto"/>
            </w:tcBorders>
            <w:shd w:val="clear" w:color="000000" w:fill="FFFFFF"/>
            <w:vAlign w:val="center"/>
            <w:hideMark/>
          </w:tcPr>
          <w:p w14:paraId="10588CC1"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+ 31D</w:t>
            </w:r>
          </w:p>
        </w:tc>
        <w:tc>
          <w:tcPr>
            <w:tcW w:w="220" w:type="pct"/>
            <w:tcBorders>
              <w:top w:val="nil"/>
              <w:left w:val="nil"/>
              <w:bottom w:val="single" w:sz="4" w:space="0" w:color="auto"/>
              <w:right w:val="single" w:sz="4" w:space="0" w:color="auto"/>
            </w:tcBorders>
            <w:shd w:val="clear" w:color="000000" w:fill="FFFFFF"/>
            <w:vAlign w:val="center"/>
            <w:hideMark/>
          </w:tcPr>
          <w:p w14:paraId="301C8DF3"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+ 123D</w:t>
            </w:r>
          </w:p>
        </w:tc>
        <w:tc>
          <w:tcPr>
            <w:tcW w:w="220" w:type="pct"/>
            <w:tcBorders>
              <w:top w:val="nil"/>
              <w:left w:val="nil"/>
              <w:bottom w:val="single" w:sz="4" w:space="0" w:color="auto"/>
              <w:right w:val="single" w:sz="4" w:space="0" w:color="auto"/>
            </w:tcBorders>
            <w:shd w:val="clear" w:color="000000" w:fill="FFFFFF"/>
            <w:vAlign w:val="center"/>
            <w:hideMark/>
          </w:tcPr>
          <w:p w14:paraId="527E61D7"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+ 152D</w:t>
            </w:r>
          </w:p>
        </w:tc>
        <w:tc>
          <w:tcPr>
            <w:tcW w:w="346" w:type="pct"/>
            <w:tcBorders>
              <w:top w:val="nil"/>
              <w:left w:val="nil"/>
              <w:bottom w:val="single" w:sz="4" w:space="0" w:color="auto"/>
              <w:right w:val="single" w:sz="4" w:space="0" w:color="auto"/>
            </w:tcBorders>
            <w:shd w:val="clear" w:color="auto" w:fill="auto"/>
            <w:vAlign w:val="center"/>
            <w:hideMark/>
          </w:tcPr>
          <w:p w14:paraId="557C68A5" w14:textId="0C046F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Vonesa në procesin e grumbullimit të të dhënave nga burimet administrative -|- 4</w:t>
            </w:r>
            <w:r w:rsidRPr="00B31292">
              <w:rPr>
                <w:rFonts w:ascii="Garamond" w:eastAsia="Times New Roman" w:hAnsi="Garamond" w:cs="Times New Roman"/>
                <w:color w:val="000000"/>
                <w:sz w:val="10"/>
                <w:szCs w:val="10"/>
              </w:rPr>
              <w:br/>
              <w:t xml:space="preserve">2. Pezullimi/vonesa e mbledhjes, prodhimit </w:t>
            </w:r>
            <w:r w:rsidR="00F667B8" w:rsidRPr="00B31292">
              <w:rPr>
                <w:rFonts w:ascii="Garamond" w:eastAsia="Times New Roman" w:hAnsi="Garamond" w:cs="Times New Roman"/>
                <w:color w:val="000000"/>
                <w:sz w:val="10"/>
                <w:szCs w:val="10"/>
              </w:rPr>
              <w:t>dhe shpërndarjes së statistikave zyrtare si pasojë e fatkeqësive natyrore/ pandemive globale</w:t>
            </w:r>
            <w:r w:rsidR="007A799B"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etj. -|- 4</w:t>
            </w:r>
          </w:p>
        </w:tc>
        <w:tc>
          <w:tcPr>
            <w:tcW w:w="273" w:type="pct"/>
            <w:tcBorders>
              <w:top w:val="nil"/>
              <w:left w:val="nil"/>
              <w:bottom w:val="single" w:sz="4" w:space="0" w:color="auto"/>
              <w:right w:val="single" w:sz="4" w:space="0" w:color="auto"/>
            </w:tcBorders>
            <w:shd w:val="clear" w:color="auto" w:fill="auto"/>
            <w:vAlign w:val="center"/>
            <w:hideMark/>
          </w:tcPr>
          <w:p w14:paraId="20C75F3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Buxhet shteti</w:t>
            </w:r>
          </w:p>
        </w:tc>
      </w:tr>
      <w:tr w:rsidR="000A2254" w:rsidRPr="00B31292" w14:paraId="46E6AB36" w14:textId="77777777" w:rsidTr="000A2254">
        <w:trPr>
          <w:trHeight w:val="20"/>
        </w:trPr>
        <w:tc>
          <w:tcPr>
            <w:tcW w:w="215" w:type="pct"/>
            <w:tcBorders>
              <w:top w:val="nil"/>
              <w:left w:val="nil"/>
              <w:bottom w:val="nil"/>
              <w:right w:val="nil"/>
            </w:tcBorders>
            <w:shd w:val="clear" w:color="000000" w:fill="FFFFFF"/>
            <w:vAlign w:val="bottom"/>
            <w:hideMark/>
          </w:tcPr>
          <w:p w14:paraId="73FD4BD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5754AFD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66EA681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49A8929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630CD9A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7F071FA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000000"/>
              <w:bottom w:val="nil"/>
              <w:right w:val="single" w:sz="4" w:space="0" w:color="000000"/>
            </w:tcBorders>
            <w:shd w:val="clear" w:color="auto" w:fill="auto"/>
            <w:vAlign w:val="center"/>
            <w:hideMark/>
          </w:tcPr>
          <w:p w14:paraId="4F5736A5"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1.3.1.3</w:t>
            </w:r>
          </w:p>
        </w:tc>
        <w:tc>
          <w:tcPr>
            <w:tcW w:w="281" w:type="pct"/>
            <w:tcBorders>
              <w:top w:val="single" w:sz="4" w:space="0" w:color="auto"/>
              <w:left w:val="nil"/>
              <w:bottom w:val="single" w:sz="4" w:space="0" w:color="auto"/>
              <w:right w:val="single" w:sz="4" w:space="0" w:color="auto"/>
            </w:tcBorders>
            <w:shd w:val="clear" w:color="auto" w:fill="auto"/>
            <w:vAlign w:val="center"/>
            <w:hideMark/>
          </w:tcPr>
          <w:p w14:paraId="5FD82916"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xml:space="preserve">Statistika të arsimit sipas fushave të studimit në arsimin e lartë </w:t>
            </w:r>
          </w:p>
        </w:tc>
        <w:tc>
          <w:tcPr>
            <w:tcW w:w="236" w:type="pct"/>
            <w:tcBorders>
              <w:top w:val="single" w:sz="4" w:space="0" w:color="auto"/>
              <w:left w:val="nil"/>
              <w:bottom w:val="single" w:sz="4" w:space="0" w:color="auto"/>
              <w:right w:val="single" w:sz="4" w:space="0" w:color="auto"/>
            </w:tcBorders>
            <w:shd w:val="clear" w:color="auto" w:fill="auto"/>
            <w:vAlign w:val="center"/>
            <w:hideMark/>
          </w:tcPr>
          <w:p w14:paraId="02AD2655"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Burim administrativ</w:t>
            </w:r>
          </w:p>
        </w:tc>
        <w:tc>
          <w:tcPr>
            <w:tcW w:w="238" w:type="pct"/>
            <w:tcBorders>
              <w:top w:val="single" w:sz="4" w:space="0" w:color="auto"/>
              <w:left w:val="nil"/>
              <w:bottom w:val="single" w:sz="4" w:space="0" w:color="auto"/>
              <w:right w:val="single" w:sz="4" w:space="0" w:color="auto"/>
            </w:tcBorders>
            <w:shd w:val="clear" w:color="auto" w:fill="auto"/>
            <w:noWrap/>
            <w:vAlign w:val="center"/>
            <w:hideMark/>
          </w:tcPr>
          <w:p w14:paraId="47A44F97"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180" w:type="pct"/>
            <w:tcBorders>
              <w:top w:val="single" w:sz="4" w:space="0" w:color="auto"/>
              <w:left w:val="nil"/>
              <w:bottom w:val="single" w:sz="4" w:space="0" w:color="auto"/>
              <w:right w:val="single" w:sz="4" w:space="0" w:color="auto"/>
            </w:tcBorders>
            <w:shd w:val="clear" w:color="auto" w:fill="auto"/>
            <w:noWrap/>
            <w:vAlign w:val="center"/>
            <w:hideMark/>
          </w:tcPr>
          <w:p w14:paraId="058E1CFE"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28" w:type="pct"/>
            <w:tcBorders>
              <w:top w:val="nil"/>
              <w:left w:val="nil"/>
              <w:bottom w:val="single" w:sz="4" w:space="0" w:color="auto"/>
              <w:right w:val="single" w:sz="4" w:space="0" w:color="auto"/>
            </w:tcBorders>
            <w:shd w:val="clear" w:color="auto" w:fill="auto"/>
            <w:vAlign w:val="center"/>
            <w:hideMark/>
          </w:tcPr>
          <w:p w14:paraId="37FAEB2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tcBorders>
              <w:top w:val="nil"/>
              <w:left w:val="nil"/>
              <w:bottom w:val="nil"/>
              <w:right w:val="single" w:sz="4" w:space="0" w:color="000000"/>
            </w:tcBorders>
            <w:shd w:val="clear" w:color="auto" w:fill="auto"/>
            <w:vAlign w:val="center"/>
            <w:hideMark/>
          </w:tcPr>
          <w:p w14:paraId="301D125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Vjetor</w:t>
            </w:r>
          </w:p>
        </w:tc>
        <w:tc>
          <w:tcPr>
            <w:tcW w:w="486" w:type="pct"/>
            <w:tcBorders>
              <w:top w:val="nil"/>
              <w:left w:val="nil"/>
              <w:bottom w:val="nil"/>
              <w:right w:val="single" w:sz="4" w:space="0" w:color="000000"/>
            </w:tcBorders>
            <w:shd w:val="clear" w:color="auto" w:fill="auto"/>
            <w:vAlign w:val="center"/>
            <w:hideMark/>
          </w:tcPr>
          <w:p w14:paraId="66544F4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Studentë të diplomuar dhe sipas fushave të studimit</w:t>
            </w:r>
          </w:p>
        </w:tc>
        <w:tc>
          <w:tcPr>
            <w:tcW w:w="299" w:type="pct"/>
            <w:tcBorders>
              <w:top w:val="nil"/>
              <w:left w:val="nil"/>
              <w:bottom w:val="nil"/>
              <w:right w:val="nil"/>
            </w:tcBorders>
            <w:shd w:val="clear" w:color="auto" w:fill="auto"/>
            <w:vAlign w:val="center"/>
            <w:hideMark/>
          </w:tcPr>
          <w:p w14:paraId="4B72CDF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Ministria e Arsimit, Sportit dhe Rinisë</w:t>
            </w:r>
          </w:p>
        </w:tc>
        <w:tc>
          <w:tcPr>
            <w:tcW w:w="224" w:type="pct"/>
            <w:tcBorders>
              <w:top w:val="nil"/>
              <w:left w:val="single" w:sz="4" w:space="0" w:color="auto"/>
              <w:bottom w:val="nil"/>
              <w:right w:val="single" w:sz="4" w:space="0" w:color="auto"/>
            </w:tcBorders>
            <w:shd w:val="clear" w:color="auto" w:fill="auto"/>
            <w:vAlign w:val="center"/>
            <w:hideMark/>
          </w:tcPr>
          <w:p w14:paraId="0E54F8F1" w14:textId="04E7663C"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7A799B" w:rsidRPr="00B31292">
              <w:rPr>
                <w:rFonts w:ascii="Garamond" w:eastAsia="Times New Roman" w:hAnsi="Garamond" w:cs="Times New Roman"/>
                <w:color w:val="000000"/>
                <w:sz w:val="10"/>
                <w:szCs w:val="10"/>
              </w:rPr>
              <w:t>-i</w:t>
            </w:r>
          </w:p>
        </w:tc>
        <w:tc>
          <w:tcPr>
            <w:tcW w:w="244" w:type="pct"/>
            <w:tcBorders>
              <w:top w:val="nil"/>
              <w:left w:val="nil"/>
              <w:bottom w:val="single" w:sz="4" w:space="0" w:color="auto"/>
              <w:right w:val="single" w:sz="4" w:space="0" w:color="auto"/>
            </w:tcBorders>
            <w:shd w:val="clear" w:color="000000" w:fill="FFFFFF"/>
            <w:vAlign w:val="center"/>
            <w:hideMark/>
          </w:tcPr>
          <w:p w14:paraId="6CDEF876"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+ 31D</w:t>
            </w:r>
          </w:p>
        </w:tc>
        <w:tc>
          <w:tcPr>
            <w:tcW w:w="220" w:type="pct"/>
            <w:tcBorders>
              <w:top w:val="nil"/>
              <w:left w:val="nil"/>
              <w:bottom w:val="single" w:sz="4" w:space="0" w:color="auto"/>
              <w:right w:val="single" w:sz="4" w:space="0" w:color="auto"/>
            </w:tcBorders>
            <w:shd w:val="clear" w:color="000000" w:fill="FFFFFF"/>
            <w:vAlign w:val="center"/>
            <w:hideMark/>
          </w:tcPr>
          <w:p w14:paraId="40EEA893"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+ 123D</w:t>
            </w:r>
          </w:p>
        </w:tc>
        <w:tc>
          <w:tcPr>
            <w:tcW w:w="220" w:type="pct"/>
            <w:tcBorders>
              <w:top w:val="nil"/>
              <w:left w:val="nil"/>
              <w:bottom w:val="single" w:sz="4" w:space="0" w:color="auto"/>
              <w:right w:val="single" w:sz="4" w:space="0" w:color="auto"/>
            </w:tcBorders>
            <w:shd w:val="clear" w:color="000000" w:fill="FFFFFF"/>
            <w:vAlign w:val="center"/>
            <w:hideMark/>
          </w:tcPr>
          <w:p w14:paraId="1EC5E3D9"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+ 152D</w:t>
            </w:r>
          </w:p>
        </w:tc>
        <w:tc>
          <w:tcPr>
            <w:tcW w:w="346" w:type="pct"/>
            <w:tcBorders>
              <w:top w:val="nil"/>
              <w:left w:val="nil"/>
              <w:bottom w:val="single" w:sz="4" w:space="0" w:color="auto"/>
              <w:right w:val="single" w:sz="4" w:space="0" w:color="auto"/>
            </w:tcBorders>
            <w:shd w:val="clear" w:color="auto" w:fill="auto"/>
            <w:vAlign w:val="center"/>
            <w:hideMark/>
          </w:tcPr>
          <w:p w14:paraId="28C2CA82" w14:textId="09AB993D"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Vonesa në procesin e grumbullimit të të dhënave nga burimet administrative -|- 4</w:t>
            </w:r>
            <w:r w:rsidRPr="00B31292">
              <w:rPr>
                <w:rFonts w:ascii="Garamond" w:eastAsia="Times New Roman" w:hAnsi="Garamond" w:cs="Times New Roman"/>
                <w:color w:val="000000"/>
                <w:sz w:val="10"/>
                <w:szCs w:val="10"/>
              </w:rPr>
              <w:br/>
              <w:t xml:space="preserve">2. Pezullimi/vonesa e mbledhjes, prodhimit dhe shpërndarjes </w:t>
            </w:r>
            <w:r w:rsidR="007A799B" w:rsidRPr="00B31292">
              <w:rPr>
                <w:rFonts w:ascii="Garamond" w:eastAsia="Times New Roman" w:hAnsi="Garamond" w:cs="Times New Roman"/>
                <w:color w:val="000000"/>
                <w:sz w:val="10"/>
                <w:szCs w:val="10"/>
              </w:rPr>
              <w:t>s</w:t>
            </w:r>
            <w:r w:rsidRPr="00B31292">
              <w:rPr>
                <w:rFonts w:ascii="Garamond" w:eastAsia="Times New Roman" w:hAnsi="Garamond" w:cs="Times New Roman"/>
                <w:color w:val="000000"/>
                <w:sz w:val="10"/>
                <w:szCs w:val="10"/>
              </w:rPr>
              <w:t xml:space="preserve">ë statistikave zyrtare si pasojë e </w:t>
            </w:r>
            <w:r w:rsidR="007A799B" w:rsidRPr="00B31292">
              <w:rPr>
                <w:rFonts w:ascii="Garamond" w:eastAsia="Times New Roman" w:hAnsi="Garamond" w:cs="Times New Roman"/>
                <w:color w:val="000000"/>
                <w:sz w:val="10"/>
                <w:szCs w:val="10"/>
              </w:rPr>
              <w:t xml:space="preserve">fatkeqësive natyrore/pandemi globale </w:t>
            </w:r>
            <w:r w:rsidRPr="00B31292">
              <w:rPr>
                <w:rFonts w:ascii="Garamond" w:eastAsia="Times New Roman" w:hAnsi="Garamond" w:cs="Times New Roman"/>
                <w:color w:val="000000"/>
                <w:sz w:val="10"/>
                <w:szCs w:val="10"/>
              </w:rPr>
              <w:t>etj. -|- 4</w:t>
            </w:r>
          </w:p>
        </w:tc>
        <w:tc>
          <w:tcPr>
            <w:tcW w:w="273" w:type="pct"/>
            <w:tcBorders>
              <w:top w:val="nil"/>
              <w:left w:val="nil"/>
              <w:bottom w:val="single" w:sz="4" w:space="0" w:color="auto"/>
              <w:right w:val="single" w:sz="4" w:space="0" w:color="auto"/>
            </w:tcBorders>
            <w:shd w:val="clear" w:color="auto" w:fill="auto"/>
            <w:vAlign w:val="center"/>
            <w:hideMark/>
          </w:tcPr>
          <w:p w14:paraId="53DFAC6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Buxhet shteti</w:t>
            </w:r>
          </w:p>
        </w:tc>
      </w:tr>
      <w:tr w:rsidR="000A2254" w:rsidRPr="00B31292" w14:paraId="03BC22FA" w14:textId="77777777" w:rsidTr="000A2254">
        <w:trPr>
          <w:trHeight w:val="20"/>
        </w:trPr>
        <w:tc>
          <w:tcPr>
            <w:tcW w:w="215" w:type="pct"/>
            <w:tcBorders>
              <w:top w:val="nil"/>
              <w:left w:val="nil"/>
              <w:bottom w:val="nil"/>
              <w:right w:val="nil"/>
            </w:tcBorders>
            <w:shd w:val="clear" w:color="000000" w:fill="FFFFFF"/>
            <w:vAlign w:val="bottom"/>
            <w:hideMark/>
          </w:tcPr>
          <w:p w14:paraId="1A4319C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lastRenderedPageBreak/>
              <w:t> </w:t>
            </w:r>
          </w:p>
        </w:tc>
        <w:tc>
          <w:tcPr>
            <w:tcW w:w="215" w:type="pct"/>
            <w:tcBorders>
              <w:top w:val="nil"/>
              <w:left w:val="nil"/>
              <w:bottom w:val="nil"/>
              <w:right w:val="nil"/>
            </w:tcBorders>
            <w:shd w:val="clear" w:color="000000" w:fill="FFFFFF"/>
            <w:vAlign w:val="bottom"/>
            <w:hideMark/>
          </w:tcPr>
          <w:p w14:paraId="1B3F9A2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single" w:sz="4" w:space="0" w:color="000000"/>
              <w:left w:val="single" w:sz="4" w:space="0" w:color="000000"/>
              <w:bottom w:val="single" w:sz="4" w:space="0" w:color="000000"/>
              <w:right w:val="nil"/>
            </w:tcBorders>
            <w:shd w:val="clear" w:color="000000" w:fill="F0F0F0"/>
            <w:vAlign w:val="center"/>
            <w:hideMark/>
          </w:tcPr>
          <w:p w14:paraId="7209242D"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1.4</w:t>
            </w:r>
          </w:p>
        </w:tc>
        <w:tc>
          <w:tcPr>
            <w:tcW w:w="4416" w:type="pct"/>
            <w:gridSpan w:val="18"/>
            <w:tcBorders>
              <w:top w:val="single" w:sz="4" w:space="0" w:color="auto"/>
              <w:left w:val="single" w:sz="4" w:space="0" w:color="auto"/>
              <w:bottom w:val="single" w:sz="4" w:space="0" w:color="auto"/>
              <w:right w:val="single" w:sz="4" w:space="0" w:color="auto"/>
            </w:tcBorders>
            <w:shd w:val="clear" w:color="000000" w:fill="F0F0F0"/>
            <w:vAlign w:val="center"/>
            <w:hideMark/>
          </w:tcPr>
          <w:p w14:paraId="63BDCF07"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Shëndetësia </w:t>
            </w:r>
          </w:p>
        </w:tc>
      </w:tr>
      <w:tr w:rsidR="000A2254" w:rsidRPr="00B31292" w14:paraId="1F09F69B" w14:textId="77777777" w:rsidTr="000A2254">
        <w:trPr>
          <w:trHeight w:val="20"/>
        </w:trPr>
        <w:tc>
          <w:tcPr>
            <w:tcW w:w="215" w:type="pct"/>
            <w:tcBorders>
              <w:top w:val="nil"/>
              <w:left w:val="nil"/>
              <w:bottom w:val="nil"/>
              <w:right w:val="nil"/>
            </w:tcBorders>
            <w:shd w:val="clear" w:color="000000" w:fill="FFFFFF"/>
            <w:vAlign w:val="bottom"/>
            <w:hideMark/>
          </w:tcPr>
          <w:p w14:paraId="639685B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2094C6D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069C647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38C724F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single" w:sz="4" w:space="0" w:color="auto"/>
              <w:bottom w:val="single" w:sz="4" w:space="0" w:color="auto"/>
              <w:right w:val="single" w:sz="4" w:space="0" w:color="auto"/>
            </w:tcBorders>
            <w:shd w:val="clear" w:color="000000" w:fill="F0F0F0"/>
            <w:vAlign w:val="center"/>
            <w:hideMark/>
          </w:tcPr>
          <w:p w14:paraId="4AE0E0C1"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1.4.1</w:t>
            </w:r>
          </w:p>
        </w:tc>
        <w:tc>
          <w:tcPr>
            <w:tcW w:w="4082" w:type="pct"/>
            <w:gridSpan w:val="16"/>
            <w:tcBorders>
              <w:top w:val="single" w:sz="4" w:space="0" w:color="auto"/>
              <w:left w:val="nil"/>
              <w:bottom w:val="single" w:sz="4" w:space="0" w:color="auto"/>
              <w:right w:val="single" w:sz="4" w:space="0" w:color="auto"/>
            </w:tcBorders>
            <w:shd w:val="clear" w:color="000000" w:fill="F0F0F0"/>
            <w:vAlign w:val="center"/>
            <w:hideMark/>
          </w:tcPr>
          <w:p w14:paraId="301B3696" w14:textId="74F7A8DF"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Statistikat e </w:t>
            </w:r>
            <w:r w:rsidR="007A799B" w:rsidRPr="00B31292">
              <w:rPr>
                <w:rFonts w:ascii="Garamond" w:eastAsia="Times New Roman" w:hAnsi="Garamond" w:cs="Times New Roman"/>
                <w:color w:val="000000"/>
                <w:sz w:val="10"/>
                <w:szCs w:val="10"/>
              </w:rPr>
              <w:t>shëndetësisë</w:t>
            </w:r>
          </w:p>
        </w:tc>
      </w:tr>
      <w:tr w:rsidR="000A2254" w:rsidRPr="00B31292" w14:paraId="7C4D48B9" w14:textId="77777777" w:rsidTr="000A2254">
        <w:trPr>
          <w:trHeight w:val="20"/>
        </w:trPr>
        <w:tc>
          <w:tcPr>
            <w:tcW w:w="215" w:type="pct"/>
            <w:tcBorders>
              <w:top w:val="nil"/>
              <w:left w:val="nil"/>
              <w:bottom w:val="nil"/>
              <w:right w:val="nil"/>
            </w:tcBorders>
            <w:shd w:val="clear" w:color="000000" w:fill="FFFFFF"/>
            <w:vAlign w:val="bottom"/>
            <w:hideMark/>
          </w:tcPr>
          <w:p w14:paraId="5C46512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10A5266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2ABE3AD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5EE34D2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51129F5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52788B5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000000"/>
              <w:bottom w:val="nil"/>
              <w:right w:val="single" w:sz="4" w:space="0" w:color="000000"/>
            </w:tcBorders>
            <w:shd w:val="clear" w:color="auto" w:fill="auto"/>
            <w:vAlign w:val="center"/>
            <w:hideMark/>
          </w:tcPr>
          <w:p w14:paraId="7586C9FE"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1.4.1.1</w:t>
            </w:r>
          </w:p>
        </w:tc>
        <w:tc>
          <w:tcPr>
            <w:tcW w:w="281" w:type="pct"/>
            <w:tcBorders>
              <w:top w:val="nil"/>
              <w:left w:val="nil"/>
              <w:bottom w:val="single" w:sz="4" w:space="0" w:color="auto"/>
              <w:right w:val="single" w:sz="4" w:space="0" w:color="auto"/>
            </w:tcBorders>
            <w:shd w:val="clear" w:color="auto" w:fill="auto"/>
            <w:vAlign w:val="center"/>
            <w:hideMark/>
          </w:tcPr>
          <w:p w14:paraId="4F000E5B"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Shkaqet e vdekjeve</w:t>
            </w:r>
          </w:p>
        </w:tc>
        <w:tc>
          <w:tcPr>
            <w:tcW w:w="236" w:type="pct"/>
            <w:tcBorders>
              <w:top w:val="nil"/>
              <w:left w:val="nil"/>
              <w:bottom w:val="single" w:sz="4" w:space="0" w:color="auto"/>
              <w:right w:val="single" w:sz="4" w:space="0" w:color="auto"/>
            </w:tcBorders>
            <w:shd w:val="clear" w:color="auto" w:fill="auto"/>
            <w:vAlign w:val="center"/>
            <w:hideMark/>
          </w:tcPr>
          <w:p w14:paraId="5033A747"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Burim administrativ</w:t>
            </w:r>
          </w:p>
        </w:tc>
        <w:tc>
          <w:tcPr>
            <w:tcW w:w="238" w:type="pct"/>
            <w:tcBorders>
              <w:top w:val="nil"/>
              <w:left w:val="nil"/>
              <w:bottom w:val="single" w:sz="4" w:space="0" w:color="auto"/>
              <w:right w:val="single" w:sz="4" w:space="0" w:color="auto"/>
            </w:tcBorders>
            <w:shd w:val="clear" w:color="auto" w:fill="auto"/>
            <w:noWrap/>
            <w:vAlign w:val="center"/>
            <w:hideMark/>
          </w:tcPr>
          <w:p w14:paraId="68A5300C"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180" w:type="pct"/>
            <w:tcBorders>
              <w:top w:val="nil"/>
              <w:left w:val="nil"/>
              <w:bottom w:val="single" w:sz="4" w:space="0" w:color="auto"/>
              <w:right w:val="single" w:sz="4" w:space="0" w:color="auto"/>
            </w:tcBorders>
            <w:shd w:val="clear" w:color="auto" w:fill="auto"/>
            <w:noWrap/>
            <w:vAlign w:val="center"/>
            <w:hideMark/>
          </w:tcPr>
          <w:p w14:paraId="243133B9"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28" w:type="pct"/>
            <w:tcBorders>
              <w:top w:val="nil"/>
              <w:left w:val="nil"/>
              <w:bottom w:val="single" w:sz="4" w:space="0" w:color="auto"/>
              <w:right w:val="single" w:sz="4" w:space="0" w:color="auto"/>
            </w:tcBorders>
            <w:shd w:val="clear" w:color="auto" w:fill="auto"/>
            <w:vAlign w:val="center"/>
            <w:hideMark/>
          </w:tcPr>
          <w:p w14:paraId="0E9A014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tcBorders>
              <w:top w:val="nil"/>
              <w:left w:val="nil"/>
              <w:bottom w:val="nil"/>
              <w:right w:val="single" w:sz="4" w:space="0" w:color="000000"/>
            </w:tcBorders>
            <w:shd w:val="clear" w:color="auto" w:fill="auto"/>
            <w:vAlign w:val="center"/>
            <w:hideMark/>
          </w:tcPr>
          <w:p w14:paraId="452E9AD7"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Vjetor</w:t>
            </w:r>
          </w:p>
        </w:tc>
        <w:tc>
          <w:tcPr>
            <w:tcW w:w="486" w:type="pct"/>
            <w:tcBorders>
              <w:top w:val="nil"/>
              <w:left w:val="nil"/>
              <w:bottom w:val="single" w:sz="4" w:space="0" w:color="auto"/>
              <w:right w:val="single" w:sz="4" w:space="0" w:color="auto"/>
            </w:tcBorders>
            <w:shd w:val="clear" w:color="auto" w:fill="auto"/>
            <w:vAlign w:val="center"/>
            <w:hideMark/>
          </w:tcPr>
          <w:p w14:paraId="27F6F27D" w14:textId="3A9DB541"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Shkaqet e vdekjeve sipas gjinisë</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 Shkaqet e vdekjeve sipas qarkut</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 Shkaqet e vdekjeve sipas grup</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moshës</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4. Shkaqet e vdekjeve sipas vendndodhjes</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5. Shkaqet e vdekjeve sipas grup</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sëmundjeve</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6. Shkaqet e vdekjeve sipas tipit të vdekjes</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7. </w:t>
            </w:r>
            <w:r w:rsidR="00C23C70" w:rsidRPr="00B31292">
              <w:rPr>
                <w:rFonts w:ascii="Garamond" w:eastAsia="Times New Roman" w:hAnsi="Garamond" w:cs="Times New Roman"/>
                <w:color w:val="000000"/>
                <w:sz w:val="10"/>
                <w:szCs w:val="10"/>
              </w:rPr>
              <w:t>Vdekshmëria</w:t>
            </w:r>
            <w:r w:rsidRPr="00B31292">
              <w:rPr>
                <w:rFonts w:ascii="Garamond" w:eastAsia="Times New Roman" w:hAnsi="Garamond" w:cs="Times New Roman"/>
                <w:color w:val="000000"/>
                <w:sz w:val="10"/>
                <w:szCs w:val="10"/>
              </w:rPr>
              <w:t xml:space="preserve"> </w:t>
            </w:r>
            <w:r w:rsidR="00C23C70" w:rsidRPr="00B31292">
              <w:rPr>
                <w:rFonts w:ascii="Garamond" w:eastAsia="Times New Roman" w:hAnsi="Garamond" w:cs="Times New Roman"/>
                <w:color w:val="000000"/>
                <w:sz w:val="10"/>
                <w:szCs w:val="10"/>
              </w:rPr>
              <w:t>amtare</w:t>
            </w:r>
            <w:r w:rsidR="007A799B" w:rsidRPr="00B31292">
              <w:rPr>
                <w:rFonts w:ascii="Garamond" w:eastAsia="Times New Roman" w:hAnsi="Garamond" w:cs="Times New Roman"/>
                <w:color w:val="000000"/>
                <w:sz w:val="10"/>
                <w:szCs w:val="10"/>
              </w:rPr>
              <w:t>.</w:t>
            </w:r>
          </w:p>
        </w:tc>
        <w:tc>
          <w:tcPr>
            <w:tcW w:w="299" w:type="pct"/>
            <w:tcBorders>
              <w:top w:val="nil"/>
              <w:left w:val="nil"/>
              <w:bottom w:val="single" w:sz="4" w:space="0" w:color="auto"/>
              <w:right w:val="single" w:sz="4" w:space="0" w:color="auto"/>
            </w:tcBorders>
            <w:shd w:val="clear" w:color="auto" w:fill="auto"/>
            <w:vAlign w:val="center"/>
            <w:hideMark/>
          </w:tcPr>
          <w:p w14:paraId="47C16AB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Drejtoria e Përgjithshme e Gjendjes Civile</w:t>
            </w:r>
          </w:p>
        </w:tc>
        <w:tc>
          <w:tcPr>
            <w:tcW w:w="224" w:type="pct"/>
            <w:tcBorders>
              <w:top w:val="nil"/>
              <w:left w:val="nil"/>
              <w:bottom w:val="single" w:sz="4" w:space="0" w:color="auto"/>
              <w:right w:val="single" w:sz="4" w:space="0" w:color="auto"/>
            </w:tcBorders>
            <w:shd w:val="clear" w:color="auto" w:fill="auto"/>
            <w:vAlign w:val="center"/>
            <w:hideMark/>
          </w:tcPr>
          <w:p w14:paraId="6227EF5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p>
        </w:tc>
        <w:tc>
          <w:tcPr>
            <w:tcW w:w="244" w:type="pct"/>
            <w:tcBorders>
              <w:top w:val="nil"/>
              <w:left w:val="nil"/>
              <w:bottom w:val="single" w:sz="4" w:space="0" w:color="auto"/>
              <w:right w:val="single" w:sz="4" w:space="0" w:color="auto"/>
            </w:tcBorders>
            <w:shd w:val="clear" w:color="000000" w:fill="FFFFFF"/>
            <w:vAlign w:val="center"/>
            <w:hideMark/>
          </w:tcPr>
          <w:p w14:paraId="31166015"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+ 9D</w:t>
            </w:r>
          </w:p>
        </w:tc>
        <w:tc>
          <w:tcPr>
            <w:tcW w:w="220" w:type="pct"/>
            <w:tcBorders>
              <w:top w:val="nil"/>
              <w:left w:val="nil"/>
              <w:bottom w:val="single" w:sz="4" w:space="0" w:color="auto"/>
              <w:right w:val="single" w:sz="4" w:space="0" w:color="auto"/>
            </w:tcBorders>
            <w:shd w:val="clear" w:color="000000" w:fill="FFFFFF"/>
            <w:vAlign w:val="center"/>
            <w:hideMark/>
          </w:tcPr>
          <w:p w14:paraId="4270E04B"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+ 105D</w:t>
            </w:r>
          </w:p>
        </w:tc>
        <w:tc>
          <w:tcPr>
            <w:tcW w:w="220" w:type="pct"/>
            <w:tcBorders>
              <w:top w:val="nil"/>
              <w:left w:val="nil"/>
              <w:bottom w:val="single" w:sz="4" w:space="0" w:color="auto"/>
              <w:right w:val="single" w:sz="4" w:space="0" w:color="auto"/>
            </w:tcBorders>
            <w:shd w:val="clear" w:color="000000" w:fill="FFFFFF"/>
            <w:vAlign w:val="center"/>
            <w:hideMark/>
          </w:tcPr>
          <w:p w14:paraId="7F596ED7"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+ 148D</w:t>
            </w:r>
          </w:p>
        </w:tc>
        <w:tc>
          <w:tcPr>
            <w:tcW w:w="346" w:type="pct"/>
            <w:tcBorders>
              <w:top w:val="nil"/>
              <w:left w:val="nil"/>
              <w:bottom w:val="single" w:sz="4" w:space="0" w:color="auto"/>
              <w:right w:val="single" w:sz="4" w:space="0" w:color="auto"/>
            </w:tcBorders>
            <w:shd w:val="clear" w:color="auto" w:fill="auto"/>
            <w:vAlign w:val="center"/>
            <w:hideMark/>
          </w:tcPr>
          <w:p w14:paraId="24FE26E4" w14:textId="055F21EB"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Vonesa në procesin e grumbullimit të të dhënave nga burimet administrative -|- 3</w:t>
            </w:r>
            <w:r w:rsidRPr="00B31292">
              <w:rPr>
                <w:rFonts w:ascii="Garamond" w:eastAsia="Times New Roman" w:hAnsi="Garamond" w:cs="Times New Roman"/>
                <w:color w:val="000000"/>
                <w:sz w:val="10"/>
                <w:szCs w:val="10"/>
              </w:rPr>
              <w:br/>
              <w:t>2. Mospërmbushja e kritereve të cilësisë</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si: saktësia, përpikmëria dhe krahasueshmëria, për të dhënat administrative/vrojtimet statistikore -|- 3</w:t>
            </w:r>
            <w:r w:rsidRPr="00B31292">
              <w:rPr>
                <w:rFonts w:ascii="Garamond" w:eastAsia="Times New Roman" w:hAnsi="Garamond" w:cs="Times New Roman"/>
                <w:color w:val="000000"/>
                <w:sz w:val="10"/>
                <w:szCs w:val="10"/>
              </w:rPr>
              <w:br/>
              <w:t xml:space="preserve">3. Pezullimi/vonesa e mbledhjes, prodhimit dhe shpërndarjes </w:t>
            </w:r>
            <w:r w:rsidR="007A799B" w:rsidRPr="00B31292">
              <w:rPr>
                <w:rFonts w:ascii="Garamond" w:eastAsia="Times New Roman" w:hAnsi="Garamond" w:cs="Times New Roman"/>
                <w:color w:val="000000"/>
                <w:sz w:val="10"/>
                <w:szCs w:val="10"/>
              </w:rPr>
              <w:t>s</w:t>
            </w:r>
            <w:r w:rsidRPr="00B31292">
              <w:rPr>
                <w:rFonts w:ascii="Garamond" w:eastAsia="Times New Roman" w:hAnsi="Garamond" w:cs="Times New Roman"/>
                <w:color w:val="000000"/>
                <w:sz w:val="10"/>
                <w:szCs w:val="10"/>
              </w:rPr>
              <w:t xml:space="preserve">ë statistikave zyrtare si </w:t>
            </w:r>
            <w:r w:rsidR="007A799B" w:rsidRPr="00B31292">
              <w:rPr>
                <w:rFonts w:ascii="Garamond" w:eastAsia="Times New Roman" w:hAnsi="Garamond" w:cs="Times New Roman"/>
                <w:color w:val="000000"/>
                <w:sz w:val="10"/>
                <w:szCs w:val="10"/>
              </w:rPr>
              <w:t xml:space="preserve">pasojë e fatkeqësive natyrore/pandemi globale </w:t>
            </w:r>
            <w:r w:rsidRPr="00B31292">
              <w:rPr>
                <w:rFonts w:ascii="Garamond" w:eastAsia="Times New Roman" w:hAnsi="Garamond" w:cs="Times New Roman"/>
                <w:color w:val="000000"/>
                <w:sz w:val="10"/>
                <w:szCs w:val="10"/>
              </w:rPr>
              <w:t>-|- 1</w:t>
            </w:r>
          </w:p>
        </w:tc>
        <w:tc>
          <w:tcPr>
            <w:tcW w:w="273" w:type="pct"/>
            <w:tcBorders>
              <w:top w:val="nil"/>
              <w:left w:val="nil"/>
              <w:bottom w:val="single" w:sz="4" w:space="0" w:color="auto"/>
              <w:right w:val="single" w:sz="4" w:space="0" w:color="auto"/>
            </w:tcBorders>
            <w:shd w:val="clear" w:color="auto" w:fill="auto"/>
            <w:vAlign w:val="center"/>
            <w:hideMark/>
          </w:tcPr>
          <w:p w14:paraId="4526CB2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Buxhet shteti</w:t>
            </w:r>
          </w:p>
        </w:tc>
      </w:tr>
      <w:tr w:rsidR="000A2254" w:rsidRPr="00B31292" w14:paraId="4A8CDB85" w14:textId="77777777" w:rsidTr="007A799B">
        <w:trPr>
          <w:trHeight w:val="20"/>
        </w:trPr>
        <w:tc>
          <w:tcPr>
            <w:tcW w:w="215" w:type="pct"/>
            <w:tcBorders>
              <w:top w:val="nil"/>
              <w:left w:val="nil"/>
              <w:bottom w:val="nil"/>
              <w:right w:val="nil"/>
            </w:tcBorders>
            <w:shd w:val="clear" w:color="000000" w:fill="FFFFFF"/>
            <w:vAlign w:val="bottom"/>
            <w:hideMark/>
          </w:tcPr>
          <w:p w14:paraId="3BEBD71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61A69CB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4FD7D84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2690D89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1DD0CBB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6E23857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3C50917"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1.4.1.2</w:t>
            </w:r>
          </w:p>
        </w:tc>
        <w:tc>
          <w:tcPr>
            <w:tcW w:w="281" w:type="pct"/>
            <w:vMerge w:val="restart"/>
            <w:tcBorders>
              <w:top w:val="nil"/>
              <w:left w:val="single" w:sz="4" w:space="0" w:color="auto"/>
              <w:bottom w:val="single" w:sz="4" w:space="0" w:color="000000"/>
              <w:right w:val="single" w:sz="4" w:space="0" w:color="auto"/>
            </w:tcBorders>
            <w:shd w:val="clear" w:color="auto" w:fill="auto"/>
            <w:vAlign w:val="center"/>
            <w:hideMark/>
          </w:tcPr>
          <w:p w14:paraId="18FA9ACA"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Shëndeti publik</w:t>
            </w:r>
          </w:p>
        </w:tc>
        <w:tc>
          <w:tcPr>
            <w:tcW w:w="236" w:type="pct"/>
            <w:vMerge w:val="restart"/>
            <w:tcBorders>
              <w:top w:val="nil"/>
              <w:left w:val="single" w:sz="4" w:space="0" w:color="auto"/>
              <w:bottom w:val="single" w:sz="4" w:space="0" w:color="000000"/>
              <w:right w:val="single" w:sz="4" w:space="0" w:color="auto"/>
            </w:tcBorders>
            <w:shd w:val="clear" w:color="auto" w:fill="auto"/>
            <w:vAlign w:val="center"/>
            <w:hideMark/>
          </w:tcPr>
          <w:p w14:paraId="6110EC48"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Burim administrativ</w:t>
            </w:r>
          </w:p>
        </w:tc>
        <w:tc>
          <w:tcPr>
            <w:tcW w:w="23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1456923"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18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EDF3B88"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28" w:type="pct"/>
            <w:vMerge w:val="restart"/>
            <w:tcBorders>
              <w:top w:val="nil"/>
              <w:left w:val="single" w:sz="4" w:space="0" w:color="auto"/>
              <w:bottom w:val="single" w:sz="4" w:space="0" w:color="000000"/>
              <w:right w:val="single" w:sz="4" w:space="0" w:color="auto"/>
            </w:tcBorders>
            <w:shd w:val="clear" w:color="auto" w:fill="auto"/>
            <w:vAlign w:val="center"/>
            <w:hideMark/>
          </w:tcPr>
          <w:p w14:paraId="14FBA5C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5128C52" w14:textId="77777777" w:rsidR="000A2254" w:rsidRPr="00B31292" w:rsidRDefault="000A2254" w:rsidP="007A799B">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Vjetor</w:t>
            </w:r>
          </w:p>
        </w:tc>
        <w:tc>
          <w:tcPr>
            <w:tcW w:w="486" w:type="pct"/>
            <w:tcBorders>
              <w:top w:val="nil"/>
              <w:left w:val="nil"/>
              <w:bottom w:val="nil"/>
              <w:right w:val="single" w:sz="4" w:space="0" w:color="auto"/>
            </w:tcBorders>
            <w:shd w:val="clear" w:color="auto" w:fill="auto"/>
            <w:vAlign w:val="center"/>
            <w:hideMark/>
          </w:tcPr>
          <w:p w14:paraId="039DE9E7" w14:textId="0D83ADC6"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Numri i vizitave në moshat deri në 14 vjeç</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2. Numri i vizitave në moshat mbi 14 vjeç</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 Numri i vizitave në banesë</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4. Numri i vizitave gjinekologjike</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5. Numri i vizitave obs</w:t>
            </w:r>
            <w:r w:rsidR="00C23C70" w:rsidRPr="00B31292">
              <w:rPr>
                <w:rFonts w:ascii="Garamond" w:eastAsia="Times New Roman" w:hAnsi="Garamond" w:cs="Times New Roman"/>
                <w:color w:val="000000"/>
                <w:sz w:val="10"/>
                <w:szCs w:val="10"/>
              </w:rPr>
              <w:t>t</w:t>
            </w:r>
            <w:r w:rsidRPr="00B31292">
              <w:rPr>
                <w:rFonts w:ascii="Garamond" w:eastAsia="Times New Roman" w:hAnsi="Garamond" w:cs="Times New Roman"/>
                <w:color w:val="000000"/>
                <w:sz w:val="10"/>
                <w:szCs w:val="10"/>
              </w:rPr>
              <w:t>etrikale</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6. Numri i vizitave të para obs</w:t>
            </w:r>
            <w:r w:rsidR="00C23C70" w:rsidRPr="00B31292">
              <w:rPr>
                <w:rFonts w:ascii="Garamond" w:eastAsia="Times New Roman" w:hAnsi="Garamond" w:cs="Times New Roman"/>
                <w:color w:val="000000"/>
                <w:sz w:val="10"/>
                <w:szCs w:val="10"/>
              </w:rPr>
              <w:t>te</w:t>
            </w:r>
            <w:r w:rsidRPr="00B31292">
              <w:rPr>
                <w:rFonts w:ascii="Garamond" w:eastAsia="Times New Roman" w:hAnsi="Garamond" w:cs="Times New Roman"/>
                <w:color w:val="000000"/>
                <w:sz w:val="10"/>
                <w:szCs w:val="10"/>
              </w:rPr>
              <w:t>trikale</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7. Numri i grave me barra </w:t>
            </w:r>
            <w:r w:rsidR="00FD245C" w:rsidRPr="00B31292">
              <w:rPr>
                <w:rFonts w:ascii="Garamond" w:eastAsia="Times New Roman" w:hAnsi="Garamond" w:cs="Times New Roman"/>
                <w:color w:val="000000"/>
                <w:sz w:val="10"/>
                <w:szCs w:val="10"/>
              </w:rPr>
              <w:t>patologjike</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8. Numri i </w:t>
            </w:r>
            <w:r w:rsidR="00FD245C" w:rsidRPr="00B31292">
              <w:rPr>
                <w:rFonts w:ascii="Garamond" w:eastAsia="Times New Roman" w:hAnsi="Garamond" w:cs="Times New Roman"/>
                <w:color w:val="000000"/>
                <w:sz w:val="10"/>
                <w:szCs w:val="10"/>
              </w:rPr>
              <w:t>fëmijëve</w:t>
            </w:r>
            <w:r w:rsidRPr="00B31292">
              <w:rPr>
                <w:rFonts w:ascii="Garamond" w:eastAsia="Times New Roman" w:hAnsi="Garamond" w:cs="Times New Roman"/>
                <w:color w:val="000000"/>
                <w:sz w:val="10"/>
                <w:szCs w:val="10"/>
              </w:rPr>
              <w:t xml:space="preserve"> që ushqehen me gji</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9. Numri i </w:t>
            </w:r>
            <w:r w:rsidR="00FD245C" w:rsidRPr="00B31292">
              <w:rPr>
                <w:rFonts w:ascii="Garamond" w:eastAsia="Times New Roman" w:hAnsi="Garamond" w:cs="Times New Roman"/>
                <w:color w:val="000000"/>
                <w:sz w:val="10"/>
                <w:szCs w:val="10"/>
              </w:rPr>
              <w:t>fëmijëve</w:t>
            </w:r>
            <w:r w:rsidRPr="00B31292">
              <w:rPr>
                <w:rFonts w:ascii="Garamond" w:eastAsia="Times New Roman" w:hAnsi="Garamond" w:cs="Times New Roman"/>
                <w:color w:val="000000"/>
                <w:sz w:val="10"/>
                <w:szCs w:val="10"/>
              </w:rPr>
              <w:t xml:space="preserve"> që ushqehen me ushqim artificial</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10. Numri i konsultimeve të kryera pranë ko</w:t>
            </w:r>
            <w:r w:rsidR="00FD245C" w:rsidRPr="00B31292">
              <w:rPr>
                <w:rFonts w:ascii="Garamond" w:eastAsia="Times New Roman" w:hAnsi="Garamond" w:cs="Times New Roman"/>
                <w:color w:val="000000"/>
                <w:sz w:val="10"/>
                <w:szCs w:val="10"/>
              </w:rPr>
              <w:t>n</w:t>
            </w:r>
            <w:r w:rsidRPr="00B31292">
              <w:rPr>
                <w:rFonts w:ascii="Garamond" w:eastAsia="Times New Roman" w:hAnsi="Garamond" w:cs="Times New Roman"/>
                <w:color w:val="000000"/>
                <w:sz w:val="10"/>
                <w:szCs w:val="10"/>
              </w:rPr>
              <w:t>sultorit të gruas</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11. Numri i konsultimeve të kryera pranë shërbimit </w:t>
            </w:r>
            <w:r w:rsidR="00FD245C" w:rsidRPr="00B31292">
              <w:rPr>
                <w:rFonts w:ascii="Garamond" w:eastAsia="Times New Roman" w:hAnsi="Garamond" w:cs="Times New Roman"/>
                <w:color w:val="000000"/>
                <w:sz w:val="10"/>
                <w:szCs w:val="10"/>
              </w:rPr>
              <w:t>obstetrik</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12. Numri i fëmijëve të vaksinuar për </w:t>
            </w:r>
            <w:r w:rsidR="00FD245C" w:rsidRPr="00B31292">
              <w:rPr>
                <w:rFonts w:ascii="Garamond" w:eastAsia="Times New Roman" w:hAnsi="Garamond" w:cs="Times New Roman"/>
                <w:color w:val="000000"/>
                <w:sz w:val="10"/>
                <w:szCs w:val="10"/>
              </w:rPr>
              <w:t>tuberkulozin</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13. Numri i fëmijëve të vaksinuar për difterinë</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14. Numri i fëmijëve të vaksinuar për tetanozin</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15. Numri i fëmijëve të vaksinuar për pertusin</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16. Numri i fëmijëve të vaksinuar për </w:t>
            </w:r>
            <w:r w:rsidR="007A799B" w:rsidRPr="00B31292">
              <w:rPr>
                <w:rFonts w:ascii="Garamond" w:eastAsia="Times New Roman" w:hAnsi="Garamond" w:cs="Times New Roman"/>
                <w:color w:val="000000"/>
                <w:sz w:val="10"/>
                <w:szCs w:val="10"/>
              </w:rPr>
              <w:t>poliomielitin.</w:t>
            </w:r>
            <w:r w:rsidRPr="00B31292">
              <w:rPr>
                <w:rFonts w:ascii="Garamond" w:eastAsia="Times New Roman" w:hAnsi="Garamond" w:cs="Times New Roman"/>
                <w:color w:val="000000"/>
                <w:sz w:val="10"/>
                <w:szCs w:val="10"/>
              </w:rPr>
              <w:br/>
              <w:t>17. Numri i mjekëve në Institucione sipas specialiteteve</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18. Numri i mjekëve të familjes</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19. Numri i mami</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infermierëve</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20. Numri i personelit shëndetësor (ndihmës)</w:t>
            </w:r>
            <w:r w:rsidR="007A799B" w:rsidRPr="00B31292">
              <w:rPr>
                <w:rFonts w:ascii="Garamond" w:eastAsia="Times New Roman" w:hAnsi="Garamond" w:cs="Times New Roman"/>
                <w:color w:val="000000"/>
                <w:sz w:val="10"/>
                <w:szCs w:val="10"/>
              </w:rPr>
              <w:t>.</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21. Numri i institucioneve me shtretër</w:t>
            </w:r>
            <w:r w:rsidR="007A799B" w:rsidRPr="00B31292">
              <w:rPr>
                <w:rFonts w:ascii="Garamond" w:eastAsia="Times New Roman" w:hAnsi="Garamond" w:cs="Times New Roman"/>
                <w:color w:val="000000"/>
                <w:sz w:val="10"/>
                <w:szCs w:val="10"/>
              </w:rPr>
              <w:t>.</w:t>
            </w:r>
          </w:p>
        </w:tc>
        <w:tc>
          <w:tcPr>
            <w:tcW w:w="299" w:type="pct"/>
            <w:vMerge w:val="restart"/>
            <w:tcBorders>
              <w:top w:val="nil"/>
              <w:left w:val="single" w:sz="4" w:space="0" w:color="auto"/>
              <w:bottom w:val="single" w:sz="4" w:space="0" w:color="000000"/>
              <w:right w:val="single" w:sz="4" w:space="0" w:color="auto"/>
            </w:tcBorders>
            <w:shd w:val="clear" w:color="auto" w:fill="auto"/>
            <w:vAlign w:val="center"/>
            <w:hideMark/>
          </w:tcPr>
          <w:p w14:paraId="5C22FAAA" w14:textId="0F2F542B"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Ministria e Shëndetësisë dhe Mbrojtjes Sociale</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Instituti i Shëndetit Publik</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Fondi i Sigurimit të Detyrueshëm të Kujdesit Shëndetësor</w:t>
            </w:r>
          </w:p>
        </w:tc>
        <w:tc>
          <w:tcPr>
            <w:tcW w:w="224" w:type="pct"/>
            <w:vMerge w:val="restart"/>
            <w:tcBorders>
              <w:top w:val="nil"/>
              <w:left w:val="single" w:sz="4" w:space="0" w:color="auto"/>
              <w:bottom w:val="single" w:sz="4" w:space="0" w:color="000000"/>
              <w:right w:val="single" w:sz="4" w:space="0" w:color="auto"/>
            </w:tcBorders>
            <w:shd w:val="clear" w:color="auto" w:fill="auto"/>
            <w:vAlign w:val="center"/>
            <w:hideMark/>
          </w:tcPr>
          <w:p w14:paraId="44F72AF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p>
        </w:tc>
        <w:tc>
          <w:tcPr>
            <w:tcW w:w="24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93926F1"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+ 143D</w:t>
            </w:r>
          </w:p>
        </w:tc>
        <w:tc>
          <w:tcPr>
            <w:tcW w:w="220"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097CF22"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+ 187D</w:t>
            </w:r>
          </w:p>
        </w:tc>
        <w:tc>
          <w:tcPr>
            <w:tcW w:w="220"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AF20E30"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+ 222D</w:t>
            </w:r>
          </w:p>
        </w:tc>
        <w:tc>
          <w:tcPr>
            <w:tcW w:w="346" w:type="pct"/>
            <w:vMerge w:val="restart"/>
            <w:tcBorders>
              <w:top w:val="nil"/>
              <w:left w:val="single" w:sz="4" w:space="0" w:color="auto"/>
              <w:bottom w:val="single" w:sz="4" w:space="0" w:color="000000"/>
              <w:right w:val="single" w:sz="4" w:space="0" w:color="auto"/>
            </w:tcBorders>
            <w:shd w:val="clear" w:color="auto" w:fill="auto"/>
            <w:vAlign w:val="center"/>
            <w:hideMark/>
          </w:tcPr>
          <w:p w14:paraId="1317222E" w14:textId="0727BA89"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Vonesa në procesin e grumbullimit të të dhënave nga burimet administrative -|- 3</w:t>
            </w:r>
            <w:r w:rsidRPr="00B31292">
              <w:rPr>
                <w:rFonts w:ascii="Garamond" w:eastAsia="Times New Roman" w:hAnsi="Garamond" w:cs="Times New Roman"/>
                <w:color w:val="000000"/>
                <w:sz w:val="10"/>
                <w:szCs w:val="10"/>
              </w:rPr>
              <w:br/>
              <w:t>2. Mospërmbushja e kritereve të cilësisë</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si: saktësia, përpikmëria dhe krahasueshmëria, për të dhënat administrative/vrojtimet statistikore -|- 3</w:t>
            </w:r>
            <w:r w:rsidRPr="00B31292">
              <w:rPr>
                <w:rFonts w:ascii="Garamond" w:eastAsia="Times New Roman" w:hAnsi="Garamond" w:cs="Times New Roman"/>
                <w:color w:val="000000"/>
                <w:sz w:val="10"/>
                <w:szCs w:val="10"/>
              </w:rPr>
              <w:br/>
              <w:t xml:space="preserve">3. Pezullimi/vonesa e mbledhjes, prodhimit </w:t>
            </w:r>
            <w:r w:rsidR="00F667B8" w:rsidRPr="00B31292">
              <w:rPr>
                <w:rFonts w:ascii="Garamond" w:eastAsia="Times New Roman" w:hAnsi="Garamond" w:cs="Times New Roman"/>
                <w:color w:val="000000"/>
                <w:sz w:val="10"/>
                <w:szCs w:val="10"/>
              </w:rPr>
              <w:t>dhe shpërndarjes së statistikave zyrtare si pasojë e fatkeqësive natyrore/ pandemive globale</w:t>
            </w:r>
            <w:r w:rsidR="007A799B"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-|- 1</w:t>
            </w:r>
          </w:p>
        </w:tc>
        <w:tc>
          <w:tcPr>
            <w:tcW w:w="273" w:type="pct"/>
            <w:vMerge w:val="restart"/>
            <w:tcBorders>
              <w:top w:val="nil"/>
              <w:left w:val="single" w:sz="4" w:space="0" w:color="auto"/>
              <w:bottom w:val="single" w:sz="4" w:space="0" w:color="000000"/>
              <w:right w:val="single" w:sz="4" w:space="0" w:color="auto"/>
            </w:tcBorders>
            <w:shd w:val="clear" w:color="auto" w:fill="auto"/>
            <w:vAlign w:val="center"/>
            <w:hideMark/>
          </w:tcPr>
          <w:p w14:paraId="7986FC6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Buxhet shteti</w:t>
            </w:r>
          </w:p>
        </w:tc>
      </w:tr>
      <w:tr w:rsidR="000A2254" w:rsidRPr="00B31292" w14:paraId="026DDF20" w14:textId="77777777" w:rsidTr="000A2254">
        <w:trPr>
          <w:trHeight w:val="20"/>
        </w:trPr>
        <w:tc>
          <w:tcPr>
            <w:tcW w:w="215" w:type="pct"/>
            <w:tcBorders>
              <w:top w:val="nil"/>
              <w:left w:val="nil"/>
              <w:bottom w:val="nil"/>
              <w:right w:val="nil"/>
            </w:tcBorders>
            <w:shd w:val="clear" w:color="000000" w:fill="FFFFFF"/>
            <w:vAlign w:val="bottom"/>
            <w:hideMark/>
          </w:tcPr>
          <w:p w14:paraId="18CE65D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4125D1D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62F095D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42B1972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31FF72A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2FDF3EB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vMerge/>
            <w:tcBorders>
              <w:top w:val="single" w:sz="4" w:space="0" w:color="auto"/>
              <w:left w:val="single" w:sz="4" w:space="0" w:color="auto"/>
              <w:bottom w:val="single" w:sz="4" w:space="0" w:color="000000"/>
              <w:right w:val="single" w:sz="4" w:space="0" w:color="auto"/>
            </w:tcBorders>
            <w:vAlign w:val="center"/>
            <w:hideMark/>
          </w:tcPr>
          <w:p w14:paraId="2275296D"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81" w:type="pct"/>
            <w:vMerge/>
            <w:tcBorders>
              <w:top w:val="nil"/>
              <w:left w:val="single" w:sz="4" w:space="0" w:color="auto"/>
              <w:bottom w:val="single" w:sz="4" w:space="0" w:color="000000"/>
              <w:right w:val="single" w:sz="4" w:space="0" w:color="auto"/>
            </w:tcBorders>
            <w:vAlign w:val="center"/>
            <w:hideMark/>
          </w:tcPr>
          <w:p w14:paraId="03C3109F" w14:textId="77777777" w:rsidR="000A2254" w:rsidRPr="00B31292" w:rsidRDefault="000A2254" w:rsidP="000A2254">
            <w:pPr>
              <w:spacing w:after="0" w:line="240" w:lineRule="auto"/>
              <w:rPr>
                <w:rFonts w:ascii="Garamond" w:eastAsia="Times New Roman" w:hAnsi="Garamond" w:cs="Times New Roman"/>
                <w:sz w:val="10"/>
                <w:szCs w:val="10"/>
              </w:rPr>
            </w:pPr>
          </w:p>
        </w:tc>
        <w:tc>
          <w:tcPr>
            <w:tcW w:w="236" w:type="pct"/>
            <w:vMerge/>
            <w:tcBorders>
              <w:top w:val="nil"/>
              <w:left w:val="single" w:sz="4" w:space="0" w:color="auto"/>
              <w:bottom w:val="single" w:sz="4" w:space="0" w:color="000000"/>
              <w:right w:val="single" w:sz="4" w:space="0" w:color="auto"/>
            </w:tcBorders>
            <w:vAlign w:val="center"/>
            <w:hideMark/>
          </w:tcPr>
          <w:p w14:paraId="6D6144F4" w14:textId="77777777" w:rsidR="000A2254" w:rsidRPr="00B31292" w:rsidRDefault="000A2254" w:rsidP="000A2254">
            <w:pPr>
              <w:spacing w:after="0" w:line="240" w:lineRule="auto"/>
              <w:rPr>
                <w:rFonts w:ascii="Garamond" w:eastAsia="Times New Roman" w:hAnsi="Garamond" w:cs="Times New Roman"/>
                <w:sz w:val="10"/>
                <w:szCs w:val="10"/>
              </w:rPr>
            </w:pPr>
          </w:p>
        </w:tc>
        <w:tc>
          <w:tcPr>
            <w:tcW w:w="238" w:type="pct"/>
            <w:vMerge/>
            <w:tcBorders>
              <w:top w:val="nil"/>
              <w:left w:val="single" w:sz="4" w:space="0" w:color="auto"/>
              <w:bottom w:val="single" w:sz="4" w:space="0" w:color="000000"/>
              <w:right w:val="single" w:sz="4" w:space="0" w:color="auto"/>
            </w:tcBorders>
            <w:vAlign w:val="center"/>
            <w:hideMark/>
          </w:tcPr>
          <w:p w14:paraId="479F3063" w14:textId="77777777" w:rsidR="000A2254" w:rsidRPr="00B31292" w:rsidRDefault="000A2254" w:rsidP="000A2254">
            <w:pPr>
              <w:spacing w:after="0" w:line="240" w:lineRule="auto"/>
              <w:rPr>
                <w:rFonts w:ascii="Garamond" w:eastAsia="Times New Roman" w:hAnsi="Garamond" w:cs="Times New Roman"/>
                <w:sz w:val="10"/>
                <w:szCs w:val="10"/>
              </w:rPr>
            </w:pPr>
          </w:p>
        </w:tc>
        <w:tc>
          <w:tcPr>
            <w:tcW w:w="180" w:type="pct"/>
            <w:vMerge/>
            <w:tcBorders>
              <w:top w:val="nil"/>
              <w:left w:val="single" w:sz="4" w:space="0" w:color="auto"/>
              <w:bottom w:val="single" w:sz="4" w:space="0" w:color="000000"/>
              <w:right w:val="single" w:sz="4" w:space="0" w:color="auto"/>
            </w:tcBorders>
            <w:vAlign w:val="center"/>
            <w:hideMark/>
          </w:tcPr>
          <w:p w14:paraId="41102799" w14:textId="77777777" w:rsidR="000A2254" w:rsidRPr="00B31292" w:rsidRDefault="000A2254" w:rsidP="000A2254">
            <w:pPr>
              <w:spacing w:after="0" w:line="240" w:lineRule="auto"/>
              <w:rPr>
                <w:rFonts w:ascii="Garamond" w:eastAsia="Times New Roman" w:hAnsi="Garamond" w:cs="Times New Roman"/>
                <w:sz w:val="10"/>
                <w:szCs w:val="10"/>
              </w:rPr>
            </w:pPr>
          </w:p>
        </w:tc>
        <w:tc>
          <w:tcPr>
            <w:tcW w:w="228" w:type="pct"/>
            <w:vMerge/>
            <w:tcBorders>
              <w:top w:val="nil"/>
              <w:left w:val="single" w:sz="4" w:space="0" w:color="auto"/>
              <w:bottom w:val="single" w:sz="4" w:space="0" w:color="000000"/>
              <w:right w:val="single" w:sz="4" w:space="0" w:color="auto"/>
            </w:tcBorders>
            <w:vAlign w:val="center"/>
            <w:hideMark/>
          </w:tcPr>
          <w:p w14:paraId="23CBE60F"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22" w:type="pct"/>
            <w:vMerge/>
            <w:tcBorders>
              <w:top w:val="single" w:sz="4" w:space="0" w:color="auto"/>
              <w:left w:val="single" w:sz="4" w:space="0" w:color="auto"/>
              <w:bottom w:val="single" w:sz="4" w:space="0" w:color="000000"/>
              <w:right w:val="single" w:sz="4" w:space="0" w:color="auto"/>
            </w:tcBorders>
            <w:vAlign w:val="center"/>
            <w:hideMark/>
          </w:tcPr>
          <w:p w14:paraId="6045A03E"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486" w:type="pct"/>
            <w:tcBorders>
              <w:top w:val="single" w:sz="4" w:space="0" w:color="auto"/>
              <w:left w:val="nil"/>
              <w:bottom w:val="nil"/>
              <w:right w:val="single" w:sz="4" w:space="0" w:color="auto"/>
            </w:tcBorders>
            <w:shd w:val="clear" w:color="auto" w:fill="auto"/>
            <w:vAlign w:val="center"/>
            <w:hideMark/>
          </w:tcPr>
          <w:p w14:paraId="6A215FB6" w14:textId="53EE3C2A"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22. Numri i shtretërve spitalor (këto tregues janë vlefshëm sipër spitalet dhe </w:t>
            </w:r>
            <w:r w:rsidR="007A799B" w:rsidRPr="00B31292">
              <w:rPr>
                <w:rFonts w:ascii="Garamond" w:eastAsia="Times New Roman" w:hAnsi="Garamond" w:cs="Times New Roman"/>
                <w:color w:val="000000"/>
                <w:sz w:val="10"/>
                <w:szCs w:val="10"/>
              </w:rPr>
              <w:t xml:space="preserve">për </w:t>
            </w:r>
            <w:r w:rsidRPr="00B31292">
              <w:rPr>
                <w:rFonts w:ascii="Garamond" w:eastAsia="Times New Roman" w:hAnsi="Garamond" w:cs="Times New Roman"/>
                <w:color w:val="000000"/>
                <w:sz w:val="10"/>
                <w:szCs w:val="10"/>
              </w:rPr>
              <w:t>shtëpitë e lindjes)</w:t>
            </w:r>
            <w:r w:rsidR="007A799B" w:rsidRPr="00B31292">
              <w:rPr>
                <w:rFonts w:ascii="Garamond" w:eastAsia="Times New Roman" w:hAnsi="Garamond" w:cs="Times New Roman"/>
                <w:color w:val="000000"/>
                <w:sz w:val="10"/>
                <w:szCs w:val="10"/>
              </w:rPr>
              <w:t>.</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23. Të shtruar në spitale total dhe sipas specialite</w:t>
            </w:r>
            <w:r w:rsidR="00FD245C" w:rsidRPr="00B31292">
              <w:rPr>
                <w:rFonts w:ascii="Garamond" w:eastAsia="Times New Roman" w:hAnsi="Garamond" w:cs="Times New Roman"/>
                <w:color w:val="000000"/>
                <w:sz w:val="10"/>
                <w:szCs w:val="10"/>
              </w:rPr>
              <w:t>te</w:t>
            </w:r>
            <w:r w:rsidRPr="00B31292">
              <w:rPr>
                <w:rFonts w:ascii="Garamond" w:eastAsia="Times New Roman" w:hAnsi="Garamond" w:cs="Times New Roman"/>
                <w:color w:val="000000"/>
                <w:sz w:val="10"/>
                <w:szCs w:val="10"/>
              </w:rPr>
              <w:t>ve</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24. Ditë qëndrimi mesatar</w:t>
            </w:r>
            <w:r w:rsidR="007A799B" w:rsidRPr="00B31292">
              <w:rPr>
                <w:rFonts w:ascii="Garamond" w:eastAsia="Times New Roman" w:hAnsi="Garamond" w:cs="Times New Roman"/>
                <w:color w:val="000000"/>
                <w:sz w:val="10"/>
                <w:szCs w:val="10"/>
              </w:rPr>
              <w:t>.</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r>
            <w:r w:rsidRPr="00B31292">
              <w:rPr>
                <w:rFonts w:ascii="Garamond" w:eastAsia="Times New Roman" w:hAnsi="Garamond" w:cs="Times New Roman"/>
                <w:color w:val="000000"/>
                <w:sz w:val="10"/>
                <w:szCs w:val="10"/>
              </w:rPr>
              <w:lastRenderedPageBreak/>
              <w:t>25. Ditë shtretër të realizuar</w:t>
            </w:r>
            <w:r w:rsidR="007A799B" w:rsidRPr="00B31292">
              <w:rPr>
                <w:rFonts w:ascii="Garamond" w:eastAsia="Times New Roman" w:hAnsi="Garamond" w:cs="Times New Roman"/>
                <w:color w:val="000000"/>
                <w:sz w:val="10"/>
                <w:szCs w:val="10"/>
              </w:rPr>
              <w:t>.</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26. Shfrytëzimi i shtratit në ditë</w:t>
            </w:r>
            <w:r w:rsidR="007A799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27. Xhiro e shtratit</w:t>
            </w:r>
            <w:r w:rsidR="007A799B" w:rsidRPr="00B31292">
              <w:rPr>
                <w:rFonts w:ascii="Garamond" w:eastAsia="Times New Roman" w:hAnsi="Garamond" w:cs="Times New Roman"/>
                <w:color w:val="000000"/>
                <w:sz w:val="10"/>
                <w:szCs w:val="10"/>
              </w:rPr>
              <w:t>.</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28. V</w:t>
            </w:r>
            <w:r w:rsidR="00FD245C"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Të sëmurë të operuar gjithsej</w:t>
            </w:r>
            <w:r w:rsidR="007A799B" w:rsidRPr="00B31292">
              <w:rPr>
                <w:rFonts w:ascii="Garamond" w:eastAsia="Times New Roman" w:hAnsi="Garamond" w:cs="Times New Roman"/>
                <w:color w:val="000000"/>
                <w:sz w:val="10"/>
                <w:szCs w:val="10"/>
              </w:rPr>
              <w:t>.</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29. Të dalë nga spitalet</w:t>
            </w:r>
            <w:r w:rsidR="007A799B" w:rsidRPr="00B31292">
              <w:rPr>
                <w:rFonts w:ascii="Garamond" w:eastAsia="Times New Roman" w:hAnsi="Garamond" w:cs="Times New Roman"/>
                <w:color w:val="000000"/>
                <w:sz w:val="10"/>
                <w:szCs w:val="10"/>
              </w:rPr>
              <w:t>.</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30. Lindur vdekur</w:t>
            </w:r>
            <w:r w:rsidR="007A799B" w:rsidRPr="00B31292">
              <w:rPr>
                <w:rFonts w:ascii="Garamond" w:eastAsia="Times New Roman" w:hAnsi="Garamond" w:cs="Times New Roman"/>
                <w:color w:val="000000"/>
                <w:sz w:val="10"/>
                <w:szCs w:val="10"/>
              </w:rPr>
              <w:t>.</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31. Vdekje në gra</w:t>
            </w:r>
            <w:r w:rsidR="007A799B" w:rsidRPr="00B31292">
              <w:rPr>
                <w:rFonts w:ascii="Garamond" w:eastAsia="Times New Roman" w:hAnsi="Garamond" w:cs="Times New Roman"/>
                <w:color w:val="000000"/>
                <w:sz w:val="10"/>
                <w:szCs w:val="10"/>
              </w:rPr>
              <w:t>.</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32. Abortet</w:t>
            </w:r>
            <w:r w:rsidR="007A799B" w:rsidRPr="00B31292">
              <w:rPr>
                <w:rFonts w:ascii="Garamond" w:eastAsia="Times New Roman" w:hAnsi="Garamond" w:cs="Times New Roman"/>
                <w:color w:val="000000"/>
                <w:sz w:val="10"/>
                <w:szCs w:val="10"/>
              </w:rPr>
              <w:t>.</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33. Numri i personave me aftësi të kufizuar</w:t>
            </w:r>
            <w:r w:rsidR="007A799B" w:rsidRPr="00B31292">
              <w:rPr>
                <w:rFonts w:ascii="Garamond" w:eastAsia="Times New Roman" w:hAnsi="Garamond" w:cs="Times New Roman"/>
                <w:color w:val="000000"/>
                <w:sz w:val="10"/>
                <w:szCs w:val="10"/>
              </w:rPr>
              <w:t>a.</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34. Numri i fëmijëve me aftësi të kufizuar</w:t>
            </w:r>
            <w:r w:rsidR="007A799B" w:rsidRPr="00B31292">
              <w:rPr>
                <w:rFonts w:ascii="Garamond" w:eastAsia="Times New Roman" w:hAnsi="Garamond" w:cs="Times New Roman"/>
                <w:color w:val="000000"/>
                <w:sz w:val="10"/>
                <w:szCs w:val="10"/>
              </w:rPr>
              <w:t>a.</w:t>
            </w:r>
            <w:r w:rsidRPr="00B31292">
              <w:rPr>
                <w:rFonts w:ascii="Garamond" w:eastAsia="Times New Roman" w:hAnsi="Garamond" w:cs="Times New Roman"/>
                <w:color w:val="000000"/>
                <w:sz w:val="10"/>
                <w:szCs w:val="10"/>
              </w:rPr>
              <w:br/>
              <w:t>35. Shpenzimet e qeverisë për shëndetësinë publike</w:t>
            </w:r>
            <w:r w:rsidR="007A799B" w:rsidRPr="00B31292">
              <w:rPr>
                <w:rFonts w:ascii="Garamond" w:eastAsia="Times New Roman" w:hAnsi="Garamond" w:cs="Times New Roman"/>
                <w:color w:val="000000"/>
                <w:sz w:val="10"/>
                <w:szCs w:val="10"/>
              </w:rPr>
              <w:t>.</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36. Përqindja e shpenzimeve për shëndetësinë publike ndaj totalit gjithsej të shpenzimeve dhe GDP-së</w:t>
            </w:r>
            <w:r w:rsidR="007A799B" w:rsidRPr="00B31292">
              <w:rPr>
                <w:rFonts w:ascii="Garamond" w:eastAsia="Times New Roman" w:hAnsi="Garamond" w:cs="Times New Roman"/>
                <w:color w:val="000000"/>
                <w:sz w:val="10"/>
                <w:szCs w:val="10"/>
              </w:rPr>
              <w:t>.</w:t>
            </w:r>
          </w:p>
        </w:tc>
        <w:tc>
          <w:tcPr>
            <w:tcW w:w="299" w:type="pct"/>
            <w:vMerge/>
            <w:tcBorders>
              <w:top w:val="nil"/>
              <w:left w:val="single" w:sz="4" w:space="0" w:color="auto"/>
              <w:bottom w:val="single" w:sz="4" w:space="0" w:color="000000"/>
              <w:right w:val="single" w:sz="4" w:space="0" w:color="auto"/>
            </w:tcBorders>
            <w:vAlign w:val="center"/>
            <w:hideMark/>
          </w:tcPr>
          <w:p w14:paraId="1D61A641"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24" w:type="pct"/>
            <w:vMerge/>
            <w:tcBorders>
              <w:top w:val="nil"/>
              <w:left w:val="single" w:sz="4" w:space="0" w:color="auto"/>
              <w:bottom w:val="single" w:sz="4" w:space="0" w:color="000000"/>
              <w:right w:val="single" w:sz="4" w:space="0" w:color="auto"/>
            </w:tcBorders>
            <w:vAlign w:val="center"/>
            <w:hideMark/>
          </w:tcPr>
          <w:p w14:paraId="4633DCFC"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44" w:type="pct"/>
            <w:vMerge/>
            <w:tcBorders>
              <w:top w:val="nil"/>
              <w:left w:val="single" w:sz="4" w:space="0" w:color="auto"/>
              <w:bottom w:val="single" w:sz="4" w:space="0" w:color="000000"/>
              <w:right w:val="single" w:sz="4" w:space="0" w:color="auto"/>
            </w:tcBorders>
            <w:vAlign w:val="center"/>
            <w:hideMark/>
          </w:tcPr>
          <w:p w14:paraId="4EB1936D"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20" w:type="pct"/>
            <w:vMerge/>
            <w:tcBorders>
              <w:top w:val="nil"/>
              <w:left w:val="single" w:sz="4" w:space="0" w:color="auto"/>
              <w:bottom w:val="single" w:sz="4" w:space="0" w:color="000000"/>
              <w:right w:val="single" w:sz="4" w:space="0" w:color="auto"/>
            </w:tcBorders>
            <w:vAlign w:val="center"/>
            <w:hideMark/>
          </w:tcPr>
          <w:p w14:paraId="0D719B4F"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20" w:type="pct"/>
            <w:vMerge/>
            <w:tcBorders>
              <w:top w:val="nil"/>
              <w:left w:val="single" w:sz="4" w:space="0" w:color="auto"/>
              <w:bottom w:val="single" w:sz="4" w:space="0" w:color="000000"/>
              <w:right w:val="single" w:sz="4" w:space="0" w:color="auto"/>
            </w:tcBorders>
            <w:vAlign w:val="center"/>
            <w:hideMark/>
          </w:tcPr>
          <w:p w14:paraId="5A5FEFF4"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346" w:type="pct"/>
            <w:vMerge/>
            <w:tcBorders>
              <w:top w:val="nil"/>
              <w:left w:val="single" w:sz="4" w:space="0" w:color="auto"/>
              <w:bottom w:val="single" w:sz="4" w:space="0" w:color="000000"/>
              <w:right w:val="single" w:sz="4" w:space="0" w:color="auto"/>
            </w:tcBorders>
            <w:vAlign w:val="center"/>
            <w:hideMark/>
          </w:tcPr>
          <w:p w14:paraId="2D853DB5"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73" w:type="pct"/>
            <w:vMerge/>
            <w:tcBorders>
              <w:top w:val="nil"/>
              <w:left w:val="single" w:sz="4" w:space="0" w:color="auto"/>
              <w:bottom w:val="single" w:sz="4" w:space="0" w:color="000000"/>
              <w:right w:val="single" w:sz="4" w:space="0" w:color="auto"/>
            </w:tcBorders>
            <w:vAlign w:val="center"/>
            <w:hideMark/>
          </w:tcPr>
          <w:p w14:paraId="6B9D08F7"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r>
      <w:tr w:rsidR="000A2254" w:rsidRPr="00B31292" w14:paraId="06AD0D72" w14:textId="77777777" w:rsidTr="000A2254">
        <w:trPr>
          <w:trHeight w:val="20"/>
        </w:trPr>
        <w:tc>
          <w:tcPr>
            <w:tcW w:w="215" w:type="pct"/>
            <w:tcBorders>
              <w:top w:val="nil"/>
              <w:left w:val="nil"/>
              <w:bottom w:val="nil"/>
              <w:right w:val="nil"/>
            </w:tcBorders>
            <w:shd w:val="clear" w:color="000000" w:fill="FFFFFF"/>
            <w:vAlign w:val="bottom"/>
            <w:hideMark/>
          </w:tcPr>
          <w:p w14:paraId="4C15779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6E9A833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38A9139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4961B20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single" w:sz="4" w:space="0" w:color="000000"/>
              <w:left w:val="single" w:sz="4" w:space="0" w:color="000000"/>
              <w:bottom w:val="single" w:sz="4" w:space="0" w:color="000000"/>
              <w:right w:val="nil"/>
            </w:tcBorders>
            <w:shd w:val="clear" w:color="000000" w:fill="F0F0F0"/>
            <w:vAlign w:val="center"/>
            <w:hideMark/>
          </w:tcPr>
          <w:p w14:paraId="43F730B3"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1.4.2 </w:t>
            </w:r>
          </w:p>
        </w:tc>
        <w:tc>
          <w:tcPr>
            <w:tcW w:w="4082" w:type="pct"/>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7D14166B" w14:textId="03EDC07C"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Statistika të </w:t>
            </w:r>
            <w:r w:rsidR="00F667B8" w:rsidRPr="00B31292">
              <w:rPr>
                <w:rFonts w:ascii="Garamond" w:eastAsia="Times New Roman" w:hAnsi="Garamond" w:cs="Times New Roman"/>
                <w:color w:val="000000"/>
                <w:sz w:val="10"/>
                <w:szCs w:val="10"/>
              </w:rPr>
              <w:t>shëndetit dhe sigurisë në punë</w:t>
            </w:r>
          </w:p>
        </w:tc>
      </w:tr>
      <w:tr w:rsidR="000A2254" w:rsidRPr="00B31292" w14:paraId="2B630005" w14:textId="77777777" w:rsidTr="000A2254">
        <w:trPr>
          <w:trHeight w:val="20"/>
        </w:trPr>
        <w:tc>
          <w:tcPr>
            <w:tcW w:w="215" w:type="pct"/>
            <w:tcBorders>
              <w:top w:val="nil"/>
              <w:left w:val="nil"/>
              <w:bottom w:val="nil"/>
              <w:right w:val="nil"/>
            </w:tcBorders>
            <w:shd w:val="clear" w:color="000000" w:fill="FFFFFF"/>
            <w:vAlign w:val="bottom"/>
            <w:hideMark/>
          </w:tcPr>
          <w:p w14:paraId="37E98A9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15764A8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7614D83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18B73C9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489BACA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173AF63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auto"/>
              <w:bottom w:val="single" w:sz="4" w:space="0" w:color="auto"/>
              <w:right w:val="single" w:sz="4" w:space="0" w:color="auto"/>
            </w:tcBorders>
            <w:shd w:val="clear" w:color="000000" w:fill="FFFFFF"/>
            <w:vAlign w:val="center"/>
            <w:hideMark/>
          </w:tcPr>
          <w:p w14:paraId="4C05096E"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1.4.2.1</w:t>
            </w:r>
          </w:p>
        </w:tc>
        <w:tc>
          <w:tcPr>
            <w:tcW w:w="281" w:type="pct"/>
            <w:tcBorders>
              <w:top w:val="nil"/>
              <w:left w:val="nil"/>
              <w:bottom w:val="single" w:sz="4" w:space="0" w:color="auto"/>
              <w:right w:val="single" w:sz="4" w:space="0" w:color="auto"/>
            </w:tcBorders>
            <w:shd w:val="clear" w:color="000000" w:fill="FFFFFF"/>
            <w:vAlign w:val="center"/>
            <w:hideMark/>
          </w:tcPr>
          <w:p w14:paraId="78478C30" w14:textId="7900F2AC"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xml:space="preserve">Statistikat e </w:t>
            </w:r>
            <w:r w:rsidR="00F667B8" w:rsidRPr="00B31292">
              <w:rPr>
                <w:rFonts w:ascii="Garamond" w:eastAsia="Times New Roman" w:hAnsi="Garamond" w:cs="Times New Roman"/>
                <w:sz w:val="10"/>
                <w:szCs w:val="10"/>
              </w:rPr>
              <w:t>shëndetit dhe sigurisë në punë</w:t>
            </w:r>
          </w:p>
        </w:tc>
        <w:tc>
          <w:tcPr>
            <w:tcW w:w="236" w:type="pct"/>
            <w:tcBorders>
              <w:top w:val="nil"/>
              <w:left w:val="nil"/>
              <w:bottom w:val="single" w:sz="4" w:space="0" w:color="auto"/>
              <w:right w:val="single" w:sz="4" w:space="0" w:color="auto"/>
            </w:tcBorders>
            <w:shd w:val="clear" w:color="000000" w:fill="FFFFFF"/>
            <w:vAlign w:val="center"/>
            <w:hideMark/>
          </w:tcPr>
          <w:p w14:paraId="6BD9F55C"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Burim administrativ</w:t>
            </w:r>
          </w:p>
        </w:tc>
        <w:tc>
          <w:tcPr>
            <w:tcW w:w="238" w:type="pct"/>
            <w:tcBorders>
              <w:top w:val="nil"/>
              <w:left w:val="nil"/>
              <w:bottom w:val="single" w:sz="4" w:space="0" w:color="auto"/>
              <w:right w:val="single" w:sz="4" w:space="0" w:color="auto"/>
            </w:tcBorders>
            <w:shd w:val="clear" w:color="000000" w:fill="FFFFFF"/>
            <w:noWrap/>
            <w:vAlign w:val="center"/>
            <w:hideMark/>
          </w:tcPr>
          <w:p w14:paraId="23A6C83B"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180" w:type="pct"/>
            <w:tcBorders>
              <w:top w:val="nil"/>
              <w:left w:val="nil"/>
              <w:bottom w:val="single" w:sz="4" w:space="0" w:color="auto"/>
              <w:right w:val="single" w:sz="4" w:space="0" w:color="auto"/>
            </w:tcBorders>
            <w:shd w:val="clear" w:color="000000" w:fill="FFFFFF"/>
            <w:noWrap/>
            <w:vAlign w:val="center"/>
            <w:hideMark/>
          </w:tcPr>
          <w:p w14:paraId="505C3202"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28" w:type="pct"/>
            <w:tcBorders>
              <w:top w:val="nil"/>
              <w:left w:val="nil"/>
              <w:bottom w:val="single" w:sz="4" w:space="0" w:color="auto"/>
              <w:right w:val="single" w:sz="4" w:space="0" w:color="auto"/>
            </w:tcBorders>
            <w:shd w:val="clear" w:color="000000" w:fill="FFFFFF"/>
            <w:vAlign w:val="center"/>
            <w:hideMark/>
          </w:tcPr>
          <w:p w14:paraId="7BF767D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tcBorders>
              <w:top w:val="nil"/>
              <w:left w:val="nil"/>
              <w:bottom w:val="nil"/>
              <w:right w:val="single" w:sz="4" w:space="0" w:color="000000"/>
            </w:tcBorders>
            <w:shd w:val="clear" w:color="000000" w:fill="FFFFFF"/>
            <w:vAlign w:val="center"/>
            <w:hideMark/>
          </w:tcPr>
          <w:p w14:paraId="5D58942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Vjetor</w:t>
            </w:r>
          </w:p>
        </w:tc>
        <w:tc>
          <w:tcPr>
            <w:tcW w:w="486" w:type="pct"/>
            <w:tcBorders>
              <w:top w:val="nil"/>
              <w:left w:val="nil"/>
              <w:bottom w:val="nil"/>
              <w:right w:val="single" w:sz="4" w:space="0" w:color="auto"/>
            </w:tcBorders>
            <w:shd w:val="clear" w:color="000000" w:fill="FFFFFF"/>
            <w:vAlign w:val="center"/>
            <w:hideMark/>
          </w:tcPr>
          <w:p w14:paraId="2A377FCB" w14:textId="346AB0B0"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Statistika të shëndetit dhe sigurisë në punë</w:t>
            </w:r>
            <w:r w:rsidR="00F667B8" w:rsidRPr="00B31292">
              <w:rPr>
                <w:rFonts w:ascii="Garamond" w:eastAsia="Times New Roman" w:hAnsi="Garamond" w:cs="Times New Roman"/>
                <w:color w:val="000000"/>
                <w:sz w:val="10"/>
                <w:szCs w:val="10"/>
              </w:rPr>
              <w:t>.</w:t>
            </w:r>
          </w:p>
        </w:tc>
        <w:tc>
          <w:tcPr>
            <w:tcW w:w="299" w:type="pct"/>
            <w:tcBorders>
              <w:top w:val="nil"/>
              <w:left w:val="nil"/>
              <w:bottom w:val="nil"/>
              <w:right w:val="single" w:sz="4" w:space="0" w:color="auto"/>
            </w:tcBorders>
            <w:shd w:val="clear" w:color="000000" w:fill="FFFFFF"/>
            <w:vAlign w:val="center"/>
            <w:hideMark/>
          </w:tcPr>
          <w:p w14:paraId="2E2E655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Instituti i Sigurimeve Shoqërore</w:t>
            </w:r>
          </w:p>
        </w:tc>
        <w:tc>
          <w:tcPr>
            <w:tcW w:w="224" w:type="pct"/>
            <w:tcBorders>
              <w:top w:val="nil"/>
              <w:left w:val="nil"/>
              <w:bottom w:val="nil"/>
              <w:right w:val="single" w:sz="4" w:space="0" w:color="auto"/>
            </w:tcBorders>
            <w:shd w:val="clear" w:color="000000" w:fill="FFFFFF"/>
            <w:vAlign w:val="center"/>
            <w:hideMark/>
          </w:tcPr>
          <w:p w14:paraId="44F379B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p>
        </w:tc>
        <w:tc>
          <w:tcPr>
            <w:tcW w:w="244" w:type="pct"/>
            <w:tcBorders>
              <w:top w:val="nil"/>
              <w:left w:val="nil"/>
              <w:bottom w:val="single" w:sz="4" w:space="0" w:color="auto"/>
              <w:right w:val="single" w:sz="4" w:space="0" w:color="auto"/>
            </w:tcBorders>
            <w:shd w:val="clear" w:color="000000" w:fill="FFFFFF"/>
            <w:vAlign w:val="center"/>
            <w:hideMark/>
          </w:tcPr>
          <w:p w14:paraId="4B919F59"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Dita e 180 e V</w:t>
            </w:r>
          </w:p>
        </w:tc>
        <w:tc>
          <w:tcPr>
            <w:tcW w:w="220" w:type="pct"/>
            <w:tcBorders>
              <w:top w:val="nil"/>
              <w:left w:val="nil"/>
              <w:bottom w:val="single" w:sz="4" w:space="0" w:color="auto"/>
              <w:right w:val="single" w:sz="4" w:space="0" w:color="auto"/>
            </w:tcBorders>
            <w:shd w:val="clear" w:color="000000" w:fill="FFFFFF"/>
            <w:vAlign w:val="center"/>
            <w:hideMark/>
          </w:tcPr>
          <w:p w14:paraId="2C9AFDD0"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Dita e 210 e V</w:t>
            </w:r>
          </w:p>
        </w:tc>
        <w:tc>
          <w:tcPr>
            <w:tcW w:w="220" w:type="pct"/>
            <w:tcBorders>
              <w:top w:val="nil"/>
              <w:left w:val="nil"/>
              <w:bottom w:val="single" w:sz="4" w:space="0" w:color="auto"/>
              <w:right w:val="single" w:sz="4" w:space="0" w:color="auto"/>
            </w:tcBorders>
            <w:shd w:val="clear" w:color="000000" w:fill="FFFFFF"/>
            <w:vAlign w:val="center"/>
            <w:hideMark/>
          </w:tcPr>
          <w:p w14:paraId="5107DE4B"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V+150 D</w:t>
            </w:r>
          </w:p>
        </w:tc>
        <w:tc>
          <w:tcPr>
            <w:tcW w:w="346" w:type="pct"/>
            <w:tcBorders>
              <w:top w:val="nil"/>
              <w:left w:val="nil"/>
              <w:bottom w:val="single" w:sz="4" w:space="0" w:color="auto"/>
              <w:right w:val="single" w:sz="4" w:space="0" w:color="auto"/>
            </w:tcBorders>
            <w:shd w:val="clear" w:color="000000" w:fill="FFFFFF"/>
            <w:vAlign w:val="center"/>
            <w:hideMark/>
          </w:tcPr>
          <w:p w14:paraId="35E7B2E5" w14:textId="2585A50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Vonesa në procesin e grumbullimit të të dhënave nga burimet administrative -|- 3</w:t>
            </w:r>
            <w:r w:rsidRPr="00B31292">
              <w:rPr>
                <w:rFonts w:ascii="Garamond" w:eastAsia="Times New Roman" w:hAnsi="Garamond" w:cs="Times New Roman"/>
                <w:color w:val="000000"/>
                <w:sz w:val="10"/>
                <w:szCs w:val="10"/>
              </w:rPr>
              <w:br/>
              <w:t>2. Mospërmbushja e</w:t>
            </w:r>
            <w:r w:rsidR="003E16E0" w:rsidRPr="00B31292">
              <w:rPr>
                <w:rFonts w:ascii="Garamond" w:eastAsia="Times New Roman" w:hAnsi="Garamond" w:cs="Times New Roman"/>
                <w:color w:val="000000"/>
                <w:sz w:val="10"/>
                <w:szCs w:val="10"/>
              </w:rPr>
              <w:t xml:space="preserve"> </w:t>
            </w:r>
            <w:r w:rsidR="00F667B8" w:rsidRPr="00B31292">
              <w:rPr>
                <w:rFonts w:ascii="Garamond" w:eastAsia="Times New Roman" w:hAnsi="Garamond" w:cs="Times New Roman"/>
                <w:color w:val="000000"/>
                <w:sz w:val="10"/>
                <w:szCs w:val="10"/>
              </w:rPr>
              <w:t>kritereve të cilësisë, si:</w:t>
            </w:r>
            <w:r w:rsidRPr="00B31292">
              <w:rPr>
                <w:rFonts w:ascii="Garamond" w:eastAsia="Times New Roman" w:hAnsi="Garamond" w:cs="Times New Roman"/>
                <w:color w:val="000000"/>
                <w:sz w:val="10"/>
                <w:szCs w:val="10"/>
              </w:rPr>
              <w:t xml:space="preserve"> saktësia, përpikmëria dhe krahasueshmëria, për të dhënat administrative/vrojtimet statistikore -|- 3</w:t>
            </w:r>
            <w:r w:rsidRPr="00B31292">
              <w:rPr>
                <w:rFonts w:ascii="Garamond" w:eastAsia="Times New Roman" w:hAnsi="Garamond" w:cs="Times New Roman"/>
                <w:color w:val="000000"/>
                <w:sz w:val="10"/>
                <w:szCs w:val="10"/>
              </w:rPr>
              <w:br/>
              <w:t xml:space="preserve">3. Pezullimi/vonesa e mbledhjes, prodhimit </w:t>
            </w:r>
            <w:r w:rsidR="00F667B8" w:rsidRPr="00B31292">
              <w:rPr>
                <w:rFonts w:ascii="Garamond" w:eastAsia="Times New Roman" w:hAnsi="Garamond" w:cs="Times New Roman"/>
                <w:color w:val="000000"/>
                <w:sz w:val="10"/>
                <w:szCs w:val="10"/>
              </w:rPr>
              <w:t>dhe shpërndarjes së statistikave zyrtare si pasojë e fatkeqësive natyrore/ pandemive globale</w:t>
            </w:r>
            <w:r w:rsidRPr="00B31292">
              <w:rPr>
                <w:rFonts w:ascii="Garamond" w:eastAsia="Times New Roman" w:hAnsi="Garamond" w:cs="Times New Roman"/>
                <w:color w:val="000000"/>
                <w:sz w:val="10"/>
                <w:szCs w:val="10"/>
              </w:rPr>
              <w:t xml:space="preserve"> -|- 1</w:t>
            </w:r>
          </w:p>
        </w:tc>
        <w:tc>
          <w:tcPr>
            <w:tcW w:w="273" w:type="pct"/>
            <w:tcBorders>
              <w:top w:val="nil"/>
              <w:left w:val="nil"/>
              <w:bottom w:val="nil"/>
              <w:right w:val="single" w:sz="4" w:space="0" w:color="auto"/>
            </w:tcBorders>
            <w:shd w:val="clear" w:color="000000" w:fill="FFFFFF"/>
            <w:vAlign w:val="center"/>
            <w:hideMark/>
          </w:tcPr>
          <w:p w14:paraId="14C6D84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Buxhet shteti</w:t>
            </w:r>
          </w:p>
        </w:tc>
      </w:tr>
      <w:tr w:rsidR="000A2254" w:rsidRPr="00B31292" w14:paraId="79F89CAA" w14:textId="77777777" w:rsidTr="000A2254">
        <w:trPr>
          <w:trHeight w:val="20"/>
        </w:trPr>
        <w:tc>
          <w:tcPr>
            <w:tcW w:w="215" w:type="pct"/>
            <w:tcBorders>
              <w:top w:val="nil"/>
              <w:left w:val="nil"/>
              <w:bottom w:val="nil"/>
              <w:right w:val="nil"/>
            </w:tcBorders>
            <w:shd w:val="clear" w:color="000000" w:fill="FFFFFF"/>
            <w:vAlign w:val="bottom"/>
            <w:hideMark/>
          </w:tcPr>
          <w:p w14:paraId="1004817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17E71D7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single" w:sz="4" w:space="0" w:color="000000"/>
              <w:left w:val="single" w:sz="4" w:space="0" w:color="000000"/>
              <w:bottom w:val="single" w:sz="4" w:space="0" w:color="000000"/>
              <w:right w:val="nil"/>
            </w:tcBorders>
            <w:shd w:val="clear" w:color="000000" w:fill="F0F0F0"/>
            <w:vAlign w:val="center"/>
            <w:hideMark/>
          </w:tcPr>
          <w:p w14:paraId="18629F19"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1.5</w:t>
            </w:r>
          </w:p>
        </w:tc>
        <w:tc>
          <w:tcPr>
            <w:tcW w:w="4416" w:type="pct"/>
            <w:gridSpan w:val="18"/>
            <w:tcBorders>
              <w:top w:val="single" w:sz="4" w:space="0" w:color="auto"/>
              <w:left w:val="single" w:sz="4" w:space="0" w:color="auto"/>
              <w:bottom w:val="single" w:sz="4" w:space="0" w:color="auto"/>
              <w:right w:val="single" w:sz="4" w:space="0" w:color="auto"/>
            </w:tcBorders>
            <w:shd w:val="clear" w:color="000000" w:fill="F0F0F0"/>
            <w:vAlign w:val="center"/>
            <w:hideMark/>
          </w:tcPr>
          <w:p w14:paraId="1A7E4A6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Të ardhurat dhe shpenzimet e konsumit </w:t>
            </w:r>
          </w:p>
        </w:tc>
      </w:tr>
      <w:tr w:rsidR="000A2254" w:rsidRPr="00B31292" w14:paraId="4199EA10" w14:textId="77777777" w:rsidTr="000A2254">
        <w:trPr>
          <w:trHeight w:val="20"/>
        </w:trPr>
        <w:tc>
          <w:tcPr>
            <w:tcW w:w="215" w:type="pct"/>
            <w:tcBorders>
              <w:top w:val="nil"/>
              <w:left w:val="nil"/>
              <w:bottom w:val="nil"/>
              <w:right w:val="nil"/>
            </w:tcBorders>
            <w:shd w:val="clear" w:color="000000" w:fill="FFFFFF"/>
            <w:vAlign w:val="bottom"/>
            <w:hideMark/>
          </w:tcPr>
          <w:p w14:paraId="519F2AC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623817D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1CF751E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570DA04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single" w:sz="4" w:space="0" w:color="000000"/>
              <w:bottom w:val="single" w:sz="4" w:space="0" w:color="000000"/>
              <w:right w:val="nil"/>
            </w:tcBorders>
            <w:shd w:val="clear" w:color="000000" w:fill="F0F0F0"/>
            <w:vAlign w:val="center"/>
            <w:hideMark/>
          </w:tcPr>
          <w:p w14:paraId="40CA6E5A"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1.5.1</w:t>
            </w:r>
          </w:p>
        </w:tc>
        <w:tc>
          <w:tcPr>
            <w:tcW w:w="4082" w:type="pct"/>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30F85321" w14:textId="65B7724A"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Statistikat e </w:t>
            </w:r>
            <w:r w:rsidR="00F667B8" w:rsidRPr="00B31292">
              <w:rPr>
                <w:rFonts w:ascii="Garamond" w:eastAsia="Times New Roman" w:hAnsi="Garamond" w:cs="Times New Roman"/>
                <w:color w:val="000000"/>
                <w:sz w:val="10"/>
                <w:szCs w:val="10"/>
              </w:rPr>
              <w:t>k</w:t>
            </w:r>
            <w:r w:rsidRPr="00B31292">
              <w:rPr>
                <w:rFonts w:ascii="Garamond" w:eastAsia="Times New Roman" w:hAnsi="Garamond" w:cs="Times New Roman"/>
                <w:color w:val="000000"/>
                <w:sz w:val="10"/>
                <w:szCs w:val="10"/>
              </w:rPr>
              <w:t xml:space="preserve">onsumit </w:t>
            </w:r>
          </w:p>
        </w:tc>
      </w:tr>
      <w:tr w:rsidR="000A2254" w:rsidRPr="00B31292" w14:paraId="6159FA16" w14:textId="77777777" w:rsidTr="000A2254">
        <w:trPr>
          <w:trHeight w:val="20"/>
        </w:trPr>
        <w:tc>
          <w:tcPr>
            <w:tcW w:w="215" w:type="pct"/>
            <w:tcBorders>
              <w:top w:val="nil"/>
              <w:left w:val="nil"/>
              <w:bottom w:val="nil"/>
              <w:right w:val="nil"/>
            </w:tcBorders>
            <w:shd w:val="clear" w:color="000000" w:fill="FFFFFF"/>
            <w:vAlign w:val="bottom"/>
            <w:hideMark/>
          </w:tcPr>
          <w:p w14:paraId="48B52FD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69F8541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76BFF20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3CB46B9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7090DF5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00D5EC9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000000"/>
              <w:bottom w:val="nil"/>
              <w:right w:val="single" w:sz="4" w:space="0" w:color="000000"/>
            </w:tcBorders>
            <w:shd w:val="clear" w:color="000000" w:fill="FFFFFF"/>
            <w:vAlign w:val="center"/>
            <w:hideMark/>
          </w:tcPr>
          <w:p w14:paraId="29E350BA"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1.5.1.1</w:t>
            </w:r>
          </w:p>
        </w:tc>
        <w:tc>
          <w:tcPr>
            <w:tcW w:w="281" w:type="pct"/>
            <w:tcBorders>
              <w:top w:val="nil"/>
              <w:left w:val="nil"/>
              <w:bottom w:val="nil"/>
              <w:right w:val="single" w:sz="4" w:space="0" w:color="000000"/>
            </w:tcBorders>
            <w:shd w:val="clear" w:color="000000" w:fill="FFFFFF"/>
            <w:vAlign w:val="center"/>
            <w:hideMark/>
          </w:tcPr>
          <w:p w14:paraId="109CB58F" w14:textId="087EDEA1"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xml:space="preserve">Statistika nga </w:t>
            </w:r>
            <w:r w:rsidR="00F667B8" w:rsidRPr="00B31292">
              <w:rPr>
                <w:rFonts w:ascii="Garamond" w:eastAsia="Times New Roman" w:hAnsi="Garamond" w:cs="Times New Roman"/>
                <w:sz w:val="10"/>
                <w:szCs w:val="10"/>
              </w:rPr>
              <w:t>vrojtimi i buxhetit të familjes</w:t>
            </w:r>
          </w:p>
        </w:tc>
        <w:tc>
          <w:tcPr>
            <w:tcW w:w="236" w:type="pct"/>
            <w:tcBorders>
              <w:top w:val="nil"/>
              <w:left w:val="nil"/>
              <w:bottom w:val="nil"/>
              <w:right w:val="single" w:sz="4" w:space="0" w:color="000000"/>
            </w:tcBorders>
            <w:shd w:val="clear" w:color="000000" w:fill="FFFFFF"/>
            <w:vAlign w:val="center"/>
            <w:hideMark/>
          </w:tcPr>
          <w:p w14:paraId="66EDE096"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Vrojtim</w:t>
            </w:r>
          </w:p>
        </w:tc>
        <w:tc>
          <w:tcPr>
            <w:tcW w:w="238" w:type="pct"/>
            <w:tcBorders>
              <w:top w:val="nil"/>
              <w:left w:val="nil"/>
              <w:bottom w:val="single" w:sz="4" w:space="0" w:color="auto"/>
              <w:right w:val="single" w:sz="4" w:space="0" w:color="auto"/>
            </w:tcBorders>
            <w:shd w:val="clear" w:color="000000" w:fill="FFFFFF"/>
            <w:noWrap/>
            <w:vAlign w:val="center"/>
            <w:hideMark/>
          </w:tcPr>
          <w:p w14:paraId="4ECDD470"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180" w:type="pct"/>
            <w:tcBorders>
              <w:top w:val="nil"/>
              <w:left w:val="nil"/>
              <w:bottom w:val="single" w:sz="4" w:space="0" w:color="auto"/>
              <w:right w:val="single" w:sz="4" w:space="0" w:color="auto"/>
            </w:tcBorders>
            <w:shd w:val="clear" w:color="000000" w:fill="FFFFFF"/>
            <w:noWrap/>
            <w:vAlign w:val="center"/>
            <w:hideMark/>
          </w:tcPr>
          <w:p w14:paraId="495BAB19"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228" w:type="pct"/>
            <w:tcBorders>
              <w:top w:val="nil"/>
              <w:left w:val="nil"/>
              <w:bottom w:val="single" w:sz="4" w:space="0" w:color="auto"/>
              <w:right w:val="single" w:sz="4" w:space="0" w:color="auto"/>
            </w:tcBorders>
            <w:shd w:val="clear" w:color="000000" w:fill="FFFFFF"/>
            <w:vAlign w:val="center"/>
            <w:hideMark/>
          </w:tcPr>
          <w:p w14:paraId="5CBFB2D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tcBorders>
              <w:top w:val="nil"/>
              <w:left w:val="nil"/>
              <w:bottom w:val="nil"/>
              <w:right w:val="single" w:sz="4" w:space="0" w:color="000000"/>
            </w:tcBorders>
            <w:shd w:val="clear" w:color="000000" w:fill="FFFFFF"/>
            <w:vAlign w:val="center"/>
            <w:hideMark/>
          </w:tcPr>
          <w:p w14:paraId="413C333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Vjetor</w:t>
            </w:r>
          </w:p>
        </w:tc>
        <w:tc>
          <w:tcPr>
            <w:tcW w:w="486" w:type="pct"/>
            <w:tcBorders>
              <w:top w:val="nil"/>
              <w:left w:val="nil"/>
              <w:bottom w:val="nil"/>
              <w:right w:val="single" w:sz="4" w:space="0" w:color="auto"/>
            </w:tcBorders>
            <w:shd w:val="clear" w:color="000000" w:fill="FFFFFF"/>
            <w:vAlign w:val="center"/>
            <w:hideMark/>
          </w:tcPr>
          <w:p w14:paraId="3D85109B" w14:textId="63C9C27E"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Struktura e shpenzimeve mesatare mujore të NjEF</w:t>
            </w:r>
            <w:r w:rsidR="00F667B8" w:rsidRPr="00B31292">
              <w:rPr>
                <w:rFonts w:ascii="Garamond" w:eastAsia="Times New Roman" w:hAnsi="Garamond" w:cs="Times New Roman"/>
                <w:color w:val="000000"/>
                <w:sz w:val="10"/>
                <w:szCs w:val="10"/>
              </w:rPr>
              <w:t>-ve</w:t>
            </w:r>
            <w:r w:rsidRPr="00B31292">
              <w:rPr>
                <w:rFonts w:ascii="Garamond" w:eastAsia="Times New Roman" w:hAnsi="Garamond" w:cs="Times New Roman"/>
                <w:color w:val="000000"/>
                <w:sz w:val="10"/>
                <w:szCs w:val="10"/>
              </w:rPr>
              <w:t xml:space="preserve"> sipas 12 grupeve kryesore për konsum</w:t>
            </w:r>
            <w:r w:rsidR="00F667B8"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 Struktura e shpenzimeve mesatare vjetore të NjEF</w:t>
            </w:r>
            <w:r w:rsidR="00F667B8" w:rsidRPr="00B31292">
              <w:rPr>
                <w:rFonts w:ascii="Garamond" w:eastAsia="Times New Roman" w:hAnsi="Garamond" w:cs="Times New Roman"/>
                <w:color w:val="000000"/>
                <w:sz w:val="10"/>
                <w:szCs w:val="10"/>
              </w:rPr>
              <w:t>-ve</w:t>
            </w:r>
            <w:r w:rsidRPr="00B31292">
              <w:rPr>
                <w:rFonts w:ascii="Garamond" w:eastAsia="Times New Roman" w:hAnsi="Garamond" w:cs="Times New Roman"/>
                <w:color w:val="000000"/>
                <w:sz w:val="10"/>
                <w:szCs w:val="10"/>
              </w:rPr>
              <w:t xml:space="preserve"> sipas 12 grupeve kryesore për konsum</w:t>
            </w:r>
            <w:r w:rsidR="00F667B8"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 Struktura e shpenzimeve mesatare mujore të NjEF</w:t>
            </w:r>
            <w:r w:rsidR="00F667B8" w:rsidRPr="00B31292">
              <w:rPr>
                <w:rFonts w:ascii="Garamond" w:eastAsia="Times New Roman" w:hAnsi="Garamond" w:cs="Times New Roman"/>
                <w:color w:val="000000"/>
                <w:sz w:val="10"/>
                <w:szCs w:val="10"/>
              </w:rPr>
              <w:t>-ve</w:t>
            </w:r>
            <w:r w:rsidRPr="00B31292">
              <w:rPr>
                <w:rFonts w:ascii="Garamond" w:eastAsia="Times New Roman" w:hAnsi="Garamond" w:cs="Times New Roman"/>
                <w:color w:val="000000"/>
                <w:sz w:val="10"/>
                <w:szCs w:val="10"/>
              </w:rPr>
              <w:t xml:space="preserve"> sipas 12 grupeve kryesore për konsum dhe nivelit të arsimit të kryefamiljarit</w:t>
            </w:r>
            <w:r w:rsidR="00F667B8"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4. Struktura e shpenzimeve mesatare mujore të NjEF</w:t>
            </w:r>
            <w:r w:rsidR="00F667B8" w:rsidRPr="00B31292">
              <w:rPr>
                <w:rFonts w:ascii="Garamond" w:eastAsia="Times New Roman" w:hAnsi="Garamond" w:cs="Times New Roman"/>
                <w:color w:val="000000"/>
                <w:sz w:val="10"/>
                <w:szCs w:val="10"/>
              </w:rPr>
              <w:t>-ve</w:t>
            </w:r>
            <w:r w:rsidRPr="00B31292">
              <w:rPr>
                <w:rFonts w:ascii="Garamond" w:eastAsia="Times New Roman" w:hAnsi="Garamond" w:cs="Times New Roman"/>
                <w:color w:val="000000"/>
                <w:sz w:val="10"/>
                <w:szCs w:val="10"/>
              </w:rPr>
              <w:t xml:space="preserve"> sipas 12 grupeve kryesore për konsum dhe grup</w:t>
            </w:r>
            <w:r w:rsidR="00F667B8"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moshës së kryefamiljarit</w:t>
            </w:r>
            <w:r w:rsidR="00F667B8"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5. Struktura e shpenzimeve mesatare mujore sipas 12 grupeve kryesore për konsum të NjEF</w:t>
            </w:r>
            <w:r w:rsidR="00F667B8" w:rsidRPr="00B31292">
              <w:rPr>
                <w:rFonts w:ascii="Garamond" w:eastAsia="Times New Roman" w:hAnsi="Garamond" w:cs="Times New Roman"/>
                <w:color w:val="000000"/>
                <w:sz w:val="10"/>
                <w:szCs w:val="10"/>
              </w:rPr>
              <w:t>-ve</w:t>
            </w:r>
            <w:r w:rsidRPr="00B31292">
              <w:rPr>
                <w:rFonts w:ascii="Garamond" w:eastAsia="Times New Roman" w:hAnsi="Garamond" w:cs="Times New Roman"/>
                <w:color w:val="000000"/>
                <w:sz w:val="10"/>
                <w:szCs w:val="10"/>
              </w:rPr>
              <w:t xml:space="preserve"> sipas klasave të </w:t>
            </w:r>
            <w:r w:rsidR="00F667B8" w:rsidRPr="00B31292">
              <w:rPr>
                <w:rFonts w:ascii="Garamond" w:eastAsia="Times New Roman" w:hAnsi="Garamond" w:cs="Times New Roman"/>
                <w:color w:val="000000"/>
                <w:sz w:val="10"/>
                <w:szCs w:val="10"/>
              </w:rPr>
              <w:t>kuintalëve.</w:t>
            </w:r>
            <w:r w:rsidRPr="00B31292">
              <w:rPr>
                <w:rFonts w:ascii="Garamond" w:eastAsia="Times New Roman" w:hAnsi="Garamond" w:cs="Times New Roman"/>
                <w:color w:val="000000"/>
                <w:sz w:val="10"/>
                <w:szCs w:val="10"/>
              </w:rPr>
              <w:br/>
              <w:t>6. Struktura e shpenzimeve mesatare mujore të NjEF</w:t>
            </w:r>
            <w:r w:rsidR="00F667B8" w:rsidRPr="00B31292">
              <w:rPr>
                <w:rFonts w:ascii="Garamond" w:eastAsia="Times New Roman" w:hAnsi="Garamond" w:cs="Times New Roman"/>
                <w:color w:val="000000"/>
                <w:sz w:val="10"/>
                <w:szCs w:val="10"/>
              </w:rPr>
              <w:t>-ve</w:t>
            </w:r>
            <w:r w:rsidRPr="00B31292">
              <w:rPr>
                <w:rFonts w:ascii="Garamond" w:eastAsia="Times New Roman" w:hAnsi="Garamond" w:cs="Times New Roman"/>
                <w:color w:val="000000"/>
                <w:sz w:val="10"/>
                <w:szCs w:val="10"/>
              </w:rPr>
              <w:t xml:space="preserve"> sipas 12 grupeve kryesore për konsum dhe tipologjisë së NjEF</w:t>
            </w:r>
            <w:r w:rsidR="00F667B8" w:rsidRPr="00B31292">
              <w:rPr>
                <w:rFonts w:ascii="Garamond" w:eastAsia="Times New Roman" w:hAnsi="Garamond" w:cs="Times New Roman"/>
                <w:color w:val="000000"/>
                <w:sz w:val="10"/>
                <w:szCs w:val="10"/>
              </w:rPr>
              <w:t>-ve.</w:t>
            </w:r>
            <w:r w:rsidRPr="00B31292">
              <w:rPr>
                <w:rFonts w:ascii="Garamond" w:eastAsia="Times New Roman" w:hAnsi="Garamond" w:cs="Times New Roman"/>
                <w:color w:val="000000"/>
                <w:sz w:val="10"/>
                <w:szCs w:val="10"/>
              </w:rPr>
              <w:br/>
              <w:t xml:space="preserve">7. Struktura e shpenzimeve </w:t>
            </w:r>
            <w:r w:rsidRPr="00B31292">
              <w:rPr>
                <w:rFonts w:ascii="Garamond" w:eastAsia="Times New Roman" w:hAnsi="Garamond" w:cs="Times New Roman"/>
                <w:color w:val="000000"/>
                <w:sz w:val="10"/>
                <w:szCs w:val="10"/>
              </w:rPr>
              <w:lastRenderedPageBreak/>
              <w:t>mesatare mujore të NjEF</w:t>
            </w:r>
            <w:r w:rsidR="00F667B8" w:rsidRPr="00B31292">
              <w:rPr>
                <w:rFonts w:ascii="Garamond" w:eastAsia="Times New Roman" w:hAnsi="Garamond" w:cs="Times New Roman"/>
                <w:color w:val="000000"/>
                <w:sz w:val="10"/>
                <w:szCs w:val="10"/>
              </w:rPr>
              <w:t>-ve</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sipas 12 grupeve kryesore për konsum sipas madhësisë së NjEF</w:t>
            </w:r>
            <w:r w:rsidR="00F667B8" w:rsidRPr="00B31292">
              <w:rPr>
                <w:rFonts w:ascii="Garamond" w:eastAsia="Times New Roman" w:hAnsi="Garamond" w:cs="Times New Roman"/>
                <w:color w:val="000000"/>
                <w:sz w:val="10"/>
                <w:szCs w:val="10"/>
              </w:rPr>
              <w:t>-ve.</w:t>
            </w:r>
            <w:r w:rsidRPr="00B31292">
              <w:rPr>
                <w:rFonts w:ascii="Garamond" w:eastAsia="Times New Roman" w:hAnsi="Garamond" w:cs="Times New Roman"/>
                <w:color w:val="000000"/>
                <w:sz w:val="10"/>
                <w:szCs w:val="10"/>
              </w:rPr>
              <w:br/>
              <w:t>8. Shpërndarja e NjEF</w:t>
            </w:r>
            <w:r w:rsidR="00F667B8" w:rsidRPr="00B31292">
              <w:rPr>
                <w:rFonts w:ascii="Garamond" w:eastAsia="Times New Roman" w:hAnsi="Garamond" w:cs="Times New Roman"/>
                <w:color w:val="000000"/>
                <w:sz w:val="10"/>
                <w:szCs w:val="10"/>
              </w:rPr>
              <w:t>-ve</w:t>
            </w:r>
            <w:r w:rsidRPr="00B31292">
              <w:rPr>
                <w:rFonts w:ascii="Garamond" w:eastAsia="Times New Roman" w:hAnsi="Garamond" w:cs="Times New Roman"/>
                <w:color w:val="000000"/>
                <w:sz w:val="10"/>
                <w:szCs w:val="10"/>
              </w:rPr>
              <w:t xml:space="preserve"> sipas llojit të banesës</w:t>
            </w:r>
            <w:r w:rsidR="00F667B8"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9. Shpërndarja e NjEF</w:t>
            </w:r>
            <w:r w:rsidR="00F667B8" w:rsidRPr="00B31292">
              <w:rPr>
                <w:rFonts w:ascii="Garamond" w:eastAsia="Times New Roman" w:hAnsi="Garamond" w:cs="Times New Roman"/>
                <w:color w:val="000000"/>
                <w:sz w:val="10"/>
                <w:szCs w:val="10"/>
              </w:rPr>
              <w:t>-ve</w:t>
            </w:r>
            <w:r w:rsidRPr="00B31292">
              <w:rPr>
                <w:rFonts w:ascii="Garamond" w:eastAsia="Times New Roman" w:hAnsi="Garamond" w:cs="Times New Roman"/>
                <w:color w:val="000000"/>
                <w:sz w:val="10"/>
                <w:szCs w:val="10"/>
              </w:rPr>
              <w:t xml:space="preserve"> sipas pronësisë së banesës</w:t>
            </w:r>
            <w:r w:rsidR="00F667B8"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10. Shpërndarja e NjEF</w:t>
            </w:r>
            <w:r w:rsidR="00F667B8" w:rsidRPr="00B31292">
              <w:rPr>
                <w:rFonts w:ascii="Garamond" w:eastAsia="Times New Roman" w:hAnsi="Garamond" w:cs="Times New Roman"/>
                <w:color w:val="000000"/>
                <w:sz w:val="10"/>
                <w:szCs w:val="10"/>
              </w:rPr>
              <w:t>-ve</w:t>
            </w:r>
            <w:r w:rsidRPr="00B31292">
              <w:rPr>
                <w:rFonts w:ascii="Garamond" w:eastAsia="Times New Roman" w:hAnsi="Garamond" w:cs="Times New Roman"/>
                <w:color w:val="000000"/>
                <w:sz w:val="10"/>
                <w:szCs w:val="10"/>
              </w:rPr>
              <w:t xml:space="preserve"> sipas sipërfaqes së përdorur për banim</w:t>
            </w:r>
            <w:r w:rsidR="00F667B8"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11. Shpërndarja e NjEF</w:t>
            </w:r>
            <w:r w:rsidR="00F667B8" w:rsidRPr="00B31292">
              <w:rPr>
                <w:rFonts w:ascii="Garamond" w:eastAsia="Times New Roman" w:hAnsi="Garamond" w:cs="Times New Roman"/>
                <w:color w:val="000000"/>
                <w:sz w:val="10"/>
                <w:szCs w:val="10"/>
              </w:rPr>
              <w:t>-ve</w:t>
            </w:r>
            <w:r w:rsidRPr="00B31292">
              <w:rPr>
                <w:rFonts w:ascii="Garamond" w:eastAsia="Times New Roman" w:hAnsi="Garamond" w:cs="Times New Roman"/>
                <w:color w:val="000000"/>
                <w:sz w:val="10"/>
                <w:szCs w:val="10"/>
              </w:rPr>
              <w:t xml:space="preserve"> sipas mënyrës së ngrohjes</w:t>
            </w:r>
            <w:r w:rsidR="00F667B8"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12. Shpërndarja e NjEF</w:t>
            </w:r>
            <w:r w:rsidR="00F667B8" w:rsidRPr="00B31292">
              <w:rPr>
                <w:rFonts w:ascii="Garamond" w:eastAsia="Times New Roman" w:hAnsi="Garamond" w:cs="Times New Roman"/>
                <w:color w:val="000000"/>
                <w:sz w:val="10"/>
                <w:szCs w:val="10"/>
              </w:rPr>
              <w:t>-ve</w:t>
            </w:r>
            <w:r w:rsidRPr="00B31292">
              <w:rPr>
                <w:rFonts w:ascii="Garamond" w:eastAsia="Times New Roman" w:hAnsi="Garamond" w:cs="Times New Roman"/>
                <w:color w:val="000000"/>
                <w:sz w:val="10"/>
                <w:szCs w:val="10"/>
              </w:rPr>
              <w:t xml:space="preserve"> sipas zotërimit të pajisjeve afatgjata</w:t>
            </w:r>
            <w:r w:rsidR="00F667B8"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13. Shpenzimet mesatare mujore për konsum të NjEF</w:t>
            </w:r>
            <w:r w:rsidR="00F667B8" w:rsidRPr="00B31292">
              <w:rPr>
                <w:rFonts w:ascii="Garamond" w:eastAsia="Times New Roman" w:hAnsi="Garamond" w:cs="Times New Roman"/>
                <w:color w:val="000000"/>
                <w:sz w:val="10"/>
                <w:szCs w:val="10"/>
              </w:rPr>
              <w:t>-ve</w:t>
            </w:r>
            <w:r w:rsidRPr="00B31292">
              <w:rPr>
                <w:rFonts w:ascii="Garamond" w:eastAsia="Times New Roman" w:hAnsi="Garamond" w:cs="Times New Roman"/>
                <w:color w:val="000000"/>
                <w:sz w:val="10"/>
                <w:szCs w:val="10"/>
              </w:rPr>
              <w:t xml:space="preserve"> sipas qarqeve</w:t>
            </w:r>
            <w:r w:rsidR="00F667B8"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14. Struktura e shpenzimeve mesatare mujore sipas 12 grupeve kryesore për konsum të NjEF</w:t>
            </w:r>
            <w:r w:rsidR="00F667B8" w:rsidRPr="00B31292">
              <w:rPr>
                <w:rFonts w:ascii="Garamond" w:eastAsia="Times New Roman" w:hAnsi="Garamond" w:cs="Times New Roman"/>
                <w:color w:val="000000"/>
                <w:sz w:val="10"/>
                <w:szCs w:val="10"/>
              </w:rPr>
              <w:t>-ve</w:t>
            </w:r>
            <w:r w:rsidRPr="00B31292">
              <w:rPr>
                <w:rFonts w:ascii="Garamond" w:eastAsia="Times New Roman" w:hAnsi="Garamond" w:cs="Times New Roman"/>
                <w:color w:val="000000"/>
                <w:sz w:val="10"/>
                <w:szCs w:val="10"/>
              </w:rPr>
              <w:t xml:space="preserve"> dhe sipas qarqeve</w:t>
            </w:r>
            <w:r w:rsidR="00F667B8"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15. Shpenzimet mesatare mujore</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për konsum sipas qarqeve dhe sipas arsimit të kryefamiljarit</w:t>
            </w:r>
            <w:r w:rsidR="00F667B8"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16. Shpenzimet mesatare mujore</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për konsum sipas qarqeve dhe sipas tipologjisë së NjEF</w:t>
            </w:r>
            <w:r w:rsidR="00F667B8" w:rsidRPr="00B31292">
              <w:rPr>
                <w:rFonts w:ascii="Garamond" w:eastAsia="Times New Roman" w:hAnsi="Garamond" w:cs="Times New Roman"/>
                <w:color w:val="000000"/>
                <w:sz w:val="10"/>
                <w:szCs w:val="10"/>
              </w:rPr>
              <w:t>-ve.</w:t>
            </w:r>
            <w:r w:rsidRPr="00B31292">
              <w:rPr>
                <w:rFonts w:ascii="Garamond" w:eastAsia="Times New Roman" w:hAnsi="Garamond" w:cs="Times New Roman"/>
                <w:color w:val="000000"/>
                <w:sz w:val="10"/>
                <w:szCs w:val="10"/>
              </w:rPr>
              <w:br/>
              <w:t>17. Shpenzimet mesatare mujore për konsum sipas qarqeve dhe sipas madhësisë së NjEF</w:t>
            </w:r>
            <w:r w:rsidR="00F667B8" w:rsidRPr="00B31292">
              <w:rPr>
                <w:rFonts w:ascii="Garamond" w:eastAsia="Times New Roman" w:hAnsi="Garamond" w:cs="Times New Roman"/>
                <w:color w:val="000000"/>
                <w:sz w:val="10"/>
                <w:szCs w:val="10"/>
              </w:rPr>
              <w:t>-ve.</w:t>
            </w:r>
            <w:r w:rsidRPr="00B31292">
              <w:rPr>
                <w:rFonts w:ascii="Garamond" w:eastAsia="Times New Roman" w:hAnsi="Garamond" w:cs="Times New Roman"/>
                <w:color w:val="000000"/>
                <w:sz w:val="10"/>
                <w:szCs w:val="10"/>
              </w:rPr>
              <w:br/>
              <w:t>18. Shpërndarja e familjeve sipas zotërimit të pajisjeve afatgjatë dhe qarqeve</w:t>
            </w:r>
            <w:r w:rsidR="00F667B8"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19. Burimet kryesore të ngrohjes sipas qarqeve</w:t>
            </w:r>
            <w:r w:rsidR="00F667B8"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20. Shpërndarja e familjeve sipas sipërfaqes së përdorur për banim dhe qarqeve</w:t>
            </w:r>
            <w:r w:rsidR="00F667B8" w:rsidRPr="00B31292">
              <w:rPr>
                <w:rFonts w:ascii="Garamond" w:eastAsia="Times New Roman" w:hAnsi="Garamond" w:cs="Times New Roman"/>
                <w:color w:val="000000"/>
                <w:sz w:val="10"/>
                <w:szCs w:val="10"/>
              </w:rPr>
              <w:t>.</w:t>
            </w:r>
          </w:p>
        </w:tc>
        <w:tc>
          <w:tcPr>
            <w:tcW w:w="299" w:type="pct"/>
            <w:tcBorders>
              <w:top w:val="nil"/>
              <w:left w:val="nil"/>
              <w:bottom w:val="nil"/>
              <w:right w:val="single" w:sz="4" w:space="0" w:color="auto"/>
            </w:tcBorders>
            <w:shd w:val="clear" w:color="000000" w:fill="FFFFFF"/>
            <w:vAlign w:val="center"/>
            <w:hideMark/>
          </w:tcPr>
          <w:p w14:paraId="34DAE56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lastRenderedPageBreak/>
              <w:t>Instituti i Statistikave</w:t>
            </w:r>
          </w:p>
        </w:tc>
        <w:tc>
          <w:tcPr>
            <w:tcW w:w="224" w:type="pct"/>
            <w:tcBorders>
              <w:top w:val="nil"/>
              <w:left w:val="nil"/>
              <w:bottom w:val="nil"/>
              <w:right w:val="single" w:sz="4" w:space="0" w:color="auto"/>
            </w:tcBorders>
            <w:shd w:val="clear" w:color="000000" w:fill="FFFFFF"/>
            <w:vAlign w:val="center"/>
            <w:hideMark/>
          </w:tcPr>
          <w:p w14:paraId="4CA03547" w14:textId="77EB9529"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F667B8" w:rsidRPr="00B31292">
              <w:rPr>
                <w:rFonts w:ascii="Garamond" w:eastAsia="Times New Roman" w:hAnsi="Garamond" w:cs="Times New Roman"/>
                <w:color w:val="000000"/>
                <w:sz w:val="10"/>
                <w:szCs w:val="10"/>
              </w:rPr>
              <w:t>-i</w:t>
            </w:r>
          </w:p>
        </w:tc>
        <w:tc>
          <w:tcPr>
            <w:tcW w:w="244" w:type="pct"/>
            <w:tcBorders>
              <w:top w:val="nil"/>
              <w:left w:val="nil"/>
              <w:bottom w:val="single" w:sz="4" w:space="0" w:color="auto"/>
              <w:right w:val="single" w:sz="4" w:space="0" w:color="auto"/>
            </w:tcBorders>
            <w:shd w:val="clear" w:color="000000" w:fill="FFFFFF"/>
            <w:vAlign w:val="center"/>
            <w:hideMark/>
          </w:tcPr>
          <w:p w14:paraId="3928C4DA"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 V+ 9D</w:t>
            </w:r>
          </w:p>
        </w:tc>
        <w:tc>
          <w:tcPr>
            <w:tcW w:w="220" w:type="pct"/>
            <w:tcBorders>
              <w:top w:val="nil"/>
              <w:left w:val="nil"/>
              <w:bottom w:val="single" w:sz="4" w:space="0" w:color="auto"/>
              <w:right w:val="single" w:sz="4" w:space="0" w:color="auto"/>
            </w:tcBorders>
            <w:shd w:val="clear" w:color="000000" w:fill="FFFFFF"/>
            <w:vAlign w:val="center"/>
            <w:hideMark/>
          </w:tcPr>
          <w:p w14:paraId="6C14B3C9"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 V+ 263D</w:t>
            </w:r>
          </w:p>
        </w:tc>
        <w:tc>
          <w:tcPr>
            <w:tcW w:w="220" w:type="pct"/>
            <w:tcBorders>
              <w:top w:val="nil"/>
              <w:left w:val="nil"/>
              <w:bottom w:val="single" w:sz="4" w:space="0" w:color="auto"/>
              <w:right w:val="single" w:sz="4" w:space="0" w:color="auto"/>
            </w:tcBorders>
            <w:shd w:val="clear" w:color="000000" w:fill="FFFFFF"/>
            <w:vAlign w:val="center"/>
            <w:hideMark/>
          </w:tcPr>
          <w:p w14:paraId="714228FE"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 V+ 278D</w:t>
            </w:r>
          </w:p>
        </w:tc>
        <w:tc>
          <w:tcPr>
            <w:tcW w:w="346" w:type="pct"/>
            <w:tcBorders>
              <w:top w:val="nil"/>
              <w:left w:val="nil"/>
              <w:bottom w:val="single" w:sz="4" w:space="0" w:color="auto"/>
              <w:right w:val="single" w:sz="4" w:space="0" w:color="auto"/>
            </w:tcBorders>
            <w:shd w:val="clear" w:color="000000" w:fill="FFFFFF"/>
            <w:vAlign w:val="center"/>
            <w:hideMark/>
          </w:tcPr>
          <w:p w14:paraId="122B8599" w14:textId="35855BE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Ardhja e pyetësorëve me vonesë në INSTAT -|- 6</w:t>
            </w:r>
            <w:r w:rsidRPr="00B31292">
              <w:rPr>
                <w:rFonts w:ascii="Garamond" w:eastAsia="Times New Roman" w:hAnsi="Garamond" w:cs="Times New Roman"/>
                <w:color w:val="000000"/>
                <w:sz w:val="10"/>
                <w:szCs w:val="10"/>
              </w:rPr>
              <w:br/>
              <w:t>2. Dorëheqjet e anketuesve gjatë periudhës së mbledhjes së të dhënave -|- 6</w:t>
            </w:r>
            <w:r w:rsidRPr="00B31292">
              <w:rPr>
                <w:rFonts w:ascii="Garamond" w:eastAsia="Times New Roman" w:hAnsi="Garamond" w:cs="Times New Roman"/>
                <w:color w:val="000000"/>
                <w:sz w:val="10"/>
                <w:szCs w:val="10"/>
              </w:rPr>
              <w:br/>
              <w:t>3. Vonesa në kontrollin dhe hedhjen e të dhënave -|- 6</w:t>
            </w:r>
            <w:r w:rsidRPr="00B31292">
              <w:rPr>
                <w:rFonts w:ascii="Garamond" w:eastAsia="Times New Roman" w:hAnsi="Garamond" w:cs="Times New Roman"/>
                <w:color w:val="000000"/>
                <w:sz w:val="10"/>
                <w:szCs w:val="10"/>
              </w:rPr>
              <w:br/>
              <w:t xml:space="preserve">4. Moskryerja e </w:t>
            </w:r>
            <w:r w:rsidRPr="00B31292">
              <w:rPr>
                <w:rFonts w:ascii="Garamond" w:eastAsia="Times New Roman" w:hAnsi="Garamond" w:cs="Times New Roman"/>
                <w:i/>
                <w:iCs/>
                <w:color w:val="000000"/>
                <w:sz w:val="10"/>
                <w:szCs w:val="10"/>
              </w:rPr>
              <w:t>batch</w:t>
            </w:r>
            <w:r w:rsidRPr="00B31292">
              <w:rPr>
                <w:rFonts w:ascii="Garamond" w:eastAsia="Times New Roman" w:hAnsi="Garamond" w:cs="Times New Roman"/>
                <w:color w:val="000000"/>
                <w:sz w:val="10"/>
                <w:szCs w:val="10"/>
              </w:rPr>
              <w:t>-ve për çdo PSU të mbyllur nga operatori me qëllim kontrollin dhe verif</w:t>
            </w:r>
            <w:r w:rsidR="00FD245C" w:rsidRPr="00B31292">
              <w:rPr>
                <w:rFonts w:ascii="Garamond" w:eastAsia="Times New Roman" w:hAnsi="Garamond" w:cs="Times New Roman"/>
                <w:color w:val="000000"/>
                <w:sz w:val="10"/>
                <w:szCs w:val="10"/>
              </w:rPr>
              <w:t>i</w:t>
            </w:r>
            <w:r w:rsidRPr="00B31292">
              <w:rPr>
                <w:rFonts w:ascii="Garamond" w:eastAsia="Times New Roman" w:hAnsi="Garamond" w:cs="Times New Roman"/>
                <w:color w:val="000000"/>
                <w:sz w:val="10"/>
                <w:szCs w:val="10"/>
              </w:rPr>
              <w:t>kimin në kohë -|- 6</w:t>
            </w:r>
            <w:r w:rsidRPr="00B31292">
              <w:rPr>
                <w:rFonts w:ascii="Garamond" w:eastAsia="Times New Roman" w:hAnsi="Garamond" w:cs="Times New Roman"/>
                <w:color w:val="000000"/>
                <w:sz w:val="10"/>
                <w:szCs w:val="10"/>
              </w:rPr>
              <w:br/>
              <w:t xml:space="preserve">5. Pezullimi/vonesa e mbledhjes, prodhimit dhe shpërndarjes së statistikave zyrtare si pasojë e Fatkeqësive natyrore/ Pandemi </w:t>
            </w:r>
            <w:r w:rsidRPr="00B31292">
              <w:rPr>
                <w:rFonts w:ascii="Garamond" w:eastAsia="Times New Roman" w:hAnsi="Garamond" w:cs="Times New Roman"/>
                <w:color w:val="000000"/>
                <w:sz w:val="10"/>
                <w:szCs w:val="10"/>
              </w:rPr>
              <w:lastRenderedPageBreak/>
              <w:t>Globale -|- 6</w:t>
            </w:r>
            <w:r w:rsidRPr="00B31292">
              <w:rPr>
                <w:rFonts w:ascii="Garamond" w:eastAsia="Times New Roman" w:hAnsi="Garamond" w:cs="Times New Roman"/>
                <w:color w:val="000000"/>
                <w:sz w:val="10"/>
                <w:szCs w:val="10"/>
              </w:rPr>
              <w:br/>
              <w:t>6. Mospërmbushja e</w:t>
            </w:r>
            <w:r w:rsidR="003E16E0" w:rsidRPr="00B31292">
              <w:rPr>
                <w:rFonts w:ascii="Garamond" w:eastAsia="Times New Roman" w:hAnsi="Garamond" w:cs="Times New Roman"/>
                <w:color w:val="000000"/>
                <w:sz w:val="10"/>
                <w:szCs w:val="10"/>
              </w:rPr>
              <w:t xml:space="preserve"> </w:t>
            </w:r>
            <w:r w:rsidR="00F667B8" w:rsidRPr="00B31292">
              <w:rPr>
                <w:rFonts w:ascii="Garamond" w:eastAsia="Times New Roman" w:hAnsi="Garamond" w:cs="Times New Roman"/>
                <w:color w:val="000000"/>
                <w:sz w:val="10"/>
                <w:szCs w:val="10"/>
              </w:rPr>
              <w:t>kritereve të cilësisë, si:</w:t>
            </w:r>
            <w:r w:rsidRPr="00B31292">
              <w:rPr>
                <w:rFonts w:ascii="Garamond" w:eastAsia="Times New Roman" w:hAnsi="Garamond" w:cs="Times New Roman"/>
                <w:color w:val="000000"/>
                <w:sz w:val="10"/>
                <w:szCs w:val="10"/>
              </w:rPr>
              <w:t xml:space="preserve"> saktësia, përpikmëria dhe krahasueshmëria, në vrojtim -|- 6</w:t>
            </w:r>
          </w:p>
        </w:tc>
        <w:tc>
          <w:tcPr>
            <w:tcW w:w="273" w:type="pct"/>
            <w:tcBorders>
              <w:top w:val="nil"/>
              <w:left w:val="nil"/>
              <w:bottom w:val="single" w:sz="4" w:space="0" w:color="auto"/>
              <w:right w:val="single" w:sz="4" w:space="0" w:color="auto"/>
            </w:tcBorders>
            <w:shd w:val="clear" w:color="000000" w:fill="FFFFFF"/>
            <w:vAlign w:val="center"/>
            <w:hideMark/>
          </w:tcPr>
          <w:p w14:paraId="2AB0F2A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lastRenderedPageBreak/>
              <w:t>Buxhet shteti</w:t>
            </w:r>
          </w:p>
        </w:tc>
      </w:tr>
      <w:tr w:rsidR="000A2254" w:rsidRPr="00B31292" w14:paraId="4EB0B61C" w14:textId="77777777" w:rsidTr="000A2254">
        <w:trPr>
          <w:trHeight w:val="20"/>
        </w:trPr>
        <w:tc>
          <w:tcPr>
            <w:tcW w:w="215" w:type="pct"/>
            <w:tcBorders>
              <w:top w:val="nil"/>
              <w:left w:val="nil"/>
              <w:bottom w:val="nil"/>
              <w:right w:val="nil"/>
            </w:tcBorders>
            <w:shd w:val="clear" w:color="000000" w:fill="FFFFFF"/>
            <w:vAlign w:val="bottom"/>
            <w:hideMark/>
          </w:tcPr>
          <w:p w14:paraId="53DBFCC7"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397D2F8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1294B0E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6D53282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single" w:sz="4" w:space="0" w:color="000000"/>
              <w:left w:val="single" w:sz="4" w:space="0" w:color="000000"/>
              <w:bottom w:val="single" w:sz="4" w:space="0" w:color="000000"/>
              <w:right w:val="nil"/>
            </w:tcBorders>
            <w:shd w:val="clear" w:color="000000" w:fill="F0F0F0"/>
            <w:vAlign w:val="center"/>
            <w:hideMark/>
          </w:tcPr>
          <w:p w14:paraId="2A37DCF3"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1.5.2</w:t>
            </w:r>
          </w:p>
        </w:tc>
        <w:tc>
          <w:tcPr>
            <w:tcW w:w="4082" w:type="pct"/>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3C241119" w14:textId="3A18B6CA"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Të </w:t>
            </w:r>
            <w:r w:rsidR="00F667B8" w:rsidRPr="00B31292">
              <w:rPr>
                <w:rFonts w:ascii="Garamond" w:eastAsia="Times New Roman" w:hAnsi="Garamond" w:cs="Times New Roman"/>
                <w:color w:val="000000"/>
                <w:sz w:val="10"/>
                <w:szCs w:val="10"/>
              </w:rPr>
              <w:t>ardhurat, përfshirja sociale dhe niveli i jetesës</w:t>
            </w:r>
          </w:p>
        </w:tc>
      </w:tr>
      <w:tr w:rsidR="000A2254" w:rsidRPr="00B31292" w14:paraId="7626E5E6" w14:textId="77777777" w:rsidTr="000A2254">
        <w:trPr>
          <w:trHeight w:val="20"/>
        </w:trPr>
        <w:tc>
          <w:tcPr>
            <w:tcW w:w="215" w:type="pct"/>
            <w:tcBorders>
              <w:top w:val="nil"/>
              <w:left w:val="nil"/>
              <w:bottom w:val="nil"/>
              <w:right w:val="nil"/>
            </w:tcBorders>
            <w:shd w:val="clear" w:color="000000" w:fill="FFFFFF"/>
            <w:vAlign w:val="bottom"/>
            <w:hideMark/>
          </w:tcPr>
          <w:p w14:paraId="6C473BB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03C9E83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73DF5E9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5B3C154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2B082F2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74061BD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vMerge w:val="restart"/>
            <w:tcBorders>
              <w:top w:val="nil"/>
              <w:left w:val="single" w:sz="4" w:space="0" w:color="auto"/>
              <w:bottom w:val="single" w:sz="4" w:space="0" w:color="000000"/>
              <w:right w:val="single" w:sz="4" w:space="0" w:color="auto"/>
            </w:tcBorders>
            <w:shd w:val="clear" w:color="auto" w:fill="auto"/>
            <w:vAlign w:val="center"/>
            <w:hideMark/>
          </w:tcPr>
          <w:p w14:paraId="29673983"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1.5.2.1</w:t>
            </w:r>
          </w:p>
        </w:tc>
        <w:tc>
          <w:tcPr>
            <w:tcW w:w="281" w:type="pct"/>
            <w:vMerge w:val="restart"/>
            <w:tcBorders>
              <w:top w:val="nil"/>
              <w:left w:val="single" w:sz="4" w:space="0" w:color="auto"/>
              <w:bottom w:val="single" w:sz="4" w:space="0" w:color="000000"/>
              <w:right w:val="single" w:sz="4" w:space="0" w:color="auto"/>
            </w:tcBorders>
            <w:shd w:val="clear" w:color="auto" w:fill="auto"/>
            <w:vAlign w:val="center"/>
            <w:hideMark/>
          </w:tcPr>
          <w:p w14:paraId="78161CCB" w14:textId="0607866B"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xml:space="preserve">Vrojtimi i të </w:t>
            </w:r>
            <w:r w:rsidR="00F667B8" w:rsidRPr="00B31292">
              <w:rPr>
                <w:rFonts w:ascii="Garamond" w:eastAsia="Times New Roman" w:hAnsi="Garamond" w:cs="Times New Roman"/>
                <w:sz w:val="10"/>
                <w:szCs w:val="10"/>
              </w:rPr>
              <w:t>ardhurave dhe nivelit të jetesë</w:t>
            </w:r>
            <w:r w:rsidRPr="00B31292">
              <w:rPr>
                <w:rFonts w:ascii="Garamond" w:eastAsia="Times New Roman" w:hAnsi="Garamond" w:cs="Times New Roman"/>
                <w:sz w:val="10"/>
                <w:szCs w:val="10"/>
              </w:rPr>
              <w:t>s</w:t>
            </w:r>
          </w:p>
        </w:tc>
        <w:tc>
          <w:tcPr>
            <w:tcW w:w="236" w:type="pct"/>
            <w:vMerge w:val="restart"/>
            <w:tcBorders>
              <w:top w:val="nil"/>
              <w:left w:val="single" w:sz="4" w:space="0" w:color="auto"/>
              <w:bottom w:val="single" w:sz="4" w:space="0" w:color="000000"/>
              <w:right w:val="single" w:sz="4" w:space="0" w:color="auto"/>
            </w:tcBorders>
            <w:shd w:val="clear" w:color="auto" w:fill="auto"/>
            <w:vAlign w:val="center"/>
            <w:hideMark/>
          </w:tcPr>
          <w:p w14:paraId="035B9F85"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Vrojtim</w:t>
            </w:r>
          </w:p>
        </w:tc>
        <w:tc>
          <w:tcPr>
            <w:tcW w:w="23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D0369E3"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18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70208A0"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228" w:type="pct"/>
            <w:vMerge w:val="restart"/>
            <w:tcBorders>
              <w:top w:val="nil"/>
              <w:left w:val="single" w:sz="4" w:space="0" w:color="auto"/>
              <w:bottom w:val="single" w:sz="4" w:space="0" w:color="000000"/>
              <w:right w:val="single" w:sz="4" w:space="0" w:color="auto"/>
            </w:tcBorders>
            <w:shd w:val="clear" w:color="auto" w:fill="auto"/>
            <w:vAlign w:val="center"/>
            <w:hideMark/>
          </w:tcPr>
          <w:p w14:paraId="6411AFF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vMerge w:val="restart"/>
            <w:tcBorders>
              <w:top w:val="nil"/>
              <w:left w:val="single" w:sz="4" w:space="0" w:color="auto"/>
              <w:bottom w:val="single" w:sz="4" w:space="0" w:color="000000"/>
              <w:right w:val="single" w:sz="4" w:space="0" w:color="auto"/>
            </w:tcBorders>
            <w:shd w:val="clear" w:color="auto" w:fill="auto"/>
            <w:vAlign w:val="center"/>
            <w:hideMark/>
          </w:tcPr>
          <w:p w14:paraId="1598D91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Vjetor</w:t>
            </w:r>
          </w:p>
        </w:tc>
        <w:tc>
          <w:tcPr>
            <w:tcW w:w="486" w:type="pct"/>
            <w:tcBorders>
              <w:top w:val="nil"/>
              <w:left w:val="nil"/>
              <w:bottom w:val="nil"/>
              <w:right w:val="nil"/>
            </w:tcBorders>
            <w:shd w:val="clear" w:color="000000" w:fill="FFFFFF"/>
            <w:vAlign w:val="center"/>
            <w:hideMark/>
          </w:tcPr>
          <w:p w14:paraId="23CD4E4E" w14:textId="50CEAE6F"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Niveli i të ardhurave bruto/neto</w:t>
            </w:r>
            <w:r w:rsidR="00F667B8"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 Të ardhurat disponibël të ekuivalentuara</w:t>
            </w:r>
            <w:r w:rsidR="00F667B8"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 Mediana e të ardhurave të disponueshme të ekuivalentuara pas transfertave sociale</w:t>
            </w:r>
            <w:r w:rsidR="00F667B8"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4. Mediana e të ardhurave nga puna</w:t>
            </w:r>
            <w:r w:rsidR="00F667B8"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5. Mediana e të ardhurave nga pensionet</w:t>
            </w:r>
            <w:r w:rsidR="00F667B8"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6. Shpërndarja e pabarazisë së të ardhurave</w:t>
            </w:r>
            <w:r w:rsidR="00F667B8"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7. Niveli i pabarazisë sipas karakteristikave gjeografike (NUTS 1, 2, 3)</w:t>
            </w:r>
            <w:r w:rsidR="00F667B8"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8. Pabarazia te</w:t>
            </w:r>
            <w:r w:rsidR="00CD213A" w:rsidRPr="00B31292">
              <w:rPr>
                <w:rFonts w:ascii="Garamond" w:eastAsia="Times New Roman" w:hAnsi="Garamond" w:cs="Times New Roman"/>
                <w:color w:val="000000"/>
                <w:sz w:val="10"/>
                <w:szCs w:val="10"/>
              </w:rPr>
              <w:t>k</w:t>
            </w:r>
            <w:r w:rsidRPr="00B31292">
              <w:rPr>
                <w:rFonts w:ascii="Garamond" w:eastAsia="Times New Roman" w:hAnsi="Garamond" w:cs="Times New Roman"/>
                <w:color w:val="000000"/>
                <w:sz w:val="10"/>
                <w:szCs w:val="10"/>
              </w:rPr>
              <w:t xml:space="preserve"> individët e moshuar</w:t>
            </w:r>
            <w:r w:rsidR="00F667B8"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9. Raporti</w:t>
            </w:r>
            <w:r w:rsidR="00FD245C" w:rsidRPr="00B31292">
              <w:rPr>
                <w:rFonts w:ascii="Garamond" w:eastAsia="Times New Roman" w:hAnsi="Garamond" w:cs="Times New Roman"/>
                <w:color w:val="000000"/>
                <w:sz w:val="10"/>
                <w:szCs w:val="10"/>
              </w:rPr>
              <w:t xml:space="preserve"> i</w:t>
            </w:r>
            <w:r w:rsidRPr="00B31292">
              <w:rPr>
                <w:rFonts w:ascii="Garamond" w:eastAsia="Times New Roman" w:hAnsi="Garamond" w:cs="Times New Roman"/>
                <w:color w:val="000000"/>
                <w:sz w:val="10"/>
                <w:szCs w:val="10"/>
              </w:rPr>
              <w:t xml:space="preserve"> kuintileve (S80/S20)</w:t>
            </w:r>
            <w:r w:rsidR="00F667B8"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10. </w:t>
            </w:r>
            <w:r w:rsidR="00FD245C" w:rsidRPr="00B31292">
              <w:rPr>
                <w:rFonts w:ascii="Garamond" w:eastAsia="Times New Roman" w:hAnsi="Garamond" w:cs="Times New Roman"/>
                <w:color w:val="000000"/>
                <w:sz w:val="10"/>
                <w:szCs w:val="10"/>
              </w:rPr>
              <w:t>Koeficienti</w:t>
            </w:r>
            <w:r w:rsidRPr="00B31292">
              <w:rPr>
                <w:rFonts w:ascii="Garamond" w:eastAsia="Times New Roman" w:hAnsi="Garamond" w:cs="Times New Roman"/>
                <w:color w:val="000000"/>
                <w:sz w:val="10"/>
                <w:szCs w:val="10"/>
              </w:rPr>
              <w:t xml:space="preserve"> Gini</w:t>
            </w:r>
            <w:r w:rsidR="00F667B8"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11. Shpërndarja e individëve sipas tipit të familjes</w:t>
            </w:r>
            <w:r w:rsidR="00F667B8"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12. Përqindja e individëve të varfër</w:t>
            </w:r>
            <w:r w:rsidR="00F667B8"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13. Individët në riskun e të </w:t>
            </w:r>
            <w:r w:rsidR="00FD245C" w:rsidRPr="00B31292">
              <w:rPr>
                <w:rFonts w:ascii="Garamond" w:eastAsia="Times New Roman" w:hAnsi="Garamond" w:cs="Times New Roman"/>
                <w:color w:val="000000"/>
                <w:sz w:val="10"/>
                <w:szCs w:val="10"/>
              </w:rPr>
              <w:t>qenit</w:t>
            </w:r>
            <w:r w:rsidRPr="00B31292">
              <w:rPr>
                <w:rFonts w:ascii="Garamond" w:eastAsia="Times New Roman" w:hAnsi="Garamond" w:cs="Times New Roman"/>
                <w:color w:val="000000"/>
                <w:sz w:val="10"/>
                <w:szCs w:val="10"/>
              </w:rPr>
              <w:t xml:space="preserve"> të varfër dhe përjashtimit social (AROPE)</w:t>
            </w:r>
            <w:r w:rsidR="00F667B8"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14. Fëmijët në riskun e të </w:t>
            </w:r>
            <w:r w:rsidR="00FD245C" w:rsidRPr="00B31292">
              <w:rPr>
                <w:rFonts w:ascii="Garamond" w:eastAsia="Times New Roman" w:hAnsi="Garamond" w:cs="Times New Roman"/>
                <w:color w:val="000000"/>
                <w:sz w:val="10"/>
                <w:szCs w:val="10"/>
              </w:rPr>
              <w:t>qenit</w:t>
            </w:r>
            <w:r w:rsidRPr="00B31292">
              <w:rPr>
                <w:rFonts w:ascii="Garamond" w:eastAsia="Times New Roman" w:hAnsi="Garamond" w:cs="Times New Roman"/>
                <w:color w:val="000000"/>
                <w:sz w:val="10"/>
                <w:szCs w:val="10"/>
              </w:rPr>
              <w:t xml:space="preserve"> të varfër</w:t>
            </w:r>
            <w:r w:rsidR="00F667B8"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15. Niveli i varfërisë sipas gjinisë</w:t>
            </w:r>
            <w:r w:rsidR="00F667B8"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16. Niveli i varfërisë sipas </w:t>
            </w:r>
            <w:r w:rsidRPr="00B31292">
              <w:rPr>
                <w:rFonts w:ascii="Garamond" w:eastAsia="Times New Roman" w:hAnsi="Garamond" w:cs="Times New Roman"/>
                <w:color w:val="000000"/>
                <w:sz w:val="10"/>
                <w:szCs w:val="10"/>
              </w:rPr>
              <w:lastRenderedPageBreak/>
              <w:t>grup</w:t>
            </w:r>
            <w:r w:rsidR="00F667B8"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moshave</w:t>
            </w:r>
            <w:r w:rsidR="00F667B8"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17. Niveli i varfërisë sipas tipit të familjes</w:t>
            </w:r>
            <w:r w:rsidR="00F667B8"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18. Niveli i varfërisë sipas</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nivelit arsimor</w:t>
            </w:r>
            <w:r w:rsidR="00F667B8"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19. Linja e varfërisë relative</w:t>
            </w:r>
            <w:r w:rsidR="00F667B8"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20. Hendeku i varfërisë relative</w:t>
            </w:r>
            <w:r w:rsidR="00F667B8"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21. Niveli i varfërisë sipas pronësisë</w:t>
            </w:r>
            <w:r w:rsidR="00F667B8" w:rsidRPr="00B31292">
              <w:rPr>
                <w:rFonts w:ascii="Garamond" w:eastAsia="Times New Roman" w:hAnsi="Garamond" w:cs="Times New Roman"/>
                <w:color w:val="000000"/>
                <w:sz w:val="10"/>
                <w:szCs w:val="10"/>
              </w:rPr>
              <w:t>.</w:t>
            </w:r>
          </w:p>
        </w:tc>
        <w:tc>
          <w:tcPr>
            <w:tcW w:w="299" w:type="pct"/>
            <w:vMerge w:val="restart"/>
            <w:tcBorders>
              <w:top w:val="nil"/>
              <w:left w:val="single" w:sz="4" w:space="0" w:color="auto"/>
              <w:bottom w:val="single" w:sz="4" w:space="0" w:color="000000"/>
              <w:right w:val="single" w:sz="4" w:space="0" w:color="auto"/>
            </w:tcBorders>
            <w:shd w:val="clear" w:color="auto" w:fill="auto"/>
            <w:vAlign w:val="center"/>
            <w:hideMark/>
          </w:tcPr>
          <w:p w14:paraId="1641BEF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lastRenderedPageBreak/>
              <w:t>Instituti i Statistikave</w:t>
            </w:r>
          </w:p>
        </w:tc>
        <w:tc>
          <w:tcPr>
            <w:tcW w:w="224" w:type="pct"/>
            <w:vMerge w:val="restart"/>
            <w:tcBorders>
              <w:top w:val="nil"/>
              <w:left w:val="single" w:sz="4" w:space="0" w:color="auto"/>
              <w:bottom w:val="single" w:sz="4" w:space="0" w:color="000000"/>
              <w:right w:val="single" w:sz="4" w:space="0" w:color="auto"/>
            </w:tcBorders>
            <w:shd w:val="clear" w:color="auto" w:fill="auto"/>
            <w:vAlign w:val="center"/>
            <w:hideMark/>
          </w:tcPr>
          <w:p w14:paraId="7348894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p>
        </w:tc>
        <w:tc>
          <w:tcPr>
            <w:tcW w:w="24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0C88BA4"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+ 233D</w:t>
            </w:r>
          </w:p>
        </w:tc>
        <w:tc>
          <w:tcPr>
            <w:tcW w:w="220"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8A1FACD"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+ 323D</w:t>
            </w:r>
          </w:p>
        </w:tc>
        <w:tc>
          <w:tcPr>
            <w:tcW w:w="220"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91F7DB7"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+ 330D</w:t>
            </w:r>
          </w:p>
        </w:tc>
        <w:tc>
          <w:tcPr>
            <w:tcW w:w="346" w:type="pct"/>
            <w:vMerge w:val="restart"/>
            <w:tcBorders>
              <w:top w:val="nil"/>
              <w:left w:val="single" w:sz="4" w:space="0" w:color="auto"/>
              <w:bottom w:val="single" w:sz="4" w:space="0" w:color="000000"/>
              <w:right w:val="single" w:sz="4" w:space="0" w:color="auto"/>
            </w:tcBorders>
            <w:shd w:val="clear" w:color="auto" w:fill="auto"/>
            <w:vAlign w:val="center"/>
            <w:hideMark/>
          </w:tcPr>
          <w:p w14:paraId="382696E5" w14:textId="3177071B" w:rsidR="000A2254" w:rsidRPr="00B31292" w:rsidRDefault="00FD245C" w:rsidP="00FD245C">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1. </w:t>
            </w:r>
            <w:r w:rsidR="000A2254" w:rsidRPr="00B31292">
              <w:rPr>
                <w:rFonts w:ascii="Garamond" w:eastAsia="Times New Roman" w:hAnsi="Garamond" w:cs="Times New Roman"/>
                <w:color w:val="000000"/>
                <w:sz w:val="10"/>
                <w:szCs w:val="10"/>
              </w:rPr>
              <w:t xml:space="preserve">Angazhimi në aktiviteteve shtesë të paplanifikuar </w:t>
            </w:r>
            <w:r w:rsidRPr="00B31292">
              <w:rPr>
                <w:rFonts w:ascii="Garamond" w:eastAsia="Times New Roman" w:hAnsi="Garamond" w:cs="Times New Roman"/>
                <w:color w:val="000000"/>
                <w:sz w:val="10"/>
                <w:szCs w:val="10"/>
              </w:rPr>
              <w:t>cenon</w:t>
            </w:r>
            <w:r w:rsidR="000A2254"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përmbushjen</w:t>
            </w:r>
            <w:r w:rsidR="000A2254" w:rsidRPr="00B31292">
              <w:rPr>
                <w:rFonts w:ascii="Garamond" w:eastAsia="Times New Roman" w:hAnsi="Garamond" w:cs="Times New Roman"/>
                <w:color w:val="000000"/>
                <w:sz w:val="10"/>
                <w:szCs w:val="10"/>
              </w:rPr>
              <w:t xml:space="preserve"> e afateve të paracaktuara.</w:t>
            </w:r>
            <w:r w:rsidR="000A2254" w:rsidRPr="00B31292">
              <w:rPr>
                <w:rFonts w:ascii="Garamond" w:eastAsia="Times New Roman" w:hAnsi="Garamond" w:cs="Times New Roman"/>
                <w:color w:val="000000"/>
                <w:sz w:val="10"/>
                <w:szCs w:val="10"/>
              </w:rPr>
              <w:br/>
              <w:t xml:space="preserve">2. Staf i kufizuar për zhvillimin e aktiviteteve që mbulon sektori ku përfshin tre fusha: SILC, </w:t>
            </w:r>
            <w:r w:rsidRPr="00B31292">
              <w:rPr>
                <w:rFonts w:ascii="Garamond" w:eastAsia="Times New Roman" w:hAnsi="Garamond" w:cs="Times New Roman"/>
                <w:color w:val="000000"/>
                <w:sz w:val="10"/>
                <w:szCs w:val="10"/>
              </w:rPr>
              <w:t>Cilësia</w:t>
            </w:r>
            <w:r w:rsidR="000A2254" w:rsidRPr="00B31292">
              <w:rPr>
                <w:rFonts w:ascii="Garamond" w:eastAsia="Times New Roman" w:hAnsi="Garamond" w:cs="Times New Roman"/>
                <w:color w:val="000000"/>
                <w:sz w:val="10"/>
                <w:szCs w:val="10"/>
              </w:rPr>
              <w:t xml:space="preserve"> e Jetës dhe Mbrojtja sociale ESPROSS.</w:t>
            </w:r>
            <w:r w:rsidR="000A2254" w:rsidRPr="00B31292">
              <w:rPr>
                <w:rFonts w:ascii="Garamond" w:eastAsia="Times New Roman" w:hAnsi="Garamond" w:cs="Times New Roman"/>
                <w:color w:val="000000"/>
                <w:sz w:val="10"/>
                <w:szCs w:val="10"/>
              </w:rPr>
              <w:br/>
              <w:t>3.</w:t>
            </w:r>
            <w:r w:rsidRPr="00B31292">
              <w:rPr>
                <w:rFonts w:ascii="Garamond" w:eastAsia="Times New Roman" w:hAnsi="Garamond" w:cs="Times New Roman"/>
                <w:color w:val="000000"/>
                <w:sz w:val="10"/>
                <w:szCs w:val="10"/>
              </w:rPr>
              <w:t xml:space="preserve"> </w:t>
            </w:r>
            <w:r w:rsidR="000A2254" w:rsidRPr="00B31292">
              <w:rPr>
                <w:rFonts w:ascii="Garamond" w:eastAsia="Times New Roman" w:hAnsi="Garamond" w:cs="Times New Roman"/>
                <w:color w:val="000000"/>
                <w:sz w:val="10"/>
                <w:szCs w:val="10"/>
              </w:rPr>
              <w:t xml:space="preserve">Pezullimi/vonesa e mbledhjes, prodhimit </w:t>
            </w:r>
            <w:r w:rsidR="00F667B8" w:rsidRPr="00B31292">
              <w:rPr>
                <w:rFonts w:ascii="Garamond" w:eastAsia="Times New Roman" w:hAnsi="Garamond" w:cs="Times New Roman"/>
                <w:color w:val="000000"/>
                <w:sz w:val="10"/>
                <w:szCs w:val="10"/>
              </w:rPr>
              <w:t>dhe shpërndarjes së statistikave zyrtare si pasojë e fatkeqësive natyrore/ pandemive globale</w:t>
            </w:r>
            <w:r w:rsidR="000A2254" w:rsidRPr="00B31292">
              <w:rPr>
                <w:rFonts w:ascii="Garamond" w:eastAsia="Times New Roman" w:hAnsi="Garamond" w:cs="Times New Roman"/>
                <w:color w:val="000000"/>
                <w:sz w:val="10"/>
                <w:szCs w:val="10"/>
              </w:rPr>
              <w:t>, Grumbullimi i informacionit në zona të largëta apo kushte të vështira -|- 6</w:t>
            </w:r>
          </w:p>
        </w:tc>
        <w:tc>
          <w:tcPr>
            <w:tcW w:w="273" w:type="pct"/>
            <w:vMerge w:val="restart"/>
            <w:tcBorders>
              <w:top w:val="nil"/>
              <w:left w:val="single" w:sz="4" w:space="0" w:color="auto"/>
              <w:bottom w:val="single" w:sz="4" w:space="0" w:color="000000"/>
              <w:right w:val="single" w:sz="4" w:space="0" w:color="auto"/>
            </w:tcBorders>
            <w:shd w:val="clear" w:color="auto" w:fill="auto"/>
            <w:vAlign w:val="center"/>
            <w:hideMark/>
          </w:tcPr>
          <w:p w14:paraId="3B77989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Buxhet shteti</w:t>
            </w:r>
          </w:p>
        </w:tc>
      </w:tr>
      <w:tr w:rsidR="000A2254" w:rsidRPr="00B31292" w14:paraId="6C843631" w14:textId="77777777" w:rsidTr="000A2254">
        <w:trPr>
          <w:trHeight w:val="20"/>
        </w:trPr>
        <w:tc>
          <w:tcPr>
            <w:tcW w:w="215" w:type="pct"/>
            <w:tcBorders>
              <w:top w:val="nil"/>
              <w:left w:val="nil"/>
              <w:bottom w:val="nil"/>
              <w:right w:val="nil"/>
            </w:tcBorders>
            <w:shd w:val="clear" w:color="000000" w:fill="FFFFFF"/>
            <w:vAlign w:val="bottom"/>
            <w:hideMark/>
          </w:tcPr>
          <w:p w14:paraId="4D4E961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5AE12C8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0B75082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23C6E8A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20D9489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4AC343A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vMerge/>
            <w:tcBorders>
              <w:top w:val="nil"/>
              <w:left w:val="single" w:sz="4" w:space="0" w:color="auto"/>
              <w:bottom w:val="single" w:sz="4" w:space="0" w:color="000000"/>
              <w:right w:val="single" w:sz="4" w:space="0" w:color="auto"/>
            </w:tcBorders>
            <w:vAlign w:val="center"/>
            <w:hideMark/>
          </w:tcPr>
          <w:p w14:paraId="4006C28B"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81" w:type="pct"/>
            <w:vMerge/>
            <w:tcBorders>
              <w:top w:val="nil"/>
              <w:left w:val="single" w:sz="4" w:space="0" w:color="auto"/>
              <w:bottom w:val="single" w:sz="4" w:space="0" w:color="000000"/>
              <w:right w:val="single" w:sz="4" w:space="0" w:color="auto"/>
            </w:tcBorders>
            <w:vAlign w:val="center"/>
            <w:hideMark/>
          </w:tcPr>
          <w:p w14:paraId="5E6231C6" w14:textId="77777777" w:rsidR="000A2254" w:rsidRPr="00B31292" w:rsidRDefault="000A2254" w:rsidP="000A2254">
            <w:pPr>
              <w:spacing w:after="0" w:line="240" w:lineRule="auto"/>
              <w:rPr>
                <w:rFonts w:ascii="Garamond" w:eastAsia="Times New Roman" w:hAnsi="Garamond" w:cs="Times New Roman"/>
                <w:sz w:val="10"/>
                <w:szCs w:val="10"/>
              </w:rPr>
            </w:pPr>
          </w:p>
        </w:tc>
        <w:tc>
          <w:tcPr>
            <w:tcW w:w="236" w:type="pct"/>
            <w:vMerge/>
            <w:tcBorders>
              <w:top w:val="nil"/>
              <w:left w:val="single" w:sz="4" w:space="0" w:color="auto"/>
              <w:bottom w:val="single" w:sz="4" w:space="0" w:color="000000"/>
              <w:right w:val="single" w:sz="4" w:space="0" w:color="auto"/>
            </w:tcBorders>
            <w:vAlign w:val="center"/>
            <w:hideMark/>
          </w:tcPr>
          <w:p w14:paraId="781C6C9E" w14:textId="77777777" w:rsidR="000A2254" w:rsidRPr="00B31292" w:rsidRDefault="000A2254" w:rsidP="000A2254">
            <w:pPr>
              <w:spacing w:after="0" w:line="240" w:lineRule="auto"/>
              <w:rPr>
                <w:rFonts w:ascii="Garamond" w:eastAsia="Times New Roman" w:hAnsi="Garamond" w:cs="Times New Roman"/>
                <w:sz w:val="10"/>
                <w:szCs w:val="10"/>
              </w:rPr>
            </w:pPr>
          </w:p>
        </w:tc>
        <w:tc>
          <w:tcPr>
            <w:tcW w:w="238" w:type="pct"/>
            <w:vMerge/>
            <w:tcBorders>
              <w:top w:val="nil"/>
              <w:left w:val="single" w:sz="4" w:space="0" w:color="auto"/>
              <w:bottom w:val="single" w:sz="4" w:space="0" w:color="000000"/>
              <w:right w:val="single" w:sz="4" w:space="0" w:color="auto"/>
            </w:tcBorders>
            <w:vAlign w:val="center"/>
            <w:hideMark/>
          </w:tcPr>
          <w:p w14:paraId="757FD49E" w14:textId="77777777" w:rsidR="000A2254" w:rsidRPr="00B31292" w:rsidRDefault="000A2254" w:rsidP="000A2254">
            <w:pPr>
              <w:spacing w:after="0" w:line="240" w:lineRule="auto"/>
              <w:rPr>
                <w:rFonts w:ascii="Garamond" w:eastAsia="Times New Roman" w:hAnsi="Garamond" w:cs="Times New Roman"/>
                <w:sz w:val="10"/>
                <w:szCs w:val="10"/>
              </w:rPr>
            </w:pPr>
          </w:p>
        </w:tc>
        <w:tc>
          <w:tcPr>
            <w:tcW w:w="180" w:type="pct"/>
            <w:vMerge/>
            <w:tcBorders>
              <w:top w:val="nil"/>
              <w:left w:val="single" w:sz="4" w:space="0" w:color="auto"/>
              <w:bottom w:val="single" w:sz="4" w:space="0" w:color="000000"/>
              <w:right w:val="single" w:sz="4" w:space="0" w:color="auto"/>
            </w:tcBorders>
            <w:vAlign w:val="center"/>
            <w:hideMark/>
          </w:tcPr>
          <w:p w14:paraId="440CAEE7" w14:textId="77777777" w:rsidR="000A2254" w:rsidRPr="00B31292" w:rsidRDefault="000A2254" w:rsidP="000A2254">
            <w:pPr>
              <w:spacing w:after="0" w:line="240" w:lineRule="auto"/>
              <w:rPr>
                <w:rFonts w:ascii="Garamond" w:eastAsia="Times New Roman" w:hAnsi="Garamond" w:cs="Times New Roman"/>
                <w:sz w:val="10"/>
                <w:szCs w:val="10"/>
              </w:rPr>
            </w:pPr>
          </w:p>
        </w:tc>
        <w:tc>
          <w:tcPr>
            <w:tcW w:w="228" w:type="pct"/>
            <w:vMerge/>
            <w:tcBorders>
              <w:top w:val="nil"/>
              <w:left w:val="single" w:sz="4" w:space="0" w:color="auto"/>
              <w:bottom w:val="single" w:sz="4" w:space="0" w:color="000000"/>
              <w:right w:val="single" w:sz="4" w:space="0" w:color="auto"/>
            </w:tcBorders>
            <w:vAlign w:val="center"/>
            <w:hideMark/>
          </w:tcPr>
          <w:p w14:paraId="359EB759"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22" w:type="pct"/>
            <w:vMerge/>
            <w:tcBorders>
              <w:top w:val="nil"/>
              <w:left w:val="single" w:sz="4" w:space="0" w:color="auto"/>
              <w:bottom w:val="single" w:sz="4" w:space="0" w:color="000000"/>
              <w:right w:val="single" w:sz="4" w:space="0" w:color="auto"/>
            </w:tcBorders>
            <w:vAlign w:val="center"/>
            <w:hideMark/>
          </w:tcPr>
          <w:p w14:paraId="24ECAC99"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486" w:type="pct"/>
            <w:tcBorders>
              <w:top w:val="nil"/>
              <w:left w:val="nil"/>
              <w:bottom w:val="single" w:sz="4" w:space="0" w:color="auto"/>
              <w:right w:val="nil"/>
            </w:tcBorders>
            <w:shd w:val="clear" w:color="000000" w:fill="FFFFFF"/>
            <w:vAlign w:val="center"/>
            <w:hideMark/>
          </w:tcPr>
          <w:p w14:paraId="26A62633" w14:textId="72C041F0"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22.</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Niveli i varfërisë për pensionistët</w:t>
            </w:r>
            <w:r w:rsidR="00F667B8"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23.</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Niveli i varfërisë sipas statusit të punësimit</w:t>
            </w:r>
            <w:r w:rsidR="00F667B8"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24.</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Niveli i varfërisë sipas karakteristikave gjeografike (NUTS 1, 2, 3)</w:t>
            </w:r>
            <w:r w:rsidR="00F667B8"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25.</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Banesa të mbipopulluara sipas gjinisë</w:t>
            </w:r>
            <w:r w:rsidR="00F667B8"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26.</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Banesa të mbipopulluara sipas grup</w:t>
            </w:r>
            <w:r w:rsidR="00F667B8"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moshës</w:t>
            </w:r>
            <w:r w:rsidR="00F667B8"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27.</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Banesa të mbipopulluara sipas nivelit të varfërisë</w:t>
            </w:r>
            <w:r w:rsidR="00F667B8"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28.</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Banesa të mbipopulluara sipas statusit të pronësisë</w:t>
            </w:r>
            <w:r w:rsidR="00F667B8"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29.</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Banesa të mbipopulluara sipas tipit të familjes</w:t>
            </w:r>
            <w:r w:rsidR="00F667B8"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30.</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Kostot e banesës një barrë e rëndë (</w:t>
            </w:r>
            <w:r w:rsidRPr="00B31292">
              <w:rPr>
                <w:rFonts w:ascii="Garamond" w:eastAsia="Times New Roman" w:hAnsi="Garamond" w:cs="Times New Roman"/>
                <w:i/>
                <w:iCs/>
                <w:color w:val="000000"/>
                <w:sz w:val="10"/>
                <w:szCs w:val="10"/>
              </w:rPr>
              <w:t>overburden</w:t>
            </w:r>
            <w:r w:rsidRPr="00B31292">
              <w:rPr>
                <w:rFonts w:ascii="Garamond" w:eastAsia="Times New Roman" w:hAnsi="Garamond" w:cs="Times New Roman"/>
                <w:color w:val="000000"/>
                <w:sz w:val="10"/>
                <w:szCs w:val="10"/>
              </w:rPr>
              <w:t>) sipas gjinisë</w:t>
            </w:r>
            <w:r w:rsidR="00F667B8"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31.</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Kostot e banesës një barrë e rëndë (</w:t>
            </w:r>
            <w:r w:rsidRPr="00B31292">
              <w:rPr>
                <w:rFonts w:ascii="Garamond" w:eastAsia="Times New Roman" w:hAnsi="Garamond" w:cs="Times New Roman"/>
                <w:i/>
                <w:iCs/>
                <w:color w:val="000000"/>
                <w:sz w:val="10"/>
                <w:szCs w:val="10"/>
              </w:rPr>
              <w:t>overburden</w:t>
            </w:r>
            <w:r w:rsidRPr="00B31292">
              <w:rPr>
                <w:rFonts w:ascii="Garamond" w:eastAsia="Times New Roman" w:hAnsi="Garamond" w:cs="Times New Roman"/>
                <w:color w:val="000000"/>
                <w:sz w:val="10"/>
                <w:szCs w:val="10"/>
              </w:rPr>
              <w:t>) sipas grup</w:t>
            </w:r>
            <w:r w:rsidR="00F667B8"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moshës</w:t>
            </w:r>
            <w:r w:rsidR="00F667B8"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32.</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Kostot e banesës një barrë e rëndë (</w:t>
            </w:r>
            <w:r w:rsidRPr="00B31292">
              <w:rPr>
                <w:rFonts w:ascii="Garamond" w:eastAsia="Times New Roman" w:hAnsi="Garamond" w:cs="Times New Roman"/>
                <w:i/>
                <w:iCs/>
                <w:color w:val="000000"/>
                <w:sz w:val="10"/>
                <w:szCs w:val="10"/>
              </w:rPr>
              <w:t>overburden</w:t>
            </w:r>
            <w:r w:rsidRPr="00B31292">
              <w:rPr>
                <w:rFonts w:ascii="Garamond" w:eastAsia="Times New Roman" w:hAnsi="Garamond" w:cs="Times New Roman"/>
                <w:color w:val="000000"/>
                <w:sz w:val="10"/>
                <w:szCs w:val="10"/>
              </w:rPr>
              <w:t>) sipas kuintileve të të ardhurave</w:t>
            </w:r>
            <w:r w:rsidR="00F667B8"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33.</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Kostot e banesës një barrë e rëndë (</w:t>
            </w:r>
            <w:r w:rsidRPr="00B31292">
              <w:rPr>
                <w:rFonts w:ascii="Garamond" w:eastAsia="Times New Roman" w:hAnsi="Garamond" w:cs="Times New Roman"/>
                <w:i/>
                <w:iCs/>
                <w:color w:val="000000"/>
                <w:sz w:val="10"/>
                <w:szCs w:val="10"/>
              </w:rPr>
              <w:t>overburden</w:t>
            </w:r>
            <w:r w:rsidRPr="00B31292">
              <w:rPr>
                <w:rFonts w:ascii="Garamond" w:eastAsia="Times New Roman" w:hAnsi="Garamond" w:cs="Times New Roman"/>
                <w:color w:val="000000"/>
                <w:sz w:val="10"/>
                <w:szCs w:val="10"/>
              </w:rPr>
              <w:t>) sipas nivelit të varfërisë</w:t>
            </w:r>
            <w:r w:rsidR="00F667B8"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34.</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Kostot e banesës një barrë e rëndë (</w:t>
            </w:r>
            <w:r w:rsidRPr="00B31292">
              <w:rPr>
                <w:rFonts w:ascii="Garamond" w:eastAsia="Times New Roman" w:hAnsi="Garamond" w:cs="Times New Roman"/>
                <w:i/>
                <w:iCs/>
                <w:color w:val="000000"/>
                <w:sz w:val="10"/>
                <w:szCs w:val="10"/>
              </w:rPr>
              <w:t>overburden</w:t>
            </w:r>
            <w:r w:rsidRPr="00B31292">
              <w:rPr>
                <w:rFonts w:ascii="Garamond" w:eastAsia="Times New Roman" w:hAnsi="Garamond" w:cs="Times New Roman"/>
                <w:color w:val="000000"/>
                <w:sz w:val="10"/>
                <w:szCs w:val="10"/>
              </w:rPr>
              <w:t>) sipas pronësisë</w:t>
            </w:r>
            <w:r w:rsidR="00F667B8"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35.</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Kostot e banesës një barrë e rëndë (</w:t>
            </w:r>
            <w:r w:rsidRPr="00B31292">
              <w:rPr>
                <w:rFonts w:ascii="Garamond" w:eastAsia="Times New Roman" w:hAnsi="Garamond" w:cs="Times New Roman"/>
                <w:i/>
                <w:iCs/>
                <w:color w:val="000000"/>
                <w:sz w:val="10"/>
                <w:szCs w:val="10"/>
              </w:rPr>
              <w:t>overburden</w:t>
            </w:r>
            <w:r w:rsidRPr="00B31292">
              <w:rPr>
                <w:rFonts w:ascii="Garamond" w:eastAsia="Times New Roman" w:hAnsi="Garamond" w:cs="Times New Roman"/>
                <w:color w:val="000000"/>
                <w:sz w:val="10"/>
                <w:szCs w:val="10"/>
              </w:rPr>
              <w:t>) sipas tipit të banesës</w:t>
            </w:r>
            <w:r w:rsidR="00F667B8"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36.</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Individët që vuajnë nga një sërë deprivimesh material</w:t>
            </w:r>
            <w:r w:rsidR="00F667B8" w:rsidRPr="00B31292">
              <w:rPr>
                <w:rFonts w:ascii="Garamond" w:eastAsia="Times New Roman" w:hAnsi="Garamond" w:cs="Times New Roman"/>
                <w:color w:val="000000"/>
                <w:sz w:val="10"/>
                <w:szCs w:val="10"/>
              </w:rPr>
              <w:t>e.</w:t>
            </w:r>
            <w:r w:rsidRPr="00B31292">
              <w:rPr>
                <w:rFonts w:ascii="Garamond" w:eastAsia="Times New Roman" w:hAnsi="Garamond" w:cs="Times New Roman"/>
                <w:color w:val="000000"/>
                <w:sz w:val="10"/>
                <w:szCs w:val="10"/>
              </w:rPr>
              <w:br/>
              <w:t>37.</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Privimi material sipas gjinisë</w:t>
            </w:r>
            <w:r w:rsidR="00F667B8"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38.</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Privimi material sipas grup</w:t>
            </w:r>
            <w:r w:rsidR="00F667B8"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moshave</w:t>
            </w:r>
            <w:r w:rsidR="00F667B8"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39.</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Ashpërsia e privimit material</w:t>
            </w:r>
            <w:r w:rsidR="00F667B8"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40.</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Privimi material sipas numrit të deprivimeve</w:t>
            </w:r>
            <w:r w:rsidR="00F667B8" w:rsidRPr="00B31292">
              <w:rPr>
                <w:rFonts w:ascii="Garamond" w:eastAsia="Times New Roman" w:hAnsi="Garamond" w:cs="Times New Roman"/>
                <w:color w:val="000000"/>
                <w:sz w:val="10"/>
                <w:szCs w:val="10"/>
              </w:rPr>
              <w:t>.</w:t>
            </w:r>
          </w:p>
        </w:tc>
        <w:tc>
          <w:tcPr>
            <w:tcW w:w="299" w:type="pct"/>
            <w:vMerge/>
            <w:tcBorders>
              <w:top w:val="nil"/>
              <w:left w:val="single" w:sz="4" w:space="0" w:color="auto"/>
              <w:bottom w:val="single" w:sz="4" w:space="0" w:color="000000"/>
              <w:right w:val="single" w:sz="4" w:space="0" w:color="auto"/>
            </w:tcBorders>
            <w:vAlign w:val="center"/>
            <w:hideMark/>
          </w:tcPr>
          <w:p w14:paraId="4F144A58"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24" w:type="pct"/>
            <w:vMerge/>
            <w:tcBorders>
              <w:top w:val="nil"/>
              <w:left w:val="single" w:sz="4" w:space="0" w:color="auto"/>
              <w:bottom w:val="single" w:sz="4" w:space="0" w:color="000000"/>
              <w:right w:val="single" w:sz="4" w:space="0" w:color="auto"/>
            </w:tcBorders>
            <w:vAlign w:val="center"/>
            <w:hideMark/>
          </w:tcPr>
          <w:p w14:paraId="5874E750"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44" w:type="pct"/>
            <w:vMerge/>
            <w:tcBorders>
              <w:top w:val="nil"/>
              <w:left w:val="single" w:sz="4" w:space="0" w:color="auto"/>
              <w:bottom w:val="single" w:sz="4" w:space="0" w:color="000000"/>
              <w:right w:val="single" w:sz="4" w:space="0" w:color="auto"/>
            </w:tcBorders>
            <w:vAlign w:val="center"/>
            <w:hideMark/>
          </w:tcPr>
          <w:p w14:paraId="17DABDA2"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20" w:type="pct"/>
            <w:vMerge/>
            <w:tcBorders>
              <w:top w:val="nil"/>
              <w:left w:val="single" w:sz="4" w:space="0" w:color="auto"/>
              <w:bottom w:val="single" w:sz="4" w:space="0" w:color="000000"/>
              <w:right w:val="single" w:sz="4" w:space="0" w:color="auto"/>
            </w:tcBorders>
            <w:vAlign w:val="center"/>
            <w:hideMark/>
          </w:tcPr>
          <w:p w14:paraId="3DA9B3F6"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20" w:type="pct"/>
            <w:vMerge/>
            <w:tcBorders>
              <w:top w:val="nil"/>
              <w:left w:val="single" w:sz="4" w:space="0" w:color="auto"/>
              <w:bottom w:val="single" w:sz="4" w:space="0" w:color="000000"/>
              <w:right w:val="single" w:sz="4" w:space="0" w:color="auto"/>
            </w:tcBorders>
            <w:vAlign w:val="center"/>
            <w:hideMark/>
          </w:tcPr>
          <w:p w14:paraId="3269C27A"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346" w:type="pct"/>
            <w:vMerge/>
            <w:tcBorders>
              <w:top w:val="nil"/>
              <w:left w:val="single" w:sz="4" w:space="0" w:color="auto"/>
              <w:bottom w:val="single" w:sz="4" w:space="0" w:color="000000"/>
              <w:right w:val="single" w:sz="4" w:space="0" w:color="auto"/>
            </w:tcBorders>
            <w:vAlign w:val="center"/>
            <w:hideMark/>
          </w:tcPr>
          <w:p w14:paraId="1E56A18E"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73" w:type="pct"/>
            <w:vMerge/>
            <w:tcBorders>
              <w:top w:val="nil"/>
              <w:left w:val="single" w:sz="4" w:space="0" w:color="auto"/>
              <w:bottom w:val="single" w:sz="4" w:space="0" w:color="000000"/>
              <w:right w:val="single" w:sz="4" w:space="0" w:color="auto"/>
            </w:tcBorders>
            <w:vAlign w:val="center"/>
            <w:hideMark/>
          </w:tcPr>
          <w:p w14:paraId="7C809940"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r>
      <w:tr w:rsidR="000A2254" w:rsidRPr="00B31292" w14:paraId="6F5AEB52" w14:textId="77777777" w:rsidTr="000A2254">
        <w:trPr>
          <w:trHeight w:val="20"/>
        </w:trPr>
        <w:tc>
          <w:tcPr>
            <w:tcW w:w="215" w:type="pct"/>
            <w:tcBorders>
              <w:top w:val="nil"/>
              <w:left w:val="nil"/>
              <w:bottom w:val="nil"/>
              <w:right w:val="nil"/>
            </w:tcBorders>
            <w:shd w:val="clear" w:color="000000" w:fill="FFFFFF"/>
            <w:vAlign w:val="center"/>
            <w:hideMark/>
          </w:tcPr>
          <w:p w14:paraId="271FDF1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center"/>
            <w:hideMark/>
          </w:tcPr>
          <w:p w14:paraId="0CBDBDB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center"/>
            <w:hideMark/>
          </w:tcPr>
          <w:p w14:paraId="6622BDF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noWrap/>
            <w:vAlign w:val="center"/>
            <w:hideMark/>
          </w:tcPr>
          <w:p w14:paraId="5DDF5D76" w14:textId="77777777" w:rsidR="000A2254" w:rsidRPr="00B31292" w:rsidRDefault="000A2254" w:rsidP="000A2254">
            <w:pPr>
              <w:spacing w:after="0" w:line="240" w:lineRule="auto"/>
              <w:rPr>
                <w:rFonts w:ascii="Garamond" w:eastAsia="Times New Roman" w:hAnsi="Garamond" w:cs="Calibri"/>
                <w:color w:val="000000"/>
                <w:sz w:val="10"/>
                <w:szCs w:val="10"/>
              </w:rPr>
            </w:pPr>
            <w:r w:rsidRPr="00B31292">
              <w:rPr>
                <w:rFonts w:ascii="Garamond" w:eastAsia="Times New Roman" w:hAnsi="Garamond" w:cs="Calibri"/>
                <w:color w:val="000000"/>
                <w:sz w:val="10"/>
                <w:szCs w:val="10"/>
              </w:rPr>
              <w:t> </w:t>
            </w:r>
          </w:p>
        </w:tc>
        <w:tc>
          <w:tcPr>
            <w:tcW w:w="188" w:type="pct"/>
            <w:tcBorders>
              <w:top w:val="nil"/>
              <w:left w:val="nil"/>
              <w:bottom w:val="nil"/>
              <w:right w:val="nil"/>
            </w:tcBorders>
            <w:shd w:val="clear" w:color="000000" w:fill="FFFFFF"/>
            <w:noWrap/>
            <w:vAlign w:val="center"/>
            <w:hideMark/>
          </w:tcPr>
          <w:p w14:paraId="5D116DCE" w14:textId="77777777" w:rsidR="000A2254" w:rsidRPr="00B31292" w:rsidRDefault="000A2254" w:rsidP="000A2254">
            <w:pPr>
              <w:spacing w:after="0" w:line="240" w:lineRule="auto"/>
              <w:rPr>
                <w:rFonts w:ascii="Garamond" w:eastAsia="Times New Roman" w:hAnsi="Garamond" w:cs="Calibri"/>
                <w:color w:val="000000"/>
                <w:sz w:val="10"/>
                <w:szCs w:val="10"/>
              </w:rPr>
            </w:pPr>
            <w:r w:rsidRPr="00B31292">
              <w:rPr>
                <w:rFonts w:ascii="Garamond" w:eastAsia="Times New Roman" w:hAnsi="Garamond" w:cs="Calibri"/>
                <w:color w:val="000000"/>
                <w:sz w:val="10"/>
                <w:szCs w:val="10"/>
              </w:rPr>
              <w:t> </w:t>
            </w:r>
          </w:p>
        </w:tc>
        <w:tc>
          <w:tcPr>
            <w:tcW w:w="184" w:type="pct"/>
            <w:tcBorders>
              <w:top w:val="nil"/>
              <w:left w:val="nil"/>
              <w:bottom w:val="nil"/>
              <w:right w:val="nil"/>
            </w:tcBorders>
            <w:shd w:val="clear" w:color="000000" w:fill="FFFFFF"/>
            <w:noWrap/>
            <w:vAlign w:val="center"/>
            <w:hideMark/>
          </w:tcPr>
          <w:p w14:paraId="00AE4DEF" w14:textId="77777777" w:rsidR="000A2254" w:rsidRPr="00B31292" w:rsidRDefault="000A2254" w:rsidP="000A2254">
            <w:pPr>
              <w:spacing w:after="0" w:line="240" w:lineRule="auto"/>
              <w:rPr>
                <w:rFonts w:ascii="Garamond" w:eastAsia="Times New Roman" w:hAnsi="Garamond" w:cs="Calibri"/>
                <w:color w:val="000000"/>
                <w:sz w:val="10"/>
                <w:szCs w:val="10"/>
              </w:rPr>
            </w:pPr>
            <w:r w:rsidRPr="00B31292">
              <w:rPr>
                <w:rFonts w:ascii="Garamond" w:eastAsia="Times New Roman" w:hAnsi="Garamond" w:cs="Calibri"/>
                <w:color w:val="000000"/>
                <w:sz w:val="10"/>
                <w:szCs w:val="10"/>
              </w:rPr>
              <w:t> </w:t>
            </w:r>
          </w:p>
        </w:tc>
        <w:tc>
          <w:tcPr>
            <w:tcW w:w="199" w:type="pct"/>
            <w:tcBorders>
              <w:top w:val="nil"/>
              <w:left w:val="single" w:sz="4" w:space="0" w:color="auto"/>
              <w:bottom w:val="single" w:sz="4" w:space="0" w:color="auto"/>
              <w:right w:val="single" w:sz="4" w:space="0" w:color="auto"/>
            </w:tcBorders>
            <w:shd w:val="clear" w:color="000000" w:fill="FFFFFF"/>
            <w:vAlign w:val="center"/>
            <w:hideMark/>
          </w:tcPr>
          <w:p w14:paraId="39F071F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1.5.1.3</w:t>
            </w:r>
          </w:p>
        </w:tc>
        <w:tc>
          <w:tcPr>
            <w:tcW w:w="281" w:type="pct"/>
            <w:tcBorders>
              <w:top w:val="nil"/>
              <w:left w:val="nil"/>
              <w:bottom w:val="single" w:sz="4" w:space="0" w:color="auto"/>
              <w:right w:val="single" w:sz="4" w:space="0" w:color="auto"/>
            </w:tcBorders>
            <w:shd w:val="clear" w:color="000000" w:fill="FFFFFF"/>
            <w:vAlign w:val="center"/>
            <w:hideMark/>
          </w:tcPr>
          <w:p w14:paraId="5851B82C" w14:textId="510DFC6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Statistikat e </w:t>
            </w:r>
            <w:r w:rsidR="00F667B8" w:rsidRPr="00B31292">
              <w:rPr>
                <w:rFonts w:ascii="Garamond" w:eastAsia="Times New Roman" w:hAnsi="Garamond" w:cs="Times New Roman"/>
                <w:color w:val="000000"/>
                <w:sz w:val="10"/>
                <w:szCs w:val="10"/>
              </w:rPr>
              <w:t>cilësisë së jetës</w:t>
            </w:r>
          </w:p>
        </w:tc>
        <w:tc>
          <w:tcPr>
            <w:tcW w:w="236" w:type="pct"/>
            <w:tcBorders>
              <w:top w:val="nil"/>
              <w:left w:val="nil"/>
              <w:bottom w:val="single" w:sz="4" w:space="0" w:color="auto"/>
              <w:right w:val="single" w:sz="4" w:space="0" w:color="auto"/>
            </w:tcBorders>
            <w:shd w:val="clear" w:color="000000" w:fill="FFFFFF"/>
            <w:vAlign w:val="center"/>
            <w:hideMark/>
          </w:tcPr>
          <w:p w14:paraId="52135D4E"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Kombinim i burimeve administrative dhe vrojtimeve</w:t>
            </w:r>
          </w:p>
        </w:tc>
        <w:tc>
          <w:tcPr>
            <w:tcW w:w="238" w:type="pct"/>
            <w:tcBorders>
              <w:top w:val="nil"/>
              <w:left w:val="nil"/>
              <w:bottom w:val="single" w:sz="4" w:space="0" w:color="auto"/>
              <w:right w:val="single" w:sz="4" w:space="0" w:color="auto"/>
            </w:tcBorders>
            <w:shd w:val="clear" w:color="000000" w:fill="FFFFFF"/>
            <w:noWrap/>
            <w:vAlign w:val="center"/>
            <w:hideMark/>
          </w:tcPr>
          <w:p w14:paraId="4BEF53B3"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180" w:type="pct"/>
            <w:tcBorders>
              <w:top w:val="nil"/>
              <w:left w:val="nil"/>
              <w:bottom w:val="single" w:sz="4" w:space="0" w:color="auto"/>
              <w:right w:val="single" w:sz="4" w:space="0" w:color="auto"/>
            </w:tcBorders>
            <w:shd w:val="clear" w:color="000000" w:fill="FFFFFF"/>
            <w:noWrap/>
            <w:vAlign w:val="center"/>
            <w:hideMark/>
          </w:tcPr>
          <w:p w14:paraId="376AD61D"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28" w:type="pct"/>
            <w:tcBorders>
              <w:top w:val="nil"/>
              <w:left w:val="nil"/>
              <w:bottom w:val="single" w:sz="4" w:space="0" w:color="auto"/>
              <w:right w:val="single" w:sz="4" w:space="0" w:color="auto"/>
            </w:tcBorders>
            <w:shd w:val="clear" w:color="000000" w:fill="FFFFFF"/>
            <w:vAlign w:val="center"/>
            <w:hideMark/>
          </w:tcPr>
          <w:p w14:paraId="18A4F97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ri</w:t>
            </w:r>
          </w:p>
        </w:tc>
        <w:tc>
          <w:tcPr>
            <w:tcW w:w="222" w:type="pct"/>
            <w:tcBorders>
              <w:top w:val="nil"/>
              <w:left w:val="nil"/>
              <w:bottom w:val="single" w:sz="4" w:space="0" w:color="auto"/>
              <w:right w:val="single" w:sz="4" w:space="0" w:color="auto"/>
            </w:tcBorders>
            <w:shd w:val="clear" w:color="000000" w:fill="FFFFFF"/>
            <w:vAlign w:val="center"/>
            <w:hideMark/>
          </w:tcPr>
          <w:p w14:paraId="0C0234E7"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Vjetor</w:t>
            </w:r>
          </w:p>
        </w:tc>
        <w:tc>
          <w:tcPr>
            <w:tcW w:w="486" w:type="pct"/>
            <w:tcBorders>
              <w:top w:val="nil"/>
              <w:left w:val="nil"/>
              <w:bottom w:val="single" w:sz="4" w:space="0" w:color="auto"/>
              <w:right w:val="nil"/>
            </w:tcBorders>
            <w:shd w:val="clear" w:color="000000" w:fill="FFFFFF"/>
            <w:vAlign w:val="center"/>
            <w:hideMark/>
          </w:tcPr>
          <w:p w14:paraId="4BB4350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99" w:type="pct"/>
            <w:tcBorders>
              <w:top w:val="nil"/>
              <w:left w:val="single" w:sz="4" w:space="0" w:color="auto"/>
              <w:bottom w:val="single" w:sz="4" w:space="0" w:color="auto"/>
              <w:right w:val="single" w:sz="4" w:space="0" w:color="auto"/>
            </w:tcBorders>
            <w:shd w:val="clear" w:color="000000" w:fill="FFFFFF"/>
            <w:vAlign w:val="center"/>
            <w:hideMark/>
          </w:tcPr>
          <w:p w14:paraId="5B62D602" w14:textId="45E4B014"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F667B8" w:rsidRPr="00B31292">
              <w:rPr>
                <w:rFonts w:ascii="Garamond" w:eastAsia="Times New Roman" w:hAnsi="Garamond" w:cs="Times New Roman"/>
                <w:color w:val="000000"/>
                <w:sz w:val="10"/>
                <w:szCs w:val="10"/>
              </w:rPr>
              <w:t>-i</w:t>
            </w:r>
          </w:p>
        </w:tc>
        <w:tc>
          <w:tcPr>
            <w:tcW w:w="224" w:type="pct"/>
            <w:tcBorders>
              <w:top w:val="nil"/>
              <w:left w:val="nil"/>
              <w:bottom w:val="single" w:sz="4" w:space="0" w:color="auto"/>
              <w:right w:val="single" w:sz="4" w:space="0" w:color="auto"/>
            </w:tcBorders>
            <w:shd w:val="clear" w:color="000000" w:fill="FFFFFF"/>
            <w:vAlign w:val="center"/>
            <w:hideMark/>
          </w:tcPr>
          <w:p w14:paraId="79B8F8B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p>
        </w:tc>
        <w:tc>
          <w:tcPr>
            <w:tcW w:w="244" w:type="pct"/>
            <w:tcBorders>
              <w:top w:val="nil"/>
              <w:left w:val="nil"/>
              <w:bottom w:val="single" w:sz="4" w:space="0" w:color="auto"/>
              <w:right w:val="single" w:sz="4" w:space="0" w:color="auto"/>
            </w:tcBorders>
            <w:shd w:val="clear" w:color="000000" w:fill="FFFFFF"/>
            <w:vAlign w:val="center"/>
            <w:hideMark/>
          </w:tcPr>
          <w:p w14:paraId="482A9D8F"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20" w:type="pct"/>
            <w:tcBorders>
              <w:top w:val="nil"/>
              <w:left w:val="nil"/>
              <w:bottom w:val="single" w:sz="4" w:space="0" w:color="auto"/>
              <w:right w:val="single" w:sz="4" w:space="0" w:color="auto"/>
            </w:tcBorders>
            <w:shd w:val="clear" w:color="000000" w:fill="FFFFFF"/>
            <w:vAlign w:val="center"/>
            <w:hideMark/>
          </w:tcPr>
          <w:p w14:paraId="25EB5463"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20" w:type="pct"/>
            <w:tcBorders>
              <w:top w:val="nil"/>
              <w:left w:val="nil"/>
              <w:bottom w:val="single" w:sz="4" w:space="0" w:color="auto"/>
              <w:right w:val="single" w:sz="4" w:space="0" w:color="auto"/>
            </w:tcBorders>
            <w:shd w:val="clear" w:color="000000" w:fill="FFFFFF"/>
            <w:vAlign w:val="center"/>
            <w:hideMark/>
          </w:tcPr>
          <w:p w14:paraId="501120D9"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346" w:type="pct"/>
            <w:tcBorders>
              <w:top w:val="nil"/>
              <w:left w:val="nil"/>
              <w:bottom w:val="single" w:sz="4" w:space="0" w:color="auto"/>
              <w:right w:val="single" w:sz="4" w:space="0" w:color="auto"/>
            </w:tcBorders>
            <w:shd w:val="clear" w:color="000000" w:fill="FFFFFF"/>
            <w:vAlign w:val="center"/>
            <w:hideMark/>
          </w:tcPr>
          <w:p w14:paraId="3C25F83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Mungesa e stafit të dedikuar për aktivitetin</w:t>
            </w:r>
          </w:p>
        </w:tc>
        <w:tc>
          <w:tcPr>
            <w:tcW w:w="273" w:type="pct"/>
            <w:tcBorders>
              <w:top w:val="nil"/>
              <w:left w:val="nil"/>
              <w:bottom w:val="single" w:sz="4" w:space="0" w:color="auto"/>
              <w:right w:val="single" w:sz="4" w:space="0" w:color="auto"/>
            </w:tcBorders>
            <w:shd w:val="clear" w:color="000000" w:fill="FFFFFF"/>
            <w:vAlign w:val="center"/>
            <w:hideMark/>
          </w:tcPr>
          <w:p w14:paraId="17B0A94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Buxhet shteti</w:t>
            </w:r>
          </w:p>
        </w:tc>
      </w:tr>
      <w:tr w:rsidR="000A2254" w:rsidRPr="00B31292" w14:paraId="33F9AE89" w14:textId="77777777" w:rsidTr="000A2254">
        <w:trPr>
          <w:trHeight w:val="20"/>
        </w:trPr>
        <w:tc>
          <w:tcPr>
            <w:tcW w:w="215" w:type="pct"/>
            <w:tcBorders>
              <w:top w:val="nil"/>
              <w:left w:val="nil"/>
              <w:bottom w:val="nil"/>
              <w:right w:val="nil"/>
            </w:tcBorders>
            <w:shd w:val="clear" w:color="000000" w:fill="FFFFFF"/>
            <w:vAlign w:val="bottom"/>
            <w:hideMark/>
          </w:tcPr>
          <w:p w14:paraId="0E02A38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1648138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single" w:sz="4" w:space="0" w:color="000000"/>
              <w:left w:val="single" w:sz="4" w:space="0" w:color="000000"/>
              <w:bottom w:val="single" w:sz="4" w:space="0" w:color="000000"/>
              <w:right w:val="nil"/>
            </w:tcBorders>
            <w:shd w:val="clear" w:color="000000" w:fill="F0F0F0"/>
            <w:vAlign w:val="center"/>
            <w:hideMark/>
          </w:tcPr>
          <w:p w14:paraId="66225006"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1.6</w:t>
            </w:r>
          </w:p>
        </w:tc>
        <w:tc>
          <w:tcPr>
            <w:tcW w:w="4416" w:type="pct"/>
            <w:gridSpan w:val="18"/>
            <w:tcBorders>
              <w:top w:val="single" w:sz="4" w:space="0" w:color="auto"/>
              <w:left w:val="single" w:sz="4" w:space="0" w:color="auto"/>
              <w:bottom w:val="single" w:sz="4" w:space="0" w:color="auto"/>
              <w:right w:val="single" w:sz="4" w:space="0" w:color="auto"/>
            </w:tcBorders>
            <w:shd w:val="clear" w:color="000000" w:fill="F0F0F0"/>
            <w:vAlign w:val="center"/>
            <w:hideMark/>
          </w:tcPr>
          <w:p w14:paraId="4D64ED8A" w14:textId="21E3DA88"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Mbrojtja </w:t>
            </w:r>
            <w:r w:rsidR="00F667B8" w:rsidRPr="00B31292">
              <w:rPr>
                <w:rFonts w:ascii="Garamond" w:eastAsia="Times New Roman" w:hAnsi="Garamond" w:cs="Times New Roman"/>
                <w:color w:val="000000"/>
                <w:sz w:val="10"/>
                <w:szCs w:val="10"/>
              </w:rPr>
              <w:t>s</w:t>
            </w:r>
            <w:r w:rsidRPr="00B31292">
              <w:rPr>
                <w:rFonts w:ascii="Garamond" w:eastAsia="Times New Roman" w:hAnsi="Garamond" w:cs="Times New Roman"/>
                <w:color w:val="000000"/>
                <w:sz w:val="10"/>
                <w:szCs w:val="10"/>
              </w:rPr>
              <w:t>ociale</w:t>
            </w:r>
          </w:p>
        </w:tc>
      </w:tr>
      <w:tr w:rsidR="000A2254" w:rsidRPr="00B31292" w14:paraId="15AC7BEB" w14:textId="77777777" w:rsidTr="000A2254">
        <w:trPr>
          <w:trHeight w:val="20"/>
        </w:trPr>
        <w:tc>
          <w:tcPr>
            <w:tcW w:w="215" w:type="pct"/>
            <w:tcBorders>
              <w:top w:val="nil"/>
              <w:left w:val="nil"/>
              <w:bottom w:val="nil"/>
              <w:right w:val="nil"/>
            </w:tcBorders>
            <w:shd w:val="clear" w:color="000000" w:fill="FFFFFF"/>
            <w:vAlign w:val="bottom"/>
            <w:hideMark/>
          </w:tcPr>
          <w:p w14:paraId="0CA98AB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5F3BA39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0DFF9D2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223D2EC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single" w:sz="4" w:space="0" w:color="auto"/>
              <w:bottom w:val="single" w:sz="4" w:space="0" w:color="auto"/>
              <w:right w:val="single" w:sz="4" w:space="0" w:color="auto"/>
            </w:tcBorders>
            <w:shd w:val="clear" w:color="000000" w:fill="F0F0F0"/>
            <w:vAlign w:val="center"/>
            <w:hideMark/>
          </w:tcPr>
          <w:p w14:paraId="20382598"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1.6.1</w:t>
            </w:r>
          </w:p>
        </w:tc>
        <w:tc>
          <w:tcPr>
            <w:tcW w:w="4082" w:type="pct"/>
            <w:gridSpan w:val="16"/>
            <w:tcBorders>
              <w:top w:val="single" w:sz="4" w:space="0" w:color="auto"/>
              <w:left w:val="nil"/>
              <w:bottom w:val="single" w:sz="4" w:space="0" w:color="auto"/>
              <w:right w:val="single" w:sz="4" w:space="0" w:color="auto"/>
            </w:tcBorders>
            <w:shd w:val="clear" w:color="000000" w:fill="F0F0F0"/>
            <w:vAlign w:val="center"/>
            <w:hideMark/>
          </w:tcPr>
          <w:p w14:paraId="2506EC8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Të dhëna administrative të mbrojtjes sociale</w:t>
            </w:r>
          </w:p>
        </w:tc>
      </w:tr>
      <w:tr w:rsidR="000A2254" w:rsidRPr="00B31292" w14:paraId="2C906A81" w14:textId="77777777" w:rsidTr="000A2254">
        <w:trPr>
          <w:trHeight w:val="20"/>
        </w:trPr>
        <w:tc>
          <w:tcPr>
            <w:tcW w:w="215" w:type="pct"/>
            <w:tcBorders>
              <w:top w:val="nil"/>
              <w:left w:val="nil"/>
              <w:bottom w:val="nil"/>
              <w:right w:val="nil"/>
            </w:tcBorders>
            <w:shd w:val="clear" w:color="000000" w:fill="FFFFFF"/>
            <w:vAlign w:val="bottom"/>
            <w:hideMark/>
          </w:tcPr>
          <w:p w14:paraId="151A926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3770584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6BF89A1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3B3BC0C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7E5EEE6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1AECBF0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000000"/>
              <w:bottom w:val="single" w:sz="4" w:space="0" w:color="000000"/>
              <w:right w:val="single" w:sz="4" w:space="0" w:color="000000"/>
            </w:tcBorders>
            <w:shd w:val="clear" w:color="000000" w:fill="F2F2F2"/>
            <w:vAlign w:val="center"/>
            <w:hideMark/>
          </w:tcPr>
          <w:p w14:paraId="0769790A"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1.6.1.1</w:t>
            </w:r>
          </w:p>
        </w:tc>
        <w:tc>
          <w:tcPr>
            <w:tcW w:w="281" w:type="pct"/>
            <w:tcBorders>
              <w:top w:val="nil"/>
              <w:left w:val="nil"/>
              <w:bottom w:val="single" w:sz="4" w:space="0" w:color="000000"/>
              <w:right w:val="single" w:sz="4" w:space="0" w:color="000000"/>
            </w:tcBorders>
            <w:shd w:val="clear" w:color="000000" w:fill="F2F2F2"/>
            <w:vAlign w:val="center"/>
            <w:hideMark/>
          </w:tcPr>
          <w:p w14:paraId="74553405"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Të dhëna administrative të mbrojtjes sociale</w:t>
            </w:r>
          </w:p>
        </w:tc>
        <w:tc>
          <w:tcPr>
            <w:tcW w:w="236" w:type="pct"/>
            <w:tcBorders>
              <w:top w:val="nil"/>
              <w:left w:val="nil"/>
              <w:bottom w:val="single" w:sz="4" w:space="0" w:color="000000"/>
              <w:right w:val="single" w:sz="4" w:space="0" w:color="000000"/>
            </w:tcBorders>
            <w:shd w:val="clear" w:color="000000" w:fill="F2F2F2"/>
            <w:vAlign w:val="center"/>
            <w:hideMark/>
          </w:tcPr>
          <w:p w14:paraId="03B99749"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38" w:type="pct"/>
            <w:tcBorders>
              <w:top w:val="nil"/>
              <w:left w:val="nil"/>
              <w:bottom w:val="single" w:sz="4" w:space="0" w:color="auto"/>
              <w:right w:val="single" w:sz="4" w:space="0" w:color="auto"/>
            </w:tcBorders>
            <w:shd w:val="clear" w:color="000000" w:fill="F2F2F2"/>
            <w:vAlign w:val="center"/>
            <w:hideMark/>
          </w:tcPr>
          <w:p w14:paraId="01ED7B8D"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180" w:type="pct"/>
            <w:tcBorders>
              <w:top w:val="nil"/>
              <w:left w:val="nil"/>
              <w:bottom w:val="single" w:sz="4" w:space="0" w:color="auto"/>
              <w:right w:val="single" w:sz="4" w:space="0" w:color="auto"/>
            </w:tcBorders>
            <w:shd w:val="clear" w:color="000000" w:fill="F2F2F2"/>
            <w:vAlign w:val="center"/>
            <w:hideMark/>
          </w:tcPr>
          <w:p w14:paraId="0EA99443"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28" w:type="pct"/>
            <w:tcBorders>
              <w:top w:val="nil"/>
              <w:left w:val="nil"/>
              <w:bottom w:val="single" w:sz="4" w:space="0" w:color="000000"/>
              <w:right w:val="single" w:sz="4" w:space="0" w:color="000000"/>
            </w:tcBorders>
            <w:shd w:val="clear" w:color="000000" w:fill="F2F2F2"/>
            <w:vAlign w:val="center"/>
            <w:hideMark/>
          </w:tcPr>
          <w:p w14:paraId="1AA97F2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22" w:type="pct"/>
            <w:tcBorders>
              <w:top w:val="nil"/>
              <w:left w:val="nil"/>
              <w:bottom w:val="single" w:sz="4" w:space="0" w:color="000000"/>
              <w:right w:val="single" w:sz="4" w:space="0" w:color="000000"/>
            </w:tcBorders>
            <w:shd w:val="clear" w:color="000000" w:fill="F2F2F2"/>
            <w:vAlign w:val="center"/>
            <w:hideMark/>
          </w:tcPr>
          <w:p w14:paraId="737E9C4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486" w:type="pct"/>
            <w:tcBorders>
              <w:top w:val="nil"/>
              <w:left w:val="nil"/>
              <w:bottom w:val="single" w:sz="4" w:space="0" w:color="000000"/>
              <w:right w:val="single" w:sz="4" w:space="0" w:color="000000"/>
            </w:tcBorders>
            <w:shd w:val="clear" w:color="000000" w:fill="F2F2F2"/>
            <w:vAlign w:val="center"/>
            <w:hideMark/>
          </w:tcPr>
          <w:p w14:paraId="5B3D5B3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99" w:type="pct"/>
            <w:tcBorders>
              <w:top w:val="nil"/>
              <w:left w:val="nil"/>
              <w:bottom w:val="single" w:sz="4" w:space="0" w:color="000000"/>
              <w:right w:val="nil"/>
            </w:tcBorders>
            <w:shd w:val="clear" w:color="000000" w:fill="F2F2F2"/>
            <w:vAlign w:val="center"/>
            <w:hideMark/>
          </w:tcPr>
          <w:p w14:paraId="5BE0C1D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24" w:type="pct"/>
            <w:tcBorders>
              <w:top w:val="nil"/>
              <w:left w:val="single" w:sz="4" w:space="0" w:color="auto"/>
              <w:bottom w:val="single" w:sz="4" w:space="0" w:color="auto"/>
              <w:right w:val="single" w:sz="4" w:space="0" w:color="auto"/>
            </w:tcBorders>
            <w:shd w:val="clear" w:color="000000" w:fill="F2F2F2"/>
            <w:vAlign w:val="center"/>
            <w:hideMark/>
          </w:tcPr>
          <w:p w14:paraId="5878464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44" w:type="pct"/>
            <w:tcBorders>
              <w:top w:val="nil"/>
              <w:left w:val="nil"/>
              <w:bottom w:val="single" w:sz="4" w:space="0" w:color="auto"/>
              <w:right w:val="single" w:sz="4" w:space="0" w:color="auto"/>
            </w:tcBorders>
            <w:shd w:val="clear" w:color="000000" w:fill="F2F2F2"/>
            <w:noWrap/>
            <w:vAlign w:val="center"/>
            <w:hideMark/>
          </w:tcPr>
          <w:p w14:paraId="192D7D25"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20" w:type="pct"/>
            <w:tcBorders>
              <w:top w:val="nil"/>
              <w:left w:val="nil"/>
              <w:bottom w:val="single" w:sz="4" w:space="0" w:color="auto"/>
              <w:right w:val="single" w:sz="4" w:space="0" w:color="auto"/>
            </w:tcBorders>
            <w:shd w:val="clear" w:color="000000" w:fill="F2F2F2"/>
            <w:noWrap/>
            <w:vAlign w:val="center"/>
            <w:hideMark/>
          </w:tcPr>
          <w:p w14:paraId="0126BC60"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20" w:type="pct"/>
            <w:tcBorders>
              <w:top w:val="nil"/>
              <w:left w:val="nil"/>
              <w:bottom w:val="single" w:sz="4" w:space="0" w:color="auto"/>
              <w:right w:val="single" w:sz="4" w:space="0" w:color="auto"/>
            </w:tcBorders>
            <w:shd w:val="clear" w:color="000000" w:fill="F2F2F2"/>
            <w:noWrap/>
            <w:vAlign w:val="center"/>
            <w:hideMark/>
          </w:tcPr>
          <w:p w14:paraId="461570BD"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346" w:type="pct"/>
            <w:tcBorders>
              <w:top w:val="nil"/>
              <w:left w:val="nil"/>
              <w:bottom w:val="single" w:sz="4" w:space="0" w:color="auto"/>
              <w:right w:val="single" w:sz="4" w:space="0" w:color="auto"/>
            </w:tcBorders>
            <w:shd w:val="clear" w:color="000000" w:fill="F2F2F2"/>
            <w:vAlign w:val="center"/>
            <w:hideMark/>
          </w:tcPr>
          <w:p w14:paraId="3F92CF8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73" w:type="pct"/>
            <w:tcBorders>
              <w:top w:val="nil"/>
              <w:left w:val="nil"/>
              <w:bottom w:val="single" w:sz="4" w:space="0" w:color="auto"/>
              <w:right w:val="single" w:sz="4" w:space="0" w:color="auto"/>
            </w:tcBorders>
            <w:shd w:val="clear" w:color="000000" w:fill="F2F2F2"/>
            <w:vAlign w:val="center"/>
            <w:hideMark/>
          </w:tcPr>
          <w:p w14:paraId="7E30AE0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r>
      <w:tr w:rsidR="000A2254" w:rsidRPr="00B31292" w14:paraId="2423CB48" w14:textId="77777777" w:rsidTr="000A2254">
        <w:trPr>
          <w:trHeight w:val="20"/>
        </w:trPr>
        <w:tc>
          <w:tcPr>
            <w:tcW w:w="215" w:type="pct"/>
            <w:tcBorders>
              <w:top w:val="nil"/>
              <w:left w:val="nil"/>
              <w:bottom w:val="nil"/>
              <w:right w:val="nil"/>
            </w:tcBorders>
            <w:shd w:val="clear" w:color="000000" w:fill="FFFFFF"/>
            <w:vAlign w:val="bottom"/>
            <w:hideMark/>
          </w:tcPr>
          <w:p w14:paraId="3B52A05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6BDF174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688C020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5E3702F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7F7A771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18372BE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000000"/>
              <w:bottom w:val="single" w:sz="4" w:space="0" w:color="000000"/>
              <w:right w:val="single" w:sz="4" w:space="0" w:color="000000"/>
            </w:tcBorders>
            <w:shd w:val="clear" w:color="auto" w:fill="auto"/>
            <w:vAlign w:val="center"/>
            <w:hideMark/>
          </w:tcPr>
          <w:p w14:paraId="179D386F"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1.6.1.1.a</w:t>
            </w:r>
          </w:p>
        </w:tc>
        <w:tc>
          <w:tcPr>
            <w:tcW w:w="281" w:type="pct"/>
            <w:tcBorders>
              <w:top w:val="nil"/>
              <w:left w:val="nil"/>
              <w:bottom w:val="single" w:sz="4" w:space="0" w:color="000000"/>
              <w:right w:val="single" w:sz="4" w:space="0" w:color="000000"/>
            </w:tcBorders>
            <w:shd w:val="clear" w:color="auto" w:fill="auto"/>
            <w:vAlign w:val="center"/>
            <w:hideMark/>
          </w:tcPr>
          <w:p w14:paraId="058AAE2E"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Statistika të ndihmës ekonomike</w:t>
            </w:r>
          </w:p>
        </w:tc>
        <w:tc>
          <w:tcPr>
            <w:tcW w:w="236" w:type="pct"/>
            <w:tcBorders>
              <w:top w:val="nil"/>
              <w:left w:val="nil"/>
              <w:bottom w:val="single" w:sz="4" w:space="0" w:color="000000"/>
              <w:right w:val="single" w:sz="4" w:space="0" w:color="000000"/>
            </w:tcBorders>
            <w:shd w:val="clear" w:color="auto" w:fill="auto"/>
            <w:vAlign w:val="center"/>
            <w:hideMark/>
          </w:tcPr>
          <w:p w14:paraId="3448C280"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Burim administrativ</w:t>
            </w:r>
          </w:p>
        </w:tc>
        <w:tc>
          <w:tcPr>
            <w:tcW w:w="238" w:type="pct"/>
            <w:tcBorders>
              <w:top w:val="nil"/>
              <w:left w:val="nil"/>
              <w:bottom w:val="single" w:sz="4" w:space="0" w:color="auto"/>
              <w:right w:val="single" w:sz="4" w:space="0" w:color="auto"/>
            </w:tcBorders>
            <w:shd w:val="clear" w:color="auto" w:fill="auto"/>
            <w:vAlign w:val="center"/>
            <w:hideMark/>
          </w:tcPr>
          <w:p w14:paraId="665A6D48"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180" w:type="pct"/>
            <w:tcBorders>
              <w:top w:val="nil"/>
              <w:left w:val="nil"/>
              <w:bottom w:val="single" w:sz="4" w:space="0" w:color="auto"/>
              <w:right w:val="single" w:sz="4" w:space="0" w:color="auto"/>
            </w:tcBorders>
            <w:shd w:val="clear" w:color="auto" w:fill="auto"/>
            <w:vAlign w:val="center"/>
            <w:hideMark/>
          </w:tcPr>
          <w:p w14:paraId="361F599E"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28" w:type="pct"/>
            <w:tcBorders>
              <w:top w:val="nil"/>
              <w:left w:val="nil"/>
              <w:bottom w:val="single" w:sz="4" w:space="0" w:color="auto"/>
              <w:right w:val="single" w:sz="4" w:space="0" w:color="auto"/>
            </w:tcBorders>
            <w:shd w:val="clear" w:color="auto" w:fill="auto"/>
            <w:vAlign w:val="center"/>
            <w:hideMark/>
          </w:tcPr>
          <w:p w14:paraId="6BBDE2E7"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I vazhdueshëm</w:t>
            </w:r>
          </w:p>
        </w:tc>
        <w:tc>
          <w:tcPr>
            <w:tcW w:w="222" w:type="pct"/>
            <w:tcBorders>
              <w:top w:val="nil"/>
              <w:left w:val="nil"/>
              <w:bottom w:val="single" w:sz="4" w:space="0" w:color="000000"/>
              <w:right w:val="single" w:sz="4" w:space="0" w:color="000000"/>
            </w:tcBorders>
            <w:shd w:val="clear" w:color="000000" w:fill="FFFFFF"/>
            <w:vAlign w:val="center"/>
            <w:hideMark/>
          </w:tcPr>
          <w:p w14:paraId="6EB6B652" w14:textId="61DF4B4F"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4</w:t>
            </w:r>
            <w:r w:rsidR="00FD245C" w:rsidRPr="00B31292">
              <w:rPr>
                <w:rFonts w:ascii="Garamond" w:eastAsia="Times New Roman" w:hAnsi="Garamond" w:cs="Times New Roman"/>
                <w:sz w:val="10"/>
                <w:szCs w:val="10"/>
              </w:rPr>
              <w:t>-</w:t>
            </w:r>
            <w:r w:rsidRPr="00B31292">
              <w:rPr>
                <w:rFonts w:ascii="Garamond" w:eastAsia="Times New Roman" w:hAnsi="Garamond" w:cs="Times New Roman"/>
                <w:sz w:val="10"/>
                <w:szCs w:val="10"/>
              </w:rPr>
              <w:t>mujor</w:t>
            </w:r>
          </w:p>
        </w:tc>
        <w:tc>
          <w:tcPr>
            <w:tcW w:w="486" w:type="pct"/>
            <w:tcBorders>
              <w:top w:val="nil"/>
              <w:left w:val="nil"/>
              <w:bottom w:val="single" w:sz="4" w:space="0" w:color="000000"/>
              <w:right w:val="single" w:sz="4" w:space="0" w:color="000000"/>
            </w:tcBorders>
            <w:shd w:val="clear" w:color="auto" w:fill="auto"/>
            <w:vAlign w:val="center"/>
            <w:hideMark/>
          </w:tcPr>
          <w:p w14:paraId="727D521C" w14:textId="57287AB2"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1.</w:t>
            </w:r>
            <w:r w:rsidR="002E2911" w:rsidRPr="00B31292">
              <w:rPr>
                <w:rFonts w:ascii="Garamond" w:eastAsia="Times New Roman" w:hAnsi="Garamond" w:cs="Times New Roman"/>
                <w:sz w:val="10"/>
                <w:szCs w:val="10"/>
              </w:rPr>
              <w:t xml:space="preserve"> </w:t>
            </w:r>
            <w:r w:rsidRPr="00B31292">
              <w:rPr>
                <w:rFonts w:ascii="Garamond" w:eastAsia="Times New Roman" w:hAnsi="Garamond" w:cs="Times New Roman"/>
                <w:sz w:val="10"/>
                <w:szCs w:val="10"/>
              </w:rPr>
              <w:t>Numri familjeve në nevojë</w:t>
            </w:r>
            <w:r w:rsidR="002E2911" w:rsidRPr="00B31292">
              <w:rPr>
                <w:rFonts w:ascii="Garamond" w:eastAsia="Times New Roman" w:hAnsi="Garamond" w:cs="Times New Roman"/>
                <w:sz w:val="10"/>
                <w:szCs w:val="10"/>
              </w:rPr>
              <w:t xml:space="preserve"> </w:t>
            </w:r>
            <w:r w:rsidRPr="00B31292">
              <w:rPr>
                <w:rFonts w:ascii="Garamond" w:eastAsia="Times New Roman" w:hAnsi="Garamond" w:cs="Times New Roman"/>
                <w:sz w:val="10"/>
                <w:szCs w:val="10"/>
              </w:rPr>
              <w:t>që përfitojnë ndihmë ekonomike nga skema e NE</w:t>
            </w:r>
            <w:r w:rsidR="00F667B8" w:rsidRPr="00B31292">
              <w:rPr>
                <w:rFonts w:ascii="Garamond" w:eastAsia="Times New Roman" w:hAnsi="Garamond" w:cs="Times New Roman"/>
                <w:sz w:val="10"/>
                <w:szCs w:val="10"/>
              </w:rPr>
              <w:t>-së</w:t>
            </w:r>
            <w:r w:rsidRPr="00B31292">
              <w:rPr>
                <w:rFonts w:ascii="Garamond" w:eastAsia="Times New Roman" w:hAnsi="Garamond" w:cs="Times New Roman"/>
                <w:sz w:val="10"/>
                <w:szCs w:val="10"/>
              </w:rPr>
              <w:t xml:space="preserve"> dhe fondi përkatës</w:t>
            </w:r>
            <w:r w:rsidR="00F667B8"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2. Numri i familjeve në ndihmë ekonomike sipas strukturës së familjes</w:t>
            </w:r>
            <w:r w:rsidR="00F667B8"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3. Numri</w:t>
            </w:r>
            <w:r w:rsidR="002E2911" w:rsidRPr="00B31292">
              <w:rPr>
                <w:rFonts w:ascii="Garamond" w:eastAsia="Times New Roman" w:hAnsi="Garamond" w:cs="Times New Roman"/>
                <w:sz w:val="10"/>
                <w:szCs w:val="10"/>
              </w:rPr>
              <w:t xml:space="preserve"> </w:t>
            </w:r>
            <w:r w:rsidRPr="00B31292">
              <w:rPr>
                <w:rFonts w:ascii="Garamond" w:eastAsia="Times New Roman" w:hAnsi="Garamond" w:cs="Times New Roman"/>
                <w:sz w:val="10"/>
                <w:szCs w:val="10"/>
              </w:rPr>
              <w:t xml:space="preserve">i </w:t>
            </w:r>
            <w:r w:rsidR="00FD245C" w:rsidRPr="00B31292">
              <w:rPr>
                <w:rFonts w:ascii="Garamond" w:eastAsia="Times New Roman" w:hAnsi="Garamond" w:cs="Times New Roman"/>
                <w:sz w:val="10"/>
                <w:szCs w:val="10"/>
              </w:rPr>
              <w:t>individëve</w:t>
            </w:r>
            <w:r w:rsidRPr="00B31292">
              <w:rPr>
                <w:rFonts w:ascii="Garamond" w:eastAsia="Times New Roman" w:hAnsi="Garamond" w:cs="Times New Roman"/>
                <w:sz w:val="10"/>
                <w:szCs w:val="10"/>
              </w:rPr>
              <w:t xml:space="preserve"> në nevojë</w:t>
            </w:r>
            <w:r w:rsidR="002E2911" w:rsidRPr="00B31292">
              <w:rPr>
                <w:rFonts w:ascii="Garamond" w:eastAsia="Times New Roman" w:hAnsi="Garamond" w:cs="Times New Roman"/>
                <w:sz w:val="10"/>
                <w:szCs w:val="10"/>
              </w:rPr>
              <w:t xml:space="preserve"> </w:t>
            </w:r>
            <w:r w:rsidRPr="00B31292">
              <w:rPr>
                <w:rFonts w:ascii="Garamond" w:eastAsia="Times New Roman" w:hAnsi="Garamond" w:cs="Times New Roman"/>
                <w:sz w:val="10"/>
                <w:szCs w:val="10"/>
              </w:rPr>
              <w:t xml:space="preserve">që </w:t>
            </w:r>
            <w:r w:rsidR="00FD245C" w:rsidRPr="00B31292">
              <w:rPr>
                <w:rFonts w:ascii="Garamond" w:eastAsia="Times New Roman" w:hAnsi="Garamond" w:cs="Times New Roman"/>
                <w:sz w:val="10"/>
                <w:szCs w:val="10"/>
              </w:rPr>
              <w:t>përfitojnë</w:t>
            </w:r>
            <w:r w:rsidRPr="00B31292">
              <w:rPr>
                <w:rFonts w:ascii="Garamond" w:eastAsia="Times New Roman" w:hAnsi="Garamond" w:cs="Times New Roman"/>
                <w:sz w:val="10"/>
                <w:szCs w:val="10"/>
              </w:rPr>
              <w:t xml:space="preserve"> ndihmë ekonomike nga skema e NE</w:t>
            </w:r>
            <w:r w:rsidR="00F667B8" w:rsidRPr="00B31292">
              <w:rPr>
                <w:rFonts w:ascii="Garamond" w:eastAsia="Times New Roman" w:hAnsi="Garamond" w:cs="Times New Roman"/>
                <w:sz w:val="10"/>
                <w:szCs w:val="10"/>
              </w:rPr>
              <w:t>-së</w:t>
            </w:r>
            <w:r w:rsidR="002E2911" w:rsidRPr="00B31292">
              <w:rPr>
                <w:rFonts w:ascii="Garamond" w:eastAsia="Times New Roman" w:hAnsi="Garamond" w:cs="Times New Roman"/>
                <w:sz w:val="10"/>
                <w:szCs w:val="10"/>
              </w:rPr>
              <w:t xml:space="preserve"> </w:t>
            </w:r>
            <w:r w:rsidRPr="00B31292">
              <w:rPr>
                <w:rFonts w:ascii="Garamond" w:eastAsia="Times New Roman" w:hAnsi="Garamond" w:cs="Times New Roman"/>
                <w:sz w:val="10"/>
                <w:szCs w:val="10"/>
              </w:rPr>
              <w:t>dhe fondi përkatës</w:t>
            </w:r>
            <w:r w:rsidR="00F667B8"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4. Numri i familjeve</w:t>
            </w:r>
            <w:r w:rsidR="002E2911" w:rsidRPr="00B31292">
              <w:rPr>
                <w:rFonts w:ascii="Garamond" w:eastAsia="Times New Roman" w:hAnsi="Garamond" w:cs="Times New Roman"/>
                <w:sz w:val="10"/>
                <w:szCs w:val="10"/>
              </w:rPr>
              <w:t xml:space="preserve"> </w:t>
            </w:r>
            <w:r w:rsidRPr="00B31292">
              <w:rPr>
                <w:rFonts w:ascii="Garamond" w:eastAsia="Times New Roman" w:hAnsi="Garamond" w:cs="Times New Roman"/>
                <w:sz w:val="10"/>
                <w:szCs w:val="10"/>
              </w:rPr>
              <w:t>në nevojë</w:t>
            </w:r>
            <w:r w:rsidR="002E2911" w:rsidRPr="00B31292">
              <w:rPr>
                <w:rFonts w:ascii="Garamond" w:eastAsia="Times New Roman" w:hAnsi="Garamond" w:cs="Times New Roman"/>
                <w:sz w:val="10"/>
                <w:szCs w:val="10"/>
              </w:rPr>
              <w:t xml:space="preserve"> </w:t>
            </w:r>
            <w:r w:rsidRPr="00B31292">
              <w:rPr>
                <w:rFonts w:ascii="Garamond" w:eastAsia="Times New Roman" w:hAnsi="Garamond" w:cs="Times New Roman"/>
                <w:sz w:val="10"/>
                <w:szCs w:val="10"/>
              </w:rPr>
              <w:lastRenderedPageBreak/>
              <w:t xml:space="preserve">që </w:t>
            </w:r>
            <w:r w:rsidR="00FD245C" w:rsidRPr="00B31292">
              <w:rPr>
                <w:rFonts w:ascii="Garamond" w:eastAsia="Times New Roman" w:hAnsi="Garamond" w:cs="Times New Roman"/>
                <w:sz w:val="10"/>
                <w:szCs w:val="10"/>
              </w:rPr>
              <w:t>përfitojnë</w:t>
            </w:r>
            <w:r w:rsidRPr="00B31292">
              <w:rPr>
                <w:rFonts w:ascii="Garamond" w:eastAsia="Times New Roman" w:hAnsi="Garamond" w:cs="Times New Roman"/>
                <w:sz w:val="10"/>
                <w:szCs w:val="10"/>
              </w:rPr>
              <w:t xml:space="preserve"> ndihmë ekonomike nga bashkitë (me PAK, rom, kryef</w:t>
            </w:r>
            <w:r w:rsidR="00FD245C" w:rsidRPr="00B31292">
              <w:rPr>
                <w:rFonts w:ascii="Garamond" w:eastAsia="Times New Roman" w:hAnsi="Garamond" w:cs="Times New Roman"/>
                <w:sz w:val="10"/>
                <w:szCs w:val="10"/>
              </w:rPr>
              <w:t>.</w:t>
            </w:r>
            <w:r w:rsidRPr="00B31292">
              <w:rPr>
                <w:rFonts w:ascii="Garamond" w:eastAsia="Times New Roman" w:hAnsi="Garamond" w:cs="Times New Roman"/>
                <w:sz w:val="10"/>
                <w:szCs w:val="10"/>
              </w:rPr>
              <w:t>/gra</w:t>
            </w:r>
            <w:r w:rsidR="002E2911" w:rsidRPr="00B31292">
              <w:rPr>
                <w:rFonts w:ascii="Garamond" w:eastAsia="Times New Roman" w:hAnsi="Garamond" w:cs="Times New Roman"/>
                <w:sz w:val="10"/>
                <w:szCs w:val="10"/>
              </w:rPr>
              <w:t xml:space="preserve"> </w:t>
            </w:r>
            <w:r w:rsidRPr="00B31292">
              <w:rPr>
                <w:rFonts w:ascii="Garamond" w:eastAsia="Times New Roman" w:hAnsi="Garamond" w:cs="Times New Roman"/>
                <w:sz w:val="10"/>
                <w:szCs w:val="10"/>
              </w:rPr>
              <w:t>dhe fondi përkatës)</w:t>
            </w:r>
            <w:r w:rsidR="00F667B8"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 xml:space="preserve">5. Familje në skemën e ndihmës ekonomike sipas përbërjes së familjeve (me </w:t>
            </w:r>
            <w:r w:rsidR="00F667B8" w:rsidRPr="00B31292">
              <w:rPr>
                <w:rFonts w:ascii="Garamond" w:eastAsia="Times New Roman" w:hAnsi="Garamond" w:cs="Times New Roman"/>
                <w:sz w:val="10"/>
                <w:szCs w:val="10"/>
              </w:rPr>
              <w:t>PAK</w:t>
            </w:r>
            <w:r w:rsidRPr="00B31292">
              <w:rPr>
                <w:rFonts w:ascii="Garamond" w:eastAsia="Times New Roman" w:hAnsi="Garamond" w:cs="Times New Roman"/>
                <w:sz w:val="10"/>
                <w:szCs w:val="10"/>
              </w:rPr>
              <w:t>, rom, kryef</w:t>
            </w:r>
            <w:r w:rsidR="00FD245C" w:rsidRPr="00B31292">
              <w:rPr>
                <w:rFonts w:ascii="Garamond" w:eastAsia="Times New Roman" w:hAnsi="Garamond" w:cs="Times New Roman"/>
                <w:sz w:val="10"/>
                <w:szCs w:val="10"/>
              </w:rPr>
              <w:t>.</w:t>
            </w:r>
            <w:r w:rsidRPr="00B31292">
              <w:rPr>
                <w:rFonts w:ascii="Garamond" w:eastAsia="Times New Roman" w:hAnsi="Garamond" w:cs="Times New Roman"/>
                <w:sz w:val="10"/>
                <w:szCs w:val="10"/>
              </w:rPr>
              <w:t>/gra)</w:t>
            </w:r>
            <w:r w:rsidR="00F667B8"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6. Numri i qendrave sociale</w:t>
            </w:r>
            <w:r w:rsidR="002E2911" w:rsidRPr="00B31292">
              <w:rPr>
                <w:rFonts w:ascii="Garamond" w:eastAsia="Times New Roman" w:hAnsi="Garamond" w:cs="Times New Roman"/>
                <w:sz w:val="10"/>
                <w:szCs w:val="10"/>
              </w:rPr>
              <w:t xml:space="preserve"> </w:t>
            </w:r>
            <w:r w:rsidRPr="00B31292">
              <w:rPr>
                <w:rFonts w:ascii="Garamond" w:eastAsia="Times New Roman" w:hAnsi="Garamond" w:cs="Times New Roman"/>
                <w:sz w:val="10"/>
                <w:szCs w:val="10"/>
              </w:rPr>
              <w:t>(rezidenciale dhe ditore, publike dhe private) dhe numri i përfituesve në këto qendra</w:t>
            </w:r>
            <w:r w:rsidR="00F667B8" w:rsidRPr="00B31292">
              <w:rPr>
                <w:rFonts w:ascii="Garamond" w:eastAsia="Times New Roman" w:hAnsi="Garamond" w:cs="Times New Roman"/>
                <w:sz w:val="10"/>
                <w:szCs w:val="10"/>
              </w:rPr>
              <w:t>.</w:t>
            </w:r>
          </w:p>
        </w:tc>
        <w:tc>
          <w:tcPr>
            <w:tcW w:w="299" w:type="pct"/>
            <w:tcBorders>
              <w:top w:val="nil"/>
              <w:left w:val="nil"/>
              <w:bottom w:val="single" w:sz="4" w:space="0" w:color="000000"/>
              <w:right w:val="nil"/>
            </w:tcBorders>
            <w:shd w:val="clear" w:color="auto" w:fill="auto"/>
            <w:vAlign w:val="center"/>
            <w:hideMark/>
          </w:tcPr>
          <w:p w14:paraId="4CC3F2C8"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lastRenderedPageBreak/>
              <w:t>Shërbimi Social Shtetëror</w:t>
            </w:r>
          </w:p>
        </w:tc>
        <w:tc>
          <w:tcPr>
            <w:tcW w:w="224" w:type="pct"/>
            <w:tcBorders>
              <w:top w:val="nil"/>
              <w:left w:val="single" w:sz="4" w:space="0" w:color="auto"/>
              <w:bottom w:val="single" w:sz="4" w:space="0" w:color="auto"/>
              <w:right w:val="single" w:sz="4" w:space="0" w:color="auto"/>
            </w:tcBorders>
            <w:shd w:val="clear" w:color="auto" w:fill="auto"/>
            <w:vAlign w:val="center"/>
            <w:hideMark/>
          </w:tcPr>
          <w:p w14:paraId="1445D12E" w14:textId="62D41BB8"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INSTAT</w:t>
            </w:r>
            <w:r w:rsidR="00F667B8" w:rsidRPr="00B31292">
              <w:rPr>
                <w:rFonts w:ascii="Garamond" w:eastAsia="Times New Roman" w:hAnsi="Garamond" w:cs="Times New Roman"/>
                <w:sz w:val="10"/>
                <w:szCs w:val="10"/>
              </w:rPr>
              <w:t>-i</w:t>
            </w:r>
          </w:p>
        </w:tc>
        <w:tc>
          <w:tcPr>
            <w:tcW w:w="244" w:type="pct"/>
            <w:tcBorders>
              <w:top w:val="nil"/>
              <w:left w:val="nil"/>
              <w:bottom w:val="single" w:sz="4" w:space="0" w:color="auto"/>
              <w:right w:val="single" w:sz="4" w:space="0" w:color="auto"/>
            </w:tcBorders>
            <w:shd w:val="clear" w:color="000000" w:fill="FFFFFF"/>
            <w:vAlign w:val="center"/>
            <w:hideMark/>
          </w:tcPr>
          <w:p w14:paraId="5576821D"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xml:space="preserve"> K + 50D</w:t>
            </w:r>
          </w:p>
        </w:tc>
        <w:tc>
          <w:tcPr>
            <w:tcW w:w="220" w:type="pct"/>
            <w:tcBorders>
              <w:top w:val="nil"/>
              <w:left w:val="nil"/>
              <w:bottom w:val="single" w:sz="4" w:space="0" w:color="auto"/>
              <w:right w:val="single" w:sz="4" w:space="0" w:color="auto"/>
            </w:tcBorders>
            <w:shd w:val="clear" w:color="000000" w:fill="FFFFFF"/>
            <w:vAlign w:val="center"/>
            <w:hideMark/>
          </w:tcPr>
          <w:p w14:paraId="3E6A796A"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xml:space="preserve"> K + 60D</w:t>
            </w:r>
          </w:p>
        </w:tc>
        <w:tc>
          <w:tcPr>
            <w:tcW w:w="220" w:type="pct"/>
            <w:tcBorders>
              <w:top w:val="nil"/>
              <w:left w:val="nil"/>
              <w:bottom w:val="single" w:sz="4" w:space="0" w:color="auto"/>
              <w:right w:val="single" w:sz="4" w:space="0" w:color="auto"/>
            </w:tcBorders>
            <w:shd w:val="clear" w:color="000000" w:fill="FFFFFF"/>
            <w:vAlign w:val="center"/>
            <w:hideMark/>
          </w:tcPr>
          <w:p w14:paraId="15C09A0C"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xml:space="preserve"> K+ 62D</w:t>
            </w:r>
          </w:p>
        </w:tc>
        <w:tc>
          <w:tcPr>
            <w:tcW w:w="346" w:type="pct"/>
            <w:tcBorders>
              <w:top w:val="nil"/>
              <w:left w:val="nil"/>
              <w:bottom w:val="single" w:sz="4" w:space="0" w:color="auto"/>
              <w:right w:val="single" w:sz="4" w:space="0" w:color="auto"/>
            </w:tcBorders>
            <w:shd w:val="clear" w:color="auto" w:fill="auto"/>
            <w:vAlign w:val="center"/>
            <w:hideMark/>
          </w:tcPr>
          <w:p w14:paraId="18E27D3A" w14:textId="47541AAE"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xml:space="preserve">1. </w:t>
            </w:r>
            <w:r w:rsidR="00FD245C" w:rsidRPr="00B31292">
              <w:rPr>
                <w:rFonts w:ascii="Garamond" w:eastAsia="Times New Roman" w:hAnsi="Garamond" w:cs="Times New Roman"/>
                <w:sz w:val="10"/>
                <w:szCs w:val="10"/>
              </w:rPr>
              <w:t>Vonesa në marrjen e të dhënave</w:t>
            </w:r>
            <w:r w:rsidRPr="00B31292">
              <w:rPr>
                <w:rFonts w:ascii="Garamond" w:eastAsia="Times New Roman" w:hAnsi="Garamond" w:cs="Times New Roman"/>
                <w:sz w:val="10"/>
                <w:szCs w:val="10"/>
              </w:rPr>
              <w:t xml:space="preserve"> administrative nga burimi -|- 6</w:t>
            </w:r>
          </w:p>
        </w:tc>
        <w:tc>
          <w:tcPr>
            <w:tcW w:w="273" w:type="pct"/>
            <w:tcBorders>
              <w:top w:val="nil"/>
              <w:left w:val="nil"/>
              <w:bottom w:val="single" w:sz="4" w:space="0" w:color="auto"/>
              <w:right w:val="single" w:sz="4" w:space="0" w:color="auto"/>
            </w:tcBorders>
            <w:shd w:val="clear" w:color="auto" w:fill="auto"/>
            <w:vAlign w:val="center"/>
            <w:hideMark/>
          </w:tcPr>
          <w:p w14:paraId="43EADCC2"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Buxhet shteti</w:t>
            </w:r>
          </w:p>
        </w:tc>
      </w:tr>
      <w:tr w:rsidR="000A2254" w:rsidRPr="00B31292" w14:paraId="45DDF062" w14:textId="77777777" w:rsidTr="000A2254">
        <w:trPr>
          <w:trHeight w:val="20"/>
        </w:trPr>
        <w:tc>
          <w:tcPr>
            <w:tcW w:w="215" w:type="pct"/>
            <w:tcBorders>
              <w:top w:val="nil"/>
              <w:left w:val="nil"/>
              <w:bottom w:val="nil"/>
              <w:right w:val="nil"/>
            </w:tcBorders>
            <w:shd w:val="clear" w:color="000000" w:fill="FFFFFF"/>
            <w:vAlign w:val="bottom"/>
            <w:hideMark/>
          </w:tcPr>
          <w:p w14:paraId="0C3A439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3240387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64C439E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56EE1D9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07F33A47"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190F5D4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000000"/>
              <w:bottom w:val="single" w:sz="4" w:space="0" w:color="000000"/>
              <w:right w:val="single" w:sz="4" w:space="0" w:color="000000"/>
            </w:tcBorders>
            <w:shd w:val="clear" w:color="auto" w:fill="auto"/>
            <w:vAlign w:val="center"/>
            <w:hideMark/>
          </w:tcPr>
          <w:p w14:paraId="7D7A626D"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1.6.1.1.b</w:t>
            </w:r>
          </w:p>
        </w:tc>
        <w:tc>
          <w:tcPr>
            <w:tcW w:w="281" w:type="pct"/>
            <w:tcBorders>
              <w:top w:val="nil"/>
              <w:left w:val="nil"/>
              <w:bottom w:val="single" w:sz="4" w:space="0" w:color="000000"/>
              <w:right w:val="single" w:sz="4" w:space="0" w:color="000000"/>
            </w:tcBorders>
            <w:shd w:val="clear" w:color="auto" w:fill="auto"/>
            <w:vAlign w:val="center"/>
            <w:hideMark/>
          </w:tcPr>
          <w:p w14:paraId="5B1EF68B" w14:textId="7E449992"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xml:space="preserve">Statistika të </w:t>
            </w:r>
            <w:r w:rsidR="00F667B8" w:rsidRPr="00B31292">
              <w:rPr>
                <w:rFonts w:ascii="Garamond" w:eastAsia="Times New Roman" w:hAnsi="Garamond" w:cs="Times New Roman"/>
                <w:sz w:val="10"/>
                <w:szCs w:val="10"/>
              </w:rPr>
              <w:t>a</w:t>
            </w:r>
            <w:r w:rsidRPr="00B31292">
              <w:rPr>
                <w:rFonts w:ascii="Garamond" w:eastAsia="Times New Roman" w:hAnsi="Garamond" w:cs="Times New Roman"/>
                <w:sz w:val="10"/>
                <w:szCs w:val="10"/>
              </w:rPr>
              <w:t>ftësisë së kufizuar</w:t>
            </w:r>
          </w:p>
        </w:tc>
        <w:tc>
          <w:tcPr>
            <w:tcW w:w="236" w:type="pct"/>
            <w:tcBorders>
              <w:top w:val="nil"/>
              <w:left w:val="nil"/>
              <w:bottom w:val="single" w:sz="4" w:space="0" w:color="000000"/>
              <w:right w:val="single" w:sz="4" w:space="0" w:color="000000"/>
            </w:tcBorders>
            <w:shd w:val="clear" w:color="auto" w:fill="auto"/>
            <w:vAlign w:val="center"/>
            <w:hideMark/>
          </w:tcPr>
          <w:p w14:paraId="4DE51194"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Burim administrativ</w:t>
            </w:r>
          </w:p>
        </w:tc>
        <w:tc>
          <w:tcPr>
            <w:tcW w:w="238" w:type="pct"/>
            <w:tcBorders>
              <w:top w:val="nil"/>
              <w:left w:val="nil"/>
              <w:bottom w:val="single" w:sz="4" w:space="0" w:color="auto"/>
              <w:right w:val="single" w:sz="4" w:space="0" w:color="auto"/>
            </w:tcBorders>
            <w:shd w:val="clear" w:color="auto" w:fill="auto"/>
            <w:vAlign w:val="center"/>
            <w:hideMark/>
          </w:tcPr>
          <w:p w14:paraId="67E047DC"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180" w:type="pct"/>
            <w:tcBorders>
              <w:top w:val="nil"/>
              <w:left w:val="nil"/>
              <w:bottom w:val="single" w:sz="4" w:space="0" w:color="auto"/>
              <w:right w:val="single" w:sz="4" w:space="0" w:color="auto"/>
            </w:tcBorders>
            <w:shd w:val="clear" w:color="auto" w:fill="auto"/>
            <w:vAlign w:val="center"/>
            <w:hideMark/>
          </w:tcPr>
          <w:p w14:paraId="2231AEBF"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28" w:type="pct"/>
            <w:tcBorders>
              <w:top w:val="nil"/>
              <w:left w:val="nil"/>
              <w:bottom w:val="single" w:sz="4" w:space="0" w:color="auto"/>
              <w:right w:val="single" w:sz="4" w:space="0" w:color="auto"/>
            </w:tcBorders>
            <w:shd w:val="clear" w:color="auto" w:fill="auto"/>
            <w:vAlign w:val="center"/>
            <w:hideMark/>
          </w:tcPr>
          <w:p w14:paraId="67099779"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I vazhdueshëm</w:t>
            </w:r>
          </w:p>
        </w:tc>
        <w:tc>
          <w:tcPr>
            <w:tcW w:w="222" w:type="pct"/>
            <w:tcBorders>
              <w:top w:val="nil"/>
              <w:left w:val="nil"/>
              <w:bottom w:val="single" w:sz="4" w:space="0" w:color="000000"/>
              <w:right w:val="single" w:sz="4" w:space="0" w:color="000000"/>
            </w:tcBorders>
            <w:shd w:val="clear" w:color="auto" w:fill="auto"/>
            <w:vAlign w:val="center"/>
            <w:hideMark/>
          </w:tcPr>
          <w:p w14:paraId="7604DEBC"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Vjetor</w:t>
            </w:r>
          </w:p>
        </w:tc>
        <w:tc>
          <w:tcPr>
            <w:tcW w:w="486" w:type="pct"/>
            <w:tcBorders>
              <w:top w:val="nil"/>
              <w:left w:val="nil"/>
              <w:bottom w:val="single" w:sz="4" w:space="0" w:color="000000"/>
              <w:right w:val="single" w:sz="4" w:space="0" w:color="000000"/>
            </w:tcBorders>
            <w:shd w:val="clear" w:color="auto" w:fill="auto"/>
            <w:vAlign w:val="center"/>
            <w:hideMark/>
          </w:tcPr>
          <w:p w14:paraId="33E1D413" w14:textId="66DDF854"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1. Përfitues të pagesës së paaftësisë sipas llojit të PAK</w:t>
            </w:r>
            <w:r w:rsidR="00F667B8" w:rsidRPr="00B31292">
              <w:rPr>
                <w:rFonts w:ascii="Garamond" w:eastAsia="Times New Roman" w:hAnsi="Garamond" w:cs="Times New Roman"/>
                <w:sz w:val="10"/>
                <w:szCs w:val="10"/>
              </w:rPr>
              <w:t>-ut</w:t>
            </w:r>
            <w:r w:rsidRPr="00B31292">
              <w:rPr>
                <w:rFonts w:ascii="Garamond" w:eastAsia="Times New Roman" w:hAnsi="Garamond" w:cs="Times New Roman"/>
                <w:sz w:val="10"/>
                <w:szCs w:val="10"/>
              </w:rPr>
              <w:t xml:space="preserve"> dhe grup</w:t>
            </w:r>
            <w:r w:rsidR="00F667B8" w:rsidRPr="00B31292">
              <w:rPr>
                <w:rFonts w:ascii="Garamond" w:eastAsia="Times New Roman" w:hAnsi="Garamond" w:cs="Times New Roman"/>
                <w:sz w:val="10"/>
                <w:szCs w:val="10"/>
              </w:rPr>
              <w:t>-</w:t>
            </w:r>
            <w:r w:rsidRPr="00B31292">
              <w:rPr>
                <w:rFonts w:ascii="Garamond" w:eastAsia="Times New Roman" w:hAnsi="Garamond" w:cs="Times New Roman"/>
                <w:sz w:val="10"/>
                <w:szCs w:val="10"/>
              </w:rPr>
              <w:t>moshave</w:t>
            </w:r>
            <w:r w:rsidR="00F667B8"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2. Numri i fëmijëve të moshës 0</w:t>
            </w:r>
            <w:r w:rsidR="00F667B8" w:rsidRPr="00B31292">
              <w:rPr>
                <w:rFonts w:ascii="Garamond" w:eastAsia="Times New Roman" w:hAnsi="Garamond" w:cs="Times New Roman"/>
                <w:sz w:val="10"/>
                <w:szCs w:val="10"/>
              </w:rPr>
              <w:t>–</w:t>
            </w:r>
            <w:r w:rsidRPr="00B31292">
              <w:rPr>
                <w:rFonts w:ascii="Garamond" w:eastAsia="Times New Roman" w:hAnsi="Garamond" w:cs="Times New Roman"/>
                <w:sz w:val="10"/>
                <w:szCs w:val="10"/>
              </w:rPr>
              <w:t>17 vjeç që marrin përfitime kesh për aftësinë e kufizuar, në fund të vitit</w:t>
            </w:r>
            <w:r w:rsidR="00F667B8"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3. Shpenzimet për përfitimet</w:t>
            </w:r>
            <w:r w:rsidR="002E2911" w:rsidRPr="00B31292">
              <w:rPr>
                <w:rFonts w:ascii="Garamond" w:eastAsia="Times New Roman" w:hAnsi="Garamond" w:cs="Times New Roman"/>
                <w:sz w:val="10"/>
                <w:szCs w:val="10"/>
              </w:rPr>
              <w:t xml:space="preserve"> </w:t>
            </w:r>
            <w:r w:rsidRPr="00B31292">
              <w:rPr>
                <w:rFonts w:ascii="Garamond" w:eastAsia="Times New Roman" w:hAnsi="Garamond" w:cs="Times New Roman"/>
                <w:sz w:val="10"/>
                <w:szCs w:val="10"/>
              </w:rPr>
              <w:t>të siguruara drejtpërdrejt për fëmijët me aftësi të kufizuara</w:t>
            </w:r>
            <w:r w:rsidR="00F667B8" w:rsidRPr="00B31292">
              <w:rPr>
                <w:rFonts w:ascii="Garamond" w:eastAsia="Times New Roman" w:hAnsi="Garamond" w:cs="Times New Roman"/>
                <w:sz w:val="10"/>
                <w:szCs w:val="10"/>
              </w:rPr>
              <w:t>.</w:t>
            </w:r>
          </w:p>
        </w:tc>
        <w:tc>
          <w:tcPr>
            <w:tcW w:w="299" w:type="pct"/>
            <w:tcBorders>
              <w:top w:val="nil"/>
              <w:left w:val="nil"/>
              <w:bottom w:val="single" w:sz="4" w:space="0" w:color="000000"/>
              <w:right w:val="nil"/>
            </w:tcBorders>
            <w:shd w:val="clear" w:color="auto" w:fill="auto"/>
            <w:vAlign w:val="center"/>
            <w:hideMark/>
          </w:tcPr>
          <w:p w14:paraId="7991A774"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Shërbimi Social Shtetëror</w:t>
            </w:r>
          </w:p>
        </w:tc>
        <w:tc>
          <w:tcPr>
            <w:tcW w:w="224" w:type="pct"/>
            <w:tcBorders>
              <w:top w:val="nil"/>
              <w:left w:val="single" w:sz="4" w:space="0" w:color="auto"/>
              <w:bottom w:val="single" w:sz="4" w:space="0" w:color="auto"/>
              <w:right w:val="single" w:sz="4" w:space="0" w:color="auto"/>
            </w:tcBorders>
            <w:shd w:val="clear" w:color="auto" w:fill="auto"/>
            <w:vAlign w:val="center"/>
            <w:hideMark/>
          </w:tcPr>
          <w:p w14:paraId="63D20313" w14:textId="4E567A3F"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INSTAT</w:t>
            </w:r>
            <w:r w:rsidR="00F667B8" w:rsidRPr="00B31292">
              <w:rPr>
                <w:rFonts w:ascii="Garamond" w:eastAsia="Times New Roman" w:hAnsi="Garamond" w:cs="Times New Roman"/>
                <w:sz w:val="10"/>
                <w:szCs w:val="10"/>
              </w:rPr>
              <w:t>-i</w:t>
            </w:r>
          </w:p>
        </w:tc>
        <w:tc>
          <w:tcPr>
            <w:tcW w:w="244" w:type="pct"/>
            <w:tcBorders>
              <w:top w:val="nil"/>
              <w:left w:val="nil"/>
              <w:bottom w:val="single" w:sz="4" w:space="0" w:color="auto"/>
              <w:right w:val="single" w:sz="4" w:space="0" w:color="auto"/>
            </w:tcBorders>
            <w:shd w:val="clear" w:color="000000" w:fill="FFFFFF"/>
            <w:vAlign w:val="center"/>
            <w:hideMark/>
          </w:tcPr>
          <w:p w14:paraId="0ACCEC83"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xml:space="preserve"> K + 50D</w:t>
            </w:r>
          </w:p>
        </w:tc>
        <w:tc>
          <w:tcPr>
            <w:tcW w:w="220" w:type="pct"/>
            <w:tcBorders>
              <w:top w:val="nil"/>
              <w:left w:val="nil"/>
              <w:bottom w:val="single" w:sz="4" w:space="0" w:color="auto"/>
              <w:right w:val="single" w:sz="4" w:space="0" w:color="auto"/>
            </w:tcBorders>
            <w:shd w:val="clear" w:color="000000" w:fill="FFFFFF"/>
            <w:vAlign w:val="center"/>
            <w:hideMark/>
          </w:tcPr>
          <w:p w14:paraId="729A13AF"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xml:space="preserve"> K + 60D</w:t>
            </w:r>
          </w:p>
        </w:tc>
        <w:tc>
          <w:tcPr>
            <w:tcW w:w="220" w:type="pct"/>
            <w:tcBorders>
              <w:top w:val="nil"/>
              <w:left w:val="nil"/>
              <w:bottom w:val="single" w:sz="4" w:space="0" w:color="auto"/>
              <w:right w:val="single" w:sz="4" w:space="0" w:color="auto"/>
            </w:tcBorders>
            <w:shd w:val="clear" w:color="000000" w:fill="FFFFFF"/>
            <w:vAlign w:val="center"/>
            <w:hideMark/>
          </w:tcPr>
          <w:p w14:paraId="1BF22653"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xml:space="preserve"> K+ 62D</w:t>
            </w:r>
          </w:p>
        </w:tc>
        <w:tc>
          <w:tcPr>
            <w:tcW w:w="346" w:type="pct"/>
            <w:tcBorders>
              <w:top w:val="nil"/>
              <w:left w:val="nil"/>
              <w:bottom w:val="single" w:sz="4" w:space="0" w:color="auto"/>
              <w:right w:val="single" w:sz="4" w:space="0" w:color="auto"/>
            </w:tcBorders>
            <w:shd w:val="clear" w:color="auto" w:fill="auto"/>
            <w:vAlign w:val="center"/>
            <w:hideMark/>
          </w:tcPr>
          <w:p w14:paraId="33B4FA78" w14:textId="3FCEAE0C"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xml:space="preserve">1. </w:t>
            </w:r>
            <w:r w:rsidR="00FD245C" w:rsidRPr="00B31292">
              <w:rPr>
                <w:rFonts w:ascii="Garamond" w:eastAsia="Times New Roman" w:hAnsi="Garamond" w:cs="Times New Roman"/>
                <w:sz w:val="10"/>
                <w:szCs w:val="10"/>
              </w:rPr>
              <w:t>Vonesa në marrjen e të dhënave</w:t>
            </w:r>
            <w:r w:rsidRPr="00B31292">
              <w:rPr>
                <w:rFonts w:ascii="Garamond" w:eastAsia="Times New Roman" w:hAnsi="Garamond" w:cs="Times New Roman"/>
                <w:sz w:val="10"/>
                <w:szCs w:val="10"/>
              </w:rPr>
              <w:t xml:space="preserve"> administrative, nga institucionet -|- 6</w:t>
            </w:r>
          </w:p>
        </w:tc>
        <w:tc>
          <w:tcPr>
            <w:tcW w:w="273" w:type="pct"/>
            <w:tcBorders>
              <w:top w:val="nil"/>
              <w:left w:val="nil"/>
              <w:bottom w:val="single" w:sz="4" w:space="0" w:color="auto"/>
              <w:right w:val="single" w:sz="4" w:space="0" w:color="auto"/>
            </w:tcBorders>
            <w:shd w:val="clear" w:color="auto" w:fill="auto"/>
            <w:vAlign w:val="center"/>
            <w:hideMark/>
          </w:tcPr>
          <w:p w14:paraId="40F9AFE6"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Buxhet shteti</w:t>
            </w:r>
          </w:p>
        </w:tc>
      </w:tr>
      <w:tr w:rsidR="000A2254" w:rsidRPr="00B31292" w14:paraId="0FE12501" w14:textId="77777777" w:rsidTr="000A2254">
        <w:trPr>
          <w:trHeight w:val="20"/>
        </w:trPr>
        <w:tc>
          <w:tcPr>
            <w:tcW w:w="215" w:type="pct"/>
            <w:tcBorders>
              <w:top w:val="nil"/>
              <w:left w:val="nil"/>
              <w:bottom w:val="nil"/>
              <w:right w:val="nil"/>
            </w:tcBorders>
            <w:shd w:val="clear" w:color="000000" w:fill="FFFFFF"/>
            <w:vAlign w:val="bottom"/>
            <w:hideMark/>
          </w:tcPr>
          <w:p w14:paraId="6E5BB3A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4F089FA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18E2BA1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4D09E31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0F58CD6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5CCDCF0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000000"/>
              <w:bottom w:val="single" w:sz="4" w:space="0" w:color="000000"/>
              <w:right w:val="single" w:sz="4" w:space="0" w:color="000000"/>
            </w:tcBorders>
            <w:shd w:val="clear" w:color="auto" w:fill="auto"/>
            <w:vAlign w:val="center"/>
            <w:hideMark/>
          </w:tcPr>
          <w:p w14:paraId="5E8BFFC1"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1.6.1.1.c</w:t>
            </w:r>
          </w:p>
        </w:tc>
        <w:tc>
          <w:tcPr>
            <w:tcW w:w="281" w:type="pct"/>
            <w:tcBorders>
              <w:top w:val="nil"/>
              <w:left w:val="nil"/>
              <w:bottom w:val="single" w:sz="4" w:space="0" w:color="000000"/>
              <w:right w:val="single" w:sz="4" w:space="0" w:color="000000"/>
            </w:tcBorders>
            <w:shd w:val="clear" w:color="auto" w:fill="auto"/>
            <w:vAlign w:val="center"/>
            <w:hideMark/>
          </w:tcPr>
          <w:p w14:paraId="3BDF8281" w14:textId="13E7BB0D"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xml:space="preserve">Statistika të </w:t>
            </w:r>
            <w:r w:rsidR="00F667B8" w:rsidRPr="00B31292">
              <w:rPr>
                <w:rFonts w:ascii="Garamond" w:eastAsia="Times New Roman" w:hAnsi="Garamond" w:cs="Times New Roman"/>
                <w:sz w:val="10"/>
                <w:szCs w:val="10"/>
              </w:rPr>
              <w:t>p</w:t>
            </w:r>
            <w:r w:rsidRPr="00B31292">
              <w:rPr>
                <w:rFonts w:ascii="Garamond" w:eastAsia="Times New Roman" w:hAnsi="Garamond" w:cs="Times New Roman"/>
                <w:sz w:val="10"/>
                <w:szCs w:val="10"/>
              </w:rPr>
              <w:t>agesës së papunësisë</w:t>
            </w:r>
          </w:p>
        </w:tc>
        <w:tc>
          <w:tcPr>
            <w:tcW w:w="236" w:type="pct"/>
            <w:tcBorders>
              <w:top w:val="nil"/>
              <w:left w:val="nil"/>
              <w:bottom w:val="single" w:sz="4" w:space="0" w:color="000000"/>
              <w:right w:val="single" w:sz="4" w:space="0" w:color="000000"/>
            </w:tcBorders>
            <w:shd w:val="clear" w:color="auto" w:fill="auto"/>
            <w:vAlign w:val="center"/>
            <w:hideMark/>
          </w:tcPr>
          <w:p w14:paraId="089E5E37"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Burim administrativ</w:t>
            </w:r>
          </w:p>
        </w:tc>
        <w:tc>
          <w:tcPr>
            <w:tcW w:w="238" w:type="pct"/>
            <w:tcBorders>
              <w:top w:val="nil"/>
              <w:left w:val="nil"/>
              <w:bottom w:val="single" w:sz="4" w:space="0" w:color="auto"/>
              <w:right w:val="single" w:sz="4" w:space="0" w:color="auto"/>
            </w:tcBorders>
            <w:shd w:val="clear" w:color="auto" w:fill="auto"/>
            <w:vAlign w:val="center"/>
            <w:hideMark/>
          </w:tcPr>
          <w:p w14:paraId="3E91252B"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180" w:type="pct"/>
            <w:tcBorders>
              <w:top w:val="nil"/>
              <w:left w:val="nil"/>
              <w:bottom w:val="single" w:sz="4" w:space="0" w:color="auto"/>
              <w:right w:val="single" w:sz="4" w:space="0" w:color="auto"/>
            </w:tcBorders>
            <w:shd w:val="clear" w:color="auto" w:fill="auto"/>
            <w:vAlign w:val="center"/>
            <w:hideMark/>
          </w:tcPr>
          <w:p w14:paraId="614BBD82"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28" w:type="pct"/>
            <w:tcBorders>
              <w:top w:val="nil"/>
              <w:left w:val="nil"/>
              <w:bottom w:val="single" w:sz="4" w:space="0" w:color="auto"/>
              <w:right w:val="single" w:sz="4" w:space="0" w:color="auto"/>
            </w:tcBorders>
            <w:shd w:val="clear" w:color="auto" w:fill="auto"/>
            <w:vAlign w:val="center"/>
            <w:hideMark/>
          </w:tcPr>
          <w:p w14:paraId="31B20ABB"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I vazhdueshëm</w:t>
            </w:r>
          </w:p>
        </w:tc>
        <w:tc>
          <w:tcPr>
            <w:tcW w:w="222" w:type="pct"/>
            <w:tcBorders>
              <w:top w:val="nil"/>
              <w:left w:val="nil"/>
              <w:bottom w:val="single" w:sz="4" w:space="0" w:color="000000"/>
              <w:right w:val="single" w:sz="4" w:space="0" w:color="000000"/>
            </w:tcBorders>
            <w:shd w:val="clear" w:color="auto" w:fill="auto"/>
            <w:vAlign w:val="center"/>
            <w:hideMark/>
          </w:tcPr>
          <w:p w14:paraId="16526DFF"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Tremujor</w:t>
            </w:r>
          </w:p>
        </w:tc>
        <w:tc>
          <w:tcPr>
            <w:tcW w:w="486" w:type="pct"/>
            <w:tcBorders>
              <w:top w:val="nil"/>
              <w:left w:val="nil"/>
              <w:bottom w:val="nil"/>
              <w:right w:val="nil"/>
            </w:tcBorders>
            <w:shd w:val="clear" w:color="auto" w:fill="auto"/>
            <w:vAlign w:val="center"/>
            <w:hideMark/>
          </w:tcPr>
          <w:p w14:paraId="73527CBE" w14:textId="6AB04AAE"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xml:space="preserve">1. Pagesa e papunësisë dhe </w:t>
            </w:r>
            <w:r w:rsidR="00FD245C" w:rsidRPr="00B31292">
              <w:rPr>
                <w:rFonts w:ascii="Garamond" w:eastAsia="Times New Roman" w:hAnsi="Garamond" w:cs="Times New Roman"/>
                <w:sz w:val="10"/>
                <w:szCs w:val="10"/>
              </w:rPr>
              <w:t>përfitues</w:t>
            </w:r>
            <w:r w:rsidRPr="00B31292">
              <w:rPr>
                <w:rFonts w:ascii="Garamond" w:eastAsia="Times New Roman" w:hAnsi="Garamond" w:cs="Times New Roman"/>
                <w:sz w:val="10"/>
                <w:szCs w:val="10"/>
              </w:rPr>
              <w:t xml:space="preserve"> të pagesës së papunësisë,</w:t>
            </w:r>
            <w:r w:rsidR="00FD245C" w:rsidRPr="00B31292">
              <w:rPr>
                <w:rFonts w:ascii="Garamond" w:eastAsia="Times New Roman" w:hAnsi="Garamond" w:cs="Times New Roman"/>
                <w:sz w:val="10"/>
                <w:szCs w:val="10"/>
              </w:rPr>
              <w:t xml:space="preserve"> </w:t>
            </w:r>
            <w:r w:rsidRPr="00B31292">
              <w:rPr>
                <w:rFonts w:ascii="Garamond" w:eastAsia="Times New Roman" w:hAnsi="Garamond" w:cs="Times New Roman"/>
                <w:sz w:val="10"/>
                <w:szCs w:val="10"/>
              </w:rPr>
              <w:t>sipas grup</w:t>
            </w:r>
            <w:r w:rsidR="00F667B8" w:rsidRPr="00B31292">
              <w:rPr>
                <w:rFonts w:ascii="Garamond" w:eastAsia="Times New Roman" w:hAnsi="Garamond" w:cs="Times New Roman"/>
                <w:sz w:val="10"/>
                <w:szCs w:val="10"/>
              </w:rPr>
              <w:t>-</w:t>
            </w:r>
            <w:r w:rsidRPr="00B31292">
              <w:rPr>
                <w:rFonts w:ascii="Garamond" w:eastAsia="Times New Roman" w:hAnsi="Garamond" w:cs="Times New Roman"/>
                <w:sz w:val="10"/>
                <w:szCs w:val="10"/>
              </w:rPr>
              <w:t>moshave dhe nivelit arsimor</w:t>
            </w:r>
            <w:r w:rsidR="00F667B8" w:rsidRPr="00B31292">
              <w:rPr>
                <w:rFonts w:ascii="Garamond" w:eastAsia="Times New Roman" w:hAnsi="Garamond" w:cs="Times New Roman"/>
                <w:sz w:val="10"/>
                <w:szCs w:val="10"/>
              </w:rPr>
              <w:t>.</w:t>
            </w:r>
          </w:p>
        </w:tc>
        <w:tc>
          <w:tcPr>
            <w:tcW w:w="299" w:type="pct"/>
            <w:tcBorders>
              <w:top w:val="nil"/>
              <w:left w:val="single" w:sz="4" w:space="0" w:color="000000"/>
              <w:bottom w:val="single" w:sz="4" w:space="0" w:color="000000"/>
              <w:right w:val="nil"/>
            </w:tcBorders>
            <w:shd w:val="clear" w:color="auto" w:fill="auto"/>
            <w:vAlign w:val="center"/>
            <w:hideMark/>
          </w:tcPr>
          <w:p w14:paraId="3E886C33"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Agjencia Kombëtare e Punësimit dhe Aftësive</w:t>
            </w:r>
          </w:p>
        </w:tc>
        <w:tc>
          <w:tcPr>
            <w:tcW w:w="224" w:type="pct"/>
            <w:tcBorders>
              <w:top w:val="nil"/>
              <w:left w:val="single" w:sz="4" w:space="0" w:color="auto"/>
              <w:bottom w:val="single" w:sz="4" w:space="0" w:color="auto"/>
              <w:right w:val="single" w:sz="4" w:space="0" w:color="auto"/>
            </w:tcBorders>
            <w:shd w:val="clear" w:color="auto" w:fill="auto"/>
            <w:vAlign w:val="center"/>
            <w:hideMark/>
          </w:tcPr>
          <w:p w14:paraId="12ABBF04" w14:textId="2129DDC3"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INSTAT</w:t>
            </w:r>
            <w:r w:rsidR="00F667B8" w:rsidRPr="00B31292">
              <w:rPr>
                <w:rFonts w:ascii="Garamond" w:eastAsia="Times New Roman" w:hAnsi="Garamond" w:cs="Times New Roman"/>
                <w:sz w:val="10"/>
                <w:szCs w:val="10"/>
              </w:rPr>
              <w:t>-i</w:t>
            </w:r>
          </w:p>
        </w:tc>
        <w:tc>
          <w:tcPr>
            <w:tcW w:w="244" w:type="pct"/>
            <w:tcBorders>
              <w:top w:val="nil"/>
              <w:left w:val="nil"/>
              <w:bottom w:val="single" w:sz="4" w:space="0" w:color="auto"/>
              <w:right w:val="single" w:sz="4" w:space="0" w:color="auto"/>
            </w:tcBorders>
            <w:shd w:val="clear" w:color="000000" w:fill="FFFFFF"/>
            <w:vAlign w:val="center"/>
            <w:hideMark/>
          </w:tcPr>
          <w:p w14:paraId="61CBB1CD"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T + 50D</w:t>
            </w:r>
          </w:p>
        </w:tc>
        <w:tc>
          <w:tcPr>
            <w:tcW w:w="220" w:type="pct"/>
            <w:tcBorders>
              <w:top w:val="nil"/>
              <w:left w:val="nil"/>
              <w:bottom w:val="single" w:sz="4" w:space="0" w:color="auto"/>
              <w:right w:val="single" w:sz="4" w:space="0" w:color="auto"/>
            </w:tcBorders>
            <w:shd w:val="clear" w:color="000000" w:fill="FFFFFF"/>
            <w:vAlign w:val="center"/>
            <w:hideMark/>
          </w:tcPr>
          <w:p w14:paraId="5E70EBE6"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xml:space="preserve"> K + 60D</w:t>
            </w:r>
          </w:p>
        </w:tc>
        <w:tc>
          <w:tcPr>
            <w:tcW w:w="220" w:type="pct"/>
            <w:tcBorders>
              <w:top w:val="nil"/>
              <w:left w:val="nil"/>
              <w:bottom w:val="single" w:sz="4" w:space="0" w:color="auto"/>
              <w:right w:val="single" w:sz="4" w:space="0" w:color="auto"/>
            </w:tcBorders>
            <w:shd w:val="clear" w:color="000000" w:fill="FFFFFF"/>
            <w:vAlign w:val="center"/>
            <w:hideMark/>
          </w:tcPr>
          <w:p w14:paraId="2D16BC02"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T + 65D</w:t>
            </w:r>
          </w:p>
        </w:tc>
        <w:tc>
          <w:tcPr>
            <w:tcW w:w="346" w:type="pct"/>
            <w:tcBorders>
              <w:top w:val="nil"/>
              <w:left w:val="nil"/>
              <w:bottom w:val="single" w:sz="4" w:space="0" w:color="auto"/>
              <w:right w:val="single" w:sz="4" w:space="0" w:color="auto"/>
            </w:tcBorders>
            <w:shd w:val="clear" w:color="auto" w:fill="auto"/>
            <w:vAlign w:val="center"/>
            <w:hideMark/>
          </w:tcPr>
          <w:p w14:paraId="5C377051" w14:textId="356EE37B"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xml:space="preserve">1. </w:t>
            </w:r>
            <w:r w:rsidR="00FD245C" w:rsidRPr="00B31292">
              <w:rPr>
                <w:rFonts w:ascii="Garamond" w:eastAsia="Times New Roman" w:hAnsi="Garamond" w:cs="Times New Roman"/>
                <w:sz w:val="10"/>
                <w:szCs w:val="10"/>
              </w:rPr>
              <w:t>Vonesa në marrjen e të dhënave</w:t>
            </w:r>
            <w:r w:rsidRPr="00B31292">
              <w:rPr>
                <w:rFonts w:ascii="Garamond" w:eastAsia="Times New Roman" w:hAnsi="Garamond" w:cs="Times New Roman"/>
                <w:sz w:val="10"/>
                <w:szCs w:val="10"/>
              </w:rPr>
              <w:t xml:space="preserve"> administrative, nga institucionet -|- 6</w:t>
            </w:r>
          </w:p>
        </w:tc>
        <w:tc>
          <w:tcPr>
            <w:tcW w:w="273" w:type="pct"/>
            <w:tcBorders>
              <w:top w:val="nil"/>
              <w:left w:val="nil"/>
              <w:bottom w:val="single" w:sz="4" w:space="0" w:color="auto"/>
              <w:right w:val="single" w:sz="4" w:space="0" w:color="auto"/>
            </w:tcBorders>
            <w:shd w:val="clear" w:color="auto" w:fill="auto"/>
            <w:vAlign w:val="center"/>
            <w:hideMark/>
          </w:tcPr>
          <w:p w14:paraId="55DCBA3A"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Buxhet shteti</w:t>
            </w:r>
          </w:p>
        </w:tc>
      </w:tr>
      <w:tr w:rsidR="000A2254" w:rsidRPr="00B31292" w14:paraId="52716D80" w14:textId="77777777" w:rsidTr="000A2254">
        <w:trPr>
          <w:trHeight w:val="20"/>
        </w:trPr>
        <w:tc>
          <w:tcPr>
            <w:tcW w:w="215" w:type="pct"/>
            <w:tcBorders>
              <w:top w:val="nil"/>
              <w:left w:val="nil"/>
              <w:bottom w:val="nil"/>
              <w:right w:val="nil"/>
            </w:tcBorders>
            <w:shd w:val="clear" w:color="000000" w:fill="FFFFFF"/>
            <w:vAlign w:val="bottom"/>
            <w:hideMark/>
          </w:tcPr>
          <w:p w14:paraId="4B555A5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2477F10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2865AA0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5F3983C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3C810E9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3E1A3BA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000000"/>
              <w:bottom w:val="single" w:sz="4" w:space="0" w:color="000000"/>
              <w:right w:val="single" w:sz="4" w:space="0" w:color="000000"/>
            </w:tcBorders>
            <w:shd w:val="clear" w:color="000000" w:fill="FFFFFF"/>
            <w:vAlign w:val="center"/>
            <w:hideMark/>
          </w:tcPr>
          <w:p w14:paraId="0F706738"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1.6.1.1.d</w:t>
            </w:r>
          </w:p>
        </w:tc>
        <w:tc>
          <w:tcPr>
            <w:tcW w:w="281" w:type="pct"/>
            <w:tcBorders>
              <w:top w:val="nil"/>
              <w:left w:val="nil"/>
              <w:bottom w:val="single" w:sz="4" w:space="0" w:color="000000"/>
              <w:right w:val="single" w:sz="4" w:space="0" w:color="000000"/>
            </w:tcBorders>
            <w:shd w:val="clear" w:color="000000" w:fill="FFFFFF"/>
            <w:vAlign w:val="center"/>
            <w:hideMark/>
          </w:tcPr>
          <w:p w14:paraId="66347D1F"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Pensionet</w:t>
            </w:r>
          </w:p>
        </w:tc>
        <w:tc>
          <w:tcPr>
            <w:tcW w:w="236" w:type="pct"/>
            <w:tcBorders>
              <w:top w:val="nil"/>
              <w:left w:val="nil"/>
              <w:bottom w:val="single" w:sz="4" w:space="0" w:color="000000"/>
              <w:right w:val="single" w:sz="4" w:space="0" w:color="000000"/>
            </w:tcBorders>
            <w:shd w:val="clear" w:color="auto" w:fill="auto"/>
            <w:vAlign w:val="center"/>
            <w:hideMark/>
          </w:tcPr>
          <w:p w14:paraId="06B10DCB"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Burim administrativ</w:t>
            </w:r>
          </w:p>
        </w:tc>
        <w:tc>
          <w:tcPr>
            <w:tcW w:w="238" w:type="pct"/>
            <w:tcBorders>
              <w:top w:val="nil"/>
              <w:left w:val="nil"/>
              <w:bottom w:val="single" w:sz="4" w:space="0" w:color="auto"/>
              <w:right w:val="single" w:sz="4" w:space="0" w:color="auto"/>
            </w:tcBorders>
            <w:shd w:val="clear" w:color="auto" w:fill="auto"/>
            <w:vAlign w:val="center"/>
            <w:hideMark/>
          </w:tcPr>
          <w:p w14:paraId="516ADE11"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180" w:type="pct"/>
            <w:tcBorders>
              <w:top w:val="nil"/>
              <w:left w:val="nil"/>
              <w:bottom w:val="single" w:sz="4" w:space="0" w:color="auto"/>
              <w:right w:val="single" w:sz="4" w:space="0" w:color="auto"/>
            </w:tcBorders>
            <w:shd w:val="clear" w:color="000000" w:fill="FFFFFF"/>
            <w:vAlign w:val="center"/>
            <w:hideMark/>
          </w:tcPr>
          <w:p w14:paraId="0BD60A4C"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28" w:type="pct"/>
            <w:tcBorders>
              <w:top w:val="nil"/>
              <w:left w:val="nil"/>
              <w:bottom w:val="single" w:sz="4" w:space="0" w:color="auto"/>
              <w:right w:val="single" w:sz="4" w:space="0" w:color="auto"/>
            </w:tcBorders>
            <w:shd w:val="clear" w:color="000000" w:fill="FFFFFF"/>
            <w:vAlign w:val="center"/>
            <w:hideMark/>
          </w:tcPr>
          <w:p w14:paraId="2D55AA1A"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I vazhdueshëm</w:t>
            </w:r>
          </w:p>
        </w:tc>
        <w:tc>
          <w:tcPr>
            <w:tcW w:w="222" w:type="pct"/>
            <w:tcBorders>
              <w:top w:val="nil"/>
              <w:left w:val="nil"/>
              <w:bottom w:val="single" w:sz="4" w:space="0" w:color="000000"/>
              <w:right w:val="nil"/>
            </w:tcBorders>
            <w:shd w:val="clear" w:color="000000" w:fill="FFFFFF"/>
            <w:vAlign w:val="center"/>
            <w:hideMark/>
          </w:tcPr>
          <w:p w14:paraId="4A6B6C87"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Vjetor</w:t>
            </w:r>
          </w:p>
        </w:tc>
        <w:tc>
          <w:tcPr>
            <w:tcW w:w="48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EA112E7" w14:textId="77777777" w:rsidR="00F667B8"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1. Numri i kontribuesve në skemën e sigurimeve shoqërore</w:t>
            </w:r>
            <w:r w:rsidR="00F667B8" w:rsidRPr="00B31292">
              <w:rPr>
                <w:rFonts w:ascii="Garamond" w:eastAsia="Times New Roman" w:hAnsi="Garamond" w:cs="Times New Roman"/>
                <w:sz w:val="10"/>
                <w:szCs w:val="10"/>
              </w:rPr>
              <w:t>.</w:t>
            </w:r>
            <w:r w:rsidR="002E2911" w:rsidRPr="00B31292">
              <w:rPr>
                <w:rFonts w:ascii="Garamond" w:eastAsia="Times New Roman" w:hAnsi="Garamond" w:cs="Times New Roman"/>
                <w:sz w:val="10"/>
                <w:szCs w:val="10"/>
              </w:rPr>
              <w:t xml:space="preserve"> </w:t>
            </w:r>
            <w:r w:rsidRPr="00B31292">
              <w:rPr>
                <w:rFonts w:ascii="Garamond" w:eastAsia="Times New Roman" w:hAnsi="Garamond" w:cs="Times New Roman"/>
                <w:sz w:val="10"/>
                <w:szCs w:val="10"/>
              </w:rPr>
              <w:br/>
              <w:t>2. Numri i pensioneve sipas vend</w:t>
            </w:r>
            <w:r w:rsidR="00FD245C" w:rsidRPr="00B31292">
              <w:rPr>
                <w:rFonts w:ascii="Garamond" w:eastAsia="Times New Roman" w:hAnsi="Garamond" w:cs="Times New Roman"/>
                <w:sz w:val="10"/>
                <w:szCs w:val="10"/>
              </w:rPr>
              <w:t>nd</w:t>
            </w:r>
            <w:r w:rsidRPr="00B31292">
              <w:rPr>
                <w:rFonts w:ascii="Garamond" w:eastAsia="Times New Roman" w:hAnsi="Garamond" w:cs="Times New Roman"/>
                <w:sz w:val="10"/>
                <w:szCs w:val="10"/>
              </w:rPr>
              <w:t>odhjes (</w:t>
            </w:r>
            <w:r w:rsidR="00F667B8" w:rsidRPr="00B31292">
              <w:rPr>
                <w:rFonts w:ascii="Garamond" w:eastAsia="Times New Roman" w:hAnsi="Garamond" w:cs="Times New Roman"/>
                <w:sz w:val="10"/>
                <w:szCs w:val="10"/>
              </w:rPr>
              <w:t>u</w:t>
            </w:r>
            <w:r w:rsidRPr="00B31292">
              <w:rPr>
                <w:rFonts w:ascii="Garamond" w:eastAsia="Times New Roman" w:hAnsi="Garamond" w:cs="Times New Roman"/>
                <w:sz w:val="10"/>
                <w:szCs w:val="10"/>
              </w:rPr>
              <w:t>rbane/rurale) dhe sipas gjinisë</w:t>
            </w:r>
            <w:r w:rsidR="00F667B8" w:rsidRPr="00B31292">
              <w:rPr>
                <w:rFonts w:ascii="Garamond" w:eastAsia="Times New Roman" w:hAnsi="Garamond" w:cs="Times New Roman"/>
                <w:sz w:val="10"/>
                <w:szCs w:val="10"/>
              </w:rPr>
              <w:t>.</w:t>
            </w:r>
            <w:r w:rsidR="002E2911" w:rsidRPr="00B31292">
              <w:rPr>
                <w:rFonts w:ascii="Garamond" w:eastAsia="Times New Roman" w:hAnsi="Garamond" w:cs="Times New Roman"/>
                <w:sz w:val="10"/>
                <w:szCs w:val="10"/>
              </w:rPr>
              <w:t xml:space="preserve"> </w:t>
            </w:r>
            <w:r w:rsidRPr="00B31292">
              <w:rPr>
                <w:rFonts w:ascii="Garamond" w:eastAsia="Times New Roman" w:hAnsi="Garamond" w:cs="Times New Roman"/>
                <w:sz w:val="10"/>
                <w:szCs w:val="10"/>
              </w:rPr>
              <w:br/>
              <w:t xml:space="preserve">3. </w:t>
            </w:r>
            <w:r w:rsidR="00FD245C" w:rsidRPr="00B31292">
              <w:rPr>
                <w:rFonts w:ascii="Garamond" w:eastAsia="Times New Roman" w:hAnsi="Garamond" w:cs="Times New Roman"/>
                <w:sz w:val="10"/>
                <w:szCs w:val="10"/>
              </w:rPr>
              <w:t>Përfitues</w:t>
            </w:r>
            <w:r w:rsidRPr="00B31292">
              <w:rPr>
                <w:rFonts w:ascii="Garamond" w:eastAsia="Times New Roman" w:hAnsi="Garamond" w:cs="Times New Roman"/>
                <w:sz w:val="10"/>
                <w:szCs w:val="10"/>
              </w:rPr>
              <w:t xml:space="preserve"> n</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sz w:val="10"/>
                <w:szCs w:val="10"/>
              </w:rPr>
              <w:t xml:space="preserve"> skemat e sigurimit suplementar</w:t>
            </w:r>
            <w:r w:rsidR="00F667B8" w:rsidRPr="00B31292">
              <w:rPr>
                <w:rFonts w:ascii="Garamond" w:eastAsia="Times New Roman" w:hAnsi="Garamond" w:cs="Times New Roman"/>
                <w:sz w:val="10"/>
                <w:szCs w:val="10"/>
              </w:rPr>
              <w:t>.</w:t>
            </w:r>
            <w:r w:rsidR="002E2911" w:rsidRPr="00B31292">
              <w:rPr>
                <w:rFonts w:ascii="Garamond" w:eastAsia="Times New Roman" w:hAnsi="Garamond" w:cs="Times New Roman"/>
                <w:sz w:val="10"/>
                <w:szCs w:val="10"/>
              </w:rPr>
              <w:t xml:space="preserve"> </w:t>
            </w:r>
            <w:r w:rsidRPr="00B31292">
              <w:rPr>
                <w:rFonts w:ascii="Garamond" w:eastAsia="Times New Roman" w:hAnsi="Garamond" w:cs="Times New Roman"/>
                <w:sz w:val="10"/>
                <w:szCs w:val="10"/>
              </w:rPr>
              <w:br/>
              <w:t>4. Pensioni mesatar mujor dhe të ardhurat mesatare mujore sipas llojit të pensionit</w:t>
            </w:r>
            <w:r w:rsidR="00F667B8" w:rsidRPr="00B31292">
              <w:rPr>
                <w:rFonts w:ascii="Garamond" w:eastAsia="Times New Roman" w:hAnsi="Garamond" w:cs="Times New Roman"/>
                <w:sz w:val="10"/>
                <w:szCs w:val="10"/>
              </w:rPr>
              <w:t>.</w:t>
            </w:r>
          </w:p>
          <w:p w14:paraId="162F6304" w14:textId="5CCCD5D3"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4. Pensionet</w:t>
            </w:r>
            <w:r w:rsidR="00F667B8"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5. Kontribues dhe kontribute nga të vetëpun</w:t>
            </w:r>
            <w:r w:rsidR="00FD245C" w:rsidRPr="00B31292">
              <w:rPr>
                <w:rFonts w:ascii="Garamond" w:eastAsia="Times New Roman" w:hAnsi="Garamond" w:cs="Times New Roman"/>
                <w:sz w:val="10"/>
                <w:szCs w:val="10"/>
              </w:rPr>
              <w:t>ë</w:t>
            </w:r>
            <w:r w:rsidRPr="00B31292">
              <w:rPr>
                <w:rFonts w:ascii="Garamond" w:eastAsia="Times New Roman" w:hAnsi="Garamond" w:cs="Times New Roman"/>
                <w:sz w:val="10"/>
                <w:szCs w:val="10"/>
              </w:rPr>
              <w:t>suarit në bujqësi</w:t>
            </w:r>
            <w:r w:rsidR="00F667B8" w:rsidRPr="00B31292">
              <w:rPr>
                <w:rFonts w:ascii="Garamond" w:eastAsia="Times New Roman" w:hAnsi="Garamond" w:cs="Times New Roman"/>
                <w:sz w:val="10"/>
                <w:szCs w:val="10"/>
              </w:rPr>
              <w:t>.</w:t>
            </w:r>
            <w:r w:rsidR="002E2911" w:rsidRPr="00B31292">
              <w:rPr>
                <w:rFonts w:ascii="Garamond" w:eastAsia="Times New Roman" w:hAnsi="Garamond" w:cs="Times New Roman"/>
                <w:sz w:val="10"/>
                <w:szCs w:val="10"/>
              </w:rPr>
              <w:t xml:space="preserve"> </w:t>
            </w:r>
            <w:r w:rsidRPr="00B31292">
              <w:rPr>
                <w:rFonts w:ascii="Garamond" w:eastAsia="Times New Roman" w:hAnsi="Garamond" w:cs="Times New Roman"/>
                <w:sz w:val="10"/>
                <w:szCs w:val="10"/>
              </w:rPr>
              <w:br/>
              <w:t>6. Kontribues dhe kontribute nga sigurimi vullnetar</w:t>
            </w:r>
            <w:r w:rsidR="00F667B8" w:rsidRPr="00B31292">
              <w:rPr>
                <w:rFonts w:ascii="Garamond" w:eastAsia="Times New Roman" w:hAnsi="Garamond" w:cs="Times New Roman"/>
                <w:sz w:val="10"/>
                <w:szCs w:val="10"/>
              </w:rPr>
              <w:t>.</w:t>
            </w:r>
            <w:r w:rsidR="002E2911" w:rsidRPr="00B31292">
              <w:rPr>
                <w:rFonts w:ascii="Garamond" w:eastAsia="Times New Roman" w:hAnsi="Garamond" w:cs="Times New Roman"/>
                <w:sz w:val="10"/>
                <w:szCs w:val="10"/>
              </w:rPr>
              <w:t xml:space="preserve"> </w:t>
            </w:r>
            <w:r w:rsidRPr="00B31292">
              <w:rPr>
                <w:rFonts w:ascii="Garamond" w:eastAsia="Times New Roman" w:hAnsi="Garamond" w:cs="Times New Roman"/>
                <w:sz w:val="10"/>
                <w:szCs w:val="10"/>
              </w:rPr>
              <w:br/>
              <w:t xml:space="preserve">7. Numri i personave që </w:t>
            </w:r>
            <w:r w:rsidR="00FD245C" w:rsidRPr="00B31292">
              <w:rPr>
                <w:rFonts w:ascii="Garamond" w:eastAsia="Times New Roman" w:hAnsi="Garamond" w:cs="Times New Roman"/>
                <w:sz w:val="10"/>
                <w:szCs w:val="10"/>
              </w:rPr>
              <w:t>përfitojnë</w:t>
            </w:r>
            <w:r w:rsidRPr="00B31292">
              <w:rPr>
                <w:rFonts w:ascii="Garamond" w:eastAsia="Times New Roman" w:hAnsi="Garamond" w:cs="Times New Roman"/>
                <w:sz w:val="10"/>
                <w:szCs w:val="10"/>
              </w:rPr>
              <w:t xml:space="preserve"> Pension Social</w:t>
            </w:r>
            <w:r w:rsidR="00F667B8" w:rsidRPr="00B31292">
              <w:rPr>
                <w:rFonts w:ascii="Garamond" w:eastAsia="Times New Roman" w:hAnsi="Garamond" w:cs="Times New Roman"/>
                <w:sz w:val="10"/>
                <w:szCs w:val="10"/>
              </w:rPr>
              <w:t>.</w:t>
            </w:r>
          </w:p>
        </w:tc>
        <w:tc>
          <w:tcPr>
            <w:tcW w:w="299" w:type="pct"/>
            <w:tcBorders>
              <w:top w:val="nil"/>
              <w:left w:val="nil"/>
              <w:bottom w:val="single" w:sz="4" w:space="0" w:color="000000"/>
              <w:right w:val="nil"/>
            </w:tcBorders>
            <w:shd w:val="clear" w:color="000000" w:fill="FFFFFF"/>
            <w:vAlign w:val="center"/>
            <w:hideMark/>
          </w:tcPr>
          <w:p w14:paraId="32F6607A" w14:textId="0056BB34"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xml:space="preserve">Instituti </w:t>
            </w:r>
            <w:r w:rsidR="00FD245C" w:rsidRPr="00B31292">
              <w:rPr>
                <w:rFonts w:ascii="Garamond" w:eastAsia="Times New Roman" w:hAnsi="Garamond" w:cs="Times New Roman"/>
                <w:sz w:val="10"/>
                <w:szCs w:val="10"/>
              </w:rPr>
              <w:t>i</w:t>
            </w:r>
            <w:r w:rsidRPr="00B31292">
              <w:rPr>
                <w:rFonts w:ascii="Garamond" w:eastAsia="Times New Roman" w:hAnsi="Garamond" w:cs="Times New Roman"/>
                <w:sz w:val="10"/>
                <w:szCs w:val="10"/>
              </w:rPr>
              <w:t xml:space="preserve"> sigurimeve </w:t>
            </w:r>
            <w:r w:rsidR="00FD245C" w:rsidRPr="00B31292">
              <w:rPr>
                <w:rFonts w:ascii="Garamond" w:eastAsia="Times New Roman" w:hAnsi="Garamond" w:cs="Times New Roman"/>
                <w:sz w:val="10"/>
                <w:szCs w:val="10"/>
              </w:rPr>
              <w:t>shoqërore</w:t>
            </w:r>
          </w:p>
        </w:tc>
        <w:tc>
          <w:tcPr>
            <w:tcW w:w="224" w:type="pct"/>
            <w:tcBorders>
              <w:top w:val="nil"/>
              <w:left w:val="single" w:sz="4" w:space="0" w:color="auto"/>
              <w:bottom w:val="single" w:sz="4" w:space="0" w:color="auto"/>
              <w:right w:val="single" w:sz="4" w:space="0" w:color="auto"/>
            </w:tcBorders>
            <w:shd w:val="clear" w:color="000000" w:fill="FFFFFF"/>
            <w:vAlign w:val="center"/>
            <w:hideMark/>
          </w:tcPr>
          <w:p w14:paraId="30E001DC" w14:textId="09CA5A6D"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INSTAT</w:t>
            </w:r>
            <w:r w:rsidR="00F667B8" w:rsidRPr="00B31292">
              <w:rPr>
                <w:rFonts w:ascii="Garamond" w:eastAsia="Times New Roman" w:hAnsi="Garamond" w:cs="Times New Roman"/>
                <w:sz w:val="10"/>
                <w:szCs w:val="10"/>
              </w:rPr>
              <w:t>-i</w:t>
            </w:r>
          </w:p>
        </w:tc>
        <w:tc>
          <w:tcPr>
            <w:tcW w:w="244" w:type="pct"/>
            <w:tcBorders>
              <w:top w:val="nil"/>
              <w:left w:val="nil"/>
              <w:bottom w:val="single" w:sz="4" w:space="0" w:color="auto"/>
              <w:right w:val="single" w:sz="4" w:space="0" w:color="auto"/>
            </w:tcBorders>
            <w:shd w:val="clear" w:color="000000" w:fill="FFFFFF"/>
            <w:vAlign w:val="center"/>
            <w:hideMark/>
          </w:tcPr>
          <w:p w14:paraId="1CB43116"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V + 127D</w:t>
            </w:r>
          </w:p>
        </w:tc>
        <w:tc>
          <w:tcPr>
            <w:tcW w:w="220" w:type="pct"/>
            <w:tcBorders>
              <w:top w:val="nil"/>
              <w:left w:val="nil"/>
              <w:bottom w:val="single" w:sz="4" w:space="0" w:color="auto"/>
              <w:right w:val="single" w:sz="4" w:space="0" w:color="auto"/>
            </w:tcBorders>
            <w:shd w:val="clear" w:color="000000" w:fill="FFFFFF"/>
            <w:vAlign w:val="center"/>
            <w:hideMark/>
          </w:tcPr>
          <w:p w14:paraId="47CBDC81"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V + 141D</w:t>
            </w:r>
          </w:p>
        </w:tc>
        <w:tc>
          <w:tcPr>
            <w:tcW w:w="220" w:type="pct"/>
            <w:tcBorders>
              <w:top w:val="nil"/>
              <w:left w:val="nil"/>
              <w:bottom w:val="single" w:sz="4" w:space="0" w:color="auto"/>
              <w:right w:val="single" w:sz="4" w:space="0" w:color="auto"/>
            </w:tcBorders>
            <w:shd w:val="clear" w:color="000000" w:fill="FFFFFF"/>
            <w:vAlign w:val="center"/>
            <w:hideMark/>
          </w:tcPr>
          <w:p w14:paraId="72D70D96"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V + 152D</w:t>
            </w:r>
          </w:p>
        </w:tc>
        <w:tc>
          <w:tcPr>
            <w:tcW w:w="346" w:type="pct"/>
            <w:tcBorders>
              <w:top w:val="nil"/>
              <w:left w:val="nil"/>
              <w:bottom w:val="single" w:sz="4" w:space="0" w:color="auto"/>
              <w:right w:val="single" w:sz="4" w:space="0" w:color="auto"/>
            </w:tcBorders>
            <w:shd w:val="clear" w:color="auto" w:fill="auto"/>
            <w:vAlign w:val="center"/>
            <w:hideMark/>
          </w:tcPr>
          <w:p w14:paraId="3F3133B2" w14:textId="270AE2D9"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xml:space="preserve">1. Vonesa </w:t>
            </w:r>
            <w:r w:rsidR="00FD245C" w:rsidRPr="00B31292">
              <w:rPr>
                <w:rFonts w:ascii="Garamond" w:eastAsia="Times New Roman" w:hAnsi="Garamond" w:cs="Times New Roman"/>
                <w:sz w:val="10"/>
                <w:szCs w:val="10"/>
              </w:rPr>
              <w:t>në marrjen e të dhënave</w:t>
            </w:r>
            <w:r w:rsidRPr="00B31292">
              <w:rPr>
                <w:rFonts w:ascii="Garamond" w:eastAsia="Times New Roman" w:hAnsi="Garamond" w:cs="Times New Roman"/>
                <w:sz w:val="10"/>
                <w:szCs w:val="10"/>
              </w:rPr>
              <w:t xml:space="preserve"> administrative, nga institucionet -|- 6</w:t>
            </w:r>
          </w:p>
        </w:tc>
        <w:tc>
          <w:tcPr>
            <w:tcW w:w="273" w:type="pct"/>
            <w:tcBorders>
              <w:top w:val="nil"/>
              <w:left w:val="nil"/>
              <w:bottom w:val="single" w:sz="4" w:space="0" w:color="auto"/>
              <w:right w:val="single" w:sz="4" w:space="0" w:color="auto"/>
            </w:tcBorders>
            <w:shd w:val="clear" w:color="auto" w:fill="auto"/>
            <w:vAlign w:val="center"/>
            <w:hideMark/>
          </w:tcPr>
          <w:p w14:paraId="5D990569"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Buxhet shteti</w:t>
            </w:r>
          </w:p>
        </w:tc>
      </w:tr>
      <w:tr w:rsidR="000A2254" w:rsidRPr="00B31292" w14:paraId="667A3741" w14:textId="77777777" w:rsidTr="000A2254">
        <w:trPr>
          <w:trHeight w:val="20"/>
        </w:trPr>
        <w:tc>
          <w:tcPr>
            <w:tcW w:w="215" w:type="pct"/>
            <w:tcBorders>
              <w:top w:val="nil"/>
              <w:left w:val="nil"/>
              <w:bottom w:val="nil"/>
              <w:right w:val="nil"/>
            </w:tcBorders>
            <w:shd w:val="clear" w:color="000000" w:fill="FFFFFF"/>
            <w:vAlign w:val="bottom"/>
            <w:hideMark/>
          </w:tcPr>
          <w:p w14:paraId="6482B7F7"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05D8713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5B7C602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4D81F78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0E02192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018C244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000000"/>
              <w:bottom w:val="single" w:sz="4" w:space="0" w:color="000000"/>
              <w:right w:val="single" w:sz="4" w:space="0" w:color="000000"/>
            </w:tcBorders>
            <w:shd w:val="clear" w:color="000000" w:fill="FFFFFF"/>
            <w:vAlign w:val="center"/>
            <w:hideMark/>
          </w:tcPr>
          <w:p w14:paraId="78592862"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1.6.1.1.e</w:t>
            </w:r>
          </w:p>
        </w:tc>
        <w:tc>
          <w:tcPr>
            <w:tcW w:w="281" w:type="pct"/>
            <w:tcBorders>
              <w:top w:val="nil"/>
              <w:left w:val="nil"/>
              <w:bottom w:val="single" w:sz="4" w:space="0" w:color="000000"/>
              <w:right w:val="single" w:sz="4" w:space="0" w:color="000000"/>
            </w:tcBorders>
            <w:shd w:val="clear" w:color="000000" w:fill="FFFFFF"/>
            <w:vAlign w:val="center"/>
            <w:hideMark/>
          </w:tcPr>
          <w:p w14:paraId="0F6F4153"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Statistika të kujdesit për fëmijët në nevojë</w:t>
            </w:r>
          </w:p>
        </w:tc>
        <w:tc>
          <w:tcPr>
            <w:tcW w:w="236" w:type="pct"/>
            <w:tcBorders>
              <w:top w:val="nil"/>
              <w:left w:val="nil"/>
              <w:bottom w:val="single" w:sz="4" w:space="0" w:color="000000"/>
              <w:right w:val="single" w:sz="4" w:space="0" w:color="000000"/>
            </w:tcBorders>
            <w:shd w:val="clear" w:color="000000" w:fill="FFFFFF"/>
            <w:vAlign w:val="center"/>
            <w:hideMark/>
          </w:tcPr>
          <w:p w14:paraId="3A29C69F"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Burim administrativ</w:t>
            </w:r>
          </w:p>
        </w:tc>
        <w:tc>
          <w:tcPr>
            <w:tcW w:w="238" w:type="pct"/>
            <w:tcBorders>
              <w:top w:val="nil"/>
              <w:left w:val="nil"/>
              <w:bottom w:val="single" w:sz="4" w:space="0" w:color="auto"/>
              <w:right w:val="single" w:sz="4" w:space="0" w:color="auto"/>
            </w:tcBorders>
            <w:shd w:val="clear" w:color="000000" w:fill="FFFFFF"/>
            <w:vAlign w:val="center"/>
            <w:hideMark/>
          </w:tcPr>
          <w:p w14:paraId="6FB5A7D0"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180" w:type="pct"/>
            <w:tcBorders>
              <w:top w:val="nil"/>
              <w:left w:val="nil"/>
              <w:bottom w:val="single" w:sz="4" w:space="0" w:color="auto"/>
              <w:right w:val="single" w:sz="4" w:space="0" w:color="auto"/>
            </w:tcBorders>
            <w:shd w:val="clear" w:color="000000" w:fill="FFFFFF"/>
            <w:vAlign w:val="center"/>
            <w:hideMark/>
          </w:tcPr>
          <w:p w14:paraId="26F3BF8A"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28" w:type="pct"/>
            <w:tcBorders>
              <w:top w:val="nil"/>
              <w:left w:val="nil"/>
              <w:bottom w:val="single" w:sz="4" w:space="0" w:color="auto"/>
              <w:right w:val="single" w:sz="4" w:space="0" w:color="auto"/>
            </w:tcBorders>
            <w:shd w:val="clear" w:color="000000" w:fill="FFFFFF"/>
            <w:vAlign w:val="center"/>
            <w:hideMark/>
          </w:tcPr>
          <w:p w14:paraId="7007D70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tcBorders>
              <w:top w:val="nil"/>
              <w:left w:val="nil"/>
              <w:bottom w:val="single" w:sz="4" w:space="0" w:color="000000"/>
              <w:right w:val="single" w:sz="4" w:space="0" w:color="000000"/>
            </w:tcBorders>
            <w:shd w:val="clear" w:color="000000" w:fill="FFFFFF"/>
            <w:vAlign w:val="center"/>
            <w:hideMark/>
          </w:tcPr>
          <w:p w14:paraId="77D18687"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Vjetor</w:t>
            </w:r>
          </w:p>
        </w:tc>
        <w:tc>
          <w:tcPr>
            <w:tcW w:w="486" w:type="pct"/>
            <w:tcBorders>
              <w:top w:val="nil"/>
              <w:left w:val="nil"/>
              <w:bottom w:val="single" w:sz="4" w:space="0" w:color="000000"/>
              <w:right w:val="single" w:sz="4" w:space="0" w:color="000000"/>
            </w:tcBorders>
            <w:shd w:val="clear" w:color="000000" w:fill="FFFFFF"/>
            <w:hideMark/>
          </w:tcPr>
          <w:p w14:paraId="3C22D876" w14:textId="6E53F4FB"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Numri</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i fëmijëve të moshës 0</w:t>
            </w:r>
            <w:r w:rsidR="00FD245C"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17 vjeç në kujdesin formal rezidencial,</w:t>
            </w:r>
            <w:r w:rsidR="00FD245C"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shtëpi fëmijësh në fund të vitit</w:t>
            </w:r>
            <w:r w:rsidR="00F667B8"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 Numri i përgjithshëm i fëmijëve me aftësi të kufizuara të moshës 0</w:t>
            </w:r>
            <w:r w:rsidR="00FD245C"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17 vjeç në kujdesin formal rezidencial, qendra zhvillimi në fund të vitit</w:t>
            </w:r>
            <w:r w:rsidR="00F667B8"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 Numri i përgjithshëm i fëmijëve të moshës 0</w:t>
            </w:r>
            <w:r w:rsidR="00FD245C"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17 vjeç të cilët lanë kujdesin formal rezidencial, gjatë vitit</w:t>
            </w:r>
            <w:r w:rsidR="00F667B8"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4. Numri i përgjithshëm i fëmijëve me aftësi të kufizuara të moshës 0</w:t>
            </w:r>
            <w:r w:rsidR="00FD245C"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17 vjeç të cilët lanë kujdesin formal rezidencial, gjatë vitit</w:t>
            </w:r>
            <w:r w:rsidR="00F667B8"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5. Numri i përgjithshëm i fëmijëve të moshës 0</w:t>
            </w:r>
            <w:r w:rsidR="00FD245C"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17 vjeç në shërbim kujdestarie, në fund të vitit</w:t>
            </w:r>
            <w:r w:rsidR="00F667B8"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6. Numri i përgjithshëm i fëmijëve me aftësi të kufizuara të moshës 0</w:t>
            </w:r>
            <w:r w:rsidR="00FD245C"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17 vjeç në të gjithë kujdesin formal të bazuar në familje në fund të vitit</w:t>
            </w:r>
            <w:r w:rsidR="00F667B8"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7. Numri</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i fëmijëve të moshës 0</w:t>
            </w:r>
            <w:r w:rsidR="00FD245C"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17 vjeç të adoptuar</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 xml:space="preserve">gjithsej </w:t>
            </w:r>
            <w:r w:rsidRPr="00B31292">
              <w:rPr>
                <w:rFonts w:ascii="Garamond" w:eastAsia="Times New Roman" w:hAnsi="Garamond" w:cs="Times New Roman"/>
                <w:color w:val="000000"/>
                <w:sz w:val="10"/>
                <w:szCs w:val="10"/>
              </w:rPr>
              <w:lastRenderedPageBreak/>
              <w:t>brenda vendit, gjatë vitit</w:t>
            </w:r>
            <w:r w:rsidR="00F667B8"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8. Numri</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i fëmijëve të moshës 0</w:t>
            </w:r>
            <w:r w:rsidR="00FD245C"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17 vjeç të adoptuar</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gjithsej</w:t>
            </w:r>
            <w:r w:rsidR="002E2911" w:rsidRPr="00B31292">
              <w:rPr>
                <w:rFonts w:ascii="Garamond" w:eastAsia="Times New Roman" w:hAnsi="Garamond" w:cs="Times New Roman"/>
                <w:color w:val="000000"/>
                <w:sz w:val="10"/>
                <w:szCs w:val="10"/>
              </w:rPr>
              <w:t xml:space="preserve"> </w:t>
            </w:r>
            <w:r w:rsidR="00FD245C" w:rsidRPr="00B31292">
              <w:rPr>
                <w:rFonts w:ascii="Garamond" w:eastAsia="Times New Roman" w:hAnsi="Garamond" w:cs="Times New Roman"/>
                <w:color w:val="000000"/>
                <w:sz w:val="10"/>
                <w:szCs w:val="10"/>
              </w:rPr>
              <w:t>jashtë</w:t>
            </w:r>
            <w:r w:rsidRPr="00B31292">
              <w:rPr>
                <w:rFonts w:ascii="Garamond" w:eastAsia="Times New Roman" w:hAnsi="Garamond" w:cs="Times New Roman"/>
                <w:color w:val="000000"/>
                <w:sz w:val="10"/>
                <w:szCs w:val="10"/>
              </w:rPr>
              <w:t xml:space="preserve"> vendit gjatë vitit</w:t>
            </w:r>
            <w:r w:rsidR="00F667B8"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9. Numri i përgjithshëm i fëmijëve me aftësi të kufizuara të moshës 0</w:t>
            </w:r>
            <w:r w:rsidR="00FD245C"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17 vjeç të adoptuar brenda vendit gjatë vitit</w:t>
            </w:r>
            <w:r w:rsidR="00F667B8"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10. Numri i përgjithshëm i fëmijëve me aftësi të kufizuara të moshës 0</w:t>
            </w:r>
            <w:r w:rsidR="00FD245C"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17 vjeç të adoptuar </w:t>
            </w:r>
            <w:r w:rsidR="00FD245C" w:rsidRPr="00B31292">
              <w:rPr>
                <w:rFonts w:ascii="Garamond" w:eastAsia="Times New Roman" w:hAnsi="Garamond" w:cs="Times New Roman"/>
                <w:color w:val="000000"/>
                <w:sz w:val="10"/>
                <w:szCs w:val="10"/>
              </w:rPr>
              <w:t>jashtë</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vendit</w:t>
            </w:r>
            <w:r w:rsidR="00FD245C"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gjatë vitit</w:t>
            </w:r>
            <w:r w:rsidR="00F667B8" w:rsidRPr="00B31292">
              <w:rPr>
                <w:rFonts w:ascii="Garamond" w:eastAsia="Times New Roman" w:hAnsi="Garamond" w:cs="Times New Roman"/>
                <w:color w:val="000000"/>
                <w:sz w:val="10"/>
                <w:szCs w:val="10"/>
              </w:rPr>
              <w:t>.</w:t>
            </w:r>
          </w:p>
        </w:tc>
        <w:tc>
          <w:tcPr>
            <w:tcW w:w="299" w:type="pct"/>
            <w:tcBorders>
              <w:top w:val="nil"/>
              <w:left w:val="nil"/>
              <w:bottom w:val="single" w:sz="4" w:space="0" w:color="000000"/>
              <w:right w:val="nil"/>
            </w:tcBorders>
            <w:shd w:val="clear" w:color="000000" w:fill="FFFFFF"/>
            <w:vAlign w:val="center"/>
            <w:hideMark/>
          </w:tcPr>
          <w:p w14:paraId="1FD7049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lastRenderedPageBreak/>
              <w:t>Shërbimi Social Shtetëror</w:t>
            </w:r>
          </w:p>
        </w:tc>
        <w:tc>
          <w:tcPr>
            <w:tcW w:w="224" w:type="pct"/>
            <w:tcBorders>
              <w:top w:val="nil"/>
              <w:left w:val="single" w:sz="4" w:space="0" w:color="auto"/>
              <w:bottom w:val="single" w:sz="4" w:space="0" w:color="auto"/>
              <w:right w:val="single" w:sz="4" w:space="0" w:color="auto"/>
            </w:tcBorders>
            <w:shd w:val="clear" w:color="000000" w:fill="FFFFFF"/>
            <w:vAlign w:val="center"/>
            <w:hideMark/>
          </w:tcPr>
          <w:p w14:paraId="16D86AB4" w14:textId="169524CF"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F667B8" w:rsidRPr="00B31292">
              <w:rPr>
                <w:rFonts w:ascii="Garamond" w:eastAsia="Times New Roman" w:hAnsi="Garamond" w:cs="Times New Roman"/>
                <w:color w:val="000000"/>
                <w:sz w:val="10"/>
                <w:szCs w:val="10"/>
              </w:rPr>
              <w:t>-i</w:t>
            </w:r>
          </w:p>
        </w:tc>
        <w:tc>
          <w:tcPr>
            <w:tcW w:w="244" w:type="pct"/>
            <w:tcBorders>
              <w:top w:val="nil"/>
              <w:left w:val="nil"/>
              <w:bottom w:val="single" w:sz="4" w:space="0" w:color="auto"/>
              <w:right w:val="single" w:sz="4" w:space="0" w:color="auto"/>
            </w:tcBorders>
            <w:shd w:val="clear" w:color="000000" w:fill="FFFFFF"/>
            <w:vAlign w:val="center"/>
            <w:hideMark/>
          </w:tcPr>
          <w:p w14:paraId="07823E4E"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 V + 182D</w:t>
            </w:r>
          </w:p>
        </w:tc>
        <w:tc>
          <w:tcPr>
            <w:tcW w:w="220" w:type="pct"/>
            <w:tcBorders>
              <w:top w:val="nil"/>
              <w:left w:val="nil"/>
              <w:bottom w:val="single" w:sz="4" w:space="0" w:color="auto"/>
              <w:right w:val="single" w:sz="4" w:space="0" w:color="auto"/>
            </w:tcBorders>
            <w:shd w:val="clear" w:color="000000" w:fill="FFFFFF"/>
            <w:vAlign w:val="center"/>
            <w:hideMark/>
          </w:tcPr>
          <w:p w14:paraId="2A9CF1AE"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 V + 264D</w:t>
            </w:r>
          </w:p>
        </w:tc>
        <w:tc>
          <w:tcPr>
            <w:tcW w:w="220" w:type="pct"/>
            <w:tcBorders>
              <w:top w:val="nil"/>
              <w:left w:val="nil"/>
              <w:bottom w:val="single" w:sz="4" w:space="0" w:color="auto"/>
              <w:right w:val="single" w:sz="4" w:space="0" w:color="auto"/>
            </w:tcBorders>
            <w:shd w:val="clear" w:color="000000" w:fill="FFFFFF"/>
            <w:vAlign w:val="center"/>
            <w:hideMark/>
          </w:tcPr>
          <w:p w14:paraId="61F074A7"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 V + 306D</w:t>
            </w:r>
          </w:p>
        </w:tc>
        <w:tc>
          <w:tcPr>
            <w:tcW w:w="346" w:type="pct"/>
            <w:tcBorders>
              <w:top w:val="nil"/>
              <w:left w:val="nil"/>
              <w:bottom w:val="single" w:sz="4" w:space="0" w:color="auto"/>
              <w:right w:val="single" w:sz="4" w:space="0" w:color="auto"/>
            </w:tcBorders>
            <w:shd w:val="clear" w:color="auto" w:fill="auto"/>
            <w:vAlign w:val="center"/>
            <w:hideMark/>
          </w:tcPr>
          <w:p w14:paraId="60B81FB4" w14:textId="3FC82B72"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Vonesa n</w:t>
            </w:r>
            <w:r w:rsidR="00FD245C"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marrjen e t</w:t>
            </w:r>
            <w:r w:rsidR="00FD245C"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w:t>
            </w:r>
            <w:r w:rsidR="00FD245C" w:rsidRPr="00B31292">
              <w:rPr>
                <w:rFonts w:ascii="Garamond" w:eastAsia="Times New Roman" w:hAnsi="Garamond" w:cs="Times New Roman"/>
                <w:color w:val="000000"/>
                <w:sz w:val="10"/>
                <w:szCs w:val="10"/>
              </w:rPr>
              <w:t>dhënave</w:t>
            </w:r>
            <w:r w:rsidRPr="00B31292">
              <w:rPr>
                <w:rFonts w:ascii="Garamond" w:eastAsia="Times New Roman" w:hAnsi="Garamond" w:cs="Times New Roman"/>
                <w:color w:val="000000"/>
                <w:sz w:val="10"/>
                <w:szCs w:val="10"/>
              </w:rPr>
              <w:t xml:space="preserve"> administrative, nga institucionet -|- 6</w:t>
            </w:r>
          </w:p>
        </w:tc>
        <w:tc>
          <w:tcPr>
            <w:tcW w:w="273" w:type="pct"/>
            <w:tcBorders>
              <w:top w:val="nil"/>
              <w:left w:val="nil"/>
              <w:bottom w:val="single" w:sz="4" w:space="0" w:color="auto"/>
              <w:right w:val="single" w:sz="4" w:space="0" w:color="auto"/>
            </w:tcBorders>
            <w:shd w:val="clear" w:color="auto" w:fill="auto"/>
            <w:vAlign w:val="center"/>
            <w:hideMark/>
          </w:tcPr>
          <w:p w14:paraId="12A531F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Buxhet shteti</w:t>
            </w:r>
          </w:p>
        </w:tc>
      </w:tr>
      <w:tr w:rsidR="000A2254" w:rsidRPr="00B31292" w14:paraId="15A85778" w14:textId="77777777" w:rsidTr="000A2254">
        <w:trPr>
          <w:trHeight w:val="20"/>
        </w:trPr>
        <w:tc>
          <w:tcPr>
            <w:tcW w:w="215" w:type="pct"/>
            <w:tcBorders>
              <w:top w:val="nil"/>
              <w:left w:val="nil"/>
              <w:bottom w:val="nil"/>
              <w:right w:val="nil"/>
            </w:tcBorders>
            <w:shd w:val="clear" w:color="000000" w:fill="FFFFFF"/>
            <w:vAlign w:val="bottom"/>
            <w:hideMark/>
          </w:tcPr>
          <w:p w14:paraId="79A69BB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07B1ADC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4664788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177150C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single" w:sz="4" w:space="0" w:color="auto"/>
              <w:left w:val="single" w:sz="4" w:space="0" w:color="auto"/>
              <w:bottom w:val="single" w:sz="4" w:space="0" w:color="auto"/>
              <w:right w:val="single" w:sz="4" w:space="0" w:color="auto"/>
            </w:tcBorders>
            <w:shd w:val="clear" w:color="000000" w:fill="F0F0F0"/>
            <w:vAlign w:val="center"/>
            <w:hideMark/>
          </w:tcPr>
          <w:p w14:paraId="7133B0EF"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1.6.2</w:t>
            </w:r>
          </w:p>
        </w:tc>
        <w:tc>
          <w:tcPr>
            <w:tcW w:w="4082" w:type="pct"/>
            <w:gridSpan w:val="16"/>
            <w:tcBorders>
              <w:top w:val="single" w:sz="4" w:space="0" w:color="auto"/>
              <w:left w:val="nil"/>
              <w:bottom w:val="single" w:sz="4" w:space="0" w:color="auto"/>
              <w:right w:val="single" w:sz="4" w:space="0" w:color="auto"/>
            </w:tcBorders>
            <w:shd w:val="clear" w:color="000000" w:fill="F0F0F0"/>
            <w:vAlign w:val="center"/>
            <w:hideMark/>
          </w:tcPr>
          <w:p w14:paraId="6717C33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Statistikat e ESSPROS</w:t>
            </w:r>
          </w:p>
        </w:tc>
      </w:tr>
      <w:tr w:rsidR="000A2254" w:rsidRPr="00B31292" w14:paraId="31B7AEA3" w14:textId="77777777" w:rsidTr="000A2254">
        <w:trPr>
          <w:trHeight w:val="20"/>
        </w:trPr>
        <w:tc>
          <w:tcPr>
            <w:tcW w:w="215" w:type="pct"/>
            <w:tcBorders>
              <w:top w:val="nil"/>
              <w:left w:val="nil"/>
              <w:bottom w:val="nil"/>
              <w:right w:val="nil"/>
            </w:tcBorders>
            <w:shd w:val="clear" w:color="000000" w:fill="FFFFFF"/>
            <w:vAlign w:val="bottom"/>
            <w:hideMark/>
          </w:tcPr>
          <w:p w14:paraId="7630453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34DB8E9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65FB1C3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6D7540A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463DC04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4A071307"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000000"/>
              <w:bottom w:val="nil"/>
              <w:right w:val="single" w:sz="4" w:space="0" w:color="000000"/>
            </w:tcBorders>
            <w:shd w:val="clear" w:color="auto" w:fill="auto"/>
            <w:vAlign w:val="center"/>
            <w:hideMark/>
          </w:tcPr>
          <w:p w14:paraId="0C71D135"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1.6.2.1</w:t>
            </w:r>
          </w:p>
        </w:tc>
        <w:tc>
          <w:tcPr>
            <w:tcW w:w="281" w:type="pct"/>
            <w:tcBorders>
              <w:top w:val="nil"/>
              <w:left w:val="nil"/>
              <w:bottom w:val="nil"/>
              <w:right w:val="single" w:sz="4" w:space="0" w:color="000000"/>
            </w:tcBorders>
            <w:shd w:val="clear" w:color="auto" w:fill="auto"/>
            <w:vAlign w:val="center"/>
            <w:hideMark/>
          </w:tcPr>
          <w:p w14:paraId="057393AF"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Statistikat ESSPROS</w:t>
            </w:r>
          </w:p>
        </w:tc>
        <w:tc>
          <w:tcPr>
            <w:tcW w:w="236" w:type="pct"/>
            <w:tcBorders>
              <w:top w:val="nil"/>
              <w:left w:val="nil"/>
              <w:bottom w:val="single" w:sz="4" w:space="0" w:color="000000"/>
              <w:right w:val="single" w:sz="4" w:space="0" w:color="000000"/>
            </w:tcBorders>
            <w:shd w:val="clear" w:color="000000" w:fill="FFFFFF"/>
            <w:vAlign w:val="center"/>
            <w:hideMark/>
          </w:tcPr>
          <w:p w14:paraId="3DF5413E"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38" w:type="pct"/>
            <w:tcBorders>
              <w:top w:val="nil"/>
              <w:left w:val="nil"/>
              <w:bottom w:val="single" w:sz="4" w:space="0" w:color="auto"/>
              <w:right w:val="single" w:sz="4" w:space="0" w:color="auto"/>
            </w:tcBorders>
            <w:shd w:val="clear" w:color="000000" w:fill="FFFFFF"/>
            <w:noWrap/>
            <w:vAlign w:val="center"/>
            <w:hideMark/>
          </w:tcPr>
          <w:p w14:paraId="04D4C8DC"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180" w:type="pct"/>
            <w:tcBorders>
              <w:top w:val="nil"/>
              <w:left w:val="nil"/>
              <w:bottom w:val="single" w:sz="4" w:space="0" w:color="auto"/>
              <w:right w:val="single" w:sz="4" w:space="0" w:color="auto"/>
            </w:tcBorders>
            <w:shd w:val="clear" w:color="000000" w:fill="FFFFFF"/>
            <w:vAlign w:val="center"/>
            <w:hideMark/>
          </w:tcPr>
          <w:p w14:paraId="722A5186"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28" w:type="pct"/>
            <w:tcBorders>
              <w:top w:val="nil"/>
              <w:left w:val="nil"/>
              <w:bottom w:val="single" w:sz="4" w:space="0" w:color="auto"/>
              <w:right w:val="single" w:sz="4" w:space="0" w:color="auto"/>
            </w:tcBorders>
            <w:shd w:val="clear" w:color="000000" w:fill="FFFFFF"/>
            <w:vAlign w:val="center"/>
            <w:hideMark/>
          </w:tcPr>
          <w:p w14:paraId="5C8664F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22" w:type="pct"/>
            <w:tcBorders>
              <w:top w:val="nil"/>
              <w:left w:val="nil"/>
              <w:bottom w:val="single" w:sz="4" w:space="0" w:color="auto"/>
              <w:right w:val="single" w:sz="4" w:space="0" w:color="auto"/>
            </w:tcBorders>
            <w:shd w:val="clear" w:color="000000" w:fill="FFFFFF"/>
            <w:vAlign w:val="center"/>
            <w:hideMark/>
          </w:tcPr>
          <w:p w14:paraId="2ADBFEC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486" w:type="pct"/>
            <w:tcBorders>
              <w:top w:val="nil"/>
              <w:left w:val="nil"/>
              <w:bottom w:val="nil"/>
              <w:right w:val="single" w:sz="4" w:space="0" w:color="auto"/>
            </w:tcBorders>
            <w:shd w:val="clear" w:color="000000" w:fill="FFFFFF"/>
            <w:vAlign w:val="center"/>
            <w:hideMark/>
          </w:tcPr>
          <w:p w14:paraId="54C9976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99" w:type="pct"/>
            <w:tcBorders>
              <w:top w:val="nil"/>
              <w:left w:val="nil"/>
              <w:bottom w:val="nil"/>
              <w:right w:val="nil"/>
            </w:tcBorders>
            <w:shd w:val="clear" w:color="000000" w:fill="FFFFFF"/>
            <w:hideMark/>
          </w:tcPr>
          <w:p w14:paraId="54C1D0A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24" w:type="pct"/>
            <w:tcBorders>
              <w:top w:val="nil"/>
              <w:left w:val="single" w:sz="4" w:space="0" w:color="auto"/>
              <w:bottom w:val="nil"/>
              <w:right w:val="single" w:sz="4" w:space="0" w:color="auto"/>
            </w:tcBorders>
            <w:shd w:val="clear" w:color="000000" w:fill="FFFFFF"/>
            <w:vAlign w:val="center"/>
            <w:hideMark/>
          </w:tcPr>
          <w:p w14:paraId="2A6DD9F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44" w:type="pct"/>
            <w:tcBorders>
              <w:top w:val="nil"/>
              <w:left w:val="nil"/>
              <w:bottom w:val="nil"/>
              <w:right w:val="single" w:sz="4" w:space="0" w:color="auto"/>
            </w:tcBorders>
            <w:shd w:val="clear" w:color="000000" w:fill="FFFFFF"/>
            <w:vAlign w:val="center"/>
            <w:hideMark/>
          </w:tcPr>
          <w:p w14:paraId="535020B7"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20" w:type="pct"/>
            <w:tcBorders>
              <w:top w:val="nil"/>
              <w:left w:val="nil"/>
              <w:bottom w:val="nil"/>
              <w:right w:val="single" w:sz="4" w:space="0" w:color="auto"/>
            </w:tcBorders>
            <w:shd w:val="clear" w:color="000000" w:fill="FFFFFF"/>
            <w:vAlign w:val="center"/>
            <w:hideMark/>
          </w:tcPr>
          <w:p w14:paraId="4403DE9A"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20" w:type="pct"/>
            <w:tcBorders>
              <w:top w:val="nil"/>
              <w:left w:val="nil"/>
              <w:bottom w:val="nil"/>
              <w:right w:val="single" w:sz="4" w:space="0" w:color="auto"/>
            </w:tcBorders>
            <w:shd w:val="clear" w:color="000000" w:fill="FFFFFF"/>
            <w:vAlign w:val="center"/>
            <w:hideMark/>
          </w:tcPr>
          <w:p w14:paraId="637F96C8"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346" w:type="pct"/>
            <w:tcBorders>
              <w:top w:val="nil"/>
              <w:left w:val="nil"/>
              <w:bottom w:val="nil"/>
              <w:right w:val="single" w:sz="4" w:space="0" w:color="auto"/>
            </w:tcBorders>
            <w:shd w:val="clear" w:color="000000" w:fill="FFFFFF"/>
            <w:vAlign w:val="center"/>
            <w:hideMark/>
          </w:tcPr>
          <w:p w14:paraId="30C8528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73" w:type="pct"/>
            <w:tcBorders>
              <w:top w:val="nil"/>
              <w:left w:val="nil"/>
              <w:bottom w:val="nil"/>
              <w:right w:val="single" w:sz="4" w:space="0" w:color="auto"/>
            </w:tcBorders>
            <w:shd w:val="clear" w:color="000000" w:fill="FFFFFF"/>
            <w:vAlign w:val="center"/>
            <w:hideMark/>
          </w:tcPr>
          <w:p w14:paraId="1012865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r>
      <w:tr w:rsidR="000A2254" w:rsidRPr="00B31292" w14:paraId="2846AE9F" w14:textId="77777777" w:rsidTr="000A2254">
        <w:trPr>
          <w:trHeight w:val="20"/>
        </w:trPr>
        <w:tc>
          <w:tcPr>
            <w:tcW w:w="215" w:type="pct"/>
            <w:tcBorders>
              <w:top w:val="nil"/>
              <w:left w:val="nil"/>
              <w:bottom w:val="nil"/>
              <w:right w:val="nil"/>
            </w:tcBorders>
            <w:shd w:val="clear" w:color="000000" w:fill="FFFFFF"/>
            <w:vAlign w:val="bottom"/>
            <w:hideMark/>
          </w:tcPr>
          <w:p w14:paraId="6EB37B8E"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15" w:type="pct"/>
            <w:tcBorders>
              <w:top w:val="nil"/>
              <w:left w:val="nil"/>
              <w:bottom w:val="nil"/>
              <w:right w:val="nil"/>
            </w:tcBorders>
            <w:shd w:val="clear" w:color="000000" w:fill="FFFFFF"/>
            <w:vAlign w:val="bottom"/>
            <w:hideMark/>
          </w:tcPr>
          <w:p w14:paraId="7697D657"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155" w:type="pct"/>
            <w:tcBorders>
              <w:top w:val="nil"/>
              <w:left w:val="nil"/>
              <w:bottom w:val="nil"/>
              <w:right w:val="nil"/>
            </w:tcBorders>
            <w:shd w:val="clear" w:color="000000" w:fill="FFFFFF"/>
            <w:vAlign w:val="bottom"/>
            <w:hideMark/>
          </w:tcPr>
          <w:p w14:paraId="3A06CD34"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145" w:type="pct"/>
            <w:tcBorders>
              <w:top w:val="nil"/>
              <w:left w:val="nil"/>
              <w:bottom w:val="nil"/>
              <w:right w:val="nil"/>
            </w:tcBorders>
            <w:shd w:val="clear" w:color="000000" w:fill="FFFFFF"/>
            <w:vAlign w:val="bottom"/>
            <w:hideMark/>
          </w:tcPr>
          <w:p w14:paraId="31FB18A3"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188" w:type="pct"/>
            <w:tcBorders>
              <w:top w:val="nil"/>
              <w:left w:val="nil"/>
              <w:bottom w:val="nil"/>
              <w:right w:val="nil"/>
            </w:tcBorders>
            <w:shd w:val="clear" w:color="000000" w:fill="FFFFFF"/>
            <w:vAlign w:val="bottom"/>
            <w:hideMark/>
          </w:tcPr>
          <w:p w14:paraId="08ECE967"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184" w:type="pct"/>
            <w:tcBorders>
              <w:top w:val="nil"/>
              <w:left w:val="nil"/>
              <w:bottom w:val="nil"/>
              <w:right w:val="nil"/>
            </w:tcBorders>
            <w:shd w:val="clear" w:color="000000" w:fill="FFFFFF"/>
            <w:vAlign w:val="bottom"/>
            <w:hideMark/>
          </w:tcPr>
          <w:p w14:paraId="03C2D323"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1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42A9A76"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1.6.2.1.1</w:t>
            </w:r>
          </w:p>
        </w:tc>
        <w:tc>
          <w:tcPr>
            <w:tcW w:w="281" w:type="pct"/>
            <w:tcBorders>
              <w:top w:val="single" w:sz="4" w:space="0" w:color="auto"/>
              <w:left w:val="nil"/>
              <w:bottom w:val="single" w:sz="4" w:space="0" w:color="auto"/>
              <w:right w:val="single" w:sz="4" w:space="0" w:color="auto"/>
            </w:tcBorders>
            <w:shd w:val="clear" w:color="auto" w:fill="auto"/>
            <w:vAlign w:val="center"/>
            <w:hideMark/>
          </w:tcPr>
          <w:p w14:paraId="51749C46"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Përfituesit e pensioneve ESSPROS</w:t>
            </w:r>
          </w:p>
        </w:tc>
        <w:tc>
          <w:tcPr>
            <w:tcW w:w="236" w:type="pct"/>
            <w:tcBorders>
              <w:top w:val="nil"/>
              <w:left w:val="nil"/>
              <w:bottom w:val="single" w:sz="4" w:space="0" w:color="000000"/>
              <w:right w:val="single" w:sz="4" w:space="0" w:color="000000"/>
            </w:tcBorders>
            <w:shd w:val="clear" w:color="000000" w:fill="FFFFFF"/>
            <w:vAlign w:val="center"/>
            <w:hideMark/>
          </w:tcPr>
          <w:p w14:paraId="019C097E"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Burim administrativ</w:t>
            </w:r>
          </w:p>
        </w:tc>
        <w:tc>
          <w:tcPr>
            <w:tcW w:w="238" w:type="pct"/>
            <w:tcBorders>
              <w:top w:val="nil"/>
              <w:left w:val="nil"/>
              <w:bottom w:val="single" w:sz="4" w:space="0" w:color="auto"/>
              <w:right w:val="single" w:sz="4" w:space="0" w:color="auto"/>
            </w:tcBorders>
            <w:shd w:val="clear" w:color="000000" w:fill="FFFFFF"/>
            <w:noWrap/>
            <w:vAlign w:val="center"/>
            <w:hideMark/>
          </w:tcPr>
          <w:p w14:paraId="5A24D501"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180" w:type="pct"/>
            <w:tcBorders>
              <w:top w:val="nil"/>
              <w:left w:val="nil"/>
              <w:bottom w:val="single" w:sz="4" w:space="0" w:color="auto"/>
              <w:right w:val="single" w:sz="4" w:space="0" w:color="auto"/>
            </w:tcBorders>
            <w:shd w:val="clear" w:color="auto" w:fill="auto"/>
            <w:vAlign w:val="center"/>
            <w:hideMark/>
          </w:tcPr>
          <w:p w14:paraId="520C63FA"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28" w:type="pct"/>
            <w:tcBorders>
              <w:top w:val="nil"/>
              <w:left w:val="nil"/>
              <w:bottom w:val="single" w:sz="4" w:space="0" w:color="auto"/>
              <w:right w:val="single" w:sz="4" w:space="0" w:color="auto"/>
            </w:tcBorders>
            <w:shd w:val="clear" w:color="auto" w:fill="auto"/>
            <w:vAlign w:val="center"/>
            <w:hideMark/>
          </w:tcPr>
          <w:p w14:paraId="4064403E"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22" w:type="pct"/>
            <w:tcBorders>
              <w:top w:val="nil"/>
              <w:left w:val="nil"/>
              <w:bottom w:val="single" w:sz="4" w:space="0" w:color="auto"/>
              <w:right w:val="single" w:sz="4" w:space="0" w:color="auto"/>
            </w:tcBorders>
            <w:shd w:val="clear" w:color="auto" w:fill="auto"/>
            <w:vAlign w:val="center"/>
            <w:hideMark/>
          </w:tcPr>
          <w:p w14:paraId="61015CDE"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486" w:type="pct"/>
            <w:tcBorders>
              <w:top w:val="single" w:sz="4" w:space="0" w:color="auto"/>
              <w:left w:val="nil"/>
              <w:bottom w:val="nil"/>
              <w:right w:val="single" w:sz="4" w:space="0" w:color="auto"/>
            </w:tcBorders>
            <w:shd w:val="clear" w:color="000000" w:fill="FFFFFF"/>
            <w:vAlign w:val="center"/>
            <w:hideMark/>
          </w:tcPr>
          <w:p w14:paraId="0C54A265" w14:textId="43056471" w:rsidR="000A2254" w:rsidRPr="00B31292" w:rsidRDefault="00FD245C" w:rsidP="00FD245C">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xml:space="preserve">1. </w:t>
            </w:r>
            <w:r w:rsidR="000A2254" w:rsidRPr="00B31292">
              <w:rPr>
                <w:rFonts w:ascii="Garamond" w:eastAsia="Times New Roman" w:hAnsi="Garamond" w:cs="Times New Roman"/>
                <w:sz w:val="10"/>
                <w:szCs w:val="10"/>
              </w:rPr>
              <w:t>Moduli i</w:t>
            </w:r>
            <w:r w:rsidR="002E2911" w:rsidRPr="00B31292">
              <w:rPr>
                <w:rFonts w:ascii="Garamond" w:eastAsia="Times New Roman" w:hAnsi="Garamond" w:cs="Times New Roman"/>
                <w:sz w:val="10"/>
                <w:szCs w:val="10"/>
              </w:rPr>
              <w:t xml:space="preserve"> </w:t>
            </w:r>
            <w:r w:rsidR="000A2254" w:rsidRPr="00B31292">
              <w:rPr>
                <w:rFonts w:ascii="Garamond" w:eastAsia="Times New Roman" w:hAnsi="Garamond" w:cs="Times New Roman"/>
                <w:sz w:val="10"/>
                <w:szCs w:val="10"/>
              </w:rPr>
              <w:t>përfituesve</w:t>
            </w:r>
            <w:r w:rsidR="002E2911" w:rsidRPr="00B31292">
              <w:rPr>
                <w:rFonts w:ascii="Garamond" w:eastAsia="Times New Roman" w:hAnsi="Garamond" w:cs="Times New Roman"/>
                <w:sz w:val="10"/>
                <w:szCs w:val="10"/>
              </w:rPr>
              <w:t xml:space="preserve"> </w:t>
            </w:r>
            <w:r w:rsidR="000A2254" w:rsidRPr="00B31292">
              <w:rPr>
                <w:rFonts w:ascii="Garamond" w:eastAsia="Times New Roman" w:hAnsi="Garamond" w:cs="Times New Roman"/>
                <w:sz w:val="10"/>
                <w:szCs w:val="10"/>
              </w:rPr>
              <w:t>të pensioneve sipas funksioneve dhe gjinisë</w:t>
            </w:r>
            <w:r w:rsidR="00F667B8" w:rsidRPr="00B31292">
              <w:rPr>
                <w:rFonts w:ascii="Garamond" w:eastAsia="Times New Roman" w:hAnsi="Garamond" w:cs="Times New Roman"/>
                <w:sz w:val="10"/>
                <w:szCs w:val="10"/>
              </w:rPr>
              <w:t>.</w:t>
            </w:r>
          </w:p>
        </w:tc>
        <w:tc>
          <w:tcPr>
            <w:tcW w:w="299" w:type="pct"/>
            <w:tcBorders>
              <w:top w:val="single" w:sz="4" w:space="0" w:color="auto"/>
              <w:left w:val="nil"/>
              <w:bottom w:val="single" w:sz="4" w:space="0" w:color="auto"/>
              <w:right w:val="single" w:sz="4" w:space="0" w:color="auto"/>
            </w:tcBorders>
            <w:shd w:val="clear" w:color="auto" w:fill="auto"/>
            <w:vAlign w:val="bottom"/>
            <w:hideMark/>
          </w:tcPr>
          <w:p w14:paraId="1BD0A461" w14:textId="3B8086A7" w:rsidR="00F667B8"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xml:space="preserve">003 - Ministria e Financave dhe Ekonomisë 005 -Ministria e Shëndetësisë dhe Mbrojtjes Sociale </w:t>
            </w:r>
          </w:p>
          <w:p w14:paraId="5F50A313" w14:textId="6B9ABCC3" w:rsidR="00F667B8"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016 - Ministria e Mbrojtjes</w:t>
            </w:r>
            <w:r w:rsidR="003E16E0" w:rsidRPr="00B31292">
              <w:rPr>
                <w:rFonts w:ascii="Garamond" w:eastAsia="Times New Roman" w:hAnsi="Garamond" w:cs="Times New Roman"/>
                <w:sz w:val="10"/>
                <w:szCs w:val="10"/>
              </w:rPr>
              <w:t xml:space="preserve"> </w:t>
            </w:r>
            <w:r w:rsidRPr="00B31292">
              <w:rPr>
                <w:rFonts w:ascii="Garamond" w:eastAsia="Times New Roman" w:hAnsi="Garamond" w:cs="Times New Roman"/>
                <w:sz w:val="10"/>
                <w:szCs w:val="10"/>
              </w:rPr>
              <w:t>017 - Ministria e Drejtësisë</w:t>
            </w:r>
            <w:r w:rsidR="003E16E0" w:rsidRPr="00B31292">
              <w:rPr>
                <w:rFonts w:ascii="Garamond" w:eastAsia="Times New Roman" w:hAnsi="Garamond" w:cs="Times New Roman"/>
                <w:sz w:val="10"/>
                <w:szCs w:val="10"/>
              </w:rPr>
              <w:t xml:space="preserve"> </w:t>
            </w:r>
            <w:r w:rsidRPr="00B31292">
              <w:rPr>
                <w:rFonts w:ascii="Garamond" w:eastAsia="Times New Roman" w:hAnsi="Garamond" w:cs="Times New Roman"/>
                <w:sz w:val="10"/>
                <w:szCs w:val="10"/>
              </w:rPr>
              <w:t xml:space="preserve">027 - Instituti i Sigurimeve Shoqërore </w:t>
            </w:r>
          </w:p>
          <w:p w14:paraId="25E6A5D4" w14:textId="3650C05B"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xml:space="preserve"> 030 - Fondi i Sigurimit të Detyrueshëm të Kujdesit Shëndetësor</w:t>
            </w:r>
            <w:r w:rsidR="003E16E0" w:rsidRPr="00B31292">
              <w:rPr>
                <w:rFonts w:ascii="Garamond" w:eastAsia="Times New Roman" w:hAnsi="Garamond" w:cs="Times New Roman"/>
                <w:sz w:val="10"/>
                <w:szCs w:val="10"/>
              </w:rPr>
              <w:t xml:space="preserve"> </w:t>
            </w:r>
            <w:r w:rsidRPr="00B31292">
              <w:rPr>
                <w:rFonts w:ascii="Garamond" w:eastAsia="Times New Roman" w:hAnsi="Garamond" w:cs="Times New Roman"/>
                <w:sz w:val="10"/>
                <w:szCs w:val="10"/>
              </w:rPr>
              <w:t>054 - Agjencia Kombëtare e Punësimit dhe Aftësive</w:t>
            </w:r>
          </w:p>
        </w:tc>
        <w:tc>
          <w:tcPr>
            <w:tcW w:w="224" w:type="pct"/>
            <w:tcBorders>
              <w:top w:val="single" w:sz="4" w:space="0" w:color="auto"/>
              <w:left w:val="nil"/>
              <w:bottom w:val="single" w:sz="4" w:space="0" w:color="auto"/>
              <w:right w:val="single" w:sz="4" w:space="0" w:color="auto"/>
            </w:tcBorders>
            <w:shd w:val="clear" w:color="auto" w:fill="auto"/>
            <w:vAlign w:val="bottom"/>
            <w:hideMark/>
          </w:tcPr>
          <w:p w14:paraId="1C748524" w14:textId="2FD799A4"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INSTAT</w:t>
            </w:r>
            <w:r w:rsidR="00F667B8" w:rsidRPr="00B31292">
              <w:rPr>
                <w:rFonts w:ascii="Garamond" w:eastAsia="Times New Roman" w:hAnsi="Garamond" w:cs="Times New Roman"/>
                <w:sz w:val="10"/>
                <w:szCs w:val="10"/>
              </w:rPr>
              <w:t>-i</w:t>
            </w:r>
          </w:p>
        </w:tc>
        <w:tc>
          <w:tcPr>
            <w:tcW w:w="244" w:type="pct"/>
            <w:tcBorders>
              <w:top w:val="single" w:sz="4" w:space="0" w:color="auto"/>
              <w:left w:val="nil"/>
              <w:bottom w:val="single" w:sz="4" w:space="0" w:color="auto"/>
              <w:right w:val="single" w:sz="4" w:space="0" w:color="auto"/>
            </w:tcBorders>
            <w:shd w:val="clear" w:color="000000" w:fill="FFFFFF"/>
            <w:vAlign w:val="center"/>
            <w:hideMark/>
          </w:tcPr>
          <w:p w14:paraId="3D2488B9"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xml:space="preserve"> V + 457D</w:t>
            </w:r>
          </w:p>
        </w:tc>
        <w:tc>
          <w:tcPr>
            <w:tcW w:w="220" w:type="pct"/>
            <w:tcBorders>
              <w:top w:val="single" w:sz="4" w:space="0" w:color="auto"/>
              <w:left w:val="nil"/>
              <w:bottom w:val="single" w:sz="4" w:space="0" w:color="auto"/>
              <w:right w:val="single" w:sz="4" w:space="0" w:color="auto"/>
            </w:tcBorders>
            <w:shd w:val="clear" w:color="000000" w:fill="FFFFFF"/>
            <w:vAlign w:val="center"/>
            <w:hideMark/>
          </w:tcPr>
          <w:p w14:paraId="3D9E0875"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xml:space="preserve"> V + 501D</w:t>
            </w:r>
          </w:p>
        </w:tc>
        <w:tc>
          <w:tcPr>
            <w:tcW w:w="220" w:type="pct"/>
            <w:tcBorders>
              <w:top w:val="single" w:sz="4" w:space="0" w:color="auto"/>
              <w:left w:val="nil"/>
              <w:bottom w:val="single" w:sz="4" w:space="0" w:color="auto"/>
              <w:right w:val="single" w:sz="4" w:space="0" w:color="auto"/>
            </w:tcBorders>
            <w:shd w:val="clear" w:color="000000" w:fill="FFFFFF"/>
            <w:vAlign w:val="center"/>
            <w:hideMark/>
          </w:tcPr>
          <w:p w14:paraId="72B755E1"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xml:space="preserve"> V+ 517D</w:t>
            </w:r>
          </w:p>
        </w:tc>
        <w:tc>
          <w:tcPr>
            <w:tcW w:w="346" w:type="pct"/>
            <w:tcBorders>
              <w:top w:val="single" w:sz="4" w:space="0" w:color="auto"/>
              <w:left w:val="nil"/>
              <w:bottom w:val="single" w:sz="4" w:space="0" w:color="auto"/>
              <w:right w:val="single" w:sz="4" w:space="0" w:color="auto"/>
            </w:tcBorders>
            <w:shd w:val="clear" w:color="auto" w:fill="auto"/>
            <w:vAlign w:val="center"/>
            <w:hideMark/>
          </w:tcPr>
          <w:p w14:paraId="7E668FB9"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1. Vonesa në grumbullimin e të dhënave -|- 6</w:t>
            </w:r>
          </w:p>
        </w:tc>
        <w:tc>
          <w:tcPr>
            <w:tcW w:w="273" w:type="pct"/>
            <w:tcBorders>
              <w:top w:val="single" w:sz="4" w:space="0" w:color="auto"/>
              <w:left w:val="nil"/>
              <w:bottom w:val="single" w:sz="4" w:space="0" w:color="auto"/>
              <w:right w:val="single" w:sz="4" w:space="0" w:color="auto"/>
            </w:tcBorders>
            <w:shd w:val="clear" w:color="auto" w:fill="auto"/>
            <w:vAlign w:val="center"/>
            <w:hideMark/>
          </w:tcPr>
          <w:p w14:paraId="3FA49721"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Buxhet shteti</w:t>
            </w:r>
          </w:p>
        </w:tc>
      </w:tr>
      <w:tr w:rsidR="000A2254" w:rsidRPr="00B31292" w14:paraId="3B734F86" w14:textId="77777777" w:rsidTr="000A2254">
        <w:trPr>
          <w:trHeight w:val="20"/>
        </w:trPr>
        <w:tc>
          <w:tcPr>
            <w:tcW w:w="215" w:type="pct"/>
            <w:tcBorders>
              <w:top w:val="nil"/>
              <w:left w:val="nil"/>
              <w:bottom w:val="nil"/>
              <w:right w:val="nil"/>
            </w:tcBorders>
            <w:shd w:val="clear" w:color="000000" w:fill="FFFFFF"/>
            <w:vAlign w:val="bottom"/>
            <w:hideMark/>
          </w:tcPr>
          <w:p w14:paraId="3AA5D73D"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15" w:type="pct"/>
            <w:tcBorders>
              <w:top w:val="nil"/>
              <w:left w:val="nil"/>
              <w:bottom w:val="nil"/>
              <w:right w:val="nil"/>
            </w:tcBorders>
            <w:shd w:val="clear" w:color="000000" w:fill="FFFFFF"/>
            <w:vAlign w:val="bottom"/>
            <w:hideMark/>
          </w:tcPr>
          <w:p w14:paraId="073F11F6"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155" w:type="pct"/>
            <w:tcBorders>
              <w:top w:val="nil"/>
              <w:left w:val="nil"/>
              <w:bottom w:val="nil"/>
              <w:right w:val="nil"/>
            </w:tcBorders>
            <w:shd w:val="clear" w:color="000000" w:fill="FFFFFF"/>
            <w:vAlign w:val="bottom"/>
            <w:hideMark/>
          </w:tcPr>
          <w:p w14:paraId="19A0B2D5"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145" w:type="pct"/>
            <w:tcBorders>
              <w:top w:val="nil"/>
              <w:left w:val="nil"/>
              <w:bottom w:val="nil"/>
              <w:right w:val="nil"/>
            </w:tcBorders>
            <w:shd w:val="clear" w:color="000000" w:fill="FFFFFF"/>
            <w:vAlign w:val="bottom"/>
            <w:hideMark/>
          </w:tcPr>
          <w:p w14:paraId="44F94C27"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188" w:type="pct"/>
            <w:tcBorders>
              <w:top w:val="nil"/>
              <w:left w:val="nil"/>
              <w:bottom w:val="nil"/>
              <w:right w:val="nil"/>
            </w:tcBorders>
            <w:shd w:val="clear" w:color="000000" w:fill="FFFFFF"/>
            <w:vAlign w:val="bottom"/>
            <w:hideMark/>
          </w:tcPr>
          <w:p w14:paraId="2AEB458B"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184" w:type="pct"/>
            <w:tcBorders>
              <w:top w:val="nil"/>
              <w:left w:val="nil"/>
              <w:bottom w:val="nil"/>
              <w:right w:val="nil"/>
            </w:tcBorders>
            <w:shd w:val="clear" w:color="000000" w:fill="FFFFFF"/>
            <w:vAlign w:val="bottom"/>
            <w:hideMark/>
          </w:tcPr>
          <w:p w14:paraId="1ED7A304"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199" w:type="pct"/>
            <w:tcBorders>
              <w:top w:val="nil"/>
              <w:left w:val="single" w:sz="4" w:space="0" w:color="auto"/>
              <w:bottom w:val="single" w:sz="4" w:space="0" w:color="auto"/>
              <w:right w:val="single" w:sz="4" w:space="0" w:color="auto"/>
            </w:tcBorders>
            <w:shd w:val="clear" w:color="auto" w:fill="auto"/>
            <w:vAlign w:val="center"/>
            <w:hideMark/>
          </w:tcPr>
          <w:p w14:paraId="519588CC"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1.6.2.1.2</w:t>
            </w:r>
          </w:p>
        </w:tc>
        <w:tc>
          <w:tcPr>
            <w:tcW w:w="281" w:type="pct"/>
            <w:tcBorders>
              <w:top w:val="nil"/>
              <w:left w:val="nil"/>
              <w:bottom w:val="single" w:sz="4" w:space="0" w:color="auto"/>
              <w:right w:val="single" w:sz="4" w:space="0" w:color="auto"/>
            </w:tcBorders>
            <w:shd w:val="clear" w:color="auto" w:fill="auto"/>
            <w:vAlign w:val="center"/>
            <w:hideMark/>
          </w:tcPr>
          <w:p w14:paraId="70ADEAB9"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Sistemi bazë ESSPROS</w:t>
            </w:r>
          </w:p>
        </w:tc>
        <w:tc>
          <w:tcPr>
            <w:tcW w:w="236" w:type="pct"/>
            <w:tcBorders>
              <w:top w:val="nil"/>
              <w:left w:val="nil"/>
              <w:bottom w:val="single" w:sz="4" w:space="0" w:color="000000"/>
              <w:right w:val="single" w:sz="4" w:space="0" w:color="000000"/>
            </w:tcBorders>
            <w:shd w:val="clear" w:color="000000" w:fill="FFFFFF"/>
            <w:vAlign w:val="center"/>
            <w:hideMark/>
          </w:tcPr>
          <w:p w14:paraId="5B12BBA2"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Burim administrativ</w:t>
            </w:r>
          </w:p>
        </w:tc>
        <w:tc>
          <w:tcPr>
            <w:tcW w:w="238" w:type="pct"/>
            <w:tcBorders>
              <w:top w:val="nil"/>
              <w:left w:val="nil"/>
              <w:bottom w:val="single" w:sz="4" w:space="0" w:color="auto"/>
              <w:right w:val="single" w:sz="4" w:space="0" w:color="auto"/>
            </w:tcBorders>
            <w:shd w:val="clear" w:color="000000" w:fill="FFFFFF"/>
            <w:noWrap/>
            <w:vAlign w:val="center"/>
            <w:hideMark/>
          </w:tcPr>
          <w:p w14:paraId="78B51C93"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180" w:type="pct"/>
            <w:tcBorders>
              <w:top w:val="nil"/>
              <w:left w:val="nil"/>
              <w:bottom w:val="single" w:sz="4" w:space="0" w:color="auto"/>
              <w:right w:val="single" w:sz="4" w:space="0" w:color="auto"/>
            </w:tcBorders>
            <w:shd w:val="clear" w:color="000000" w:fill="FFFFFF"/>
            <w:vAlign w:val="center"/>
            <w:hideMark/>
          </w:tcPr>
          <w:p w14:paraId="571634BA"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28" w:type="pct"/>
            <w:tcBorders>
              <w:top w:val="nil"/>
              <w:left w:val="nil"/>
              <w:bottom w:val="nil"/>
              <w:right w:val="single" w:sz="4" w:space="0" w:color="000000"/>
            </w:tcBorders>
            <w:shd w:val="clear" w:color="000000" w:fill="FFFFFF"/>
            <w:vAlign w:val="center"/>
            <w:hideMark/>
          </w:tcPr>
          <w:p w14:paraId="09F1B132"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I vazhdueshëm</w:t>
            </w:r>
          </w:p>
        </w:tc>
        <w:tc>
          <w:tcPr>
            <w:tcW w:w="222" w:type="pct"/>
            <w:tcBorders>
              <w:top w:val="nil"/>
              <w:left w:val="nil"/>
              <w:bottom w:val="nil"/>
              <w:right w:val="single" w:sz="4" w:space="0" w:color="000000"/>
            </w:tcBorders>
            <w:shd w:val="clear" w:color="000000" w:fill="FFFFFF"/>
            <w:vAlign w:val="center"/>
            <w:hideMark/>
          </w:tcPr>
          <w:p w14:paraId="182774AD"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Vjetor</w:t>
            </w:r>
          </w:p>
        </w:tc>
        <w:tc>
          <w:tcPr>
            <w:tcW w:w="486" w:type="pct"/>
            <w:tcBorders>
              <w:top w:val="single" w:sz="4" w:space="0" w:color="auto"/>
              <w:left w:val="nil"/>
              <w:bottom w:val="nil"/>
              <w:right w:val="single" w:sz="4" w:space="0" w:color="auto"/>
            </w:tcBorders>
            <w:shd w:val="clear" w:color="000000" w:fill="FFFFFF"/>
            <w:vAlign w:val="center"/>
            <w:hideMark/>
          </w:tcPr>
          <w:p w14:paraId="3CB3DC73" w14:textId="254234C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1. Shpenzime gjithsej të mbrojtjes sociale sipas skemave t</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sz w:val="10"/>
                <w:szCs w:val="10"/>
              </w:rPr>
              <w:t xml:space="preserve"> mbrojtjes sociale dhe funksioneve të mbrojtjes sociale</w:t>
            </w:r>
            <w:r w:rsidR="00F667B8"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2. Shpenzime totale të mbrojtjes sociale për frymë sipas funksioneve</w:t>
            </w:r>
            <w:r w:rsidR="00F667B8"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 xml:space="preserve">3. Shpenzime të mbrojtjes sociale për sëmundjet dhe kujdesin </w:t>
            </w:r>
            <w:r w:rsidR="00FD245C" w:rsidRPr="00B31292">
              <w:rPr>
                <w:rFonts w:ascii="Garamond" w:eastAsia="Times New Roman" w:hAnsi="Garamond" w:cs="Times New Roman"/>
                <w:sz w:val="10"/>
                <w:szCs w:val="10"/>
              </w:rPr>
              <w:t>shëndetësor</w:t>
            </w:r>
            <w:r w:rsidR="00F667B8"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4. Shpenzime të mbrojtjes sociale për pensionet e pleqërisë</w:t>
            </w:r>
            <w:r w:rsidR="00F667B8"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5. Shpenzime të mbrojtjes sociale për pensionet e invaliditetit</w:t>
            </w:r>
            <w:r w:rsidR="00F667B8"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6. Shpenzime të mbrojtjes sociale për të mbijetuarit</w:t>
            </w:r>
            <w:r w:rsidR="00F667B8"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7. Shpenzime të mbrojtjes sociale për familjet dhe fëmijët</w:t>
            </w:r>
            <w:r w:rsidR="00F667B8"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8. Shpenzime të mbrojtjes sociale për papunësinë</w:t>
            </w:r>
            <w:r w:rsidR="00F667B8"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9. Shpenzime të mbrojtjes sociale për strehimin social</w:t>
            </w:r>
            <w:r w:rsidR="00F667B8"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10. Shpenzime të mbrojtjes sociale për strehimin social</w:t>
            </w:r>
            <w:r w:rsidR="00F667B8"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11. Shpenzime të mbrojtjes sociale për përjashtimin social</w:t>
            </w:r>
            <w:r w:rsidR="00F667B8" w:rsidRPr="00B31292">
              <w:rPr>
                <w:rFonts w:ascii="Garamond" w:eastAsia="Times New Roman" w:hAnsi="Garamond" w:cs="Times New Roman"/>
                <w:sz w:val="10"/>
                <w:szCs w:val="10"/>
              </w:rPr>
              <w:t>.</w:t>
            </w:r>
            <w:r w:rsidRPr="00B31292">
              <w:rPr>
                <w:rFonts w:ascii="Garamond" w:eastAsia="Times New Roman" w:hAnsi="Garamond" w:cs="Times New Roman"/>
                <w:sz w:val="10"/>
                <w:szCs w:val="10"/>
              </w:rPr>
              <w:t xml:space="preserve"> </w:t>
            </w:r>
            <w:r w:rsidRPr="00B31292">
              <w:rPr>
                <w:rFonts w:ascii="Garamond" w:eastAsia="Times New Roman" w:hAnsi="Garamond" w:cs="Times New Roman"/>
                <w:sz w:val="10"/>
                <w:szCs w:val="10"/>
              </w:rPr>
              <w:br/>
              <w:t>12. Shpenzime të mbrojtjes sociale në raport me GDP</w:t>
            </w:r>
            <w:r w:rsidR="00F667B8" w:rsidRPr="00B31292">
              <w:rPr>
                <w:rFonts w:ascii="Garamond" w:eastAsia="Times New Roman" w:hAnsi="Garamond" w:cs="Times New Roman"/>
                <w:sz w:val="10"/>
                <w:szCs w:val="10"/>
              </w:rPr>
              <w:t>-në.</w:t>
            </w:r>
            <w:r w:rsidRPr="00B31292">
              <w:rPr>
                <w:rFonts w:ascii="Garamond" w:eastAsia="Times New Roman" w:hAnsi="Garamond" w:cs="Times New Roman"/>
                <w:sz w:val="10"/>
                <w:szCs w:val="10"/>
              </w:rPr>
              <w:br/>
              <w:t>13. Shpenzime të mbrojtjes sociale në raport me shpenzimet e buxhetit të shtetit</w:t>
            </w:r>
            <w:r w:rsidR="00F667B8"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 xml:space="preserve">14. Të ardhura të mbrojtjes </w:t>
            </w:r>
            <w:r w:rsidRPr="00B31292">
              <w:rPr>
                <w:rFonts w:ascii="Garamond" w:eastAsia="Times New Roman" w:hAnsi="Garamond" w:cs="Times New Roman"/>
                <w:sz w:val="10"/>
                <w:szCs w:val="10"/>
              </w:rPr>
              <w:lastRenderedPageBreak/>
              <w:t>sociale sipas tipit</w:t>
            </w:r>
            <w:r w:rsidR="00F667B8"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15. Të ardhura të mbrojtjes sociale sipas sektorëve të ekonomisë</w:t>
            </w:r>
            <w:r w:rsidR="00F667B8" w:rsidRPr="00B31292">
              <w:rPr>
                <w:rFonts w:ascii="Garamond" w:eastAsia="Times New Roman" w:hAnsi="Garamond" w:cs="Times New Roman"/>
                <w:sz w:val="10"/>
                <w:szCs w:val="10"/>
              </w:rPr>
              <w:t>.</w:t>
            </w:r>
          </w:p>
        </w:tc>
        <w:tc>
          <w:tcPr>
            <w:tcW w:w="299" w:type="pct"/>
            <w:tcBorders>
              <w:top w:val="nil"/>
              <w:left w:val="nil"/>
              <w:bottom w:val="single" w:sz="4" w:space="0" w:color="auto"/>
              <w:right w:val="single" w:sz="4" w:space="0" w:color="auto"/>
            </w:tcBorders>
            <w:shd w:val="clear" w:color="auto" w:fill="auto"/>
            <w:vAlign w:val="bottom"/>
            <w:hideMark/>
          </w:tcPr>
          <w:p w14:paraId="1B74F8D7" w14:textId="77777777" w:rsidR="00F667B8"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lastRenderedPageBreak/>
              <w:t xml:space="preserve">003 - Ministria e Financave dhe Ekonomisë 005 - Ministria e Shëndetësisë dhe Mbrojtjes Sociale </w:t>
            </w:r>
          </w:p>
          <w:p w14:paraId="313085B9" w14:textId="6789A9C9" w:rsidR="00F667B8"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016 - Ministria e Mbrojtjes</w:t>
            </w:r>
            <w:r w:rsidR="003E16E0" w:rsidRPr="00B31292">
              <w:rPr>
                <w:rFonts w:ascii="Garamond" w:eastAsia="Times New Roman" w:hAnsi="Garamond" w:cs="Times New Roman"/>
                <w:sz w:val="10"/>
                <w:szCs w:val="10"/>
              </w:rPr>
              <w:t xml:space="preserve"> </w:t>
            </w:r>
            <w:r w:rsidRPr="00B31292">
              <w:rPr>
                <w:rFonts w:ascii="Garamond" w:eastAsia="Times New Roman" w:hAnsi="Garamond" w:cs="Times New Roman"/>
                <w:sz w:val="10"/>
                <w:szCs w:val="10"/>
              </w:rPr>
              <w:t>017 - Ministria e Drejtësisë</w:t>
            </w:r>
            <w:r w:rsidR="003E16E0" w:rsidRPr="00B31292">
              <w:rPr>
                <w:rFonts w:ascii="Garamond" w:eastAsia="Times New Roman" w:hAnsi="Garamond" w:cs="Times New Roman"/>
                <w:sz w:val="10"/>
                <w:szCs w:val="10"/>
              </w:rPr>
              <w:t xml:space="preserve"> </w:t>
            </w:r>
            <w:r w:rsidRPr="00B31292">
              <w:rPr>
                <w:rFonts w:ascii="Garamond" w:eastAsia="Times New Roman" w:hAnsi="Garamond" w:cs="Times New Roman"/>
                <w:sz w:val="10"/>
                <w:szCs w:val="10"/>
              </w:rPr>
              <w:t xml:space="preserve">027 - Instituti i Sigurimeve Shoqërore </w:t>
            </w:r>
          </w:p>
          <w:p w14:paraId="5B1D0C2E" w14:textId="6231C78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030 - Fondi i Sigurimit të Detyrueshëm të Kujdesit Shëndetësor</w:t>
            </w:r>
            <w:r w:rsidR="003E16E0" w:rsidRPr="00B31292">
              <w:rPr>
                <w:rFonts w:ascii="Garamond" w:eastAsia="Times New Roman" w:hAnsi="Garamond" w:cs="Times New Roman"/>
                <w:sz w:val="10"/>
                <w:szCs w:val="10"/>
              </w:rPr>
              <w:t xml:space="preserve"> </w:t>
            </w:r>
            <w:r w:rsidRPr="00B31292">
              <w:rPr>
                <w:rFonts w:ascii="Garamond" w:eastAsia="Times New Roman" w:hAnsi="Garamond" w:cs="Times New Roman"/>
                <w:sz w:val="10"/>
                <w:szCs w:val="10"/>
              </w:rPr>
              <w:t>042 - Shërbimi Social Shtetëror 054 - Agjencia Kombëtare e Punësimit dhe Aftësive</w:t>
            </w:r>
          </w:p>
        </w:tc>
        <w:tc>
          <w:tcPr>
            <w:tcW w:w="224" w:type="pct"/>
            <w:tcBorders>
              <w:top w:val="nil"/>
              <w:left w:val="nil"/>
              <w:bottom w:val="single" w:sz="4" w:space="0" w:color="auto"/>
              <w:right w:val="single" w:sz="4" w:space="0" w:color="auto"/>
            </w:tcBorders>
            <w:shd w:val="clear" w:color="auto" w:fill="auto"/>
            <w:vAlign w:val="bottom"/>
            <w:hideMark/>
          </w:tcPr>
          <w:p w14:paraId="046929D7" w14:textId="47645F3A"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INSTAT</w:t>
            </w:r>
            <w:r w:rsidR="00F667B8" w:rsidRPr="00B31292">
              <w:rPr>
                <w:rFonts w:ascii="Garamond" w:eastAsia="Times New Roman" w:hAnsi="Garamond" w:cs="Times New Roman"/>
                <w:sz w:val="10"/>
                <w:szCs w:val="10"/>
              </w:rPr>
              <w:t>-i</w:t>
            </w:r>
          </w:p>
        </w:tc>
        <w:tc>
          <w:tcPr>
            <w:tcW w:w="244" w:type="pct"/>
            <w:tcBorders>
              <w:top w:val="nil"/>
              <w:left w:val="nil"/>
              <w:bottom w:val="single" w:sz="4" w:space="0" w:color="auto"/>
              <w:right w:val="single" w:sz="4" w:space="0" w:color="auto"/>
            </w:tcBorders>
            <w:shd w:val="clear" w:color="000000" w:fill="FFFFFF"/>
            <w:vAlign w:val="center"/>
            <w:hideMark/>
          </w:tcPr>
          <w:p w14:paraId="5176CA83"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xml:space="preserve"> V + 487D</w:t>
            </w:r>
          </w:p>
        </w:tc>
        <w:tc>
          <w:tcPr>
            <w:tcW w:w="220" w:type="pct"/>
            <w:tcBorders>
              <w:top w:val="nil"/>
              <w:left w:val="nil"/>
              <w:bottom w:val="single" w:sz="4" w:space="0" w:color="auto"/>
              <w:right w:val="single" w:sz="4" w:space="0" w:color="auto"/>
            </w:tcBorders>
            <w:shd w:val="clear" w:color="000000" w:fill="FFFFFF"/>
            <w:vAlign w:val="center"/>
            <w:hideMark/>
          </w:tcPr>
          <w:p w14:paraId="5543E046"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xml:space="preserve"> V + 537D</w:t>
            </w:r>
          </w:p>
        </w:tc>
        <w:tc>
          <w:tcPr>
            <w:tcW w:w="220" w:type="pct"/>
            <w:tcBorders>
              <w:top w:val="nil"/>
              <w:left w:val="nil"/>
              <w:bottom w:val="single" w:sz="4" w:space="0" w:color="auto"/>
              <w:right w:val="single" w:sz="4" w:space="0" w:color="auto"/>
            </w:tcBorders>
            <w:shd w:val="clear" w:color="000000" w:fill="FFFFFF"/>
            <w:vAlign w:val="center"/>
            <w:hideMark/>
          </w:tcPr>
          <w:p w14:paraId="27FFD1B8"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xml:space="preserve"> V + 547D</w:t>
            </w:r>
          </w:p>
        </w:tc>
        <w:tc>
          <w:tcPr>
            <w:tcW w:w="346" w:type="pct"/>
            <w:tcBorders>
              <w:top w:val="nil"/>
              <w:left w:val="nil"/>
              <w:bottom w:val="single" w:sz="4" w:space="0" w:color="auto"/>
              <w:right w:val="single" w:sz="4" w:space="0" w:color="auto"/>
            </w:tcBorders>
            <w:shd w:val="clear" w:color="auto" w:fill="auto"/>
            <w:vAlign w:val="center"/>
            <w:hideMark/>
          </w:tcPr>
          <w:p w14:paraId="1C1D5617" w14:textId="74DD0DCE"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1. Vonesa n</w:t>
            </w:r>
            <w:r w:rsidR="00FD245C" w:rsidRPr="00B31292">
              <w:rPr>
                <w:rFonts w:ascii="Garamond" w:eastAsia="Times New Roman" w:hAnsi="Garamond" w:cs="Times New Roman"/>
                <w:sz w:val="10"/>
                <w:szCs w:val="10"/>
              </w:rPr>
              <w:t>ë</w:t>
            </w:r>
            <w:r w:rsidRPr="00B31292">
              <w:rPr>
                <w:rFonts w:ascii="Garamond" w:eastAsia="Times New Roman" w:hAnsi="Garamond" w:cs="Times New Roman"/>
                <w:sz w:val="10"/>
                <w:szCs w:val="10"/>
              </w:rPr>
              <w:t xml:space="preserve"> grumbullimin </w:t>
            </w:r>
            <w:r w:rsidR="00FD245C" w:rsidRPr="00B31292">
              <w:rPr>
                <w:rFonts w:ascii="Garamond" w:eastAsia="Times New Roman" w:hAnsi="Garamond" w:cs="Times New Roman"/>
                <w:sz w:val="10"/>
                <w:szCs w:val="10"/>
              </w:rPr>
              <w:t xml:space="preserve">e të dhënave </w:t>
            </w:r>
            <w:r w:rsidRPr="00B31292">
              <w:rPr>
                <w:rFonts w:ascii="Garamond" w:eastAsia="Times New Roman" w:hAnsi="Garamond" w:cs="Times New Roman"/>
                <w:sz w:val="10"/>
                <w:szCs w:val="10"/>
              </w:rPr>
              <w:t>-|- 6</w:t>
            </w:r>
          </w:p>
        </w:tc>
        <w:tc>
          <w:tcPr>
            <w:tcW w:w="273" w:type="pct"/>
            <w:tcBorders>
              <w:top w:val="nil"/>
              <w:left w:val="nil"/>
              <w:bottom w:val="single" w:sz="4" w:space="0" w:color="auto"/>
              <w:right w:val="single" w:sz="4" w:space="0" w:color="auto"/>
            </w:tcBorders>
            <w:shd w:val="clear" w:color="auto" w:fill="auto"/>
            <w:vAlign w:val="center"/>
            <w:hideMark/>
          </w:tcPr>
          <w:p w14:paraId="2C7C6675"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Buxhet shteti</w:t>
            </w:r>
          </w:p>
        </w:tc>
      </w:tr>
      <w:tr w:rsidR="000A2254" w:rsidRPr="00B31292" w14:paraId="02951D75" w14:textId="77777777" w:rsidTr="000A2254">
        <w:trPr>
          <w:trHeight w:val="20"/>
        </w:trPr>
        <w:tc>
          <w:tcPr>
            <w:tcW w:w="215" w:type="pct"/>
            <w:tcBorders>
              <w:top w:val="nil"/>
              <w:left w:val="nil"/>
              <w:bottom w:val="nil"/>
              <w:right w:val="nil"/>
            </w:tcBorders>
            <w:shd w:val="clear" w:color="000000" w:fill="FFFFFF"/>
            <w:vAlign w:val="bottom"/>
            <w:hideMark/>
          </w:tcPr>
          <w:p w14:paraId="51BEAA4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1A978DD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single" w:sz="4" w:space="0" w:color="000000"/>
              <w:left w:val="single" w:sz="4" w:space="0" w:color="000000"/>
              <w:bottom w:val="single" w:sz="4" w:space="0" w:color="000000"/>
              <w:right w:val="nil"/>
            </w:tcBorders>
            <w:shd w:val="clear" w:color="000000" w:fill="F0F0F0"/>
            <w:vAlign w:val="center"/>
            <w:hideMark/>
          </w:tcPr>
          <w:p w14:paraId="4329F482"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1.7</w:t>
            </w:r>
          </w:p>
        </w:tc>
        <w:tc>
          <w:tcPr>
            <w:tcW w:w="4416" w:type="pct"/>
            <w:gridSpan w:val="18"/>
            <w:tcBorders>
              <w:top w:val="single" w:sz="4" w:space="0" w:color="auto"/>
              <w:left w:val="single" w:sz="4" w:space="0" w:color="auto"/>
              <w:bottom w:val="single" w:sz="4" w:space="0" w:color="auto"/>
              <w:right w:val="single" w:sz="4" w:space="0" w:color="auto"/>
            </w:tcBorders>
            <w:shd w:val="clear" w:color="000000" w:fill="F0F0F0"/>
            <w:vAlign w:val="center"/>
            <w:hideMark/>
          </w:tcPr>
          <w:p w14:paraId="3B95F2EC" w14:textId="3C56BB93"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Drejtësia dhe </w:t>
            </w:r>
            <w:r w:rsidR="00F667B8" w:rsidRPr="00B31292">
              <w:rPr>
                <w:rFonts w:ascii="Garamond" w:eastAsia="Times New Roman" w:hAnsi="Garamond" w:cs="Times New Roman"/>
                <w:color w:val="000000"/>
                <w:sz w:val="10"/>
                <w:szCs w:val="10"/>
              </w:rPr>
              <w:t>k</w:t>
            </w:r>
            <w:r w:rsidRPr="00B31292">
              <w:rPr>
                <w:rFonts w:ascii="Garamond" w:eastAsia="Times New Roman" w:hAnsi="Garamond" w:cs="Times New Roman"/>
                <w:color w:val="000000"/>
                <w:sz w:val="10"/>
                <w:szCs w:val="10"/>
              </w:rPr>
              <w:t>rimi</w:t>
            </w:r>
          </w:p>
        </w:tc>
      </w:tr>
      <w:tr w:rsidR="000A2254" w:rsidRPr="00B31292" w14:paraId="3C8C6AFA" w14:textId="77777777" w:rsidTr="000A2254">
        <w:trPr>
          <w:trHeight w:val="20"/>
        </w:trPr>
        <w:tc>
          <w:tcPr>
            <w:tcW w:w="215" w:type="pct"/>
            <w:tcBorders>
              <w:top w:val="nil"/>
              <w:left w:val="nil"/>
              <w:bottom w:val="nil"/>
              <w:right w:val="nil"/>
            </w:tcBorders>
            <w:shd w:val="clear" w:color="000000" w:fill="FFFFFF"/>
            <w:vAlign w:val="bottom"/>
            <w:hideMark/>
          </w:tcPr>
          <w:p w14:paraId="2D97BD3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3141B04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4015975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175B0FB7"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single" w:sz="4" w:space="0" w:color="000000"/>
              <w:bottom w:val="single" w:sz="4" w:space="0" w:color="000000"/>
              <w:right w:val="nil"/>
            </w:tcBorders>
            <w:shd w:val="clear" w:color="000000" w:fill="F0F0F0"/>
            <w:vAlign w:val="center"/>
            <w:hideMark/>
          </w:tcPr>
          <w:p w14:paraId="1B769AAD"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1.7.1</w:t>
            </w:r>
          </w:p>
        </w:tc>
        <w:tc>
          <w:tcPr>
            <w:tcW w:w="4082" w:type="pct"/>
            <w:gridSpan w:val="16"/>
            <w:tcBorders>
              <w:top w:val="nil"/>
              <w:left w:val="single" w:sz="4" w:space="0" w:color="auto"/>
              <w:bottom w:val="single" w:sz="4" w:space="0" w:color="auto"/>
              <w:right w:val="single" w:sz="4" w:space="0" w:color="auto"/>
            </w:tcBorders>
            <w:shd w:val="clear" w:color="000000" w:fill="F0F0F0"/>
            <w:vAlign w:val="center"/>
            <w:hideMark/>
          </w:tcPr>
          <w:p w14:paraId="3018A55B" w14:textId="12ED9993"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Drejtësia dhe </w:t>
            </w:r>
            <w:r w:rsidR="00F667B8" w:rsidRPr="00B31292">
              <w:rPr>
                <w:rFonts w:ascii="Garamond" w:eastAsia="Times New Roman" w:hAnsi="Garamond" w:cs="Times New Roman"/>
                <w:color w:val="000000"/>
                <w:sz w:val="10"/>
                <w:szCs w:val="10"/>
              </w:rPr>
              <w:t>k</w:t>
            </w:r>
            <w:r w:rsidRPr="00B31292">
              <w:rPr>
                <w:rFonts w:ascii="Garamond" w:eastAsia="Times New Roman" w:hAnsi="Garamond" w:cs="Times New Roman"/>
                <w:color w:val="000000"/>
                <w:sz w:val="10"/>
                <w:szCs w:val="10"/>
              </w:rPr>
              <w:t>rimi</w:t>
            </w:r>
          </w:p>
        </w:tc>
      </w:tr>
      <w:tr w:rsidR="000A2254" w:rsidRPr="00B31292" w14:paraId="367B8418" w14:textId="77777777" w:rsidTr="000A2254">
        <w:trPr>
          <w:trHeight w:val="20"/>
        </w:trPr>
        <w:tc>
          <w:tcPr>
            <w:tcW w:w="215" w:type="pct"/>
            <w:tcBorders>
              <w:top w:val="nil"/>
              <w:left w:val="nil"/>
              <w:bottom w:val="nil"/>
              <w:right w:val="nil"/>
            </w:tcBorders>
            <w:shd w:val="clear" w:color="000000" w:fill="FFFFFF"/>
            <w:vAlign w:val="bottom"/>
            <w:hideMark/>
          </w:tcPr>
          <w:p w14:paraId="71F0C74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3D1982B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16B8D95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4C7681D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795F3D5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55C1FE1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000000"/>
              <w:bottom w:val="single" w:sz="4" w:space="0" w:color="000000"/>
              <w:right w:val="single" w:sz="4" w:space="0" w:color="000000"/>
            </w:tcBorders>
            <w:shd w:val="clear" w:color="auto" w:fill="auto"/>
            <w:vAlign w:val="center"/>
            <w:hideMark/>
          </w:tcPr>
          <w:p w14:paraId="0E3D8203"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1.7.1.1</w:t>
            </w:r>
          </w:p>
        </w:tc>
        <w:tc>
          <w:tcPr>
            <w:tcW w:w="281" w:type="pct"/>
            <w:tcBorders>
              <w:top w:val="nil"/>
              <w:left w:val="nil"/>
              <w:bottom w:val="single" w:sz="4" w:space="0" w:color="auto"/>
              <w:right w:val="single" w:sz="4" w:space="0" w:color="auto"/>
            </w:tcBorders>
            <w:shd w:val="clear" w:color="auto" w:fill="auto"/>
            <w:vAlign w:val="center"/>
            <w:hideMark/>
          </w:tcPr>
          <w:p w14:paraId="68B175C5"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Statistika të kriminalitetit, veprave penale, procedimeve penale</w:t>
            </w:r>
          </w:p>
        </w:tc>
        <w:tc>
          <w:tcPr>
            <w:tcW w:w="236" w:type="pct"/>
            <w:tcBorders>
              <w:top w:val="nil"/>
              <w:left w:val="nil"/>
              <w:bottom w:val="single" w:sz="4" w:space="0" w:color="auto"/>
              <w:right w:val="single" w:sz="4" w:space="0" w:color="auto"/>
            </w:tcBorders>
            <w:shd w:val="clear" w:color="auto" w:fill="auto"/>
            <w:vAlign w:val="center"/>
            <w:hideMark/>
          </w:tcPr>
          <w:p w14:paraId="7AFFE7BF"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Burim administrativ</w:t>
            </w:r>
          </w:p>
        </w:tc>
        <w:tc>
          <w:tcPr>
            <w:tcW w:w="238" w:type="pct"/>
            <w:tcBorders>
              <w:top w:val="nil"/>
              <w:left w:val="nil"/>
              <w:bottom w:val="single" w:sz="4" w:space="0" w:color="auto"/>
              <w:right w:val="single" w:sz="4" w:space="0" w:color="auto"/>
            </w:tcBorders>
            <w:shd w:val="clear" w:color="auto" w:fill="auto"/>
            <w:noWrap/>
            <w:vAlign w:val="center"/>
            <w:hideMark/>
          </w:tcPr>
          <w:p w14:paraId="466A7AC7"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180" w:type="pct"/>
            <w:tcBorders>
              <w:top w:val="nil"/>
              <w:left w:val="nil"/>
              <w:bottom w:val="single" w:sz="4" w:space="0" w:color="auto"/>
              <w:right w:val="single" w:sz="4" w:space="0" w:color="auto"/>
            </w:tcBorders>
            <w:shd w:val="clear" w:color="auto" w:fill="auto"/>
            <w:noWrap/>
            <w:vAlign w:val="center"/>
            <w:hideMark/>
          </w:tcPr>
          <w:p w14:paraId="7DF50FD0"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28" w:type="pct"/>
            <w:tcBorders>
              <w:top w:val="nil"/>
              <w:left w:val="nil"/>
              <w:bottom w:val="single" w:sz="4" w:space="0" w:color="auto"/>
              <w:right w:val="single" w:sz="4" w:space="0" w:color="auto"/>
            </w:tcBorders>
            <w:shd w:val="clear" w:color="auto" w:fill="auto"/>
            <w:vAlign w:val="center"/>
            <w:hideMark/>
          </w:tcPr>
          <w:p w14:paraId="3D6C918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tcBorders>
              <w:top w:val="nil"/>
              <w:left w:val="nil"/>
              <w:bottom w:val="nil"/>
              <w:right w:val="nil"/>
            </w:tcBorders>
            <w:shd w:val="clear" w:color="auto" w:fill="auto"/>
            <w:vAlign w:val="center"/>
            <w:hideMark/>
          </w:tcPr>
          <w:p w14:paraId="0916CDE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Vjetor</w:t>
            </w:r>
          </w:p>
        </w:tc>
        <w:tc>
          <w:tcPr>
            <w:tcW w:w="486" w:type="pct"/>
            <w:tcBorders>
              <w:top w:val="nil"/>
              <w:left w:val="single" w:sz="4" w:space="0" w:color="auto"/>
              <w:bottom w:val="single" w:sz="4" w:space="0" w:color="auto"/>
              <w:right w:val="single" w:sz="4" w:space="0" w:color="auto"/>
            </w:tcBorders>
            <w:shd w:val="clear" w:color="auto" w:fill="auto"/>
            <w:vAlign w:val="center"/>
            <w:hideMark/>
          </w:tcPr>
          <w:p w14:paraId="4AE671DC" w14:textId="700E0043"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Numri gjithsej i veprave penale të evidentuara</w:t>
            </w:r>
            <w:r w:rsidR="00F667B8"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2. Koeficienti i veprave penale të evidentuara në raport me popullsinë banuese</w:t>
            </w:r>
            <w:r w:rsidR="00F667B8"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3. Numri i veprave specifike penale të evidentuara sipas neneve të</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Kodit Penal</w:t>
            </w:r>
            <w:r w:rsidR="00F667B8"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4. Numri gjithsej i procedimeve penale të regjistruara</w:t>
            </w:r>
            <w:r w:rsidR="00F667B8"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5. Numri gjithsej i procedimeve penale dërguar për gjykim</w:t>
            </w:r>
            <w:r w:rsidR="00F667B8"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6. Numri gjithsej i procedimeve specifike penale të regjistruara sipas neneve të Kodit Penal</w:t>
            </w:r>
            <w:r w:rsidR="00F667B8" w:rsidRPr="00B31292">
              <w:rPr>
                <w:rFonts w:ascii="Garamond" w:eastAsia="Times New Roman" w:hAnsi="Garamond" w:cs="Times New Roman"/>
                <w:color w:val="000000"/>
                <w:sz w:val="10"/>
                <w:szCs w:val="10"/>
              </w:rPr>
              <w:t>.</w:t>
            </w:r>
          </w:p>
        </w:tc>
        <w:tc>
          <w:tcPr>
            <w:tcW w:w="299" w:type="pct"/>
            <w:tcBorders>
              <w:top w:val="nil"/>
              <w:left w:val="nil"/>
              <w:bottom w:val="nil"/>
              <w:right w:val="nil"/>
            </w:tcBorders>
            <w:shd w:val="clear" w:color="auto" w:fill="auto"/>
            <w:vAlign w:val="center"/>
            <w:hideMark/>
          </w:tcPr>
          <w:p w14:paraId="05AAD553" w14:textId="642CF69C"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Drejtoria e Përgjithshme e Policisë</w:t>
            </w:r>
            <w:r w:rsidR="00F667B8"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Prokuroria e Përgjithshme</w:t>
            </w:r>
          </w:p>
        </w:tc>
        <w:tc>
          <w:tcPr>
            <w:tcW w:w="224" w:type="pct"/>
            <w:tcBorders>
              <w:top w:val="nil"/>
              <w:left w:val="single" w:sz="4" w:space="0" w:color="auto"/>
              <w:bottom w:val="single" w:sz="4" w:space="0" w:color="auto"/>
              <w:right w:val="single" w:sz="4" w:space="0" w:color="auto"/>
            </w:tcBorders>
            <w:shd w:val="clear" w:color="auto" w:fill="auto"/>
            <w:vAlign w:val="center"/>
            <w:hideMark/>
          </w:tcPr>
          <w:p w14:paraId="05C680D0" w14:textId="3D884BF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F667B8" w:rsidRPr="00B31292">
              <w:rPr>
                <w:rFonts w:ascii="Garamond" w:eastAsia="Times New Roman" w:hAnsi="Garamond" w:cs="Times New Roman"/>
                <w:color w:val="000000"/>
                <w:sz w:val="10"/>
                <w:szCs w:val="10"/>
              </w:rPr>
              <w:t>-i</w:t>
            </w:r>
          </w:p>
        </w:tc>
        <w:tc>
          <w:tcPr>
            <w:tcW w:w="244" w:type="pct"/>
            <w:tcBorders>
              <w:top w:val="nil"/>
              <w:left w:val="nil"/>
              <w:bottom w:val="single" w:sz="4" w:space="0" w:color="auto"/>
              <w:right w:val="single" w:sz="4" w:space="0" w:color="auto"/>
            </w:tcBorders>
            <w:shd w:val="clear" w:color="000000" w:fill="FFFFFF"/>
            <w:vAlign w:val="center"/>
            <w:hideMark/>
          </w:tcPr>
          <w:p w14:paraId="2B484CC2"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+ 63D</w:t>
            </w:r>
          </w:p>
        </w:tc>
        <w:tc>
          <w:tcPr>
            <w:tcW w:w="220" w:type="pct"/>
            <w:tcBorders>
              <w:top w:val="nil"/>
              <w:left w:val="nil"/>
              <w:bottom w:val="single" w:sz="4" w:space="0" w:color="auto"/>
              <w:right w:val="single" w:sz="4" w:space="0" w:color="auto"/>
            </w:tcBorders>
            <w:shd w:val="clear" w:color="000000" w:fill="FFFFFF"/>
            <w:vAlign w:val="center"/>
            <w:hideMark/>
          </w:tcPr>
          <w:p w14:paraId="0FB573DD"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+ 84D</w:t>
            </w:r>
          </w:p>
        </w:tc>
        <w:tc>
          <w:tcPr>
            <w:tcW w:w="220" w:type="pct"/>
            <w:tcBorders>
              <w:top w:val="nil"/>
              <w:left w:val="nil"/>
              <w:bottom w:val="single" w:sz="4" w:space="0" w:color="auto"/>
              <w:right w:val="single" w:sz="4" w:space="0" w:color="auto"/>
            </w:tcBorders>
            <w:shd w:val="clear" w:color="000000" w:fill="FFFFFF"/>
            <w:vAlign w:val="center"/>
            <w:hideMark/>
          </w:tcPr>
          <w:p w14:paraId="3F2AA067"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+ 126D</w:t>
            </w:r>
          </w:p>
        </w:tc>
        <w:tc>
          <w:tcPr>
            <w:tcW w:w="346" w:type="pct"/>
            <w:tcBorders>
              <w:top w:val="nil"/>
              <w:left w:val="nil"/>
              <w:bottom w:val="single" w:sz="4" w:space="0" w:color="auto"/>
              <w:right w:val="single" w:sz="4" w:space="0" w:color="auto"/>
            </w:tcBorders>
            <w:shd w:val="clear" w:color="auto" w:fill="auto"/>
            <w:vAlign w:val="center"/>
            <w:hideMark/>
          </w:tcPr>
          <w:p w14:paraId="61587552" w14:textId="326A446B"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Mospërmbushja e</w:t>
            </w:r>
            <w:r w:rsidR="003E16E0" w:rsidRPr="00B31292">
              <w:rPr>
                <w:rFonts w:ascii="Garamond" w:eastAsia="Times New Roman" w:hAnsi="Garamond" w:cs="Times New Roman"/>
                <w:color w:val="000000"/>
                <w:sz w:val="10"/>
                <w:szCs w:val="10"/>
              </w:rPr>
              <w:t xml:space="preserve"> </w:t>
            </w:r>
            <w:r w:rsidR="00F667B8" w:rsidRPr="00B31292">
              <w:rPr>
                <w:rFonts w:ascii="Garamond" w:eastAsia="Times New Roman" w:hAnsi="Garamond" w:cs="Times New Roman"/>
                <w:color w:val="000000"/>
                <w:sz w:val="10"/>
                <w:szCs w:val="10"/>
              </w:rPr>
              <w:t>kritereve të cilësisë, si:</w:t>
            </w:r>
            <w:r w:rsidRPr="00B31292">
              <w:rPr>
                <w:rFonts w:ascii="Garamond" w:eastAsia="Times New Roman" w:hAnsi="Garamond" w:cs="Times New Roman"/>
                <w:color w:val="000000"/>
                <w:sz w:val="10"/>
                <w:szCs w:val="10"/>
              </w:rPr>
              <w:t xml:space="preserve"> saktësia, përpikmëria dhe krahasueshmëria, për të dhënat administrative/vrojtimet statistikore -|- 6</w:t>
            </w:r>
            <w:r w:rsidRPr="00B31292">
              <w:rPr>
                <w:rFonts w:ascii="Garamond" w:eastAsia="Times New Roman" w:hAnsi="Garamond" w:cs="Times New Roman"/>
                <w:color w:val="000000"/>
                <w:sz w:val="10"/>
                <w:szCs w:val="10"/>
              </w:rPr>
              <w:br/>
              <w:t>2. Vonesa në procesin e grumbullimit të të dhënave nga burimet administrative -|- 6</w:t>
            </w:r>
          </w:p>
        </w:tc>
        <w:tc>
          <w:tcPr>
            <w:tcW w:w="273" w:type="pct"/>
            <w:tcBorders>
              <w:top w:val="nil"/>
              <w:left w:val="nil"/>
              <w:bottom w:val="single" w:sz="4" w:space="0" w:color="auto"/>
              <w:right w:val="single" w:sz="4" w:space="0" w:color="auto"/>
            </w:tcBorders>
            <w:shd w:val="clear" w:color="auto" w:fill="auto"/>
            <w:vAlign w:val="center"/>
            <w:hideMark/>
          </w:tcPr>
          <w:p w14:paraId="1999A5D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Buxhet shteti</w:t>
            </w:r>
          </w:p>
        </w:tc>
      </w:tr>
      <w:tr w:rsidR="000A2254" w:rsidRPr="00B31292" w14:paraId="01CF0809" w14:textId="77777777" w:rsidTr="000A2254">
        <w:trPr>
          <w:trHeight w:val="20"/>
        </w:trPr>
        <w:tc>
          <w:tcPr>
            <w:tcW w:w="215" w:type="pct"/>
            <w:tcBorders>
              <w:top w:val="nil"/>
              <w:left w:val="nil"/>
              <w:bottom w:val="nil"/>
              <w:right w:val="nil"/>
            </w:tcBorders>
            <w:shd w:val="clear" w:color="000000" w:fill="FFFFFF"/>
            <w:vAlign w:val="bottom"/>
            <w:hideMark/>
          </w:tcPr>
          <w:p w14:paraId="3B874A8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50433DF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3EADF30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3251C88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0687EE7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27D32C6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6B5A8271"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1.7.1.2</w:t>
            </w:r>
          </w:p>
        </w:tc>
        <w:tc>
          <w:tcPr>
            <w:tcW w:w="281" w:type="pct"/>
            <w:vMerge w:val="restart"/>
            <w:tcBorders>
              <w:top w:val="nil"/>
              <w:left w:val="single" w:sz="4" w:space="0" w:color="000000"/>
              <w:bottom w:val="single" w:sz="4" w:space="0" w:color="000000"/>
              <w:right w:val="single" w:sz="4" w:space="0" w:color="auto"/>
            </w:tcBorders>
            <w:shd w:val="clear" w:color="auto" w:fill="auto"/>
            <w:vAlign w:val="center"/>
            <w:hideMark/>
          </w:tcPr>
          <w:p w14:paraId="0A4B16E6"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Statistika të personave të dyshuar, të pandehur dhe të burgosur</w:t>
            </w:r>
          </w:p>
        </w:tc>
        <w:tc>
          <w:tcPr>
            <w:tcW w:w="236" w:type="pct"/>
            <w:vMerge w:val="restart"/>
            <w:tcBorders>
              <w:top w:val="nil"/>
              <w:left w:val="single" w:sz="4" w:space="0" w:color="auto"/>
              <w:bottom w:val="single" w:sz="4" w:space="0" w:color="000000"/>
              <w:right w:val="single" w:sz="4" w:space="0" w:color="auto"/>
            </w:tcBorders>
            <w:shd w:val="clear" w:color="auto" w:fill="auto"/>
            <w:vAlign w:val="center"/>
            <w:hideMark/>
          </w:tcPr>
          <w:p w14:paraId="7DBA341E"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Burim administrativ</w:t>
            </w:r>
          </w:p>
        </w:tc>
        <w:tc>
          <w:tcPr>
            <w:tcW w:w="23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B6E5670"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18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2F6E421"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28" w:type="pct"/>
            <w:vMerge w:val="restart"/>
            <w:tcBorders>
              <w:top w:val="nil"/>
              <w:left w:val="single" w:sz="4" w:space="0" w:color="auto"/>
              <w:bottom w:val="single" w:sz="4" w:space="0" w:color="000000"/>
              <w:right w:val="single" w:sz="4" w:space="0" w:color="auto"/>
            </w:tcBorders>
            <w:shd w:val="clear" w:color="auto" w:fill="auto"/>
            <w:vAlign w:val="center"/>
            <w:hideMark/>
          </w:tcPr>
          <w:p w14:paraId="549A669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25E3C7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Vjetor</w:t>
            </w:r>
          </w:p>
        </w:tc>
        <w:tc>
          <w:tcPr>
            <w:tcW w:w="486" w:type="pct"/>
            <w:tcBorders>
              <w:top w:val="nil"/>
              <w:left w:val="nil"/>
              <w:bottom w:val="nil"/>
              <w:right w:val="nil"/>
            </w:tcBorders>
            <w:shd w:val="clear" w:color="auto" w:fill="auto"/>
            <w:vAlign w:val="center"/>
            <w:hideMark/>
          </w:tcPr>
          <w:p w14:paraId="3443A0DD" w14:textId="68712D9D"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Autorët sipas veprave specifike penale të Kodit Penal</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2. Autorët të rritur dhe të mitur sipas gjinisë</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3. Autorët të rritur dhe të mitur sipas gjinisë në raport me popullsinë banuese</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4. Autorët sipas grup</w:t>
            </w:r>
            <w:r w:rsidR="00DE6C3C"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moshës</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5. Autorët sipas gjinisë dhe qarqeve</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6. Fëmijë autorë të veprave penale</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7. Të dëmtuarit sipas veprave specifike penale të Kodit Penal</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8. Të dëmtuarit të mitur dhe rritur sipas gjinisë</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9. Të dëmtuarit të mitur dhe rritur sipas gjinisë dhe qarqeve</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10. T</w:t>
            </w:r>
            <w:r w:rsidR="001C6DE3"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w:t>
            </w:r>
            <w:r w:rsidR="001C6DE3" w:rsidRPr="00B31292">
              <w:rPr>
                <w:rFonts w:ascii="Garamond" w:eastAsia="Times New Roman" w:hAnsi="Garamond" w:cs="Times New Roman"/>
                <w:color w:val="000000"/>
                <w:sz w:val="10"/>
                <w:szCs w:val="10"/>
              </w:rPr>
              <w:t>dëmtuarit</w:t>
            </w:r>
            <w:r w:rsidRPr="00B31292">
              <w:rPr>
                <w:rFonts w:ascii="Garamond" w:eastAsia="Times New Roman" w:hAnsi="Garamond" w:cs="Times New Roman"/>
                <w:color w:val="000000"/>
                <w:sz w:val="10"/>
                <w:szCs w:val="10"/>
              </w:rPr>
              <w:t xml:space="preserve"> të mitur dhe </w:t>
            </w:r>
            <w:r w:rsidR="00E06236" w:rsidRPr="00B31292">
              <w:rPr>
                <w:rFonts w:ascii="Garamond" w:eastAsia="Times New Roman" w:hAnsi="Garamond" w:cs="Times New Roman"/>
                <w:color w:val="000000"/>
                <w:sz w:val="10"/>
                <w:szCs w:val="10"/>
              </w:rPr>
              <w:t xml:space="preserve">të </w:t>
            </w:r>
            <w:r w:rsidRPr="00B31292">
              <w:rPr>
                <w:rFonts w:ascii="Garamond" w:eastAsia="Times New Roman" w:hAnsi="Garamond" w:cs="Times New Roman"/>
                <w:color w:val="000000"/>
                <w:sz w:val="10"/>
                <w:szCs w:val="10"/>
              </w:rPr>
              <w:t>rritur</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dhe gjinisë në raport me popullsinë banuese</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 xml:space="preserve">11. Të dëmtuar nga </w:t>
            </w:r>
            <w:r w:rsidR="00E06236" w:rsidRPr="00B31292">
              <w:rPr>
                <w:rFonts w:ascii="Garamond" w:eastAsia="Times New Roman" w:hAnsi="Garamond" w:cs="Times New Roman"/>
                <w:color w:val="000000"/>
                <w:sz w:val="10"/>
                <w:szCs w:val="10"/>
              </w:rPr>
              <w:t>d</w:t>
            </w:r>
            <w:r w:rsidRPr="00B31292">
              <w:rPr>
                <w:rFonts w:ascii="Garamond" w:eastAsia="Times New Roman" w:hAnsi="Garamond" w:cs="Times New Roman"/>
                <w:color w:val="000000"/>
                <w:sz w:val="10"/>
                <w:szCs w:val="10"/>
              </w:rPr>
              <w:t>huna në familje sipas grup</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moshës dhe gjinisë</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 xml:space="preserve">12. Të dëmtuar nga </w:t>
            </w:r>
            <w:r w:rsidR="00E06236" w:rsidRPr="00B31292">
              <w:rPr>
                <w:rFonts w:ascii="Garamond" w:eastAsia="Times New Roman" w:hAnsi="Garamond" w:cs="Times New Roman"/>
                <w:color w:val="000000"/>
                <w:sz w:val="10"/>
                <w:szCs w:val="10"/>
              </w:rPr>
              <w:t>d</w:t>
            </w:r>
            <w:r w:rsidRPr="00B31292">
              <w:rPr>
                <w:rFonts w:ascii="Garamond" w:eastAsia="Times New Roman" w:hAnsi="Garamond" w:cs="Times New Roman"/>
                <w:color w:val="000000"/>
                <w:sz w:val="10"/>
                <w:szCs w:val="10"/>
              </w:rPr>
              <w:t>huna në familje sipas lidhjes me dhunuesin</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13. Fëmijët viktima të veprave penale</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14. Të pandehur sipas veprave specifike penale të Kodit Penal</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15. Të pandehur të rritur dhe të mitur sipas gjinisë</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16. Të pandehur të rritur dhe të mitur sipas gjinisë në raport me popullsinë banuese</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17. Të pandehur sipas gjinisë dhe qarqeve</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18. Numri i fëmijëve të përfshirë në procedime kriminale si viktima, sipas gjinisë</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dhe grup</w:t>
            </w:r>
            <w:r w:rsidR="00DE6C3C"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moshës</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19. Numri i fëmijëve të përfshirë në procedime kriminale si autorë, sipas gjinisë dhe grup</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moshës</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20. Të burgosurit sipas grup</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moshave dhe gjinisë</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 xml:space="preserve">21. Përqindja e të </w:t>
            </w:r>
            <w:r w:rsidRPr="00B31292">
              <w:rPr>
                <w:rFonts w:ascii="Garamond" w:eastAsia="Times New Roman" w:hAnsi="Garamond" w:cs="Times New Roman"/>
                <w:color w:val="000000"/>
                <w:sz w:val="10"/>
                <w:szCs w:val="10"/>
              </w:rPr>
              <w:lastRenderedPageBreak/>
              <w:t>paraburgosurve në privim lirie</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p>
        </w:tc>
        <w:tc>
          <w:tcPr>
            <w:tcW w:w="299"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17F1820" w14:textId="6ED94A80"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lastRenderedPageBreak/>
              <w:t>Ministria e Drejtësisë</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Drejtoria e Përgjithshme e Policisë</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Prokuroria e Përgjithshme</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Drejtoria e Përgjithshme e Burgjeve</w:t>
            </w:r>
          </w:p>
        </w:tc>
        <w:tc>
          <w:tcPr>
            <w:tcW w:w="224" w:type="pct"/>
            <w:vMerge w:val="restart"/>
            <w:tcBorders>
              <w:top w:val="nil"/>
              <w:left w:val="single" w:sz="4" w:space="0" w:color="auto"/>
              <w:bottom w:val="single" w:sz="4" w:space="0" w:color="000000"/>
              <w:right w:val="single" w:sz="4" w:space="0" w:color="auto"/>
            </w:tcBorders>
            <w:shd w:val="clear" w:color="auto" w:fill="auto"/>
            <w:vAlign w:val="center"/>
            <w:hideMark/>
          </w:tcPr>
          <w:p w14:paraId="23CD554D" w14:textId="66D210C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E06236" w:rsidRPr="00B31292">
              <w:rPr>
                <w:rFonts w:ascii="Garamond" w:eastAsia="Times New Roman" w:hAnsi="Garamond" w:cs="Times New Roman"/>
                <w:color w:val="000000"/>
                <w:sz w:val="10"/>
                <w:szCs w:val="10"/>
              </w:rPr>
              <w:t>-i</w:t>
            </w:r>
          </w:p>
        </w:tc>
        <w:tc>
          <w:tcPr>
            <w:tcW w:w="24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74E1E00"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+ 56D</w:t>
            </w:r>
          </w:p>
        </w:tc>
        <w:tc>
          <w:tcPr>
            <w:tcW w:w="220"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AE1B43A"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+ 80D</w:t>
            </w:r>
          </w:p>
        </w:tc>
        <w:tc>
          <w:tcPr>
            <w:tcW w:w="220"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FCBE0D3"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+ 119D</w:t>
            </w:r>
          </w:p>
        </w:tc>
        <w:tc>
          <w:tcPr>
            <w:tcW w:w="346" w:type="pct"/>
            <w:vMerge w:val="restart"/>
            <w:tcBorders>
              <w:top w:val="nil"/>
              <w:left w:val="single" w:sz="4" w:space="0" w:color="auto"/>
              <w:bottom w:val="single" w:sz="4" w:space="0" w:color="000000"/>
              <w:right w:val="single" w:sz="4" w:space="0" w:color="auto"/>
            </w:tcBorders>
            <w:shd w:val="clear" w:color="auto" w:fill="auto"/>
            <w:vAlign w:val="center"/>
            <w:hideMark/>
          </w:tcPr>
          <w:p w14:paraId="3B7CCAA1" w14:textId="61456938"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Vonesa në procesin e grumbullimit të të dhënave nga burimet administrative -|- 6</w:t>
            </w:r>
            <w:r w:rsidRPr="00B31292">
              <w:rPr>
                <w:rFonts w:ascii="Garamond" w:eastAsia="Times New Roman" w:hAnsi="Garamond" w:cs="Times New Roman"/>
                <w:color w:val="000000"/>
                <w:sz w:val="10"/>
                <w:szCs w:val="10"/>
              </w:rPr>
              <w:br/>
              <w:t xml:space="preserve">2. Pezullimi/vonesa e mbledhjes, prodhimit </w:t>
            </w:r>
            <w:r w:rsidR="00F667B8" w:rsidRPr="00B31292">
              <w:rPr>
                <w:rFonts w:ascii="Garamond" w:eastAsia="Times New Roman" w:hAnsi="Garamond" w:cs="Times New Roman"/>
                <w:color w:val="000000"/>
                <w:sz w:val="10"/>
                <w:szCs w:val="10"/>
              </w:rPr>
              <w:t>dhe shpërndarjes së statistikave zyrtare si pasojë e fatkeqësive natyrore/ pandemive globale</w:t>
            </w:r>
            <w:r w:rsidRPr="00B31292">
              <w:rPr>
                <w:rFonts w:ascii="Garamond" w:eastAsia="Times New Roman" w:hAnsi="Garamond" w:cs="Times New Roman"/>
                <w:color w:val="000000"/>
                <w:sz w:val="10"/>
                <w:szCs w:val="10"/>
              </w:rPr>
              <w:t xml:space="preserve"> -|- 6</w:t>
            </w:r>
          </w:p>
        </w:tc>
        <w:tc>
          <w:tcPr>
            <w:tcW w:w="273" w:type="pct"/>
            <w:vMerge w:val="restart"/>
            <w:tcBorders>
              <w:top w:val="nil"/>
              <w:left w:val="single" w:sz="4" w:space="0" w:color="auto"/>
              <w:bottom w:val="single" w:sz="4" w:space="0" w:color="000000"/>
              <w:right w:val="single" w:sz="4" w:space="0" w:color="auto"/>
            </w:tcBorders>
            <w:shd w:val="clear" w:color="auto" w:fill="auto"/>
            <w:vAlign w:val="center"/>
            <w:hideMark/>
          </w:tcPr>
          <w:p w14:paraId="3D76635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Buxhet shteti</w:t>
            </w:r>
          </w:p>
        </w:tc>
      </w:tr>
      <w:tr w:rsidR="000A2254" w:rsidRPr="00B31292" w14:paraId="0202F6C7" w14:textId="77777777" w:rsidTr="000A2254">
        <w:trPr>
          <w:trHeight w:val="20"/>
        </w:trPr>
        <w:tc>
          <w:tcPr>
            <w:tcW w:w="215" w:type="pct"/>
            <w:tcBorders>
              <w:top w:val="nil"/>
              <w:left w:val="nil"/>
              <w:bottom w:val="nil"/>
              <w:right w:val="nil"/>
            </w:tcBorders>
            <w:shd w:val="clear" w:color="000000" w:fill="FFFFFF"/>
            <w:vAlign w:val="bottom"/>
            <w:hideMark/>
          </w:tcPr>
          <w:p w14:paraId="7E73F08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40E01C4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70AAA70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5DD7082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1D60414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10B5A98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vMerge/>
            <w:tcBorders>
              <w:top w:val="nil"/>
              <w:left w:val="single" w:sz="4" w:space="0" w:color="000000"/>
              <w:bottom w:val="single" w:sz="4" w:space="0" w:color="000000"/>
              <w:right w:val="single" w:sz="4" w:space="0" w:color="000000"/>
            </w:tcBorders>
            <w:vAlign w:val="center"/>
            <w:hideMark/>
          </w:tcPr>
          <w:p w14:paraId="243533E7"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81" w:type="pct"/>
            <w:vMerge/>
            <w:tcBorders>
              <w:top w:val="nil"/>
              <w:left w:val="single" w:sz="4" w:space="0" w:color="000000"/>
              <w:bottom w:val="single" w:sz="4" w:space="0" w:color="000000"/>
              <w:right w:val="single" w:sz="4" w:space="0" w:color="auto"/>
            </w:tcBorders>
            <w:vAlign w:val="center"/>
            <w:hideMark/>
          </w:tcPr>
          <w:p w14:paraId="2814DD91" w14:textId="77777777" w:rsidR="000A2254" w:rsidRPr="00B31292" w:rsidRDefault="000A2254" w:rsidP="000A2254">
            <w:pPr>
              <w:spacing w:after="0" w:line="240" w:lineRule="auto"/>
              <w:rPr>
                <w:rFonts w:ascii="Garamond" w:eastAsia="Times New Roman" w:hAnsi="Garamond" w:cs="Times New Roman"/>
                <w:sz w:val="10"/>
                <w:szCs w:val="10"/>
              </w:rPr>
            </w:pPr>
          </w:p>
        </w:tc>
        <w:tc>
          <w:tcPr>
            <w:tcW w:w="236" w:type="pct"/>
            <w:vMerge/>
            <w:tcBorders>
              <w:top w:val="nil"/>
              <w:left w:val="single" w:sz="4" w:space="0" w:color="auto"/>
              <w:bottom w:val="single" w:sz="4" w:space="0" w:color="000000"/>
              <w:right w:val="single" w:sz="4" w:space="0" w:color="auto"/>
            </w:tcBorders>
            <w:vAlign w:val="center"/>
            <w:hideMark/>
          </w:tcPr>
          <w:p w14:paraId="4384C371" w14:textId="77777777" w:rsidR="000A2254" w:rsidRPr="00B31292" w:rsidRDefault="000A2254" w:rsidP="000A2254">
            <w:pPr>
              <w:spacing w:after="0" w:line="240" w:lineRule="auto"/>
              <w:rPr>
                <w:rFonts w:ascii="Garamond" w:eastAsia="Times New Roman" w:hAnsi="Garamond" w:cs="Times New Roman"/>
                <w:sz w:val="10"/>
                <w:szCs w:val="10"/>
              </w:rPr>
            </w:pPr>
          </w:p>
        </w:tc>
        <w:tc>
          <w:tcPr>
            <w:tcW w:w="238" w:type="pct"/>
            <w:vMerge/>
            <w:tcBorders>
              <w:top w:val="nil"/>
              <w:left w:val="single" w:sz="4" w:space="0" w:color="auto"/>
              <w:bottom w:val="single" w:sz="4" w:space="0" w:color="000000"/>
              <w:right w:val="single" w:sz="4" w:space="0" w:color="auto"/>
            </w:tcBorders>
            <w:vAlign w:val="center"/>
            <w:hideMark/>
          </w:tcPr>
          <w:p w14:paraId="574A8FA1" w14:textId="77777777" w:rsidR="000A2254" w:rsidRPr="00B31292" w:rsidRDefault="000A2254" w:rsidP="000A2254">
            <w:pPr>
              <w:spacing w:after="0" w:line="240" w:lineRule="auto"/>
              <w:rPr>
                <w:rFonts w:ascii="Garamond" w:eastAsia="Times New Roman" w:hAnsi="Garamond" w:cs="Times New Roman"/>
                <w:sz w:val="10"/>
                <w:szCs w:val="10"/>
              </w:rPr>
            </w:pPr>
          </w:p>
        </w:tc>
        <w:tc>
          <w:tcPr>
            <w:tcW w:w="180" w:type="pct"/>
            <w:vMerge/>
            <w:tcBorders>
              <w:top w:val="nil"/>
              <w:left w:val="single" w:sz="4" w:space="0" w:color="auto"/>
              <w:bottom w:val="single" w:sz="4" w:space="0" w:color="000000"/>
              <w:right w:val="single" w:sz="4" w:space="0" w:color="auto"/>
            </w:tcBorders>
            <w:vAlign w:val="center"/>
            <w:hideMark/>
          </w:tcPr>
          <w:p w14:paraId="6274FB90" w14:textId="77777777" w:rsidR="000A2254" w:rsidRPr="00B31292" w:rsidRDefault="000A2254" w:rsidP="000A2254">
            <w:pPr>
              <w:spacing w:after="0" w:line="240" w:lineRule="auto"/>
              <w:rPr>
                <w:rFonts w:ascii="Garamond" w:eastAsia="Times New Roman" w:hAnsi="Garamond" w:cs="Times New Roman"/>
                <w:sz w:val="10"/>
                <w:szCs w:val="10"/>
              </w:rPr>
            </w:pPr>
          </w:p>
        </w:tc>
        <w:tc>
          <w:tcPr>
            <w:tcW w:w="228" w:type="pct"/>
            <w:vMerge/>
            <w:tcBorders>
              <w:top w:val="nil"/>
              <w:left w:val="single" w:sz="4" w:space="0" w:color="auto"/>
              <w:bottom w:val="single" w:sz="4" w:space="0" w:color="000000"/>
              <w:right w:val="single" w:sz="4" w:space="0" w:color="auto"/>
            </w:tcBorders>
            <w:vAlign w:val="center"/>
            <w:hideMark/>
          </w:tcPr>
          <w:p w14:paraId="3CE3A89E"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22" w:type="pct"/>
            <w:vMerge/>
            <w:tcBorders>
              <w:top w:val="single" w:sz="4" w:space="0" w:color="auto"/>
              <w:left w:val="single" w:sz="4" w:space="0" w:color="auto"/>
              <w:bottom w:val="single" w:sz="4" w:space="0" w:color="000000"/>
              <w:right w:val="single" w:sz="4" w:space="0" w:color="auto"/>
            </w:tcBorders>
            <w:vAlign w:val="center"/>
            <w:hideMark/>
          </w:tcPr>
          <w:p w14:paraId="04C87F0F"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486" w:type="pct"/>
            <w:tcBorders>
              <w:top w:val="nil"/>
              <w:left w:val="nil"/>
              <w:bottom w:val="nil"/>
              <w:right w:val="nil"/>
            </w:tcBorders>
            <w:shd w:val="clear" w:color="auto" w:fill="auto"/>
            <w:vAlign w:val="center"/>
            <w:hideMark/>
          </w:tcPr>
          <w:p w14:paraId="1ABF04C5" w14:textId="01F3BE72"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22. Personeli në burgje sipas gjinisë dhe grup</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moshës së të burgosurve</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23. Të burgosurit sipas veprave specifike penale</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24. Të burgosurit sipas grup</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moshave dhe gjinisë në raport me popullsinë banuese</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25. Të burgosur sipas nivelit arsimor</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26. Të burgosur sipas aktiviteteve rehabilituese dhe kurseve të ndjekur</w:t>
            </w:r>
            <w:r w:rsidR="00E06236" w:rsidRPr="00B31292">
              <w:rPr>
                <w:rFonts w:ascii="Garamond" w:eastAsia="Times New Roman" w:hAnsi="Garamond" w:cs="Times New Roman"/>
                <w:color w:val="000000"/>
                <w:sz w:val="10"/>
                <w:szCs w:val="10"/>
              </w:rPr>
              <w:t>a</w:t>
            </w:r>
            <w:r w:rsidRPr="00B31292">
              <w:rPr>
                <w:rFonts w:ascii="Garamond" w:eastAsia="Times New Roman" w:hAnsi="Garamond" w:cs="Times New Roman"/>
                <w:color w:val="000000"/>
                <w:sz w:val="10"/>
                <w:szCs w:val="10"/>
              </w:rPr>
              <w:t xml:space="preserve"> në burgje</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 xml:space="preserve">27. Të burgosur sipas </w:t>
            </w:r>
            <w:r w:rsidR="00C23C70" w:rsidRPr="00B31292">
              <w:rPr>
                <w:rFonts w:ascii="Garamond" w:eastAsia="Times New Roman" w:hAnsi="Garamond" w:cs="Times New Roman"/>
                <w:color w:val="000000"/>
                <w:sz w:val="10"/>
                <w:szCs w:val="10"/>
              </w:rPr>
              <w:t>gjinisë</w:t>
            </w:r>
            <w:r w:rsidRPr="00B31292">
              <w:rPr>
                <w:rFonts w:ascii="Garamond" w:eastAsia="Times New Roman" w:hAnsi="Garamond" w:cs="Times New Roman"/>
                <w:color w:val="000000"/>
                <w:sz w:val="10"/>
                <w:szCs w:val="10"/>
              </w:rPr>
              <w:t xml:space="preserve"> dhe qarqeve</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28. Të miturit në mbajtje (privim lirie)</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29. Të miturit në paraburgim (privim lirie).</w:t>
            </w:r>
          </w:p>
        </w:tc>
        <w:tc>
          <w:tcPr>
            <w:tcW w:w="299" w:type="pct"/>
            <w:vMerge/>
            <w:tcBorders>
              <w:top w:val="single" w:sz="4" w:space="0" w:color="auto"/>
              <w:left w:val="single" w:sz="4" w:space="0" w:color="auto"/>
              <w:bottom w:val="single" w:sz="4" w:space="0" w:color="000000"/>
              <w:right w:val="single" w:sz="4" w:space="0" w:color="auto"/>
            </w:tcBorders>
            <w:vAlign w:val="center"/>
            <w:hideMark/>
          </w:tcPr>
          <w:p w14:paraId="2D26B463"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24" w:type="pct"/>
            <w:vMerge/>
            <w:tcBorders>
              <w:top w:val="nil"/>
              <w:left w:val="single" w:sz="4" w:space="0" w:color="auto"/>
              <w:bottom w:val="single" w:sz="4" w:space="0" w:color="000000"/>
              <w:right w:val="single" w:sz="4" w:space="0" w:color="auto"/>
            </w:tcBorders>
            <w:vAlign w:val="center"/>
            <w:hideMark/>
          </w:tcPr>
          <w:p w14:paraId="40E303FF"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44" w:type="pct"/>
            <w:vMerge/>
            <w:tcBorders>
              <w:top w:val="nil"/>
              <w:left w:val="single" w:sz="4" w:space="0" w:color="auto"/>
              <w:bottom w:val="single" w:sz="4" w:space="0" w:color="000000"/>
              <w:right w:val="single" w:sz="4" w:space="0" w:color="auto"/>
            </w:tcBorders>
            <w:vAlign w:val="center"/>
            <w:hideMark/>
          </w:tcPr>
          <w:p w14:paraId="601D12CB"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20" w:type="pct"/>
            <w:vMerge/>
            <w:tcBorders>
              <w:top w:val="nil"/>
              <w:left w:val="single" w:sz="4" w:space="0" w:color="auto"/>
              <w:bottom w:val="single" w:sz="4" w:space="0" w:color="000000"/>
              <w:right w:val="single" w:sz="4" w:space="0" w:color="auto"/>
            </w:tcBorders>
            <w:vAlign w:val="center"/>
            <w:hideMark/>
          </w:tcPr>
          <w:p w14:paraId="5666E8AF"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20" w:type="pct"/>
            <w:vMerge/>
            <w:tcBorders>
              <w:top w:val="nil"/>
              <w:left w:val="single" w:sz="4" w:space="0" w:color="auto"/>
              <w:bottom w:val="single" w:sz="4" w:space="0" w:color="000000"/>
              <w:right w:val="single" w:sz="4" w:space="0" w:color="auto"/>
            </w:tcBorders>
            <w:vAlign w:val="center"/>
            <w:hideMark/>
          </w:tcPr>
          <w:p w14:paraId="44F973D7"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346" w:type="pct"/>
            <w:vMerge/>
            <w:tcBorders>
              <w:top w:val="nil"/>
              <w:left w:val="single" w:sz="4" w:space="0" w:color="auto"/>
              <w:bottom w:val="single" w:sz="4" w:space="0" w:color="000000"/>
              <w:right w:val="single" w:sz="4" w:space="0" w:color="auto"/>
            </w:tcBorders>
            <w:vAlign w:val="center"/>
            <w:hideMark/>
          </w:tcPr>
          <w:p w14:paraId="30DDD905"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73" w:type="pct"/>
            <w:vMerge/>
            <w:tcBorders>
              <w:top w:val="nil"/>
              <w:left w:val="single" w:sz="4" w:space="0" w:color="auto"/>
              <w:bottom w:val="single" w:sz="4" w:space="0" w:color="000000"/>
              <w:right w:val="single" w:sz="4" w:space="0" w:color="auto"/>
            </w:tcBorders>
            <w:vAlign w:val="center"/>
            <w:hideMark/>
          </w:tcPr>
          <w:p w14:paraId="49DB6D75"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r>
      <w:tr w:rsidR="000A2254" w:rsidRPr="00B31292" w14:paraId="7543F0C1" w14:textId="77777777" w:rsidTr="000A2254">
        <w:trPr>
          <w:trHeight w:val="20"/>
        </w:trPr>
        <w:tc>
          <w:tcPr>
            <w:tcW w:w="215" w:type="pct"/>
            <w:tcBorders>
              <w:top w:val="nil"/>
              <w:left w:val="nil"/>
              <w:bottom w:val="nil"/>
              <w:right w:val="nil"/>
            </w:tcBorders>
            <w:shd w:val="clear" w:color="000000" w:fill="FFFFFF"/>
            <w:vAlign w:val="bottom"/>
            <w:hideMark/>
          </w:tcPr>
          <w:p w14:paraId="46C1D88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159CA1A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34F1DEF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3E03105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1696509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1F9F78A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000000"/>
              <w:bottom w:val="single" w:sz="4" w:space="0" w:color="000000"/>
              <w:right w:val="single" w:sz="4" w:space="0" w:color="000000"/>
            </w:tcBorders>
            <w:shd w:val="clear" w:color="auto" w:fill="auto"/>
            <w:vAlign w:val="center"/>
            <w:hideMark/>
          </w:tcPr>
          <w:p w14:paraId="43E50599"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1.7.1.3</w:t>
            </w:r>
          </w:p>
        </w:tc>
        <w:tc>
          <w:tcPr>
            <w:tcW w:w="281" w:type="pct"/>
            <w:tcBorders>
              <w:top w:val="nil"/>
              <w:left w:val="nil"/>
              <w:bottom w:val="single" w:sz="4" w:space="0" w:color="auto"/>
              <w:right w:val="single" w:sz="4" w:space="0" w:color="auto"/>
            </w:tcBorders>
            <w:shd w:val="clear" w:color="auto" w:fill="auto"/>
            <w:vAlign w:val="center"/>
            <w:hideMark/>
          </w:tcPr>
          <w:p w14:paraId="44149161"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Statistika të personave të dënuar dhe të pafajshëm</w:t>
            </w:r>
          </w:p>
        </w:tc>
        <w:tc>
          <w:tcPr>
            <w:tcW w:w="236" w:type="pct"/>
            <w:tcBorders>
              <w:top w:val="nil"/>
              <w:left w:val="nil"/>
              <w:bottom w:val="single" w:sz="4" w:space="0" w:color="auto"/>
              <w:right w:val="single" w:sz="4" w:space="0" w:color="auto"/>
            </w:tcBorders>
            <w:shd w:val="clear" w:color="auto" w:fill="auto"/>
            <w:vAlign w:val="center"/>
            <w:hideMark/>
          </w:tcPr>
          <w:p w14:paraId="641A0510"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Burim administrativ</w:t>
            </w:r>
          </w:p>
        </w:tc>
        <w:tc>
          <w:tcPr>
            <w:tcW w:w="238" w:type="pct"/>
            <w:tcBorders>
              <w:top w:val="nil"/>
              <w:left w:val="nil"/>
              <w:bottom w:val="single" w:sz="4" w:space="0" w:color="auto"/>
              <w:right w:val="single" w:sz="4" w:space="0" w:color="auto"/>
            </w:tcBorders>
            <w:shd w:val="clear" w:color="auto" w:fill="auto"/>
            <w:noWrap/>
            <w:vAlign w:val="center"/>
            <w:hideMark/>
          </w:tcPr>
          <w:p w14:paraId="554113F3"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180" w:type="pct"/>
            <w:tcBorders>
              <w:top w:val="nil"/>
              <w:left w:val="nil"/>
              <w:bottom w:val="single" w:sz="4" w:space="0" w:color="auto"/>
              <w:right w:val="single" w:sz="4" w:space="0" w:color="auto"/>
            </w:tcBorders>
            <w:shd w:val="clear" w:color="auto" w:fill="auto"/>
            <w:noWrap/>
            <w:vAlign w:val="center"/>
            <w:hideMark/>
          </w:tcPr>
          <w:p w14:paraId="3CA722A6"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28" w:type="pct"/>
            <w:tcBorders>
              <w:top w:val="nil"/>
              <w:left w:val="nil"/>
              <w:bottom w:val="single" w:sz="4" w:space="0" w:color="000000"/>
              <w:right w:val="single" w:sz="4" w:space="0" w:color="000000"/>
            </w:tcBorders>
            <w:shd w:val="clear" w:color="auto" w:fill="auto"/>
            <w:vAlign w:val="center"/>
            <w:hideMark/>
          </w:tcPr>
          <w:p w14:paraId="72E91E2E" w14:textId="3E09622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I </w:t>
            </w:r>
            <w:r w:rsidR="001C6DE3" w:rsidRPr="00B31292">
              <w:rPr>
                <w:rFonts w:ascii="Garamond" w:eastAsia="Times New Roman" w:hAnsi="Garamond" w:cs="Times New Roman"/>
                <w:color w:val="000000"/>
                <w:sz w:val="10"/>
                <w:szCs w:val="10"/>
              </w:rPr>
              <w:t>vazhdueshëm</w:t>
            </w:r>
          </w:p>
        </w:tc>
        <w:tc>
          <w:tcPr>
            <w:tcW w:w="222" w:type="pct"/>
            <w:tcBorders>
              <w:top w:val="nil"/>
              <w:left w:val="nil"/>
              <w:bottom w:val="single" w:sz="4" w:space="0" w:color="000000"/>
              <w:right w:val="nil"/>
            </w:tcBorders>
            <w:shd w:val="clear" w:color="auto" w:fill="auto"/>
            <w:vAlign w:val="center"/>
            <w:hideMark/>
          </w:tcPr>
          <w:p w14:paraId="7437CFC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Vjetor</w:t>
            </w:r>
          </w:p>
        </w:tc>
        <w:tc>
          <w:tcPr>
            <w:tcW w:w="48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C2B1C47" w14:textId="7146B1A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Të dënuar të rritur dhe mitur sipas gjinisë</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2. Të dënuarit sipas veprave specifike penale sipas Kodit Penal</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3. Numri i fëmijëve të dënuar sipas gjinisë dhe veprës së kryer</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4. Numri gjithsej i personave të shpallur të pafajshëm</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5. Të dënuar sipas gjinisë dhe grup</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moshës në raport me popullsinë banuese</w:t>
            </w:r>
            <w:r w:rsidR="00E06236" w:rsidRPr="00B31292">
              <w:rPr>
                <w:rFonts w:ascii="Garamond" w:eastAsia="Times New Roman" w:hAnsi="Garamond" w:cs="Times New Roman"/>
                <w:color w:val="000000"/>
                <w:sz w:val="10"/>
                <w:szCs w:val="10"/>
              </w:rPr>
              <w:t>.</w:t>
            </w:r>
          </w:p>
        </w:tc>
        <w:tc>
          <w:tcPr>
            <w:tcW w:w="299" w:type="pct"/>
            <w:tcBorders>
              <w:top w:val="nil"/>
              <w:left w:val="nil"/>
              <w:bottom w:val="single" w:sz="4" w:space="0" w:color="000000"/>
              <w:right w:val="nil"/>
            </w:tcBorders>
            <w:shd w:val="clear" w:color="auto" w:fill="auto"/>
            <w:vAlign w:val="center"/>
            <w:hideMark/>
          </w:tcPr>
          <w:p w14:paraId="3CE8839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Ministria e Drejtësisë</w:t>
            </w:r>
          </w:p>
        </w:tc>
        <w:tc>
          <w:tcPr>
            <w:tcW w:w="224" w:type="pct"/>
            <w:tcBorders>
              <w:top w:val="nil"/>
              <w:left w:val="single" w:sz="4" w:space="0" w:color="auto"/>
              <w:bottom w:val="single" w:sz="4" w:space="0" w:color="auto"/>
              <w:right w:val="single" w:sz="4" w:space="0" w:color="auto"/>
            </w:tcBorders>
            <w:shd w:val="clear" w:color="auto" w:fill="auto"/>
            <w:vAlign w:val="center"/>
            <w:hideMark/>
          </w:tcPr>
          <w:p w14:paraId="3F0C3F39" w14:textId="2A39B46A"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E06236" w:rsidRPr="00B31292">
              <w:rPr>
                <w:rFonts w:ascii="Garamond" w:eastAsia="Times New Roman" w:hAnsi="Garamond" w:cs="Times New Roman"/>
                <w:color w:val="000000"/>
                <w:sz w:val="10"/>
                <w:szCs w:val="10"/>
              </w:rPr>
              <w:t>-i</w:t>
            </w:r>
          </w:p>
        </w:tc>
        <w:tc>
          <w:tcPr>
            <w:tcW w:w="244" w:type="pct"/>
            <w:tcBorders>
              <w:top w:val="nil"/>
              <w:left w:val="nil"/>
              <w:bottom w:val="single" w:sz="4" w:space="0" w:color="auto"/>
              <w:right w:val="single" w:sz="4" w:space="0" w:color="auto"/>
            </w:tcBorders>
            <w:shd w:val="clear" w:color="000000" w:fill="FFFFFF"/>
            <w:vAlign w:val="center"/>
            <w:hideMark/>
          </w:tcPr>
          <w:p w14:paraId="53E2369D"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+ 262D</w:t>
            </w:r>
          </w:p>
        </w:tc>
        <w:tc>
          <w:tcPr>
            <w:tcW w:w="220" w:type="pct"/>
            <w:tcBorders>
              <w:top w:val="nil"/>
              <w:left w:val="nil"/>
              <w:bottom w:val="single" w:sz="4" w:space="0" w:color="auto"/>
              <w:right w:val="single" w:sz="4" w:space="0" w:color="auto"/>
            </w:tcBorders>
            <w:shd w:val="clear" w:color="000000" w:fill="FFFFFF"/>
            <w:vAlign w:val="center"/>
            <w:hideMark/>
          </w:tcPr>
          <w:p w14:paraId="2855F4C3"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+ 273D</w:t>
            </w:r>
          </w:p>
        </w:tc>
        <w:tc>
          <w:tcPr>
            <w:tcW w:w="220" w:type="pct"/>
            <w:tcBorders>
              <w:top w:val="nil"/>
              <w:left w:val="nil"/>
              <w:bottom w:val="single" w:sz="4" w:space="0" w:color="auto"/>
              <w:right w:val="single" w:sz="4" w:space="0" w:color="auto"/>
            </w:tcBorders>
            <w:shd w:val="clear" w:color="000000" w:fill="FFFFFF"/>
            <w:vAlign w:val="center"/>
            <w:hideMark/>
          </w:tcPr>
          <w:p w14:paraId="049B9A83"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+ 304D</w:t>
            </w:r>
          </w:p>
        </w:tc>
        <w:tc>
          <w:tcPr>
            <w:tcW w:w="346" w:type="pct"/>
            <w:tcBorders>
              <w:top w:val="nil"/>
              <w:left w:val="nil"/>
              <w:bottom w:val="single" w:sz="4" w:space="0" w:color="auto"/>
              <w:right w:val="single" w:sz="4" w:space="0" w:color="auto"/>
            </w:tcBorders>
            <w:shd w:val="clear" w:color="auto" w:fill="auto"/>
            <w:vAlign w:val="center"/>
            <w:hideMark/>
          </w:tcPr>
          <w:p w14:paraId="60833382" w14:textId="0E09937E"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Vonesa në procesin e grumbullimit të të dhënave nga burimet administrative -|- 3</w:t>
            </w:r>
            <w:r w:rsidRPr="00B31292">
              <w:rPr>
                <w:rFonts w:ascii="Garamond" w:eastAsia="Times New Roman" w:hAnsi="Garamond" w:cs="Times New Roman"/>
                <w:color w:val="000000"/>
                <w:sz w:val="10"/>
                <w:szCs w:val="10"/>
              </w:rPr>
              <w:br/>
              <w:t xml:space="preserve">2. Pezullimi/vonesa e mbledhjes, prodhimit </w:t>
            </w:r>
            <w:r w:rsidR="00F667B8" w:rsidRPr="00B31292">
              <w:rPr>
                <w:rFonts w:ascii="Garamond" w:eastAsia="Times New Roman" w:hAnsi="Garamond" w:cs="Times New Roman"/>
                <w:color w:val="000000"/>
                <w:sz w:val="10"/>
                <w:szCs w:val="10"/>
              </w:rPr>
              <w:t>dhe shpërndarjes së statistikave zyrtare si pasojë e fatkeqësive natyrore/ pandemive globale</w:t>
            </w:r>
            <w:r w:rsidRPr="00B31292">
              <w:rPr>
                <w:rFonts w:ascii="Garamond" w:eastAsia="Times New Roman" w:hAnsi="Garamond" w:cs="Times New Roman"/>
                <w:color w:val="000000"/>
                <w:sz w:val="10"/>
                <w:szCs w:val="10"/>
              </w:rPr>
              <w:t xml:space="preserve"> -|- 3</w:t>
            </w:r>
          </w:p>
        </w:tc>
        <w:tc>
          <w:tcPr>
            <w:tcW w:w="273" w:type="pct"/>
            <w:tcBorders>
              <w:top w:val="nil"/>
              <w:left w:val="nil"/>
              <w:bottom w:val="single" w:sz="4" w:space="0" w:color="auto"/>
              <w:right w:val="single" w:sz="4" w:space="0" w:color="auto"/>
            </w:tcBorders>
            <w:shd w:val="clear" w:color="auto" w:fill="auto"/>
            <w:vAlign w:val="center"/>
            <w:hideMark/>
          </w:tcPr>
          <w:p w14:paraId="245BEA9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Buxhet shteti</w:t>
            </w:r>
          </w:p>
        </w:tc>
      </w:tr>
      <w:tr w:rsidR="000A2254" w:rsidRPr="00B31292" w14:paraId="176ED705" w14:textId="77777777" w:rsidTr="000A2254">
        <w:trPr>
          <w:trHeight w:val="20"/>
        </w:trPr>
        <w:tc>
          <w:tcPr>
            <w:tcW w:w="215" w:type="pct"/>
            <w:tcBorders>
              <w:top w:val="nil"/>
              <w:left w:val="nil"/>
              <w:bottom w:val="nil"/>
              <w:right w:val="nil"/>
            </w:tcBorders>
            <w:shd w:val="clear" w:color="000000" w:fill="FFFFFF"/>
            <w:vAlign w:val="bottom"/>
            <w:hideMark/>
          </w:tcPr>
          <w:p w14:paraId="4A78220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7DBD9757"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6D63E50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2C564AA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057A03E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34F40FE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000000"/>
              <w:bottom w:val="nil"/>
              <w:right w:val="single" w:sz="4" w:space="0" w:color="000000"/>
            </w:tcBorders>
            <w:shd w:val="clear" w:color="000000" w:fill="FFFFFF"/>
            <w:vAlign w:val="center"/>
            <w:hideMark/>
          </w:tcPr>
          <w:p w14:paraId="1212F51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1.7.1.4</w:t>
            </w:r>
          </w:p>
        </w:tc>
        <w:tc>
          <w:tcPr>
            <w:tcW w:w="281" w:type="pct"/>
            <w:tcBorders>
              <w:top w:val="nil"/>
              <w:left w:val="nil"/>
              <w:bottom w:val="single" w:sz="4" w:space="0" w:color="auto"/>
              <w:right w:val="single" w:sz="4" w:space="0" w:color="auto"/>
            </w:tcBorders>
            <w:shd w:val="clear" w:color="000000" w:fill="FFFFFF"/>
            <w:vAlign w:val="center"/>
            <w:hideMark/>
          </w:tcPr>
          <w:p w14:paraId="7C51944C" w14:textId="4AF11C4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xml:space="preserve">Zbatimi i </w:t>
            </w:r>
            <w:r w:rsidR="00E06236" w:rsidRPr="00B31292">
              <w:rPr>
                <w:rFonts w:ascii="Garamond" w:eastAsia="Times New Roman" w:hAnsi="Garamond" w:cs="Times New Roman"/>
                <w:sz w:val="10"/>
                <w:szCs w:val="10"/>
              </w:rPr>
              <w:t>k</w:t>
            </w:r>
            <w:r w:rsidRPr="00B31292">
              <w:rPr>
                <w:rFonts w:ascii="Garamond" w:eastAsia="Times New Roman" w:hAnsi="Garamond" w:cs="Times New Roman"/>
                <w:sz w:val="10"/>
                <w:szCs w:val="10"/>
              </w:rPr>
              <w:t>lasifikimit ndërkombëtar të krimeve për qëllime statistikore (ICCS)</w:t>
            </w:r>
          </w:p>
        </w:tc>
        <w:tc>
          <w:tcPr>
            <w:tcW w:w="236" w:type="pct"/>
            <w:tcBorders>
              <w:top w:val="nil"/>
              <w:left w:val="nil"/>
              <w:bottom w:val="single" w:sz="4" w:space="0" w:color="auto"/>
              <w:right w:val="single" w:sz="4" w:space="0" w:color="auto"/>
            </w:tcBorders>
            <w:shd w:val="clear" w:color="000000" w:fill="FFFFFF"/>
            <w:vAlign w:val="center"/>
            <w:hideMark/>
          </w:tcPr>
          <w:p w14:paraId="60B32E1B"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Burim administrativ</w:t>
            </w:r>
          </w:p>
        </w:tc>
        <w:tc>
          <w:tcPr>
            <w:tcW w:w="238" w:type="pct"/>
            <w:tcBorders>
              <w:top w:val="nil"/>
              <w:left w:val="nil"/>
              <w:bottom w:val="single" w:sz="4" w:space="0" w:color="auto"/>
              <w:right w:val="single" w:sz="4" w:space="0" w:color="auto"/>
            </w:tcBorders>
            <w:shd w:val="clear" w:color="000000" w:fill="FFFFFF"/>
            <w:noWrap/>
            <w:vAlign w:val="center"/>
            <w:hideMark/>
          </w:tcPr>
          <w:p w14:paraId="54FC9D72"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180" w:type="pct"/>
            <w:tcBorders>
              <w:top w:val="nil"/>
              <w:left w:val="nil"/>
              <w:bottom w:val="single" w:sz="4" w:space="0" w:color="auto"/>
              <w:right w:val="single" w:sz="4" w:space="0" w:color="auto"/>
            </w:tcBorders>
            <w:shd w:val="clear" w:color="000000" w:fill="FFFFFF"/>
            <w:noWrap/>
            <w:vAlign w:val="center"/>
            <w:hideMark/>
          </w:tcPr>
          <w:p w14:paraId="7A30FDDF"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28" w:type="pct"/>
            <w:tcBorders>
              <w:top w:val="nil"/>
              <w:left w:val="nil"/>
              <w:bottom w:val="single" w:sz="4" w:space="0" w:color="000000"/>
              <w:right w:val="single" w:sz="4" w:space="0" w:color="000000"/>
            </w:tcBorders>
            <w:shd w:val="clear" w:color="000000" w:fill="FFFFFF"/>
            <w:vAlign w:val="center"/>
            <w:hideMark/>
          </w:tcPr>
          <w:p w14:paraId="44883D96" w14:textId="7857B642"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I </w:t>
            </w:r>
            <w:r w:rsidR="001C6DE3" w:rsidRPr="00B31292">
              <w:rPr>
                <w:rFonts w:ascii="Garamond" w:eastAsia="Times New Roman" w:hAnsi="Garamond" w:cs="Times New Roman"/>
                <w:color w:val="000000"/>
                <w:sz w:val="10"/>
                <w:szCs w:val="10"/>
              </w:rPr>
              <w:t>vazhdueshëm</w:t>
            </w:r>
          </w:p>
        </w:tc>
        <w:tc>
          <w:tcPr>
            <w:tcW w:w="222" w:type="pct"/>
            <w:tcBorders>
              <w:top w:val="nil"/>
              <w:left w:val="nil"/>
              <w:bottom w:val="nil"/>
              <w:right w:val="single" w:sz="4" w:space="0" w:color="000000"/>
            </w:tcBorders>
            <w:shd w:val="clear" w:color="000000" w:fill="FFFFFF"/>
            <w:vAlign w:val="center"/>
            <w:hideMark/>
          </w:tcPr>
          <w:p w14:paraId="39AF7AC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Vjetor</w:t>
            </w:r>
          </w:p>
        </w:tc>
        <w:tc>
          <w:tcPr>
            <w:tcW w:w="486" w:type="pct"/>
            <w:tcBorders>
              <w:top w:val="nil"/>
              <w:left w:val="nil"/>
              <w:bottom w:val="nil"/>
              <w:right w:val="nil"/>
            </w:tcBorders>
            <w:shd w:val="clear" w:color="000000" w:fill="FFFFFF"/>
            <w:vAlign w:val="center"/>
            <w:hideMark/>
          </w:tcPr>
          <w:p w14:paraId="1C063BF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99" w:type="pct"/>
            <w:tcBorders>
              <w:top w:val="nil"/>
              <w:left w:val="single" w:sz="4" w:space="0" w:color="000000"/>
              <w:bottom w:val="nil"/>
              <w:right w:val="nil"/>
            </w:tcBorders>
            <w:shd w:val="clear" w:color="000000" w:fill="FFFFFF"/>
            <w:vAlign w:val="center"/>
            <w:hideMark/>
          </w:tcPr>
          <w:p w14:paraId="3636A555"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24" w:type="pct"/>
            <w:tcBorders>
              <w:top w:val="nil"/>
              <w:left w:val="single" w:sz="4" w:space="0" w:color="auto"/>
              <w:bottom w:val="nil"/>
              <w:right w:val="single" w:sz="4" w:space="0" w:color="auto"/>
            </w:tcBorders>
            <w:shd w:val="clear" w:color="000000" w:fill="FFFFFF"/>
            <w:vAlign w:val="center"/>
            <w:hideMark/>
          </w:tcPr>
          <w:p w14:paraId="69716F5D" w14:textId="4B73709E"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E06236" w:rsidRPr="00B31292">
              <w:rPr>
                <w:rFonts w:ascii="Garamond" w:eastAsia="Times New Roman" w:hAnsi="Garamond" w:cs="Times New Roman"/>
                <w:color w:val="000000"/>
                <w:sz w:val="10"/>
                <w:szCs w:val="10"/>
              </w:rPr>
              <w:t>-i</w:t>
            </w:r>
          </w:p>
        </w:tc>
        <w:tc>
          <w:tcPr>
            <w:tcW w:w="244" w:type="pct"/>
            <w:tcBorders>
              <w:top w:val="nil"/>
              <w:left w:val="nil"/>
              <w:bottom w:val="nil"/>
              <w:right w:val="single" w:sz="4" w:space="0" w:color="auto"/>
            </w:tcBorders>
            <w:shd w:val="clear" w:color="000000" w:fill="FFFFFF"/>
            <w:vAlign w:val="center"/>
            <w:hideMark/>
          </w:tcPr>
          <w:p w14:paraId="3FCA398C"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20" w:type="pct"/>
            <w:tcBorders>
              <w:top w:val="nil"/>
              <w:left w:val="nil"/>
              <w:bottom w:val="nil"/>
              <w:right w:val="single" w:sz="4" w:space="0" w:color="auto"/>
            </w:tcBorders>
            <w:shd w:val="clear" w:color="000000" w:fill="FFFFFF"/>
            <w:noWrap/>
            <w:vAlign w:val="center"/>
            <w:hideMark/>
          </w:tcPr>
          <w:p w14:paraId="4C0E85E0"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20" w:type="pct"/>
            <w:tcBorders>
              <w:top w:val="nil"/>
              <w:left w:val="nil"/>
              <w:bottom w:val="nil"/>
              <w:right w:val="single" w:sz="4" w:space="0" w:color="auto"/>
            </w:tcBorders>
            <w:shd w:val="clear" w:color="000000" w:fill="FFFFFF"/>
            <w:noWrap/>
            <w:vAlign w:val="center"/>
            <w:hideMark/>
          </w:tcPr>
          <w:p w14:paraId="6432D04B"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346" w:type="pct"/>
            <w:tcBorders>
              <w:top w:val="nil"/>
              <w:left w:val="nil"/>
              <w:bottom w:val="nil"/>
              <w:right w:val="single" w:sz="4" w:space="0" w:color="auto"/>
            </w:tcBorders>
            <w:shd w:val="clear" w:color="000000" w:fill="FFFFFF"/>
            <w:vAlign w:val="center"/>
            <w:hideMark/>
          </w:tcPr>
          <w:p w14:paraId="0C6DB8F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Mosdërgimi i inputeve nga grupi punës lidhur me hartëzimin -|- 3</w:t>
            </w:r>
          </w:p>
        </w:tc>
        <w:tc>
          <w:tcPr>
            <w:tcW w:w="273" w:type="pct"/>
            <w:tcBorders>
              <w:top w:val="nil"/>
              <w:left w:val="nil"/>
              <w:bottom w:val="nil"/>
              <w:right w:val="single" w:sz="4" w:space="0" w:color="auto"/>
            </w:tcBorders>
            <w:shd w:val="clear" w:color="000000" w:fill="FFFFFF"/>
            <w:vAlign w:val="center"/>
            <w:hideMark/>
          </w:tcPr>
          <w:p w14:paraId="685EC9C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Buxhet shteti</w:t>
            </w:r>
          </w:p>
        </w:tc>
      </w:tr>
      <w:tr w:rsidR="000A2254" w:rsidRPr="00B31292" w14:paraId="5A211CD5" w14:textId="77777777" w:rsidTr="000A2254">
        <w:trPr>
          <w:trHeight w:val="20"/>
        </w:trPr>
        <w:tc>
          <w:tcPr>
            <w:tcW w:w="215" w:type="pct"/>
            <w:tcBorders>
              <w:top w:val="nil"/>
              <w:left w:val="nil"/>
              <w:bottom w:val="nil"/>
              <w:right w:val="nil"/>
            </w:tcBorders>
            <w:shd w:val="clear" w:color="000000" w:fill="FFFFFF"/>
            <w:vAlign w:val="bottom"/>
            <w:hideMark/>
          </w:tcPr>
          <w:p w14:paraId="123B8F7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11FCA2D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single" w:sz="4" w:space="0" w:color="000000"/>
              <w:left w:val="single" w:sz="4" w:space="0" w:color="000000"/>
              <w:bottom w:val="single" w:sz="4" w:space="0" w:color="000000"/>
              <w:right w:val="nil"/>
            </w:tcBorders>
            <w:shd w:val="clear" w:color="000000" w:fill="F0F0F0"/>
            <w:vAlign w:val="center"/>
            <w:hideMark/>
          </w:tcPr>
          <w:p w14:paraId="24004303"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1.8</w:t>
            </w:r>
          </w:p>
        </w:tc>
        <w:tc>
          <w:tcPr>
            <w:tcW w:w="4416" w:type="pct"/>
            <w:gridSpan w:val="18"/>
            <w:tcBorders>
              <w:top w:val="single" w:sz="4" w:space="0" w:color="auto"/>
              <w:left w:val="single" w:sz="4" w:space="0" w:color="auto"/>
              <w:bottom w:val="single" w:sz="4" w:space="0" w:color="auto"/>
              <w:right w:val="single" w:sz="4" w:space="0" w:color="auto"/>
            </w:tcBorders>
            <w:shd w:val="clear" w:color="000000" w:fill="F0F0F0"/>
            <w:vAlign w:val="center"/>
            <w:hideMark/>
          </w:tcPr>
          <w:p w14:paraId="39179E4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Kultura</w:t>
            </w:r>
          </w:p>
        </w:tc>
      </w:tr>
      <w:tr w:rsidR="000A2254" w:rsidRPr="00B31292" w14:paraId="74C05A44" w14:textId="77777777" w:rsidTr="000A2254">
        <w:trPr>
          <w:trHeight w:val="20"/>
        </w:trPr>
        <w:tc>
          <w:tcPr>
            <w:tcW w:w="215" w:type="pct"/>
            <w:tcBorders>
              <w:top w:val="nil"/>
              <w:left w:val="nil"/>
              <w:bottom w:val="nil"/>
              <w:right w:val="nil"/>
            </w:tcBorders>
            <w:shd w:val="clear" w:color="000000" w:fill="FFFFFF"/>
            <w:vAlign w:val="bottom"/>
            <w:hideMark/>
          </w:tcPr>
          <w:p w14:paraId="435BF2F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3983E00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1336CD5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386FE65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single" w:sz="4" w:space="0" w:color="000000"/>
              <w:bottom w:val="single" w:sz="4" w:space="0" w:color="000000"/>
              <w:right w:val="single" w:sz="4" w:space="0" w:color="000000"/>
            </w:tcBorders>
            <w:shd w:val="clear" w:color="000000" w:fill="F0F0F0"/>
            <w:vAlign w:val="center"/>
            <w:hideMark/>
          </w:tcPr>
          <w:p w14:paraId="37E51EE7"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1.8.1</w:t>
            </w:r>
          </w:p>
        </w:tc>
        <w:tc>
          <w:tcPr>
            <w:tcW w:w="4082" w:type="pct"/>
            <w:gridSpan w:val="16"/>
            <w:tcBorders>
              <w:top w:val="nil"/>
              <w:left w:val="nil"/>
              <w:bottom w:val="single" w:sz="4" w:space="0" w:color="auto"/>
              <w:right w:val="single" w:sz="4" w:space="0" w:color="auto"/>
            </w:tcBorders>
            <w:shd w:val="clear" w:color="000000" w:fill="F0F0F0"/>
            <w:vAlign w:val="center"/>
            <w:hideMark/>
          </w:tcPr>
          <w:p w14:paraId="6BDF68B2" w14:textId="45A7A7E0"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Statistikat e </w:t>
            </w:r>
            <w:r w:rsidR="00E06236" w:rsidRPr="00B31292">
              <w:rPr>
                <w:rFonts w:ascii="Garamond" w:eastAsia="Times New Roman" w:hAnsi="Garamond" w:cs="Times New Roman"/>
                <w:color w:val="000000"/>
                <w:sz w:val="10"/>
                <w:szCs w:val="10"/>
              </w:rPr>
              <w:t>kulturës dhe sportit</w:t>
            </w:r>
          </w:p>
        </w:tc>
      </w:tr>
      <w:tr w:rsidR="000A2254" w:rsidRPr="00B31292" w14:paraId="19BBAFE2" w14:textId="77777777" w:rsidTr="000A2254">
        <w:trPr>
          <w:trHeight w:val="20"/>
        </w:trPr>
        <w:tc>
          <w:tcPr>
            <w:tcW w:w="215" w:type="pct"/>
            <w:tcBorders>
              <w:top w:val="nil"/>
              <w:left w:val="nil"/>
              <w:bottom w:val="nil"/>
              <w:right w:val="nil"/>
            </w:tcBorders>
            <w:shd w:val="clear" w:color="000000" w:fill="FFFFFF"/>
            <w:vAlign w:val="bottom"/>
            <w:hideMark/>
          </w:tcPr>
          <w:p w14:paraId="1253C83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33355E1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21669BD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7874CBD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33BCB6F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69C3327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000000"/>
              <w:bottom w:val="single" w:sz="4" w:space="0" w:color="000000"/>
              <w:right w:val="single" w:sz="4" w:space="0" w:color="000000"/>
            </w:tcBorders>
            <w:shd w:val="clear" w:color="auto" w:fill="auto"/>
            <w:vAlign w:val="center"/>
            <w:hideMark/>
          </w:tcPr>
          <w:p w14:paraId="0073BCD3"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1.8.1.1</w:t>
            </w:r>
          </w:p>
        </w:tc>
        <w:tc>
          <w:tcPr>
            <w:tcW w:w="281" w:type="pct"/>
            <w:tcBorders>
              <w:top w:val="nil"/>
              <w:left w:val="nil"/>
              <w:bottom w:val="single" w:sz="4" w:space="0" w:color="auto"/>
              <w:right w:val="single" w:sz="4" w:space="0" w:color="auto"/>
            </w:tcBorders>
            <w:shd w:val="clear" w:color="auto" w:fill="auto"/>
            <w:vAlign w:val="center"/>
            <w:hideMark/>
          </w:tcPr>
          <w:p w14:paraId="731FA9F7" w14:textId="05327760"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Statistika të institucioneve q</w:t>
            </w:r>
            <w:r w:rsidR="001C6DE3" w:rsidRPr="00B31292">
              <w:rPr>
                <w:rFonts w:ascii="Garamond" w:eastAsia="Times New Roman" w:hAnsi="Garamond" w:cs="Times New Roman"/>
                <w:sz w:val="10"/>
                <w:szCs w:val="10"/>
              </w:rPr>
              <w:t>e</w:t>
            </w:r>
            <w:r w:rsidRPr="00B31292">
              <w:rPr>
                <w:rFonts w:ascii="Garamond" w:eastAsia="Times New Roman" w:hAnsi="Garamond" w:cs="Times New Roman"/>
                <w:sz w:val="10"/>
                <w:szCs w:val="10"/>
              </w:rPr>
              <w:t>ndrore të artit dhe trashëgimisë kulturore</w:t>
            </w:r>
          </w:p>
        </w:tc>
        <w:tc>
          <w:tcPr>
            <w:tcW w:w="236" w:type="pct"/>
            <w:tcBorders>
              <w:top w:val="nil"/>
              <w:left w:val="nil"/>
              <w:bottom w:val="single" w:sz="4" w:space="0" w:color="auto"/>
              <w:right w:val="single" w:sz="4" w:space="0" w:color="auto"/>
            </w:tcBorders>
            <w:shd w:val="clear" w:color="auto" w:fill="auto"/>
            <w:vAlign w:val="center"/>
            <w:hideMark/>
          </w:tcPr>
          <w:p w14:paraId="20C8553B"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Burim administrativ</w:t>
            </w:r>
          </w:p>
        </w:tc>
        <w:tc>
          <w:tcPr>
            <w:tcW w:w="238" w:type="pct"/>
            <w:tcBorders>
              <w:top w:val="nil"/>
              <w:left w:val="nil"/>
              <w:bottom w:val="single" w:sz="4" w:space="0" w:color="auto"/>
              <w:right w:val="single" w:sz="4" w:space="0" w:color="auto"/>
            </w:tcBorders>
            <w:shd w:val="clear" w:color="auto" w:fill="auto"/>
            <w:noWrap/>
            <w:vAlign w:val="center"/>
            <w:hideMark/>
          </w:tcPr>
          <w:p w14:paraId="407A780C"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180" w:type="pct"/>
            <w:tcBorders>
              <w:top w:val="nil"/>
              <w:left w:val="nil"/>
              <w:bottom w:val="single" w:sz="4" w:space="0" w:color="auto"/>
              <w:right w:val="single" w:sz="4" w:space="0" w:color="auto"/>
            </w:tcBorders>
            <w:shd w:val="clear" w:color="auto" w:fill="auto"/>
            <w:noWrap/>
            <w:vAlign w:val="center"/>
            <w:hideMark/>
          </w:tcPr>
          <w:p w14:paraId="355C465E"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28" w:type="pct"/>
            <w:tcBorders>
              <w:top w:val="nil"/>
              <w:left w:val="nil"/>
              <w:bottom w:val="single" w:sz="4" w:space="0" w:color="000000"/>
              <w:right w:val="single" w:sz="4" w:space="0" w:color="000000"/>
            </w:tcBorders>
            <w:shd w:val="clear" w:color="auto" w:fill="auto"/>
            <w:vAlign w:val="center"/>
            <w:hideMark/>
          </w:tcPr>
          <w:p w14:paraId="30044E1B" w14:textId="17178DBC"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I </w:t>
            </w:r>
            <w:r w:rsidR="001C6DE3" w:rsidRPr="00B31292">
              <w:rPr>
                <w:rFonts w:ascii="Garamond" w:eastAsia="Times New Roman" w:hAnsi="Garamond" w:cs="Times New Roman"/>
                <w:color w:val="000000"/>
                <w:sz w:val="10"/>
                <w:szCs w:val="10"/>
              </w:rPr>
              <w:t>vazhdueshëm</w:t>
            </w:r>
          </w:p>
        </w:tc>
        <w:tc>
          <w:tcPr>
            <w:tcW w:w="222" w:type="pct"/>
            <w:tcBorders>
              <w:top w:val="nil"/>
              <w:left w:val="nil"/>
              <w:bottom w:val="single" w:sz="4" w:space="0" w:color="000000"/>
              <w:right w:val="single" w:sz="4" w:space="0" w:color="000000"/>
            </w:tcBorders>
            <w:shd w:val="clear" w:color="auto" w:fill="auto"/>
            <w:vAlign w:val="center"/>
            <w:hideMark/>
          </w:tcPr>
          <w:p w14:paraId="3035200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 Vjetor</w:t>
            </w:r>
          </w:p>
        </w:tc>
        <w:tc>
          <w:tcPr>
            <w:tcW w:w="486" w:type="pct"/>
            <w:tcBorders>
              <w:top w:val="nil"/>
              <w:left w:val="nil"/>
              <w:bottom w:val="single" w:sz="4" w:space="0" w:color="000000"/>
              <w:right w:val="single" w:sz="4" w:space="0" w:color="000000"/>
            </w:tcBorders>
            <w:shd w:val="clear" w:color="auto" w:fill="auto"/>
            <w:vAlign w:val="center"/>
            <w:hideMark/>
          </w:tcPr>
          <w:p w14:paraId="011970B4" w14:textId="6C462D31"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Numri i shfaqjeve në institucionet qendrore të artit</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 Numri i premierave në institucionet q</w:t>
            </w:r>
            <w:r w:rsidR="001C6DE3" w:rsidRPr="00B31292">
              <w:rPr>
                <w:rFonts w:ascii="Garamond" w:eastAsia="Times New Roman" w:hAnsi="Garamond" w:cs="Times New Roman"/>
                <w:color w:val="000000"/>
                <w:sz w:val="10"/>
                <w:szCs w:val="10"/>
              </w:rPr>
              <w:t>e</w:t>
            </w:r>
            <w:r w:rsidRPr="00B31292">
              <w:rPr>
                <w:rFonts w:ascii="Garamond" w:eastAsia="Times New Roman" w:hAnsi="Garamond" w:cs="Times New Roman"/>
                <w:color w:val="000000"/>
                <w:sz w:val="10"/>
                <w:szCs w:val="10"/>
              </w:rPr>
              <w:t>ndrore të artit</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3. Numri i spektatorëve në </w:t>
            </w:r>
            <w:r w:rsidR="001C6DE3" w:rsidRPr="00B31292">
              <w:rPr>
                <w:rFonts w:ascii="Garamond" w:eastAsia="Times New Roman" w:hAnsi="Garamond" w:cs="Times New Roman"/>
                <w:color w:val="000000"/>
                <w:sz w:val="10"/>
                <w:szCs w:val="10"/>
              </w:rPr>
              <w:t>institucionet</w:t>
            </w:r>
            <w:r w:rsidRPr="00B31292">
              <w:rPr>
                <w:rFonts w:ascii="Garamond" w:eastAsia="Times New Roman" w:hAnsi="Garamond" w:cs="Times New Roman"/>
                <w:color w:val="000000"/>
                <w:sz w:val="10"/>
                <w:szCs w:val="10"/>
              </w:rPr>
              <w:t xml:space="preserve"> q</w:t>
            </w:r>
            <w:r w:rsidR="001C6DE3" w:rsidRPr="00B31292">
              <w:rPr>
                <w:rFonts w:ascii="Garamond" w:eastAsia="Times New Roman" w:hAnsi="Garamond" w:cs="Times New Roman"/>
                <w:color w:val="000000"/>
                <w:sz w:val="10"/>
                <w:szCs w:val="10"/>
              </w:rPr>
              <w:t>e</w:t>
            </w:r>
            <w:r w:rsidRPr="00B31292">
              <w:rPr>
                <w:rFonts w:ascii="Garamond" w:eastAsia="Times New Roman" w:hAnsi="Garamond" w:cs="Times New Roman"/>
                <w:color w:val="000000"/>
                <w:sz w:val="10"/>
                <w:szCs w:val="10"/>
              </w:rPr>
              <w:t>ndrore të artit</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4. Numri i frekuentuesve në Bibliotekën kombëtare</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5. Numri i vizitorëv</w:t>
            </w:r>
            <w:r w:rsidR="001C6DE3" w:rsidRPr="00B31292">
              <w:rPr>
                <w:rFonts w:ascii="Garamond" w:eastAsia="Times New Roman" w:hAnsi="Garamond" w:cs="Times New Roman"/>
                <w:color w:val="000000"/>
                <w:sz w:val="10"/>
                <w:szCs w:val="10"/>
              </w:rPr>
              <w:t>e</w:t>
            </w:r>
            <w:r w:rsidRPr="00B31292">
              <w:rPr>
                <w:rFonts w:ascii="Garamond" w:eastAsia="Times New Roman" w:hAnsi="Garamond" w:cs="Times New Roman"/>
                <w:color w:val="000000"/>
                <w:sz w:val="10"/>
                <w:szCs w:val="10"/>
              </w:rPr>
              <w:t xml:space="preserve"> në parqe arkeologjike</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6. Numri i vizitorëve në muzetë kombëtarë</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7. Numri i vizitorëve në kalatë që administrohen nga Ministria e Kultu</w:t>
            </w:r>
            <w:r w:rsidR="001C6DE3" w:rsidRPr="00B31292">
              <w:rPr>
                <w:rFonts w:ascii="Garamond" w:eastAsia="Times New Roman" w:hAnsi="Garamond" w:cs="Times New Roman"/>
                <w:color w:val="000000"/>
                <w:sz w:val="10"/>
                <w:szCs w:val="10"/>
              </w:rPr>
              <w:t>r</w:t>
            </w:r>
            <w:r w:rsidRPr="00B31292">
              <w:rPr>
                <w:rFonts w:ascii="Garamond" w:eastAsia="Times New Roman" w:hAnsi="Garamond" w:cs="Times New Roman"/>
                <w:color w:val="000000"/>
                <w:sz w:val="10"/>
                <w:szCs w:val="10"/>
              </w:rPr>
              <w:t>ës</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8. Numri i monumenteve të futura në zona mbrojtëse</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9. Studentë të regjistruar në arsimin e lartë në fushat e studimit të lidhura me kulturën</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10. Përqindja e studentëve të regjistruar në fushat e kulturës ndaj totalit të regjistrimeve sipas gjinisë</w:t>
            </w:r>
            <w:r w:rsidR="00E06236" w:rsidRPr="00B31292">
              <w:rPr>
                <w:rFonts w:ascii="Garamond" w:eastAsia="Times New Roman" w:hAnsi="Garamond" w:cs="Times New Roman"/>
                <w:color w:val="000000"/>
                <w:sz w:val="10"/>
                <w:szCs w:val="10"/>
              </w:rPr>
              <w:t>.</w:t>
            </w:r>
          </w:p>
        </w:tc>
        <w:tc>
          <w:tcPr>
            <w:tcW w:w="299" w:type="pct"/>
            <w:tcBorders>
              <w:top w:val="nil"/>
              <w:left w:val="nil"/>
              <w:bottom w:val="single" w:sz="4" w:space="0" w:color="000000"/>
              <w:right w:val="nil"/>
            </w:tcBorders>
            <w:shd w:val="clear" w:color="auto" w:fill="auto"/>
            <w:vAlign w:val="center"/>
            <w:hideMark/>
          </w:tcPr>
          <w:p w14:paraId="48054E8E" w14:textId="701BF38A"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Instituti i Statistikave</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Ministria e Kulturës</w:t>
            </w:r>
          </w:p>
        </w:tc>
        <w:tc>
          <w:tcPr>
            <w:tcW w:w="224" w:type="pct"/>
            <w:tcBorders>
              <w:top w:val="nil"/>
              <w:left w:val="single" w:sz="4" w:space="0" w:color="auto"/>
              <w:bottom w:val="single" w:sz="4" w:space="0" w:color="auto"/>
              <w:right w:val="single" w:sz="4" w:space="0" w:color="auto"/>
            </w:tcBorders>
            <w:shd w:val="clear" w:color="auto" w:fill="auto"/>
            <w:vAlign w:val="center"/>
            <w:hideMark/>
          </w:tcPr>
          <w:p w14:paraId="0EA37B07" w14:textId="6D83B0A1"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E06236" w:rsidRPr="00B31292">
              <w:rPr>
                <w:rFonts w:ascii="Garamond" w:eastAsia="Times New Roman" w:hAnsi="Garamond" w:cs="Times New Roman"/>
                <w:color w:val="000000"/>
                <w:sz w:val="10"/>
                <w:szCs w:val="10"/>
              </w:rPr>
              <w:t>-i</w:t>
            </w:r>
          </w:p>
        </w:tc>
        <w:tc>
          <w:tcPr>
            <w:tcW w:w="244" w:type="pct"/>
            <w:tcBorders>
              <w:top w:val="nil"/>
              <w:left w:val="nil"/>
              <w:bottom w:val="single" w:sz="4" w:space="0" w:color="auto"/>
              <w:right w:val="single" w:sz="4" w:space="0" w:color="auto"/>
            </w:tcBorders>
            <w:shd w:val="clear" w:color="000000" w:fill="FFFFFF"/>
            <w:vAlign w:val="center"/>
            <w:hideMark/>
          </w:tcPr>
          <w:p w14:paraId="30B36787"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+ 154D</w:t>
            </w:r>
          </w:p>
        </w:tc>
        <w:tc>
          <w:tcPr>
            <w:tcW w:w="220" w:type="pct"/>
            <w:tcBorders>
              <w:top w:val="nil"/>
              <w:left w:val="nil"/>
              <w:bottom w:val="single" w:sz="4" w:space="0" w:color="auto"/>
              <w:right w:val="single" w:sz="4" w:space="0" w:color="auto"/>
            </w:tcBorders>
            <w:shd w:val="clear" w:color="000000" w:fill="FFFFFF"/>
            <w:vAlign w:val="center"/>
            <w:hideMark/>
          </w:tcPr>
          <w:p w14:paraId="6D97716B"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+ 174D</w:t>
            </w:r>
          </w:p>
        </w:tc>
        <w:tc>
          <w:tcPr>
            <w:tcW w:w="220" w:type="pct"/>
            <w:tcBorders>
              <w:top w:val="nil"/>
              <w:left w:val="nil"/>
              <w:bottom w:val="single" w:sz="4" w:space="0" w:color="auto"/>
              <w:right w:val="single" w:sz="4" w:space="0" w:color="auto"/>
            </w:tcBorders>
            <w:shd w:val="clear" w:color="000000" w:fill="FFFFFF"/>
            <w:vAlign w:val="center"/>
            <w:hideMark/>
          </w:tcPr>
          <w:p w14:paraId="65E70BBB"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+ 180D</w:t>
            </w:r>
          </w:p>
        </w:tc>
        <w:tc>
          <w:tcPr>
            <w:tcW w:w="346" w:type="pct"/>
            <w:tcBorders>
              <w:top w:val="nil"/>
              <w:left w:val="nil"/>
              <w:bottom w:val="single" w:sz="4" w:space="0" w:color="auto"/>
              <w:right w:val="single" w:sz="4" w:space="0" w:color="auto"/>
            </w:tcBorders>
            <w:shd w:val="clear" w:color="auto" w:fill="auto"/>
            <w:vAlign w:val="center"/>
            <w:hideMark/>
          </w:tcPr>
          <w:p w14:paraId="6BB9FA7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Vonesa në procesin e grumbullimit të të dhënave nga burimet administrative -|- 6</w:t>
            </w:r>
          </w:p>
        </w:tc>
        <w:tc>
          <w:tcPr>
            <w:tcW w:w="273" w:type="pct"/>
            <w:tcBorders>
              <w:top w:val="nil"/>
              <w:left w:val="nil"/>
              <w:bottom w:val="single" w:sz="4" w:space="0" w:color="auto"/>
              <w:right w:val="single" w:sz="4" w:space="0" w:color="auto"/>
            </w:tcBorders>
            <w:shd w:val="clear" w:color="auto" w:fill="auto"/>
            <w:vAlign w:val="center"/>
            <w:hideMark/>
          </w:tcPr>
          <w:p w14:paraId="58CBB3C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Buxhet shteti</w:t>
            </w:r>
          </w:p>
        </w:tc>
      </w:tr>
      <w:tr w:rsidR="000A2254" w:rsidRPr="00B31292" w14:paraId="7ED7CDA3" w14:textId="77777777" w:rsidTr="000A2254">
        <w:trPr>
          <w:trHeight w:val="20"/>
        </w:trPr>
        <w:tc>
          <w:tcPr>
            <w:tcW w:w="215" w:type="pct"/>
            <w:tcBorders>
              <w:top w:val="nil"/>
              <w:left w:val="nil"/>
              <w:bottom w:val="nil"/>
              <w:right w:val="nil"/>
            </w:tcBorders>
            <w:shd w:val="clear" w:color="000000" w:fill="FFFFFF"/>
            <w:vAlign w:val="bottom"/>
            <w:hideMark/>
          </w:tcPr>
          <w:p w14:paraId="5057307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3BEC1EE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6C694DB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1ED662B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21967B4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2503F00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auto"/>
              <w:bottom w:val="single" w:sz="4" w:space="0" w:color="auto"/>
              <w:right w:val="single" w:sz="4" w:space="0" w:color="auto"/>
            </w:tcBorders>
            <w:shd w:val="clear" w:color="000000" w:fill="FFFFFF"/>
            <w:vAlign w:val="center"/>
            <w:hideMark/>
          </w:tcPr>
          <w:p w14:paraId="231B9D26"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1.8.1.2</w:t>
            </w:r>
          </w:p>
        </w:tc>
        <w:tc>
          <w:tcPr>
            <w:tcW w:w="281" w:type="pct"/>
            <w:tcBorders>
              <w:top w:val="nil"/>
              <w:left w:val="nil"/>
              <w:bottom w:val="single" w:sz="4" w:space="0" w:color="auto"/>
              <w:right w:val="single" w:sz="4" w:space="0" w:color="auto"/>
            </w:tcBorders>
            <w:shd w:val="clear" w:color="000000" w:fill="FFFFFF"/>
            <w:vAlign w:val="center"/>
            <w:hideMark/>
          </w:tcPr>
          <w:p w14:paraId="7568908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Statistika të sportit</w:t>
            </w:r>
          </w:p>
        </w:tc>
        <w:tc>
          <w:tcPr>
            <w:tcW w:w="236" w:type="pct"/>
            <w:tcBorders>
              <w:top w:val="nil"/>
              <w:left w:val="nil"/>
              <w:bottom w:val="single" w:sz="4" w:space="0" w:color="auto"/>
              <w:right w:val="single" w:sz="4" w:space="0" w:color="auto"/>
            </w:tcBorders>
            <w:shd w:val="clear" w:color="000000" w:fill="FFFFFF"/>
            <w:vAlign w:val="center"/>
            <w:hideMark/>
          </w:tcPr>
          <w:p w14:paraId="477D36BA"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Burim administrativ</w:t>
            </w:r>
          </w:p>
        </w:tc>
        <w:tc>
          <w:tcPr>
            <w:tcW w:w="238" w:type="pct"/>
            <w:tcBorders>
              <w:top w:val="nil"/>
              <w:left w:val="nil"/>
              <w:bottom w:val="single" w:sz="4" w:space="0" w:color="auto"/>
              <w:right w:val="single" w:sz="4" w:space="0" w:color="auto"/>
            </w:tcBorders>
            <w:shd w:val="clear" w:color="000000" w:fill="FFFFFF"/>
            <w:noWrap/>
            <w:vAlign w:val="center"/>
            <w:hideMark/>
          </w:tcPr>
          <w:p w14:paraId="29A95384"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180" w:type="pct"/>
            <w:tcBorders>
              <w:top w:val="nil"/>
              <w:left w:val="nil"/>
              <w:bottom w:val="single" w:sz="4" w:space="0" w:color="auto"/>
              <w:right w:val="single" w:sz="4" w:space="0" w:color="auto"/>
            </w:tcBorders>
            <w:shd w:val="clear" w:color="000000" w:fill="FFFFFF"/>
            <w:noWrap/>
            <w:vAlign w:val="center"/>
            <w:hideMark/>
          </w:tcPr>
          <w:p w14:paraId="5FF5AF8A"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28" w:type="pct"/>
            <w:tcBorders>
              <w:top w:val="nil"/>
              <w:left w:val="nil"/>
              <w:bottom w:val="single" w:sz="4" w:space="0" w:color="000000"/>
              <w:right w:val="single" w:sz="4" w:space="0" w:color="000000"/>
            </w:tcBorders>
            <w:shd w:val="clear" w:color="auto" w:fill="auto"/>
            <w:vAlign w:val="center"/>
            <w:hideMark/>
          </w:tcPr>
          <w:p w14:paraId="6F5C3100" w14:textId="4318A591"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I </w:t>
            </w:r>
            <w:r w:rsidR="001C6DE3" w:rsidRPr="00B31292">
              <w:rPr>
                <w:rFonts w:ascii="Garamond" w:eastAsia="Times New Roman" w:hAnsi="Garamond" w:cs="Times New Roman"/>
                <w:color w:val="000000"/>
                <w:sz w:val="10"/>
                <w:szCs w:val="10"/>
              </w:rPr>
              <w:t>vazhdueshëm</w:t>
            </w:r>
          </w:p>
        </w:tc>
        <w:tc>
          <w:tcPr>
            <w:tcW w:w="222" w:type="pct"/>
            <w:tcBorders>
              <w:top w:val="nil"/>
              <w:left w:val="nil"/>
              <w:bottom w:val="single" w:sz="4" w:space="0" w:color="000000"/>
              <w:right w:val="single" w:sz="4" w:space="0" w:color="000000"/>
            </w:tcBorders>
            <w:shd w:val="clear" w:color="000000" w:fill="FFFFFF"/>
            <w:vAlign w:val="center"/>
            <w:hideMark/>
          </w:tcPr>
          <w:p w14:paraId="3ED0AE1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 Vjetor</w:t>
            </w:r>
          </w:p>
        </w:tc>
        <w:tc>
          <w:tcPr>
            <w:tcW w:w="486" w:type="pct"/>
            <w:tcBorders>
              <w:top w:val="nil"/>
              <w:left w:val="nil"/>
              <w:bottom w:val="nil"/>
              <w:right w:val="nil"/>
            </w:tcBorders>
            <w:shd w:val="clear" w:color="000000" w:fill="FFFFFF"/>
            <w:vAlign w:val="center"/>
            <w:hideMark/>
          </w:tcPr>
          <w:p w14:paraId="66B42B3B" w14:textId="4C95CF81"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Statistikat e Sportit</w:t>
            </w:r>
            <w:r w:rsidR="00E06236" w:rsidRPr="00B31292">
              <w:rPr>
                <w:rFonts w:ascii="Garamond" w:eastAsia="Times New Roman" w:hAnsi="Garamond" w:cs="Times New Roman"/>
                <w:color w:val="000000"/>
                <w:sz w:val="10"/>
                <w:szCs w:val="10"/>
              </w:rPr>
              <w:t>.</w:t>
            </w:r>
          </w:p>
        </w:tc>
        <w:tc>
          <w:tcPr>
            <w:tcW w:w="299" w:type="pct"/>
            <w:tcBorders>
              <w:top w:val="nil"/>
              <w:left w:val="single" w:sz="4" w:space="0" w:color="000000"/>
              <w:bottom w:val="single" w:sz="4" w:space="0" w:color="000000"/>
              <w:right w:val="nil"/>
            </w:tcBorders>
            <w:shd w:val="clear" w:color="000000" w:fill="FFFFFF"/>
            <w:vAlign w:val="center"/>
            <w:hideMark/>
          </w:tcPr>
          <w:p w14:paraId="28EB6614" w14:textId="7D5D59BE"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Instituti i Statistikave</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Ministria e Arsimit dhe Sportit</w:t>
            </w:r>
          </w:p>
        </w:tc>
        <w:tc>
          <w:tcPr>
            <w:tcW w:w="224" w:type="pct"/>
            <w:tcBorders>
              <w:top w:val="nil"/>
              <w:left w:val="single" w:sz="4" w:space="0" w:color="auto"/>
              <w:bottom w:val="single" w:sz="4" w:space="0" w:color="auto"/>
              <w:right w:val="single" w:sz="4" w:space="0" w:color="auto"/>
            </w:tcBorders>
            <w:shd w:val="clear" w:color="000000" w:fill="FFFFFF"/>
            <w:vAlign w:val="center"/>
            <w:hideMark/>
          </w:tcPr>
          <w:p w14:paraId="69B7D977" w14:textId="5B0FCDE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E06236" w:rsidRPr="00B31292">
              <w:rPr>
                <w:rFonts w:ascii="Garamond" w:eastAsia="Times New Roman" w:hAnsi="Garamond" w:cs="Times New Roman"/>
                <w:color w:val="000000"/>
                <w:sz w:val="10"/>
                <w:szCs w:val="10"/>
              </w:rPr>
              <w:t>-i</w:t>
            </w:r>
          </w:p>
        </w:tc>
        <w:tc>
          <w:tcPr>
            <w:tcW w:w="244" w:type="pct"/>
            <w:tcBorders>
              <w:top w:val="nil"/>
              <w:left w:val="nil"/>
              <w:bottom w:val="single" w:sz="4" w:space="0" w:color="auto"/>
              <w:right w:val="single" w:sz="4" w:space="0" w:color="auto"/>
            </w:tcBorders>
            <w:shd w:val="clear" w:color="000000" w:fill="FFFFFF"/>
            <w:vAlign w:val="center"/>
            <w:hideMark/>
          </w:tcPr>
          <w:p w14:paraId="4D1EA004"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+ 154D</w:t>
            </w:r>
          </w:p>
        </w:tc>
        <w:tc>
          <w:tcPr>
            <w:tcW w:w="220" w:type="pct"/>
            <w:tcBorders>
              <w:top w:val="nil"/>
              <w:left w:val="nil"/>
              <w:bottom w:val="single" w:sz="4" w:space="0" w:color="auto"/>
              <w:right w:val="single" w:sz="4" w:space="0" w:color="auto"/>
            </w:tcBorders>
            <w:shd w:val="clear" w:color="000000" w:fill="FFFFFF"/>
            <w:vAlign w:val="center"/>
            <w:hideMark/>
          </w:tcPr>
          <w:p w14:paraId="2AEDA7F9"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+ 174D</w:t>
            </w:r>
          </w:p>
        </w:tc>
        <w:tc>
          <w:tcPr>
            <w:tcW w:w="220" w:type="pct"/>
            <w:tcBorders>
              <w:top w:val="nil"/>
              <w:left w:val="nil"/>
              <w:bottom w:val="single" w:sz="4" w:space="0" w:color="auto"/>
              <w:right w:val="single" w:sz="4" w:space="0" w:color="auto"/>
            </w:tcBorders>
            <w:shd w:val="clear" w:color="000000" w:fill="FFFFFF"/>
            <w:vAlign w:val="center"/>
            <w:hideMark/>
          </w:tcPr>
          <w:p w14:paraId="7A51D239"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+ 180D</w:t>
            </w:r>
          </w:p>
        </w:tc>
        <w:tc>
          <w:tcPr>
            <w:tcW w:w="346" w:type="pct"/>
            <w:tcBorders>
              <w:top w:val="nil"/>
              <w:left w:val="nil"/>
              <w:bottom w:val="single" w:sz="4" w:space="0" w:color="auto"/>
              <w:right w:val="single" w:sz="4" w:space="0" w:color="auto"/>
            </w:tcBorders>
            <w:shd w:val="clear" w:color="000000" w:fill="FFFFFF"/>
            <w:vAlign w:val="center"/>
            <w:hideMark/>
          </w:tcPr>
          <w:p w14:paraId="2FFABB9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Vonesa në procesin e grumbullimit të të dhënave nga burimet administrative -|- 6</w:t>
            </w:r>
          </w:p>
        </w:tc>
        <w:tc>
          <w:tcPr>
            <w:tcW w:w="273" w:type="pct"/>
            <w:tcBorders>
              <w:top w:val="nil"/>
              <w:left w:val="nil"/>
              <w:bottom w:val="single" w:sz="4" w:space="0" w:color="auto"/>
              <w:right w:val="single" w:sz="4" w:space="0" w:color="auto"/>
            </w:tcBorders>
            <w:shd w:val="clear" w:color="000000" w:fill="FFFFFF"/>
            <w:vAlign w:val="center"/>
            <w:hideMark/>
          </w:tcPr>
          <w:p w14:paraId="40FB2C1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Buxhet shteti</w:t>
            </w:r>
          </w:p>
        </w:tc>
      </w:tr>
      <w:tr w:rsidR="000A2254" w:rsidRPr="00B31292" w14:paraId="57BD2F14" w14:textId="77777777" w:rsidTr="000A2254">
        <w:trPr>
          <w:trHeight w:val="20"/>
        </w:trPr>
        <w:tc>
          <w:tcPr>
            <w:tcW w:w="215" w:type="pct"/>
            <w:tcBorders>
              <w:top w:val="nil"/>
              <w:left w:val="nil"/>
              <w:bottom w:val="nil"/>
              <w:right w:val="nil"/>
            </w:tcBorders>
            <w:shd w:val="clear" w:color="000000" w:fill="FFFFFF"/>
            <w:vAlign w:val="bottom"/>
            <w:hideMark/>
          </w:tcPr>
          <w:p w14:paraId="37F8F18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lastRenderedPageBreak/>
              <w:t> </w:t>
            </w:r>
          </w:p>
        </w:tc>
        <w:tc>
          <w:tcPr>
            <w:tcW w:w="215" w:type="pct"/>
            <w:tcBorders>
              <w:top w:val="nil"/>
              <w:left w:val="nil"/>
              <w:bottom w:val="nil"/>
              <w:right w:val="nil"/>
            </w:tcBorders>
            <w:shd w:val="clear" w:color="000000" w:fill="FFFFFF"/>
            <w:vAlign w:val="bottom"/>
            <w:hideMark/>
          </w:tcPr>
          <w:p w14:paraId="6455D57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4BEB8D9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26A31B9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5A664BD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21795F9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000000"/>
              <w:bottom w:val="single" w:sz="4" w:space="0" w:color="000000"/>
              <w:right w:val="single" w:sz="4" w:space="0" w:color="000000"/>
            </w:tcBorders>
            <w:shd w:val="clear" w:color="auto" w:fill="auto"/>
            <w:vAlign w:val="center"/>
            <w:hideMark/>
          </w:tcPr>
          <w:p w14:paraId="4854D276"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1.8.1.3</w:t>
            </w:r>
          </w:p>
        </w:tc>
        <w:tc>
          <w:tcPr>
            <w:tcW w:w="281" w:type="pct"/>
            <w:tcBorders>
              <w:top w:val="nil"/>
              <w:left w:val="nil"/>
              <w:bottom w:val="single" w:sz="4" w:space="0" w:color="auto"/>
              <w:right w:val="single" w:sz="4" w:space="0" w:color="auto"/>
            </w:tcBorders>
            <w:shd w:val="clear" w:color="000000" w:fill="FFFFFF"/>
            <w:vAlign w:val="center"/>
            <w:hideMark/>
          </w:tcPr>
          <w:p w14:paraId="791AD1F4"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Statistika të kulturës nga vrojtimet sociale në INSTAT</w:t>
            </w:r>
          </w:p>
        </w:tc>
        <w:tc>
          <w:tcPr>
            <w:tcW w:w="236" w:type="pct"/>
            <w:tcBorders>
              <w:top w:val="nil"/>
              <w:left w:val="nil"/>
              <w:bottom w:val="single" w:sz="4" w:space="0" w:color="auto"/>
              <w:right w:val="single" w:sz="4" w:space="0" w:color="auto"/>
            </w:tcBorders>
            <w:shd w:val="clear" w:color="000000" w:fill="FFFFFF"/>
            <w:vAlign w:val="center"/>
            <w:hideMark/>
          </w:tcPr>
          <w:p w14:paraId="14F57CB9"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Kombinim i burimeve administrative dhe vrojtimeve (LFS, TIK)</w:t>
            </w:r>
          </w:p>
        </w:tc>
        <w:tc>
          <w:tcPr>
            <w:tcW w:w="238" w:type="pct"/>
            <w:tcBorders>
              <w:top w:val="nil"/>
              <w:left w:val="nil"/>
              <w:bottom w:val="single" w:sz="4" w:space="0" w:color="auto"/>
              <w:right w:val="single" w:sz="4" w:space="0" w:color="auto"/>
            </w:tcBorders>
            <w:shd w:val="clear" w:color="000000" w:fill="FFFFFF"/>
            <w:noWrap/>
            <w:vAlign w:val="center"/>
            <w:hideMark/>
          </w:tcPr>
          <w:p w14:paraId="28BE7B15"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50%</w:t>
            </w:r>
          </w:p>
        </w:tc>
        <w:tc>
          <w:tcPr>
            <w:tcW w:w="180" w:type="pct"/>
            <w:tcBorders>
              <w:top w:val="nil"/>
              <w:left w:val="nil"/>
              <w:bottom w:val="single" w:sz="4" w:space="0" w:color="auto"/>
              <w:right w:val="single" w:sz="4" w:space="0" w:color="auto"/>
            </w:tcBorders>
            <w:shd w:val="clear" w:color="000000" w:fill="FFFFFF"/>
            <w:noWrap/>
            <w:vAlign w:val="center"/>
            <w:hideMark/>
          </w:tcPr>
          <w:p w14:paraId="2E849F1C"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50%</w:t>
            </w:r>
          </w:p>
        </w:tc>
        <w:tc>
          <w:tcPr>
            <w:tcW w:w="228" w:type="pct"/>
            <w:tcBorders>
              <w:top w:val="nil"/>
              <w:left w:val="nil"/>
              <w:bottom w:val="single" w:sz="4" w:space="0" w:color="auto"/>
              <w:right w:val="single" w:sz="4" w:space="0" w:color="auto"/>
            </w:tcBorders>
            <w:shd w:val="clear" w:color="auto" w:fill="auto"/>
            <w:vAlign w:val="center"/>
            <w:hideMark/>
          </w:tcPr>
          <w:p w14:paraId="30D8BDC7"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tcBorders>
              <w:top w:val="nil"/>
              <w:left w:val="nil"/>
              <w:bottom w:val="single" w:sz="4" w:space="0" w:color="000000"/>
              <w:right w:val="single" w:sz="4" w:space="0" w:color="000000"/>
            </w:tcBorders>
            <w:shd w:val="clear" w:color="auto" w:fill="auto"/>
            <w:vAlign w:val="center"/>
            <w:hideMark/>
          </w:tcPr>
          <w:p w14:paraId="05F5558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 Vjetor</w:t>
            </w:r>
          </w:p>
        </w:tc>
        <w:tc>
          <w:tcPr>
            <w:tcW w:w="486" w:type="pct"/>
            <w:tcBorders>
              <w:top w:val="single" w:sz="4" w:space="0" w:color="auto"/>
              <w:left w:val="nil"/>
              <w:bottom w:val="single" w:sz="4" w:space="0" w:color="auto"/>
              <w:right w:val="single" w:sz="4" w:space="0" w:color="auto"/>
            </w:tcBorders>
            <w:shd w:val="clear" w:color="auto" w:fill="auto"/>
            <w:vAlign w:val="center"/>
            <w:hideMark/>
          </w:tcPr>
          <w:p w14:paraId="2FDE2A61" w14:textId="656BC6D9"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Përdorimi i internetit për qëllime kulturore sipas gjinisë (në %)</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 Përdorimi i internetit për qëllime kulturore sipas grup</w:t>
            </w:r>
            <w:r w:rsidR="00DE6C3C"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moshës 2020 (në %)</w:t>
            </w:r>
            <w:r w:rsidR="00E06236" w:rsidRPr="00B31292">
              <w:rPr>
                <w:rFonts w:ascii="Garamond" w:eastAsia="Times New Roman" w:hAnsi="Garamond" w:cs="Times New Roman"/>
                <w:color w:val="000000"/>
                <w:sz w:val="10"/>
                <w:szCs w:val="10"/>
              </w:rPr>
              <w:t>.</w:t>
            </w:r>
          </w:p>
        </w:tc>
        <w:tc>
          <w:tcPr>
            <w:tcW w:w="299" w:type="pct"/>
            <w:tcBorders>
              <w:top w:val="nil"/>
              <w:left w:val="nil"/>
              <w:bottom w:val="single" w:sz="4" w:space="0" w:color="000000"/>
              <w:right w:val="nil"/>
            </w:tcBorders>
            <w:shd w:val="clear" w:color="auto" w:fill="auto"/>
            <w:vAlign w:val="center"/>
            <w:hideMark/>
          </w:tcPr>
          <w:p w14:paraId="790C9005" w14:textId="0148D2E0"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Instituti i Statistikave</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Ministria e Kulturës</w:t>
            </w:r>
          </w:p>
        </w:tc>
        <w:tc>
          <w:tcPr>
            <w:tcW w:w="224" w:type="pct"/>
            <w:tcBorders>
              <w:top w:val="nil"/>
              <w:left w:val="single" w:sz="4" w:space="0" w:color="auto"/>
              <w:bottom w:val="single" w:sz="4" w:space="0" w:color="auto"/>
              <w:right w:val="single" w:sz="4" w:space="0" w:color="auto"/>
            </w:tcBorders>
            <w:shd w:val="clear" w:color="auto" w:fill="auto"/>
            <w:vAlign w:val="center"/>
            <w:hideMark/>
          </w:tcPr>
          <w:p w14:paraId="71FE0646" w14:textId="268D94B9"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E06236" w:rsidRPr="00B31292">
              <w:rPr>
                <w:rFonts w:ascii="Garamond" w:eastAsia="Times New Roman" w:hAnsi="Garamond" w:cs="Times New Roman"/>
                <w:color w:val="000000"/>
                <w:sz w:val="10"/>
                <w:szCs w:val="10"/>
              </w:rPr>
              <w:t>-i</w:t>
            </w:r>
          </w:p>
        </w:tc>
        <w:tc>
          <w:tcPr>
            <w:tcW w:w="244" w:type="pct"/>
            <w:tcBorders>
              <w:top w:val="nil"/>
              <w:left w:val="nil"/>
              <w:bottom w:val="single" w:sz="4" w:space="0" w:color="auto"/>
              <w:right w:val="single" w:sz="4" w:space="0" w:color="auto"/>
            </w:tcBorders>
            <w:shd w:val="clear" w:color="000000" w:fill="FFFFFF"/>
            <w:vAlign w:val="center"/>
            <w:hideMark/>
          </w:tcPr>
          <w:p w14:paraId="3943B260"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+ 154D</w:t>
            </w:r>
          </w:p>
        </w:tc>
        <w:tc>
          <w:tcPr>
            <w:tcW w:w="220" w:type="pct"/>
            <w:tcBorders>
              <w:top w:val="nil"/>
              <w:left w:val="nil"/>
              <w:bottom w:val="single" w:sz="4" w:space="0" w:color="auto"/>
              <w:right w:val="single" w:sz="4" w:space="0" w:color="auto"/>
            </w:tcBorders>
            <w:shd w:val="clear" w:color="000000" w:fill="FFFFFF"/>
            <w:vAlign w:val="center"/>
            <w:hideMark/>
          </w:tcPr>
          <w:p w14:paraId="751EEBF5"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+ 174D</w:t>
            </w:r>
          </w:p>
        </w:tc>
        <w:tc>
          <w:tcPr>
            <w:tcW w:w="220" w:type="pct"/>
            <w:tcBorders>
              <w:top w:val="nil"/>
              <w:left w:val="nil"/>
              <w:bottom w:val="single" w:sz="4" w:space="0" w:color="auto"/>
              <w:right w:val="single" w:sz="4" w:space="0" w:color="auto"/>
            </w:tcBorders>
            <w:shd w:val="clear" w:color="000000" w:fill="FFFFFF"/>
            <w:vAlign w:val="center"/>
            <w:hideMark/>
          </w:tcPr>
          <w:p w14:paraId="3E4F031A"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+ 180D</w:t>
            </w:r>
          </w:p>
        </w:tc>
        <w:tc>
          <w:tcPr>
            <w:tcW w:w="346" w:type="pct"/>
            <w:tcBorders>
              <w:top w:val="nil"/>
              <w:left w:val="nil"/>
              <w:bottom w:val="single" w:sz="4" w:space="0" w:color="auto"/>
              <w:right w:val="single" w:sz="4" w:space="0" w:color="auto"/>
            </w:tcBorders>
            <w:shd w:val="clear" w:color="auto" w:fill="auto"/>
            <w:vAlign w:val="center"/>
            <w:hideMark/>
          </w:tcPr>
          <w:p w14:paraId="7836C1E7"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Vonesa në procesin e grumbullimit të të dhënave nga burimet administrative -|- 6</w:t>
            </w:r>
          </w:p>
        </w:tc>
        <w:tc>
          <w:tcPr>
            <w:tcW w:w="273" w:type="pct"/>
            <w:tcBorders>
              <w:top w:val="nil"/>
              <w:left w:val="nil"/>
              <w:bottom w:val="single" w:sz="4" w:space="0" w:color="auto"/>
              <w:right w:val="single" w:sz="4" w:space="0" w:color="auto"/>
            </w:tcBorders>
            <w:shd w:val="clear" w:color="auto" w:fill="auto"/>
            <w:vAlign w:val="center"/>
            <w:hideMark/>
          </w:tcPr>
          <w:p w14:paraId="67B9A35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Buxhet shteti</w:t>
            </w:r>
          </w:p>
        </w:tc>
      </w:tr>
      <w:tr w:rsidR="000A2254" w:rsidRPr="00B31292" w14:paraId="167D9710" w14:textId="77777777" w:rsidTr="000A2254">
        <w:trPr>
          <w:trHeight w:val="20"/>
        </w:trPr>
        <w:tc>
          <w:tcPr>
            <w:tcW w:w="215" w:type="pct"/>
            <w:tcBorders>
              <w:top w:val="nil"/>
              <w:left w:val="nil"/>
              <w:bottom w:val="nil"/>
              <w:right w:val="nil"/>
            </w:tcBorders>
            <w:shd w:val="clear" w:color="000000" w:fill="FFFFFF"/>
            <w:vAlign w:val="bottom"/>
            <w:hideMark/>
          </w:tcPr>
          <w:p w14:paraId="0FC3FB9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6C989EB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360D7C7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3E6BCA1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4835131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372B77A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000000"/>
              <w:bottom w:val="nil"/>
              <w:right w:val="single" w:sz="4" w:space="0" w:color="000000"/>
            </w:tcBorders>
            <w:shd w:val="clear" w:color="auto" w:fill="auto"/>
            <w:vAlign w:val="center"/>
            <w:hideMark/>
          </w:tcPr>
          <w:p w14:paraId="199966DC"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1.8.1.4</w:t>
            </w:r>
          </w:p>
        </w:tc>
        <w:tc>
          <w:tcPr>
            <w:tcW w:w="281" w:type="pct"/>
            <w:tcBorders>
              <w:top w:val="nil"/>
              <w:left w:val="nil"/>
              <w:bottom w:val="single" w:sz="4" w:space="0" w:color="auto"/>
              <w:right w:val="single" w:sz="4" w:space="0" w:color="auto"/>
            </w:tcBorders>
            <w:shd w:val="clear" w:color="000000" w:fill="FFFFFF"/>
            <w:vAlign w:val="center"/>
            <w:hideMark/>
          </w:tcPr>
          <w:p w14:paraId="2D0BB3B4"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Statistika të kulturës nga vrojtimet ekonomike në INSTAT</w:t>
            </w:r>
          </w:p>
        </w:tc>
        <w:tc>
          <w:tcPr>
            <w:tcW w:w="236" w:type="pct"/>
            <w:tcBorders>
              <w:top w:val="nil"/>
              <w:left w:val="nil"/>
              <w:bottom w:val="single" w:sz="4" w:space="0" w:color="auto"/>
              <w:right w:val="single" w:sz="4" w:space="0" w:color="auto"/>
            </w:tcBorders>
            <w:shd w:val="clear" w:color="000000" w:fill="FFFFFF"/>
            <w:vAlign w:val="center"/>
            <w:hideMark/>
          </w:tcPr>
          <w:p w14:paraId="34F9D98E"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Kombinim i burimeve administrative dhe vrojtimeve (ICK)</w:t>
            </w:r>
          </w:p>
        </w:tc>
        <w:tc>
          <w:tcPr>
            <w:tcW w:w="238" w:type="pct"/>
            <w:tcBorders>
              <w:top w:val="nil"/>
              <w:left w:val="nil"/>
              <w:bottom w:val="single" w:sz="4" w:space="0" w:color="auto"/>
              <w:right w:val="single" w:sz="4" w:space="0" w:color="auto"/>
            </w:tcBorders>
            <w:shd w:val="clear" w:color="000000" w:fill="FFFFFF"/>
            <w:noWrap/>
            <w:vAlign w:val="center"/>
            <w:hideMark/>
          </w:tcPr>
          <w:p w14:paraId="701BFC44"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50%</w:t>
            </w:r>
          </w:p>
        </w:tc>
        <w:tc>
          <w:tcPr>
            <w:tcW w:w="180" w:type="pct"/>
            <w:tcBorders>
              <w:top w:val="nil"/>
              <w:left w:val="nil"/>
              <w:bottom w:val="single" w:sz="4" w:space="0" w:color="auto"/>
              <w:right w:val="single" w:sz="4" w:space="0" w:color="auto"/>
            </w:tcBorders>
            <w:shd w:val="clear" w:color="000000" w:fill="FFFFFF"/>
            <w:noWrap/>
            <w:vAlign w:val="center"/>
            <w:hideMark/>
          </w:tcPr>
          <w:p w14:paraId="7CA9BB2E"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50%</w:t>
            </w:r>
          </w:p>
        </w:tc>
        <w:tc>
          <w:tcPr>
            <w:tcW w:w="228" w:type="pct"/>
            <w:tcBorders>
              <w:top w:val="nil"/>
              <w:left w:val="nil"/>
              <w:bottom w:val="single" w:sz="4" w:space="0" w:color="auto"/>
              <w:right w:val="single" w:sz="4" w:space="0" w:color="auto"/>
            </w:tcBorders>
            <w:shd w:val="clear" w:color="auto" w:fill="auto"/>
            <w:vAlign w:val="center"/>
            <w:hideMark/>
          </w:tcPr>
          <w:p w14:paraId="167EC4E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tcBorders>
              <w:top w:val="nil"/>
              <w:left w:val="nil"/>
              <w:bottom w:val="nil"/>
              <w:right w:val="single" w:sz="4" w:space="0" w:color="000000"/>
            </w:tcBorders>
            <w:shd w:val="clear" w:color="auto" w:fill="auto"/>
            <w:vAlign w:val="center"/>
            <w:hideMark/>
          </w:tcPr>
          <w:p w14:paraId="1855A39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Vjetor</w:t>
            </w:r>
          </w:p>
        </w:tc>
        <w:tc>
          <w:tcPr>
            <w:tcW w:w="486" w:type="pct"/>
            <w:tcBorders>
              <w:top w:val="nil"/>
              <w:left w:val="nil"/>
              <w:bottom w:val="nil"/>
              <w:right w:val="single" w:sz="4" w:space="0" w:color="auto"/>
            </w:tcBorders>
            <w:shd w:val="clear" w:color="auto" w:fill="auto"/>
            <w:vAlign w:val="center"/>
            <w:hideMark/>
          </w:tcPr>
          <w:p w14:paraId="2872D757" w14:textId="28363C8C"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Punësimi në kulturë sipas gjinisë (në %)</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 Përqindja që zënë të rinjtë 15</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29 vjeç në punësimin në kulturë dhe në punësimin gjithsej</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 Shpërndarja e punësimit gjithsej dhe punësimit në kulturë sipas nivelit arsimor (në %)</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4. Indeksi i harmonizuar i çmimeve të konsumit për disa mallra dhe shërbime kulturore</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5. Ndryshimi vjetor në përqindje i indeksit të harmonizuar të çmimeve të konsumit për disa mallra dhe shërbime kulturore</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6. Shpenzimet publike për argëtim, kulturë dhe çështje fetare (në %)</w:t>
            </w:r>
            <w:r w:rsidR="00E06236" w:rsidRPr="00B31292">
              <w:rPr>
                <w:rFonts w:ascii="Garamond" w:eastAsia="Times New Roman" w:hAnsi="Garamond" w:cs="Times New Roman"/>
                <w:color w:val="000000"/>
                <w:sz w:val="10"/>
                <w:szCs w:val="10"/>
              </w:rPr>
              <w:t>.</w:t>
            </w:r>
          </w:p>
        </w:tc>
        <w:tc>
          <w:tcPr>
            <w:tcW w:w="299" w:type="pct"/>
            <w:tcBorders>
              <w:top w:val="nil"/>
              <w:left w:val="nil"/>
              <w:bottom w:val="nil"/>
              <w:right w:val="nil"/>
            </w:tcBorders>
            <w:shd w:val="clear" w:color="auto" w:fill="auto"/>
            <w:vAlign w:val="center"/>
            <w:hideMark/>
          </w:tcPr>
          <w:p w14:paraId="58BBF082" w14:textId="61CE90CC"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Instituti i Statistikave</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Ministria e Kulturës</w:t>
            </w:r>
          </w:p>
        </w:tc>
        <w:tc>
          <w:tcPr>
            <w:tcW w:w="224" w:type="pct"/>
            <w:tcBorders>
              <w:top w:val="nil"/>
              <w:left w:val="single" w:sz="4" w:space="0" w:color="auto"/>
              <w:bottom w:val="nil"/>
              <w:right w:val="single" w:sz="4" w:space="0" w:color="auto"/>
            </w:tcBorders>
            <w:shd w:val="clear" w:color="auto" w:fill="auto"/>
            <w:vAlign w:val="center"/>
            <w:hideMark/>
          </w:tcPr>
          <w:p w14:paraId="3D068524" w14:textId="3561A0AA"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E06236" w:rsidRPr="00B31292">
              <w:rPr>
                <w:rFonts w:ascii="Garamond" w:eastAsia="Times New Roman" w:hAnsi="Garamond" w:cs="Times New Roman"/>
                <w:color w:val="000000"/>
                <w:sz w:val="10"/>
                <w:szCs w:val="10"/>
              </w:rPr>
              <w:t>-i</w:t>
            </w:r>
          </w:p>
        </w:tc>
        <w:tc>
          <w:tcPr>
            <w:tcW w:w="244" w:type="pct"/>
            <w:tcBorders>
              <w:top w:val="nil"/>
              <w:left w:val="nil"/>
              <w:bottom w:val="single" w:sz="4" w:space="0" w:color="auto"/>
              <w:right w:val="single" w:sz="4" w:space="0" w:color="auto"/>
            </w:tcBorders>
            <w:shd w:val="clear" w:color="000000" w:fill="FFFFFF"/>
            <w:vAlign w:val="center"/>
            <w:hideMark/>
          </w:tcPr>
          <w:p w14:paraId="3E2E8EB8"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+ 122D</w:t>
            </w:r>
          </w:p>
        </w:tc>
        <w:tc>
          <w:tcPr>
            <w:tcW w:w="220" w:type="pct"/>
            <w:tcBorders>
              <w:top w:val="nil"/>
              <w:left w:val="nil"/>
              <w:bottom w:val="single" w:sz="4" w:space="0" w:color="auto"/>
              <w:right w:val="single" w:sz="4" w:space="0" w:color="auto"/>
            </w:tcBorders>
            <w:shd w:val="clear" w:color="000000" w:fill="FFFFFF"/>
            <w:vAlign w:val="center"/>
            <w:hideMark/>
          </w:tcPr>
          <w:p w14:paraId="1B25FE1D"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+ 154D</w:t>
            </w:r>
          </w:p>
        </w:tc>
        <w:tc>
          <w:tcPr>
            <w:tcW w:w="220" w:type="pct"/>
            <w:tcBorders>
              <w:top w:val="nil"/>
              <w:left w:val="nil"/>
              <w:bottom w:val="single" w:sz="4" w:space="0" w:color="auto"/>
              <w:right w:val="single" w:sz="4" w:space="0" w:color="auto"/>
            </w:tcBorders>
            <w:shd w:val="clear" w:color="000000" w:fill="FFFFFF"/>
            <w:vAlign w:val="center"/>
            <w:hideMark/>
          </w:tcPr>
          <w:p w14:paraId="1B926D23"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+ 180D</w:t>
            </w:r>
          </w:p>
        </w:tc>
        <w:tc>
          <w:tcPr>
            <w:tcW w:w="346" w:type="pct"/>
            <w:tcBorders>
              <w:top w:val="nil"/>
              <w:left w:val="nil"/>
              <w:bottom w:val="single" w:sz="4" w:space="0" w:color="auto"/>
              <w:right w:val="single" w:sz="4" w:space="0" w:color="auto"/>
            </w:tcBorders>
            <w:shd w:val="clear" w:color="auto" w:fill="auto"/>
            <w:vAlign w:val="center"/>
            <w:hideMark/>
          </w:tcPr>
          <w:p w14:paraId="5B719FF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Vonesa në procesin e grumbullimit të të dhënave nga burimet administrative -|- 6</w:t>
            </w:r>
          </w:p>
        </w:tc>
        <w:tc>
          <w:tcPr>
            <w:tcW w:w="273" w:type="pct"/>
            <w:tcBorders>
              <w:top w:val="nil"/>
              <w:left w:val="nil"/>
              <w:bottom w:val="single" w:sz="4" w:space="0" w:color="auto"/>
              <w:right w:val="single" w:sz="4" w:space="0" w:color="auto"/>
            </w:tcBorders>
            <w:shd w:val="clear" w:color="auto" w:fill="auto"/>
            <w:vAlign w:val="center"/>
            <w:hideMark/>
          </w:tcPr>
          <w:p w14:paraId="3111E4A7"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Buxhet shteti</w:t>
            </w:r>
          </w:p>
        </w:tc>
      </w:tr>
      <w:tr w:rsidR="000A2254" w:rsidRPr="00B31292" w14:paraId="4AA63274" w14:textId="77777777" w:rsidTr="000A2254">
        <w:trPr>
          <w:trHeight w:val="20"/>
        </w:trPr>
        <w:tc>
          <w:tcPr>
            <w:tcW w:w="215" w:type="pct"/>
            <w:tcBorders>
              <w:top w:val="single" w:sz="4" w:space="0" w:color="000000"/>
              <w:left w:val="single" w:sz="4" w:space="0" w:color="000000"/>
              <w:bottom w:val="single" w:sz="4" w:space="0" w:color="000000"/>
              <w:right w:val="nil"/>
            </w:tcBorders>
            <w:shd w:val="clear" w:color="000000" w:fill="F0F0F0"/>
            <w:vAlign w:val="center"/>
            <w:hideMark/>
          </w:tcPr>
          <w:p w14:paraId="6B1903B9"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2</w:t>
            </w:r>
          </w:p>
        </w:tc>
        <w:tc>
          <w:tcPr>
            <w:tcW w:w="4785" w:type="pct"/>
            <w:gridSpan w:val="20"/>
            <w:tcBorders>
              <w:top w:val="single" w:sz="4" w:space="0" w:color="auto"/>
              <w:left w:val="single" w:sz="4" w:space="0" w:color="auto"/>
              <w:bottom w:val="single" w:sz="4" w:space="0" w:color="auto"/>
              <w:right w:val="single" w:sz="4" w:space="0" w:color="auto"/>
            </w:tcBorders>
            <w:shd w:val="clear" w:color="000000" w:fill="F0F0F0"/>
            <w:vAlign w:val="center"/>
            <w:hideMark/>
          </w:tcPr>
          <w:p w14:paraId="39B0B1E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Statistika Ekonomike</w:t>
            </w:r>
          </w:p>
        </w:tc>
      </w:tr>
      <w:tr w:rsidR="000A2254" w:rsidRPr="00B31292" w14:paraId="3BFC33B6" w14:textId="77777777" w:rsidTr="000A2254">
        <w:trPr>
          <w:trHeight w:val="20"/>
        </w:trPr>
        <w:tc>
          <w:tcPr>
            <w:tcW w:w="215" w:type="pct"/>
            <w:tcBorders>
              <w:top w:val="nil"/>
              <w:left w:val="nil"/>
              <w:bottom w:val="nil"/>
              <w:right w:val="nil"/>
            </w:tcBorders>
            <w:shd w:val="clear" w:color="000000" w:fill="FFFFFF"/>
            <w:vAlign w:val="bottom"/>
            <w:hideMark/>
          </w:tcPr>
          <w:p w14:paraId="64EA5AD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0DAAD32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single" w:sz="4" w:space="0" w:color="000000"/>
              <w:bottom w:val="single" w:sz="4" w:space="0" w:color="000000"/>
              <w:right w:val="nil"/>
            </w:tcBorders>
            <w:shd w:val="clear" w:color="000000" w:fill="F0F0F0"/>
            <w:vAlign w:val="center"/>
            <w:hideMark/>
          </w:tcPr>
          <w:p w14:paraId="6D724C3D"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2.1</w:t>
            </w:r>
          </w:p>
        </w:tc>
        <w:tc>
          <w:tcPr>
            <w:tcW w:w="4416" w:type="pct"/>
            <w:gridSpan w:val="18"/>
            <w:tcBorders>
              <w:top w:val="single" w:sz="4" w:space="0" w:color="auto"/>
              <w:left w:val="single" w:sz="4" w:space="0" w:color="auto"/>
              <w:bottom w:val="single" w:sz="4" w:space="0" w:color="auto"/>
              <w:right w:val="single" w:sz="4" w:space="0" w:color="auto"/>
            </w:tcBorders>
            <w:shd w:val="clear" w:color="000000" w:fill="F0F0F0"/>
            <w:vAlign w:val="center"/>
            <w:hideMark/>
          </w:tcPr>
          <w:p w14:paraId="54E3A34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Makroekonomike</w:t>
            </w:r>
          </w:p>
        </w:tc>
      </w:tr>
      <w:tr w:rsidR="000A2254" w:rsidRPr="00B31292" w14:paraId="6B74042B" w14:textId="77777777" w:rsidTr="000A2254">
        <w:trPr>
          <w:trHeight w:val="20"/>
        </w:trPr>
        <w:tc>
          <w:tcPr>
            <w:tcW w:w="215" w:type="pct"/>
            <w:tcBorders>
              <w:top w:val="nil"/>
              <w:left w:val="nil"/>
              <w:bottom w:val="nil"/>
              <w:right w:val="nil"/>
            </w:tcBorders>
            <w:shd w:val="clear" w:color="000000" w:fill="FFFFFF"/>
            <w:vAlign w:val="bottom"/>
            <w:hideMark/>
          </w:tcPr>
          <w:p w14:paraId="5558A13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442C80A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7A4FAAA7"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5D52C6C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single" w:sz="4" w:space="0" w:color="000000"/>
              <w:bottom w:val="single" w:sz="4" w:space="0" w:color="000000"/>
              <w:right w:val="nil"/>
            </w:tcBorders>
            <w:shd w:val="clear" w:color="000000" w:fill="F0F0F0"/>
            <w:vAlign w:val="center"/>
            <w:hideMark/>
          </w:tcPr>
          <w:p w14:paraId="4BA06861"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2.1.1</w:t>
            </w:r>
          </w:p>
        </w:tc>
        <w:tc>
          <w:tcPr>
            <w:tcW w:w="4082" w:type="pct"/>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63D131E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Llogaritë sektoriale vjetore</w:t>
            </w:r>
          </w:p>
        </w:tc>
      </w:tr>
      <w:tr w:rsidR="000A2254" w:rsidRPr="00B31292" w14:paraId="50841E26" w14:textId="77777777" w:rsidTr="000A2254">
        <w:trPr>
          <w:trHeight w:val="20"/>
        </w:trPr>
        <w:tc>
          <w:tcPr>
            <w:tcW w:w="215" w:type="pct"/>
            <w:tcBorders>
              <w:top w:val="nil"/>
              <w:left w:val="nil"/>
              <w:bottom w:val="nil"/>
              <w:right w:val="nil"/>
            </w:tcBorders>
            <w:shd w:val="clear" w:color="000000" w:fill="FFFFFF"/>
            <w:vAlign w:val="bottom"/>
            <w:hideMark/>
          </w:tcPr>
          <w:p w14:paraId="5CD0C7A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5087357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6E1A149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79954F0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7004CB5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02F93A0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000000"/>
              <w:bottom w:val="nil"/>
              <w:right w:val="single" w:sz="4" w:space="0" w:color="000000"/>
            </w:tcBorders>
            <w:shd w:val="clear" w:color="auto" w:fill="auto"/>
            <w:vAlign w:val="center"/>
            <w:hideMark/>
          </w:tcPr>
          <w:p w14:paraId="2E32B571"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2.1.1.1</w:t>
            </w:r>
          </w:p>
        </w:tc>
        <w:tc>
          <w:tcPr>
            <w:tcW w:w="281" w:type="pct"/>
            <w:tcBorders>
              <w:top w:val="nil"/>
              <w:left w:val="nil"/>
              <w:bottom w:val="nil"/>
              <w:right w:val="single" w:sz="4" w:space="0" w:color="000000"/>
            </w:tcBorders>
            <w:shd w:val="clear" w:color="auto" w:fill="auto"/>
            <w:vAlign w:val="center"/>
            <w:hideMark/>
          </w:tcPr>
          <w:p w14:paraId="6A6786AB" w14:textId="4835B92A"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Llogaritë j</w:t>
            </w:r>
            <w:r w:rsidR="00AB06FA" w:rsidRPr="00B31292">
              <w:rPr>
                <w:rFonts w:ascii="Garamond" w:eastAsia="Times New Roman" w:hAnsi="Garamond" w:cs="Times New Roman"/>
                <w:sz w:val="10"/>
                <w:szCs w:val="10"/>
              </w:rPr>
              <w:t>o</w:t>
            </w:r>
            <w:r w:rsidRPr="00B31292">
              <w:rPr>
                <w:rFonts w:ascii="Garamond" w:eastAsia="Times New Roman" w:hAnsi="Garamond" w:cs="Times New Roman"/>
                <w:sz w:val="10"/>
                <w:szCs w:val="10"/>
              </w:rPr>
              <w:t>financiare sipas sektorëve institucional</w:t>
            </w:r>
          </w:p>
        </w:tc>
        <w:tc>
          <w:tcPr>
            <w:tcW w:w="236" w:type="pct"/>
            <w:tcBorders>
              <w:top w:val="nil"/>
              <w:left w:val="nil"/>
              <w:bottom w:val="nil"/>
              <w:right w:val="single" w:sz="4" w:space="0" w:color="000000"/>
            </w:tcBorders>
            <w:shd w:val="clear" w:color="auto" w:fill="auto"/>
            <w:vAlign w:val="center"/>
            <w:hideMark/>
          </w:tcPr>
          <w:p w14:paraId="20A63E11"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Kombinim i burimeve administrative dhe vrojtimeve</w:t>
            </w:r>
          </w:p>
        </w:tc>
        <w:tc>
          <w:tcPr>
            <w:tcW w:w="238" w:type="pct"/>
            <w:tcBorders>
              <w:top w:val="nil"/>
              <w:left w:val="nil"/>
              <w:bottom w:val="single" w:sz="4" w:space="0" w:color="auto"/>
              <w:right w:val="single" w:sz="4" w:space="0" w:color="auto"/>
            </w:tcBorders>
            <w:shd w:val="clear" w:color="auto" w:fill="auto"/>
            <w:noWrap/>
            <w:vAlign w:val="center"/>
            <w:hideMark/>
          </w:tcPr>
          <w:p w14:paraId="24A7D3E4"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55%</w:t>
            </w:r>
          </w:p>
        </w:tc>
        <w:tc>
          <w:tcPr>
            <w:tcW w:w="180" w:type="pct"/>
            <w:tcBorders>
              <w:top w:val="nil"/>
              <w:left w:val="nil"/>
              <w:bottom w:val="single" w:sz="4" w:space="0" w:color="auto"/>
              <w:right w:val="single" w:sz="4" w:space="0" w:color="auto"/>
            </w:tcBorders>
            <w:shd w:val="clear" w:color="auto" w:fill="auto"/>
            <w:noWrap/>
            <w:vAlign w:val="center"/>
            <w:hideMark/>
          </w:tcPr>
          <w:p w14:paraId="557890C4"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45%</w:t>
            </w:r>
          </w:p>
        </w:tc>
        <w:tc>
          <w:tcPr>
            <w:tcW w:w="228" w:type="pct"/>
            <w:tcBorders>
              <w:top w:val="nil"/>
              <w:left w:val="nil"/>
              <w:bottom w:val="single" w:sz="4" w:space="0" w:color="auto"/>
              <w:right w:val="single" w:sz="4" w:space="0" w:color="auto"/>
            </w:tcBorders>
            <w:shd w:val="clear" w:color="auto" w:fill="auto"/>
            <w:vAlign w:val="center"/>
            <w:hideMark/>
          </w:tcPr>
          <w:p w14:paraId="0D569F3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tcBorders>
              <w:top w:val="nil"/>
              <w:left w:val="nil"/>
              <w:bottom w:val="nil"/>
              <w:right w:val="single" w:sz="4" w:space="0" w:color="000000"/>
            </w:tcBorders>
            <w:shd w:val="clear" w:color="auto" w:fill="auto"/>
            <w:vAlign w:val="center"/>
            <w:hideMark/>
          </w:tcPr>
          <w:p w14:paraId="4F27166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Vjetor</w:t>
            </w:r>
          </w:p>
        </w:tc>
        <w:tc>
          <w:tcPr>
            <w:tcW w:w="486" w:type="pct"/>
            <w:tcBorders>
              <w:top w:val="nil"/>
              <w:left w:val="nil"/>
              <w:bottom w:val="nil"/>
              <w:right w:val="single" w:sz="4" w:space="0" w:color="000000"/>
            </w:tcBorders>
            <w:shd w:val="clear" w:color="auto" w:fill="auto"/>
            <w:vAlign w:val="center"/>
            <w:hideMark/>
          </w:tcPr>
          <w:p w14:paraId="2992B526" w14:textId="7661D77A"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1. LLJF1: </w:t>
            </w:r>
            <w:r w:rsidR="00C23C70" w:rsidRPr="00B31292">
              <w:rPr>
                <w:rFonts w:ascii="Garamond" w:eastAsia="Times New Roman" w:hAnsi="Garamond" w:cs="Times New Roman"/>
                <w:color w:val="000000"/>
                <w:sz w:val="10"/>
                <w:szCs w:val="10"/>
              </w:rPr>
              <w:t>llogaria e prodhimit,</w:t>
            </w:r>
            <w:r w:rsidRPr="00B31292">
              <w:rPr>
                <w:rFonts w:ascii="Garamond" w:eastAsia="Times New Roman" w:hAnsi="Garamond" w:cs="Times New Roman"/>
                <w:color w:val="000000"/>
                <w:sz w:val="10"/>
                <w:szCs w:val="10"/>
              </w:rPr>
              <w:t xml:space="preserve"> </w:t>
            </w:r>
            <w:r w:rsidR="00C23C70" w:rsidRPr="00B31292">
              <w:rPr>
                <w:rFonts w:ascii="Garamond" w:eastAsia="Times New Roman" w:hAnsi="Garamond" w:cs="Times New Roman"/>
                <w:color w:val="000000"/>
                <w:sz w:val="10"/>
                <w:szCs w:val="10"/>
              </w:rPr>
              <w:t>s</w:t>
            </w:r>
            <w:r w:rsidRPr="00B31292">
              <w:rPr>
                <w:rFonts w:ascii="Garamond" w:eastAsia="Times New Roman" w:hAnsi="Garamond" w:cs="Times New Roman"/>
                <w:color w:val="000000"/>
                <w:sz w:val="10"/>
                <w:szCs w:val="10"/>
              </w:rPr>
              <w:t xml:space="preserve">ektori </w:t>
            </w:r>
            <w:r w:rsidR="00C23C70" w:rsidRPr="00B31292">
              <w:rPr>
                <w:rFonts w:ascii="Garamond" w:eastAsia="Times New Roman" w:hAnsi="Garamond" w:cs="Times New Roman"/>
                <w:color w:val="000000"/>
                <w:sz w:val="10"/>
                <w:szCs w:val="10"/>
              </w:rPr>
              <w:t>jofinanciar</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2. LLJF1: </w:t>
            </w:r>
            <w:r w:rsidR="00C23C70" w:rsidRPr="00B31292">
              <w:rPr>
                <w:rFonts w:ascii="Garamond" w:eastAsia="Times New Roman" w:hAnsi="Garamond" w:cs="Times New Roman"/>
                <w:color w:val="000000"/>
                <w:sz w:val="10"/>
                <w:szCs w:val="10"/>
              </w:rPr>
              <w:t xml:space="preserve">llogaria </w:t>
            </w:r>
            <w:r w:rsidRPr="00B31292">
              <w:rPr>
                <w:rFonts w:ascii="Garamond" w:eastAsia="Times New Roman" w:hAnsi="Garamond" w:cs="Times New Roman"/>
                <w:color w:val="000000"/>
                <w:sz w:val="10"/>
                <w:szCs w:val="10"/>
              </w:rPr>
              <w:t xml:space="preserve">e </w:t>
            </w:r>
            <w:r w:rsidR="00C23C70" w:rsidRPr="00B31292">
              <w:rPr>
                <w:rFonts w:ascii="Garamond" w:eastAsia="Times New Roman" w:hAnsi="Garamond" w:cs="Times New Roman"/>
                <w:color w:val="000000"/>
                <w:sz w:val="10"/>
                <w:szCs w:val="10"/>
              </w:rPr>
              <w:t>prodhimit, sektori financiar</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3. LLJF1: </w:t>
            </w:r>
            <w:r w:rsidR="00C23C70" w:rsidRPr="00B31292">
              <w:rPr>
                <w:rFonts w:ascii="Garamond" w:eastAsia="Times New Roman" w:hAnsi="Garamond" w:cs="Times New Roman"/>
                <w:color w:val="000000"/>
                <w:sz w:val="10"/>
                <w:szCs w:val="10"/>
              </w:rPr>
              <w:t>llogaria e prodhimit,</w:t>
            </w:r>
            <w:r w:rsidRPr="00B31292">
              <w:rPr>
                <w:rFonts w:ascii="Garamond" w:eastAsia="Times New Roman" w:hAnsi="Garamond" w:cs="Times New Roman"/>
                <w:color w:val="000000"/>
                <w:sz w:val="10"/>
                <w:szCs w:val="10"/>
              </w:rPr>
              <w:t xml:space="preserve"> </w:t>
            </w:r>
            <w:r w:rsidR="00C23C70" w:rsidRPr="00B31292">
              <w:rPr>
                <w:rFonts w:ascii="Garamond" w:eastAsia="Times New Roman" w:hAnsi="Garamond" w:cs="Times New Roman"/>
                <w:color w:val="000000"/>
                <w:sz w:val="10"/>
                <w:szCs w:val="10"/>
              </w:rPr>
              <w:t>sektori i qeverisë</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4. LLJF1: </w:t>
            </w:r>
            <w:r w:rsidR="00C23C70" w:rsidRPr="00B31292">
              <w:rPr>
                <w:rFonts w:ascii="Garamond" w:eastAsia="Times New Roman" w:hAnsi="Garamond" w:cs="Times New Roman"/>
                <w:color w:val="000000"/>
                <w:sz w:val="10"/>
                <w:szCs w:val="10"/>
              </w:rPr>
              <w:t>llogaria e prodhimit, sektori i familjeve.</w:t>
            </w:r>
            <w:r w:rsidR="00C23C70" w:rsidRPr="00B31292">
              <w:rPr>
                <w:rFonts w:ascii="Garamond" w:eastAsia="Times New Roman" w:hAnsi="Garamond" w:cs="Times New Roman"/>
                <w:color w:val="000000"/>
                <w:sz w:val="10"/>
                <w:szCs w:val="10"/>
              </w:rPr>
              <w:br/>
            </w:r>
            <w:r w:rsidRPr="00B31292">
              <w:rPr>
                <w:rFonts w:ascii="Garamond" w:eastAsia="Times New Roman" w:hAnsi="Garamond" w:cs="Times New Roman"/>
                <w:color w:val="000000"/>
                <w:sz w:val="10"/>
                <w:szCs w:val="10"/>
              </w:rPr>
              <w:t xml:space="preserve">5. LLJF1: </w:t>
            </w:r>
            <w:r w:rsidR="00C23C70" w:rsidRPr="00B31292">
              <w:rPr>
                <w:rFonts w:ascii="Garamond" w:eastAsia="Times New Roman" w:hAnsi="Garamond" w:cs="Times New Roman"/>
                <w:color w:val="000000"/>
                <w:sz w:val="10"/>
                <w:szCs w:val="10"/>
              </w:rPr>
              <w:t xml:space="preserve">llogaria e prodhimit, sektori </w:t>
            </w:r>
            <w:r w:rsidRPr="00B31292">
              <w:rPr>
                <w:rFonts w:ascii="Garamond" w:eastAsia="Times New Roman" w:hAnsi="Garamond" w:cs="Times New Roman"/>
                <w:color w:val="000000"/>
                <w:sz w:val="10"/>
                <w:szCs w:val="10"/>
              </w:rPr>
              <w:t xml:space="preserve">i IJF në shërbim të </w:t>
            </w:r>
            <w:r w:rsidR="00E06236" w:rsidRPr="00B31292">
              <w:rPr>
                <w:rFonts w:ascii="Garamond" w:eastAsia="Times New Roman" w:hAnsi="Garamond" w:cs="Times New Roman"/>
                <w:color w:val="000000"/>
                <w:sz w:val="10"/>
                <w:szCs w:val="10"/>
              </w:rPr>
              <w:t>f</w:t>
            </w:r>
            <w:r w:rsidRPr="00B31292">
              <w:rPr>
                <w:rFonts w:ascii="Garamond" w:eastAsia="Times New Roman" w:hAnsi="Garamond" w:cs="Times New Roman"/>
                <w:color w:val="000000"/>
                <w:sz w:val="10"/>
                <w:szCs w:val="10"/>
              </w:rPr>
              <w:t>amiljeve</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6. LLJF1: </w:t>
            </w:r>
            <w:r w:rsidR="00C23C70" w:rsidRPr="00B31292">
              <w:rPr>
                <w:rFonts w:ascii="Garamond" w:eastAsia="Times New Roman" w:hAnsi="Garamond" w:cs="Times New Roman"/>
                <w:color w:val="000000"/>
                <w:sz w:val="10"/>
                <w:szCs w:val="10"/>
              </w:rPr>
              <w:t>llogaria e prodhimit, sektori i ekonomisë, gji</w:t>
            </w:r>
            <w:r w:rsidRPr="00B31292">
              <w:rPr>
                <w:rFonts w:ascii="Garamond" w:eastAsia="Times New Roman" w:hAnsi="Garamond" w:cs="Times New Roman"/>
                <w:color w:val="000000"/>
                <w:sz w:val="10"/>
                <w:szCs w:val="10"/>
              </w:rPr>
              <w:t>thsej</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7. LLJF2: </w:t>
            </w:r>
            <w:r w:rsidR="00C23C70" w:rsidRPr="00B31292">
              <w:rPr>
                <w:rFonts w:ascii="Garamond" w:eastAsia="Times New Roman" w:hAnsi="Garamond" w:cs="Times New Roman"/>
                <w:color w:val="000000"/>
                <w:sz w:val="10"/>
                <w:szCs w:val="10"/>
              </w:rPr>
              <w:t>llogaria e gjenerimit të të ardhurave, sektori jofinanciar</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8. LLJF2: </w:t>
            </w:r>
            <w:r w:rsidR="00C23C70" w:rsidRPr="00B31292">
              <w:rPr>
                <w:rFonts w:ascii="Garamond" w:eastAsia="Times New Roman" w:hAnsi="Garamond" w:cs="Times New Roman"/>
                <w:color w:val="000000"/>
                <w:sz w:val="10"/>
                <w:szCs w:val="10"/>
              </w:rPr>
              <w:t>llogaria e gjenerimit të të ardhurave, sektori financiar</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 xml:space="preserve">9. LLJF2: </w:t>
            </w:r>
            <w:r w:rsidR="00C23C70" w:rsidRPr="00B31292">
              <w:rPr>
                <w:rFonts w:ascii="Garamond" w:eastAsia="Times New Roman" w:hAnsi="Garamond" w:cs="Times New Roman"/>
                <w:color w:val="000000"/>
                <w:sz w:val="10"/>
                <w:szCs w:val="10"/>
              </w:rPr>
              <w:t>llogaria e gjenerimit të të ardhurave, sektori i qeverisë</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10. LLJF2: </w:t>
            </w:r>
            <w:r w:rsidR="00C23C70" w:rsidRPr="00B31292">
              <w:rPr>
                <w:rFonts w:ascii="Garamond" w:eastAsia="Times New Roman" w:hAnsi="Garamond" w:cs="Times New Roman"/>
                <w:color w:val="000000"/>
                <w:sz w:val="10"/>
                <w:szCs w:val="10"/>
              </w:rPr>
              <w:t>llogaria e gjenerimit të të ardhurave, sektori i familj</w:t>
            </w:r>
            <w:r w:rsidRPr="00B31292">
              <w:rPr>
                <w:rFonts w:ascii="Garamond" w:eastAsia="Times New Roman" w:hAnsi="Garamond" w:cs="Times New Roman"/>
                <w:color w:val="000000"/>
                <w:sz w:val="10"/>
                <w:szCs w:val="10"/>
              </w:rPr>
              <w:t>eve</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11. LLJF2: </w:t>
            </w:r>
            <w:r w:rsidR="00C23C70" w:rsidRPr="00B31292">
              <w:rPr>
                <w:rFonts w:ascii="Garamond" w:eastAsia="Times New Roman" w:hAnsi="Garamond" w:cs="Times New Roman"/>
                <w:color w:val="000000"/>
                <w:sz w:val="10"/>
                <w:szCs w:val="10"/>
              </w:rPr>
              <w:t xml:space="preserve">llogaria e gjenerimit të të ardhurave, sektori </w:t>
            </w:r>
            <w:r w:rsidRPr="00B31292">
              <w:rPr>
                <w:rFonts w:ascii="Garamond" w:eastAsia="Times New Roman" w:hAnsi="Garamond" w:cs="Times New Roman"/>
                <w:color w:val="000000"/>
                <w:sz w:val="10"/>
                <w:szCs w:val="10"/>
              </w:rPr>
              <w:t xml:space="preserve">i IJF në shërbim të </w:t>
            </w:r>
            <w:r w:rsidR="00E06236" w:rsidRPr="00B31292">
              <w:rPr>
                <w:rFonts w:ascii="Garamond" w:eastAsia="Times New Roman" w:hAnsi="Garamond" w:cs="Times New Roman"/>
                <w:color w:val="000000"/>
                <w:sz w:val="10"/>
                <w:szCs w:val="10"/>
              </w:rPr>
              <w:t>f</w:t>
            </w:r>
            <w:r w:rsidRPr="00B31292">
              <w:rPr>
                <w:rFonts w:ascii="Garamond" w:eastAsia="Times New Roman" w:hAnsi="Garamond" w:cs="Times New Roman"/>
                <w:color w:val="000000"/>
                <w:sz w:val="10"/>
                <w:szCs w:val="10"/>
              </w:rPr>
              <w:t>amiljeve</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12. LLJF2: </w:t>
            </w:r>
            <w:r w:rsidR="00C23C70" w:rsidRPr="00B31292">
              <w:rPr>
                <w:rFonts w:ascii="Garamond" w:eastAsia="Times New Roman" w:hAnsi="Garamond" w:cs="Times New Roman"/>
                <w:color w:val="000000"/>
                <w:sz w:val="10"/>
                <w:szCs w:val="10"/>
              </w:rPr>
              <w:t>llogaria e gjenerimit të të ardhurave, sektori i ekonomisë</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00E06236" w:rsidRPr="00B31292">
              <w:rPr>
                <w:rFonts w:ascii="Garamond" w:eastAsia="Times New Roman" w:hAnsi="Garamond" w:cs="Times New Roman"/>
                <w:color w:val="000000"/>
                <w:sz w:val="10"/>
                <w:szCs w:val="10"/>
              </w:rPr>
              <w:t>g</w:t>
            </w:r>
            <w:r w:rsidRPr="00B31292">
              <w:rPr>
                <w:rFonts w:ascii="Garamond" w:eastAsia="Times New Roman" w:hAnsi="Garamond" w:cs="Times New Roman"/>
                <w:color w:val="000000"/>
                <w:sz w:val="10"/>
                <w:szCs w:val="10"/>
              </w:rPr>
              <w:t>jithsej</w:t>
            </w:r>
            <w:r w:rsidR="00E06236" w:rsidRPr="00B31292">
              <w:rPr>
                <w:rFonts w:ascii="Garamond" w:eastAsia="Times New Roman" w:hAnsi="Garamond" w:cs="Times New Roman"/>
                <w:color w:val="000000"/>
                <w:sz w:val="10"/>
                <w:szCs w:val="10"/>
              </w:rPr>
              <w:t>.</w:t>
            </w:r>
          </w:p>
        </w:tc>
        <w:tc>
          <w:tcPr>
            <w:tcW w:w="299" w:type="pct"/>
            <w:tcBorders>
              <w:top w:val="nil"/>
              <w:left w:val="nil"/>
              <w:bottom w:val="nil"/>
              <w:right w:val="nil"/>
            </w:tcBorders>
            <w:shd w:val="clear" w:color="auto" w:fill="auto"/>
            <w:vAlign w:val="center"/>
            <w:hideMark/>
          </w:tcPr>
          <w:p w14:paraId="7C3C3CD5" w14:textId="315571BC"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Instituti i Statistikave</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Banka e Shqipërisë</w:t>
            </w:r>
          </w:p>
        </w:tc>
        <w:tc>
          <w:tcPr>
            <w:tcW w:w="224" w:type="pct"/>
            <w:tcBorders>
              <w:top w:val="nil"/>
              <w:left w:val="single" w:sz="4" w:space="0" w:color="auto"/>
              <w:bottom w:val="nil"/>
              <w:right w:val="single" w:sz="4" w:space="0" w:color="auto"/>
            </w:tcBorders>
            <w:shd w:val="clear" w:color="auto" w:fill="auto"/>
            <w:vAlign w:val="center"/>
            <w:hideMark/>
          </w:tcPr>
          <w:p w14:paraId="2DF6A2E7" w14:textId="2D381038"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E06236" w:rsidRPr="00B31292">
              <w:rPr>
                <w:rFonts w:ascii="Garamond" w:eastAsia="Times New Roman" w:hAnsi="Garamond" w:cs="Times New Roman"/>
                <w:color w:val="000000"/>
                <w:sz w:val="10"/>
                <w:szCs w:val="10"/>
              </w:rPr>
              <w:t>-i</w:t>
            </w:r>
          </w:p>
        </w:tc>
        <w:tc>
          <w:tcPr>
            <w:tcW w:w="244" w:type="pct"/>
            <w:tcBorders>
              <w:top w:val="nil"/>
              <w:left w:val="nil"/>
              <w:bottom w:val="single" w:sz="4" w:space="0" w:color="auto"/>
              <w:right w:val="single" w:sz="4" w:space="0" w:color="auto"/>
            </w:tcBorders>
            <w:shd w:val="clear" w:color="000000" w:fill="FFFFFF"/>
            <w:vAlign w:val="center"/>
            <w:hideMark/>
          </w:tcPr>
          <w:p w14:paraId="69D44491"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+ 828D</w:t>
            </w:r>
          </w:p>
        </w:tc>
        <w:tc>
          <w:tcPr>
            <w:tcW w:w="220" w:type="pct"/>
            <w:tcBorders>
              <w:top w:val="nil"/>
              <w:left w:val="nil"/>
              <w:bottom w:val="single" w:sz="4" w:space="0" w:color="auto"/>
              <w:right w:val="single" w:sz="4" w:space="0" w:color="auto"/>
            </w:tcBorders>
            <w:shd w:val="clear" w:color="000000" w:fill="FFFFFF"/>
            <w:vAlign w:val="center"/>
            <w:hideMark/>
          </w:tcPr>
          <w:p w14:paraId="0F5767EA"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+ 863D</w:t>
            </w:r>
          </w:p>
        </w:tc>
        <w:tc>
          <w:tcPr>
            <w:tcW w:w="220" w:type="pct"/>
            <w:tcBorders>
              <w:top w:val="nil"/>
              <w:left w:val="nil"/>
              <w:bottom w:val="single" w:sz="4" w:space="0" w:color="auto"/>
              <w:right w:val="single" w:sz="4" w:space="0" w:color="auto"/>
            </w:tcBorders>
            <w:shd w:val="clear" w:color="000000" w:fill="FFFFFF"/>
            <w:vAlign w:val="center"/>
            <w:hideMark/>
          </w:tcPr>
          <w:p w14:paraId="273A2B70"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+ 882D</w:t>
            </w:r>
          </w:p>
        </w:tc>
        <w:tc>
          <w:tcPr>
            <w:tcW w:w="346" w:type="pct"/>
            <w:tcBorders>
              <w:top w:val="nil"/>
              <w:left w:val="nil"/>
              <w:bottom w:val="nil"/>
              <w:right w:val="single" w:sz="4" w:space="0" w:color="auto"/>
            </w:tcBorders>
            <w:shd w:val="clear" w:color="auto" w:fill="auto"/>
            <w:vAlign w:val="center"/>
            <w:hideMark/>
          </w:tcPr>
          <w:p w14:paraId="7DA140B3" w14:textId="29D1B3D9"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1. Pezullimi/vonesa e mbledhjes, prodhimit </w:t>
            </w:r>
            <w:r w:rsidR="00F667B8" w:rsidRPr="00B31292">
              <w:rPr>
                <w:rFonts w:ascii="Garamond" w:eastAsia="Times New Roman" w:hAnsi="Garamond" w:cs="Times New Roman"/>
                <w:color w:val="000000"/>
                <w:sz w:val="10"/>
                <w:szCs w:val="10"/>
              </w:rPr>
              <w:t>dhe shpërndarjes së statistikave zyrtare si pasojë e fatkeqësive natyrore/ pandemive globale</w:t>
            </w:r>
            <w:r w:rsidRPr="00B31292">
              <w:rPr>
                <w:rFonts w:ascii="Garamond" w:eastAsia="Times New Roman" w:hAnsi="Garamond" w:cs="Times New Roman"/>
                <w:color w:val="000000"/>
                <w:sz w:val="10"/>
                <w:szCs w:val="10"/>
              </w:rPr>
              <w:t xml:space="preserve"> -|- 6</w:t>
            </w:r>
            <w:r w:rsidRPr="00B31292">
              <w:rPr>
                <w:rFonts w:ascii="Garamond" w:eastAsia="Times New Roman" w:hAnsi="Garamond" w:cs="Times New Roman"/>
                <w:color w:val="000000"/>
                <w:sz w:val="10"/>
                <w:szCs w:val="10"/>
              </w:rPr>
              <w:br/>
              <w:t>2. Mospërmbushja e</w:t>
            </w:r>
            <w:r w:rsidR="003E16E0" w:rsidRPr="00B31292">
              <w:rPr>
                <w:rFonts w:ascii="Garamond" w:eastAsia="Times New Roman" w:hAnsi="Garamond" w:cs="Times New Roman"/>
                <w:color w:val="000000"/>
                <w:sz w:val="10"/>
                <w:szCs w:val="10"/>
              </w:rPr>
              <w:t xml:space="preserve"> </w:t>
            </w:r>
            <w:r w:rsidR="00F667B8" w:rsidRPr="00B31292">
              <w:rPr>
                <w:rFonts w:ascii="Garamond" w:eastAsia="Times New Roman" w:hAnsi="Garamond" w:cs="Times New Roman"/>
                <w:color w:val="000000"/>
                <w:sz w:val="10"/>
                <w:szCs w:val="10"/>
              </w:rPr>
              <w:t>kritereve të cilësisë, si:</w:t>
            </w:r>
            <w:r w:rsidRPr="00B31292">
              <w:rPr>
                <w:rFonts w:ascii="Garamond" w:eastAsia="Times New Roman" w:hAnsi="Garamond" w:cs="Times New Roman"/>
                <w:color w:val="000000"/>
                <w:sz w:val="10"/>
                <w:szCs w:val="10"/>
              </w:rPr>
              <w:t xml:space="preserve"> saktësia, përpikmëria dhe krahasueshmëria, për të dhënat administrative -|- 6</w:t>
            </w:r>
            <w:r w:rsidRPr="00B31292">
              <w:rPr>
                <w:rFonts w:ascii="Garamond" w:eastAsia="Times New Roman" w:hAnsi="Garamond" w:cs="Times New Roman"/>
                <w:color w:val="000000"/>
                <w:sz w:val="10"/>
                <w:szCs w:val="10"/>
              </w:rPr>
              <w:br/>
              <w:t>3. Mospërmbushja e</w:t>
            </w:r>
            <w:r w:rsidR="003E16E0" w:rsidRPr="00B31292">
              <w:rPr>
                <w:rFonts w:ascii="Garamond" w:eastAsia="Times New Roman" w:hAnsi="Garamond" w:cs="Times New Roman"/>
                <w:color w:val="000000"/>
                <w:sz w:val="10"/>
                <w:szCs w:val="10"/>
              </w:rPr>
              <w:t xml:space="preserve"> </w:t>
            </w:r>
            <w:r w:rsidR="00F667B8" w:rsidRPr="00B31292">
              <w:rPr>
                <w:rFonts w:ascii="Garamond" w:eastAsia="Times New Roman" w:hAnsi="Garamond" w:cs="Times New Roman"/>
                <w:color w:val="000000"/>
                <w:sz w:val="10"/>
                <w:szCs w:val="10"/>
              </w:rPr>
              <w:t>kritereve të cilësisë, si:</w:t>
            </w:r>
            <w:r w:rsidRPr="00B31292">
              <w:rPr>
                <w:rFonts w:ascii="Garamond" w:eastAsia="Times New Roman" w:hAnsi="Garamond" w:cs="Times New Roman"/>
                <w:color w:val="000000"/>
                <w:sz w:val="10"/>
                <w:szCs w:val="10"/>
              </w:rPr>
              <w:t xml:space="preserve"> saktësia, përpikmëria dhe krahasueshmëria, për vrojtimet statistikore -|- 6</w:t>
            </w:r>
            <w:r w:rsidRPr="00B31292">
              <w:rPr>
                <w:rFonts w:ascii="Garamond" w:eastAsia="Times New Roman" w:hAnsi="Garamond" w:cs="Times New Roman"/>
                <w:color w:val="000000"/>
                <w:sz w:val="10"/>
                <w:szCs w:val="10"/>
              </w:rPr>
              <w:br/>
              <w:t>4. Kohë e gjatë për kontrollet në nivel mikro -|- 6</w:t>
            </w:r>
            <w:r w:rsidRPr="00B31292">
              <w:rPr>
                <w:rFonts w:ascii="Garamond" w:eastAsia="Times New Roman" w:hAnsi="Garamond" w:cs="Times New Roman"/>
                <w:color w:val="000000"/>
                <w:sz w:val="10"/>
                <w:szCs w:val="10"/>
              </w:rPr>
              <w:br/>
              <w:t>5. Pezullimi/vonesa e prodhimit dhe shpërndarjes të statistikave zyrtare si pasojë e largimit të stafit -|- 6</w:t>
            </w:r>
          </w:p>
        </w:tc>
        <w:tc>
          <w:tcPr>
            <w:tcW w:w="273" w:type="pct"/>
            <w:tcBorders>
              <w:top w:val="nil"/>
              <w:left w:val="nil"/>
              <w:bottom w:val="nil"/>
              <w:right w:val="single" w:sz="4" w:space="0" w:color="auto"/>
            </w:tcBorders>
            <w:shd w:val="clear" w:color="auto" w:fill="auto"/>
            <w:vAlign w:val="center"/>
            <w:hideMark/>
          </w:tcPr>
          <w:p w14:paraId="2E3C0B2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Buxhet shteti</w:t>
            </w:r>
          </w:p>
        </w:tc>
      </w:tr>
      <w:tr w:rsidR="000A2254" w:rsidRPr="00B31292" w14:paraId="110F36A9" w14:textId="77777777" w:rsidTr="000A2254">
        <w:trPr>
          <w:trHeight w:val="20"/>
        </w:trPr>
        <w:tc>
          <w:tcPr>
            <w:tcW w:w="215" w:type="pct"/>
            <w:tcBorders>
              <w:top w:val="nil"/>
              <w:left w:val="nil"/>
              <w:bottom w:val="nil"/>
              <w:right w:val="nil"/>
            </w:tcBorders>
            <w:shd w:val="clear" w:color="000000" w:fill="FFFFFF"/>
            <w:vAlign w:val="bottom"/>
            <w:hideMark/>
          </w:tcPr>
          <w:p w14:paraId="778568E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541547B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4F6E334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51B293F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single" w:sz="4" w:space="0" w:color="000000"/>
              <w:left w:val="single" w:sz="4" w:space="0" w:color="000000"/>
              <w:bottom w:val="single" w:sz="4" w:space="0" w:color="000000"/>
              <w:right w:val="nil"/>
            </w:tcBorders>
            <w:shd w:val="clear" w:color="000000" w:fill="F0F0F0"/>
            <w:vAlign w:val="center"/>
            <w:hideMark/>
          </w:tcPr>
          <w:p w14:paraId="4AE3751F"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2.1.2</w:t>
            </w:r>
          </w:p>
        </w:tc>
        <w:tc>
          <w:tcPr>
            <w:tcW w:w="4082" w:type="pct"/>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131112E9" w14:textId="6B9ACC5A"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Llogaritë </w:t>
            </w:r>
            <w:r w:rsidR="00E06236" w:rsidRPr="00B31292">
              <w:rPr>
                <w:rFonts w:ascii="Garamond" w:eastAsia="Times New Roman" w:hAnsi="Garamond" w:cs="Times New Roman"/>
                <w:color w:val="000000"/>
                <w:sz w:val="10"/>
                <w:szCs w:val="10"/>
              </w:rPr>
              <w:t>kombëtare tremujore dhe vjetore, agregatët kryesorë</w:t>
            </w:r>
          </w:p>
        </w:tc>
      </w:tr>
      <w:tr w:rsidR="000A2254" w:rsidRPr="00B31292" w14:paraId="355DAE59" w14:textId="77777777" w:rsidTr="000A2254">
        <w:trPr>
          <w:trHeight w:val="20"/>
        </w:trPr>
        <w:tc>
          <w:tcPr>
            <w:tcW w:w="215" w:type="pct"/>
            <w:tcBorders>
              <w:top w:val="nil"/>
              <w:left w:val="nil"/>
              <w:bottom w:val="nil"/>
              <w:right w:val="nil"/>
            </w:tcBorders>
            <w:shd w:val="clear" w:color="000000" w:fill="FFFFFF"/>
            <w:vAlign w:val="bottom"/>
            <w:hideMark/>
          </w:tcPr>
          <w:p w14:paraId="0FB0A5D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06D72F0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0833038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281BBE9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4B6B918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78BBC13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000000"/>
              <w:bottom w:val="single" w:sz="4" w:space="0" w:color="000000"/>
              <w:right w:val="single" w:sz="4" w:space="0" w:color="000000"/>
            </w:tcBorders>
            <w:shd w:val="clear" w:color="auto" w:fill="auto"/>
            <w:vAlign w:val="center"/>
            <w:hideMark/>
          </w:tcPr>
          <w:p w14:paraId="55F11408"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2.1.2.1</w:t>
            </w:r>
          </w:p>
        </w:tc>
        <w:tc>
          <w:tcPr>
            <w:tcW w:w="281" w:type="pct"/>
            <w:tcBorders>
              <w:top w:val="nil"/>
              <w:left w:val="nil"/>
              <w:bottom w:val="single" w:sz="4" w:space="0" w:color="000000"/>
              <w:right w:val="single" w:sz="4" w:space="0" w:color="000000"/>
            </w:tcBorders>
            <w:shd w:val="clear" w:color="auto" w:fill="auto"/>
            <w:vAlign w:val="center"/>
            <w:hideMark/>
          </w:tcPr>
          <w:p w14:paraId="1C9A4CDA" w14:textId="702FD614"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Llogaritë kombëtare vjetore</w:t>
            </w:r>
            <w:r w:rsidR="00E06236" w:rsidRPr="00B31292">
              <w:rPr>
                <w:rFonts w:ascii="Garamond" w:eastAsia="Times New Roman" w:hAnsi="Garamond" w:cs="Times New Roman"/>
                <w:sz w:val="10"/>
                <w:szCs w:val="10"/>
              </w:rPr>
              <w:t xml:space="preserve"> – P </w:t>
            </w:r>
            <w:r w:rsidRPr="00B31292">
              <w:rPr>
                <w:rFonts w:ascii="Garamond" w:eastAsia="Times New Roman" w:hAnsi="Garamond" w:cs="Times New Roman"/>
                <w:sz w:val="10"/>
                <w:szCs w:val="10"/>
              </w:rPr>
              <w:t xml:space="preserve">rodukti i Brendshëm Bruto (PBB) me metodën e </w:t>
            </w:r>
            <w:r w:rsidR="00E06236" w:rsidRPr="00B31292">
              <w:rPr>
                <w:rFonts w:ascii="Garamond" w:eastAsia="Times New Roman" w:hAnsi="Garamond" w:cs="Times New Roman"/>
                <w:sz w:val="10"/>
                <w:szCs w:val="10"/>
              </w:rPr>
              <w:t>prodhimit dhe shpenzi</w:t>
            </w:r>
            <w:r w:rsidRPr="00B31292">
              <w:rPr>
                <w:rFonts w:ascii="Garamond" w:eastAsia="Times New Roman" w:hAnsi="Garamond" w:cs="Times New Roman"/>
                <w:sz w:val="10"/>
                <w:szCs w:val="10"/>
              </w:rPr>
              <w:t>meve</w:t>
            </w:r>
          </w:p>
        </w:tc>
        <w:tc>
          <w:tcPr>
            <w:tcW w:w="236" w:type="pct"/>
            <w:tcBorders>
              <w:top w:val="nil"/>
              <w:left w:val="nil"/>
              <w:bottom w:val="single" w:sz="4" w:space="0" w:color="000000"/>
              <w:right w:val="single" w:sz="4" w:space="0" w:color="000000"/>
            </w:tcBorders>
            <w:shd w:val="clear" w:color="auto" w:fill="auto"/>
            <w:vAlign w:val="center"/>
            <w:hideMark/>
          </w:tcPr>
          <w:p w14:paraId="668307C8"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Kombinim i burimeve administrative dhe vrojtimeve</w:t>
            </w:r>
          </w:p>
        </w:tc>
        <w:tc>
          <w:tcPr>
            <w:tcW w:w="238" w:type="pct"/>
            <w:tcBorders>
              <w:top w:val="nil"/>
              <w:left w:val="nil"/>
              <w:bottom w:val="single" w:sz="4" w:space="0" w:color="auto"/>
              <w:right w:val="single" w:sz="4" w:space="0" w:color="auto"/>
            </w:tcBorders>
            <w:shd w:val="clear" w:color="auto" w:fill="auto"/>
            <w:noWrap/>
            <w:vAlign w:val="center"/>
            <w:hideMark/>
          </w:tcPr>
          <w:p w14:paraId="4BCE7386"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55%</w:t>
            </w:r>
          </w:p>
        </w:tc>
        <w:tc>
          <w:tcPr>
            <w:tcW w:w="180" w:type="pct"/>
            <w:tcBorders>
              <w:top w:val="nil"/>
              <w:left w:val="nil"/>
              <w:bottom w:val="single" w:sz="4" w:space="0" w:color="auto"/>
              <w:right w:val="single" w:sz="4" w:space="0" w:color="auto"/>
            </w:tcBorders>
            <w:shd w:val="clear" w:color="auto" w:fill="auto"/>
            <w:noWrap/>
            <w:vAlign w:val="center"/>
            <w:hideMark/>
          </w:tcPr>
          <w:p w14:paraId="4A32BCC9"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45%</w:t>
            </w:r>
          </w:p>
        </w:tc>
        <w:tc>
          <w:tcPr>
            <w:tcW w:w="228" w:type="pct"/>
            <w:tcBorders>
              <w:top w:val="nil"/>
              <w:left w:val="nil"/>
              <w:bottom w:val="single" w:sz="4" w:space="0" w:color="auto"/>
              <w:right w:val="single" w:sz="4" w:space="0" w:color="auto"/>
            </w:tcBorders>
            <w:shd w:val="clear" w:color="auto" w:fill="auto"/>
            <w:vAlign w:val="center"/>
            <w:hideMark/>
          </w:tcPr>
          <w:p w14:paraId="1781547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tcBorders>
              <w:top w:val="nil"/>
              <w:left w:val="nil"/>
              <w:bottom w:val="single" w:sz="4" w:space="0" w:color="000000"/>
              <w:right w:val="single" w:sz="4" w:space="0" w:color="000000"/>
            </w:tcBorders>
            <w:shd w:val="clear" w:color="auto" w:fill="auto"/>
            <w:vAlign w:val="center"/>
            <w:hideMark/>
          </w:tcPr>
          <w:p w14:paraId="579162B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Vjetor</w:t>
            </w:r>
          </w:p>
        </w:tc>
        <w:tc>
          <w:tcPr>
            <w:tcW w:w="486" w:type="pct"/>
            <w:tcBorders>
              <w:top w:val="nil"/>
              <w:left w:val="nil"/>
              <w:bottom w:val="single" w:sz="4" w:space="0" w:color="auto"/>
              <w:right w:val="single" w:sz="4" w:space="0" w:color="auto"/>
            </w:tcBorders>
            <w:shd w:val="clear" w:color="auto" w:fill="auto"/>
            <w:vAlign w:val="center"/>
            <w:hideMark/>
          </w:tcPr>
          <w:p w14:paraId="7F8412DD" w14:textId="0A18C34D"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1. Prodhimi me </w:t>
            </w:r>
            <w:r w:rsidR="002C1D56" w:rsidRPr="00B31292">
              <w:rPr>
                <w:rFonts w:ascii="Garamond" w:eastAsia="Times New Roman" w:hAnsi="Garamond" w:cs="Times New Roman"/>
                <w:color w:val="000000"/>
                <w:sz w:val="10"/>
                <w:szCs w:val="10"/>
              </w:rPr>
              <w:t>çmime</w:t>
            </w:r>
            <w:r w:rsidRPr="00B31292">
              <w:rPr>
                <w:rFonts w:ascii="Garamond" w:eastAsia="Times New Roman" w:hAnsi="Garamond" w:cs="Times New Roman"/>
                <w:color w:val="000000"/>
                <w:sz w:val="10"/>
                <w:szCs w:val="10"/>
              </w:rPr>
              <w:t xml:space="preserve"> korrente dhe konstante sipas aktivitetit ekonomik</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 Konsumi ndërmjetës me çmime korrente dhe konstante sipas aktivitetit ekonomik</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 Vlera e shtuar bruto me çmime korrente dhe konstante sipas aktivitetit ekonomik</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4. Taksat mbi produktet me çmime korrente dhe </w:t>
            </w:r>
            <w:r w:rsidRPr="00B31292">
              <w:rPr>
                <w:rFonts w:ascii="Garamond" w:eastAsia="Times New Roman" w:hAnsi="Garamond" w:cs="Times New Roman"/>
                <w:color w:val="000000"/>
                <w:sz w:val="10"/>
                <w:szCs w:val="10"/>
              </w:rPr>
              <w:lastRenderedPageBreak/>
              <w:t>konstante</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5. Subvencionet mbi produktet me çmime korrente dhe konstante</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6. Rritja reale e PBB-së</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7. Deflatorët</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sipas aktivitetit ekonomik</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8. Inputet e punës sipas koncepteve të </w:t>
            </w:r>
            <w:r w:rsidR="00E06236" w:rsidRPr="00B31292">
              <w:rPr>
                <w:rFonts w:ascii="Garamond" w:eastAsia="Times New Roman" w:hAnsi="Garamond" w:cs="Times New Roman"/>
                <w:color w:val="000000"/>
                <w:sz w:val="10"/>
                <w:szCs w:val="10"/>
              </w:rPr>
              <w:t>llogarive kombëtare.</w:t>
            </w:r>
            <w:r w:rsidR="00E06236" w:rsidRPr="00B31292">
              <w:rPr>
                <w:rFonts w:ascii="Garamond" w:eastAsia="Times New Roman" w:hAnsi="Garamond" w:cs="Times New Roman"/>
                <w:color w:val="000000"/>
                <w:sz w:val="10"/>
                <w:szCs w:val="10"/>
              </w:rPr>
              <w:br/>
            </w:r>
            <w:r w:rsidRPr="00B31292">
              <w:rPr>
                <w:rFonts w:ascii="Garamond" w:eastAsia="Times New Roman" w:hAnsi="Garamond" w:cs="Times New Roman"/>
                <w:color w:val="000000"/>
                <w:sz w:val="10"/>
                <w:szCs w:val="10"/>
              </w:rPr>
              <w:t>9. Shpenzime për konsum final të popullatës me çmime korrente dhe konstante</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10. Shpenzime për konsum final të administratës publike me çmime korrente dhe konstante</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11. Shpenzime për konsum final të institucioneve jofitimprurëse me çmime korrente dhe konstante</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12. Formimi bruto i kapitalit fiks me çmime korrente dhe konstante</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13. Eksportet e mallrave e shërbimeve me çmime korrente dhe konstante</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14. Importet e mallrave e shërbimeve me çmime korrente dhe konstante</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15. Ndryshimet e gjendjeve</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16. Të </w:t>
            </w:r>
            <w:r w:rsidR="00E06236" w:rsidRPr="00B31292">
              <w:rPr>
                <w:rFonts w:ascii="Garamond" w:eastAsia="Times New Roman" w:hAnsi="Garamond" w:cs="Times New Roman"/>
                <w:color w:val="000000"/>
                <w:sz w:val="10"/>
                <w:szCs w:val="10"/>
              </w:rPr>
              <w:t>ardhurat kombëtare bruto.</w:t>
            </w:r>
          </w:p>
        </w:tc>
        <w:tc>
          <w:tcPr>
            <w:tcW w:w="299" w:type="pct"/>
            <w:tcBorders>
              <w:top w:val="nil"/>
              <w:left w:val="nil"/>
              <w:bottom w:val="single" w:sz="4" w:space="0" w:color="000000"/>
              <w:right w:val="nil"/>
            </w:tcBorders>
            <w:shd w:val="clear" w:color="auto" w:fill="auto"/>
            <w:vAlign w:val="center"/>
            <w:hideMark/>
          </w:tcPr>
          <w:p w14:paraId="08D49E13" w14:textId="774FCBEF"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lastRenderedPageBreak/>
              <w:t>Instituti i Statistikave</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Banka e Shqipërisë</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Drejtoria e Përgjithshme e Tatimeve</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Autoriteti i Mbikëqyrjes Financiare</w:t>
            </w:r>
          </w:p>
        </w:tc>
        <w:tc>
          <w:tcPr>
            <w:tcW w:w="224" w:type="pct"/>
            <w:tcBorders>
              <w:top w:val="nil"/>
              <w:left w:val="single" w:sz="4" w:space="0" w:color="auto"/>
              <w:bottom w:val="single" w:sz="4" w:space="0" w:color="auto"/>
              <w:right w:val="single" w:sz="4" w:space="0" w:color="auto"/>
            </w:tcBorders>
            <w:shd w:val="clear" w:color="auto" w:fill="auto"/>
            <w:vAlign w:val="center"/>
            <w:hideMark/>
          </w:tcPr>
          <w:p w14:paraId="5FC1070F" w14:textId="3F2008EA"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E06236" w:rsidRPr="00B31292">
              <w:rPr>
                <w:rFonts w:ascii="Garamond" w:eastAsia="Times New Roman" w:hAnsi="Garamond" w:cs="Times New Roman"/>
                <w:color w:val="000000"/>
                <w:sz w:val="10"/>
                <w:szCs w:val="10"/>
              </w:rPr>
              <w:t>-I</w:t>
            </w:r>
          </w:p>
        </w:tc>
        <w:tc>
          <w:tcPr>
            <w:tcW w:w="244" w:type="pct"/>
            <w:tcBorders>
              <w:top w:val="nil"/>
              <w:left w:val="nil"/>
              <w:bottom w:val="single" w:sz="4" w:space="0" w:color="auto"/>
              <w:right w:val="single" w:sz="4" w:space="0" w:color="auto"/>
            </w:tcBorders>
            <w:shd w:val="clear" w:color="000000" w:fill="FFFFFF"/>
            <w:vAlign w:val="center"/>
            <w:hideMark/>
          </w:tcPr>
          <w:p w14:paraId="0B38A138"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+ 349D</w:t>
            </w:r>
          </w:p>
        </w:tc>
        <w:tc>
          <w:tcPr>
            <w:tcW w:w="220" w:type="pct"/>
            <w:tcBorders>
              <w:top w:val="nil"/>
              <w:left w:val="nil"/>
              <w:bottom w:val="single" w:sz="4" w:space="0" w:color="auto"/>
              <w:right w:val="single" w:sz="4" w:space="0" w:color="auto"/>
            </w:tcBorders>
            <w:shd w:val="clear" w:color="000000" w:fill="FFFFFF"/>
            <w:vAlign w:val="center"/>
            <w:hideMark/>
          </w:tcPr>
          <w:p w14:paraId="168DA1DC"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+ 436D</w:t>
            </w:r>
          </w:p>
        </w:tc>
        <w:tc>
          <w:tcPr>
            <w:tcW w:w="220" w:type="pct"/>
            <w:tcBorders>
              <w:top w:val="nil"/>
              <w:left w:val="nil"/>
              <w:bottom w:val="single" w:sz="4" w:space="0" w:color="auto"/>
              <w:right w:val="single" w:sz="4" w:space="0" w:color="auto"/>
            </w:tcBorders>
            <w:shd w:val="clear" w:color="000000" w:fill="FFFFFF"/>
            <w:vAlign w:val="center"/>
            <w:hideMark/>
          </w:tcPr>
          <w:p w14:paraId="52873775"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+ 454D</w:t>
            </w:r>
          </w:p>
        </w:tc>
        <w:tc>
          <w:tcPr>
            <w:tcW w:w="346" w:type="pct"/>
            <w:tcBorders>
              <w:top w:val="nil"/>
              <w:left w:val="nil"/>
              <w:bottom w:val="single" w:sz="4" w:space="0" w:color="auto"/>
              <w:right w:val="single" w:sz="4" w:space="0" w:color="auto"/>
            </w:tcBorders>
            <w:shd w:val="clear" w:color="auto" w:fill="auto"/>
            <w:vAlign w:val="center"/>
            <w:hideMark/>
          </w:tcPr>
          <w:p w14:paraId="286768B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Vonesa e marrjes së të dhënave nga burimet administrative -|- 6</w:t>
            </w:r>
            <w:r w:rsidRPr="00B31292">
              <w:rPr>
                <w:rFonts w:ascii="Garamond" w:eastAsia="Times New Roman" w:hAnsi="Garamond" w:cs="Times New Roman"/>
                <w:color w:val="000000"/>
                <w:sz w:val="10"/>
                <w:szCs w:val="10"/>
              </w:rPr>
              <w:br/>
              <w:t>2. Vonesa e marrjes së të dhënave nga burimet statistikore -|- 6</w:t>
            </w:r>
            <w:r w:rsidRPr="00B31292">
              <w:rPr>
                <w:rFonts w:ascii="Garamond" w:eastAsia="Times New Roman" w:hAnsi="Garamond" w:cs="Times New Roman"/>
                <w:color w:val="000000"/>
                <w:sz w:val="10"/>
                <w:szCs w:val="10"/>
              </w:rPr>
              <w:br/>
              <w:t>3. Mungesa e cilësisë së të dhënave -|- 6</w:t>
            </w:r>
          </w:p>
        </w:tc>
        <w:tc>
          <w:tcPr>
            <w:tcW w:w="273" w:type="pct"/>
            <w:tcBorders>
              <w:top w:val="nil"/>
              <w:left w:val="nil"/>
              <w:bottom w:val="single" w:sz="4" w:space="0" w:color="auto"/>
              <w:right w:val="single" w:sz="4" w:space="0" w:color="auto"/>
            </w:tcBorders>
            <w:shd w:val="clear" w:color="auto" w:fill="auto"/>
            <w:vAlign w:val="center"/>
            <w:hideMark/>
          </w:tcPr>
          <w:p w14:paraId="2229B6FC" w14:textId="701C35C2"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Kombinuar (Buxhet shteti+</w:t>
            </w:r>
            <w:r w:rsidR="002C1D56"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Donator</w:t>
            </w:r>
            <w:r w:rsidR="002C1D56"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t)</w:t>
            </w:r>
          </w:p>
        </w:tc>
      </w:tr>
      <w:tr w:rsidR="000A2254" w:rsidRPr="00B31292" w14:paraId="7607BA4A" w14:textId="77777777" w:rsidTr="000A2254">
        <w:trPr>
          <w:trHeight w:val="20"/>
        </w:trPr>
        <w:tc>
          <w:tcPr>
            <w:tcW w:w="215" w:type="pct"/>
            <w:tcBorders>
              <w:top w:val="nil"/>
              <w:left w:val="nil"/>
              <w:bottom w:val="nil"/>
              <w:right w:val="nil"/>
            </w:tcBorders>
            <w:shd w:val="clear" w:color="000000" w:fill="FFFFFF"/>
            <w:vAlign w:val="bottom"/>
            <w:hideMark/>
          </w:tcPr>
          <w:p w14:paraId="65F66D2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39C5CBA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7421B94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4CCCBD5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6587AA0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209209E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000000"/>
              <w:bottom w:val="nil"/>
              <w:right w:val="single" w:sz="4" w:space="0" w:color="000000"/>
            </w:tcBorders>
            <w:shd w:val="clear" w:color="auto" w:fill="auto"/>
            <w:vAlign w:val="center"/>
            <w:hideMark/>
          </w:tcPr>
          <w:p w14:paraId="1D92FACD"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2.1.2.2</w:t>
            </w:r>
          </w:p>
        </w:tc>
        <w:tc>
          <w:tcPr>
            <w:tcW w:w="281" w:type="pct"/>
            <w:tcBorders>
              <w:top w:val="nil"/>
              <w:left w:val="nil"/>
              <w:bottom w:val="nil"/>
              <w:right w:val="single" w:sz="4" w:space="0" w:color="000000"/>
            </w:tcBorders>
            <w:shd w:val="clear" w:color="auto" w:fill="auto"/>
            <w:vAlign w:val="center"/>
            <w:hideMark/>
          </w:tcPr>
          <w:p w14:paraId="2AAC4511" w14:textId="44B25745"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Llogaritë kombëtare tremujore-Produkti i Brendshëm Bruto (PBB)</w:t>
            </w:r>
            <w:r w:rsidR="002E2911" w:rsidRPr="00B31292">
              <w:rPr>
                <w:rFonts w:ascii="Garamond" w:eastAsia="Times New Roman" w:hAnsi="Garamond" w:cs="Times New Roman"/>
                <w:sz w:val="10"/>
                <w:szCs w:val="10"/>
              </w:rPr>
              <w:t xml:space="preserve"> </w:t>
            </w:r>
            <w:r w:rsidRPr="00B31292">
              <w:rPr>
                <w:rFonts w:ascii="Garamond" w:eastAsia="Times New Roman" w:hAnsi="Garamond" w:cs="Times New Roman"/>
                <w:sz w:val="10"/>
                <w:szCs w:val="10"/>
              </w:rPr>
              <w:t>me metodën e prodhimit dhe shpenzimeve.</w:t>
            </w:r>
          </w:p>
        </w:tc>
        <w:tc>
          <w:tcPr>
            <w:tcW w:w="236" w:type="pct"/>
            <w:tcBorders>
              <w:top w:val="nil"/>
              <w:left w:val="nil"/>
              <w:bottom w:val="nil"/>
              <w:right w:val="single" w:sz="4" w:space="0" w:color="000000"/>
            </w:tcBorders>
            <w:shd w:val="clear" w:color="auto" w:fill="auto"/>
            <w:vAlign w:val="center"/>
            <w:hideMark/>
          </w:tcPr>
          <w:p w14:paraId="2DE278AA"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Kombinim i burimeve administrative dhe vrojtimeve</w:t>
            </w:r>
          </w:p>
        </w:tc>
        <w:tc>
          <w:tcPr>
            <w:tcW w:w="238" w:type="pct"/>
            <w:tcBorders>
              <w:top w:val="nil"/>
              <w:left w:val="nil"/>
              <w:bottom w:val="nil"/>
              <w:right w:val="single" w:sz="4" w:space="0" w:color="auto"/>
            </w:tcBorders>
            <w:shd w:val="clear" w:color="auto" w:fill="auto"/>
            <w:noWrap/>
            <w:vAlign w:val="center"/>
            <w:hideMark/>
          </w:tcPr>
          <w:p w14:paraId="643BE347"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70%</w:t>
            </w:r>
          </w:p>
        </w:tc>
        <w:tc>
          <w:tcPr>
            <w:tcW w:w="180" w:type="pct"/>
            <w:tcBorders>
              <w:top w:val="nil"/>
              <w:left w:val="nil"/>
              <w:bottom w:val="nil"/>
              <w:right w:val="single" w:sz="4" w:space="0" w:color="auto"/>
            </w:tcBorders>
            <w:shd w:val="clear" w:color="auto" w:fill="auto"/>
            <w:noWrap/>
            <w:vAlign w:val="center"/>
            <w:hideMark/>
          </w:tcPr>
          <w:p w14:paraId="688B0C9B"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30%</w:t>
            </w:r>
          </w:p>
        </w:tc>
        <w:tc>
          <w:tcPr>
            <w:tcW w:w="228" w:type="pct"/>
            <w:tcBorders>
              <w:top w:val="nil"/>
              <w:left w:val="nil"/>
              <w:bottom w:val="nil"/>
              <w:right w:val="single" w:sz="4" w:space="0" w:color="000000"/>
            </w:tcBorders>
            <w:shd w:val="clear" w:color="auto" w:fill="auto"/>
            <w:vAlign w:val="center"/>
            <w:hideMark/>
          </w:tcPr>
          <w:p w14:paraId="396F9324" w14:textId="11F0005B"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I </w:t>
            </w:r>
            <w:r w:rsidR="001C6DE3" w:rsidRPr="00B31292">
              <w:rPr>
                <w:rFonts w:ascii="Garamond" w:eastAsia="Times New Roman" w:hAnsi="Garamond" w:cs="Times New Roman"/>
                <w:color w:val="000000"/>
                <w:sz w:val="10"/>
                <w:szCs w:val="10"/>
              </w:rPr>
              <w:t>vazhdueshëm</w:t>
            </w:r>
          </w:p>
        </w:tc>
        <w:tc>
          <w:tcPr>
            <w:tcW w:w="222" w:type="pct"/>
            <w:tcBorders>
              <w:top w:val="nil"/>
              <w:left w:val="nil"/>
              <w:bottom w:val="nil"/>
              <w:right w:val="single" w:sz="4" w:space="0" w:color="000000"/>
            </w:tcBorders>
            <w:shd w:val="clear" w:color="auto" w:fill="auto"/>
            <w:vAlign w:val="center"/>
            <w:hideMark/>
          </w:tcPr>
          <w:p w14:paraId="086C971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Tremujor</w:t>
            </w:r>
          </w:p>
        </w:tc>
        <w:tc>
          <w:tcPr>
            <w:tcW w:w="486" w:type="pct"/>
            <w:tcBorders>
              <w:top w:val="nil"/>
              <w:left w:val="nil"/>
              <w:bottom w:val="nil"/>
              <w:right w:val="single" w:sz="4" w:space="0" w:color="auto"/>
            </w:tcBorders>
            <w:shd w:val="clear" w:color="auto" w:fill="auto"/>
            <w:vAlign w:val="center"/>
            <w:hideMark/>
          </w:tcPr>
          <w:p w14:paraId="48ECD3A6" w14:textId="5A63E8C4"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VSHB tremujor me metodën e prodhimit, CUP, PYP, CLV, SA, QY</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2. Taksat mbi produktet CUP, PYP, CLV, SA, QY</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3. Subvencionet mbi produktet CUP, PYP, CLV, SA, QY</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4. PBB tremujore me metodën e prodhimit, CUP, PYP, CLV, SA, QY</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5. KFF tremujore CUP, PYP, CLV, SA, QY</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6. KF Qeveria CUP, PYP, CLV, SA, QY</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7. FBKF tremujor CUP, PYP, CLV, SA, QY</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8. Eksportet total tremujore, CUP, PYP, CLV, SA, QY</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 xml:space="preserve">9. Importet total tremujore, CUP, PYP, CLV, SA, QY. </w:t>
            </w:r>
            <w:r w:rsidRPr="00B31292">
              <w:rPr>
                <w:rFonts w:ascii="Garamond" w:eastAsia="Times New Roman" w:hAnsi="Garamond" w:cs="Times New Roman"/>
                <w:color w:val="000000"/>
                <w:sz w:val="10"/>
                <w:szCs w:val="10"/>
              </w:rPr>
              <w:br/>
              <w:t>10.</w:t>
            </w:r>
            <w:r w:rsidR="00E06236"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Rritja reale e PBB-së tremujore SA, QY.</w:t>
            </w:r>
          </w:p>
        </w:tc>
        <w:tc>
          <w:tcPr>
            <w:tcW w:w="299" w:type="pct"/>
            <w:tcBorders>
              <w:top w:val="nil"/>
              <w:left w:val="nil"/>
              <w:bottom w:val="nil"/>
              <w:right w:val="nil"/>
            </w:tcBorders>
            <w:shd w:val="clear" w:color="000000" w:fill="FFFFFF"/>
            <w:vAlign w:val="center"/>
            <w:hideMark/>
          </w:tcPr>
          <w:p w14:paraId="2859AC86" w14:textId="77777777" w:rsidR="00E06236"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Instituti i Statistikave</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Ministria e Financave dhe Ekonomisë</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Banka e Shqipërisë</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Drejtoria e Përgjithshme e Tatimeve</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Autoriteti i Mbikëqyrjes Financiare</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Agjencia Kombëtare e Burimeve Natyrore</w:t>
            </w:r>
            <w:r w:rsidR="00E06236" w:rsidRPr="00B31292">
              <w:rPr>
                <w:rFonts w:ascii="Garamond" w:eastAsia="Times New Roman" w:hAnsi="Garamond" w:cs="Times New Roman"/>
                <w:color w:val="000000"/>
                <w:sz w:val="10"/>
                <w:szCs w:val="10"/>
              </w:rPr>
              <w:t>,</w:t>
            </w:r>
          </w:p>
          <w:p w14:paraId="40806B09" w14:textId="63CEFC9A"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Enti Rregullator i Energjisë</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Operatori i Sistemit të Transmetimit</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Korporata Elektroenergj</w:t>
            </w:r>
            <w:r w:rsidR="00B31292">
              <w:rPr>
                <w:rFonts w:ascii="Garamond" w:eastAsia="Times New Roman" w:hAnsi="Garamond" w:cs="Times New Roman"/>
                <w:color w:val="000000"/>
                <w:sz w:val="10"/>
                <w:szCs w:val="10"/>
              </w:rPr>
              <w:t>e</w:t>
            </w:r>
            <w:r w:rsidRPr="00B31292">
              <w:rPr>
                <w:rFonts w:ascii="Garamond" w:eastAsia="Times New Roman" w:hAnsi="Garamond" w:cs="Times New Roman"/>
                <w:color w:val="000000"/>
                <w:sz w:val="10"/>
                <w:szCs w:val="10"/>
              </w:rPr>
              <w:t>tike Shqiptare</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r>
            <w:r w:rsidR="002C1D56" w:rsidRPr="00B31292">
              <w:rPr>
                <w:rFonts w:ascii="Garamond" w:eastAsia="Times New Roman" w:hAnsi="Garamond" w:cs="Times New Roman"/>
                <w:color w:val="000000"/>
                <w:sz w:val="10"/>
                <w:szCs w:val="10"/>
              </w:rPr>
              <w:t>Operatori</w:t>
            </w:r>
            <w:r w:rsidRPr="00B31292">
              <w:rPr>
                <w:rFonts w:ascii="Garamond" w:eastAsia="Times New Roman" w:hAnsi="Garamond" w:cs="Times New Roman"/>
                <w:color w:val="000000"/>
                <w:sz w:val="10"/>
                <w:szCs w:val="10"/>
              </w:rPr>
              <w:t xml:space="preserve"> i </w:t>
            </w:r>
            <w:r w:rsidR="002C1D56" w:rsidRPr="00B31292">
              <w:rPr>
                <w:rFonts w:ascii="Garamond" w:eastAsia="Times New Roman" w:hAnsi="Garamond" w:cs="Times New Roman"/>
                <w:color w:val="000000"/>
                <w:sz w:val="10"/>
                <w:szCs w:val="10"/>
              </w:rPr>
              <w:t>Shpërndarjes</w:t>
            </w:r>
            <w:r w:rsidRPr="00B31292">
              <w:rPr>
                <w:rFonts w:ascii="Garamond" w:eastAsia="Times New Roman" w:hAnsi="Garamond" w:cs="Times New Roman"/>
                <w:color w:val="000000"/>
                <w:sz w:val="10"/>
                <w:szCs w:val="10"/>
              </w:rPr>
              <w:t xml:space="preserve"> së Energjisë </w:t>
            </w:r>
          </w:p>
        </w:tc>
        <w:tc>
          <w:tcPr>
            <w:tcW w:w="224" w:type="pct"/>
            <w:tcBorders>
              <w:top w:val="nil"/>
              <w:left w:val="single" w:sz="4" w:space="0" w:color="auto"/>
              <w:bottom w:val="nil"/>
              <w:right w:val="single" w:sz="4" w:space="0" w:color="auto"/>
            </w:tcBorders>
            <w:shd w:val="clear" w:color="auto" w:fill="auto"/>
            <w:vAlign w:val="center"/>
            <w:hideMark/>
          </w:tcPr>
          <w:p w14:paraId="1997090B" w14:textId="12D05AEF"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E06236" w:rsidRPr="00B31292">
              <w:rPr>
                <w:rFonts w:ascii="Garamond" w:eastAsia="Times New Roman" w:hAnsi="Garamond" w:cs="Times New Roman"/>
                <w:color w:val="000000"/>
                <w:sz w:val="10"/>
                <w:szCs w:val="10"/>
              </w:rPr>
              <w:t>-I</w:t>
            </w:r>
          </w:p>
        </w:tc>
        <w:tc>
          <w:tcPr>
            <w:tcW w:w="244" w:type="pct"/>
            <w:tcBorders>
              <w:top w:val="nil"/>
              <w:left w:val="nil"/>
              <w:bottom w:val="single" w:sz="4" w:space="0" w:color="auto"/>
              <w:right w:val="single" w:sz="4" w:space="0" w:color="auto"/>
            </w:tcBorders>
            <w:shd w:val="clear" w:color="000000" w:fill="FFFFFF"/>
            <w:vAlign w:val="center"/>
            <w:hideMark/>
          </w:tcPr>
          <w:p w14:paraId="5242BD7E"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 T+ 45D</w:t>
            </w:r>
          </w:p>
        </w:tc>
        <w:tc>
          <w:tcPr>
            <w:tcW w:w="220" w:type="pct"/>
            <w:tcBorders>
              <w:top w:val="nil"/>
              <w:left w:val="nil"/>
              <w:bottom w:val="single" w:sz="4" w:space="0" w:color="auto"/>
              <w:right w:val="single" w:sz="4" w:space="0" w:color="auto"/>
            </w:tcBorders>
            <w:shd w:val="clear" w:color="000000" w:fill="FFFFFF"/>
            <w:vAlign w:val="center"/>
            <w:hideMark/>
          </w:tcPr>
          <w:p w14:paraId="656C6416"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 T+ 52D</w:t>
            </w:r>
          </w:p>
        </w:tc>
        <w:tc>
          <w:tcPr>
            <w:tcW w:w="220" w:type="pct"/>
            <w:tcBorders>
              <w:top w:val="nil"/>
              <w:left w:val="nil"/>
              <w:bottom w:val="single" w:sz="4" w:space="0" w:color="auto"/>
              <w:right w:val="single" w:sz="4" w:space="0" w:color="auto"/>
            </w:tcBorders>
            <w:shd w:val="clear" w:color="000000" w:fill="FFFFFF"/>
            <w:vAlign w:val="center"/>
            <w:hideMark/>
          </w:tcPr>
          <w:p w14:paraId="0A488D9E"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 T+ 90D</w:t>
            </w:r>
          </w:p>
        </w:tc>
        <w:tc>
          <w:tcPr>
            <w:tcW w:w="346" w:type="pct"/>
            <w:tcBorders>
              <w:top w:val="nil"/>
              <w:left w:val="nil"/>
              <w:bottom w:val="single" w:sz="4" w:space="0" w:color="auto"/>
              <w:right w:val="single" w:sz="4" w:space="0" w:color="auto"/>
            </w:tcBorders>
            <w:shd w:val="clear" w:color="auto" w:fill="auto"/>
            <w:vAlign w:val="center"/>
            <w:hideMark/>
          </w:tcPr>
          <w:p w14:paraId="1C6D8FE9" w14:textId="436BCF4C"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1. Vonesa e marrjes </w:t>
            </w:r>
            <w:r w:rsidR="002C1D56" w:rsidRPr="00B31292">
              <w:rPr>
                <w:rFonts w:ascii="Garamond" w:eastAsia="Times New Roman" w:hAnsi="Garamond" w:cs="Times New Roman"/>
                <w:color w:val="000000"/>
                <w:sz w:val="10"/>
                <w:szCs w:val="10"/>
              </w:rPr>
              <w:t>së të dhënave</w:t>
            </w:r>
            <w:r w:rsidRPr="00B31292">
              <w:rPr>
                <w:rFonts w:ascii="Garamond" w:eastAsia="Times New Roman" w:hAnsi="Garamond" w:cs="Times New Roman"/>
                <w:color w:val="000000"/>
                <w:sz w:val="10"/>
                <w:szCs w:val="10"/>
              </w:rPr>
              <w:t xml:space="preserve"> nga burimet administrative -|- 7</w:t>
            </w:r>
            <w:r w:rsidRPr="00B31292">
              <w:rPr>
                <w:rFonts w:ascii="Garamond" w:eastAsia="Times New Roman" w:hAnsi="Garamond" w:cs="Times New Roman"/>
                <w:color w:val="000000"/>
                <w:sz w:val="10"/>
                <w:szCs w:val="10"/>
              </w:rPr>
              <w:br/>
              <w:t>2. Vonesa e marrjes së të dhënave nga burimet statistikore -|- 5</w:t>
            </w:r>
            <w:r w:rsidRPr="00B31292">
              <w:rPr>
                <w:rFonts w:ascii="Garamond" w:eastAsia="Times New Roman" w:hAnsi="Garamond" w:cs="Times New Roman"/>
                <w:color w:val="000000"/>
                <w:sz w:val="10"/>
                <w:szCs w:val="10"/>
              </w:rPr>
              <w:br/>
              <w:t>3. Cilësia e dobët e të dhënave -|- 5</w:t>
            </w:r>
            <w:r w:rsidRPr="00B31292">
              <w:rPr>
                <w:rFonts w:ascii="Garamond" w:eastAsia="Times New Roman" w:hAnsi="Garamond" w:cs="Times New Roman"/>
                <w:color w:val="000000"/>
                <w:sz w:val="10"/>
                <w:szCs w:val="10"/>
              </w:rPr>
              <w:br/>
              <w:t>4. Gabime të bëra nga stafi ekspert gjatë përpunimit të të dhënave -|- 3</w:t>
            </w:r>
            <w:r w:rsidRPr="00B31292">
              <w:rPr>
                <w:rFonts w:ascii="Garamond" w:eastAsia="Times New Roman" w:hAnsi="Garamond" w:cs="Times New Roman"/>
                <w:color w:val="000000"/>
                <w:sz w:val="10"/>
                <w:szCs w:val="10"/>
              </w:rPr>
              <w:br/>
              <w:t>5. Pezullimi/vonesa e prodhimit dhe shpërndarjes të statistikave zyrtare si pasojë e largimit të stafit -|- 6</w:t>
            </w:r>
          </w:p>
        </w:tc>
        <w:tc>
          <w:tcPr>
            <w:tcW w:w="273" w:type="pct"/>
            <w:tcBorders>
              <w:top w:val="nil"/>
              <w:left w:val="nil"/>
              <w:bottom w:val="single" w:sz="4" w:space="0" w:color="auto"/>
              <w:right w:val="single" w:sz="4" w:space="0" w:color="auto"/>
            </w:tcBorders>
            <w:shd w:val="clear" w:color="auto" w:fill="auto"/>
            <w:vAlign w:val="center"/>
            <w:hideMark/>
          </w:tcPr>
          <w:p w14:paraId="3236A94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Buxhet shteti</w:t>
            </w:r>
          </w:p>
        </w:tc>
      </w:tr>
      <w:tr w:rsidR="000A2254" w:rsidRPr="00B31292" w14:paraId="2ED47EBB" w14:textId="77777777" w:rsidTr="000A2254">
        <w:trPr>
          <w:trHeight w:val="20"/>
        </w:trPr>
        <w:tc>
          <w:tcPr>
            <w:tcW w:w="215" w:type="pct"/>
            <w:tcBorders>
              <w:top w:val="nil"/>
              <w:left w:val="nil"/>
              <w:bottom w:val="nil"/>
              <w:right w:val="nil"/>
            </w:tcBorders>
            <w:shd w:val="clear" w:color="000000" w:fill="FFFFFF"/>
            <w:vAlign w:val="bottom"/>
            <w:hideMark/>
          </w:tcPr>
          <w:p w14:paraId="2182920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29282A9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04F606B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6D6BA477"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single" w:sz="4" w:space="0" w:color="000000"/>
              <w:left w:val="single" w:sz="4" w:space="0" w:color="000000"/>
              <w:bottom w:val="single" w:sz="4" w:space="0" w:color="000000"/>
              <w:right w:val="nil"/>
            </w:tcBorders>
            <w:shd w:val="clear" w:color="000000" w:fill="F0F0F0"/>
            <w:vAlign w:val="center"/>
            <w:hideMark/>
          </w:tcPr>
          <w:p w14:paraId="55916636"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2.1.3</w:t>
            </w:r>
          </w:p>
        </w:tc>
        <w:tc>
          <w:tcPr>
            <w:tcW w:w="4082" w:type="pct"/>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460AFE8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Tabelat burime, përdorime dhe tabelat input-output</w:t>
            </w:r>
          </w:p>
        </w:tc>
      </w:tr>
      <w:tr w:rsidR="000A2254" w:rsidRPr="00B31292" w14:paraId="0CED4E2B" w14:textId="77777777" w:rsidTr="000A2254">
        <w:trPr>
          <w:trHeight w:val="20"/>
        </w:trPr>
        <w:tc>
          <w:tcPr>
            <w:tcW w:w="215" w:type="pct"/>
            <w:tcBorders>
              <w:top w:val="nil"/>
              <w:left w:val="nil"/>
              <w:bottom w:val="nil"/>
              <w:right w:val="nil"/>
            </w:tcBorders>
            <w:shd w:val="clear" w:color="000000" w:fill="FFFFFF"/>
            <w:vAlign w:val="bottom"/>
            <w:hideMark/>
          </w:tcPr>
          <w:p w14:paraId="290E8A0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2DD2DE7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0DACD7C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3ADF3D7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214508D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707021E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000000"/>
              <w:bottom w:val="nil"/>
              <w:right w:val="single" w:sz="4" w:space="0" w:color="000000"/>
            </w:tcBorders>
            <w:shd w:val="clear" w:color="auto" w:fill="auto"/>
            <w:vAlign w:val="center"/>
            <w:hideMark/>
          </w:tcPr>
          <w:p w14:paraId="18D25F6F"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2.1.3.1</w:t>
            </w:r>
          </w:p>
        </w:tc>
        <w:tc>
          <w:tcPr>
            <w:tcW w:w="281" w:type="pct"/>
            <w:tcBorders>
              <w:top w:val="nil"/>
              <w:left w:val="nil"/>
              <w:bottom w:val="nil"/>
              <w:right w:val="single" w:sz="4" w:space="0" w:color="000000"/>
            </w:tcBorders>
            <w:shd w:val="clear" w:color="auto" w:fill="auto"/>
            <w:vAlign w:val="center"/>
            <w:hideMark/>
          </w:tcPr>
          <w:p w14:paraId="59A3F32C" w14:textId="70DCB12A"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xml:space="preserve">Tabelat </w:t>
            </w:r>
            <w:r w:rsidR="00E06236" w:rsidRPr="00B31292">
              <w:rPr>
                <w:rFonts w:ascii="Garamond" w:eastAsia="Times New Roman" w:hAnsi="Garamond" w:cs="Times New Roman"/>
                <w:sz w:val="10"/>
                <w:szCs w:val="10"/>
              </w:rPr>
              <w:t>burim - përdorim</w:t>
            </w:r>
            <w:r w:rsidRPr="00B31292">
              <w:rPr>
                <w:rFonts w:ascii="Garamond" w:eastAsia="Times New Roman" w:hAnsi="Garamond" w:cs="Times New Roman"/>
                <w:sz w:val="10"/>
                <w:szCs w:val="10"/>
              </w:rPr>
              <w:t xml:space="preserve">e </w:t>
            </w:r>
          </w:p>
        </w:tc>
        <w:tc>
          <w:tcPr>
            <w:tcW w:w="236" w:type="pct"/>
            <w:tcBorders>
              <w:top w:val="nil"/>
              <w:left w:val="nil"/>
              <w:bottom w:val="nil"/>
              <w:right w:val="single" w:sz="4" w:space="0" w:color="000000"/>
            </w:tcBorders>
            <w:shd w:val="clear" w:color="auto" w:fill="auto"/>
            <w:vAlign w:val="center"/>
            <w:hideMark/>
          </w:tcPr>
          <w:p w14:paraId="01B4D4A0"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Kombinim i burimeve administrative dhe vrojtimeve</w:t>
            </w:r>
          </w:p>
        </w:tc>
        <w:tc>
          <w:tcPr>
            <w:tcW w:w="238" w:type="pct"/>
            <w:tcBorders>
              <w:top w:val="nil"/>
              <w:left w:val="nil"/>
              <w:bottom w:val="single" w:sz="4" w:space="0" w:color="auto"/>
              <w:right w:val="single" w:sz="4" w:space="0" w:color="auto"/>
            </w:tcBorders>
            <w:shd w:val="clear" w:color="auto" w:fill="auto"/>
            <w:noWrap/>
            <w:vAlign w:val="center"/>
            <w:hideMark/>
          </w:tcPr>
          <w:p w14:paraId="114DB859"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60%</w:t>
            </w:r>
          </w:p>
        </w:tc>
        <w:tc>
          <w:tcPr>
            <w:tcW w:w="180" w:type="pct"/>
            <w:tcBorders>
              <w:top w:val="nil"/>
              <w:left w:val="nil"/>
              <w:bottom w:val="single" w:sz="4" w:space="0" w:color="auto"/>
              <w:right w:val="single" w:sz="4" w:space="0" w:color="auto"/>
            </w:tcBorders>
            <w:shd w:val="clear" w:color="auto" w:fill="auto"/>
            <w:noWrap/>
            <w:vAlign w:val="center"/>
            <w:hideMark/>
          </w:tcPr>
          <w:p w14:paraId="6DA5E6FA"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40%</w:t>
            </w:r>
          </w:p>
        </w:tc>
        <w:tc>
          <w:tcPr>
            <w:tcW w:w="228" w:type="pct"/>
            <w:tcBorders>
              <w:top w:val="nil"/>
              <w:left w:val="nil"/>
              <w:bottom w:val="single" w:sz="4" w:space="0" w:color="auto"/>
              <w:right w:val="single" w:sz="4" w:space="0" w:color="auto"/>
            </w:tcBorders>
            <w:shd w:val="clear" w:color="auto" w:fill="auto"/>
            <w:vAlign w:val="center"/>
            <w:hideMark/>
          </w:tcPr>
          <w:p w14:paraId="109B01F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tcBorders>
              <w:top w:val="nil"/>
              <w:left w:val="nil"/>
              <w:bottom w:val="nil"/>
              <w:right w:val="single" w:sz="4" w:space="0" w:color="000000"/>
            </w:tcBorders>
            <w:shd w:val="clear" w:color="auto" w:fill="auto"/>
            <w:vAlign w:val="center"/>
            <w:hideMark/>
          </w:tcPr>
          <w:p w14:paraId="25A6AE4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Vjetor</w:t>
            </w:r>
          </w:p>
        </w:tc>
        <w:tc>
          <w:tcPr>
            <w:tcW w:w="486" w:type="pct"/>
            <w:tcBorders>
              <w:top w:val="nil"/>
              <w:left w:val="nil"/>
              <w:bottom w:val="nil"/>
              <w:right w:val="single" w:sz="4" w:space="0" w:color="auto"/>
            </w:tcBorders>
            <w:shd w:val="clear" w:color="auto" w:fill="auto"/>
            <w:vAlign w:val="center"/>
            <w:hideMark/>
          </w:tcPr>
          <w:p w14:paraId="0679B6D0" w14:textId="7313A763"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Prodhimi me çmime bazë sipas aktivitetit dhe produkteve</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 Importi (cif/fob)</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 Burime gjithsej me çmime bazë</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4. Taksa</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5. Marzh tregtar dhe transport</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6. Burime gjithsej me çmime tregu</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7. Konsum ndërmjetës</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8. Konsumi final i popullatës</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9. Konsumi final i qeverisë dhe OJF-ve</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r>
            <w:r w:rsidRPr="00B31292">
              <w:rPr>
                <w:rFonts w:ascii="Garamond" w:eastAsia="Times New Roman" w:hAnsi="Garamond" w:cs="Times New Roman"/>
                <w:color w:val="000000"/>
                <w:sz w:val="10"/>
                <w:szCs w:val="10"/>
              </w:rPr>
              <w:lastRenderedPageBreak/>
              <w:t>10. Shpenzimet e konsumit final</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11. Formimi bruto i kapitalit fiks</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12. Ndryshim </w:t>
            </w:r>
            <w:r w:rsidR="00E06236" w:rsidRPr="00B31292">
              <w:rPr>
                <w:rFonts w:ascii="Garamond" w:eastAsia="Times New Roman" w:hAnsi="Garamond" w:cs="Times New Roman"/>
                <w:color w:val="000000"/>
                <w:sz w:val="10"/>
                <w:szCs w:val="10"/>
              </w:rPr>
              <w:t>gjendjeje.</w:t>
            </w:r>
            <w:r w:rsidRPr="00B31292">
              <w:rPr>
                <w:rFonts w:ascii="Garamond" w:eastAsia="Times New Roman" w:hAnsi="Garamond" w:cs="Times New Roman"/>
                <w:color w:val="000000"/>
                <w:sz w:val="10"/>
                <w:szCs w:val="10"/>
              </w:rPr>
              <w:br/>
              <w:t>13. Formimi bruto i kapitalit</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14. Eksportet (FOB)</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15. Përdorimet</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me çmime tregu</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16. Përdorimet gjithsej me çmime tregu</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17. Kompensimi i punonjësve</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18. Taksat neto mbi prodhimin</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19. Amortizimi </w:t>
            </w:r>
            <w:r w:rsidR="00E06236" w:rsidRPr="00B31292">
              <w:rPr>
                <w:rFonts w:ascii="Garamond" w:eastAsia="Times New Roman" w:hAnsi="Garamond" w:cs="Times New Roman"/>
                <w:color w:val="000000"/>
                <w:sz w:val="10"/>
                <w:szCs w:val="10"/>
              </w:rPr>
              <w:t>I</w:t>
            </w:r>
            <w:r w:rsidRPr="00B31292">
              <w:rPr>
                <w:rFonts w:ascii="Garamond" w:eastAsia="Times New Roman" w:hAnsi="Garamond" w:cs="Times New Roman"/>
                <w:color w:val="000000"/>
                <w:sz w:val="10"/>
                <w:szCs w:val="10"/>
              </w:rPr>
              <w:t xml:space="preserve"> kapitali fiks</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20. Surplusi operativ neto</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21. Vlera e </w:t>
            </w:r>
            <w:r w:rsidR="00E06236" w:rsidRPr="00B31292">
              <w:rPr>
                <w:rFonts w:ascii="Garamond" w:eastAsia="Times New Roman" w:hAnsi="Garamond" w:cs="Times New Roman"/>
                <w:color w:val="000000"/>
                <w:sz w:val="10"/>
                <w:szCs w:val="10"/>
              </w:rPr>
              <w:t xml:space="preserve">shtuar bruto </w:t>
            </w:r>
            <w:r w:rsidRPr="00B31292">
              <w:rPr>
                <w:rFonts w:ascii="Garamond" w:eastAsia="Times New Roman" w:hAnsi="Garamond" w:cs="Times New Roman"/>
                <w:color w:val="000000"/>
                <w:sz w:val="10"/>
                <w:szCs w:val="10"/>
              </w:rPr>
              <w:t>me çmime bazë.</w:t>
            </w:r>
          </w:p>
        </w:tc>
        <w:tc>
          <w:tcPr>
            <w:tcW w:w="299" w:type="pct"/>
            <w:tcBorders>
              <w:top w:val="nil"/>
              <w:left w:val="nil"/>
              <w:bottom w:val="nil"/>
              <w:right w:val="nil"/>
            </w:tcBorders>
            <w:shd w:val="clear" w:color="auto" w:fill="auto"/>
            <w:vAlign w:val="center"/>
            <w:hideMark/>
          </w:tcPr>
          <w:p w14:paraId="0667003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lastRenderedPageBreak/>
              <w:t>Instituti i Statistikave</w:t>
            </w:r>
          </w:p>
        </w:tc>
        <w:tc>
          <w:tcPr>
            <w:tcW w:w="224" w:type="pct"/>
            <w:tcBorders>
              <w:top w:val="nil"/>
              <w:left w:val="single" w:sz="4" w:space="0" w:color="auto"/>
              <w:bottom w:val="nil"/>
              <w:right w:val="single" w:sz="4" w:space="0" w:color="auto"/>
            </w:tcBorders>
            <w:shd w:val="clear" w:color="auto" w:fill="auto"/>
            <w:vAlign w:val="center"/>
            <w:hideMark/>
          </w:tcPr>
          <w:p w14:paraId="387EF4E0" w14:textId="39DE3B26"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E06236" w:rsidRPr="00B31292">
              <w:rPr>
                <w:rFonts w:ascii="Garamond" w:eastAsia="Times New Roman" w:hAnsi="Garamond" w:cs="Times New Roman"/>
                <w:color w:val="000000"/>
                <w:sz w:val="10"/>
                <w:szCs w:val="10"/>
              </w:rPr>
              <w:t>-i</w:t>
            </w:r>
          </w:p>
        </w:tc>
        <w:tc>
          <w:tcPr>
            <w:tcW w:w="244" w:type="pct"/>
            <w:tcBorders>
              <w:top w:val="nil"/>
              <w:left w:val="nil"/>
              <w:bottom w:val="single" w:sz="4" w:space="0" w:color="auto"/>
              <w:right w:val="single" w:sz="4" w:space="0" w:color="auto"/>
            </w:tcBorders>
            <w:shd w:val="clear" w:color="000000" w:fill="FFFFFF"/>
            <w:noWrap/>
            <w:vAlign w:val="center"/>
            <w:hideMark/>
          </w:tcPr>
          <w:p w14:paraId="7984FB21"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+ 700 D</w:t>
            </w:r>
          </w:p>
        </w:tc>
        <w:tc>
          <w:tcPr>
            <w:tcW w:w="220" w:type="pct"/>
            <w:tcBorders>
              <w:top w:val="nil"/>
              <w:left w:val="nil"/>
              <w:bottom w:val="single" w:sz="4" w:space="0" w:color="auto"/>
              <w:right w:val="single" w:sz="4" w:space="0" w:color="auto"/>
            </w:tcBorders>
            <w:shd w:val="clear" w:color="000000" w:fill="FFFFFF"/>
            <w:noWrap/>
            <w:vAlign w:val="center"/>
            <w:hideMark/>
          </w:tcPr>
          <w:p w14:paraId="7DA3254F"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+ 970D</w:t>
            </w:r>
          </w:p>
        </w:tc>
        <w:tc>
          <w:tcPr>
            <w:tcW w:w="220" w:type="pct"/>
            <w:tcBorders>
              <w:top w:val="nil"/>
              <w:left w:val="nil"/>
              <w:bottom w:val="single" w:sz="4" w:space="0" w:color="auto"/>
              <w:right w:val="single" w:sz="4" w:space="0" w:color="auto"/>
            </w:tcBorders>
            <w:shd w:val="clear" w:color="000000" w:fill="FFFFFF"/>
            <w:noWrap/>
            <w:vAlign w:val="center"/>
            <w:hideMark/>
          </w:tcPr>
          <w:p w14:paraId="76DB3F82"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+ 970D</w:t>
            </w:r>
          </w:p>
        </w:tc>
        <w:tc>
          <w:tcPr>
            <w:tcW w:w="346" w:type="pct"/>
            <w:tcBorders>
              <w:top w:val="nil"/>
              <w:left w:val="nil"/>
              <w:bottom w:val="single" w:sz="4" w:space="0" w:color="auto"/>
              <w:right w:val="single" w:sz="4" w:space="0" w:color="auto"/>
            </w:tcBorders>
            <w:shd w:val="clear" w:color="000000" w:fill="FFFFFF"/>
            <w:vAlign w:val="center"/>
            <w:hideMark/>
          </w:tcPr>
          <w:p w14:paraId="54204926" w14:textId="7224D29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1. Ndryshimi i bazës ligjore mbi të cilin mbështetet funksionimi i burimit administrativ me impakt në përpilimin e informacionit statistikor dhe vënia në zbatim në mënyrë të menjëhershme nga ana e institucioneve objekt i </w:t>
            </w:r>
            <w:r w:rsidRPr="00B31292">
              <w:rPr>
                <w:rFonts w:ascii="Garamond" w:eastAsia="Times New Roman" w:hAnsi="Garamond" w:cs="Times New Roman"/>
                <w:color w:val="000000"/>
                <w:sz w:val="10"/>
                <w:szCs w:val="10"/>
              </w:rPr>
              <w:lastRenderedPageBreak/>
              <w:t>legjislacionit, me pasojë mosvlerësimin në kohë të Tabelave Burim-Përdorime dhe Input – Output -|- 5</w:t>
            </w:r>
            <w:r w:rsidRPr="00B31292">
              <w:rPr>
                <w:rFonts w:ascii="Garamond" w:eastAsia="Times New Roman" w:hAnsi="Garamond" w:cs="Times New Roman"/>
                <w:color w:val="000000"/>
                <w:sz w:val="10"/>
                <w:szCs w:val="10"/>
              </w:rPr>
              <w:br/>
              <w:t xml:space="preserve">2. Vonesa në marrjen e të dhënave të nevojshme për vlerësimin e komponentëve kryesorë nga njësitë brenda INSTAT duke sjellë si pasojë mospublikimin në kohë të </w:t>
            </w:r>
            <w:r w:rsidR="00C23C70" w:rsidRPr="00B31292">
              <w:rPr>
                <w:rFonts w:ascii="Garamond" w:eastAsia="Times New Roman" w:hAnsi="Garamond" w:cs="Times New Roman"/>
                <w:color w:val="000000"/>
                <w:sz w:val="10"/>
                <w:szCs w:val="10"/>
              </w:rPr>
              <w:t xml:space="preserve">tabelave burim-përdorimeve </w:t>
            </w:r>
            <w:r w:rsidRPr="00B31292">
              <w:rPr>
                <w:rFonts w:ascii="Garamond" w:eastAsia="Times New Roman" w:hAnsi="Garamond" w:cs="Times New Roman"/>
                <w:color w:val="000000"/>
                <w:sz w:val="10"/>
                <w:szCs w:val="10"/>
              </w:rPr>
              <w:t xml:space="preserve">dhe </w:t>
            </w:r>
            <w:r w:rsidR="00C23C70" w:rsidRPr="00B31292">
              <w:rPr>
                <w:rFonts w:ascii="Garamond" w:eastAsia="Times New Roman" w:hAnsi="Garamond" w:cs="Times New Roman"/>
                <w:color w:val="000000"/>
                <w:sz w:val="10"/>
                <w:szCs w:val="10"/>
              </w:rPr>
              <w:t>input-outpu</w:t>
            </w:r>
            <w:r w:rsidRPr="00B31292">
              <w:rPr>
                <w:rFonts w:ascii="Garamond" w:eastAsia="Times New Roman" w:hAnsi="Garamond" w:cs="Times New Roman"/>
                <w:color w:val="000000"/>
                <w:sz w:val="10"/>
                <w:szCs w:val="10"/>
              </w:rPr>
              <w:t>t</w:t>
            </w:r>
            <w:r w:rsidR="00C23C70" w:rsidRPr="00B31292">
              <w:rPr>
                <w:rFonts w:ascii="Garamond" w:eastAsia="Times New Roman" w:hAnsi="Garamond" w:cs="Times New Roman"/>
                <w:color w:val="000000"/>
                <w:sz w:val="10"/>
                <w:szCs w:val="10"/>
              </w:rPr>
              <w:t>eve</w:t>
            </w:r>
            <w:r w:rsidRPr="00B31292">
              <w:rPr>
                <w:rFonts w:ascii="Garamond" w:eastAsia="Times New Roman" w:hAnsi="Garamond" w:cs="Times New Roman"/>
                <w:color w:val="000000"/>
                <w:sz w:val="10"/>
                <w:szCs w:val="10"/>
              </w:rPr>
              <w:t xml:space="preserve"> -|- 5</w:t>
            </w:r>
            <w:r w:rsidRPr="00B31292">
              <w:rPr>
                <w:rFonts w:ascii="Garamond" w:eastAsia="Times New Roman" w:hAnsi="Garamond" w:cs="Times New Roman"/>
                <w:color w:val="000000"/>
                <w:sz w:val="10"/>
                <w:szCs w:val="10"/>
              </w:rPr>
              <w:br/>
              <w:t xml:space="preserve">3. Risku i brendshëm i kohëzgjatjes së procesit të kontrollit në nivel mikro nga ana e specialistëve me pasojë vonesën në procesin e analizimit dhe kontrollit të cilësisë së treguesve </w:t>
            </w:r>
            <w:r w:rsidR="00C23C70" w:rsidRPr="00B31292">
              <w:rPr>
                <w:rFonts w:ascii="Garamond" w:eastAsia="Times New Roman" w:hAnsi="Garamond" w:cs="Times New Roman"/>
                <w:color w:val="000000"/>
                <w:sz w:val="10"/>
                <w:szCs w:val="10"/>
              </w:rPr>
              <w:t xml:space="preserve">tabelave burim-përdorimeve dhe inputeve </w:t>
            </w:r>
            <w:r w:rsidRPr="00B31292">
              <w:rPr>
                <w:rFonts w:ascii="Garamond" w:eastAsia="Times New Roman" w:hAnsi="Garamond" w:cs="Times New Roman"/>
                <w:color w:val="000000"/>
                <w:sz w:val="10"/>
                <w:szCs w:val="10"/>
              </w:rPr>
              <w:t>-|- 5</w:t>
            </w:r>
            <w:r w:rsidRPr="00B31292">
              <w:rPr>
                <w:rFonts w:ascii="Garamond" w:eastAsia="Times New Roman" w:hAnsi="Garamond" w:cs="Times New Roman"/>
                <w:color w:val="000000"/>
                <w:sz w:val="10"/>
                <w:szCs w:val="10"/>
              </w:rPr>
              <w:br/>
              <w:t xml:space="preserve">4. Risku i brendshëm i largimit të stafit me eksperiencë pune me pasojë mospublikimin në kohë të </w:t>
            </w:r>
            <w:r w:rsidR="00C23C70" w:rsidRPr="00B31292">
              <w:rPr>
                <w:rFonts w:ascii="Garamond" w:eastAsia="Times New Roman" w:hAnsi="Garamond" w:cs="Times New Roman"/>
                <w:color w:val="000000"/>
                <w:sz w:val="10"/>
                <w:szCs w:val="10"/>
              </w:rPr>
              <w:t xml:space="preserve">tabelave burim-përdorimeve dhe input-outputeve </w:t>
            </w:r>
            <w:r w:rsidRPr="00B31292">
              <w:rPr>
                <w:rFonts w:ascii="Garamond" w:eastAsia="Times New Roman" w:hAnsi="Garamond" w:cs="Times New Roman"/>
                <w:color w:val="000000"/>
                <w:sz w:val="10"/>
                <w:szCs w:val="10"/>
              </w:rPr>
              <w:t>-|- 5</w:t>
            </w:r>
          </w:p>
        </w:tc>
        <w:tc>
          <w:tcPr>
            <w:tcW w:w="273" w:type="pct"/>
            <w:tcBorders>
              <w:top w:val="nil"/>
              <w:left w:val="nil"/>
              <w:bottom w:val="single" w:sz="4" w:space="0" w:color="auto"/>
              <w:right w:val="single" w:sz="4" w:space="0" w:color="auto"/>
            </w:tcBorders>
            <w:shd w:val="clear" w:color="000000" w:fill="FFFFFF"/>
            <w:vAlign w:val="center"/>
            <w:hideMark/>
          </w:tcPr>
          <w:p w14:paraId="75A3186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lastRenderedPageBreak/>
              <w:t>Buxhet shteti</w:t>
            </w:r>
          </w:p>
        </w:tc>
      </w:tr>
      <w:tr w:rsidR="000A2254" w:rsidRPr="00B31292" w14:paraId="1FE74F7B" w14:textId="77777777" w:rsidTr="000A2254">
        <w:trPr>
          <w:trHeight w:val="20"/>
        </w:trPr>
        <w:tc>
          <w:tcPr>
            <w:tcW w:w="215" w:type="pct"/>
            <w:tcBorders>
              <w:top w:val="nil"/>
              <w:left w:val="nil"/>
              <w:bottom w:val="nil"/>
              <w:right w:val="nil"/>
            </w:tcBorders>
            <w:shd w:val="clear" w:color="000000" w:fill="FFFFFF"/>
            <w:vAlign w:val="bottom"/>
            <w:hideMark/>
          </w:tcPr>
          <w:p w14:paraId="06DC743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5262CBA7"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332B9A9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2AD5586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single" w:sz="4" w:space="0" w:color="000000"/>
              <w:left w:val="single" w:sz="4" w:space="0" w:color="000000"/>
              <w:bottom w:val="single" w:sz="4" w:space="0" w:color="000000"/>
              <w:right w:val="nil"/>
            </w:tcBorders>
            <w:shd w:val="clear" w:color="000000" w:fill="F0F0F0"/>
            <w:vAlign w:val="center"/>
            <w:hideMark/>
          </w:tcPr>
          <w:p w14:paraId="55AE7729"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2.1.4</w:t>
            </w:r>
          </w:p>
        </w:tc>
        <w:tc>
          <w:tcPr>
            <w:tcW w:w="4082" w:type="pct"/>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211E3BC2" w14:textId="5F83512C"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Llogaritë </w:t>
            </w:r>
            <w:r w:rsidR="00E06236" w:rsidRPr="00B31292">
              <w:rPr>
                <w:rFonts w:ascii="Garamond" w:eastAsia="Times New Roman" w:hAnsi="Garamond" w:cs="Times New Roman"/>
                <w:color w:val="000000"/>
                <w:sz w:val="10"/>
                <w:szCs w:val="10"/>
              </w:rPr>
              <w:t>r</w:t>
            </w:r>
            <w:r w:rsidRPr="00B31292">
              <w:rPr>
                <w:rFonts w:ascii="Garamond" w:eastAsia="Times New Roman" w:hAnsi="Garamond" w:cs="Times New Roman"/>
                <w:color w:val="000000"/>
                <w:sz w:val="10"/>
                <w:szCs w:val="10"/>
              </w:rPr>
              <w:t>ajonale</w:t>
            </w:r>
          </w:p>
        </w:tc>
      </w:tr>
      <w:tr w:rsidR="000A2254" w:rsidRPr="00B31292" w14:paraId="5170754E" w14:textId="77777777" w:rsidTr="000A2254">
        <w:trPr>
          <w:trHeight w:val="20"/>
        </w:trPr>
        <w:tc>
          <w:tcPr>
            <w:tcW w:w="215" w:type="pct"/>
            <w:tcBorders>
              <w:top w:val="nil"/>
              <w:left w:val="nil"/>
              <w:bottom w:val="nil"/>
              <w:right w:val="nil"/>
            </w:tcBorders>
            <w:shd w:val="clear" w:color="000000" w:fill="FFFFFF"/>
            <w:vAlign w:val="bottom"/>
            <w:hideMark/>
          </w:tcPr>
          <w:p w14:paraId="07E0D88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57DFB1B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3BB2CC2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554E868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408BAFC7"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49E32AC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000000"/>
              <w:bottom w:val="nil"/>
              <w:right w:val="single" w:sz="4" w:space="0" w:color="000000"/>
            </w:tcBorders>
            <w:shd w:val="clear" w:color="000000" w:fill="FFFFFF"/>
            <w:vAlign w:val="center"/>
            <w:hideMark/>
          </w:tcPr>
          <w:p w14:paraId="2AEBF034"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2.1.4.1</w:t>
            </w:r>
          </w:p>
        </w:tc>
        <w:tc>
          <w:tcPr>
            <w:tcW w:w="281" w:type="pct"/>
            <w:tcBorders>
              <w:top w:val="nil"/>
              <w:left w:val="nil"/>
              <w:bottom w:val="nil"/>
              <w:right w:val="single" w:sz="4" w:space="0" w:color="000000"/>
            </w:tcBorders>
            <w:shd w:val="clear" w:color="000000" w:fill="FFFFFF"/>
            <w:vAlign w:val="center"/>
            <w:hideMark/>
          </w:tcPr>
          <w:p w14:paraId="386AB64F"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Llogaritë rajonale</w:t>
            </w:r>
          </w:p>
        </w:tc>
        <w:tc>
          <w:tcPr>
            <w:tcW w:w="236" w:type="pct"/>
            <w:tcBorders>
              <w:top w:val="nil"/>
              <w:left w:val="nil"/>
              <w:bottom w:val="nil"/>
              <w:right w:val="single" w:sz="4" w:space="0" w:color="000000"/>
            </w:tcBorders>
            <w:shd w:val="clear" w:color="000000" w:fill="FFFFFF"/>
            <w:vAlign w:val="center"/>
            <w:hideMark/>
          </w:tcPr>
          <w:p w14:paraId="70E0D01C"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Kombinim i burimeve administrative dhe vrojtimeve</w:t>
            </w:r>
          </w:p>
        </w:tc>
        <w:tc>
          <w:tcPr>
            <w:tcW w:w="238" w:type="pct"/>
            <w:tcBorders>
              <w:top w:val="nil"/>
              <w:left w:val="nil"/>
              <w:bottom w:val="single" w:sz="4" w:space="0" w:color="auto"/>
              <w:right w:val="single" w:sz="4" w:space="0" w:color="auto"/>
            </w:tcBorders>
            <w:shd w:val="clear" w:color="000000" w:fill="FFFFFF"/>
            <w:noWrap/>
            <w:vAlign w:val="center"/>
            <w:hideMark/>
          </w:tcPr>
          <w:p w14:paraId="7B9CB316"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60%</w:t>
            </w:r>
          </w:p>
        </w:tc>
        <w:tc>
          <w:tcPr>
            <w:tcW w:w="180" w:type="pct"/>
            <w:tcBorders>
              <w:top w:val="nil"/>
              <w:left w:val="nil"/>
              <w:bottom w:val="single" w:sz="4" w:space="0" w:color="auto"/>
              <w:right w:val="single" w:sz="4" w:space="0" w:color="auto"/>
            </w:tcBorders>
            <w:shd w:val="clear" w:color="000000" w:fill="FFFFFF"/>
            <w:noWrap/>
            <w:vAlign w:val="center"/>
            <w:hideMark/>
          </w:tcPr>
          <w:p w14:paraId="458F4901"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40%</w:t>
            </w:r>
          </w:p>
        </w:tc>
        <w:tc>
          <w:tcPr>
            <w:tcW w:w="228" w:type="pct"/>
            <w:tcBorders>
              <w:top w:val="nil"/>
              <w:left w:val="nil"/>
              <w:bottom w:val="single" w:sz="4" w:space="0" w:color="auto"/>
              <w:right w:val="single" w:sz="4" w:space="0" w:color="auto"/>
            </w:tcBorders>
            <w:shd w:val="clear" w:color="000000" w:fill="FFFFFF"/>
            <w:vAlign w:val="center"/>
            <w:hideMark/>
          </w:tcPr>
          <w:p w14:paraId="24F0888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tcBorders>
              <w:top w:val="nil"/>
              <w:left w:val="nil"/>
              <w:bottom w:val="nil"/>
              <w:right w:val="single" w:sz="4" w:space="0" w:color="000000"/>
            </w:tcBorders>
            <w:shd w:val="clear" w:color="000000" w:fill="FFFFFF"/>
            <w:vAlign w:val="center"/>
            <w:hideMark/>
          </w:tcPr>
          <w:p w14:paraId="3AB167D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Vjetor</w:t>
            </w:r>
          </w:p>
        </w:tc>
        <w:tc>
          <w:tcPr>
            <w:tcW w:w="486" w:type="pct"/>
            <w:tcBorders>
              <w:top w:val="nil"/>
              <w:left w:val="nil"/>
              <w:bottom w:val="nil"/>
              <w:right w:val="single" w:sz="4" w:space="0" w:color="000000"/>
            </w:tcBorders>
            <w:shd w:val="clear" w:color="000000" w:fill="FFFFFF"/>
            <w:vAlign w:val="center"/>
            <w:hideMark/>
          </w:tcPr>
          <w:p w14:paraId="42EAB9E4" w14:textId="4BCDDF1F"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1. Vlera e </w:t>
            </w:r>
            <w:r w:rsidR="00E06236" w:rsidRPr="00B31292">
              <w:rPr>
                <w:rFonts w:ascii="Garamond" w:eastAsia="Times New Roman" w:hAnsi="Garamond" w:cs="Times New Roman"/>
                <w:color w:val="000000"/>
                <w:sz w:val="10"/>
                <w:szCs w:val="10"/>
              </w:rPr>
              <w:t>shtuar b</w:t>
            </w:r>
            <w:r w:rsidRPr="00B31292">
              <w:rPr>
                <w:rFonts w:ascii="Garamond" w:eastAsia="Times New Roman" w:hAnsi="Garamond" w:cs="Times New Roman"/>
                <w:color w:val="000000"/>
                <w:sz w:val="10"/>
                <w:szCs w:val="10"/>
              </w:rPr>
              <w:t>ruto sipas rajoneve statistikore nivel</w:t>
            </w:r>
            <w:r w:rsidR="00E06236" w:rsidRPr="00B31292">
              <w:rPr>
                <w:rFonts w:ascii="Garamond" w:eastAsia="Times New Roman" w:hAnsi="Garamond" w:cs="Times New Roman"/>
                <w:color w:val="000000"/>
                <w:sz w:val="10"/>
                <w:szCs w:val="10"/>
              </w:rPr>
              <w:t>et</w:t>
            </w:r>
            <w:r w:rsidRPr="00B31292">
              <w:rPr>
                <w:rFonts w:ascii="Garamond" w:eastAsia="Times New Roman" w:hAnsi="Garamond" w:cs="Times New Roman"/>
                <w:color w:val="000000"/>
                <w:sz w:val="10"/>
                <w:szCs w:val="10"/>
              </w:rPr>
              <w:t xml:space="preserve"> 2 dhe 3, dhe degëve kryesore të ekonomisë</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2. Produkti i </w:t>
            </w:r>
            <w:r w:rsidR="00E06236" w:rsidRPr="00B31292">
              <w:rPr>
                <w:rFonts w:ascii="Garamond" w:eastAsia="Times New Roman" w:hAnsi="Garamond" w:cs="Times New Roman"/>
                <w:color w:val="000000"/>
                <w:sz w:val="10"/>
                <w:szCs w:val="10"/>
              </w:rPr>
              <w:t>brendshëm bruto sipas raj</w:t>
            </w:r>
            <w:r w:rsidRPr="00B31292">
              <w:rPr>
                <w:rFonts w:ascii="Garamond" w:eastAsia="Times New Roman" w:hAnsi="Garamond" w:cs="Times New Roman"/>
                <w:color w:val="000000"/>
                <w:sz w:val="10"/>
                <w:szCs w:val="10"/>
              </w:rPr>
              <w:t>oneve statistikore nivel</w:t>
            </w:r>
            <w:r w:rsidR="00E06236" w:rsidRPr="00B31292">
              <w:rPr>
                <w:rFonts w:ascii="Garamond" w:eastAsia="Times New Roman" w:hAnsi="Garamond" w:cs="Times New Roman"/>
                <w:color w:val="000000"/>
                <w:sz w:val="10"/>
                <w:szCs w:val="10"/>
              </w:rPr>
              <w:t>et</w:t>
            </w:r>
            <w:r w:rsidRPr="00B31292">
              <w:rPr>
                <w:rFonts w:ascii="Garamond" w:eastAsia="Times New Roman" w:hAnsi="Garamond" w:cs="Times New Roman"/>
                <w:color w:val="000000"/>
                <w:sz w:val="10"/>
                <w:szCs w:val="10"/>
              </w:rPr>
              <w:t xml:space="preserve"> 2 dhe 3, dhe degëve kryesore të ekonomisë</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 Rritja reale e PBB-së sipas rajoneve statistikore nivel</w:t>
            </w:r>
            <w:r w:rsidR="00E06236" w:rsidRPr="00B31292">
              <w:rPr>
                <w:rFonts w:ascii="Garamond" w:eastAsia="Times New Roman" w:hAnsi="Garamond" w:cs="Times New Roman"/>
                <w:color w:val="000000"/>
                <w:sz w:val="10"/>
                <w:szCs w:val="10"/>
              </w:rPr>
              <w:t>et</w:t>
            </w:r>
            <w:r w:rsidRPr="00B31292">
              <w:rPr>
                <w:rFonts w:ascii="Garamond" w:eastAsia="Times New Roman" w:hAnsi="Garamond" w:cs="Times New Roman"/>
                <w:color w:val="000000"/>
                <w:sz w:val="10"/>
                <w:szCs w:val="10"/>
              </w:rPr>
              <w:t xml:space="preserve"> 2 dhe 3</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4. Kontributi sipas qarqeve në rritjen ekonomike</w:t>
            </w:r>
            <w:r w:rsidR="00E06236" w:rsidRPr="00B31292">
              <w:rPr>
                <w:rFonts w:ascii="Garamond" w:eastAsia="Times New Roman" w:hAnsi="Garamond" w:cs="Times New Roman"/>
                <w:color w:val="000000"/>
                <w:sz w:val="10"/>
                <w:szCs w:val="10"/>
              </w:rPr>
              <w:t>.</w:t>
            </w:r>
          </w:p>
        </w:tc>
        <w:tc>
          <w:tcPr>
            <w:tcW w:w="299" w:type="pct"/>
            <w:tcBorders>
              <w:top w:val="nil"/>
              <w:left w:val="nil"/>
              <w:bottom w:val="nil"/>
              <w:right w:val="nil"/>
            </w:tcBorders>
            <w:shd w:val="clear" w:color="000000" w:fill="FFFFFF"/>
            <w:vAlign w:val="center"/>
            <w:hideMark/>
          </w:tcPr>
          <w:p w14:paraId="41EA3E8A" w14:textId="3F5C52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Instituti i Statistikave</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Ministria e Financave dhe Ekonomisë</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Banka e Shqipërisë</w:t>
            </w:r>
          </w:p>
        </w:tc>
        <w:tc>
          <w:tcPr>
            <w:tcW w:w="224" w:type="pct"/>
            <w:tcBorders>
              <w:top w:val="nil"/>
              <w:left w:val="single" w:sz="4" w:space="0" w:color="auto"/>
              <w:bottom w:val="single" w:sz="4" w:space="0" w:color="auto"/>
              <w:right w:val="single" w:sz="4" w:space="0" w:color="auto"/>
            </w:tcBorders>
            <w:shd w:val="clear" w:color="000000" w:fill="FFFFFF"/>
            <w:vAlign w:val="center"/>
            <w:hideMark/>
          </w:tcPr>
          <w:p w14:paraId="526DFE63" w14:textId="33A9EA7E"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E06236" w:rsidRPr="00B31292">
              <w:rPr>
                <w:rFonts w:ascii="Garamond" w:eastAsia="Times New Roman" w:hAnsi="Garamond" w:cs="Times New Roman"/>
                <w:color w:val="000000"/>
                <w:sz w:val="10"/>
                <w:szCs w:val="10"/>
              </w:rPr>
              <w:t>-i</w:t>
            </w:r>
          </w:p>
        </w:tc>
        <w:tc>
          <w:tcPr>
            <w:tcW w:w="244" w:type="pct"/>
            <w:tcBorders>
              <w:top w:val="nil"/>
              <w:left w:val="nil"/>
              <w:bottom w:val="single" w:sz="4" w:space="0" w:color="auto"/>
              <w:right w:val="single" w:sz="4" w:space="0" w:color="auto"/>
            </w:tcBorders>
            <w:shd w:val="clear" w:color="000000" w:fill="FFFFFF"/>
            <w:vAlign w:val="center"/>
            <w:hideMark/>
          </w:tcPr>
          <w:p w14:paraId="60C4F607"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+ 455D</w:t>
            </w:r>
          </w:p>
        </w:tc>
        <w:tc>
          <w:tcPr>
            <w:tcW w:w="220" w:type="pct"/>
            <w:tcBorders>
              <w:top w:val="nil"/>
              <w:left w:val="nil"/>
              <w:bottom w:val="single" w:sz="4" w:space="0" w:color="auto"/>
              <w:right w:val="single" w:sz="4" w:space="0" w:color="auto"/>
            </w:tcBorders>
            <w:shd w:val="clear" w:color="000000" w:fill="FFFFFF"/>
            <w:vAlign w:val="center"/>
            <w:hideMark/>
          </w:tcPr>
          <w:p w14:paraId="7F1F511E"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+ 497D</w:t>
            </w:r>
          </w:p>
        </w:tc>
        <w:tc>
          <w:tcPr>
            <w:tcW w:w="220" w:type="pct"/>
            <w:tcBorders>
              <w:top w:val="nil"/>
              <w:left w:val="nil"/>
              <w:bottom w:val="single" w:sz="4" w:space="0" w:color="auto"/>
              <w:right w:val="single" w:sz="4" w:space="0" w:color="auto"/>
            </w:tcBorders>
            <w:shd w:val="clear" w:color="000000" w:fill="FFFFFF"/>
            <w:vAlign w:val="center"/>
            <w:hideMark/>
          </w:tcPr>
          <w:p w14:paraId="6F77DF49"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+ 516D</w:t>
            </w:r>
          </w:p>
        </w:tc>
        <w:tc>
          <w:tcPr>
            <w:tcW w:w="346" w:type="pct"/>
            <w:tcBorders>
              <w:top w:val="nil"/>
              <w:left w:val="nil"/>
              <w:bottom w:val="single" w:sz="4" w:space="0" w:color="auto"/>
              <w:right w:val="single" w:sz="4" w:space="0" w:color="auto"/>
            </w:tcBorders>
            <w:shd w:val="clear" w:color="000000" w:fill="FFFFFF"/>
            <w:vAlign w:val="center"/>
            <w:hideMark/>
          </w:tcPr>
          <w:p w14:paraId="64BDE93B" w14:textId="681DA34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Pezullimi, vonesa e mbledhjes, prodhimit dhe shpërndarjes së Statistikave Zyrtare si pasojë e fatkeqësive natyrore, pandemi globale -|- 6</w:t>
            </w:r>
            <w:r w:rsidRPr="00B31292">
              <w:rPr>
                <w:rFonts w:ascii="Garamond" w:eastAsia="Times New Roman" w:hAnsi="Garamond" w:cs="Times New Roman"/>
                <w:color w:val="000000"/>
                <w:sz w:val="10"/>
                <w:szCs w:val="10"/>
              </w:rPr>
              <w:br/>
              <w:t>2. Mospërmbushja e</w:t>
            </w:r>
            <w:r w:rsidR="003E16E0" w:rsidRPr="00B31292">
              <w:rPr>
                <w:rFonts w:ascii="Garamond" w:eastAsia="Times New Roman" w:hAnsi="Garamond" w:cs="Times New Roman"/>
                <w:color w:val="000000"/>
                <w:sz w:val="10"/>
                <w:szCs w:val="10"/>
              </w:rPr>
              <w:t xml:space="preserve"> </w:t>
            </w:r>
            <w:r w:rsidR="00F667B8" w:rsidRPr="00B31292">
              <w:rPr>
                <w:rFonts w:ascii="Garamond" w:eastAsia="Times New Roman" w:hAnsi="Garamond" w:cs="Times New Roman"/>
                <w:color w:val="000000"/>
                <w:sz w:val="10"/>
                <w:szCs w:val="10"/>
              </w:rPr>
              <w:t>kritereve të cilësisë, si:</w:t>
            </w:r>
            <w:r w:rsidRPr="00B31292">
              <w:rPr>
                <w:rFonts w:ascii="Garamond" w:eastAsia="Times New Roman" w:hAnsi="Garamond" w:cs="Times New Roman"/>
                <w:color w:val="000000"/>
                <w:sz w:val="10"/>
                <w:szCs w:val="10"/>
              </w:rPr>
              <w:t xml:space="preserve"> saktësia, përpikmëria dhe krahasueshmëria për të dhënat administrative dhe statistikore -|- 4</w:t>
            </w:r>
            <w:r w:rsidRPr="00B31292">
              <w:rPr>
                <w:rFonts w:ascii="Garamond" w:eastAsia="Times New Roman" w:hAnsi="Garamond" w:cs="Times New Roman"/>
                <w:color w:val="000000"/>
                <w:sz w:val="10"/>
                <w:szCs w:val="10"/>
              </w:rPr>
              <w:br/>
              <w:t>Kohë e gjatë për kontrollet në nivel mikro -|- 4</w:t>
            </w:r>
            <w:r w:rsidRPr="00B31292">
              <w:rPr>
                <w:rFonts w:ascii="Garamond" w:eastAsia="Times New Roman" w:hAnsi="Garamond" w:cs="Times New Roman"/>
                <w:color w:val="000000"/>
                <w:sz w:val="10"/>
                <w:szCs w:val="10"/>
              </w:rPr>
              <w:br/>
              <w:t xml:space="preserve">3. Pezullimi, vonesa e prodhimit dhe e shpërndarjes së Statistikave Zyrtare si pasojë e largimit të stafit (kryesisht punonjësit e trajnuar dhe me </w:t>
            </w:r>
            <w:r w:rsidR="002C1D56" w:rsidRPr="00B31292">
              <w:rPr>
                <w:rFonts w:ascii="Garamond" w:eastAsia="Times New Roman" w:hAnsi="Garamond" w:cs="Times New Roman"/>
                <w:color w:val="000000"/>
                <w:sz w:val="10"/>
                <w:szCs w:val="10"/>
              </w:rPr>
              <w:t>eksperiencë</w:t>
            </w:r>
            <w:r w:rsidRPr="00B31292">
              <w:rPr>
                <w:rFonts w:ascii="Garamond" w:eastAsia="Times New Roman" w:hAnsi="Garamond" w:cs="Times New Roman"/>
                <w:color w:val="000000"/>
                <w:sz w:val="10"/>
                <w:szCs w:val="10"/>
              </w:rPr>
              <w:t>) -|- 6</w:t>
            </w:r>
            <w:r w:rsidRPr="00B31292">
              <w:rPr>
                <w:rFonts w:ascii="Garamond" w:eastAsia="Times New Roman" w:hAnsi="Garamond" w:cs="Times New Roman"/>
                <w:color w:val="000000"/>
                <w:sz w:val="10"/>
                <w:szCs w:val="10"/>
              </w:rPr>
              <w:br/>
              <w:t xml:space="preserve">4. Vonesa në marrjen e burimeve </w:t>
            </w:r>
            <w:r w:rsidRPr="00B31292">
              <w:rPr>
                <w:rFonts w:ascii="Garamond" w:eastAsia="Times New Roman" w:hAnsi="Garamond" w:cs="Times New Roman"/>
                <w:color w:val="000000"/>
                <w:sz w:val="10"/>
                <w:szCs w:val="10"/>
              </w:rPr>
              <w:lastRenderedPageBreak/>
              <w:t>të të dhënave në kohë dhe me cilësi brenda afateve të përcaktuara -|- 6</w:t>
            </w:r>
          </w:p>
        </w:tc>
        <w:tc>
          <w:tcPr>
            <w:tcW w:w="273" w:type="pct"/>
            <w:tcBorders>
              <w:top w:val="nil"/>
              <w:left w:val="nil"/>
              <w:bottom w:val="single" w:sz="4" w:space="0" w:color="auto"/>
              <w:right w:val="single" w:sz="4" w:space="0" w:color="auto"/>
            </w:tcBorders>
            <w:shd w:val="clear" w:color="000000" w:fill="FFFFFF"/>
            <w:vAlign w:val="center"/>
            <w:hideMark/>
          </w:tcPr>
          <w:p w14:paraId="64A9640F" w14:textId="6FC3B724"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lastRenderedPageBreak/>
              <w:t>Kombinuar (</w:t>
            </w:r>
            <w:r w:rsidR="00C23C70" w:rsidRPr="00B31292">
              <w:rPr>
                <w:rFonts w:ascii="Garamond" w:eastAsia="Times New Roman" w:hAnsi="Garamond" w:cs="Times New Roman"/>
                <w:color w:val="000000"/>
                <w:sz w:val="10"/>
                <w:szCs w:val="10"/>
              </w:rPr>
              <w:t>buxhet shteti + donatorët</w:t>
            </w:r>
            <w:r w:rsidRPr="00B31292">
              <w:rPr>
                <w:rFonts w:ascii="Garamond" w:eastAsia="Times New Roman" w:hAnsi="Garamond" w:cs="Times New Roman"/>
                <w:color w:val="000000"/>
                <w:sz w:val="10"/>
                <w:szCs w:val="10"/>
              </w:rPr>
              <w:t>)</w:t>
            </w:r>
          </w:p>
        </w:tc>
      </w:tr>
      <w:tr w:rsidR="000A2254" w:rsidRPr="00B31292" w14:paraId="27BD7181" w14:textId="77777777" w:rsidTr="000A2254">
        <w:trPr>
          <w:trHeight w:val="20"/>
        </w:trPr>
        <w:tc>
          <w:tcPr>
            <w:tcW w:w="215" w:type="pct"/>
            <w:tcBorders>
              <w:top w:val="nil"/>
              <w:left w:val="nil"/>
              <w:bottom w:val="nil"/>
              <w:right w:val="nil"/>
            </w:tcBorders>
            <w:shd w:val="clear" w:color="000000" w:fill="FFFFFF"/>
            <w:vAlign w:val="bottom"/>
            <w:hideMark/>
          </w:tcPr>
          <w:p w14:paraId="625113B7"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5B6E404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single" w:sz="4" w:space="0" w:color="000000"/>
              <w:left w:val="single" w:sz="4" w:space="0" w:color="000000"/>
              <w:bottom w:val="single" w:sz="4" w:space="0" w:color="000000"/>
              <w:right w:val="nil"/>
            </w:tcBorders>
            <w:shd w:val="clear" w:color="000000" w:fill="F0F0F0"/>
            <w:vAlign w:val="center"/>
            <w:hideMark/>
          </w:tcPr>
          <w:p w14:paraId="2FA4B3BE"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2.2</w:t>
            </w:r>
          </w:p>
        </w:tc>
        <w:tc>
          <w:tcPr>
            <w:tcW w:w="4416" w:type="pct"/>
            <w:gridSpan w:val="18"/>
            <w:tcBorders>
              <w:top w:val="single" w:sz="4" w:space="0" w:color="auto"/>
              <w:left w:val="single" w:sz="4" w:space="0" w:color="auto"/>
              <w:bottom w:val="single" w:sz="4" w:space="0" w:color="auto"/>
              <w:right w:val="single" w:sz="4" w:space="0" w:color="auto"/>
            </w:tcBorders>
            <w:shd w:val="clear" w:color="000000" w:fill="F0F0F0"/>
            <w:vAlign w:val="center"/>
            <w:hideMark/>
          </w:tcPr>
          <w:p w14:paraId="5C90529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Statistikat financiare të qeverisë, fiskale dhe të sektorit publik</w:t>
            </w:r>
          </w:p>
        </w:tc>
      </w:tr>
      <w:tr w:rsidR="000A2254" w:rsidRPr="00B31292" w14:paraId="3647AE06" w14:textId="77777777" w:rsidTr="000A2254">
        <w:trPr>
          <w:trHeight w:val="20"/>
        </w:trPr>
        <w:tc>
          <w:tcPr>
            <w:tcW w:w="215" w:type="pct"/>
            <w:tcBorders>
              <w:top w:val="nil"/>
              <w:left w:val="nil"/>
              <w:bottom w:val="nil"/>
              <w:right w:val="nil"/>
            </w:tcBorders>
            <w:shd w:val="clear" w:color="000000" w:fill="FFFFFF"/>
            <w:vAlign w:val="bottom"/>
            <w:hideMark/>
          </w:tcPr>
          <w:p w14:paraId="29B8250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1870414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2583FC5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537418A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single" w:sz="4" w:space="0" w:color="000000"/>
              <w:bottom w:val="single" w:sz="4" w:space="0" w:color="000000"/>
              <w:right w:val="nil"/>
            </w:tcBorders>
            <w:shd w:val="clear" w:color="000000" w:fill="F0F0F0"/>
            <w:vAlign w:val="center"/>
            <w:hideMark/>
          </w:tcPr>
          <w:p w14:paraId="27E38FD9"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2.2.1</w:t>
            </w:r>
          </w:p>
        </w:tc>
        <w:tc>
          <w:tcPr>
            <w:tcW w:w="4082" w:type="pct"/>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601239F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Llogaritë financiare</w:t>
            </w:r>
          </w:p>
        </w:tc>
      </w:tr>
      <w:tr w:rsidR="000A2254" w:rsidRPr="00B31292" w14:paraId="122E0D1B" w14:textId="77777777" w:rsidTr="000A2254">
        <w:trPr>
          <w:trHeight w:val="20"/>
        </w:trPr>
        <w:tc>
          <w:tcPr>
            <w:tcW w:w="215" w:type="pct"/>
            <w:tcBorders>
              <w:top w:val="nil"/>
              <w:left w:val="nil"/>
              <w:bottom w:val="nil"/>
              <w:right w:val="nil"/>
            </w:tcBorders>
            <w:shd w:val="clear" w:color="000000" w:fill="FFFFFF"/>
            <w:vAlign w:val="bottom"/>
            <w:hideMark/>
          </w:tcPr>
          <w:p w14:paraId="76EBF378"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15" w:type="pct"/>
            <w:tcBorders>
              <w:top w:val="nil"/>
              <w:left w:val="nil"/>
              <w:bottom w:val="nil"/>
              <w:right w:val="nil"/>
            </w:tcBorders>
            <w:shd w:val="clear" w:color="000000" w:fill="FFFFFF"/>
            <w:vAlign w:val="bottom"/>
            <w:hideMark/>
          </w:tcPr>
          <w:p w14:paraId="54E833E2"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155" w:type="pct"/>
            <w:tcBorders>
              <w:top w:val="nil"/>
              <w:left w:val="nil"/>
              <w:bottom w:val="nil"/>
              <w:right w:val="nil"/>
            </w:tcBorders>
            <w:shd w:val="clear" w:color="000000" w:fill="FFFFFF"/>
            <w:vAlign w:val="bottom"/>
            <w:hideMark/>
          </w:tcPr>
          <w:p w14:paraId="6B1B5784"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145" w:type="pct"/>
            <w:tcBorders>
              <w:top w:val="nil"/>
              <w:left w:val="nil"/>
              <w:bottom w:val="nil"/>
              <w:right w:val="nil"/>
            </w:tcBorders>
            <w:shd w:val="clear" w:color="000000" w:fill="FFFFFF"/>
            <w:vAlign w:val="bottom"/>
            <w:hideMark/>
          </w:tcPr>
          <w:p w14:paraId="12F94AC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00B7916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1D51408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auto"/>
              <w:bottom w:val="single" w:sz="4" w:space="0" w:color="auto"/>
              <w:right w:val="single" w:sz="4" w:space="0" w:color="auto"/>
            </w:tcBorders>
            <w:shd w:val="clear" w:color="000000" w:fill="FFFFFF"/>
            <w:vAlign w:val="center"/>
            <w:hideMark/>
          </w:tcPr>
          <w:p w14:paraId="51266D44"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2.2.1.1</w:t>
            </w:r>
          </w:p>
        </w:tc>
        <w:tc>
          <w:tcPr>
            <w:tcW w:w="281" w:type="pct"/>
            <w:tcBorders>
              <w:top w:val="nil"/>
              <w:left w:val="nil"/>
              <w:bottom w:val="single" w:sz="4" w:space="0" w:color="auto"/>
              <w:right w:val="single" w:sz="4" w:space="0" w:color="auto"/>
            </w:tcBorders>
            <w:shd w:val="clear" w:color="000000" w:fill="FFFFFF"/>
            <w:vAlign w:val="center"/>
            <w:hideMark/>
          </w:tcPr>
          <w:p w14:paraId="4A3A9B56" w14:textId="6F80EF1A"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xml:space="preserve">Llogaritë </w:t>
            </w:r>
            <w:r w:rsidR="00E06236" w:rsidRPr="00B31292">
              <w:rPr>
                <w:rFonts w:ascii="Garamond" w:eastAsia="Times New Roman" w:hAnsi="Garamond" w:cs="Times New Roman"/>
                <w:sz w:val="10"/>
                <w:szCs w:val="10"/>
              </w:rPr>
              <w:t>financiare sipas sektorëve institucionalë</w:t>
            </w:r>
          </w:p>
        </w:tc>
        <w:tc>
          <w:tcPr>
            <w:tcW w:w="236" w:type="pct"/>
            <w:tcBorders>
              <w:top w:val="nil"/>
              <w:left w:val="nil"/>
              <w:bottom w:val="single" w:sz="4" w:space="0" w:color="auto"/>
              <w:right w:val="single" w:sz="4" w:space="0" w:color="auto"/>
            </w:tcBorders>
            <w:shd w:val="clear" w:color="000000" w:fill="FFFFFF"/>
            <w:vAlign w:val="center"/>
            <w:hideMark/>
          </w:tcPr>
          <w:p w14:paraId="45661B4B"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Tjetër</w:t>
            </w:r>
          </w:p>
        </w:tc>
        <w:tc>
          <w:tcPr>
            <w:tcW w:w="238" w:type="pct"/>
            <w:tcBorders>
              <w:top w:val="nil"/>
              <w:left w:val="nil"/>
              <w:bottom w:val="single" w:sz="4" w:space="0" w:color="auto"/>
              <w:right w:val="single" w:sz="4" w:space="0" w:color="auto"/>
            </w:tcBorders>
            <w:shd w:val="clear" w:color="000000" w:fill="FFFFFF"/>
            <w:vAlign w:val="center"/>
            <w:hideMark/>
          </w:tcPr>
          <w:p w14:paraId="7931D90B"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180" w:type="pct"/>
            <w:tcBorders>
              <w:top w:val="nil"/>
              <w:left w:val="nil"/>
              <w:bottom w:val="single" w:sz="4" w:space="0" w:color="auto"/>
              <w:right w:val="single" w:sz="4" w:space="0" w:color="auto"/>
            </w:tcBorders>
            <w:shd w:val="clear" w:color="000000" w:fill="FFFFFF"/>
            <w:vAlign w:val="center"/>
            <w:hideMark/>
          </w:tcPr>
          <w:p w14:paraId="0860822C"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28" w:type="pct"/>
            <w:tcBorders>
              <w:top w:val="nil"/>
              <w:left w:val="nil"/>
              <w:bottom w:val="single" w:sz="4" w:space="0" w:color="auto"/>
              <w:right w:val="single" w:sz="4" w:space="0" w:color="auto"/>
            </w:tcBorders>
            <w:shd w:val="clear" w:color="000000" w:fill="FFFFFF"/>
            <w:vAlign w:val="center"/>
            <w:hideMark/>
          </w:tcPr>
          <w:p w14:paraId="796E792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tcBorders>
              <w:top w:val="nil"/>
              <w:left w:val="nil"/>
              <w:bottom w:val="single" w:sz="4" w:space="0" w:color="auto"/>
              <w:right w:val="single" w:sz="4" w:space="0" w:color="auto"/>
            </w:tcBorders>
            <w:shd w:val="clear" w:color="000000" w:fill="FFFFFF"/>
            <w:vAlign w:val="center"/>
            <w:hideMark/>
          </w:tcPr>
          <w:p w14:paraId="1E2B66C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Vjetor</w:t>
            </w:r>
          </w:p>
        </w:tc>
        <w:tc>
          <w:tcPr>
            <w:tcW w:w="486" w:type="pct"/>
            <w:tcBorders>
              <w:top w:val="nil"/>
              <w:left w:val="nil"/>
              <w:bottom w:val="single" w:sz="4" w:space="0" w:color="auto"/>
              <w:right w:val="single" w:sz="4" w:space="0" w:color="auto"/>
            </w:tcBorders>
            <w:shd w:val="clear" w:color="000000" w:fill="FFFFFF"/>
            <w:vAlign w:val="center"/>
            <w:hideMark/>
          </w:tcPr>
          <w:p w14:paraId="02119E9C" w14:textId="0A837AB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Llogaritë financiare të sektorit të korporatave financiare</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2. Llogaritë financiare të jorezidentëve (pjesës </w:t>
            </w:r>
            <w:r w:rsidR="002C1D56" w:rsidRPr="00B31292">
              <w:rPr>
                <w:rFonts w:ascii="Garamond" w:eastAsia="Times New Roman" w:hAnsi="Garamond" w:cs="Times New Roman"/>
                <w:color w:val="000000"/>
                <w:sz w:val="10"/>
                <w:szCs w:val="10"/>
              </w:rPr>
              <w:t>tjetër</w:t>
            </w:r>
            <w:r w:rsidRPr="00B31292">
              <w:rPr>
                <w:rFonts w:ascii="Garamond" w:eastAsia="Times New Roman" w:hAnsi="Garamond" w:cs="Times New Roman"/>
                <w:color w:val="000000"/>
                <w:sz w:val="10"/>
                <w:szCs w:val="10"/>
              </w:rPr>
              <w:t xml:space="preserve"> të botës)</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 Llogaritë financiare të sektorit të qeverisë së përgjithshme</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4. Llogaritë financiare të sektorit të</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korporatave jofinanciare</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5. Llogaritë financiare të ekonomive familjare dhe institucioneve jo me qëllim fitimi në shërbim të ekonomive familjare</w:t>
            </w:r>
            <w:r w:rsidR="00E06236" w:rsidRPr="00B31292">
              <w:rPr>
                <w:rFonts w:ascii="Garamond" w:eastAsia="Times New Roman" w:hAnsi="Garamond" w:cs="Times New Roman"/>
                <w:color w:val="000000"/>
                <w:sz w:val="10"/>
                <w:szCs w:val="10"/>
              </w:rPr>
              <w:t>.</w:t>
            </w:r>
          </w:p>
        </w:tc>
        <w:tc>
          <w:tcPr>
            <w:tcW w:w="299" w:type="pct"/>
            <w:tcBorders>
              <w:top w:val="nil"/>
              <w:left w:val="nil"/>
              <w:bottom w:val="single" w:sz="4" w:space="0" w:color="auto"/>
              <w:right w:val="single" w:sz="4" w:space="0" w:color="auto"/>
            </w:tcBorders>
            <w:shd w:val="clear" w:color="000000" w:fill="FFFFFF"/>
            <w:vAlign w:val="center"/>
            <w:hideMark/>
          </w:tcPr>
          <w:p w14:paraId="78FE6564" w14:textId="2BEB3B9F"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Instituti i Statistikave</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Ministria e Financave dhe Ekonomisë</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Banka e Shqipërisë</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Autoriteti i Mbikëqyrjes Financiare</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Qendra Kombëtare e</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Biznesit (QKB)</w:t>
            </w:r>
          </w:p>
        </w:tc>
        <w:tc>
          <w:tcPr>
            <w:tcW w:w="224" w:type="pct"/>
            <w:tcBorders>
              <w:top w:val="nil"/>
              <w:left w:val="nil"/>
              <w:bottom w:val="single" w:sz="4" w:space="0" w:color="auto"/>
              <w:right w:val="single" w:sz="4" w:space="0" w:color="auto"/>
            </w:tcBorders>
            <w:shd w:val="clear" w:color="000000" w:fill="FFFFFF"/>
            <w:vAlign w:val="center"/>
            <w:hideMark/>
          </w:tcPr>
          <w:p w14:paraId="5284994D" w14:textId="5FF96EE6"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Banka e </w:t>
            </w:r>
            <w:r w:rsidR="002C1D56" w:rsidRPr="00B31292">
              <w:rPr>
                <w:rFonts w:ascii="Garamond" w:eastAsia="Times New Roman" w:hAnsi="Garamond" w:cs="Times New Roman"/>
                <w:color w:val="000000"/>
                <w:sz w:val="10"/>
                <w:szCs w:val="10"/>
              </w:rPr>
              <w:t>Shqipërisë</w:t>
            </w:r>
          </w:p>
        </w:tc>
        <w:tc>
          <w:tcPr>
            <w:tcW w:w="244" w:type="pct"/>
            <w:tcBorders>
              <w:top w:val="nil"/>
              <w:left w:val="nil"/>
              <w:bottom w:val="single" w:sz="4" w:space="0" w:color="auto"/>
              <w:right w:val="single" w:sz="4" w:space="0" w:color="auto"/>
            </w:tcBorders>
            <w:shd w:val="clear" w:color="000000" w:fill="FFFFFF"/>
            <w:vAlign w:val="center"/>
            <w:hideMark/>
          </w:tcPr>
          <w:p w14:paraId="43FA0600"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+ 274 D</w:t>
            </w:r>
          </w:p>
        </w:tc>
        <w:tc>
          <w:tcPr>
            <w:tcW w:w="220" w:type="pct"/>
            <w:tcBorders>
              <w:top w:val="nil"/>
              <w:left w:val="nil"/>
              <w:bottom w:val="single" w:sz="4" w:space="0" w:color="auto"/>
              <w:right w:val="single" w:sz="4" w:space="0" w:color="auto"/>
            </w:tcBorders>
            <w:shd w:val="clear" w:color="000000" w:fill="FFFFFF"/>
            <w:vAlign w:val="center"/>
            <w:hideMark/>
          </w:tcPr>
          <w:p w14:paraId="69C4FE79"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+ 301 D</w:t>
            </w:r>
          </w:p>
        </w:tc>
        <w:tc>
          <w:tcPr>
            <w:tcW w:w="220" w:type="pct"/>
            <w:tcBorders>
              <w:top w:val="nil"/>
              <w:left w:val="nil"/>
              <w:bottom w:val="single" w:sz="4" w:space="0" w:color="auto"/>
              <w:right w:val="single" w:sz="4" w:space="0" w:color="auto"/>
            </w:tcBorders>
            <w:shd w:val="clear" w:color="000000" w:fill="FFFFFF"/>
            <w:vAlign w:val="center"/>
            <w:hideMark/>
          </w:tcPr>
          <w:p w14:paraId="456344F1"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+ 304 D</w:t>
            </w:r>
          </w:p>
        </w:tc>
        <w:tc>
          <w:tcPr>
            <w:tcW w:w="346" w:type="pct"/>
            <w:tcBorders>
              <w:top w:val="nil"/>
              <w:left w:val="nil"/>
              <w:bottom w:val="single" w:sz="4" w:space="0" w:color="auto"/>
              <w:right w:val="single" w:sz="4" w:space="0" w:color="auto"/>
            </w:tcBorders>
            <w:shd w:val="clear" w:color="000000" w:fill="FFFFFF"/>
            <w:vAlign w:val="center"/>
            <w:hideMark/>
          </w:tcPr>
          <w:p w14:paraId="0C58BB5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Vonesa e marrjes së të dhënave nga burimet administrative -|- 4</w:t>
            </w:r>
          </w:p>
        </w:tc>
        <w:tc>
          <w:tcPr>
            <w:tcW w:w="273" w:type="pct"/>
            <w:tcBorders>
              <w:top w:val="nil"/>
              <w:left w:val="nil"/>
              <w:bottom w:val="single" w:sz="4" w:space="0" w:color="auto"/>
              <w:right w:val="single" w:sz="4" w:space="0" w:color="auto"/>
            </w:tcBorders>
            <w:shd w:val="clear" w:color="000000" w:fill="FFFFFF"/>
            <w:vAlign w:val="center"/>
            <w:hideMark/>
          </w:tcPr>
          <w:p w14:paraId="4318317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Buxheti i Bankës</w:t>
            </w:r>
          </w:p>
        </w:tc>
      </w:tr>
      <w:tr w:rsidR="000A2254" w:rsidRPr="00B31292" w14:paraId="6424F93A" w14:textId="77777777" w:rsidTr="000A2254">
        <w:trPr>
          <w:trHeight w:val="20"/>
        </w:trPr>
        <w:tc>
          <w:tcPr>
            <w:tcW w:w="215" w:type="pct"/>
            <w:tcBorders>
              <w:top w:val="nil"/>
              <w:left w:val="nil"/>
              <w:bottom w:val="nil"/>
              <w:right w:val="nil"/>
            </w:tcBorders>
            <w:shd w:val="clear" w:color="000000" w:fill="FFFFFF"/>
            <w:vAlign w:val="bottom"/>
            <w:hideMark/>
          </w:tcPr>
          <w:p w14:paraId="0BB96FB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6400A8E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single" w:sz="4" w:space="0" w:color="000000"/>
              <w:left w:val="single" w:sz="4" w:space="0" w:color="000000"/>
              <w:bottom w:val="single" w:sz="4" w:space="0" w:color="000000"/>
              <w:right w:val="nil"/>
            </w:tcBorders>
            <w:shd w:val="clear" w:color="000000" w:fill="F0F0F0"/>
            <w:vAlign w:val="center"/>
            <w:hideMark/>
          </w:tcPr>
          <w:p w14:paraId="085DBBA9"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2.2</w:t>
            </w:r>
          </w:p>
        </w:tc>
        <w:tc>
          <w:tcPr>
            <w:tcW w:w="4416" w:type="pct"/>
            <w:gridSpan w:val="18"/>
            <w:tcBorders>
              <w:top w:val="single" w:sz="4" w:space="0" w:color="auto"/>
              <w:left w:val="single" w:sz="4" w:space="0" w:color="auto"/>
              <w:bottom w:val="single" w:sz="4" w:space="0" w:color="auto"/>
              <w:right w:val="single" w:sz="4" w:space="0" w:color="auto"/>
            </w:tcBorders>
            <w:shd w:val="clear" w:color="000000" w:fill="F0F0F0"/>
            <w:vAlign w:val="center"/>
            <w:hideMark/>
          </w:tcPr>
          <w:p w14:paraId="0EF4E5E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Statistikat financiare të qeverisë, fiskale dhe të sektorit publik</w:t>
            </w:r>
          </w:p>
        </w:tc>
      </w:tr>
      <w:tr w:rsidR="000A2254" w:rsidRPr="00B31292" w14:paraId="1EF705E3" w14:textId="77777777" w:rsidTr="000A2254">
        <w:trPr>
          <w:trHeight w:val="20"/>
        </w:trPr>
        <w:tc>
          <w:tcPr>
            <w:tcW w:w="215" w:type="pct"/>
            <w:tcBorders>
              <w:top w:val="nil"/>
              <w:left w:val="nil"/>
              <w:bottom w:val="nil"/>
              <w:right w:val="nil"/>
            </w:tcBorders>
            <w:shd w:val="clear" w:color="000000" w:fill="FFFFFF"/>
            <w:vAlign w:val="bottom"/>
            <w:hideMark/>
          </w:tcPr>
          <w:p w14:paraId="797A214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5D5A85C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74CA913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1A328D4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single" w:sz="4" w:space="0" w:color="000000"/>
              <w:bottom w:val="single" w:sz="4" w:space="0" w:color="000000"/>
              <w:right w:val="nil"/>
            </w:tcBorders>
            <w:shd w:val="clear" w:color="000000" w:fill="F0F0F0"/>
            <w:vAlign w:val="center"/>
            <w:hideMark/>
          </w:tcPr>
          <w:p w14:paraId="2061C42B"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2.2.2</w:t>
            </w:r>
          </w:p>
        </w:tc>
        <w:tc>
          <w:tcPr>
            <w:tcW w:w="4082" w:type="pct"/>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61AF5905" w14:textId="443026BF"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Treguesit </w:t>
            </w:r>
            <w:r w:rsidR="00E06236" w:rsidRPr="00B31292">
              <w:rPr>
                <w:rFonts w:ascii="Garamond" w:eastAsia="Times New Roman" w:hAnsi="Garamond" w:cs="Times New Roman"/>
                <w:color w:val="000000"/>
                <w:sz w:val="10"/>
                <w:szCs w:val="10"/>
              </w:rPr>
              <w:t>monetarë dhe financiarë</w:t>
            </w:r>
          </w:p>
        </w:tc>
      </w:tr>
      <w:tr w:rsidR="000A2254" w:rsidRPr="00B31292" w14:paraId="130D671A" w14:textId="77777777" w:rsidTr="000A2254">
        <w:trPr>
          <w:trHeight w:val="20"/>
        </w:trPr>
        <w:tc>
          <w:tcPr>
            <w:tcW w:w="215" w:type="pct"/>
            <w:tcBorders>
              <w:top w:val="nil"/>
              <w:left w:val="nil"/>
              <w:bottom w:val="nil"/>
              <w:right w:val="nil"/>
            </w:tcBorders>
            <w:shd w:val="clear" w:color="000000" w:fill="FFFFFF"/>
            <w:vAlign w:val="bottom"/>
            <w:hideMark/>
          </w:tcPr>
          <w:p w14:paraId="05A98C9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548430E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6E5443B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31B78A3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693F4B9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3C44666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auto"/>
              <w:bottom w:val="single" w:sz="4" w:space="0" w:color="auto"/>
              <w:right w:val="single" w:sz="4" w:space="0" w:color="auto"/>
            </w:tcBorders>
            <w:shd w:val="clear" w:color="000000" w:fill="FFFFFF"/>
            <w:vAlign w:val="center"/>
            <w:hideMark/>
          </w:tcPr>
          <w:p w14:paraId="2719693E"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2.2.2.1</w:t>
            </w:r>
          </w:p>
        </w:tc>
        <w:tc>
          <w:tcPr>
            <w:tcW w:w="281" w:type="pct"/>
            <w:tcBorders>
              <w:top w:val="nil"/>
              <w:left w:val="nil"/>
              <w:bottom w:val="single" w:sz="4" w:space="0" w:color="auto"/>
              <w:right w:val="single" w:sz="4" w:space="0" w:color="auto"/>
            </w:tcBorders>
            <w:shd w:val="clear" w:color="000000" w:fill="FFFFFF"/>
            <w:vAlign w:val="center"/>
            <w:hideMark/>
          </w:tcPr>
          <w:p w14:paraId="14E7319D" w14:textId="11F5425D"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xml:space="preserve">Statistikat </w:t>
            </w:r>
            <w:r w:rsidR="00E06236" w:rsidRPr="00B31292">
              <w:rPr>
                <w:rFonts w:ascii="Garamond" w:eastAsia="Times New Roman" w:hAnsi="Garamond" w:cs="Times New Roman"/>
                <w:sz w:val="10"/>
                <w:szCs w:val="10"/>
              </w:rPr>
              <w:t>monetare dhe financ</w:t>
            </w:r>
            <w:r w:rsidRPr="00B31292">
              <w:rPr>
                <w:rFonts w:ascii="Garamond" w:eastAsia="Times New Roman" w:hAnsi="Garamond" w:cs="Times New Roman"/>
                <w:sz w:val="10"/>
                <w:szCs w:val="10"/>
              </w:rPr>
              <w:t>iare</w:t>
            </w:r>
          </w:p>
        </w:tc>
        <w:tc>
          <w:tcPr>
            <w:tcW w:w="236" w:type="pct"/>
            <w:tcBorders>
              <w:top w:val="nil"/>
              <w:left w:val="nil"/>
              <w:bottom w:val="single" w:sz="4" w:space="0" w:color="auto"/>
              <w:right w:val="single" w:sz="4" w:space="0" w:color="auto"/>
            </w:tcBorders>
            <w:shd w:val="clear" w:color="000000" w:fill="FFFFFF"/>
            <w:vAlign w:val="center"/>
            <w:hideMark/>
          </w:tcPr>
          <w:p w14:paraId="04670F75"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Tjetër</w:t>
            </w:r>
          </w:p>
        </w:tc>
        <w:tc>
          <w:tcPr>
            <w:tcW w:w="238" w:type="pct"/>
            <w:tcBorders>
              <w:top w:val="nil"/>
              <w:left w:val="nil"/>
              <w:bottom w:val="single" w:sz="4" w:space="0" w:color="auto"/>
              <w:right w:val="single" w:sz="4" w:space="0" w:color="auto"/>
            </w:tcBorders>
            <w:shd w:val="clear" w:color="000000" w:fill="FFFFFF"/>
            <w:vAlign w:val="center"/>
            <w:hideMark/>
          </w:tcPr>
          <w:p w14:paraId="00C8B08F"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180" w:type="pct"/>
            <w:tcBorders>
              <w:top w:val="nil"/>
              <w:left w:val="nil"/>
              <w:bottom w:val="single" w:sz="4" w:space="0" w:color="auto"/>
              <w:right w:val="single" w:sz="4" w:space="0" w:color="auto"/>
            </w:tcBorders>
            <w:shd w:val="clear" w:color="000000" w:fill="FFFFFF"/>
            <w:vAlign w:val="center"/>
            <w:hideMark/>
          </w:tcPr>
          <w:p w14:paraId="2E2A0224"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28" w:type="pct"/>
            <w:tcBorders>
              <w:top w:val="nil"/>
              <w:left w:val="nil"/>
              <w:bottom w:val="single" w:sz="4" w:space="0" w:color="auto"/>
              <w:right w:val="single" w:sz="4" w:space="0" w:color="auto"/>
            </w:tcBorders>
            <w:shd w:val="clear" w:color="000000" w:fill="FFFFFF"/>
            <w:vAlign w:val="center"/>
            <w:hideMark/>
          </w:tcPr>
          <w:p w14:paraId="1CA0EEA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tcBorders>
              <w:top w:val="nil"/>
              <w:left w:val="nil"/>
              <w:bottom w:val="single" w:sz="4" w:space="0" w:color="auto"/>
              <w:right w:val="single" w:sz="4" w:space="0" w:color="auto"/>
            </w:tcBorders>
            <w:shd w:val="clear" w:color="000000" w:fill="FFFFFF"/>
            <w:vAlign w:val="center"/>
            <w:hideMark/>
          </w:tcPr>
          <w:p w14:paraId="64F05E4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Mujor</w:t>
            </w:r>
          </w:p>
        </w:tc>
        <w:tc>
          <w:tcPr>
            <w:tcW w:w="486" w:type="pct"/>
            <w:tcBorders>
              <w:top w:val="nil"/>
              <w:left w:val="nil"/>
              <w:bottom w:val="single" w:sz="4" w:space="0" w:color="auto"/>
              <w:right w:val="single" w:sz="4" w:space="0" w:color="auto"/>
            </w:tcBorders>
            <w:shd w:val="clear" w:color="000000" w:fill="FFFFFF"/>
            <w:vAlign w:val="center"/>
            <w:hideMark/>
          </w:tcPr>
          <w:p w14:paraId="745D0D83" w14:textId="3885C24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Agregatët monetarë</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2. Bilanci sektorial dhe paraqitja monetare e bankës qendrore</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3. Bilanci sektorial dhe paraqitja monetare e bankave paradepozituese</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4. Bilanci sektorial dhe paraqitja monetare e korporatave të tjera depozituese</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5. Bilanci sektorial dhe paraqitja monetare e korporatave depozituese</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6. Bilanci sektorial dhe paraqitja monetare e institucioneve të tjera financiare</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7. Depozitat e përfshira në paranë e gjerë sipas sektorëve, afatit në lek dhe valutë</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8. Kredia </w:t>
            </w:r>
            <w:r w:rsidR="002C1D56" w:rsidRPr="00B31292">
              <w:rPr>
                <w:rFonts w:ascii="Garamond" w:eastAsia="Times New Roman" w:hAnsi="Garamond" w:cs="Times New Roman"/>
                <w:color w:val="000000"/>
                <w:sz w:val="10"/>
                <w:szCs w:val="10"/>
              </w:rPr>
              <w:t>për</w:t>
            </w:r>
            <w:r w:rsidRPr="00B31292">
              <w:rPr>
                <w:rFonts w:ascii="Garamond" w:eastAsia="Times New Roman" w:hAnsi="Garamond" w:cs="Times New Roman"/>
                <w:color w:val="000000"/>
                <w:sz w:val="10"/>
                <w:szCs w:val="10"/>
              </w:rPr>
              <w:t xml:space="preserve"> </w:t>
            </w:r>
            <w:r w:rsidR="002C1D56" w:rsidRPr="00B31292">
              <w:rPr>
                <w:rFonts w:ascii="Garamond" w:eastAsia="Times New Roman" w:hAnsi="Garamond" w:cs="Times New Roman"/>
                <w:color w:val="000000"/>
                <w:sz w:val="10"/>
                <w:szCs w:val="10"/>
              </w:rPr>
              <w:t>ekonominë</w:t>
            </w:r>
            <w:r w:rsidRPr="00B31292">
              <w:rPr>
                <w:rFonts w:ascii="Garamond" w:eastAsia="Times New Roman" w:hAnsi="Garamond" w:cs="Times New Roman"/>
                <w:color w:val="000000"/>
                <w:sz w:val="10"/>
                <w:szCs w:val="10"/>
              </w:rPr>
              <w:t xml:space="preserve"> sipas sektorëve institucionalë në lek dhe valutë</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9. Normat e interesit për depozitat dhe huat e reja/gjendje në fund të periudhës dhe sasitë korresponduese</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10. Kursi i këmbimit mesatar mujor</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11. Kursi i këmbimit i </w:t>
            </w:r>
            <w:r w:rsidR="002C1D56" w:rsidRPr="00B31292">
              <w:rPr>
                <w:rFonts w:ascii="Garamond" w:eastAsia="Times New Roman" w:hAnsi="Garamond" w:cs="Times New Roman"/>
                <w:color w:val="000000"/>
                <w:sz w:val="10"/>
                <w:szCs w:val="10"/>
              </w:rPr>
              <w:t>ditës</w:t>
            </w:r>
            <w:r w:rsidRPr="00B31292">
              <w:rPr>
                <w:rFonts w:ascii="Garamond" w:eastAsia="Times New Roman" w:hAnsi="Garamond" w:cs="Times New Roman"/>
                <w:color w:val="000000"/>
                <w:sz w:val="10"/>
                <w:szCs w:val="10"/>
              </w:rPr>
              <w:t xml:space="preserve"> së fundit</w:t>
            </w:r>
            <w:r w:rsidR="00E06236" w:rsidRPr="00B31292">
              <w:rPr>
                <w:rFonts w:ascii="Garamond" w:eastAsia="Times New Roman" w:hAnsi="Garamond" w:cs="Times New Roman"/>
                <w:color w:val="000000"/>
                <w:sz w:val="10"/>
                <w:szCs w:val="10"/>
              </w:rPr>
              <w:t>.</w:t>
            </w:r>
          </w:p>
        </w:tc>
        <w:tc>
          <w:tcPr>
            <w:tcW w:w="299" w:type="pct"/>
            <w:tcBorders>
              <w:top w:val="nil"/>
              <w:left w:val="nil"/>
              <w:bottom w:val="single" w:sz="4" w:space="0" w:color="auto"/>
              <w:right w:val="single" w:sz="4" w:space="0" w:color="auto"/>
            </w:tcBorders>
            <w:shd w:val="clear" w:color="000000" w:fill="FFFFFF"/>
            <w:vAlign w:val="center"/>
            <w:hideMark/>
          </w:tcPr>
          <w:p w14:paraId="30DC4297" w14:textId="7E7AE306"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Banka e Shqipërisë</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Autoriteti i Mbikëqyrjes Financiare</w:t>
            </w:r>
          </w:p>
        </w:tc>
        <w:tc>
          <w:tcPr>
            <w:tcW w:w="224" w:type="pct"/>
            <w:tcBorders>
              <w:top w:val="nil"/>
              <w:left w:val="nil"/>
              <w:bottom w:val="single" w:sz="4" w:space="0" w:color="auto"/>
              <w:right w:val="single" w:sz="4" w:space="0" w:color="auto"/>
            </w:tcBorders>
            <w:shd w:val="clear" w:color="000000" w:fill="FFFFFF"/>
            <w:vAlign w:val="center"/>
            <w:hideMark/>
          </w:tcPr>
          <w:p w14:paraId="0CF37932" w14:textId="5CF8C6BB"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Banka e </w:t>
            </w:r>
            <w:r w:rsidR="002C1D56" w:rsidRPr="00B31292">
              <w:rPr>
                <w:rFonts w:ascii="Garamond" w:eastAsia="Times New Roman" w:hAnsi="Garamond" w:cs="Times New Roman"/>
                <w:color w:val="000000"/>
                <w:sz w:val="10"/>
                <w:szCs w:val="10"/>
              </w:rPr>
              <w:t>Shqipërisë</w:t>
            </w:r>
          </w:p>
        </w:tc>
        <w:tc>
          <w:tcPr>
            <w:tcW w:w="244" w:type="pct"/>
            <w:tcBorders>
              <w:top w:val="nil"/>
              <w:left w:val="nil"/>
              <w:bottom w:val="single" w:sz="4" w:space="0" w:color="auto"/>
              <w:right w:val="single" w:sz="4" w:space="0" w:color="auto"/>
            </w:tcBorders>
            <w:shd w:val="clear" w:color="000000" w:fill="FFFFFF"/>
            <w:vAlign w:val="center"/>
            <w:hideMark/>
          </w:tcPr>
          <w:p w14:paraId="737D1A93"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T + 10D</w:t>
            </w:r>
          </w:p>
        </w:tc>
        <w:tc>
          <w:tcPr>
            <w:tcW w:w="220" w:type="pct"/>
            <w:tcBorders>
              <w:top w:val="nil"/>
              <w:left w:val="nil"/>
              <w:bottom w:val="single" w:sz="4" w:space="0" w:color="auto"/>
              <w:right w:val="single" w:sz="4" w:space="0" w:color="auto"/>
            </w:tcBorders>
            <w:shd w:val="clear" w:color="000000" w:fill="FFFFFF"/>
            <w:vAlign w:val="center"/>
            <w:hideMark/>
          </w:tcPr>
          <w:p w14:paraId="21716813"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T + 25D</w:t>
            </w:r>
          </w:p>
        </w:tc>
        <w:tc>
          <w:tcPr>
            <w:tcW w:w="220" w:type="pct"/>
            <w:tcBorders>
              <w:top w:val="nil"/>
              <w:left w:val="nil"/>
              <w:bottom w:val="single" w:sz="4" w:space="0" w:color="auto"/>
              <w:right w:val="single" w:sz="4" w:space="0" w:color="auto"/>
            </w:tcBorders>
            <w:shd w:val="clear" w:color="000000" w:fill="FFFFFF"/>
            <w:vAlign w:val="center"/>
            <w:hideMark/>
          </w:tcPr>
          <w:p w14:paraId="16B25F52"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T + 28D</w:t>
            </w:r>
          </w:p>
        </w:tc>
        <w:tc>
          <w:tcPr>
            <w:tcW w:w="346" w:type="pct"/>
            <w:tcBorders>
              <w:top w:val="nil"/>
              <w:left w:val="nil"/>
              <w:bottom w:val="single" w:sz="4" w:space="0" w:color="auto"/>
              <w:right w:val="single" w:sz="4" w:space="0" w:color="auto"/>
            </w:tcBorders>
            <w:shd w:val="clear" w:color="000000" w:fill="FFFFFF"/>
            <w:vAlign w:val="center"/>
            <w:hideMark/>
          </w:tcPr>
          <w:p w14:paraId="53FF8C07" w14:textId="0586B10A"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1. Vonesa e marrjes </w:t>
            </w:r>
            <w:r w:rsidR="002C1D56" w:rsidRPr="00B31292">
              <w:rPr>
                <w:rFonts w:ascii="Garamond" w:eastAsia="Times New Roman" w:hAnsi="Garamond" w:cs="Times New Roman"/>
                <w:color w:val="000000"/>
                <w:sz w:val="10"/>
                <w:szCs w:val="10"/>
              </w:rPr>
              <w:t>së të dhënave</w:t>
            </w:r>
            <w:r w:rsidRPr="00B31292">
              <w:rPr>
                <w:rFonts w:ascii="Garamond" w:eastAsia="Times New Roman" w:hAnsi="Garamond" w:cs="Times New Roman"/>
                <w:color w:val="000000"/>
                <w:sz w:val="10"/>
                <w:szCs w:val="10"/>
              </w:rPr>
              <w:t xml:space="preserve"> nga burimet administrative -|- 3</w:t>
            </w:r>
            <w:r w:rsidRPr="00B31292">
              <w:rPr>
                <w:rFonts w:ascii="Garamond" w:eastAsia="Times New Roman" w:hAnsi="Garamond" w:cs="Times New Roman"/>
                <w:color w:val="000000"/>
                <w:sz w:val="10"/>
                <w:szCs w:val="10"/>
              </w:rPr>
              <w:br/>
              <w:t>2. Gabimet në raportimin e të dhënave -|- 3</w:t>
            </w:r>
            <w:r w:rsidRPr="00B31292">
              <w:rPr>
                <w:rFonts w:ascii="Garamond" w:eastAsia="Times New Roman" w:hAnsi="Garamond" w:cs="Times New Roman"/>
                <w:color w:val="000000"/>
                <w:sz w:val="10"/>
                <w:szCs w:val="10"/>
              </w:rPr>
              <w:br/>
              <w:t>3. Mosfunksionimi i sistemit elektronik të raportimit -|- 1</w:t>
            </w:r>
          </w:p>
        </w:tc>
        <w:tc>
          <w:tcPr>
            <w:tcW w:w="273" w:type="pct"/>
            <w:tcBorders>
              <w:top w:val="nil"/>
              <w:left w:val="nil"/>
              <w:bottom w:val="single" w:sz="4" w:space="0" w:color="auto"/>
              <w:right w:val="single" w:sz="4" w:space="0" w:color="auto"/>
            </w:tcBorders>
            <w:shd w:val="clear" w:color="000000" w:fill="FFFFFF"/>
            <w:vAlign w:val="center"/>
            <w:hideMark/>
          </w:tcPr>
          <w:p w14:paraId="0DABCE1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Buxheti i Bankës</w:t>
            </w:r>
          </w:p>
        </w:tc>
      </w:tr>
      <w:tr w:rsidR="000A2254" w:rsidRPr="00B31292" w14:paraId="3DC0BC85" w14:textId="77777777" w:rsidTr="000A2254">
        <w:trPr>
          <w:trHeight w:val="20"/>
        </w:trPr>
        <w:tc>
          <w:tcPr>
            <w:tcW w:w="215" w:type="pct"/>
            <w:tcBorders>
              <w:top w:val="nil"/>
              <w:left w:val="nil"/>
              <w:bottom w:val="nil"/>
              <w:right w:val="nil"/>
            </w:tcBorders>
            <w:shd w:val="clear" w:color="000000" w:fill="FFFFFF"/>
            <w:vAlign w:val="bottom"/>
            <w:hideMark/>
          </w:tcPr>
          <w:p w14:paraId="04390CC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1BAB772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1C06AC4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470BA72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single" w:sz="4" w:space="0" w:color="000000"/>
              <w:left w:val="single" w:sz="4" w:space="0" w:color="000000"/>
              <w:bottom w:val="single" w:sz="4" w:space="0" w:color="000000"/>
              <w:right w:val="nil"/>
            </w:tcBorders>
            <w:shd w:val="clear" w:color="000000" w:fill="F2F2F2"/>
            <w:vAlign w:val="center"/>
            <w:hideMark/>
          </w:tcPr>
          <w:p w14:paraId="2517BBEA"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2.2.3</w:t>
            </w:r>
          </w:p>
        </w:tc>
        <w:tc>
          <w:tcPr>
            <w:tcW w:w="4082" w:type="pct"/>
            <w:gridSpan w:val="16"/>
            <w:tcBorders>
              <w:top w:val="single" w:sz="4" w:space="0" w:color="auto"/>
              <w:left w:val="single" w:sz="4" w:space="0" w:color="auto"/>
              <w:bottom w:val="single" w:sz="4" w:space="0" w:color="auto"/>
              <w:right w:val="single" w:sz="4" w:space="0" w:color="000000"/>
            </w:tcBorders>
            <w:shd w:val="clear" w:color="000000" w:fill="F2F2F2"/>
            <w:vAlign w:val="center"/>
            <w:hideMark/>
          </w:tcPr>
          <w:p w14:paraId="1A90BD74" w14:textId="3EEFF701"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Statistikat </w:t>
            </w:r>
            <w:r w:rsidR="00E06236" w:rsidRPr="00B31292">
              <w:rPr>
                <w:rFonts w:ascii="Garamond" w:eastAsia="Times New Roman" w:hAnsi="Garamond" w:cs="Times New Roman"/>
                <w:color w:val="000000"/>
                <w:sz w:val="10"/>
                <w:szCs w:val="10"/>
              </w:rPr>
              <w:t xml:space="preserve">financiare të qeverisë </w:t>
            </w:r>
            <w:r w:rsidRPr="00B31292">
              <w:rPr>
                <w:rFonts w:ascii="Garamond" w:eastAsia="Times New Roman" w:hAnsi="Garamond" w:cs="Times New Roman"/>
                <w:color w:val="000000"/>
                <w:sz w:val="10"/>
                <w:szCs w:val="10"/>
              </w:rPr>
              <w:t xml:space="preserve">sipas GFSM2014 dhe </w:t>
            </w:r>
            <w:r w:rsidR="00E06236" w:rsidRPr="00B31292">
              <w:rPr>
                <w:rFonts w:ascii="Garamond" w:eastAsia="Times New Roman" w:hAnsi="Garamond" w:cs="Times New Roman"/>
                <w:color w:val="000000"/>
                <w:sz w:val="10"/>
                <w:szCs w:val="10"/>
              </w:rPr>
              <w:t>pasqyrat financiare të konsoliduara të qeverisë</w:t>
            </w:r>
          </w:p>
        </w:tc>
      </w:tr>
      <w:tr w:rsidR="000A2254" w:rsidRPr="00B31292" w14:paraId="3ED22A4F" w14:textId="77777777" w:rsidTr="000A2254">
        <w:trPr>
          <w:trHeight w:val="20"/>
        </w:trPr>
        <w:tc>
          <w:tcPr>
            <w:tcW w:w="215" w:type="pct"/>
            <w:tcBorders>
              <w:top w:val="nil"/>
              <w:left w:val="nil"/>
              <w:bottom w:val="nil"/>
              <w:right w:val="nil"/>
            </w:tcBorders>
            <w:shd w:val="clear" w:color="000000" w:fill="FFFFFF"/>
            <w:vAlign w:val="bottom"/>
            <w:hideMark/>
          </w:tcPr>
          <w:p w14:paraId="260D08B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5D1347F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47BD9F0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5089F15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56FD23E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4857015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000000"/>
              <w:bottom w:val="nil"/>
              <w:right w:val="single" w:sz="4" w:space="0" w:color="000000"/>
            </w:tcBorders>
            <w:shd w:val="clear" w:color="000000" w:fill="FFFFFF"/>
            <w:vAlign w:val="center"/>
            <w:hideMark/>
          </w:tcPr>
          <w:p w14:paraId="4CDBA885"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2.2.3.1</w:t>
            </w:r>
          </w:p>
        </w:tc>
        <w:tc>
          <w:tcPr>
            <w:tcW w:w="281" w:type="pct"/>
            <w:tcBorders>
              <w:top w:val="nil"/>
              <w:left w:val="nil"/>
              <w:bottom w:val="nil"/>
              <w:right w:val="single" w:sz="4" w:space="0" w:color="000000"/>
            </w:tcBorders>
            <w:shd w:val="clear" w:color="000000" w:fill="FFFFFF"/>
            <w:vAlign w:val="center"/>
            <w:hideMark/>
          </w:tcPr>
          <w:p w14:paraId="21DCD374" w14:textId="07C8BCC0"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xml:space="preserve">Statistikat </w:t>
            </w:r>
            <w:r w:rsidR="00E06236" w:rsidRPr="00B31292">
              <w:rPr>
                <w:rFonts w:ascii="Garamond" w:eastAsia="Times New Roman" w:hAnsi="Garamond" w:cs="Times New Roman"/>
                <w:sz w:val="10"/>
                <w:szCs w:val="10"/>
              </w:rPr>
              <w:t xml:space="preserve">financiare të qeverisë </w:t>
            </w:r>
            <w:r w:rsidRPr="00B31292">
              <w:rPr>
                <w:rFonts w:ascii="Garamond" w:eastAsia="Times New Roman" w:hAnsi="Garamond" w:cs="Times New Roman"/>
                <w:sz w:val="10"/>
                <w:szCs w:val="10"/>
              </w:rPr>
              <w:t xml:space="preserve">sipas GFSM2014 dhe </w:t>
            </w:r>
            <w:r w:rsidR="00E06236" w:rsidRPr="00B31292">
              <w:rPr>
                <w:rFonts w:ascii="Garamond" w:eastAsia="Times New Roman" w:hAnsi="Garamond" w:cs="Times New Roman"/>
                <w:sz w:val="10"/>
                <w:szCs w:val="10"/>
              </w:rPr>
              <w:t>pasqyrat financiare të konsoliduara të qeverisë</w:t>
            </w:r>
          </w:p>
        </w:tc>
        <w:tc>
          <w:tcPr>
            <w:tcW w:w="236" w:type="pct"/>
            <w:tcBorders>
              <w:top w:val="nil"/>
              <w:left w:val="nil"/>
              <w:bottom w:val="nil"/>
              <w:right w:val="single" w:sz="4" w:space="0" w:color="000000"/>
            </w:tcBorders>
            <w:shd w:val="clear" w:color="000000" w:fill="FFFFFF"/>
            <w:vAlign w:val="center"/>
            <w:hideMark/>
          </w:tcPr>
          <w:p w14:paraId="2FA8DA84"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Burim administrativ</w:t>
            </w:r>
          </w:p>
        </w:tc>
        <w:tc>
          <w:tcPr>
            <w:tcW w:w="238" w:type="pct"/>
            <w:tcBorders>
              <w:top w:val="nil"/>
              <w:left w:val="nil"/>
              <w:bottom w:val="single" w:sz="4" w:space="0" w:color="auto"/>
              <w:right w:val="single" w:sz="4" w:space="0" w:color="auto"/>
            </w:tcBorders>
            <w:shd w:val="clear" w:color="000000" w:fill="FFFFFF"/>
            <w:noWrap/>
            <w:vAlign w:val="center"/>
            <w:hideMark/>
          </w:tcPr>
          <w:p w14:paraId="7BD3B777"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180" w:type="pct"/>
            <w:tcBorders>
              <w:top w:val="nil"/>
              <w:left w:val="nil"/>
              <w:bottom w:val="single" w:sz="4" w:space="0" w:color="auto"/>
              <w:right w:val="single" w:sz="8" w:space="0" w:color="auto"/>
            </w:tcBorders>
            <w:shd w:val="clear" w:color="000000" w:fill="FFFFFF"/>
            <w:vAlign w:val="center"/>
            <w:hideMark/>
          </w:tcPr>
          <w:p w14:paraId="0432554F"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28" w:type="pct"/>
            <w:tcBorders>
              <w:top w:val="nil"/>
              <w:left w:val="single" w:sz="4" w:space="0" w:color="auto"/>
              <w:bottom w:val="single" w:sz="4" w:space="0" w:color="auto"/>
              <w:right w:val="single" w:sz="4" w:space="0" w:color="auto"/>
            </w:tcBorders>
            <w:shd w:val="clear" w:color="000000" w:fill="FFFFFF"/>
            <w:vAlign w:val="center"/>
            <w:hideMark/>
          </w:tcPr>
          <w:p w14:paraId="19FF5B9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tcBorders>
              <w:top w:val="nil"/>
              <w:left w:val="nil"/>
              <w:bottom w:val="nil"/>
              <w:right w:val="single" w:sz="4" w:space="0" w:color="000000"/>
            </w:tcBorders>
            <w:shd w:val="clear" w:color="000000" w:fill="FFFFFF"/>
            <w:vAlign w:val="center"/>
            <w:hideMark/>
          </w:tcPr>
          <w:p w14:paraId="746989E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Vjetor</w:t>
            </w:r>
          </w:p>
        </w:tc>
        <w:tc>
          <w:tcPr>
            <w:tcW w:w="486" w:type="pct"/>
            <w:tcBorders>
              <w:top w:val="nil"/>
              <w:left w:val="nil"/>
              <w:bottom w:val="nil"/>
              <w:right w:val="single" w:sz="4" w:space="0" w:color="auto"/>
            </w:tcBorders>
            <w:shd w:val="clear" w:color="000000" w:fill="FFFFFF"/>
            <w:vAlign w:val="center"/>
            <w:hideMark/>
          </w:tcPr>
          <w:p w14:paraId="0FDCE2F4" w14:textId="592BD8B5"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1. Pasqyra I </w:t>
            </w:r>
            <w:r w:rsidR="00BA12C3"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Operacionet e </w:t>
            </w:r>
            <w:r w:rsidR="00E06236" w:rsidRPr="00B31292">
              <w:rPr>
                <w:rFonts w:ascii="Garamond" w:eastAsia="Times New Roman" w:hAnsi="Garamond" w:cs="Times New Roman"/>
                <w:color w:val="000000"/>
                <w:sz w:val="10"/>
                <w:szCs w:val="10"/>
              </w:rPr>
              <w:t>qeverisë</w:t>
            </w:r>
            <w:r w:rsidR="00BA12C3" w:rsidRPr="00B31292">
              <w:rPr>
                <w:rFonts w:ascii="Garamond" w:eastAsia="Times New Roman" w:hAnsi="Garamond" w:cs="Times New Roman"/>
                <w:color w:val="000000"/>
                <w:sz w:val="10"/>
                <w:szCs w:val="10"/>
              </w:rPr>
              <w:t>”</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2. Pasqyra II </w:t>
            </w:r>
            <w:r w:rsidR="00BA12C3"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Burimet dhe </w:t>
            </w:r>
            <w:r w:rsidR="00E06236" w:rsidRPr="00B31292">
              <w:rPr>
                <w:rFonts w:ascii="Garamond" w:eastAsia="Times New Roman" w:hAnsi="Garamond" w:cs="Times New Roman"/>
                <w:color w:val="000000"/>
                <w:sz w:val="10"/>
                <w:szCs w:val="10"/>
              </w:rPr>
              <w:t xml:space="preserve">përdorimet </w:t>
            </w:r>
            <w:r w:rsidRPr="00B31292">
              <w:rPr>
                <w:rFonts w:ascii="Garamond" w:eastAsia="Times New Roman" w:hAnsi="Garamond" w:cs="Times New Roman"/>
                <w:color w:val="000000"/>
                <w:sz w:val="10"/>
                <w:szCs w:val="10"/>
              </w:rPr>
              <w:t xml:space="preserve">e </w:t>
            </w:r>
            <w:r w:rsidR="00E06236" w:rsidRPr="00B31292">
              <w:rPr>
                <w:rFonts w:ascii="Garamond" w:eastAsia="Times New Roman" w:hAnsi="Garamond" w:cs="Times New Roman"/>
                <w:color w:val="000000"/>
                <w:sz w:val="10"/>
                <w:szCs w:val="10"/>
              </w:rPr>
              <w:t>parasë</w:t>
            </w:r>
            <w:r w:rsidR="00BA12C3" w:rsidRPr="00B31292">
              <w:rPr>
                <w:rFonts w:ascii="Garamond" w:eastAsia="Times New Roman" w:hAnsi="Garamond" w:cs="Times New Roman"/>
                <w:color w:val="000000"/>
                <w:sz w:val="10"/>
                <w:szCs w:val="10"/>
              </w:rPr>
              <w:t>”</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3. Tabela 1 </w:t>
            </w:r>
            <w:r w:rsidR="00BA12C3"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Të </w:t>
            </w:r>
            <w:r w:rsidR="00E06236" w:rsidRPr="00B31292">
              <w:rPr>
                <w:rFonts w:ascii="Garamond" w:eastAsia="Times New Roman" w:hAnsi="Garamond" w:cs="Times New Roman"/>
                <w:color w:val="000000"/>
                <w:sz w:val="10"/>
                <w:szCs w:val="10"/>
              </w:rPr>
              <w:t>ardhurat</w:t>
            </w:r>
            <w:r w:rsidR="00BA12C3" w:rsidRPr="00B31292">
              <w:rPr>
                <w:rFonts w:ascii="Garamond" w:eastAsia="Times New Roman" w:hAnsi="Garamond" w:cs="Times New Roman"/>
                <w:color w:val="000000"/>
                <w:sz w:val="10"/>
                <w:szCs w:val="10"/>
              </w:rPr>
              <w:t>”</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4. Tabela 2 </w:t>
            </w:r>
            <w:r w:rsidR="00BA12C3"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Shpenzimet </w:t>
            </w:r>
            <w:r w:rsidR="00E06236" w:rsidRPr="00B31292">
              <w:rPr>
                <w:rFonts w:ascii="Garamond" w:eastAsia="Times New Roman" w:hAnsi="Garamond" w:cs="Times New Roman"/>
                <w:color w:val="000000"/>
                <w:sz w:val="10"/>
                <w:szCs w:val="10"/>
              </w:rPr>
              <w:t>korrente</w:t>
            </w:r>
            <w:r w:rsidR="00BA12C3" w:rsidRPr="00B31292">
              <w:rPr>
                <w:rFonts w:ascii="Garamond" w:eastAsia="Times New Roman" w:hAnsi="Garamond" w:cs="Times New Roman"/>
                <w:color w:val="000000"/>
                <w:sz w:val="10"/>
                <w:szCs w:val="10"/>
              </w:rPr>
              <w:t>”</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5. Tabela 3 </w:t>
            </w:r>
            <w:r w:rsidR="00BA12C3"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Transaksionet në </w:t>
            </w:r>
            <w:r w:rsidR="00E06236" w:rsidRPr="00B31292">
              <w:rPr>
                <w:rFonts w:ascii="Garamond" w:eastAsia="Times New Roman" w:hAnsi="Garamond" w:cs="Times New Roman"/>
                <w:color w:val="000000"/>
                <w:sz w:val="10"/>
                <w:szCs w:val="10"/>
              </w:rPr>
              <w:t>aktive dhe pasive</w:t>
            </w:r>
            <w:r w:rsidR="00BA12C3" w:rsidRPr="00B31292">
              <w:rPr>
                <w:rFonts w:ascii="Garamond" w:eastAsia="Times New Roman" w:hAnsi="Garamond" w:cs="Times New Roman"/>
                <w:color w:val="000000"/>
                <w:sz w:val="10"/>
                <w:szCs w:val="10"/>
              </w:rPr>
              <w:t>”</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6. Tabela 6 </w:t>
            </w:r>
            <w:r w:rsidR="00BA12C3"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Bilanci i </w:t>
            </w:r>
            <w:r w:rsidR="00E06236" w:rsidRPr="00B31292">
              <w:rPr>
                <w:rFonts w:ascii="Garamond" w:eastAsia="Times New Roman" w:hAnsi="Garamond" w:cs="Times New Roman"/>
                <w:color w:val="000000"/>
                <w:sz w:val="10"/>
                <w:szCs w:val="10"/>
              </w:rPr>
              <w:t>konsoliduar i qeverisë</w:t>
            </w:r>
            <w:r w:rsidR="00BA12C3" w:rsidRPr="00B31292">
              <w:rPr>
                <w:rFonts w:ascii="Garamond" w:eastAsia="Times New Roman" w:hAnsi="Garamond" w:cs="Times New Roman"/>
                <w:color w:val="000000"/>
                <w:sz w:val="10"/>
                <w:szCs w:val="10"/>
              </w:rPr>
              <w:t>”</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7. Tabela 7 </w:t>
            </w:r>
            <w:r w:rsidR="00BA12C3"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Shpenzimet sipas funksioneve</w:t>
            </w:r>
            <w:r w:rsidR="00BA12C3" w:rsidRPr="00B31292">
              <w:rPr>
                <w:rFonts w:ascii="Garamond" w:eastAsia="Times New Roman" w:hAnsi="Garamond" w:cs="Times New Roman"/>
                <w:color w:val="000000"/>
                <w:sz w:val="10"/>
                <w:szCs w:val="10"/>
              </w:rPr>
              <w:t>”</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8. Tabela 1 </w:t>
            </w:r>
            <w:r w:rsidR="00BA12C3"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Pasqyra e bilancit të konsoliduar</w:t>
            </w:r>
            <w:r w:rsidR="00BA12C3" w:rsidRPr="00B31292">
              <w:rPr>
                <w:rFonts w:ascii="Garamond" w:eastAsia="Times New Roman" w:hAnsi="Garamond" w:cs="Times New Roman"/>
                <w:color w:val="000000"/>
                <w:sz w:val="10"/>
                <w:szCs w:val="10"/>
              </w:rPr>
              <w:t>”</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9. Tabela 2 </w:t>
            </w:r>
            <w:r w:rsidR="00BA12C3"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Pasqyra e </w:t>
            </w:r>
            <w:r w:rsidR="00E06236" w:rsidRPr="00B31292">
              <w:rPr>
                <w:rFonts w:ascii="Garamond" w:eastAsia="Times New Roman" w:hAnsi="Garamond" w:cs="Times New Roman"/>
                <w:color w:val="000000"/>
                <w:sz w:val="10"/>
                <w:szCs w:val="10"/>
              </w:rPr>
              <w:t>rezultatit f</w:t>
            </w:r>
            <w:r w:rsidRPr="00B31292">
              <w:rPr>
                <w:rFonts w:ascii="Garamond" w:eastAsia="Times New Roman" w:hAnsi="Garamond" w:cs="Times New Roman"/>
                <w:color w:val="000000"/>
                <w:sz w:val="10"/>
                <w:szCs w:val="10"/>
              </w:rPr>
              <w:t>inanciar</w:t>
            </w:r>
            <w:r w:rsidR="00BA12C3" w:rsidRPr="00B31292">
              <w:rPr>
                <w:rFonts w:ascii="Garamond" w:eastAsia="Times New Roman" w:hAnsi="Garamond" w:cs="Times New Roman"/>
                <w:color w:val="000000"/>
                <w:sz w:val="10"/>
                <w:szCs w:val="10"/>
              </w:rPr>
              <w:t>”</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10. Tabela 3 </w:t>
            </w:r>
            <w:r w:rsidR="00BA12C3"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Pasqyra e </w:t>
            </w:r>
            <w:r w:rsidR="002C1D56" w:rsidRPr="00B31292">
              <w:rPr>
                <w:rFonts w:ascii="Garamond" w:eastAsia="Times New Roman" w:hAnsi="Garamond" w:cs="Times New Roman"/>
                <w:color w:val="000000"/>
                <w:sz w:val="10"/>
                <w:szCs w:val="10"/>
              </w:rPr>
              <w:t>lëvizjes</w:t>
            </w:r>
            <w:r w:rsidRPr="00B31292">
              <w:rPr>
                <w:rFonts w:ascii="Garamond" w:eastAsia="Times New Roman" w:hAnsi="Garamond" w:cs="Times New Roman"/>
                <w:color w:val="000000"/>
                <w:sz w:val="10"/>
                <w:szCs w:val="10"/>
              </w:rPr>
              <w:t xml:space="preserve"> së </w:t>
            </w:r>
            <w:r w:rsidR="00E06236" w:rsidRPr="00B31292">
              <w:rPr>
                <w:rFonts w:ascii="Garamond" w:eastAsia="Times New Roman" w:hAnsi="Garamond" w:cs="Times New Roman"/>
                <w:i/>
                <w:iCs/>
                <w:color w:val="000000"/>
                <w:sz w:val="10"/>
                <w:szCs w:val="10"/>
              </w:rPr>
              <w:t>c</w:t>
            </w:r>
            <w:r w:rsidRPr="00B31292">
              <w:rPr>
                <w:rFonts w:ascii="Garamond" w:eastAsia="Times New Roman" w:hAnsi="Garamond" w:cs="Times New Roman"/>
                <w:i/>
                <w:iCs/>
                <w:color w:val="000000"/>
                <w:sz w:val="10"/>
                <w:szCs w:val="10"/>
              </w:rPr>
              <w:t>ash</w:t>
            </w:r>
            <w:r w:rsidRPr="00B31292">
              <w:rPr>
                <w:rFonts w:ascii="Garamond" w:eastAsia="Times New Roman" w:hAnsi="Garamond" w:cs="Times New Roman"/>
                <w:color w:val="000000"/>
                <w:sz w:val="10"/>
                <w:szCs w:val="10"/>
              </w:rPr>
              <w:t>-I</w:t>
            </w:r>
            <w:r w:rsidR="00BA12C3" w:rsidRPr="00B31292">
              <w:rPr>
                <w:rFonts w:ascii="Garamond" w:eastAsia="Times New Roman" w:hAnsi="Garamond" w:cs="Times New Roman"/>
                <w:color w:val="000000"/>
                <w:sz w:val="10"/>
                <w:szCs w:val="10"/>
              </w:rPr>
              <w:t>”</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r>
            <w:r w:rsidRPr="00B31292">
              <w:rPr>
                <w:rFonts w:ascii="Garamond" w:eastAsia="Times New Roman" w:hAnsi="Garamond" w:cs="Times New Roman"/>
                <w:color w:val="000000"/>
                <w:sz w:val="10"/>
                <w:szCs w:val="10"/>
              </w:rPr>
              <w:lastRenderedPageBreak/>
              <w:t xml:space="preserve">11. Tabela 4 </w:t>
            </w:r>
            <w:r w:rsidR="00BA12C3"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Pasqyra e </w:t>
            </w:r>
            <w:r w:rsidR="002C1D56" w:rsidRPr="00B31292">
              <w:rPr>
                <w:rFonts w:ascii="Garamond" w:eastAsia="Times New Roman" w:hAnsi="Garamond" w:cs="Times New Roman"/>
                <w:color w:val="000000"/>
                <w:sz w:val="10"/>
                <w:szCs w:val="10"/>
              </w:rPr>
              <w:t>lëvizjeve</w:t>
            </w:r>
            <w:r w:rsidRPr="00B31292">
              <w:rPr>
                <w:rFonts w:ascii="Garamond" w:eastAsia="Times New Roman" w:hAnsi="Garamond" w:cs="Times New Roman"/>
                <w:color w:val="000000"/>
                <w:sz w:val="10"/>
                <w:szCs w:val="10"/>
              </w:rPr>
              <w:t xml:space="preserve"> të kapitalit</w:t>
            </w:r>
            <w:r w:rsidR="00BA12C3" w:rsidRPr="00B31292">
              <w:rPr>
                <w:rFonts w:ascii="Garamond" w:eastAsia="Times New Roman" w:hAnsi="Garamond" w:cs="Times New Roman"/>
                <w:color w:val="000000"/>
                <w:sz w:val="10"/>
                <w:szCs w:val="10"/>
              </w:rPr>
              <w:t>”</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12. Tabela 5 </w:t>
            </w:r>
            <w:r w:rsidR="00BA12C3"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Pasqyra e </w:t>
            </w:r>
            <w:r w:rsidR="00E06236" w:rsidRPr="00B31292">
              <w:rPr>
                <w:rFonts w:ascii="Garamond" w:eastAsia="Times New Roman" w:hAnsi="Garamond" w:cs="Times New Roman"/>
                <w:color w:val="000000"/>
                <w:sz w:val="10"/>
                <w:szCs w:val="10"/>
              </w:rPr>
              <w:t>aseteve fikse</w:t>
            </w:r>
            <w:r w:rsidR="00BA12C3" w:rsidRPr="00B31292">
              <w:rPr>
                <w:rFonts w:ascii="Garamond" w:eastAsia="Times New Roman" w:hAnsi="Garamond" w:cs="Times New Roman"/>
                <w:color w:val="000000"/>
                <w:sz w:val="10"/>
                <w:szCs w:val="10"/>
              </w:rPr>
              <w:t>”</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13. Tabela 6 </w:t>
            </w:r>
            <w:r w:rsidR="00BA12C3" w:rsidRPr="00B31292">
              <w:rPr>
                <w:rFonts w:ascii="Garamond" w:eastAsia="Times New Roman" w:hAnsi="Garamond" w:cs="Times New Roman"/>
                <w:color w:val="000000"/>
                <w:sz w:val="10"/>
                <w:szCs w:val="10"/>
              </w:rPr>
              <w:t>“</w:t>
            </w:r>
            <w:r w:rsidR="00E06236" w:rsidRPr="00B31292">
              <w:rPr>
                <w:rFonts w:ascii="Garamond" w:eastAsia="Times New Roman" w:hAnsi="Garamond" w:cs="Times New Roman"/>
                <w:color w:val="000000"/>
                <w:sz w:val="10"/>
                <w:szCs w:val="10"/>
              </w:rPr>
              <w:t>pasqyra e burimeve dhe shpen</w:t>
            </w:r>
            <w:r w:rsidRPr="00B31292">
              <w:rPr>
                <w:rFonts w:ascii="Garamond" w:eastAsia="Times New Roman" w:hAnsi="Garamond" w:cs="Times New Roman"/>
                <w:color w:val="000000"/>
                <w:sz w:val="10"/>
                <w:szCs w:val="10"/>
              </w:rPr>
              <w:t>zimeve për investime</w:t>
            </w:r>
            <w:r w:rsidR="00BA12C3" w:rsidRPr="00B31292">
              <w:rPr>
                <w:rFonts w:ascii="Garamond" w:eastAsia="Times New Roman" w:hAnsi="Garamond" w:cs="Times New Roman"/>
                <w:color w:val="000000"/>
                <w:sz w:val="10"/>
                <w:szCs w:val="10"/>
              </w:rPr>
              <w:t>”</w:t>
            </w:r>
            <w:r w:rsidR="00E06236" w:rsidRPr="00B31292">
              <w:rPr>
                <w:rFonts w:ascii="Garamond" w:eastAsia="Times New Roman" w:hAnsi="Garamond" w:cs="Times New Roman"/>
                <w:color w:val="000000"/>
                <w:sz w:val="10"/>
                <w:szCs w:val="10"/>
              </w:rPr>
              <w:t>.</w:t>
            </w:r>
          </w:p>
        </w:tc>
        <w:tc>
          <w:tcPr>
            <w:tcW w:w="299" w:type="pct"/>
            <w:tcBorders>
              <w:top w:val="nil"/>
              <w:left w:val="nil"/>
              <w:bottom w:val="nil"/>
              <w:right w:val="single" w:sz="4" w:space="0" w:color="auto"/>
            </w:tcBorders>
            <w:shd w:val="clear" w:color="000000" w:fill="FFFFFF"/>
            <w:vAlign w:val="center"/>
            <w:hideMark/>
          </w:tcPr>
          <w:p w14:paraId="27FB5161" w14:textId="7480437D"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lastRenderedPageBreak/>
              <w:t>Instituti i Statistikave</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Ministria e Financave dhe Ekonomisë</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Banka e Shqipërisë</w:t>
            </w:r>
          </w:p>
        </w:tc>
        <w:tc>
          <w:tcPr>
            <w:tcW w:w="224" w:type="pct"/>
            <w:tcBorders>
              <w:top w:val="nil"/>
              <w:left w:val="nil"/>
              <w:bottom w:val="nil"/>
              <w:right w:val="single" w:sz="4" w:space="0" w:color="auto"/>
            </w:tcBorders>
            <w:shd w:val="clear" w:color="000000" w:fill="FFFFFF"/>
            <w:vAlign w:val="center"/>
            <w:hideMark/>
          </w:tcPr>
          <w:p w14:paraId="6F6DCC8E" w14:textId="531BE894"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Ministria e Financave dhe </w:t>
            </w:r>
            <w:r w:rsidR="002C1D56" w:rsidRPr="00B31292">
              <w:rPr>
                <w:rFonts w:ascii="Garamond" w:eastAsia="Times New Roman" w:hAnsi="Garamond" w:cs="Times New Roman"/>
                <w:color w:val="000000"/>
                <w:sz w:val="10"/>
                <w:szCs w:val="10"/>
              </w:rPr>
              <w:t>Ekonomisë</w:t>
            </w:r>
          </w:p>
        </w:tc>
        <w:tc>
          <w:tcPr>
            <w:tcW w:w="244" w:type="pct"/>
            <w:tcBorders>
              <w:top w:val="nil"/>
              <w:left w:val="nil"/>
              <w:bottom w:val="nil"/>
              <w:right w:val="single" w:sz="4" w:space="0" w:color="auto"/>
            </w:tcBorders>
            <w:shd w:val="clear" w:color="000000" w:fill="FFFFFF"/>
            <w:vAlign w:val="center"/>
            <w:hideMark/>
          </w:tcPr>
          <w:p w14:paraId="624D4704"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+ 181D</w:t>
            </w:r>
          </w:p>
        </w:tc>
        <w:tc>
          <w:tcPr>
            <w:tcW w:w="220" w:type="pct"/>
            <w:tcBorders>
              <w:top w:val="nil"/>
              <w:left w:val="nil"/>
              <w:bottom w:val="nil"/>
              <w:right w:val="single" w:sz="4" w:space="0" w:color="auto"/>
            </w:tcBorders>
            <w:shd w:val="clear" w:color="000000" w:fill="FFFFFF"/>
            <w:vAlign w:val="center"/>
            <w:hideMark/>
          </w:tcPr>
          <w:p w14:paraId="49AA3FCA"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+ 273D</w:t>
            </w:r>
          </w:p>
        </w:tc>
        <w:tc>
          <w:tcPr>
            <w:tcW w:w="220" w:type="pct"/>
            <w:tcBorders>
              <w:top w:val="nil"/>
              <w:left w:val="nil"/>
              <w:bottom w:val="nil"/>
              <w:right w:val="single" w:sz="4" w:space="0" w:color="auto"/>
            </w:tcBorders>
            <w:shd w:val="clear" w:color="000000" w:fill="FFFFFF"/>
            <w:vAlign w:val="center"/>
            <w:hideMark/>
          </w:tcPr>
          <w:p w14:paraId="235E1255"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+ 273D</w:t>
            </w:r>
          </w:p>
        </w:tc>
        <w:tc>
          <w:tcPr>
            <w:tcW w:w="346" w:type="pct"/>
            <w:tcBorders>
              <w:top w:val="nil"/>
              <w:left w:val="nil"/>
              <w:bottom w:val="nil"/>
              <w:right w:val="single" w:sz="4" w:space="0" w:color="auto"/>
            </w:tcBorders>
            <w:shd w:val="clear" w:color="000000" w:fill="FFFFFF"/>
            <w:vAlign w:val="center"/>
            <w:hideMark/>
          </w:tcPr>
          <w:p w14:paraId="6AF21A92" w14:textId="14DC9131"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1. Vonesa e dorëzimit të </w:t>
            </w:r>
            <w:r w:rsidR="00C23C70" w:rsidRPr="00B31292">
              <w:rPr>
                <w:rFonts w:ascii="Garamond" w:eastAsia="Times New Roman" w:hAnsi="Garamond" w:cs="Times New Roman"/>
                <w:color w:val="000000"/>
                <w:sz w:val="10"/>
                <w:szCs w:val="10"/>
              </w:rPr>
              <w:t xml:space="preserve">pasqyrave financiare </w:t>
            </w:r>
            <w:r w:rsidRPr="00B31292">
              <w:rPr>
                <w:rFonts w:ascii="Garamond" w:eastAsia="Times New Roman" w:hAnsi="Garamond" w:cs="Times New Roman"/>
                <w:color w:val="000000"/>
                <w:sz w:val="10"/>
                <w:szCs w:val="10"/>
              </w:rPr>
              <w:t>në MFE (me vones</w:t>
            </w:r>
            <w:r w:rsidR="00C23C70"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deri në </w:t>
            </w:r>
            <w:r w:rsidR="00C23C70" w:rsidRPr="00B31292">
              <w:rPr>
                <w:rFonts w:ascii="Garamond" w:eastAsia="Times New Roman" w:hAnsi="Garamond" w:cs="Times New Roman"/>
                <w:color w:val="000000"/>
                <w:sz w:val="10"/>
                <w:szCs w:val="10"/>
              </w:rPr>
              <w:t>korrik–gusht</w:t>
            </w:r>
            <w:r w:rsidRPr="00B31292">
              <w:rPr>
                <w:rFonts w:ascii="Garamond" w:eastAsia="Times New Roman" w:hAnsi="Garamond" w:cs="Times New Roman"/>
                <w:color w:val="000000"/>
                <w:sz w:val="10"/>
                <w:szCs w:val="10"/>
              </w:rPr>
              <w:t>) -|- 5</w:t>
            </w:r>
          </w:p>
        </w:tc>
        <w:tc>
          <w:tcPr>
            <w:tcW w:w="273" w:type="pct"/>
            <w:tcBorders>
              <w:top w:val="nil"/>
              <w:left w:val="nil"/>
              <w:bottom w:val="nil"/>
              <w:right w:val="single" w:sz="4" w:space="0" w:color="auto"/>
            </w:tcBorders>
            <w:shd w:val="clear" w:color="000000" w:fill="FFFFFF"/>
            <w:vAlign w:val="center"/>
            <w:hideMark/>
          </w:tcPr>
          <w:p w14:paraId="64F24F1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Buxhet shteti</w:t>
            </w:r>
          </w:p>
        </w:tc>
      </w:tr>
      <w:tr w:rsidR="000A2254" w:rsidRPr="00B31292" w14:paraId="058C796E" w14:textId="77777777" w:rsidTr="000A2254">
        <w:trPr>
          <w:trHeight w:val="20"/>
        </w:trPr>
        <w:tc>
          <w:tcPr>
            <w:tcW w:w="215" w:type="pct"/>
            <w:tcBorders>
              <w:top w:val="nil"/>
              <w:left w:val="nil"/>
              <w:bottom w:val="nil"/>
              <w:right w:val="nil"/>
            </w:tcBorders>
            <w:shd w:val="clear" w:color="000000" w:fill="FFFFFF"/>
            <w:vAlign w:val="bottom"/>
            <w:hideMark/>
          </w:tcPr>
          <w:p w14:paraId="1FADEE9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6EA610A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73D9F10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0B002D8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single" w:sz="4" w:space="0" w:color="000000"/>
              <w:left w:val="single" w:sz="4" w:space="0" w:color="000000"/>
              <w:bottom w:val="single" w:sz="4" w:space="0" w:color="000000"/>
              <w:right w:val="nil"/>
            </w:tcBorders>
            <w:shd w:val="clear" w:color="000000" w:fill="F2F2F2"/>
            <w:vAlign w:val="center"/>
            <w:hideMark/>
          </w:tcPr>
          <w:p w14:paraId="20E040E2"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2.2.4</w:t>
            </w:r>
          </w:p>
        </w:tc>
        <w:tc>
          <w:tcPr>
            <w:tcW w:w="4082" w:type="pct"/>
            <w:gridSpan w:val="16"/>
            <w:tcBorders>
              <w:top w:val="single" w:sz="4" w:space="0" w:color="auto"/>
              <w:left w:val="single" w:sz="4" w:space="0" w:color="auto"/>
              <w:bottom w:val="single" w:sz="4" w:space="0" w:color="auto"/>
              <w:right w:val="single" w:sz="4" w:space="0" w:color="000000"/>
            </w:tcBorders>
            <w:shd w:val="clear" w:color="000000" w:fill="F2F2F2"/>
            <w:vAlign w:val="center"/>
            <w:hideMark/>
          </w:tcPr>
          <w:p w14:paraId="5625DC97" w14:textId="4F3AA082"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Statistikat e </w:t>
            </w:r>
            <w:r w:rsidR="00E06236" w:rsidRPr="00B31292">
              <w:rPr>
                <w:rFonts w:ascii="Garamond" w:eastAsia="Times New Roman" w:hAnsi="Garamond" w:cs="Times New Roman"/>
                <w:color w:val="000000"/>
                <w:sz w:val="10"/>
                <w:szCs w:val="10"/>
              </w:rPr>
              <w:t>b</w:t>
            </w:r>
            <w:r w:rsidRPr="00B31292">
              <w:rPr>
                <w:rFonts w:ascii="Garamond" w:eastAsia="Times New Roman" w:hAnsi="Garamond" w:cs="Times New Roman"/>
                <w:color w:val="000000"/>
                <w:sz w:val="10"/>
                <w:szCs w:val="10"/>
              </w:rPr>
              <w:t>orxhit të sektorit buxhetor të qeverisë dhe borxhit të garantuar</w:t>
            </w:r>
          </w:p>
        </w:tc>
      </w:tr>
      <w:tr w:rsidR="000A2254" w:rsidRPr="00B31292" w14:paraId="1B938345" w14:textId="77777777" w:rsidTr="000A2254">
        <w:trPr>
          <w:trHeight w:val="20"/>
        </w:trPr>
        <w:tc>
          <w:tcPr>
            <w:tcW w:w="215" w:type="pct"/>
            <w:tcBorders>
              <w:top w:val="nil"/>
              <w:left w:val="nil"/>
              <w:bottom w:val="nil"/>
              <w:right w:val="nil"/>
            </w:tcBorders>
            <w:shd w:val="clear" w:color="000000" w:fill="FFFFFF"/>
            <w:vAlign w:val="bottom"/>
            <w:hideMark/>
          </w:tcPr>
          <w:p w14:paraId="791B2C0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2274014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57629FD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7D9AF62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3CE1804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3203A68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000000"/>
              <w:bottom w:val="nil"/>
              <w:right w:val="single" w:sz="4" w:space="0" w:color="000000"/>
            </w:tcBorders>
            <w:shd w:val="clear" w:color="000000" w:fill="FFFFFF"/>
            <w:vAlign w:val="center"/>
            <w:hideMark/>
          </w:tcPr>
          <w:p w14:paraId="51181E06"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2.2.4.1</w:t>
            </w:r>
          </w:p>
        </w:tc>
        <w:tc>
          <w:tcPr>
            <w:tcW w:w="281" w:type="pct"/>
            <w:tcBorders>
              <w:top w:val="nil"/>
              <w:left w:val="nil"/>
              <w:bottom w:val="nil"/>
              <w:right w:val="single" w:sz="4" w:space="0" w:color="000000"/>
            </w:tcBorders>
            <w:shd w:val="clear" w:color="000000" w:fill="FFFFFF"/>
            <w:vAlign w:val="center"/>
            <w:hideMark/>
          </w:tcPr>
          <w:p w14:paraId="2544A0A0" w14:textId="1F772025"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xml:space="preserve">Statistikat e </w:t>
            </w:r>
            <w:r w:rsidR="00E06236" w:rsidRPr="00B31292">
              <w:rPr>
                <w:rFonts w:ascii="Garamond" w:eastAsia="Times New Roman" w:hAnsi="Garamond" w:cs="Times New Roman"/>
                <w:sz w:val="10"/>
                <w:szCs w:val="10"/>
              </w:rPr>
              <w:t>b</w:t>
            </w:r>
            <w:r w:rsidRPr="00B31292">
              <w:rPr>
                <w:rFonts w:ascii="Garamond" w:eastAsia="Times New Roman" w:hAnsi="Garamond" w:cs="Times New Roman"/>
                <w:sz w:val="10"/>
                <w:szCs w:val="10"/>
              </w:rPr>
              <w:t>orxhit të sektorit buxhetor të qeverisë dhe borxhit të garantuar</w:t>
            </w:r>
          </w:p>
        </w:tc>
        <w:tc>
          <w:tcPr>
            <w:tcW w:w="236" w:type="pct"/>
            <w:tcBorders>
              <w:top w:val="nil"/>
              <w:left w:val="nil"/>
              <w:bottom w:val="nil"/>
              <w:right w:val="single" w:sz="4" w:space="0" w:color="000000"/>
            </w:tcBorders>
            <w:shd w:val="clear" w:color="000000" w:fill="FFFFFF"/>
            <w:vAlign w:val="center"/>
            <w:hideMark/>
          </w:tcPr>
          <w:p w14:paraId="54D2E8CC"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Burim administrativ</w:t>
            </w:r>
          </w:p>
        </w:tc>
        <w:tc>
          <w:tcPr>
            <w:tcW w:w="238" w:type="pct"/>
            <w:tcBorders>
              <w:top w:val="nil"/>
              <w:left w:val="nil"/>
              <w:bottom w:val="single" w:sz="4" w:space="0" w:color="auto"/>
              <w:right w:val="single" w:sz="4" w:space="0" w:color="auto"/>
            </w:tcBorders>
            <w:shd w:val="clear" w:color="000000" w:fill="FFFFFF"/>
            <w:noWrap/>
            <w:vAlign w:val="center"/>
            <w:hideMark/>
          </w:tcPr>
          <w:p w14:paraId="3A39CFAC"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180" w:type="pct"/>
            <w:tcBorders>
              <w:top w:val="nil"/>
              <w:left w:val="nil"/>
              <w:bottom w:val="single" w:sz="4" w:space="0" w:color="auto"/>
              <w:right w:val="single" w:sz="8" w:space="0" w:color="auto"/>
            </w:tcBorders>
            <w:shd w:val="clear" w:color="000000" w:fill="FFFFFF"/>
            <w:vAlign w:val="center"/>
            <w:hideMark/>
          </w:tcPr>
          <w:p w14:paraId="56E0D319"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28" w:type="pct"/>
            <w:tcBorders>
              <w:top w:val="nil"/>
              <w:left w:val="single" w:sz="4" w:space="0" w:color="auto"/>
              <w:bottom w:val="single" w:sz="4" w:space="0" w:color="auto"/>
              <w:right w:val="single" w:sz="4" w:space="0" w:color="auto"/>
            </w:tcBorders>
            <w:shd w:val="clear" w:color="000000" w:fill="FFFFFF"/>
            <w:vAlign w:val="center"/>
            <w:hideMark/>
          </w:tcPr>
          <w:p w14:paraId="0A0F4937"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tcBorders>
              <w:top w:val="nil"/>
              <w:left w:val="nil"/>
              <w:bottom w:val="nil"/>
              <w:right w:val="nil"/>
            </w:tcBorders>
            <w:shd w:val="clear" w:color="000000" w:fill="FFFFFF"/>
            <w:vAlign w:val="center"/>
            <w:hideMark/>
          </w:tcPr>
          <w:p w14:paraId="0778826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Tremujor</w:t>
            </w:r>
          </w:p>
        </w:tc>
        <w:tc>
          <w:tcPr>
            <w:tcW w:w="486" w:type="pct"/>
            <w:tcBorders>
              <w:top w:val="nil"/>
              <w:left w:val="single" w:sz="4" w:space="0" w:color="auto"/>
              <w:bottom w:val="nil"/>
              <w:right w:val="single" w:sz="4" w:space="0" w:color="auto"/>
            </w:tcBorders>
            <w:shd w:val="clear" w:color="000000" w:fill="FFFFFF"/>
            <w:vAlign w:val="center"/>
            <w:hideMark/>
          </w:tcPr>
          <w:p w14:paraId="352E439D" w14:textId="4B994592"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Borxhi i brendshëm</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 Borxhi i jashtëm</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 Interesat e borxhit</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4. Borxhi i garantuar</w:t>
            </w:r>
            <w:r w:rsidR="00E06236" w:rsidRPr="00B31292">
              <w:rPr>
                <w:rFonts w:ascii="Garamond" w:eastAsia="Times New Roman" w:hAnsi="Garamond" w:cs="Times New Roman"/>
                <w:color w:val="000000"/>
                <w:sz w:val="10"/>
                <w:szCs w:val="10"/>
              </w:rPr>
              <w:t>.</w:t>
            </w:r>
          </w:p>
        </w:tc>
        <w:tc>
          <w:tcPr>
            <w:tcW w:w="299" w:type="pct"/>
            <w:tcBorders>
              <w:top w:val="nil"/>
              <w:left w:val="nil"/>
              <w:bottom w:val="nil"/>
              <w:right w:val="single" w:sz="4" w:space="0" w:color="auto"/>
            </w:tcBorders>
            <w:shd w:val="clear" w:color="000000" w:fill="FFFFFF"/>
            <w:vAlign w:val="center"/>
            <w:hideMark/>
          </w:tcPr>
          <w:p w14:paraId="4AE4B45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Kreditorët</w:t>
            </w:r>
          </w:p>
        </w:tc>
        <w:tc>
          <w:tcPr>
            <w:tcW w:w="224" w:type="pct"/>
            <w:tcBorders>
              <w:top w:val="nil"/>
              <w:left w:val="nil"/>
              <w:bottom w:val="nil"/>
              <w:right w:val="single" w:sz="4" w:space="0" w:color="auto"/>
            </w:tcBorders>
            <w:shd w:val="clear" w:color="000000" w:fill="FFFFFF"/>
            <w:vAlign w:val="center"/>
            <w:hideMark/>
          </w:tcPr>
          <w:p w14:paraId="42E7C420" w14:textId="5B61F145"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Ministria e Financave dhe </w:t>
            </w:r>
            <w:r w:rsidR="002C1D56" w:rsidRPr="00B31292">
              <w:rPr>
                <w:rFonts w:ascii="Garamond" w:eastAsia="Times New Roman" w:hAnsi="Garamond" w:cs="Times New Roman"/>
                <w:color w:val="000000"/>
                <w:sz w:val="10"/>
                <w:szCs w:val="10"/>
              </w:rPr>
              <w:t>Ekonomisë</w:t>
            </w:r>
          </w:p>
        </w:tc>
        <w:tc>
          <w:tcPr>
            <w:tcW w:w="244" w:type="pct"/>
            <w:tcBorders>
              <w:top w:val="nil"/>
              <w:left w:val="nil"/>
              <w:bottom w:val="nil"/>
              <w:right w:val="single" w:sz="4" w:space="0" w:color="auto"/>
            </w:tcBorders>
            <w:shd w:val="clear" w:color="000000" w:fill="FFFFFF"/>
            <w:vAlign w:val="center"/>
            <w:hideMark/>
          </w:tcPr>
          <w:p w14:paraId="505BDAE3"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T + 25D</w:t>
            </w:r>
          </w:p>
        </w:tc>
        <w:tc>
          <w:tcPr>
            <w:tcW w:w="220" w:type="pct"/>
            <w:tcBorders>
              <w:top w:val="nil"/>
              <w:left w:val="nil"/>
              <w:bottom w:val="nil"/>
              <w:right w:val="single" w:sz="4" w:space="0" w:color="auto"/>
            </w:tcBorders>
            <w:shd w:val="clear" w:color="000000" w:fill="FFFFFF"/>
            <w:vAlign w:val="center"/>
            <w:hideMark/>
          </w:tcPr>
          <w:p w14:paraId="6EE91971"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T + 28D</w:t>
            </w:r>
          </w:p>
        </w:tc>
        <w:tc>
          <w:tcPr>
            <w:tcW w:w="220" w:type="pct"/>
            <w:tcBorders>
              <w:top w:val="nil"/>
              <w:left w:val="nil"/>
              <w:bottom w:val="nil"/>
              <w:right w:val="single" w:sz="4" w:space="0" w:color="auto"/>
            </w:tcBorders>
            <w:shd w:val="clear" w:color="000000" w:fill="FFFFFF"/>
            <w:vAlign w:val="center"/>
            <w:hideMark/>
          </w:tcPr>
          <w:p w14:paraId="7F82023A"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T + 30D</w:t>
            </w:r>
          </w:p>
        </w:tc>
        <w:tc>
          <w:tcPr>
            <w:tcW w:w="346" w:type="pct"/>
            <w:tcBorders>
              <w:top w:val="nil"/>
              <w:left w:val="nil"/>
              <w:bottom w:val="nil"/>
              <w:right w:val="single" w:sz="4" w:space="0" w:color="auto"/>
            </w:tcBorders>
            <w:shd w:val="clear" w:color="000000" w:fill="FFFFFF"/>
            <w:vAlign w:val="center"/>
            <w:hideMark/>
          </w:tcPr>
          <w:p w14:paraId="399C66C7" w14:textId="0A4652F0"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Marrja me vonesë</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e informacionit -|- 3</w:t>
            </w:r>
          </w:p>
        </w:tc>
        <w:tc>
          <w:tcPr>
            <w:tcW w:w="273" w:type="pct"/>
            <w:tcBorders>
              <w:top w:val="nil"/>
              <w:left w:val="nil"/>
              <w:bottom w:val="nil"/>
              <w:right w:val="single" w:sz="4" w:space="0" w:color="auto"/>
            </w:tcBorders>
            <w:shd w:val="clear" w:color="000000" w:fill="FFFFFF"/>
            <w:vAlign w:val="center"/>
            <w:hideMark/>
          </w:tcPr>
          <w:p w14:paraId="401FB5F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Buxhet shteti</w:t>
            </w:r>
          </w:p>
        </w:tc>
      </w:tr>
      <w:tr w:rsidR="000A2254" w:rsidRPr="00B31292" w14:paraId="068B3F22" w14:textId="77777777" w:rsidTr="000A2254">
        <w:trPr>
          <w:trHeight w:val="20"/>
        </w:trPr>
        <w:tc>
          <w:tcPr>
            <w:tcW w:w="215" w:type="pct"/>
            <w:tcBorders>
              <w:top w:val="nil"/>
              <w:left w:val="nil"/>
              <w:bottom w:val="nil"/>
              <w:right w:val="nil"/>
            </w:tcBorders>
            <w:shd w:val="clear" w:color="000000" w:fill="FFFFFF"/>
            <w:vAlign w:val="bottom"/>
            <w:hideMark/>
          </w:tcPr>
          <w:p w14:paraId="051FA1B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298AE2E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502FD5C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56299BB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single" w:sz="4" w:space="0" w:color="000000"/>
              <w:left w:val="single" w:sz="4" w:space="0" w:color="000000"/>
              <w:bottom w:val="single" w:sz="4" w:space="0" w:color="000000"/>
              <w:right w:val="nil"/>
            </w:tcBorders>
            <w:shd w:val="clear" w:color="000000" w:fill="F2F2F2"/>
            <w:vAlign w:val="center"/>
            <w:hideMark/>
          </w:tcPr>
          <w:p w14:paraId="1547CCEB"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2.2.5</w:t>
            </w:r>
          </w:p>
        </w:tc>
        <w:tc>
          <w:tcPr>
            <w:tcW w:w="4082" w:type="pct"/>
            <w:gridSpan w:val="16"/>
            <w:tcBorders>
              <w:top w:val="single" w:sz="4" w:space="0" w:color="auto"/>
              <w:left w:val="single" w:sz="4" w:space="0" w:color="auto"/>
              <w:bottom w:val="single" w:sz="4" w:space="0" w:color="auto"/>
              <w:right w:val="single" w:sz="4" w:space="0" w:color="000000"/>
            </w:tcBorders>
            <w:shd w:val="clear" w:color="000000" w:fill="F2F2F2"/>
            <w:vAlign w:val="center"/>
            <w:hideMark/>
          </w:tcPr>
          <w:p w14:paraId="7E8D1C7F" w14:textId="2D88AAE8"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Statistikat </w:t>
            </w:r>
            <w:r w:rsidR="00E06236" w:rsidRPr="00B31292">
              <w:rPr>
                <w:rFonts w:ascii="Garamond" w:eastAsia="Times New Roman" w:hAnsi="Garamond" w:cs="Times New Roman"/>
                <w:color w:val="000000"/>
                <w:sz w:val="10"/>
                <w:szCs w:val="10"/>
              </w:rPr>
              <w:t xml:space="preserve">financiare të qeverisë </w:t>
            </w:r>
            <w:r w:rsidRPr="00B31292">
              <w:rPr>
                <w:rFonts w:ascii="Garamond" w:eastAsia="Times New Roman" w:hAnsi="Garamond" w:cs="Times New Roman"/>
                <w:color w:val="000000"/>
                <w:sz w:val="10"/>
                <w:szCs w:val="10"/>
              </w:rPr>
              <w:t>sipas ESA2010</w:t>
            </w:r>
          </w:p>
        </w:tc>
      </w:tr>
      <w:tr w:rsidR="000A2254" w:rsidRPr="00B31292" w14:paraId="699ACAAF" w14:textId="77777777" w:rsidTr="000A2254">
        <w:trPr>
          <w:trHeight w:val="20"/>
        </w:trPr>
        <w:tc>
          <w:tcPr>
            <w:tcW w:w="215" w:type="pct"/>
            <w:tcBorders>
              <w:top w:val="nil"/>
              <w:left w:val="nil"/>
              <w:bottom w:val="nil"/>
              <w:right w:val="nil"/>
            </w:tcBorders>
            <w:shd w:val="clear" w:color="000000" w:fill="FFFFFF"/>
            <w:vAlign w:val="bottom"/>
            <w:hideMark/>
          </w:tcPr>
          <w:p w14:paraId="2701ACB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064C505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38B1C06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162E801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10F3C77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73372DE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000000"/>
              <w:bottom w:val="nil"/>
              <w:right w:val="single" w:sz="4" w:space="0" w:color="000000"/>
            </w:tcBorders>
            <w:shd w:val="clear" w:color="000000" w:fill="FFFFFF"/>
            <w:vAlign w:val="center"/>
            <w:hideMark/>
          </w:tcPr>
          <w:p w14:paraId="26E856A0"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2.2.5.1</w:t>
            </w:r>
          </w:p>
        </w:tc>
        <w:tc>
          <w:tcPr>
            <w:tcW w:w="281" w:type="pct"/>
            <w:tcBorders>
              <w:top w:val="nil"/>
              <w:left w:val="nil"/>
              <w:bottom w:val="nil"/>
              <w:right w:val="single" w:sz="4" w:space="0" w:color="000000"/>
            </w:tcBorders>
            <w:shd w:val="clear" w:color="000000" w:fill="FFFFFF"/>
            <w:vAlign w:val="center"/>
            <w:hideMark/>
          </w:tcPr>
          <w:p w14:paraId="3A500706" w14:textId="019B85DD"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xml:space="preserve">Statistikat </w:t>
            </w:r>
            <w:r w:rsidR="00E06236" w:rsidRPr="00B31292">
              <w:rPr>
                <w:rFonts w:ascii="Garamond" w:eastAsia="Times New Roman" w:hAnsi="Garamond" w:cs="Times New Roman"/>
                <w:sz w:val="10"/>
                <w:szCs w:val="10"/>
              </w:rPr>
              <w:t xml:space="preserve">financiare të qeverisë </w:t>
            </w:r>
            <w:r w:rsidRPr="00B31292">
              <w:rPr>
                <w:rFonts w:ascii="Garamond" w:eastAsia="Times New Roman" w:hAnsi="Garamond" w:cs="Times New Roman"/>
                <w:sz w:val="10"/>
                <w:szCs w:val="10"/>
              </w:rPr>
              <w:t>sipas ESA 2010</w:t>
            </w:r>
          </w:p>
        </w:tc>
        <w:tc>
          <w:tcPr>
            <w:tcW w:w="236" w:type="pct"/>
            <w:tcBorders>
              <w:top w:val="nil"/>
              <w:left w:val="nil"/>
              <w:bottom w:val="nil"/>
              <w:right w:val="single" w:sz="4" w:space="0" w:color="000000"/>
            </w:tcBorders>
            <w:shd w:val="clear" w:color="000000" w:fill="FFFFFF"/>
            <w:vAlign w:val="center"/>
            <w:hideMark/>
          </w:tcPr>
          <w:p w14:paraId="2B2A5549"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Burim administrativ</w:t>
            </w:r>
          </w:p>
        </w:tc>
        <w:tc>
          <w:tcPr>
            <w:tcW w:w="238" w:type="pct"/>
            <w:tcBorders>
              <w:top w:val="nil"/>
              <w:left w:val="nil"/>
              <w:bottom w:val="single" w:sz="4" w:space="0" w:color="auto"/>
              <w:right w:val="single" w:sz="4" w:space="0" w:color="auto"/>
            </w:tcBorders>
            <w:shd w:val="clear" w:color="000000" w:fill="FFFFFF"/>
            <w:noWrap/>
            <w:vAlign w:val="center"/>
            <w:hideMark/>
          </w:tcPr>
          <w:p w14:paraId="12169EC6"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180" w:type="pct"/>
            <w:tcBorders>
              <w:top w:val="nil"/>
              <w:left w:val="nil"/>
              <w:bottom w:val="single" w:sz="4" w:space="0" w:color="auto"/>
              <w:right w:val="single" w:sz="8" w:space="0" w:color="auto"/>
            </w:tcBorders>
            <w:shd w:val="clear" w:color="000000" w:fill="FFFFFF"/>
            <w:vAlign w:val="center"/>
            <w:hideMark/>
          </w:tcPr>
          <w:p w14:paraId="08D5CFD3"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28" w:type="pct"/>
            <w:tcBorders>
              <w:top w:val="nil"/>
              <w:left w:val="single" w:sz="4" w:space="0" w:color="auto"/>
              <w:bottom w:val="single" w:sz="4" w:space="0" w:color="auto"/>
              <w:right w:val="single" w:sz="4" w:space="0" w:color="auto"/>
            </w:tcBorders>
            <w:shd w:val="clear" w:color="000000" w:fill="FFFFFF"/>
            <w:vAlign w:val="center"/>
            <w:hideMark/>
          </w:tcPr>
          <w:p w14:paraId="0D92867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tcBorders>
              <w:top w:val="nil"/>
              <w:left w:val="nil"/>
              <w:bottom w:val="nil"/>
              <w:right w:val="single" w:sz="4" w:space="0" w:color="000000"/>
            </w:tcBorders>
            <w:shd w:val="clear" w:color="000000" w:fill="FFFFFF"/>
            <w:vAlign w:val="center"/>
            <w:hideMark/>
          </w:tcPr>
          <w:p w14:paraId="493DD25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Çdo 6 muaj</w:t>
            </w:r>
          </w:p>
        </w:tc>
        <w:tc>
          <w:tcPr>
            <w:tcW w:w="486" w:type="pct"/>
            <w:tcBorders>
              <w:top w:val="nil"/>
              <w:left w:val="nil"/>
              <w:bottom w:val="nil"/>
              <w:right w:val="single" w:sz="4" w:space="0" w:color="auto"/>
            </w:tcBorders>
            <w:shd w:val="clear" w:color="000000" w:fill="FFFFFF"/>
            <w:vAlign w:val="center"/>
            <w:hideMark/>
          </w:tcPr>
          <w:p w14:paraId="63BAE2D0" w14:textId="6D577B1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Tabela 0200</w:t>
            </w:r>
            <w:r w:rsidR="002E2911" w:rsidRPr="00B31292">
              <w:rPr>
                <w:rFonts w:ascii="Garamond" w:eastAsia="Times New Roman" w:hAnsi="Garamond" w:cs="Times New Roman"/>
                <w:color w:val="000000"/>
                <w:sz w:val="10"/>
                <w:szCs w:val="10"/>
              </w:rPr>
              <w:t xml:space="preserve"> </w:t>
            </w:r>
            <w:r w:rsidR="00BA12C3"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Treguesit kryesore të qeverisjes së përgjithshme</w:t>
            </w:r>
            <w:r w:rsidR="00BA12C3" w:rsidRPr="00B31292">
              <w:rPr>
                <w:rFonts w:ascii="Garamond" w:eastAsia="Times New Roman" w:hAnsi="Garamond" w:cs="Times New Roman"/>
                <w:color w:val="000000"/>
                <w:sz w:val="10"/>
                <w:szCs w:val="10"/>
              </w:rPr>
              <w:t>”</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2. Tabela 0900 </w:t>
            </w:r>
            <w:r w:rsidR="00BA12C3"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Detajimi i taksave dhe kontributeve shoqërore sipas llojit</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dhe sipas nënsektorëve të qeverisjes së përgjithshme</w:t>
            </w:r>
            <w:r w:rsidR="00BA12C3" w:rsidRPr="00B31292">
              <w:rPr>
                <w:rFonts w:ascii="Garamond" w:eastAsia="Times New Roman" w:hAnsi="Garamond" w:cs="Times New Roman"/>
                <w:color w:val="000000"/>
                <w:sz w:val="10"/>
                <w:szCs w:val="10"/>
              </w:rPr>
              <w:t>”</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3. Lista Kombëtare e Taksave </w:t>
            </w:r>
            <w:r w:rsidR="00BA12C3"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Detajimi i taksave dhe kontributeve shoqërore sipas klasifikimit kombëtar</w:t>
            </w:r>
            <w:r w:rsidR="00BA12C3" w:rsidRPr="00B31292">
              <w:rPr>
                <w:rFonts w:ascii="Garamond" w:eastAsia="Times New Roman" w:hAnsi="Garamond" w:cs="Times New Roman"/>
                <w:color w:val="000000"/>
                <w:sz w:val="10"/>
                <w:szCs w:val="10"/>
              </w:rPr>
              <w:t>”</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4. Tabela 1100 </w:t>
            </w:r>
            <w:r w:rsidR="00BA12C3"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Shpenzimet e qeverisë sipas funksionit</w:t>
            </w:r>
            <w:r w:rsidR="00BA12C3" w:rsidRPr="00B31292">
              <w:rPr>
                <w:rFonts w:ascii="Garamond" w:eastAsia="Times New Roman" w:hAnsi="Garamond" w:cs="Times New Roman"/>
                <w:color w:val="000000"/>
                <w:sz w:val="10"/>
                <w:szCs w:val="10"/>
              </w:rPr>
              <w:t>”</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5. Tabela 2500 </w:t>
            </w:r>
            <w:r w:rsidR="00BA12C3"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Llogaritë tremujorë jofinanciare të qeverisjes së përg</w:t>
            </w:r>
            <w:r w:rsidR="00C23C70" w:rsidRPr="00B31292">
              <w:rPr>
                <w:rFonts w:ascii="Garamond" w:eastAsia="Times New Roman" w:hAnsi="Garamond" w:cs="Times New Roman"/>
                <w:color w:val="000000"/>
                <w:sz w:val="10"/>
                <w:szCs w:val="10"/>
              </w:rPr>
              <w:t>j</w:t>
            </w:r>
            <w:r w:rsidRPr="00B31292">
              <w:rPr>
                <w:rFonts w:ascii="Garamond" w:eastAsia="Times New Roman" w:hAnsi="Garamond" w:cs="Times New Roman"/>
                <w:color w:val="000000"/>
                <w:sz w:val="10"/>
                <w:szCs w:val="10"/>
              </w:rPr>
              <w:t>ithshme</w:t>
            </w:r>
            <w:r w:rsidR="00BA12C3" w:rsidRPr="00B31292">
              <w:rPr>
                <w:rFonts w:ascii="Garamond" w:eastAsia="Times New Roman" w:hAnsi="Garamond" w:cs="Times New Roman"/>
                <w:color w:val="000000"/>
                <w:sz w:val="10"/>
                <w:szCs w:val="10"/>
              </w:rPr>
              <w:t>”</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6. Tabela 2800 </w:t>
            </w:r>
            <w:r w:rsidR="00BA12C3"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Borxhi tremujor i qeverisë (</w:t>
            </w:r>
            <w:r w:rsidRPr="00B31292">
              <w:rPr>
                <w:rFonts w:ascii="Garamond" w:eastAsia="Times New Roman" w:hAnsi="Garamond" w:cs="Times New Roman"/>
                <w:i/>
                <w:iCs/>
                <w:color w:val="000000"/>
                <w:sz w:val="10"/>
                <w:szCs w:val="10"/>
              </w:rPr>
              <w:t>Maastricht Debt</w:t>
            </w:r>
            <w:r w:rsidRPr="00B31292">
              <w:rPr>
                <w:rFonts w:ascii="Garamond" w:eastAsia="Times New Roman" w:hAnsi="Garamond" w:cs="Times New Roman"/>
                <w:color w:val="000000"/>
                <w:sz w:val="10"/>
                <w:szCs w:val="10"/>
              </w:rPr>
              <w:t>) për qeverisjen e përgjithshme</w:t>
            </w:r>
            <w:r w:rsidR="00BA12C3" w:rsidRPr="00B31292">
              <w:rPr>
                <w:rFonts w:ascii="Garamond" w:eastAsia="Times New Roman" w:hAnsi="Garamond" w:cs="Times New Roman"/>
                <w:color w:val="000000"/>
                <w:sz w:val="10"/>
                <w:szCs w:val="10"/>
              </w:rPr>
              <w:t>”</w:t>
            </w:r>
            <w:r w:rsidR="00E06236" w:rsidRPr="00B31292">
              <w:rPr>
                <w:rFonts w:ascii="Garamond" w:eastAsia="Times New Roman" w:hAnsi="Garamond" w:cs="Times New Roman"/>
                <w:color w:val="000000"/>
                <w:sz w:val="10"/>
                <w:szCs w:val="10"/>
              </w:rPr>
              <w:t>.</w:t>
            </w:r>
          </w:p>
        </w:tc>
        <w:tc>
          <w:tcPr>
            <w:tcW w:w="299" w:type="pct"/>
            <w:tcBorders>
              <w:top w:val="nil"/>
              <w:left w:val="nil"/>
              <w:bottom w:val="nil"/>
              <w:right w:val="nil"/>
            </w:tcBorders>
            <w:shd w:val="clear" w:color="000000" w:fill="FFFFFF"/>
            <w:vAlign w:val="center"/>
            <w:hideMark/>
          </w:tcPr>
          <w:p w14:paraId="139C40E6" w14:textId="6A8F9878"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Instituti i Statistikave</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Ministria e Financave dhe Ekonomisë</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Banka e Shqipërisë</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Ministria e Mbrojtjes</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Drejtoria e Përgjithshme e Tatimeve</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Autoriteti i Mbikëqyrjes Financiare</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Instituti i Sigurimeve Shoqërore</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Autoriteti i Kërkimit Shkencor dhe Inovacionit</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Fondi i Sigurimit të Detyrueshëm të Kujdesit Shëndetësor</w:t>
            </w:r>
          </w:p>
        </w:tc>
        <w:tc>
          <w:tcPr>
            <w:tcW w:w="224" w:type="pct"/>
            <w:tcBorders>
              <w:top w:val="nil"/>
              <w:left w:val="single" w:sz="4" w:space="0" w:color="auto"/>
              <w:bottom w:val="nil"/>
              <w:right w:val="single" w:sz="4" w:space="0" w:color="auto"/>
            </w:tcBorders>
            <w:shd w:val="clear" w:color="000000" w:fill="FFFFFF"/>
            <w:vAlign w:val="center"/>
            <w:hideMark/>
          </w:tcPr>
          <w:p w14:paraId="0469AC00" w14:textId="77777777" w:rsidR="00E06236"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E06236" w:rsidRPr="00B31292">
              <w:rPr>
                <w:rFonts w:ascii="Garamond" w:eastAsia="Times New Roman" w:hAnsi="Garamond" w:cs="Times New Roman"/>
                <w:color w:val="000000"/>
                <w:sz w:val="10"/>
                <w:szCs w:val="10"/>
              </w:rPr>
              <w:t>-i</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 xml:space="preserve">Banka e </w:t>
            </w:r>
            <w:r w:rsidR="00221A99" w:rsidRPr="00B31292">
              <w:rPr>
                <w:rFonts w:ascii="Garamond" w:eastAsia="Times New Roman" w:hAnsi="Garamond" w:cs="Times New Roman"/>
                <w:color w:val="000000"/>
                <w:sz w:val="10"/>
                <w:szCs w:val="10"/>
              </w:rPr>
              <w:t>Shqipërisë</w:t>
            </w:r>
            <w:r w:rsidR="00E06236" w:rsidRPr="00B31292">
              <w:rPr>
                <w:rFonts w:ascii="Garamond" w:eastAsia="Times New Roman" w:hAnsi="Garamond" w:cs="Times New Roman"/>
                <w:color w:val="000000"/>
                <w:sz w:val="10"/>
                <w:szCs w:val="10"/>
              </w:rPr>
              <w:t>,</w:t>
            </w:r>
          </w:p>
          <w:p w14:paraId="6C726A47" w14:textId="213EE1D0"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 Ministria e Financave dhe Ekonomise</w:t>
            </w:r>
          </w:p>
        </w:tc>
        <w:tc>
          <w:tcPr>
            <w:tcW w:w="244" w:type="pct"/>
            <w:tcBorders>
              <w:top w:val="nil"/>
              <w:left w:val="nil"/>
              <w:bottom w:val="nil"/>
              <w:right w:val="single" w:sz="4" w:space="0" w:color="auto"/>
            </w:tcBorders>
            <w:shd w:val="clear" w:color="000000" w:fill="FFFFFF"/>
            <w:vAlign w:val="center"/>
            <w:hideMark/>
          </w:tcPr>
          <w:p w14:paraId="7C6424DE"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+ 90D</w:t>
            </w:r>
          </w:p>
        </w:tc>
        <w:tc>
          <w:tcPr>
            <w:tcW w:w="220" w:type="pct"/>
            <w:tcBorders>
              <w:top w:val="nil"/>
              <w:left w:val="nil"/>
              <w:bottom w:val="nil"/>
              <w:right w:val="single" w:sz="4" w:space="0" w:color="auto"/>
            </w:tcBorders>
            <w:shd w:val="clear" w:color="000000" w:fill="FFFFFF"/>
            <w:vAlign w:val="center"/>
            <w:hideMark/>
          </w:tcPr>
          <w:p w14:paraId="28E75B40"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+ 111D</w:t>
            </w:r>
          </w:p>
        </w:tc>
        <w:tc>
          <w:tcPr>
            <w:tcW w:w="220" w:type="pct"/>
            <w:tcBorders>
              <w:top w:val="nil"/>
              <w:left w:val="nil"/>
              <w:bottom w:val="nil"/>
              <w:right w:val="single" w:sz="4" w:space="0" w:color="auto"/>
            </w:tcBorders>
            <w:shd w:val="clear" w:color="000000" w:fill="FFFFFF"/>
            <w:vAlign w:val="center"/>
            <w:hideMark/>
          </w:tcPr>
          <w:p w14:paraId="4EA470CE"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+ 118D</w:t>
            </w:r>
          </w:p>
        </w:tc>
        <w:tc>
          <w:tcPr>
            <w:tcW w:w="346" w:type="pct"/>
            <w:tcBorders>
              <w:top w:val="nil"/>
              <w:left w:val="nil"/>
              <w:bottom w:val="nil"/>
              <w:right w:val="single" w:sz="4" w:space="0" w:color="auto"/>
            </w:tcBorders>
            <w:shd w:val="clear" w:color="000000" w:fill="FFFFFF"/>
            <w:vAlign w:val="center"/>
            <w:hideMark/>
          </w:tcPr>
          <w:p w14:paraId="15885E6A" w14:textId="75C210FD"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1. Vonesa në shkëmbimin e të dhënave të nevojshme për vlerësimin e treguesve kryesore nga agjencitë statistikore dhe institucionet përgjegjëse me pasojë mosvlerësimin në kohë të treguesve të </w:t>
            </w:r>
            <w:r w:rsidR="00A0665A" w:rsidRPr="00B31292">
              <w:rPr>
                <w:rFonts w:ascii="Garamond" w:eastAsia="Times New Roman" w:hAnsi="Garamond" w:cs="Times New Roman"/>
                <w:color w:val="000000"/>
                <w:sz w:val="10"/>
                <w:szCs w:val="10"/>
              </w:rPr>
              <w:t xml:space="preserve">statistikave financiare të qeverisë </w:t>
            </w:r>
            <w:r w:rsidRPr="00B31292">
              <w:rPr>
                <w:rFonts w:ascii="Garamond" w:eastAsia="Times New Roman" w:hAnsi="Garamond" w:cs="Times New Roman"/>
                <w:color w:val="000000"/>
                <w:sz w:val="10"/>
                <w:szCs w:val="10"/>
              </w:rPr>
              <w:t>-|- 7</w:t>
            </w:r>
            <w:r w:rsidRPr="00B31292">
              <w:rPr>
                <w:rFonts w:ascii="Garamond" w:eastAsia="Times New Roman" w:hAnsi="Garamond" w:cs="Times New Roman"/>
                <w:color w:val="000000"/>
                <w:sz w:val="10"/>
                <w:szCs w:val="10"/>
              </w:rPr>
              <w:br/>
              <w:t xml:space="preserve">2. Pezullimi, vonesa në mbledhjen dhe shpërndarjen e të dhënave si pasojë e fatkeqësive natyrore apo pandemi globale me pasojë vonesa ose mospublikimin në kohë të </w:t>
            </w:r>
            <w:r w:rsidR="00A0665A" w:rsidRPr="00B31292">
              <w:rPr>
                <w:rFonts w:ascii="Garamond" w:eastAsia="Times New Roman" w:hAnsi="Garamond" w:cs="Times New Roman"/>
                <w:color w:val="000000"/>
                <w:sz w:val="10"/>
                <w:szCs w:val="10"/>
              </w:rPr>
              <w:t xml:space="preserve">statistikave financiare të qeverisë </w:t>
            </w:r>
            <w:r w:rsidRPr="00B31292">
              <w:rPr>
                <w:rFonts w:ascii="Garamond" w:eastAsia="Times New Roman" w:hAnsi="Garamond" w:cs="Times New Roman"/>
                <w:color w:val="000000"/>
                <w:sz w:val="10"/>
                <w:szCs w:val="10"/>
              </w:rPr>
              <w:t>-|- 7</w:t>
            </w:r>
            <w:r w:rsidRPr="00B31292">
              <w:rPr>
                <w:rFonts w:ascii="Garamond" w:eastAsia="Times New Roman" w:hAnsi="Garamond" w:cs="Times New Roman"/>
                <w:color w:val="000000"/>
                <w:sz w:val="10"/>
                <w:szCs w:val="10"/>
              </w:rPr>
              <w:br/>
              <w:t xml:space="preserve">3. Ndryshimi i bazës ligjore mbi të cilin mbështetet funksionimi i burimit administrativ me impakt në përpunimin e informacionit statistikor dhe venia në zbatim në mënyrë të menjëhershme e institucioneve objekt i legjislacionit me pasojë mospublikimin në kohë dhe me cilësi të të dhënave bazë për llogaritjen e treguesve të </w:t>
            </w:r>
            <w:r w:rsidR="00C23C70" w:rsidRPr="00B31292">
              <w:rPr>
                <w:rFonts w:ascii="Garamond" w:eastAsia="Times New Roman" w:hAnsi="Garamond" w:cs="Times New Roman"/>
                <w:color w:val="000000"/>
                <w:sz w:val="10"/>
                <w:szCs w:val="10"/>
              </w:rPr>
              <w:t xml:space="preserve">statistikave financiare të qeverisë </w:t>
            </w:r>
            <w:r w:rsidRPr="00B31292">
              <w:rPr>
                <w:rFonts w:ascii="Garamond" w:eastAsia="Times New Roman" w:hAnsi="Garamond" w:cs="Times New Roman"/>
                <w:color w:val="000000"/>
                <w:sz w:val="10"/>
                <w:szCs w:val="10"/>
              </w:rPr>
              <w:t>-|- 5</w:t>
            </w:r>
            <w:r w:rsidRPr="00B31292">
              <w:rPr>
                <w:rFonts w:ascii="Garamond" w:eastAsia="Times New Roman" w:hAnsi="Garamond" w:cs="Times New Roman"/>
                <w:color w:val="000000"/>
                <w:sz w:val="10"/>
                <w:szCs w:val="10"/>
              </w:rPr>
              <w:br/>
              <w:t xml:space="preserve">4. Vonesa në marrjen e të dhënave në kohë dhe me cilësi nga </w:t>
            </w:r>
            <w:r w:rsidR="00C23C70" w:rsidRPr="00B31292">
              <w:rPr>
                <w:rFonts w:ascii="Garamond" w:eastAsia="Times New Roman" w:hAnsi="Garamond" w:cs="Times New Roman"/>
                <w:color w:val="000000"/>
                <w:sz w:val="10"/>
                <w:szCs w:val="10"/>
              </w:rPr>
              <w:t xml:space="preserve">grupi i punës </w:t>
            </w:r>
            <w:r w:rsidRPr="00B31292">
              <w:rPr>
                <w:rFonts w:ascii="Garamond" w:eastAsia="Times New Roman" w:hAnsi="Garamond" w:cs="Times New Roman"/>
                <w:color w:val="000000"/>
                <w:sz w:val="10"/>
                <w:szCs w:val="10"/>
              </w:rPr>
              <w:t xml:space="preserve">i ngritur për përpilimin e </w:t>
            </w:r>
            <w:r w:rsidR="00C23C70" w:rsidRPr="00B31292">
              <w:rPr>
                <w:rFonts w:ascii="Garamond" w:eastAsia="Times New Roman" w:hAnsi="Garamond" w:cs="Times New Roman"/>
                <w:color w:val="000000"/>
                <w:sz w:val="10"/>
                <w:szCs w:val="10"/>
              </w:rPr>
              <w:t xml:space="preserve">statistikave </w:t>
            </w:r>
            <w:r w:rsidR="00C23C70" w:rsidRPr="00B31292">
              <w:rPr>
                <w:rFonts w:ascii="Garamond" w:eastAsia="Times New Roman" w:hAnsi="Garamond" w:cs="Times New Roman"/>
                <w:color w:val="000000"/>
                <w:sz w:val="10"/>
                <w:szCs w:val="10"/>
              </w:rPr>
              <w:lastRenderedPageBreak/>
              <w:t xml:space="preserve">financiare të qeverisë </w:t>
            </w:r>
            <w:r w:rsidRPr="00B31292">
              <w:rPr>
                <w:rFonts w:ascii="Garamond" w:eastAsia="Times New Roman" w:hAnsi="Garamond" w:cs="Times New Roman"/>
                <w:color w:val="000000"/>
                <w:sz w:val="10"/>
                <w:szCs w:val="10"/>
              </w:rPr>
              <w:t>-|- 5</w:t>
            </w:r>
            <w:r w:rsidRPr="00B31292">
              <w:rPr>
                <w:rFonts w:ascii="Garamond" w:eastAsia="Times New Roman" w:hAnsi="Garamond" w:cs="Times New Roman"/>
                <w:color w:val="000000"/>
                <w:sz w:val="10"/>
                <w:szCs w:val="10"/>
              </w:rPr>
              <w:br/>
              <w:t xml:space="preserve">Probleme të hasura nga mirëmbajtja dhe funksionimi i sistemit të zhvilluar për përpilimin e </w:t>
            </w:r>
            <w:r w:rsidR="00A0665A" w:rsidRPr="00B31292">
              <w:rPr>
                <w:rFonts w:ascii="Garamond" w:eastAsia="Times New Roman" w:hAnsi="Garamond" w:cs="Times New Roman"/>
                <w:color w:val="000000"/>
                <w:sz w:val="10"/>
                <w:szCs w:val="10"/>
              </w:rPr>
              <w:t xml:space="preserve">statistikave financiare të qeverisë </w:t>
            </w:r>
            <w:r w:rsidRPr="00B31292">
              <w:rPr>
                <w:rFonts w:ascii="Garamond" w:eastAsia="Times New Roman" w:hAnsi="Garamond" w:cs="Times New Roman"/>
                <w:color w:val="000000"/>
                <w:sz w:val="10"/>
                <w:szCs w:val="10"/>
              </w:rPr>
              <w:t>-|- 5</w:t>
            </w:r>
            <w:r w:rsidRPr="00B31292">
              <w:rPr>
                <w:rFonts w:ascii="Garamond" w:eastAsia="Times New Roman" w:hAnsi="Garamond" w:cs="Times New Roman"/>
                <w:color w:val="000000"/>
                <w:sz w:val="10"/>
                <w:szCs w:val="10"/>
              </w:rPr>
              <w:br/>
              <w:t xml:space="preserve">5. Procesimi i saktë elektronik nga sistemi SIFQ për konsolidimin e të dhënave dhe gjenerimin e raporteve financiare me pasojë publikimin në kohë dhe me cilësi të treguesve të </w:t>
            </w:r>
            <w:r w:rsidR="00A0665A" w:rsidRPr="00B31292">
              <w:rPr>
                <w:rFonts w:ascii="Garamond" w:eastAsia="Times New Roman" w:hAnsi="Garamond" w:cs="Times New Roman"/>
                <w:color w:val="000000"/>
                <w:sz w:val="10"/>
                <w:szCs w:val="10"/>
              </w:rPr>
              <w:t xml:space="preserve">statistikave financiare të qeverisë </w:t>
            </w:r>
            <w:r w:rsidRPr="00B31292">
              <w:rPr>
                <w:rFonts w:ascii="Garamond" w:eastAsia="Times New Roman" w:hAnsi="Garamond" w:cs="Times New Roman"/>
                <w:color w:val="000000"/>
                <w:sz w:val="10"/>
                <w:szCs w:val="10"/>
              </w:rPr>
              <w:t>-|- 5</w:t>
            </w:r>
            <w:r w:rsidRPr="00B31292">
              <w:rPr>
                <w:rFonts w:ascii="Garamond" w:eastAsia="Times New Roman" w:hAnsi="Garamond" w:cs="Times New Roman"/>
                <w:color w:val="000000"/>
                <w:sz w:val="10"/>
                <w:szCs w:val="10"/>
              </w:rPr>
              <w:br/>
              <w:t xml:space="preserve">6. Mungesa e stafit apo strukturave përgjegjëse në agjencitë e tjera statistikore me pasojë vonesë e përgatitjes në kohë dhe me cilësi të informacionit për vlerësimin e treguesve të </w:t>
            </w:r>
            <w:r w:rsidR="00A0665A" w:rsidRPr="00B31292">
              <w:rPr>
                <w:rFonts w:ascii="Garamond" w:eastAsia="Times New Roman" w:hAnsi="Garamond" w:cs="Times New Roman"/>
                <w:color w:val="000000"/>
                <w:sz w:val="10"/>
                <w:szCs w:val="10"/>
              </w:rPr>
              <w:t xml:space="preserve">statistikave financiare të qeverisë </w:t>
            </w:r>
            <w:r w:rsidRPr="00B31292">
              <w:rPr>
                <w:rFonts w:ascii="Garamond" w:eastAsia="Times New Roman" w:hAnsi="Garamond" w:cs="Times New Roman"/>
                <w:color w:val="000000"/>
                <w:sz w:val="10"/>
                <w:szCs w:val="10"/>
              </w:rPr>
              <w:t>-|- 4</w:t>
            </w:r>
            <w:r w:rsidRPr="00B31292">
              <w:rPr>
                <w:rFonts w:ascii="Garamond" w:eastAsia="Times New Roman" w:hAnsi="Garamond" w:cs="Times New Roman"/>
                <w:color w:val="000000"/>
                <w:sz w:val="10"/>
                <w:szCs w:val="10"/>
              </w:rPr>
              <w:br/>
              <w:t xml:space="preserve">7. Largime të stafit me eksperiencë me pasojë rritjen e ngarkesës në punë të stafit ekzistues, mospublikimin në kohë të treguesve të </w:t>
            </w:r>
            <w:r w:rsidR="00A0665A" w:rsidRPr="00B31292">
              <w:rPr>
                <w:rFonts w:ascii="Garamond" w:eastAsia="Times New Roman" w:hAnsi="Garamond" w:cs="Times New Roman"/>
                <w:color w:val="000000"/>
                <w:sz w:val="10"/>
                <w:szCs w:val="10"/>
              </w:rPr>
              <w:t xml:space="preserve">statistikave financiare të qeverisë </w:t>
            </w:r>
            <w:r w:rsidRPr="00B31292">
              <w:rPr>
                <w:rFonts w:ascii="Garamond" w:eastAsia="Times New Roman" w:hAnsi="Garamond" w:cs="Times New Roman"/>
                <w:color w:val="000000"/>
                <w:sz w:val="10"/>
                <w:szCs w:val="10"/>
              </w:rPr>
              <w:t>-|- 6</w:t>
            </w:r>
          </w:p>
        </w:tc>
        <w:tc>
          <w:tcPr>
            <w:tcW w:w="273" w:type="pct"/>
            <w:tcBorders>
              <w:top w:val="nil"/>
              <w:left w:val="nil"/>
              <w:bottom w:val="nil"/>
              <w:right w:val="single" w:sz="4" w:space="0" w:color="auto"/>
            </w:tcBorders>
            <w:shd w:val="clear" w:color="000000" w:fill="FFFFFF"/>
            <w:vAlign w:val="center"/>
            <w:hideMark/>
          </w:tcPr>
          <w:p w14:paraId="2B9AB83D" w14:textId="0C547A20"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lastRenderedPageBreak/>
              <w:t>Kombinuar (</w:t>
            </w:r>
            <w:r w:rsidR="00C23C70" w:rsidRPr="00B31292">
              <w:rPr>
                <w:rFonts w:ascii="Garamond" w:eastAsia="Times New Roman" w:hAnsi="Garamond" w:cs="Times New Roman"/>
                <w:color w:val="000000"/>
                <w:sz w:val="10"/>
                <w:szCs w:val="10"/>
              </w:rPr>
              <w:t>buxhet shteti + donatorët</w:t>
            </w:r>
            <w:r w:rsidRPr="00B31292">
              <w:rPr>
                <w:rFonts w:ascii="Garamond" w:eastAsia="Times New Roman" w:hAnsi="Garamond" w:cs="Times New Roman"/>
                <w:color w:val="000000"/>
                <w:sz w:val="10"/>
                <w:szCs w:val="10"/>
              </w:rPr>
              <w:t>)</w:t>
            </w:r>
          </w:p>
        </w:tc>
      </w:tr>
      <w:tr w:rsidR="000A2254" w:rsidRPr="00B31292" w14:paraId="12B34AB4" w14:textId="77777777" w:rsidTr="000A2254">
        <w:trPr>
          <w:trHeight w:val="20"/>
        </w:trPr>
        <w:tc>
          <w:tcPr>
            <w:tcW w:w="215" w:type="pct"/>
            <w:tcBorders>
              <w:top w:val="nil"/>
              <w:left w:val="nil"/>
              <w:bottom w:val="nil"/>
              <w:right w:val="nil"/>
            </w:tcBorders>
            <w:shd w:val="clear" w:color="000000" w:fill="FFFFFF"/>
            <w:vAlign w:val="bottom"/>
            <w:hideMark/>
          </w:tcPr>
          <w:p w14:paraId="725E833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2EDC1D6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4D601B2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7AFDBBB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single" w:sz="4" w:space="0" w:color="000000"/>
              <w:left w:val="single" w:sz="4" w:space="0" w:color="000000"/>
              <w:bottom w:val="single" w:sz="4" w:space="0" w:color="000000"/>
              <w:right w:val="nil"/>
            </w:tcBorders>
            <w:shd w:val="clear" w:color="000000" w:fill="F2F2F2"/>
            <w:vAlign w:val="center"/>
            <w:hideMark/>
          </w:tcPr>
          <w:p w14:paraId="73176FE9"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2.2.6</w:t>
            </w:r>
          </w:p>
        </w:tc>
        <w:tc>
          <w:tcPr>
            <w:tcW w:w="4082" w:type="pct"/>
            <w:gridSpan w:val="16"/>
            <w:tcBorders>
              <w:top w:val="single" w:sz="4" w:space="0" w:color="auto"/>
              <w:left w:val="single" w:sz="4" w:space="0" w:color="auto"/>
              <w:bottom w:val="single" w:sz="4" w:space="0" w:color="auto"/>
              <w:right w:val="single" w:sz="4" w:space="0" w:color="000000"/>
            </w:tcBorders>
            <w:shd w:val="clear" w:color="000000" w:fill="F2F2F2"/>
            <w:vAlign w:val="center"/>
            <w:hideMark/>
          </w:tcPr>
          <w:p w14:paraId="652D3767" w14:textId="5A61461F"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Statistikat e </w:t>
            </w:r>
            <w:r w:rsidR="00E06236" w:rsidRPr="00B31292">
              <w:rPr>
                <w:rFonts w:ascii="Garamond" w:eastAsia="Times New Roman" w:hAnsi="Garamond" w:cs="Times New Roman"/>
                <w:color w:val="000000"/>
                <w:sz w:val="10"/>
                <w:szCs w:val="10"/>
              </w:rPr>
              <w:t>procedurës së defiçitit të tejkaluar</w:t>
            </w:r>
          </w:p>
        </w:tc>
      </w:tr>
      <w:tr w:rsidR="000A2254" w:rsidRPr="00B31292" w14:paraId="415D6EF5" w14:textId="77777777" w:rsidTr="000A2254">
        <w:trPr>
          <w:trHeight w:val="20"/>
        </w:trPr>
        <w:tc>
          <w:tcPr>
            <w:tcW w:w="215" w:type="pct"/>
            <w:tcBorders>
              <w:top w:val="nil"/>
              <w:left w:val="nil"/>
              <w:bottom w:val="nil"/>
              <w:right w:val="nil"/>
            </w:tcBorders>
            <w:shd w:val="clear" w:color="000000" w:fill="FFFFFF"/>
            <w:vAlign w:val="bottom"/>
            <w:hideMark/>
          </w:tcPr>
          <w:p w14:paraId="03459E8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20DF714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370A125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186E075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501B905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4C7DDC6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37D6A76"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2.2.6.1</w:t>
            </w:r>
          </w:p>
        </w:tc>
        <w:tc>
          <w:tcPr>
            <w:tcW w:w="281"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D69DAD4" w14:textId="54BAD73F"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xml:space="preserve">Statistikat e </w:t>
            </w:r>
            <w:r w:rsidR="00E06236" w:rsidRPr="00B31292">
              <w:rPr>
                <w:rFonts w:ascii="Garamond" w:eastAsia="Times New Roman" w:hAnsi="Garamond" w:cs="Times New Roman"/>
                <w:sz w:val="10"/>
                <w:szCs w:val="10"/>
              </w:rPr>
              <w:t>procedures së deficitit të tejkaluar</w:t>
            </w:r>
          </w:p>
        </w:tc>
        <w:tc>
          <w:tcPr>
            <w:tcW w:w="236"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0FCC610"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Burim administrativ</w:t>
            </w:r>
          </w:p>
        </w:tc>
        <w:tc>
          <w:tcPr>
            <w:tcW w:w="238"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C4745DB"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180" w:type="pct"/>
            <w:vMerge w:val="restart"/>
            <w:tcBorders>
              <w:top w:val="nil"/>
              <w:left w:val="single" w:sz="4" w:space="0" w:color="auto"/>
              <w:bottom w:val="single" w:sz="4" w:space="0" w:color="000000"/>
              <w:right w:val="nil"/>
            </w:tcBorders>
            <w:shd w:val="clear" w:color="000000" w:fill="FFFFFF"/>
            <w:vAlign w:val="center"/>
            <w:hideMark/>
          </w:tcPr>
          <w:p w14:paraId="454FA7B8"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28" w:type="pct"/>
            <w:vMerge w:val="restart"/>
            <w:tcBorders>
              <w:top w:val="nil"/>
              <w:left w:val="nil"/>
              <w:bottom w:val="single" w:sz="4" w:space="0" w:color="000000"/>
              <w:right w:val="single" w:sz="4" w:space="0" w:color="auto"/>
            </w:tcBorders>
            <w:shd w:val="clear" w:color="000000" w:fill="FFFFFF"/>
            <w:vAlign w:val="center"/>
            <w:hideMark/>
          </w:tcPr>
          <w:p w14:paraId="1BE20A6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9B69D2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Çdo 6 muaj</w:t>
            </w:r>
          </w:p>
        </w:tc>
        <w:tc>
          <w:tcPr>
            <w:tcW w:w="486" w:type="pct"/>
            <w:tcBorders>
              <w:top w:val="nil"/>
              <w:left w:val="nil"/>
              <w:bottom w:val="nil"/>
              <w:right w:val="single" w:sz="4" w:space="0" w:color="auto"/>
            </w:tcBorders>
            <w:shd w:val="clear" w:color="000000" w:fill="FFFFFF"/>
            <w:vAlign w:val="center"/>
            <w:hideMark/>
          </w:tcPr>
          <w:p w14:paraId="7DB721A0" w14:textId="60273475"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Aneksi 1: Tabela 1</w:t>
            </w:r>
            <w:r w:rsidR="005B2189" w:rsidRPr="00B31292">
              <w:rPr>
                <w:rFonts w:ascii="Garamond" w:eastAsia="Times New Roman" w:hAnsi="Garamond" w:cs="Times New Roman"/>
                <w:color w:val="000000"/>
                <w:sz w:val="10"/>
                <w:szCs w:val="10"/>
              </w:rPr>
              <w:t>,</w:t>
            </w:r>
            <w:r w:rsidR="002E2911" w:rsidRPr="00B31292">
              <w:rPr>
                <w:rFonts w:ascii="Garamond" w:eastAsia="Times New Roman" w:hAnsi="Garamond" w:cs="Times New Roman"/>
                <w:color w:val="000000"/>
                <w:sz w:val="10"/>
                <w:szCs w:val="10"/>
              </w:rPr>
              <w:t xml:space="preserve"> </w:t>
            </w:r>
            <w:r w:rsidR="005B2189" w:rsidRPr="00B31292">
              <w:rPr>
                <w:rFonts w:ascii="Garamond" w:eastAsia="Times New Roman" w:hAnsi="Garamond" w:cs="Times New Roman"/>
                <w:color w:val="000000"/>
                <w:sz w:val="10"/>
                <w:szCs w:val="10"/>
              </w:rPr>
              <w:t>r</w:t>
            </w:r>
            <w:r w:rsidRPr="00B31292">
              <w:rPr>
                <w:rFonts w:ascii="Garamond" w:eastAsia="Times New Roman" w:hAnsi="Garamond" w:cs="Times New Roman"/>
                <w:color w:val="000000"/>
                <w:sz w:val="10"/>
                <w:szCs w:val="10"/>
              </w:rPr>
              <w:t>aportimi i suficitit/deficitit, si dhe borxhit sipas nënsektorëve të qeverisjes së përgjithshme</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2. Aneksi 1: </w:t>
            </w:r>
            <w:r w:rsidR="005B2189" w:rsidRPr="00B31292">
              <w:rPr>
                <w:rFonts w:ascii="Garamond" w:eastAsia="Times New Roman" w:hAnsi="Garamond" w:cs="Times New Roman"/>
                <w:color w:val="000000"/>
                <w:sz w:val="10"/>
                <w:szCs w:val="10"/>
              </w:rPr>
              <w:t xml:space="preserve">tabelat 2a deri 2d, sigurimi </w:t>
            </w:r>
            <w:r w:rsidRPr="00B31292">
              <w:rPr>
                <w:rFonts w:ascii="Garamond" w:eastAsia="Times New Roman" w:hAnsi="Garamond" w:cs="Times New Roman"/>
                <w:color w:val="000000"/>
                <w:sz w:val="10"/>
                <w:szCs w:val="10"/>
              </w:rPr>
              <w:t>i të dhënave që shpjegon kalimin midis përkufizimeve kombëtare të bilancit të qeverisë dhe suficitit/deficitit (B.9) sipas nënsektorëve të qeverisjes së përgjithshme.</w:t>
            </w:r>
            <w:r w:rsidRPr="00B31292">
              <w:rPr>
                <w:rFonts w:ascii="Garamond" w:eastAsia="Times New Roman" w:hAnsi="Garamond" w:cs="Times New Roman"/>
                <w:color w:val="000000"/>
                <w:sz w:val="10"/>
                <w:szCs w:val="10"/>
              </w:rPr>
              <w:br/>
              <w:t xml:space="preserve">3. Aneksi 1: </w:t>
            </w:r>
            <w:r w:rsidR="005B2189" w:rsidRPr="00B31292">
              <w:rPr>
                <w:rFonts w:ascii="Garamond" w:eastAsia="Times New Roman" w:hAnsi="Garamond" w:cs="Times New Roman"/>
                <w:color w:val="000000"/>
                <w:sz w:val="10"/>
                <w:szCs w:val="10"/>
              </w:rPr>
              <w:t>t</w:t>
            </w:r>
            <w:r w:rsidRPr="00B31292">
              <w:rPr>
                <w:rFonts w:ascii="Garamond" w:eastAsia="Times New Roman" w:hAnsi="Garamond" w:cs="Times New Roman"/>
                <w:color w:val="000000"/>
                <w:sz w:val="10"/>
                <w:szCs w:val="10"/>
              </w:rPr>
              <w:t>abelat 3A deri 3E</w:t>
            </w:r>
            <w:r w:rsidR="005B2189" w:rsidRPr="00B31292">
              <w:rPr>
                <w:rFonts w:ascii="Garamond" w:eastAsia="Times New Roman" w:hAnsi="Garamond" w:cs="Times New Roman"/>
                <w:color w:val="000000"/>
                <w:sz w:val="10"/>
                <w:szCs w:val="10"/>
              </w:rPr>
              <w:t>,</w:t>
            </w:r>
            <w:r w:rsidR="002E2911" w:rsidRPr="00B31292">
              <w:rPr>
                <w:rFonts w:ascii="Garamond" w:eastAsia="Times New Roman" w:hAnsi="Garamond" w:cs="Times New Roman"/>
                <w:color w:val="000000"/>
                <w:sz w:val="10"/>
                <w:szCs w:val="10"/>
              </w:rPr>
              <w:t xml:space="preserve"> </w:t>
            </w:r>
            <w:r w:rsidR="005B2189" w:rsidRPr="00B31292">
              <w:rPr>
                <w:rFonts w:ascii="Garamond" w:eastAsia="Times New Roman" w:hAnsi="Garamond" w:cs="Times New Roman"/>
                <w:color w:val="000000"/>
                <w:sz w:val="10"/>
                <w:szCs w:val="10"/>
              </w:rPr>
              <w:t>s</w:t>
            </w:r>
            <w:r w:rsidRPr="00B31292">
              <w:rPr>
                <w:rFonts w:ascii="Garamond" w:eastAsia="Times New Roman" w:hAnsi="Garamond" w:cs="Times New Roman"/>
                <w:color w:val="000000"/>
                <w:sz w:val="10"/>
                <w:szCs w:val="10"/>
              </w:rPr>
              <w:t>igurimi i të dhënave të cilat shpjegojnë kontributin e suficitit / deficitit të qeverisë dhe faktorët e tjerë përkatës në ndryshimin në nivelin e borxhit të qeverisë si dhe konsolidimin e borxhit (për qeverisjen e përgjithshme si edhe sipas nënsektorëve të qeverisjes së përgjithshme).</w:t>
            </w:r>
            <w:r w:rsidRPr="00B31292">
              <w:rPr>
                <w:rFonts w:ascii="Garamond" w:eastAsia="Times New Roman" w:hAnsi="Garamond" w:cs="Times New Roman"/>
                <w:color w:val="000000"/>
                <w:sz w:val="10"/>
                <w:szCs w:val="10"/>
              </w:rPr>
              <w:br/>
              <w:t xml:space="preserve">4. Aneksi 1: </w:t>
            </w:r>
            <w:r w:rsidR="005B2189" w:rsidRPr="00B31292">
              <w:rPr>
                <w:rFonts w:ascii="Garamond" w:eastAsia="Times New Roman" w:hAnsi="Garamond" w:cs="Times New Roman"/>
                <w:color w:val="000000"/>
                <w:sz w:val="10"/>
                <w:szCs w:val="10"/>
              </w:rPr>
              <w:t>t</w:t>
            </w:r>
            <w:r w:rsidRPr="00B31292">
              <w:rPr>
                <w:rFonts w:ascii="Garamond" w:eastAsia="Times New Roman" w:hAnsi="Garamond" w:cs="Times New Roman"/>
                <w:color w:val="000000"/>
                <w:sz w:val="10"/>
                <w:szCs w:val="10"/>
              </w:rPr>
              <w:t>abela 4</w:t>
            </w:r>
            <w:r w:rsidR="00E06236" w:rsidRPr="00B31292">
              <w:rPr>
                <w:rFonts w:ascii="Garamond" w:eastAsia="Times New Roman" w:hAnsi="Garamond" w:cs="Times New Roman"/>
                <w:color w:val="000000"/>
                <w:sz w:val="10"/>
                <w:szCs w:val="10"/>
              </w:rPr>
              <w:t>,</w:t>
            </w:r>
            <w:r w:rsidR="002E2911" w:rsidRPr="00B31292">
              <w:rPr>
                <w:rFonts w:ascii="Garamond" w:eastAsia="Times New Roman" w:hAnsi="Garamond" w:cs="Times New Roman"/>
                <w:color w:val="000000"/>
                <w:sz w:val="10"/>
                <w:szCs w:val="10"/>
              </w:rPr>
              <w:t xml:space="preserve"> </w:t>
            </w:r>
            <w:r w:rsidR="005B2189" w:rsidRPr="00B31292">
              <w:rPr>
                <w:rFonts w:ascii="Garamond" w:eastAsia="Times New Roman" w:hAnsi="Garamond" w:cs="Times New Roman"/>
                <w:color w:val="000000"/>
                <w:sz w:val="10"/>
                <w:szCs w:val="10"/>
              </w:rPr>
              <w:t>s</w:t>
            </w:r>
            <w:r w:rsidRPr="00B31292">
              <w:rPr>
                <w:rFonts w:ascii="Garamond" w:eastAsia="Times New Roman" w:hAnsi="Garamond" w:cs="Times New Roman"/>
                <w:color w:val="000000"/>
                <w:sz w:val="10"/>
                <w:szCs w:val="10"/>
              </w:rPr>
              <w:t>igurimi i të dhënave të tjera në përputhje me deklaratat e përfshira në minutat e Këshillit dt. 22</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11</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1993.</w:t>
            </w:r>
            <w:r w:rsidRPr="00B31292">
              <w:rPr>
                <w:rFonts w:ascii="Garamond" w:eastAsia="Times New Roman" w:hAnsi="Garamond" w:cs="Times New Roman"/>
                <w:color w:val="000000"/>
                <w:sz w:val="10"/>
                <w:szCs w:val="10"/>
              </w:rPr>
              <w:br/>
            </w:r>
            <w:r w:rsidRPr="00B31292">
              <w:rPr>
                <w:rFonts w:ascii="Garamond" w:eastAsia="Times New Roman" w:hAnsi="Garamond" w:cs="Times New Roman"/>
                <w:color w:val="000000"/>
                <w:sz w:val="10"/>
                <w:szCs w:val="10"/>
              </w:rPr>
              <w:lastRenderedPageBreak/>
              <w:t xml:space="preserve">5. Aneksi 3: </w:t>
            </w:r>
            <w:r w:rsidR="005B2189" w:rsidRPr="00B31292">
              <w:rPr>
                <w:rFonts w:ascii="Garamond" w:eastAsia="Times New Roman" w:hAnsi="Garamond" w:cs="Times New Roman"/>
                <w:color w:val="000000"/>
                <w:sz w:val="10"/>
                <w:szCs w:val="10"/>
              </w:rPr>
              <w:t xml:space="preserve">tabela </w:t>
            </w:r>
            <w:r w:rsidRPr="00B31292">
              <w:rPr>
                <w:rFonts w:ascii="Garamond" w:eastAsia="Times New Roman" w:hAnsi="Garamond" w:cs="Times New Roman"/>
                <w:color w:val="000000"/>
                <w:sz w:val="10"/>
                <w:szCs w:val="10"/>
              </w:rPr>
              <w:t>1</w:t>
            </w:r>
            <w:r w:rsidR="00C23C70" w:rsidRPr="00B31292">
              <w:rPr>
                <w:rFonts w:ascii="Garamond" w:eastAsia="Times New Roman" w:hAnsi="Garamond" w:cs="Times New Roman"/>
                <w:color w:val="000000"/>
                <w:sz w:val="10"/>
                <w:szCs w:val="10"/>
              </w:rPr>
              <w:t>,</w:t>
            </w:r>
            <w:r w:rsidR="002E2911" w:rsidRPr="00B31292">
              <w:rPr>
                <w:rFonts w:ascii="Garamond" w:eastAsia="Times New Roman" w:hAnsi="Garamond" w:cs="Times New Roman"/>
                <w:color w:val="000000"/>
                <w:sz w:val="10"/>
                <w:szCs w:val="10"/>
              </w:rPr>
              <w:t xml:space="preserve"> </w:t>
            </w:r>
            <w:r w:rsidR="00C23C70" w:rsidRPr="00B31292">
              <w:rPr>
                <w:rFonts w:ascii="Garamond" w:eastAsia="Times New Roman" w:hAnsi="Garamond" w:cs="Times New Roman"/>
                <w:color w:val="000000"/>
                <w:sz w:val="10"/>
                <w:szCs w:val="10"/>
              </w:rPr>
              <w:t>r</w:t>
            </w:r>
            <w:r w:rsidRPr="00B31292">
              <w:rPr>
                <w:rFonts w:ascii="Garamond" w:eastAsia="Times New Roman" w:hAnsi="Garamond" w:cs="Times New Roman"/>
                <w:color w:val="000000"/>
                <w:sz w:val="10"/>
                <w:szCs w:val="10"/>
              </w:rPr>
              <w:t>ishikimi i huadhënies neto të qeverisjes së përgjithshme (+) /huamarrja neto (-) dhe rishikimi i borxhit bruto të konsoliduar të qeverisë së përgjithshme</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6. Aneksi 3: </w:t>
            </w:r>
            <w:r w:rsidR="005B2189" w:rsidRPr="00B31292">
              <w:rPr>
                <w:rFonts w:ascii="Garamond" w:eastAsia="Times New Roman" w:hAnsi="Garamond" w:cs="Times New Roman"/>
                <w:color w:val="000000"/>
                <w:sz w:val="10"/>
                <w:szCs w:val="10"/>
              </w:rPr>
              <w:t xml:space="preserve">tabela </w:t>
            </w:r>
            <w:r w:rsidRPr="00B31292">
              <w:rPr>
                <w:rFonts w:ascii="Garamond" w:eastAsia="Times New Roman" w:hAnsi="Garamond" w:cs="Times New Roman"/>
                <w:color w:val="000000"/>
                <w:sz w:val="10"/>
                <w:szCs w:val="10"/>
              </w:rPr>
              <w:t>2</w:t>
            </w:r>
            <w:r w:rsidR="00E06236" w:rsidRPr="00B31292">
              <w:rPr>
                <w:rFonts w:ascii="Garamond" w:eastAsia="Times New Roman" w:hAnsi="Garamond" w:cs="Times New Roman"/>
                <w:color w:val="000000"/>
                <w:sz w:val="10"/>
                <w:szCs w:val="10"/>
              </w:rPr>
              <w:t>,</w:t>
            </w:r>
            <w:r w:rsidR="002E2911" w:rsidRPr="00B31292">
              <w:rPr>
                <w:rFonts w:ascii="Garamond" w:eastAsia="Times New Roman" w:hAnsi="Garamond" w:cs="Times New Roman"/>
                <w:color w:val="000000"/>
                <w:sz w:val="10"/>
                <w:szCs w:val="10"/>
              </w:rPr>
              <w:t xml:space="preserve"> </w:t>
            </w:r>
            <w:r w:rsidR="00E06236" w:rsidRPr="00B31292">
              <w:rPr>
                <w:rFonts w:ascii="Garamond" w:eastAsia="Times New Roman" w:hAnsi="Garamond" w:cs="Times New Roman"/>
                <w:color w:val="000000"/>
                <w:sz w:val="10"/>
                <w:szCs w:val="10"/>
              </w:rPr>
              <w:t>n</w:t>
            </w:r>
            <w:r w:rsidRPr="00B31292">
              <w:rPr>
                <w:rFonts w:ascii="Garamond" w:eastAsia="Times New Roman" w:hAnsi="Garamond" w:cs="Times New Roman"/>
                <w:color w:val="000000"/>
                <w:sz w:val="10"/>
                <w:szCs w:val="10"/>
              </w:rPr>
              <w:t>darja e transaksioneve financiare të përfshira në bilancin e qeverisë.</w:t>
            </w:r>
            <w:r w:rsidRPr="00B31292">
              <w:rPr>
                <w:rFonts w:ascii="Garamond" w:eastAsia="Times New Roman" w:hAnsi="Garamond" w:cs="Times New Roman"/>
                <w:color w:val="000000"/>
                <w:sz w:val="10"/>
                <w:szCs w:val="10"/>
              </w:rPr>
              <w:br/>
              <w:t xml:space="preserve">7. Aneksi 3: </w:t>
            </w:r>
            <w:r w:rsidR="005B2189" w:rsidRPr="00B31292">
              <w:rPr>
                <w:rFonts w:ascii="Garamond" w:eastAsia="Times New Roman" w:hAnsi="Garamond" w:cs="Times New Roman"/>
                <w:color w:val="000000"/>
                <w:sz w:val="10"/>
                <w:szCs w:val="10"/>
              </w:rPr>
              <w:t xml:space="preserve">tabela </w:t>
            </w:r>
            <w:r w:rsidRPr="00B31292">
              <w:rPr>
                <w:rFonts w:ascii="Garamond" w:eastAsia="Times New Roman" w:hAnsi="Garamond" w:cs="Times New Roman"/>
                <w:color w:val="000000"/>
                <w:sz w:val="10"/>
                <w:szCs w:val="10"/>
              </w:rPr>
              <w:t>3</w:t>
            </w:r>
            <w:r w:rsidR="00E06236" w:rsidRPr="00B31292">
              <w:rPr>
                <w:rFonts w:ascii="Garamond" w:eastAsia="Times New Roman" w:hAnsi="Garamond" w:cs="Times New Roman"/>
                <w:color w:val="000000"/>
                <w:sz w:val="10"/>
                <w:szCs w:val="10"/>
              </w:rPr>
              <w:t>,</w:t>
            </w:r>
            <w:r w:rsidR="002E2911" w:rsidRPr="00B31292">
              <w:rPr>
                <w:rFonts w:ascii="Garamond" w:eastAsia="Times New Roman" w:hAnsi="Garamond" w:cs="Times New Roman"/>
                <w:color w:val="000000"/>
                <w:sz w:val="10"/>
                <w:szCs w:val="10"/>
              </w:rPr>
              <w:t xml:space="preserve"> </w:t>
            </w:r>
            <w:r w:rsidR="00E06236" w:rsidRPr="00B31292">
              <w:rPr>
                <w:rFonts w:ascii="Garamond" w:eastAsia="Times New Roman" w:hAnsi="Garamond" w:cs="Times New Roman"/>
                <w:color w:val="000000"/>
                <w:sz w:val="10"/>
                <w:szCs w:val="10"/>
              </w:rPr>
              <w:t>r</w:t>
            </w:r>
            <w:r w:rsidRPr="00B31292">
              <w:rPr>
                <w:rFonts w:ascii="Garamond" w:eastAsia="Times New Roman" w:hAnsi="Garamond" w:cs="Times New Roman"/>
                <w:color w:val="000000"/>
                <w:sz w:val="10"/>
                <w:szCs w:val="10"/>
              </w:rPr>
              <w:t>regullimet për përcaktimin e sektorit të qeverisjes së përgjithshme në tabelat e EDP</w:t>
            </w:r>
            <w:r w:rsidR="00856E8D"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së</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8. Aneksi 3: </w:t>
            </w:r>
            <w:r w:rsidR="005B2189" w:rsidRPr="00B31292">
              <w:rPr>
                <w:rFonts w:ascii="Garamond" w:eastAsia="Times New Roman" w:hAnsi="Garamond" w:cs="Times New Roman"/>
                <w:color w:val="000000"/>
                <w:sz w:val="10"/>
                <w:szCs w:val="10"/>
              </w:rPr>
              <w:t xml:space="preserve">tabela </w:t>
            </w:r>
            <w:r w:rsidRPr="00B31292">
              <w:rPr>
                <w:rFonts w:ascii="Garamond" w:eastAsia="Times New Roman" w:hAnsi="Garamond" w:cs="Times New Roman"/>
                <w:color w:val="000000"/>
                <w:sz w:val="10"/>
                <w:szCs w:val="10"/>
              </w:rPr>
              <w:t>4</w:t>
            </w:r>
            <w:r w:rsidR="00E06236" w:rsidRPr="00B31292">
              <w:rPr>
                <w:rFonts w:ascii="Garamond" w:eastAsia="Times New Roman" w:hAnsi="Garamond" w:cs="Times New Roman"/>
                <w:color w:val="000000"/>
                <w:sz w:val="10"/>
                <w:szCs w:val="10"/>
              </w:rPr>
              <w:t>,</w:t>
            </w:r>
            <w:r w:rsidR="002E2911" w:rsidRPr="00B31292">
              <w:rPr>
                <w:rFonts w:ascii="Garamond" w:eastAsia="Times New Roman" w:hAnsi="Garamond" w:cs="Times New Roman"/>
                <w:color w:val="000000"/>
                <w:sz w:val="10"/>
                <w:szCs w:val="10"/>
              </w:rPr>
              <w:t xml:space="preserve"> </w:t>
            </w:r>
            <w:r w:rsidR="00E06236" w:rsidRPr="00B31292">
              <w:rPr>
                <w:rFonts w:ascii="Garamond" w:eastAsia="Times New Roman" w:hAnsi="Garamond" w:cs="Times New Roman"/>
                <w:color w:val="000000"/>
                <w:sz w:val="10"/>
                <w:szCs w:val="10"/>
              </w:rPr>
              <w:t>n</w:t>
            </w:r>
            <w:r w:rsidRPr="00B31292">
              <w:rPr>
                <w:rFonts w:ascii="Garamond" w:eastAsia="Times New Roman" w:hAnsi="Garamond" w:cs="Times New Roman"/>
                <w:color w:val="000000"/>
                <w:sz w:val="10"/>
                <w:szCs w:val="10"/>
              </w:rPr>
              <w:t>darja e llogarive të tjera të arkëtueshme/të pagueshme (F.8) të raportuara në tabelat e EDP</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së</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9. Aneksi 3: </w:t>
            </w:r>
            <w:r w:rsidR="005B2189" w:rsidRPr="00B31292">
              <w:rPr>
                <w:rFonts w:ascii="Garamond" w:eastAsia="Times New Roman" w:hAnsi="Garamond" w:cs="Times New Roman"/>
                <w:color w:val="000000"/>
                <w:sz w:val="10"/>
                <w:szCs w:val="10"/>
              </w:rPr>
              <w:t xml:space="preserve">tabela </w:t>
            </w:r>
            <w:r w:rsidRPr="00B31292">
              <w:rPr>
                <w:rFonts w:ascii="Garamond" w:eastAsia="Times New Roman" w:hAnsi="Garamond" w:cs="Times New Roman"/>
                <w:color w:val="000000"/>
                <w:sz w:val="10"/>
                <w:szCs w:val="10"/>
              </w:rPr>
              <w:t>5</w:t>
            </w:r>
            <w:r w:rsidR="00E06236" w:rsidRPr="00B31292">
              <w:rPr>
                <w:rFonts w:ascii="Garamond" w:eastAsia="Times New Roman" w:hAnsi="Garamond" w:cs="Times New Roman"/>
                <w:color w:val="000000"/>
                <w:sz w:val="10"/>
                <w:szCs w:val="10"/>
              </w:rPr>
              <w:t>,</w:t>
            </w:r>
            <w:r w:rsidR="002E2911" w:rsidRPr="00B31292">
              <w:rPr>
                <w:rFonts w:ascii="Garamond" w:eastAsia="Times New Roman" w:hAnsi="Garamond" w:cs="Times New Roman"/>
                <w:color w:val="000000"/>
                <w:sz w:val="10"/>
                <w:szCs w:val="10"/>
              </w:rPr>
              <w:t xml:space="preserve"> </w:t>
            </w:r>
            <w:r w:rsidR="00E06236" w:rsidRPr="00B31292">
              <w:rPr>
                <w:rFonts w:ascii="Garamond" w:eastAsia="Times New Roman" w:hAnsi="Garamond" w:cs="Times New Roman"/>
                <w:color w:val="000000"/>
                <w:sz w:val="10"/>
                <w:szCs w:val="10"/>
              </w:rPr>
              <w:t>t</w:t>
            </w:r>
            <w:r w:rsidRPr="00B31292">
              <w:rPr>
                <w:rFonts w:ascii="Garamond" w:eastAsia="Times New Roman" w:hAnsi="Garamond" w:cs="Times New Roman"/>
                <w:color w:val="000000"/>
                <w:sz w:val="10"/>
                <w:szCs w:val="10"/>
              </w:rPr>
              <w:t>aksat dhe kontributet shoqërore: llogari të tjera të arkëtueshme /të pagueshme (F.8) të qeverisë së përgjithshme</w:t>
            </w:r>
            <w:r w:rsidR="00E06236" w:rsidRPr="00B31292">
              <w:rPr>
                <w:rFonts w:ascii="Garamond" w:eastAsia="Times New Roman" w:hAnsi="Garamond" w:cs="Times New Roman"/>
                <w:color w:val="000000"/>
                <w:sz w:val="10"/>
                <w:szCs w:val="10"/>
              </w:rPr>
              <w:t>.</w:t>
            </w:r>
          </w:p>
        </w:tc>
        <w:tc>
          <w:tcPr>
            <w:tcW w:w="29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591F620" w14:textId="6052584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lastRenderedPageBreak/>
              <w:t>Instituti i Statistikave</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Ministria e Financave dhe Ekonomisë</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Banka e Shqipërisë </w:t>
            </w:r>
            <w:r w:rsidRPr="00B31292">
              <w:rPr>
                <w:rFonts w:ascii="Garamond" w:eastAsia="Times New Roman" w:hAnsi="Garamond" w:cs="Times New Roman"/>
                <w:color w:val="000000"/>
                <w:sz w:val="10"/>
                <w:szCs w:val="10"/>
              </w:rPr>
              <w:br/>
              <w:t>Ministria e Brendshme</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Ministria e Mbrojtjes</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Drejtoria e Përgjithshme e Tatimeve</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Autoriteti i Mbikëqyrjes Financiare</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Instituti i Sigurimeve Shoqërore</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A</w:t>
            </w:r>
            <w:r w:rsidR="00E06236" w:rsidRPr="00B31292">
              <w:rPr>
                <w:rFonts w:ascii="Garamond" w:eastAsia="Times New Roman" w:hAnsi="Garamond" w:cs="Times New Roman"/>
                <w:color w:val="000000"/>
                <w:sz w:val="10"/>
                <w:szCs w:val="10"/>
              </w:rPr>
              <w:t>u</w:t>
            </w:r>
            <w:r w:rsidRPr="00B31292">
              <w:rPr>
                <w:rFonts w:ascii="Garamond" w:eastAsia="Times New Roman" w:hAnsi="Garamond" w:cs="Times New Roman"/>
                <w:color w:val="000000"/>
                <w:sz w:val="10"/>
                <w:szCs w:val="10"/>
              </w:rPr>
              <w:t>toriteti i Kërkimit Shkencor dhe Inovacionit</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Fondi i Sigurimit të Detyrueshëm të Kujdesit Shëndetësor</w:t>
            </w:r>
          </w:p>
        </w:tc>
        <w:tc>
          <w:tcPr>
            <w:tcW w:w="22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B9C2554" w14:textId="6AF971E9"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E06236" w:rsidRPr="00B31292">
              <w:rPr>
                <w:rFonts w:ascii="Garamond" w:eastAsia="Times New Roman" w:hAnsi="Garamond" w:cs="Times New Roman"/>
                <w:color w:val="000000"/>
                <w:sz w:val="10"/>
                <w:szCs w:val="10"/>
              </w:rPr>
              <w:t>-i,</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 xml:space="preserve">Banka e </w:t>
            </w:r>
            <w:r w:rsidR="00221A99" w:rsidRPr="00B31292">
              <w:rPr>
                <w:rFonts w:ascii="Garamond" w:eastAsia="Times New Roman" w:hAnsi="Garamond" w:cs="Times New Roman"/>
                <w:color w:val="000000"/>
                <w:sz w:val="10"/>
                <w:szCs w:val="10"/>
              </w:rPr>
              <w:t>Shqipërisë</w:t>
            </w:r>
            <w:r w:rsidR="00E06236" w:rsidRPr="00B31292">
              <w:rPr>
                <w:rFonts w:ascii="Garamond" w:eastAsia="Times New Roman" w:hAnsi="Garamond" w:cs="Times New Roman"/>
                <w:color w:val="000000"/>
                <w:sz w:val="10"/>
                <w:szCs w:val="10"/>
              </w:rPr>
              <w:t>,</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 xml:space="preserve">Ministria e Financave dhe </w:t>
            </w:r>
            <w:r w:rsidR="00C23C70" w:rsidRPr="00B31292">
              <w:rPr>
                <w:rFonts w:ascii="Garamond" w:eastAsia="Times New Roman" w:hAnsi="Garamond" w:cs="Times New Roman"/>
                <w:color w:val="000000"/>
                <w:sz w:val="10"/>
                <w:szCs w:val="10"/>
              </w:rPr>
              <w:t>Ekonomisë</w:t>
            </w:r>
          </w:p>
        </w:tc>
        <w:tc>
          <w:tcPr>
            <w:tcW w:w="24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0510386"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6M + 90D</w:t>
            </w:r>
          </w:p>
        </w:tc>
        <w:tc>
          <w:tcPr>
            <w:tcW w:w="220"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F00F6D6"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6M + 111D</w:t>
            </w:r>
          </w:p>
        </w:tc>
        <w:tc>
          <w:tcPr>
            <w:tcW w:w="220"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30A2A56"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6M + 118D</w:t>
            </w:r>
          </w:p>
        </w:tc>
        <w:tc>
          <w:tcPr>
            <w:tcW w:w="346"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80700BB" w14:textId="04FB210B"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1. Vonesa në shkëmbimin e të dhënave të nevojshme për vlerësimin e treguesve kryesore nga agjencitë statistikore dhe institucionet përgjegjëse me pasojë mosvlerësimin në kohë të treguesve të </w:t>
            </w:r>
            <w:r w:rsidR="00A0665A" w:rsidRPr="00B31292">
              <w:rPr>
                <w:rFonts w:ascii="Garamond" w:eastAsia="Times New Roman" w:hAnsi="Garamond" w:cs="Times New Roman"/>
                <w:color w:val="000000"/>
                <w:sz w:val="10"/>
                <w:szCs w:val="10"/>
              </w:rPr>
              <w:t>statistikave të procedurës së deficitit të tejkaluar</w:t>
            </w:r>
            <w:r w:rsidR="00CF3AC8">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-|- 7</w:t>
            </w:r>
            <w:r w:rsidRPr="00B31292">
              <w:rPr>
                <w:rFonts w:ascii="Garamond" w:eastAsia="Times New Roman" w:hAnsi="Garamond" w:cs="Times New Roman"/>
                <w:color w:val="000000"/>
                <w:sz w:val="10"/>
                <w:szCs w:val="10"/>
              </w:rPr>
              <w:br/>
              <w:t xml:space="preserve">2. Pezullimi, vonesa në mbledhjen dhe shpërndarjen e të dhënave si pasojë e fatkeqësive natyrore apo pandemi globale me pasojë vonesa ose mospublikimin në kohë të </w:t>
            </w:r>
            <w:r w:rsidR="00A0665A" w:rsidRPr="00B31292">
              <w:rPr>
                <w:rFonts w:ascii="Garamond" w:eastAsia="Times New Roman" w:hAnsi="Garamond" w:cs="Times New Roman"/>
                <w:color w:val="000000"/>
                <w:sz w:val="10"/>
                <w:szCs w:val="10"/>
              </w:rPr>
              <w:t xml:space="preserve">statistikave të procedurës së </w:t>
            </w:r>
            <w:r w:rsidR="00A0665A" w:rsidRPr="00B31292">
              <w:rPr>
                <w:rFonts w:ascii="Garamond" w:eastAsia="Times New Roman" w:hAnsi="Garamond" w:cs="Times New Roman"/>
                <w:color w:val="000000"/>
                <w:sz w:val="10"/>
                <w:szCs w:val="10"/>
              </w:rPr>
              <w:lastRenderedPageBreak/>
              <w:t xml:space="preserve">deficitit të tejkaluar </w:t>
            </w:r>
            <w:r w:rsidRPr="00B31292">
              <w:rPr>
                <w:rFonts w:ascii="Garamond" w:eastAsia="Times New Roman" w:hAnsi="Garamond" w:cs="Times New Roman"/>
                <w:color w:val="000000"/>
                <w:sz w:val="10"/>
                <w:szCs w:val="10"/>
              </w:rPr>
              <w:t>-|- 7</w:t>
            </w:r>
            <w:r w:rsidRPr="00B31292">
              <w:rPr>
                <w:rFonts w:ascii="Garamond" w:eastAsia="Times New Roman" w:hAnsi="Garamond" w:cs="Times New Roman"/>
                <w:color w:val="000000"/>
                <w:sz w:val="10"/>
                <w:szCs w:val="10"/>
              </w:rPr>
              <w:br/>
              <w:t xml:space="preserve">3. Ndryshimi i bazës ligjore mbi të cilin mbështetet funksionimi i burimit administrativ me impakt në përpunimin e informacionit statistikor dhe </w:t>
            </w:r>
            <w:r w:rsidR="00106FB4" w:rsidRPr="00B31292">
              <w:rPr>
                <w:rFonts w:ascii="Garamond" w:eastAsia="Times New Roman" w:hAnsi="Garamond" w:cs="Times New Roman"/>
                <w:color w:val="000000"/>
                <w:sz w:val="10"/>
                <w:szCs w:val="10"/>
              </w:rPr>
              <w:t>vënia</w:t>
            </w:r>
            <w:r w:rsidRPr="00B31292">
              <w:rPr>
                <w:rFonts w:ascii="Garamond" w:eastAsia="Times New Roman" w:hAnsi="Garamond" w:cs="Times New Roman"/>
                <w:color w:val="000000"/>
                <w:sz w:val="10"/>
                <w:szCs w:val="10"/>
              </w:rPr>
              <w:t xml:space="preserve"> në zbatim në mënyrë të menjëhershme e institucioneve objekt i legjislacionit me pasojë mospublikimin në kohë dhe me cilësi të të dhënave bazë për llogaritjen e treguesve të </w:t>
            </w:r>
            <w:r w:rsidR="00A0665A" w:rsidRPr="00B31292">
              <w:rPr>
                <w:rFonts w:ascii="Garamond" w:eastAsia="Times New Roman" w:hAnsi="Garamond" w:cs="Times New Roman"/>
                <w:color w:val="000000"/>
                <w:sz w:val="10"/>
                <w:szCs w:val="10"/>
              </w:rPr>
              <w:t>Statistikave të procedurës së deficitit të tejkaluar</w:t>
            </w:r>
            <w:r w:rsidR="00CF3AC8">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-|- 5</w:t>
            </w:r>
            <w:r w:rsidRPr="00B31292">
              <w:rPr>
                <w:rFonts w:ascii="Garamond" w:eastAsia="Times New Roman" w:hAnsi="Garamond" w:cs="Times New Roman"/>
                <w:color w:val="000000"/>
                <w:sz w:val="10"/>
                <w:szCs w:val="10"/>
              </w:rPr>
              <w:br/>
              <w:t xml:space="preserve">4. Vonesa në marrjen e të dhënave në kohë dhe me cilësi nga Grupi i Punës i ngritur për përpilimin e </w:t>
            </w:r>
            <w:r w:rsidR="00A0665A" w:rsidRPr="00B31292">
              <w:rPr>
                <w:rFonts w:ascii="Garamond" w:eastAsia="Times New Roman" w:hAnsi="Garamond" w:cs="Times New Roman"/>
                <w:color w:val="000000"/>
                <w:sz w:val="10"/>
                <w:szCs w:val="10"/>
              </w:rPr>
              <w:t>statistikave të procedurës së deficitit të tejkaluar</w:t>
            </w:r>
            <w:r w:rsidR="00CF3AC8">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-|- 5</w:t>
            </w:r>
            <w:r w:rsidRPr="00B31292">
              <w:rPr>
                <w:rFonts w:ascii="Garamond" w:eastAsia="Times New Roman" w:hAnsi="Garamond" w:cs="Times New Roman"/>
                <w:color w:val="000000"/>
                <w:sz w:val="10"/>
                <w:szCs w:val="10"/>
              </w:rPr>
              <w:br/>
              <w:t xml:space="preserve">5. Probleme të hasura nga mirëmbajtja dhe funksionimi i sistemit të zhvilluar për përpilimin e </w:t>
            </w:r>
            <w:r w:rsidR="00A0665A" w:rsidRPr="00B31292">
              <w:rPr>
                <w:rFonts w:ascii="Garamond" w:eastAsia="Times New Roman" w:hAnsi="Garamond" w:cs="Times New Roman"/>
                <w:color w:val="000000"/>
                <w:sz w:val="10"/>
                <w:szCs w:val="10"/>
              </w:rPr>
              <w:t>statistikave të procedurës së deficitit të tejkaluar</w:t>
            </w:r>
            <w:r w:rsidR="00CF3AC8">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(AIGCS) -|- 5</w:t>
            </w:r>
            <w:r w:rsidRPr="00B31292">
              <w:rPr>
                <w:rFonts w:ascii="Garamond" w:eastAsia="Times New Roman" w:hAnsi="Garamond" w:cs="Times New Roman"/>
                <w:color w:val="000000"/>
                <w:sz w:val="10"/>
                <w:szCs w:val="10"/>
              </w:rPr>
              <w:br/>
              <w:t xml:space="preserve">6. Procesimi i saktë elektronik nga sistemi SIFQ për konsolidimin e të dhënave dhe gjenerimin e raporteve financiare me pasojë publikimin në kohë dhe me cilësi të treguesve të </w:t>
            </w:r>
            <w:r w:rsidR="00A0665A" w:rsidRPr="00B31292">
              <w:rPr>
                <w:rFonts w:ascii="Garamond" w:eastAsia="Times New Roman" w:hAnsi="Garamond" w:cs="Times New Roman"/>
                <w:color w:val="000000"/>
                <w:sz w:val="10"/>
                <w:szCs w:val="10"/>
              </w:rPr>
              <w:t>statistikave të procedurës së deficitit të tejkaluar</w:t>
            </w:r>
            <w:r w:rsidR="00CF3AC8">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-|- 5</w:t>
            </w:r>
            <w:r w:rsidRPr="00B31292">
              <w:rPr>
                <w:rFonts w:ascii="Garamond" w:eastAsia="Times New Roman" w:hAnsi="Garamond" w:cs="Times New Roman"/>
                <w:color w:val="000000"/>
                <w:sz w:val="10"/>
                <w:szCs w:val="10"/>
              </w:rPr>
              <w:br/>
              <w:t xml:space="preserve">7. Mungesa e stafit apo strukturave përgjegjëse në agjencitë e tjera statistikore me pasojë vonesë e përgatitjes në kohë dhe me cilësi të informacionit për vlerësimin e treguesve të </w:t>
            </w:r>
            <w:r w:rsidR="00A0665A" w:rsidRPr="00B31292">
              <w:rPr>
                <w:rFonts w:ascii="Garamond" w:eastAsia="Times New Roman" w:hAnsi="Garamond" w:cs="Times New Roman"/>
                <w:color w:val="000000"/>
                <w:sz w:val="10"/>
                <w:szCs w:val="10"/>
              </w:rPr>
              <w:t>statistikave të procedurës së deficitit të tejkaluar</w:t>
            </w:r>
            <w:r w:rsidR="00CF3AC8">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-|- 4</w:t>
            </w:r>
            <w:r w:rsidRPr="00B31292">
              <w:rPr>
                <w:rFonts w:ascii="Garamond" w:eastAsia="Times New Roman" w:hAnsi="Garamond" w:cs="Times New Roman"/>
                <w:color w:val="000000"/>
                <w:sz w:val="10"/>
                <w:szCs w:val="10"/>
              </w:rPr>
              <w:br/>
            </w:r>
            <w:r w:rsidRPr="00B31292">
              <w:rPr>
                <w:rFonts w:ascii="Garamond" w:eastAsia="Times New Roman" w:hAnsi="Garamond" w:cs="Times New Roman"/>
                <w:color w:val="000000"/>
                <w:sz w:val="10"/>
                <w:szCs w:val="10"/>
              </w:rPr>
              <w:lastRenderedPageBreak/>
              <w:t xml:space="preserve">8. Largime të stafit me eksperiencë me pasojë rritjen e ngarkesës në punë të stafit ekzistues, mospublikimin në kohë të treguesve të </w:t>
            </w:r>
            <w:r w:rsidR="00A0665A" w:rsidRPr="00B31292">
              <w:rPr>
                <w:rFonts w:ascii="Garamond" w:eastAsia="Times New Roman" w:hAnsi="Garamond" w:cs="Times New Roman"/>
                <w:color w:val="000000"/>
                <w:sz w:val="10"/>
                <w:szCs w:val="10"/>
              </w:rPr>
              <w:t>statistikave të procedurës së deficitit të tejkaluar</w:t>
            </w:r>
            <w:r w:rsidR="00CF3AC8">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-|- 6</w:t>
            </w:r>
          </w:p>
        </w:tc>
        <w:tc>
          <w:tcPr>
            <w:tcW w:w="273"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FB3D774" w14:textId="0E75463A"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lastRenderedPageBreak/>
              <w:t>Kombinuar (</w:t>
            </w:r>
            <w:r w:rsidR="00C23C70" w:rsidRPr="00B31292">
              <w:rPr>
                <w:rFonts w:ascii="Garamond" w:eastAsia="Times New Roman" w:hAnsi="Garamond" w:cs="Times New Roman"/>
                <w:color w:val="000000"/>
                <w:sz w:val="10"/>
                <w:szCs w:val="10"/>
              </w:rPr>
              <w:t>Buxhet shteti + donatorët</w:t>
            </w:r>
            <w:r w:rsidRPr="00B31292">
              <w:rPr>
                <w:rFonts w:ascii="Garamond" w:eastAsia="Times New Roman" w:hAnsi="Garamond" w:cs="Times New Roman"/>
                <w:color w:val="000000"/>
                <w:sz w:val="10"/>
                <w:szCs w:val="10"/>
              </w:rPr>
              <w:t>)</w:t>
            </w:r>
          </w:p>
        </w:tc>
      </w:tr>
      <w:tr w:rsidR="000A2254" w:rsidRPr="00B31292" w14:paraId="2DD46CC8" w14:textId="77777777" w:rsidTr="000A2254">
        <w:trPr>
          <w:trHeight w:val="20"/>
        </w:trPr>
        <w:tc>
          <w:tcPr>
            <w:tcW w:w="215" w:type="pct"/>
            <w:tcBorders>
              <w:top w:val="nil"/>
              <w:left w:val="nil"/>
              <w:bottom w:val="nil"/>
              <w:right w:val="nil"/>
            </w:tcBorders>
            <w:shd w:val="clear" w:color="000000" w:fill="FFFFFF"/>
            <w:vAlign w:val="bottom"/>
            <w:hideMark/>
          </w:tcPr>
          <w:p w14:paraId="3876837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359E83F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1D39476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397484B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4613717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72F3A82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vMerge/>
            <w:tcBorders>
              <w:top w:val="nil"/>
              <w:left w:val="single" w:sz="4" w:space="0" w:color="auto"/>
              <w:bottom w:val="single" w:sz="4" w:space="0" w:color="000000"/>
              <w:right w:val="single" w:sz="4" w:space="0" w:color="auto"/>
            </w:tcBorders>
            <w:vAlign w:val="center"/>
            <w:hideMark/>
          </w:tcPr>
          <w:p w14:paraId="0887EC64"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81" w:type="pct"/>
            <w:vMerge/>
            <w:tcBorders>
              <w:top w:val="nil"/>
              <w:left w:val="single" w:sz="4" w:space="0" w:color="auto"/>
              <w:bottom w:val="single" w:sz="4" w:space="0" w:color="000000"/>
              <w:right w:val="single" w:sz="4" w:space="0" w:color="auto"/>
            </w:tcBorders>
            <w:vAlign w:val="center"/>
            <w:hideMark/>
          </w:tcPr>
          <w:p w14:paraId="61847F95" w14:textId="77777777" w:rsidR="000A2254" w:rsidRPr="00B31292" w:rsidRDefault="000A2254" w:rsidP="000A2254">
            <w:pPr>
              <w:spacing w:after="0" w:line="240" w:lineRule="auto"/>
              <w:rPr>
                <w:rFonts w:ascii="Garamond" w:eastAsia="Times New Roman" w:hAnsi="Garamond" w:cs="Times New Roman"/>
                <w:sz w:val="10"/>
                <w:szCs w:val="10"/>
              </w:rPr>
            </w:pPr>
          </w:p>
        </w:tc>
        <w:tc>
          <w:tcPr>
            <w:tcW w:w="236" w:type="pct"/>
            <w:vMerge/>
            <w:tcBorders>
              <w:top w:val="nil"/>
              <w:left w:val="single" w:sz="4" w:space="0" w:color="auto"/>
              <w:bottom w:val="single" w:sz="4" w:space="0" w:color="000000"/>
              <w:right w:val="single" w:sz="4" w:space="0" w:color="auto"/>
            </w:tcBorders>
            <w:vAlign w:val="center"/>
            <w:hideMark/>
          </w:tcPr>
          <w:p w14:paraId="331F6D5E" w14:textId="77777777" w:rsidR="000A2254" w:rsidRPr="00B31292" w:rsidRDefault="000A2254" w:rsidP="000A2254">
            <w:pPr>
              <w:spacing w:after="0" w:line="240" w:lineRule="auto"/>
              <w:rPr>
                <w:rFonts w:ascii="Garamond" w:eastAsia="Times New Roman" w:hAnsi="Garamond" w:cs="Times New Roman"/>
                <w:sz w:val="10"/>
                <w:szCs w:val="10"/>
              </w:rPr>
            </w:pPr>
          </w:p>
        </w:tc>
        <w:tc>
          <w:tcPr>
            <w:tcW w:w="238" w:type="pct"/>
            <w:vMerge/>
            <w:tcBorders>
              <w:top w:val="nil"/>
              <w:left w:val="single" w:sz="4" w:space="0" w:color="auto"/>
              <w:bottom w:val="single" w:sz="4" w:space="0" w:color="000000"/>
              <w:right w:val="single" w:sz="4" w:space="0" w:color="auto"/>
            </w:tcBorders>
            <w:vAlign w:val="center"/>
            <w:hideMark/>
          </w:tcPr>
          <w:p w14:paraId="57B37AC0" w14:textId="77777777" w:rsidR="000A2254" w:rsidRPr="00B31292" w:rsidRDefault="000A2254" w:rsidP="000A2254">
            <w:pPr>
              <w:spacing w:after="0" w:line="240" w:lineRule="auto"/>
              <w:rPr>
                <w:rFonts w:ascii="Garamond" w:eastAsia="Times New Roman" w:hAnsi="Garamond" w:cs="Times New Roman"/>
                <w:sz w:val="10"/>
                <w:szCs w:val="10"/>
              </w:rPr>
            </w:pPr>
          </w:p>
        </w:tc>
        <w:tc>
          <w:tcPr>
            <w:tcW w:w="180" w:type="pct"/>
            <w:vMerge/>
            <w:tcBorders>
              <w:top w:val="nil"/>
              <w:left w:val="single" w:sz="4" w:space="0" w:color="auto"/>
              <w:bottom w:val="single" w:sz="4" w:space="0" w:color="000000"/>
              <w:right w:val="nil"/>
            </w:tcBorders>
            <w:vAlign w:val="center"/>
            <w:hideMark/>
          </w:tcPr>
          <w:p w14:paraId="1B78FC28" w14:textId="77777777" w:rsidR="000A2254" w:rsidRPr="00B31292" w:rsidRDefault="000A2254" w:rsidP="000A2254">
            <w:pPr>
              <w:spacing w:after="0" w:line="240" w:lineRule="auto"/>
              <w:rPr>
                <w:rFonts w:ascii="Garamond" w:eastAsia="Times New Roman" w:hAnsi="Garamond" w:cs="Times New Roman"/>
                <w:sz w:val="10"/>
                <w:szCs w:val="10"/>
              </w:rPr>
            </w:pPr>
          </w:p>
        </w:tc>
        <w:tc>
          <w:tcPr>
            <w:tcW w:w="228" w:type="pct"/>
            <w:vMerge/>
            <w:tcBorders>
              <w:top w:val="nil"/>
              <w:left w:val="nil"/>
              <w:bottom w:val="single" w:sz="4" w:space="0" w:color="000000"/>
              <w:right w:val="single" w:sz="4" w:space="0" w:color="auto"/>
            </w:tcBorders>
            <w:vAlign w:val="center"/>
            <w:hideMark/>
          </w:tcPr>
          <w:p w14:paraId="0B6E4D4C"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22" w:type="pct"/>
            <w:vMerge/>
            <w:tcBorders>
              <w:top w:val="nil"/>
              <w:left w:val="single" w:sz="4" w:space="0" w:color="auto"/>
              <w:bottom w:val="single" w:sz="4" w:space="0" w:color="000000"/>
              <w:right w:val="single" w:sz="4" w:space="0" w:color="auto"/>
            </w:tcBorders>
            <w:vAlign w:val="center"/>
            <w:hideMark/>
          </w:tcPr>
          <w:p w14:paraId="21980A05"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486" w:type="pct"/>
            <w:tcBorders>
              <w:top w:val="nil"/>
              <w:left w:val="nil"/>
              <w:bottom w:val="nil"/>
              <w:right w:val="single" w:sz="4" w:space="0" w:color="auto"/>
            </w:tcBorders>
            <w:shd w:val="clear" w:color="000000" w:fill="FFFFFF"/>
            <w:vAlign w:val="center"/>
            <w:hideMark/>
          </w:tcPr>
          <w:p w14:paraId="60C51823" w14:textId="4E40A151"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10. Aneksi 3: Tabela 6</w:t>
            </w:r>
            <w:r w:rsidR="00E06236" w:rsidRPr="00B31292">
              <w:rPr>
                <w:rFonts w:ascii="Garamond" w:eastAsia="Times New Roman" w:hAnsi="Garamond" w:cs="Times New Roman"/>
                <w:color w:val="000000"/>
                <w:sz w:val="10"/>
                <w:szCs w:val="10"/>
              </w:rPr>
              <w:t>,</w:t>
            </w:r>
            <w:r w:rsidR="002E2911" w:rsidRPr="00B31292">
              <w:rPr>
                <w:rFonts w:ascii="Garamond" w:eastAsia="Times New Roman" w:hAnsi="Garamond" w:cs="Times New Roman"/>
                <w:color w:val="000000"/>
                <w:sz w:val="10"/>
                <w:szCs w:val="10"/>
              </w:rPr>
              <w:t xml:space="preserve"> </w:t>
            </w:r>
            <w:r w:rsidR="00E06236" w:rsidRPr="00B31292">
              <w:rPr>
                <w:rFonts w:ascii="Garamond" w:eastAsia="Times New Roman" w:hAnsi="Garamond" w:cs="Times New Roman"/>
                <w:color w:val="000000"/>
                <w:sz w:val="10"/>
                <w:szCs w:val="10"/>
              </w:rPr>
              <w:t>r</w:t>
            </w:r>
            <w:r w:rsidRPr="00B31292">
              <w:rPr>
                <w:rFonts w:ascii="Garamond" w:eastAsia="Times New Roman" w:hAnsi="Garamond" w:cs="Times New Roman"/>
                <w:color w:val="000000"/>
                <w:sz w:val="10"/>
                <w:szCs w:val="10"/>
              </w:rPr>
              <w:t>egjistrimi i flukseve të BE</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së në tabelat e EDP</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së</w:t>
            </w:r>
            <w:r w:rsidR="00E0623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11. Aneksi 3: Tabela 7</w:t>
            </w:r>
            <w:r w:rsidR="00856E8D" w:rsidRPr="00B31292">
              <w:rPr>
                <w:rFonts w:ascii="Garamond" w:eastAsia="Times New Roman" w:hAnsi="Garamond" w:cs="Times New Roman"/>
                <w:color w:val="000000"/>
                <w:sz w:val="10"/>
                <w:szCs w:val="10"/>
              </w:rPr>
              <w:t>,</w:t>
            </w:r>
            <w:r w:rsidR="002E2911" w:rsidRPr="00B31292">
              <w:rPr>
                <w:rFonts w:ascii="Garamond" w:eastAsia="Times New Roman" w:hAnsi="Garamond" w:cs="Times New Roman"/>
                <w:color w:val="000000"/>
                <w:sz w:val="10"/>
                <w:szCs w:val="10"/>
              </w:rPr>
              <w:t xml:space="preserve"> </w:t>
            </w:r>
            <w:r w:rsidR="00856E8D" w:rsidRPr="00B31292">
              <w:rPr>
                <w:rFonts w:ascii="Garamond" w:eastAsia="Times New Roman" w:hAnsi="Garamond" w:cs="Times New Roman"/>
                <w:color w:val="000000"/>
                <w:sz w:val="10"/>
                <w:szCs w:val="10"/>
              </w:rPr>
              <w:t>s</w:t>
            </w:r>
            <w:r w:rsidRPr="00B31292">
              <w:rPr>
                <w:rFonts w:ascii="Garamond" w:eastAsia="Times New Roman" w:hAnsi="Garamond" w:cs="Times New Roman"/>
                <w:color w:val="000000"/>
                <w:sz w:val="10"/>
                <w:szCs w:val="10"/>
              </w:rPr>
              <w:t>hpenzimet e pajisjeve ushtarake (armët dhe pajisjet mbështetëse)</w:t>
            </w:r>
            <w:r w:rsidR="00856E8D"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12. Aneksi 3: Tabela 8</w:t>
            </w:r>
            <w:r w:rsidR="00856E8D" w:rsidRPr="00B31292">
              <w:rPr>
                <w:rFonts w:ascii="Garamond" w:eastAsia="Times New Roman" w:hAnsi="Garamond" w:cs="Times New Roman"/>
                <w:color w:val="000000"/>
                <w:sz w:val="10"/>
                <w:szCs w:val="10"/>
              </w:rPr>
              <w:t>,</w:t>
            </w:r>
            <w:r w:rsidR="002E2911" w:rsidRPr="00B31292">
              <w:rPr>
                <w:rFonts w:ascii="Garamond" w:eastAsia="Times New Roman" w:hAnsi="Garamond" w:cs="Times New Roman"/>
                <w:color w:val="000000"/>
                <w:sz w:val="10"/>
                <w:szCs w:val="10"/>
              </w:rPr>
              <w:t xml:space="preserve"> </w:t>
            </w:r>
            <w:r w:rsidR="00856E8D" w:rsidRPr="00B31292">
              <w:rPr>
                <w:rFonts w:ascii="Garamond" w:eastAsia="Times New Roman" w:hAnsi="Garamond" w:cs="Times New Roman"/>
                <w:color w:val="000000"/>
                <w:sz w:val="10"/>
                <w:szCs w:val="10"/>
              </w:rPr>
              <w:t>t</w:t>
            </w:r>
            <w:r w:rsidRPr="00B31292">
              <w:rPr>
                <w:rFonts w:ascii="Garamond" w:eastAsia="Times New Roman" w:hAnsi="Garamond" w:cs="Times New Roman"/>
                <w:color w:val="000000"/>
                <w:sz w:val="10"/>
                <w:szCs w:val="10"/>
              </w:rPr>
              <w:t>ë drejta të arkëtueshme të qeverisë qendrore, anulimi i borxhit</w:t>
            </w:r>
            <w:r w:rsidR="00856E8D"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13. Aneksi 3: Tabela 9</w:t>
            </w:r>
            <w:r w:rsidR="00856E8D" w:rsidRPr="00B31292">
              <w:rPr>
                <w:rFonts w:ascii="Garamond" w:eastAsia="Times New Roman" w:hAnsi="Garamond" w:cs="Times New Roman"/>
                <w:color w:val="000000"/>
                <w:sz w:val="10"/>
                <w:szCs w:val="10"/>
              </w:rPr>
              <w:t>,</w:t>
            </w:r>
            <w:r w:rsidR="002E2911" w:rsidRPr="00B31292">
              <w:rPr>
                <w:rFonts w:ascii="Garamond" w:eastAsia="Times New Roman" w:hAnsi="Garamond" w:cs="Times New Roman"/>
                <w:color w:val="000000"/>
                <w:sz w:val="10"/>
                <w:szCs w:val="10"/>
              </w:rPr>
              <w:t xml:space="preserve"> </w:t>
            </w:r>
            <w:r w:rsidR="00856E8D" w:rsidRPr="00B31292">
              <w:rPr>
                <w:rFonts w:ascii="Garamond" w:eastAsia="Times New Roman" w:hAnsi="Garamond" w:cs="Times New Roman"/>
                <w:color w:val="000000"/>
                <w:sz w:val="10"/>
                <w:szCs w:val="10"/>
              </w:rPr>
              <w:t>regjistrimi i garancive.</w:t>
            </w:r>
            <w:r w:rsidRPr="00B31292">
              <w:rPr>
                <w:rFonts w:ascii="Garamond" w:eastAsia="Times New Roman" w:hAnsi="Garamond" w:cs="Times New Roman"/>
                <w:color w:val="000000"/>
                <w:sz w:val="10"/>
                <w:szCs w:val="10"/>
              </w:rPr>
              <w:br/>
              <w:t>14. Aneksi 3: Tabela 10</w:t>
            </w:r>
            <w:r w:rsidR="00856E8D" w:rsidRPr="00B31292">
              <w:rPr>
                <w:rFonts w:ascii="Garamond" w:eastAsia="Times New Roman" w:hAnsi="Garamond" w:cs="Times New Roman"/>
                <w:color w:val="000000"/>
                <w:sz w:val="10"/>
                <w:szCs w:val="10"/>
              </w:rPr>
              <w:t>,</w:t>
            </w:r>
            <w:r w:rsidR="002E2911" w:rsidRPr="00B31292">
              <w:rPr>
                <w:rFonts w:ascii="Garamond" w:eastAsia="Times New Roman" w:hAnsi="Garamond" w:cs="Times New Roman"/>
                <w:color w:val="000000"/>
                <w:sz w:val="10"/>
                <w:szCs w:val="10"/>
              </w:rPr>
              <w:t xml:space="preserve"> </w:t>
            </w:r>
            <w:r w:rsidR="00856E8D" w:rsidRPr="00B31292">
              <w:rPr>
                <w:rFonts w:ascii="Garamond" w:eastAsia="Times New Roman" w:hAnsi="Garamond" w:cs="Times New Roman"/>
                <w:color w:val="000000"/>
                <w:sz w:val="10"/>
                <w:szCs w:val="10"/>
              </w:rPr>
              <w:t>i</w:t>
            </w:r>
            <w:r w:rsidRPr="00B31292">
              <w:rPr>
                <w:rFonts w:ascii="Garamond" w:eastAsia="Times New Roman" w:hAnsi="Garamond" w:cs="Times New Roman"/>
                <w:color w:val="000000"/>
                <w:sz w:val="10"/>
                <w:szCs w:val="10"/>
              </w:rPr>
              <w:t>njektimi i kapitaleve, superdividentë dhe privatizime</w:t>
            </w:r>
            <w:r w:rsidR="00856E8D"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15. Aneksi 3: Tabela 11</w:t>
            </w:r>
            <w:r w:rsidR="00856E8D" w:rsidRPr="00B31292">
              <w:rPr>
                <w:rFonts w:ascii="Garamond" w:eastAsia="Times New Roman" w:hAnsi="Garamond" w:cs="Times New Roman"/>
                <w:color w:val="000000"/>
                <w:sz w:val="10"/>
                <w:szCs w:val="10"/>
              </w:rPr>
              <w:t>,</w:t>
            </w:r>
            <w:r w:rsidR="002E2911" w:rsidRPr="00B31292">
              <w:rPr>
                <w:rFonts w:ascii="Garamond" w:eastAsia="Times New Roman" w:hAnsi="Garamond" w:cs="Times New Roman"/>
                <w:color w:val="000000"/>
                <w:sz w:val="10"/>
                <w:szCs w:val="10"/>
              </w:rPr>
              <w:t xml:space="preserve"> </w:t>
            </w:r>
            <w:r w:rsidR="00856E8D" w:rsidRPr="00B31292">
              <w:rPr>
                <w:rFonts w:ascii="Garamond" w:eastAsia="Times New Roman" w:hAnsi="Garamond" w:cs="Times New Roman"/>
                <w:color w:val="000000"/>
                <w:sz w:val="10"/>
                <w:szCs w:val="10"/>
              </w:rPr>
              <w:t xml:space="preserve">partneriteti publik-private </w:t>
            </w:r>
            <w:r w:rsidRPr="00B31292">
              <w:rPr>
                <w:rFonts w:ascii="Garamond" w:eastAsia="Times New Roman" w:hAnsi="Garamond" w:cs="Times New Roman"/>
                <w:color w:val="000000"/>
                <w:sz w:val="10"/>
                <w:szCs w:val="10"/>
              </w:rPr>
              <w:t>(PPP)</w:t>
            </w:r>
            <w:r w:rsidR="00856E8D"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16. Aneksi 3: Tabela 12</w:t>
            </w:r>
            <w:r w:rsidR="00856E8D" w:rsidRPr="00B31292">
              <w:rPr>
                <w:rFonts w:ascii="Garamond" w:eastAsia="Times New Roman" w:hAnsi="Garamond" w:cs="Times New Roman"/>
                <w:color w:val="000000"/>
                <w:sz w:val="10"/>
                <w:szCs w:val="10"/>
              </w:rPr>
              <w:t>,</w:t>
            </w:r>
            <w:r w:rsidR="002E2911" w:rsidRPr="00B31292">
              <w:rPr>
                <w:rFonts w:ascii="Garamond" w:eastAsia="Times New Roman" w:hAnsi="Garamond" w:cs="Times New Roman"/>
                <w:color w:val="000000"/>
                <w:sz w:val="10"/>
                <w:szCs w:val="10"/>
              </w:rPr>
              <w:t xml:space="preserve"> </w:t>
            </w:r>
            <w:r w:rsidR="00856E8D" w:rsidRPr="00B31292">
              <w:rPr>
                <w:rFonts w:ascii="Garamond" w:eastAsia="Times New Roman" w:hAnsi="Garamond" w:cs="Times New Roman"/>
                <w:color w:val="000000"/>
                <w:sz w:val="10"/>
                <w:szCs w:val="10"/>
              </w:rPr>
              <w:t>o</w:t>
            </w:r>
            <w:r w:rsidRPr="00B31292">
              <w:rPr>
                <w:rFonts w:ascii="Garamond" w:eastAsia="Times New Roman" w:hAnsi="Garamond" w:cs="Times New Roman"/>
                <w:color w:val="000000"/>
                <w:sz w:val="10"/>
                <w:szCs w:val="10"/>
              </w:rPr>
              <w:t>peracionet e shitjes dhe marrjes me qira</w:t>
            </w:r>
            <w:r w:rsidR="00856E8D"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17. Aneksi 3: Tabela 13</w:t>
            </w:r>
            <w:r w:rsidR="00856E8D" w:rsidRPr="00B31292">
              <w:rPr>
                <w:rFonts w:ascii="Garamond" w:eastAsia="Times New Roman" w:hAnsi="Garamond" w:cs="Times New Roman"/>
                <w:color w:val="000000"/>
                <w:sz w:val="10"/>
                <w:szCs w:val="10"/>
              </w:rPr>
              <w:t>,</w:t>
            </w:r>
            <w:r w:rsidR="002E2911" w:rsidRPr="00B31292">
              <w:rPr>
                <w:rFonts w:ascii="Garamond" w:eastAsia="Times New Roman" w:hAnsi="Garamond" w:cs="Times New Roman"/>
                <w:color w:val="000000"/>
                <w:sz w:val="10"/>
                <w:szCs w:val="10"/>
              </w:rPr>
              <w:t xml:space="preserve"> </w:t>
            </w:r>
            <w:r w:rsidR="00856E8D" w:rsidRPr="00B31292">
              <w:rPr>
                <w:rFonts w:ascii="Garamond" w:eastAsia="Times New Roman" w:hAnsi="Garamond" w:cs="Times New Roman"/>
                <w:color w:val="000000"/>
                <w:sz w:val="10"/>
                <w:szCs w:val="10"/>
              </w:rPr>
              <w:t>r</w:t>
            </w:r>
            <w:r w:rsidRPr="00B31292">
              <w:rPr>
                <w:rFonts w:ascii="Garamond" w:eastAsia="Times New Roman" w:hAnsi="Garamond" w:cs="Times New Roman"/>
                <w:color w:val="000000"/>
                <w:sz w:val="10"/>
                <w:szCs w:val="10"/>
              </w:rPr>
              <w:t>ivendosja e transaksioneve dhe aktiveve/detyrimeve përmes llogarive qeveritare që ndikojnë në B.9 dhe borxhin</w:t>
            </w:r>
            <w:r w:rsidR="00856E8D"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18. Aneksi 5: </w:t>
            </w:r>
            <w:r w:rsidR="00BA12C3"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Tabela shtesë për raportimin e ndërhyrjeve të qeverisë për të mbështetur institucionet financiare</w:t>
            </w:r>
            <w:r w:rsidR="00BA12C3" w:rsidRPr="00B31292">
              <w:rPr>
                <w:rFonts w:ascii="Garamond" w:eastAsia="Times New Roman" w:hAnsi="Garamond" w:cs="Times New Roman"/>
                <w:color w:val="000000"/>
                <w:sz w:val="10"/>
                <w:szCs w:val="10"/>
              </w:rPr>
              <w:t>”</w:t>
            </w:r>
            <w:r w:rsidR="00856E8D"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19. Aneksi 8: </w:t>
            </w:r>
            <w:r w:rsidR="00BA12C3"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Tabela shtesë për raportimin e masave të marra në kontekstin e pandemisë </w:t>
            </w:r>
            <w:r w:rsidR="00856E8D" w:rsidRPr="00B31292">
              <w:rPr>
                <w:rFonts w:ascii="Garamond" w:eastAsia="Times New Roman" w:hAnsi="Garamond" w:cs="Times New Roman"/>
                <w:color w:val="000000"/>
                <w:sz w:val="10"/>
                <w:szCs w:val="10"/>
              </w:rPr>
              <w:t>COVID-</w:t>
            </w:r>
            <w:r w:rsidRPr="00B31292">
              <w:rPr>
                <w:rFonts w:ascii="Garamond" w:eastAsia="Times New Roman" w:hAnsi="Garamond" w:cs="Times New Roman"/>
                <w:color w:val="000000"/>
                <w:sz w:val="10"/>
                <w:szCs w:val="10"/>
              </w:rPr>
              <w:t>19</w:t>
            </w:r>
            <w:r w:rsidR="00BA12C3" w:rsidRPr="00B31292">
              <w:rPr>
                <w:rFonts w:ascii="Garamond" w:eastAsia="Times New Roman" w:hAnsi="Garamond" w:cs="Times New Roman"/>
                <w:color w:val="000000"/>
                <w:sz w:val="10"/>
                <w:szCs w:val="10"/>
              </w:rPr>
              <w:t>”</w:t>
            </w:r>
            <w:r w:rsidR="00856E8D" w:rsidRPr="00B31292">
              <w:rPr>
                <w:rFonts w:ascii="Garamond" w:eastAsia="Times New Roman" w:hAnsi="Garamond" w:cs="Times New Roman"/>
                <w:color w:val="000000"/>
                <w:sz w:val="10"/>
                <w:szCs w:val="10"/>
              </w:rPr>
              <w:t>.</w:t>
            </w:r>
          </w:p>
        </w:tc>
        <w:tc>
          <w:tcPr>
            <w:tcW w:w="299" w:type="pct"/>
            <w:vMerge/>
            <w:tcBorders>
              <w:top w:val="nil"/>
              <w:left w:val="single" w:sz="4" w:space="0" w:color="auto"/>
              <w:bottom w:val="single" w:sz="4" w:space="0" w:color="000000"/>
              <w:right w:val="single" w:sz="4" w:space="0" w:color="auto"/>
            </w:tcBorders>
            <w:vAlign w:val="center"/>
            <w:hideMark/>
          </w:tcPr>
          <w:p w14:paraId="043BEB02"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24" w:type="pct"/>
            <w:vMerge/>
            <w:tcBorders>
              <w:top w:val="nil"/>
              <w:left w:val="single" w:sz="4" w:space="0" w:color="auto"/>
              <w:bottom w:val="single" w:sz="4" w:space="0" w:color="000000"/>
              <w:right w:val="single" w:sz="4" w:space="0" w:color="auto"/>
            </w:tcBorders>
            <w:vAlign w:val="center"/>
            <w:hideMark/>
          </w:tcPr>
          <w:p w14:paraId="09B35B9C"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44" w:type="pct"/>
            <w:vMerge/>
            <w:tcBorders>
              <w:top w:val="nil"/>
              <w:left w:val="single" w:sz="4" w:space="0" w:color="auto"/>
              <w:bottom w:val="single" w:sz="4" w:space="0" w:color="000000"/>
              <w:right w:val="single" w:sz="4" w:space="0" w:color="auto"/>
            </w:tcBorders>
            <w:vAlign w:val="center"/>
            <w:hideMark/>
          </w:tcPr>
          <w:p w14:paraId="40CE25C5"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20" w:type="pct"/>
            <w:vMerge/>
            <w:tcBorders>
              <w:top w:val="nil"/>
              <w:left w:val="single" w:sz="4" w:space="0" w:color="auto"/>
              <w:bottom w:val="single" w:sz="4" w:space="0" w:color="000000"/>
              <w:right w:val="single" w:sz="4" w:space="0" w:color="auto"/>
            </w:tcBorders>
            <w:vAlign w:val="center"/>
            <w:hideMark/>
          </w:tcPr>
          <w:p w14:paraId="3F8BD5F3"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20" w:type="pct"/>
            <w:vMerge/>
            <w:tcBorders>
              <w:top w:val="nil"/>
              <w:left w:val="single" w:sz="4" w:space="0" w:color="auto"/>
              <w:bottom w:val="single" w:sz="4" w:space="0" w:color="000000"/>
              <w:right w:val="single" w:sz="4" w:space="0" w:color="auto"/>
            </w:tcBorders>
            <w:vAlign w:val="center"/>
            <w:hideMark/>
          </w:tcPr>
          <w:p w14:paraId="729BADE1"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346" w:type="pct"/>
            <w:vMerge/>
            <w:tcBorders>
              <w:top w:val="nil"/>
              <w:left w:val="single" w:sz="4" w:space="0" w:color="auto"/>
              <w:bottom w:val="single" w:sz="4" w:space="0" w:color="000000"/>
              <w:right w:val="single" w:sz="4" w:space="0" w:color="auto"/>
            </w:tcBorders>
            <w:vAlign w:val="center"/>
            <w:hideMark/>
          </w:tcPr>
          <w:p w14:paraId="596A9270"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73" w:type="pct"/>
            <w:vMerge/>
            <w:tcBorders>
              <w:top w:val="nil"/>
              <w:left w:val="single" w:sz="4" w:space="0" w:color="auto"/>
              <w:bottom w:val="single" w:sz="4" w:space="0" w:color="000000"/>
              <w:right w:val="single" w:sz="4" w:space="0" w:color="auto"/>
            </w:tcBorders>
            <w:vAlign w:val="center"/>
            <w:hideMark/>
          </w:tcPr>
          <w:p w14:paraId="6880BCB5"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r>
      <w:tr w:rsidR="000A2254" w:rsidRPr="00B31292" w14:paraId="7C36B2CA" w14:textId="77777777" w:rsidTr="000A2254">
        <w:trPr>
          <w:trHeight w:val="20"/>
        </w:trPr>
        <w:tc>
          <w:tcPr>
            <w:tcW w:w="215" w:type="pct"/>
            <w:tcBorders>
              <w:top w:val="nil"/>
              <w:left w:val="nil"/>
              <w:bottom w:val="nil"/>
              <w:right w:val="nil"/>
            </w:tcBorders>
            <w:shd w:val="clear" w:color="000000" w:fill="FFFFFF"/>
            <w:vAlign w:val="bottom"/>
            <w:hideMark/>
          </w:tcPr>
          <w:p w14:paraId="495E064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3722BE0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single" w:sz="4" w:space="0" w:color="000000"/>
              <w:left w:val="single" w:sz="4" w:space="0" w:color="000000"/>
              <w:bottom w:val="single" w:sz="4" w:space="0" w:color="000000"/>
              <w:right w:val="nil"/>
            </w:tcBorders>
            <w:shd w:val="clear" w:color="000000" w:fill="F0F0F0"/>
            <w:vAlign w:val="center"/>
            <w:hideMark/>
          </w:tcPr>
          <w:p w14:paraId="4AE1319E"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2.3</w:t>
            </w:r>
          </w:p>
        </w:tc>
        <w:tc>
          <w:tcPr>
            <w:tcW w:w="4416" w:type="pct"/>
            <w:gridSpan w:val="18"/>
            <w:tcBorders>
              <w:top w:val="single" w:sz="4" w:space="0" w:color="auto"/>
              <w:left w:val="single" w:sz="4" w:space="0" w:color="auto"/>
              <w:bottom w:val="single" w:sz="4" w:space="0" w:color="auto"/>
              <w:right w:val="single" w:sz="4" w:space="0" w:color="auto"/>
            </w:tcBorders>
            <w:shd w:val="clear" w:color="000000" w:fill="F0F0F0"/>
            <w:vAlign w:val="center"/>
            <w:hideMark/>
          </w:tcPr>
          <w:p w14:paraId="3C3945C7"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Statistikat e Biznesit</w:t>
            </w:r>
          </w:p>
        </w:tc>
      </w:tr>
      <w:tr w:rsidR="000A2254" w:rsidRPr="00B31292" w14:paraId="7B57F7CE" w14:textId="77777777" w:rsidTr="000A2254">
        <w:trPr>
          <w:trHeight w:val="20"/>
        </w:trPr>
        <w:tc>
          <w:tcPr>
            <w:tcW w:w="215" w:type="pct"/>
            <w:tcBorders>
              <w:top w:val="nil"/>
              <w:left w:val="nil"/>
              <w:bottom w:val="nil"/>
              <w:right w:val="nil"/>
            </w:tcBorders>
            <w:shd w:val="clear" w:color="000000" w:fill="FFFFFF"/>
            <w:vAlign w:val="bottom"/>
            <w:hideMark/>
          </w:tcPr>
          <w:p w14:paraId="5975E4D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1ADA11A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3AE4414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61A94C8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single" w:sz="4" w:space="0" w:color="000000"/>
              <w:bottom w:val="single" w:sz="4" w:space="0" w:color="000000"/>
              <w:right w:val="nil"/>
            </w:tcBorders>
            <w:shd w:val="clear" w:color="000000" w:fill="F0F0F0"/>
            <w:vAlign w:val="center"/>
            <w:hideMark/>
          </w:tcPr>
          <w:p w14:paraId="36E9F465"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2.3.1</w:t>
            </w:r>
          </w:p>
        </w:tc>
        <w:tc>
          <w:tcPr>
            <w:tcW w:w="4082" w:type="pct"/>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48518B40" w14:textId="15197E83"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Statistikat </w:t>
            </w:r>
            <w:r w:rsidR="006A7C44" w:rsidRPr="00B31292">
              <w:rPr>
                <w:rFonts w:ascii="Garamond" w:eastAsia="Times New Roman" w:hAnsi="Garamond" w:cs="Times New Roman"/>
                <w:color w:val="000000"/>
                <w:sz w:val="10"/>
                <w:szCs w:val="10"/>
              </w:rPr>
              <w:t>strukturore të ndërmarrjeve</w:t>
            </w:r>
          </w:p>
        </w:tc>
      </w:tr>
      <w:tr w:rsidR="000A2254" w:rsidRPr="00B31292" w14:paraId="6792A80E" w14:textId="77777777" w:rsidTr="000A2254">
        <w:trPr>
          <w:trHeight w:val="20"/>
        </w:trPr>
        <w:tc>
          <w:tcPr>
            <w:tcW w:w="215" w:type="pct"/>
            <w:tcBorders>
              <w:top w:val="nil"/>
              <w:left w:val="nil"/>
              <w:bottom w:val="nil"/>
              <w:right w:val="nil"/>
            </w:tcBorders>
            <w:shd w:val="clear" w:color="000000" w:fill="FFFFFF"/>
            <w:vAlign w:val="bottom"/>
            <w:hideMark/>
          </w:tcPr>
          <w:p w14:paraId="78CA86B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0C9EA4C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3D2308E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0418833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3B6FC3C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49B5A1F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vMerge w:val="restart"/>
            <w:tcBorders>
              <w:top w:val="nil"/>
              <w:left w:val="single" w:sz="4" w:space="0" w:color="auto"/>
              <w:bottom w:val="single" w:sz="4" w:space="0" w:color="000000"/>
              <w:right w:val="single" w:sz="4" w:space="0" w:color="auto"/>
            </w:tcBorders>
            <w:shd w:val="clear" w:color="auto" w:fill="auto"/>
            <w:vAlign w:val="center"/>
            <w:hideMark/>
          </w:tcPr>
          <w:p w14:paraId="5813A5A6"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2.3.1.1</w:t>
            </w:r>
          </w:p>
        </w:tc>
        <w:tc>
          <w:tcPr>
            <w:tcW w:w="281" w:type="pct"/>
            <w:vMerge w:val="restart"/>
            <w:tcBorders>
              <w:top w:val="nil"/>
              <w:left w:val="single" w:sz="4" w:space="0" w:color="auto"/>
              <w:bottom w:val="single" w:sz="4" w:space="0" w:color="000000"/>
              <w:right w:val="single" w:sz="4" w:space="0" w:color="auto"/>
            </w:tcBorders>
            <w:shd w:val="clear" w:color="auto" w:fill="auto"/>
            <w:vAlign w:val="center"/>
            <w:hideMark/>
          </w:tcPr>
          <w:p w14:paraId="04C6A321"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xml:space="preserve">Statistikat strukturore të ndërmarrjeve </w:t>
            </w:r>
          </w:p>
        </w:tc>
        <w:tc>
          <w:tcPr>
            <w:tcW w:w="236" w:type="pct"/>
            <w:vMerge w:val="restart"/>
            <w:tcBorders>
              <w:top w:val="nil"/>
              <w:left w:val="single" w:sz="4" w:space="0" w:color="auto"/>
              <w:bottom w:val="single" w:sz="4" w:space="0" w:color="000000"/>
              <w:right w:val="single" w:sz="4" w:space="0" w:color="auto"/>
            </w:tcBorders>
            <w:shd w:val="clear" w:color="auto" w:fill="auto"/>
            <w:vAlign w:val="center"/>
            <w:hideMark/>
          </w:tcPr>
          <w:p w14:paraId="536CE9F3"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Vrojtim</w:t>
            </w:r>
          </w:p>
        </w:tc>
        <w:tc>
          <w:tcPr>
            <w:tcW w:w="23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457FBA0"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18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E5CF5A1"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228" w:type="pct"/>
            <w:vMerge w:val="restart"/>
            <w:tcBorders>
              <w:top w:val="nil"/>
              <w:left w:val="single" w:sz="4" w:space="0" w:color="auto"/>
              <w:bottom w:val="single" w:sz="4" w:space="0" w:color="000000"/>
              <w:right w:val="single" w:sz="4" w:space="0" w:color="auto"/>
            </w:tcBorders>
            <w:shd w:val="clear" w:color="auto" w:fill="auto"/>
            <w:vAlign w:val="center"/>
            <w:hideMark/>
          </w:tcPr>
          <w:p w14:paraId="1F47E66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vMerge w:val="restart"/>
            <w:tcBorders>
              <w:top w:val="nil"/>
              <w:left w:val="single" w:sz="4" w:space="0" w:color="auto"/>
              <w:bottom w:val="single" w:sz="4" w:space="0" w:color="000000"/>
              <w:right w:val="single" w:sz="4" w:space="0" w:color="auto"/>
            </w:tcBorders>
            <w:shd w:val="clear" w:color="auto" w:fill="auto"/>
            <w:vAlign w:val="center"/>
            <w:hideMark/>
          </w:tcPr>
          <w:p w14:paraId="245F9B4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Vjetor</w:t>
            </w:r>
          </w:p>
        </w:tc>
        <w:tc>
          <w:tcPr>
            <w:tcW w:w="486" w:type="pct"/>
            <w:tcBorders>
              <w:top w:val="nil"/>
              <w:left w:val="nil"/>
              <w:bottom w:val="nil"/>
              <w:right w:val="single" w:sz="4" w:space="0" w:color="auto"/>
            </w:tcBorders>
            <w:shd w:val="clear" w:color="000000" w:fill="FFFFFF"/>
            <w:hideMark/>
          </w:tcPr>
          <w:p w14:paraId="02D47E56" w14:textId="68904D9B"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Numri i ndërmarrjeve, sipas aktiviteteve ekonomike</w:t>
            </w:r>
            <w:r w:rsidR="006A7C4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 Të punësuar gjithsej, numër mesatar vjetor, sipas aktiviteteve ekonomike</w:t>
            </w:r>
            <w:r w:rsidR="006A7C4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 Të punësuar me pagesë, nr.</w:t>
            </w:r>
            <w:r w:rsidR="006A7C44"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mes.</w:t>
            </w:r>
            <w:r w:rsidR="006A7C44"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vjet, sipas aktiviteteve ekonomike</w:t>
            </w:r>
            <w:r w:rsidR="006A7C4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4. Të punësuar</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gjithsej në fund të vitit, sipas gjinisë, sipas aktiviteteve ekonomike</w:t>
            </w:r>
            <w:r w:rsidR="006A7C4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5. Të </w:t>
            </w:r>
            <w:r w:rsidR="006A7C44" w:rsidRPr="00B31292">
              <w:rPr>
                <w:rFonts w:ascii="Garamond" w:eastAsia="Times New Roman" w:hAnsi="Garamond" w:cs="Times New Roman"/>
                <w:color w:val="000000"/>
                <w:sz w:val="10"/>
                <w:szCs w:val="10"/>
              </w:rPr>
              <w:t>vetëpunësuar</w:t>
            </w:r>
            <w:r w:rsidRPr="00B31292">
              <w:rPr>
                <w:rFonts w:ascii="Garamond" w:eastAsia="Times New Roman" w:hAnsi="Garamond" w:cs="Times New Roman"/>
                <w:color w:val="000000"/>
                <w:sz w:val="10"/>
                <w:szCs w:val="10"/>
              </w:rPr>
              <w:t xml:space="preserve"> në fund të vitit, sipas </w:t>
            </w:r>
            <w:r w:rsidR="006A7C44" w:rsidRPr="00B31292">
              <w:rPr>
                <w:rFonts w:ascii="Garamond" w:eastAsia="Times New Roman" w:hAnsi="Garamond" w:cs="Times New Roman"/>
                <w:color w:val="000000"/>
                <w:sz w:val="10"/>
                <w:szCs w:val="10"/>
              </w:rPr>
              <w:t>gjinisë</w:t>
            </w:r>
            <w:r w:rsidRPr="00B31292">
              <w:rPr>
                <w:rFonts w:ascii="Garamond" w:eastAsia="Times New Roman" w:hAnsi="Garamond" w:cs="Times New Roman"/>
                <w:color w:val="000000"/>
                <w:sz w:val="10"/>
                <w:szCs w:val="10"/>
              </w:rPr>
              <w:t>, sipas aktiviteteve ekonomike</w:t>
            </w:r>
            <w:r w:rsidR="006A7C4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6. Të punësuar</w:t>
            </w:r>
            <w:r w:rsidR="006A7C44"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me pagesë në fund të vitit, sipas gjinisë, sipas aktiviteteve ekonomike</w:t>
            </w:r>
            <w:r w:rsidR="006A7C4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7. Shifra e afarizmit, sipas aktiviteteve ekonomike</w:t>
            </w:r>
            <w:r w:rsidR="006A7C4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8. Prodh. aktiveve të qëndrueshme, sipas aktiviteteve ekonomike</w:t>
            </w:r>
            <w:r w:rsidR="006A7C4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9. Ndryshimi i </w:t>
            </w:r>
            <w:r w:rsidR="006A7C44" w:rsidRPr="00B31292">
              <w:rPr>
                <w:rFonts w:ascii="Garamond" w:eastAsia="Times New Roman" w:hAnsi="Garamond" w:cs="Times New Roman"/>
                <w:color w:val="000000"/>
                <w:sz w:val="10"/>
                <w:szCs w:val="10"/>
              </w:rPr>
              <w:t>gjendjes</w:t>
            </w:r>
            <w:r w:rsidRPr="00B31292">
              <w:rPr>
                <w:rFonts w:ascii="Garamond" w:eastAsia="Times New Roman" w:hAnsi="Garamond" w:cs="Times New Roman"/>
                <w:color w:val="000000"/>
                <w:sz w:val="10"/>
                <w:szCs w:val="10"/>
              </w:rPr>
              <w:t xml:space="preserve"> </w:t>
            </w:r>
            <w:r w:rsidR="006A7C44" w:rsidRPr="00B31292">
              <w:rPr>
                <w:rFonts w:ascii="Garamond" w:eastAsia="Times New Roman" w:hAnsi="Garamond" w:cs="Times New Roman"/>
                <w:color w:val="000000"/>
                <w:sz w:val="10"/>
                <w:szCs w:val="10"/>
              </w:rPr>
              <w:t>s</w:t>
            </w:r>
            <w:r w:rsidRPr="00B31292">
              <w:rPr>
                <w:rFonts w:ascii="Garamond" w:eastAsia="Times New Roman" w:hAnsi="Garamond" w:cs="Times New Roman"/>
                <w:color w:val="000000"/>
                <w:sz w:val="10"/>
                <w:szCs w:val="10"/>
              </w:rPr>
              <w:t>ë prodhimit të vet, sipas aktiviteteve ekonomike</w:t>
            </w:r>
            <w:r w:rsidR="006A7C4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10. Të ardhura të tjera, sipas aktiviteteve ekonomike</w:t>
            </w:r>
            <w:r w:rsidR="006A7C4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11. Të ardhura gjithsej, sipas aktiviteteve ekonomike</w:t>
            </w:r>
            <w:r w:rsidR="006A7C4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12. Shpenzime </w:t>
            </w:r>
            <w:r w:rsidR="006A7C44" w:rsidRPr="00B31292">
              <w:rPr>
                <w:rFonts w:ascii="Garamond" w:eastAsia="Times New Roman" w:hAnsi="Garamond" w:cs="Times New Roman"/>
                <w:color w:val="000000"/>
                <w:sz w:val="10"/>
                <w:szCs w:val="10"/>
              </w:rPr>
              <w:t>për</w:t>
            </w:r>
            <w:r w:rsidRPr="00B31292">
              <w:rPr>
                <w:rFonts w:ascii="Garamond" w:eastAsia="Times New Roman" w:hAnsi="Garamond" w:cs="Times New Roman"/>
                <w:color w:val="000000"/>
                <w:sz w:val="10"/>
                <w:szCs w:val="10"/>
              </w:rPr>
              <w:t xml:space="preserve"> </w:t>
            </w:r>
            <w:r w:rsidR="006A7C44" w:rsidRPr="00B31292">
              <w:rPr>
                <w:rFonts w:ascii="Garamond" w:eastAsia="Times New Roman" w:hAnsi="Garamond" w:cs="Times New Roman"/>
                <w:color w:val="000000"/>
                <w:sz w:val="10"/>
                <w:szCs w:val="10"/>
              </w:rPr>
              <w:t>m</w:t>
            </w:r>
            <w:r w:rsidRPr="00B31292">
              <w:rPr>
                <w:rFonts w:ascii="Garamond" w:eastAsia="Times New Roman" w:hAnsi="Garamond" w:cs="Times New Roman"/>
                <w:color w:val="000000"/>
                <w:sz w:val="10"/>
                <w:szCs w:val="10"/>
              </w:rPr>
              <w:t>ateriale dhe furnitura, sipas aktiviteteve ekonomike</w:t>
            </w:r>
            <w:r w:rsidR="006A7C4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13. Shpenzime </w:t>
            </w:r>
            <w:r w:rsidR="006A7C44" w:rsidRPr="00B31292">
              <w:rPr>
                <w:rFonts w:ascii="Garamond" w:eastAsia="Times New Roman" w:hAnsi="Garamond" w:cs="Times New Roman"/>
                <w:color w:val="000000"/>
                <w:sz w:val="10"/>
                <w:szCs w:val="10"/>
              </w:rPr>
              <w:t>për</w:t>
            </w:r>
            <w:r w:rsidRPr="00B31292">
              <w:rPr>
                <w:rFonts w:ascii="Garamond" w:eastAsia="Times New Roman" w:hAnsi="Garamond" w:cs="Times New Roman"/>
                <w:color w:val="000000"/>
                <w:sz w:val="10"/>
                <w:szCs w:val="10"/>
              </w:rPr>
              <w:t xml:space="preserve"> </w:t>
            </w:r>
            <w:r w:rsidR="006A7C44" w:rsidRPr="00B31292">
              <w:rPr>
                <w:rFonts w:ascii="Garamond" w:eastAsia="Times New Roman" w:hAnsi="Garamond" w:cs="Times New Roman"/>
                <w:color w:val="000000"/>
                <w:sz w:val="10"/>
                <w:szCs w:val="10"/>
              </w:rPr>
              <w:t>m</w:t>
            </w:r>
            <w:r w:rsidRPr="00B31292">
              <w:rPr>
                <w:rFonts w:ascii="Garamond" w:eastAsia="Times New Roman" w:hAnsi="Garamond" w:cs="Times New Roman"/>
                <w:color w:val="000000"/>
                <w:sz w:val="10"/>
                <w:szCs w:val="10"/>
              </w:rPr>
              <w:t>allrat, sipas aktiviteteve ekonomike</w:t>
            </w:r>
            <w:r w:rsidR="006A7C4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14. Shpenzime </w:t>
            </w:r>
            <w:r w:rsidR="006A7C44" w:rsidRPr="00B31292">
              <w:rPr>
                <w:rFonts w:ascii="Garamond" w:eastAsia="Times New Roman" w:hAnsi="Garamond" w:cs="Times New Roman"/>
                <w:color w:val="000000"/>
                <w:sz w:val="10"/>
                <w:szCs w:val="10"/>
              </w:rPr>
              <w:t>për</w:t>
            </w:r>
            <w:r w:rsidRPr="00B31292">
              <w:rPr>
                <w:rFonts w:ascii="Garamond" w:eastAsia="Times New Roman" w:hAnsi="Garamond" w:cs="Times New Roman"/>
                <w:color w:val="000000"/>
                <w:sz w:val="10"/>
                <w:szCs w:val="10"/>
              </w:rPr>
              <w:t>, sipas aktiviteteve ekonomike</w:t>
            </w:r>
            <w:r w:rsidR="006A7C4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15. Shpenzime </w:t>
            </w:r>
            <w:r w:rsidR="006A7C44" w:rsidRPr="00B31292">
              <w:rPr>
                <w:rFonts w:ascii="Garamond" w:eastAsia="Times New Roman" w:hAnsi="Garamond" w:cs="Times New Roman"/>
                <w:color w:val="000000"/>
                <w:sz w:val="10"/>
                <w:szCs w:val="10"/>
              </w:rPr>
              <w:t xml:space="preserve">për </w:t>
            </w:r>
            <w:r w:rsidRPr="00B31292">
              <w:rPr>
                <w:rFonts w:ascii="Garamond" w:eastAsia="Times New Roman" w:hAnsi="Garamond" w:cs="Times New Roman"/>
                <w:color w:val="000000"/>
                <w:sz w:val="10"/>
                <w:szCs w:val="10"/>
              </w:rPr>
              <w:t>paga, sipas aktiviteteve ekonomike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16. Shpenzime </w:t>
            </w:r>
            <w:r w:rsidR="006A7C44" w:rsidRPr="00B31292">
              <w:rPr>
                <w:rFonts w:ascii="Garamond" w:eastAsia="Times New Roman" w:hAnsi="Garamond" w:cs="Times New Roman"/>
                <w:color w:val="000000"/>
                <w:sz w:val="10"/>
                <w:szCs w:val="10"/>
              </w:rPr>
              <w:t xml:space="preserve">për </w:t>
            </w:r>
            <w:r w:rsidRPr="00B31292">
              <w:rPr>
                <w:rFonts w:ascii="Garamond" w:eastAsia="Times New Roman" w:hAnsi="Garamond" w:cs="Times New Roman"/>
                <w:color w:val="000000"/>
                <w:sz w:val="10"/>
                <w:szCs w:val="10"/>
              </w:rPr>
              <w:t>trajtime e shpërblime, sipas aktiviteteve ekonomike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17. Shpenzime </w:t>
            </w:r>
            <w:r w:rsidR="00A0665A" w:rsidRPr="00B31292">
              <w:rPr>
                <w:rFonts w:ascii="Garamond" w:eastAsia="Times New Roman" w:hAnsi="Garamond" w:cs="Times New Roman"/>
                <w:color w:val="000000"/>
                <w:sz w:val="10"/>
                <w:szCs w:val="10"/>
              </w:rPr>
              <w:t>për</w:t>
            </w:r>
            <w:r w:rsidRPr="00B31292">
              <w:rPr>
                <w:rFonts w:ascii="Garamond" w:eastAsia="Times New Roman" w:hAnsi="Garamond" w:cs="Times New Roman"/>
                <w:color w:val="000000"/>
                <w:sz w:val="10"/>
                <w:szCs w:val="10"/>
              </w:rPr>
              <w:t xml:space="preserve"> sigurimet shoqërore, sipas aktiviteteve ekonomike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18. Shpenzime të tjera, sipas aktiviteteve ekonomike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19. Shpenzimet gjithsej, sipas aktiviteteve ekonomike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20. Fitimi neto/humbjet, sipas aktiviteteve ekonomike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21. Investimet gjithsej, sipas aktiviteteve ekonomike</w:t>
            </w:r>
            <w:r w:rsidR="00E1320B" w:rsidRPr="00B31292">
              <w:rPr>
                <w:rFonts w:ascii="Garamond" w:eastAsia="Times New Roman" w:hAnsi="Garamond" w:cs="Times New Roman"/>
                <w:color w:val="000000"/>
                <w:sz w:val="10"/>
                <w:szCs w:val="10"/>
              </w:rPr>
              <w:t>.</w:t>
            </w:r>
          </w:p>
        </w:tc>
        <w:tc>
          <w:tcPr>
            <w:tcW w:w="299" w:type="pct"/>
            <w:vMerge w:val="restart"/>
            <w:tcBorders>
              <w:top w:val="nil"/>
              <w:left w:val="single" w:sz="4" w:space="0" w:color="auto"/>
              <w:bottom w:val="single" w:sz="4" w:space="0" w:color="000000"/>
              <w:right w:val="single" w:sz="4" w:space="0" w:color="auto"/>
            </w:tcBorders>
            <w:shd w:val="clear" w:color="auto" w:fill="auto"/>
            <w:vAlign w:val="center"/>
            <w:hideMark/>
          </w:tcPr>
          <w:p w14:paraId="2CFF5BAC"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24" w:type="pct"/>
            <w:vMerge w:val="restart"/>
            <w:tcBorders>
              <w:top w:val="nil"/>
              <w:left w:val="single" w:sz="4" w:space="0" w:color="auto"/>
              <w:bottom w:val="single" w:sz="4" w:space="0" w:color="000000"/>
              <w:right w:val="single" w:sz="4" w:space="0" w:color="auto"/>
            </w:tcBorders>
            <w:shd w:val="clear" w:color="auto" w:fill="auto"/>
            <w:vAlign w:val="center"/>
            <w:hideMark/>
          </w:tcPr>
          <w:p w14:paraId="5B6C9254" w14:textId="3E6C49F9"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E1320B" w:rsidRPr="00B31292">
              <w:rPr>
                <w:rFonts w:ascii="Garamond" w:eastAsia="Times New Roman" w:hAnsi="Garamond" w:cs="Times New Roman"/>
                <w:color w:val="000000"/>
                <w:sz w:val="10"/>
                <w:szCs w:val="10"/>
              </w:rPr>
              <w:t>-i</w:t>
            </w:r>
          </w:p>
        </w:tc>
        <w:tc>
          <w:tcPr>
            <w:tcW w:w="24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F367DE0"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+ 194D</w:t>
            </w:r>
          </w:p>
        </w:tc>
        <w:tc>
          <w:tcPr>
            <w:tcW w:w="220"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887E0A8"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 V + 404D</w:t>
            </w:r>
          </w:p>
        </w:tc>
        <w:tc>
          <w:tcPr>
            <w:tcW w:w="220"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FC23E43" w14:textId="3FA4731E"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+ 411D</w:t>
            </w:r>
          </w:p>
        </w:tc>
        <w:tc>
          <w:tcPr>
            <w:tcW w:w="346" w:type="pct"/>
            <w:vMerge w:val="restart"/>
            <w:tcBorders>
              <w:top w:val="nil"/>
              <w:left w:val="single" w:sz="4" w:space="0" w:color="auto"/>
              <w:bottom w:val="single" w:sz="4" w:space="0" w:color="000000"/>
              <w:right w:val="single" w:sz="4" w:space="0" w:color="auto"/>
            </w:tcBorders>
            <w:shd w:val="clear" w:color="auto" w:fill="auto"/>
            <w:vAlign w:val="center"/>
            <w:hideMark/>
          </w:tcPr>
          <w:p w14:paraId="49DB50C7" w14:textId="50C71BBD"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Mosmarrja në kohë dhe ndryshimi i bazës ligjore të burimit administrativ, sjell si pasojë mos publikimin në kohë dhe me cilësi të rezultateve të treguesve statistikorë -|- 3</w:t>
            </w:r>
            <w:r w:rsidRPr="00B31292">
              <w:rPr>
                <w:rFonts w:ascii="Garamond" w:eastAsia="Times New Roman" w:hAnsi="Garamond" w:cs="Times New Roman"/>
                <w:color w:val="000000"/>
                <w:sz w:val="10"/>
                <w:szCs w:val="10"/>
              </w:rPr>
              <w:br/>
              <w:t>2. Moszbatimi në kohë i hapave dhe detyrave për kryerjen e procesit statistikor në vrojtimet vjetore, e cila sjell si pasojë mos publikimin në kohë të rezultateve të vrojtimit. -|- 5</w:t>
            </w:r>
            <w:r w:rsidRPr="00B31292">
              <w:rPr>
                <w:rFonts w:ascii="Garamond" w:eastAsia="Times New Roman" w:hAnsi="Garamond" w:cs="Times New Roman"/>
                <w:color w:val="000000"/>
                <w:sz w:val="10"/>
                <w:szCs w:val="10"/>
              </w:rPr>
              <w:br/>
              <w:t>3. Mospërmbushja e</w:t>
            </w:r>
            <w:r w:rsidR="003E16E0" w:rsidRPr="00B31292">
              <w:rPr>
                <w:rFonts w:ascii="Garamond" w:eastAsia="Times New Roman" w:hAnsi="Garamond" w:cs="Times New Roman"/>
                <w:color w:val="000000"/>
                <w:sz w:val="10"/>
                <w:szCs w:val="10"/>
              </w:rPr>
              <w:t xml:space="preserve"> </w:t>
            </w:r>
            <w:r w:rsidR="00F667B8" w:rsidRPr="00B31292">
              <w:rPr>
                <w:rFonts w:ascii="Garamond" w:eastAsia="Times New Roman" w:hAnsi="Garamond" w:cs="Times New Roman"/>
                <w:color w:val="000000"/>
                <w:sz w:val="10"/>
                <w:szCs w:val="10"/>
              </w:rPr>
              <w:t>kritereve të cilësisë, si:</w:t>
            </w:r>
            <w:r w:rsidRPr="00B31292">
              <w:rPr>
                <w:rFonts w:ascii="Garamond" w:eastAsia="Times New Roman" w:hAnsi="Garamond" w:cs="Times New Roman"/>
                <w:color w:val="000000"/>
                <w:sz w:val="10"/>
                <w:szCs w:val="10"/>
              </w:rPr>
              <w:t xml:space="preserve"> saktësia, përpikmëria dhe krahasueshmëria, për vrojtimet statistikore e cila sjell si pasojë mos shpërndarjen në kohë e në cilësi të rezultateve të vrojtimit -|- 5</w:t>
            </w:r>
            <w:r w:rsidRPr="00B31292">
              <w:rPr>
                <w:rFonts w:ascii="Garamond" w:eastAsia="Times New Roman" w:hAnsi="Garamond" w:cs="Times New Roman"/>
                <w:color w:val="000000"/>
                <w:sz w:val="10"/>
                <w:szCs w:val="10"/>
              </w:rPr>
              <w:br/>
              <w:t>4. Pezullimi/vonesa e mbledhjes, prodhimit dhe shpërndarjes të statistikave zyrtare nga fatkeqësitë natyrore / pandemi globale, e cila sjell si pasojë mos publikimin në kohë të rezultateve të vrojtimit -|- 5</w:t>
            </w:r>
            <w:r w:rsidRPr="00B31292">
              <w:rPr>
                <w:rFonts w:ascii="Garamond" w:eastAsia="Times New Roman" w:hAnsi="Garamond" w:cs="Times New Roman"/>
                <w:color w:val="000000"/>
                <w:sz w:val="10"/>
                <w:szCs w:val="10"/>
              </w:rPr>
              <w:br/>
              <w:t>5. Mosevidentimi dhe realizimi i detyrave të përditshme të sektorit, e cila sjell si pasojë ngadalësim të proceseve të punës -|- 2</w:t>
            </w:r>
            <w:r w:rsidRPr="00B31292">
              <w:rPr>
                <w:rFonts w:ascii="Garamond" w:eastAsia="Times New Roman" w:hAnsi="Garamond" w:cs="Times New Roman"/>
                <w:color w:val="000000"/>
                <w:sz w:val="10"/>
                <w:szCs w:val="10"/>
              </w:rPr>
              <w:br/>
              <w:t xml:space="preserve">6. Moszbatimi në kohë i kalendarit të publikimeve statistikore dhe përditësimit të materialeve në </w:t>
            </w:r>
            <w:r w:rsidRPr="00B31292">
              <w:rPr>
                <w:rFonts w:ascii="Garamond" w:eastAsia="Times New Roman" w:hAnsi="Garamond" w:cs="Times New Roman"/>
                <w:i/>
                <w:iCs/>
                <w:color w:val="000000"/>
                <w:sz w:val="10"/>
                <w:szCs w:val="10"/>
              </w:rPr>
              <w:t>web</w:t>
            </w:r>
            <w:r w:rsidRPr="00B31292">
              <w:rPr>
                <w:rFonts w:ascii="Garamond" w:eastAsia="Times New Roman" w:hAnsi="Garamond" w:cs="Times New Roman"/>
                <w:color w:val="000000"/>
                <w:sz w:val="10"/>
                <w:szCs w:val="10"/>
              </w:rPr>
              <w:t xml:space="preserve">, e cila sjell si pasojë mungesën e informacionit për përdoruesit dhe </w:t>
            </w:r>
            <w:r w:rsidRPr="00B31292">
              <w:rPr>
                <w:rFonts w:ascii="Garamond" w:eastAsia="Times New Roman" w:hAnsi="Garamond" w:cs="Times New Roman"/>
                <w:color w:val="000000"/>
                <w:sz w:val="10"/>
                <w:szCs w:val="10"/>
              </w:rPr>
              <w:lastRenderedPageBreak/>
              <w:t>cënimin e imazhit të INSTAT</w:t>
            </w:r>
            <w:r w:rsidR="00106FB4" w:rsidRPr="00B31292">
              <w:rPr>
                <w:rFonts w:ascii="Garamond" w:eastAsia="Times New Roman" w:hAnsi="Garamond" w:cs="Times New Roman"/>
                <w:color w:val="000000"/>
                <w:sz w:val="10"/>
                <w:szCs w:val="10"/>
              </w:rPr>
              <w:t>-it</w:t>
            </w:r>
            <w:r w:rsidRPr="00B31292">
              <w:rPr>
                <w:rFonts w:ascii="Garamond" w:eastAsia="Times New Roman" w:hAnsi="Garamond" w:cs="Times New Roman"/>
                <w:color w:val="000000"/>
                <w:sz w:val="10"/>
                <w:szCs w:val="10"/>
              </w:rPr>
              <w:t xml:space="preserve"> -|- 2</w:t>
            </w:r>
            <w:r w:rsidRPr="00B31292">
              <w:rPr>
                <w:rFonts w:ascii="Garamond" w:eastAsia="Times New Roman" w:hAnsi="Garamond" w:cs="Times New Roman"/>
                <w:color w:val="000000"/>
                <w:sz w:val="10"/>
                <w:szCs w:val="10"/>
              </w:rPr>
              <w:br/>
              <w:t>7. Gabime në përllogaritje e treguesve nga specialistët, e cila sjell si pasojë mos shpërndarja në cilësi të rezultateve të treguesve statistikorë. -|- 2</w:t>
            </w:r>
            <w:r w:rsidRPr="00B31292">
              <w:rPr>
                <w:rFonts w:ascii="Garamond" w:eastAsia="Times New Roman" w:hAnsi="Garamond" w:cs="Times New Roman"/>
                <w:color w:val="000000"/>
                <w:sz w:val="10"/>
                <w:szCs w:val="10"/>
              </w:rPr>
              <w:br/>
              <w:t>8. Mosfunksionimi i metodave të reja të IT për mbledhjen e të dhënave në vrojtimet vjetore, e cila sjell si pasojë mos publikimin në kohë të rezultateve të vrojtimit. -|- 4</w:t>
            </w:r>
            <w:r w:rsidRPr="00B31292">
              <w:rPr>
                <w:rFonts w:ascii="Garamond" w:eastAsia="Times New Roman" w:hAnsi="Garamond" w:cs="Times New Roman"/>
                <w:color w:val="000000"/>
                <w:sz w:val="10"/>
                <w:szCs w:val="10"/>
              </w:rPr>
              <w:br/>
              <w:t>9. Lëvizja e stafit me eksperiencë nga sektori, e cila sjell si pasojë ndërprerje/ngadalësim të proceseve të punës. -|- 6</w:t>
            </w:r>
            <w:r w:rsidRPr="00B31292">
              <w:rPr>
                <w:rFonts w:ascii="Garamond" w:eastAsia="Times New Roman" w:hAnsi="Garamond" w:cs="Times New Roman"/>
                <w:color w:val="000000"/>
                <w:sz w:val="10"/>
                <w:szCs w:val="10"/>
              </w:rPr>
              <w:br/>
              <w:t>10. Mosfunksionimi i metodave të automatizimit dhe mos pasja e suportit për automatizimin e proceseve t</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prodhimit statistikor, e cila sjell si pasojë ngadalësim të procesit të automatizimi -|- 6</w:t>
            </w:r>
            <w:r w:rsidRPr="00B31292">
              <w:rPr>
                <w:rFonts w:ascii="Garamond" w:eastAsia="Times New Roman" w:hAnsi="Garamond" w:cs="Times New Roman"/>
                <w:color w:val="000000"/>
                <w:sz w:val="10"/>
                <w:szCs w:val="10"/>
              </w:rPr>
              <w:br/>
              <w:t xml:space="preserve">11. Moszhvillimi i sistemeve të informacionit dhe </w:t>
            </w:r>
            <w:r w:rsidRPr="00B31292">
              <w:rPr>
                <w:rFonts w:ascii="Garamond" w:eastAsia="Times New Roman" w:hAnsi="Garamond" w:cs="Times New Roman"/>
                <w:i/>
                <w:iCs/>
                <w:color w:val="000000"/>
                <w:sz w:val="10"/>
                <w:szCs w:val="10"/>
              </w:rPr>
              <w:t>web-services</w:t>
            </w:r>
            <w:r w:rsidRPr="00B31292">
              <w:rPr>
                <w:rFonts w:ascii="Garamond" w:eastAsia="Times New Roman" w:hAnsi="Garamond" w:cs="Times New Roman"/>
                <w:color w:val="000000"/>
                <w:sz w:val="10"/>
                <w:szCs w:val="10"/>
              </w:rPr>
              <w:t xml:space="preserve">, e cila sjell si pasojë përdorimin e sistemeve aktuale dhe mospërmirësim të </w:t>
            </w:r>
            <w:r w:rsidRPr="00B31292">
              <w:rPr>
                <w:rFonts w:ascii="Garamond" w:eastAsia="Times New Roman" w:hAnsi="Garamond" w:cs="Times New Roman"/>
                <w:i/>
                <w:iCs/>
                <w:color w:val="000000"/>
                <w:sz w:val="10"/>
                <w:szCs w:val="10"/>
              </w:rPr>
              <w:t>response burden</w:t>
            </w:r>
            <w:r w:rsidRPr="00B31292">
              <w:rPr>
                <w:rFonts w:ascii="Garamond" w:eastAsia="Times New Roman" w:hAnsi="Garamond" w:cs="Times New Roman"/>
                <w:color w:val="000000"/>
                <w:sz w:val="10"/>
                <w:szCs w:val="10"/>
              </w:rPr>
              <w:t xml:space="preserve"> -|- 6</w:t>
            </w:r>
          </w:p>
        </w:tc>
        <w:tc>
          <w:tcPr>
            <w:tcW w:w="273" w:type="pct"/>
            <w:vMerge w:val="restart"/>
            <w:tcBorders>
              <w:top w:val="nil"/>
              <w:left w:val="single" w:sz="4" w:space="0" w:color="auto"/>
              <w:bottom w:val="single" w:sz="4" w:space="0" w:color="000000"/>
              <w:right w:val="single" w:sz="4" w:space="0" w:color="auto"/>
            </w:tcBorders>
            <w:shd w:val="clear" w:color="auto" w:fill="auto"/>
            <w:vAlign w:val="center"/>
            <w:hideMark/>
          </w:tcPr>
          <w:p w14:paraId="7DB6C43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lastRenderedPageBreak/>
              <w:t>Buxhet shteti</w:t>
            </w:r>
          </w:p>
        </w:tc>
      </w:tr>
      <w:tr w:rsidR="000A2254" w:rsidRPr="00B31292" w14:paraId="0D1034ED" w14:textId="77777777" w:rsidTr="000A2254">
        <w:trPr>
          <w:trHeight w:val="20"/>
        </w:trPr>
        <w:tc>
          <w:tcPr>
            <w:tcW w:w="215" w:type="pct"/>
            <w:tcBorders>
              <w:top w:val="nil"/>
              <w:left w:val="nil"/>
              <w:bottom w:val="nil"/>
              <w:right w:val="nil"/>
            </w:tcBorders>
            <w:shd w:val="clear" w:color="000000" w:fill="FFFFFF"/>
            <w:vAlign w:val="bottom"/>
            <w:hideMark/>
          </w:tcPr>
          <w:p w14:paraId="004609E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19F70DE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35DD4417"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048A0127"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3D5AF63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65A41C3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vMerge/>
            <w:tcBorders>
              <w:top w:val="nil"/>
              <w:left w:val="single" w:sz="4" w:space="0" w:color="auto"/>
              <w:bottom w:val="single" w:sz="4" w:space="0" w:color="000000"/>
              <w:right w:val="single" w:sz="4" w:space="0" w:color="auto"/>
            </w:tcBorders>
            <w:vAlign w:val="center"/>
            <w:hideMark/>
          </w:tcPr>
          <w:p w14:paraId="63DAE5A2"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81" w:type="pct"/>
            <w:vMerge/>
            <w:tcBorders>
              <w:top w:val="nil"/>
              <w:left w:val="single" w:sz="4" w:space="0" w:color="auto"/>
              <w:bottom w:val="single" w:sz="4" w:space="0" w:color="000000"/>
              <w:right w:val="single" w:sz="4" w:space="0" w:color="auto"/>
            </w:tcBorders>
            <w:vAlign w:val="center"/>
            <w:hideMark/>
          </w:tcPr>
          <w:p w14:paraId="5FA86386" w14:textId="77777777" w:rsidR="000A2254" w:rsidRPr="00B31292" w:rsidRDefault="000A2254" w:rsidP="000A2254">
            <w:pPr>
              <w:spacing w:after="0" w:line="240" w:lineRule="auto"/>
              <w:rPr>
                <w:rFonts w:ascii="Garamond" w:eastAsia="Times New Roman" w:hAnsi="Garamond" w:cs="Times New Roman"/>
                <w:sz w:val="10"/>
                <w:szCs w:val="10"/>
              </w:rPr>
            </w:pPr>
          </w:p>
        </w:tc>
        <w:tc>
          <w:tcPr>
            <w:tcW w:w="236" w:type="pct"/>
            <w:vMerge/>
            <w:tcBorders>
              <w:top w:val="nil"/>
              <w:left w:val="single" w:sz="4" w:space="0" w:color="auto"/>
              <w:bottom w:val="single" w:sz="4" w:space="0" w:color="000000"/>
              <w:right w:val="single" w:sz="4" w:space="0" w:color="auto"/>
            </w:tcBorders>
            <w:vAlign w:val="center"/>
            <w:hideMark/>
          </w:tcPr>
          <w:p w14:paraId="59FEE631" w14:textId="77777777" w:rsidR="000A2254" w:rsidRPr="00B31292" w:rsidRDefault="000A2254" w:rsidP="000A2254">
            <w:pPr>
              <w:spacing w:after="0" w:line="240" w:lineRule="auto"/>
              <w:rPr>
                <w:rFonts w:ascii="Garamond" w:eastAsia="Times New Roman" w:hAnsi="Garamond" w:cs="Times New Roman"/>
                <w:sz w:val="10"/>
                <w:szCs w:val="10"/>
              </w:rPr>
            </w:pPr>
          </w:p>
        </w:tc>
        <w:tc>
          <w:tcPr>
            <w:tcW w:w="238" w:type="pct"/>
            <w:vMerge/>
            <w:tcBorders>
              <w:top w:val="nil"/>
              <w:left w:val="single" w:sz="4" w:space="0" w:color="auto"/>
              <w:bottom w:val="single" w:sz="4" w:space="0" w:color="000000"/>
              <w:right w:val="single" w:sz="4" w:space="0" w:color="auto"/>
            </w:tcBorders>
            <w:vAlign w:val="center"/>
            <w:hideMark/>
          </w:tcPr>
          <w:p w14:paraId="22D1CFD4" w14:textId="77777777" w:rsidR="000A2254" w:rsidRPr="00B31292" w:rsidRDefault="000A2254" w:rsidP="000A2254">
            <w:pPr>
              <w:spacing w:after="0" w:line="240" w:lineRule="auto"/>
              <w:rPr>
                <w:rFonts w:ascii="Garamond" w:eastAsia="Times New Roman" w:hAnsi="Garamond" w:cs="Times New Roman"/>
                <w:sz w:val="10"/>
                <w:szCs w:val="10"/>
              </w:rPr>
            </w:pPr>
          </w:p>
        </w:tc>
        <w:tc>
          <w:tcPr>
            <w:tcW w:w="180" w:type="pct"/>
            <w:vMerge/>
            <w:tcBorders>
              <w:top w:val="nil"/>
              <w:left w:val="single" w:sz="4" w:space="0" w:color="auto"/>
              <w:bottom w:val="single" w:sz="4" w:space="0" w:color="000000"/>
              <w:right w:val="single" w:sz="4" w:space="0" w:color="auto"/>
            </w:tcBorders>
            <w:vAlign w:val="center"/>
            <w:hideMark/>
          </w:tcPr>
          <w:p w14:paraId="661EAC50" w14:textId="77777777" w:rsidR="000A2254" w:rsidRPr="00B31292" w:rsidRDefault="000A2254" w:rsidP="000A2254">
            <w:pPr>
              <w:spacing w:after="0" w:line="240" w:lineRule="auto"/>
              <w:rPr>
                <w:rFonts w:ascii="Garamond" w:eastAsia="Times New Roman" w:hAnsi="Garamond" w:cs="Times New Roman"/>
                <w:sz w:val="10"/>
                <w:szCs w:val="10"/>
              </w:rPr>
            </w:pPr>
          </w:p>
        </w:tc>
        <w:tc>
          <w:tcPr>
            <w:tcW w:w="228" w:type="pct"/>
            <w:vMerge/>
            <w:tcBorders>
              <w:top w:val="nil"/>
              <w:left w:val="single" w:sz="4" w:space="0" w:color="auto"/>
              <w:bottom w:val="single" w:sz="4" w:space="0" w:color="000000"/>
              <w:right w:val="single" w:sz="4" w:space="0" w:color="auto"/>
            </w:tcBorders>
            <w:vAlign w:val="center"/>
            <w:hideMark/>
          </w:tcPr>
          <w:p w14:paraId="41C57106"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22" w:type="pct"/>
            <w:vMerge/>
            <w:tcBorders>
              <w:top w:val="nil"/>
              <w:left w:val="single" w:sz="4" w:space="0" w:color="auto"/>
              <w:bottom w:val="single" w:sz="4" w:space="0" w:color="000000"/>
              <w:right w:val="single" w:sz="4" w:space="0" w:color="auto"/>
            </w:tcBorders>
            <w:vAlign w:val="center"/>
            <w:hideMark/>
          </w:tcPr>
          <w:p w14:paraId="4E8DC59A"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486" w:type="pct"/>
            <w:tcBorders>
              <w:top w:val="nil"/>
              <w:left w:val="nil"/>
              <w:bottom w:val="nil"/>
              <w:right w:val="single" w:sz="4" w:space="0" w:color="auto"/>
            </w:tcBorders>
            <w:shd w:val="clear" w:color="000000" w:fill="FFFFFF"/>
            <w:hideMark/>
          </w:tcPr>
          <w:p w14:paraId="2FE2774B" w14:textId="0057B479"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22.</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Investimet për</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ndërtesa, sipas aktiviteteve ekonomike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23.</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Investimet për</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ndërtime dhe instalime, sipas aktiviteteve ekonomike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24.</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Investimet për</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inst.</w:t>
            </w:r>
            <w:r w:rsidR="00106FB4"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teknike, makineri e pajisje, sipas aktiviteteve ekonomike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25.</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Investimet për</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mjete transporti, sipas aktiviteteve ekonomike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26.</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Investimet për</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tokë, sipas aktiviteteve ekonomike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r>
            <w:r w:rsidRPr="00B31292">
              <w:rPr>
                <w:rFonts w:ascii="Garamond" w:eastAsia="Times New Roman" w:hAnsi="Garamond" w:cs="Times New Roman"/>
                <w:color w:val="000000"/>
                <w:sz w:val="10"/>
                <w:szCs w:val="10"/>
              </w:rPr>
              <w:lastRenderedPageBreak/>
              <w:t>27.</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Investimet të tjera, sipas aktiviteteve ekonomike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28.</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Prodhimi, sipas aktiviteteve ekonomike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29.</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Konsumi ndërmjetës, sipas aktiviteteve ekonomike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30.</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Vlera e shtuar, sipas aktiviteteve ekonomike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31.</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Volumi i ndërtimit në vlerë dhe strukturë</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32.</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Numri i ndërmarrjeve, sipas madhësisë së ndërmarrjeve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33.</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Të punësuar gjithsej, numër mesatar vjetor, sipas madhësisë së ndërmarrjeve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34.</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Të punësuar me pagesë, numri mesatar vjetor, sipas madhësisë së ndërmarrjeve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35.</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Të punësuar</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gjithsej në fund të vitit, sipas gjinisë, sipas madhësisë së ndërmarrjeve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36.</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 xml:space="preserve">Të vetëpunesuar në fund të vitit, sipas </w:t>
            </w:r>
            <w:r w:rsidR="00106FB4" w:rsidRPr="00B31292">
              <w:rPr>
                <w:rFonts w:ascii="Garamond" w:eastAsia="Times New Roman" w:hAnsi="Garamond" w:cs="Times New Roman"/>
                <w:color w:val="000000"/>
                <w:sz w:val="10"/>
                <w:szCs w:val="10"/>
              </w:rPr>
              <w:t>gjinisë</w:t>
            </w:r>
            <w:r w:rsidRPr="00B31292">
              <w:rPr>
                <w:rFonts w:ascii="Garamond" w:eastAsia="Times New Roman" w:hAnsi="Garamond" w:cs="Times New Roman"/>
                <w:color w:val="000000"/>
                <w:sz w:val="10"/>
                <w:szCs w:val="10"/>
              </w:rPr>
              <w:t>, sipas madhësisë së ndërmarrjeve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37.</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 xml:space="preserve">Të punësuar me pagesë në fund të vitit, sipas </w:t>
            </w:r>
            <w:r w:rsidR="00106FB4" w:rsidRPr="00B31292">
              <w:rPr>
                <w:rFonts w:ascii="Garamond" w:eastAsia="Times New Roman" w:hAnsi="Garamond" w:cs="Times New Roman"/>
                <w:color w:val="000000"/>
                <w:sz w:val="10"/>
                <w:szCs w:val="10"/>
              </w:rPr>
              <w:t>gjinisë</w:t>
            </w:r>
            <w:r w:rsidRPr="00B31292">
              <w:rPr>
                <w:rFonts w:ascii="Garamond" w:eastAsia="Times New Roman" w:hAnsi="Garamond" w:cs="Times New Roman"/>
                <w:color w:val="000000"/>
                <w:sz w:val="10"/>
                <w:szCs w:val="10"/>
              </w:rPr>
              <w:t>, sipas madhësisë së ndërmarrjeve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38.</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Shifra e afarizmit, sipas madhësisë së ndërmarrjeve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39.</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Prodh. aktiveve të qëndrueshme, sipas madhësisë së ndërmarrjeve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40.</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 xml:space="preserve">Ndryshimi i </w:t>
            </w:r>
            <w:r w:rsidR="00106FB4" w:rsidRPr="00B31292">
              <w:rPr>
                <w:rFonts w:ascii="Garamond" w:eastAsia="Times New Roman" w:hAnsi="Garamond" w:cs="Times New Roman"/>
                <w:color w:val="000000"/>
                <w:sz w:val="10"/>
                <w:szCs w:val="10"/>
              </w:rPr>
              <w:t>gjendjes</w:t>
            </w:r>
            <w:r w:rsidRPr="00B31292">
              <w:rPr>
                <w:rFonts w:ascii="Garamond" w:eastAsia="Times New Roman" w:hAnsi="Garamond" w:cs="Times New Roman"/>
                <w:color w:val="000000"/>
                <w:sz w:val="10"/>
                <w:szCs w:val="10"/>
              </w:rPr>
              <w:t xml:space="preserve"> të prodhimit të vet, sipas madhësisë së ndërmarrjeve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41.</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Të ardhura të tjera, sipas madhësisë së ndërmarrjeve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42.</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Të ardhura gjithsej, sipas madhësisë së ndërmarrjeve</w:t>
            </w:r>
            <w:r w:rsidR="00E1320B" w:rsidRPr="00B31292">
              <w:rPr>
                <w:rFonts w:ascii="Garamond" w:eastAsia="Times New Roman" w:hAnsi="Garamond" w:cs="Times New Roman"/>
                <w:color w:val="000000"/>
                <w:sz w:val="10"/>
                <w:szCs w:val="10"/>
              </w:rPr>
              <w:t>.</w:t>
            </w:r>
          </w:p>
        </w:tc>
        <w:tc>
          <w:tcPr>
            <w:tcW w:w="299" w:type="pct"/>
            <w:vMerge/>
            <w:tcBorders>
              <w:top w:val="nil"/>
              <w:left w:val="single" w:sz="4" w:space="0" w:color="auto"/>
              <w:bottom w:val="single" w:sz="4" w:space="0" w:color="000000"/>
              <w:right w:val="single" w:sz="4" w:space="0" w:color="auto"/>
            </w:tcBorders>
            <w:vAlign w:val="center"/>
            <w:hideMark/>
          </w:tcPr>
          <w:p w14:paraId="1E0743A0"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24" w:type="pct"/>
            <w:vMerge/>
            <w:tcBorders>
              <w:top w:val="nil"/>
              <w:left w:val="single" w:sz="4" w:space="0" w:color="auto"/>
              <w:bottom w:val="single" w:sz="4" w:space="0" w:color="000000"/>
              <w:right w:val="single" w:sz="4" w:space="0" w:color="auto"/>
            </w:tcBorders>
            <w:vAlign w:val="center"/>
            <w:hideMark/>
          </w:tcPr>
          <w:p w14:paraId="17BA20A0"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44" w:type="pct"/>
            <w:vMerge/>
            <w:tcBorders>
              <w:top w:val="nil"/>
              <w:left w:val="single" w:sz="4" w:space="0" w:color="auto"/>
              <w:bottom w:val="single" w:sz="4" w:space="0" w:color="000000"/>
              <w:right w:val="single" w:sz="4" w:space="0" w:color="auto"/>
            </w:tcBorders>
            <w:vAlign w:val="center"/>
            <w:hideMark/>
          </w:tcPr>
          <w:p w14:paraId="5A82693F"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20" w:type="pct"/>
            <w:vMerge/>
            <w:tcBorders>
              <w:top w:val="nil"/>
              <w:left w:val="single" w:sz="4" w:space="0" w:color="auto"/>
              <w:bottom w:val="single" w:sz="4" w:space="0" w:color="000000"/>
              <w:right w:val="single" w:sz="4" w:space="0" w:color="auto"/>
            </w:tcBorders>
            <w:vAlign w:val="center"/>
            <w:hideMark/>
          </w:tcPr>
          <w:p w14:paraId="580C8EE5"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20" w:type="pct"/>
            <w:vMerge/>
            <w:tcBorders>
              <w:top w:val="nil"/>
              <w:left w:val="single" w:sz="4" w:space="0" w:color="auto"/>
              <w:bottom w:val="single" w:sz="4" w:space="0" w:color="000000"/>
              <w:right w:val="single" w:sz="4" w:space="0" w:color="auto"/>
            </w:tcBorders>
            <w:vAlign w:val="center"/>
            <w:hideMark/>
          </w:tcPr>
          <w:p w14:paraId="74D2CE71"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346" w:type="pct"/>
            <w:vMerge/>
            <w:tcBorders>
              <w:top w:val="nil"/>
              <w:left w:val="single" w:sz="4" w:space="0" w:color="auto"/>
              <w:bottom w:val="single" w:sz="4" w:space="0" w:color="000000"/>
              <w:right w:val="single" w:sz="4" w:space="0" w:color="auto"/>
            </w:tcBorders>
            <w:vAlign w:val="center"/>
            <w:hideMark/>
          </w:tcPr>
          <w:p w14:paraId="5646AA6D"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73" w:type="pct"/>
            <w:vMerge/>
            <w:tcBorders>
              <w:top w:val="nil"/>
              <w:left w:val="single" w:sz="4" w:space="0" w:color="auto"/>
              <w:bottom w:val="single" w:sz="4" w:space="0" w:color="000000"/>
              <w:right w:val="single" w:sz="4" w:space="0" w:color="auto"/>
            </w:tcBorders>
            <w:vAlign w:val="center"/>
            <w:hideMark/>
          </w:tcPr>
          <w:p w14:paraId="70050EA8"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r>
      <w:tr w:rsidR="000A2254" w:rsidRPr="00B31292" w14:paraId="537BC293" w14:textId="77777777" w:rsidTr="000A2254">
        <w:trPr>
          <w:trHeight w:val="20"/>
        </w:trPr>
        <w:tc>
          <w:tcPr>
            <w:tcW w:w="215" w:type="pct"/>
            <w:tcBorders>
              <w:top w:val="nil"/>
              <w:left w:val="nil"/>
              <w:bottom w:val="nil"/>
              <w:right w:val="nil"/>
            </w:tcBorders>
            <w:shd w:val="clear" w:color="000000" w:fill="FFFFFF"/>
            <w:vAlign w:val="bottom"/>
            <w:hideMark/>
          </w:tcPr>
          <w:p w14:paraId="41CB1F2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2877A1D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1089950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0927A73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5146586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12BAFB9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vMerge/>
            <w:tcBorders>
              <w:top w:val="nil"/>
              <w:left w:val="single" w:sz="4" w:space="0" w:color="auto"/>
              <w:bottom w:val="single" w:sz="4" w:space="0" w:color="000000"/>
              <w:right w:val="single" w:sz="4" w:space="0" w:color="auto"/>
            </w:tcBorders>
            <w:vAlign w:val="center"/>
            <w:hideMark/>
          </w:tcPr>
          <w:p w14:paraId="2A533104"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81" w:type="pct"/>
            <w:vMerge/>
            <w:tcBorders>
              <w:top w:val="nil"/>
              <w:left w:val="single" w:sz="4" w:space="0" w:color="auto"/>
              <w:bottom w:val="single" w:sz="4" w:space="0" w:color="000000"/>
              <w:right w:val="single" w:sz="4" w:space="0" w:color="auto"/>
            </w:tcBorders>
            <w:vAlign w:val="center"/>
            <w:hideMark/>
          </w:tcPr>
          <w:p w14:paraId="548C39C6" w14:textId="77777777" w:rsidR="000A2254" w:rsidRPr="00B31292" w:rsidRDefault="000A2254" w:rsidP="000A2254">
            <w:pPr>
              <w:spacing w:after="0" w:line="240" w:lineRule="auto"/>
              <w:rPr>
                <w:rFonts w:ascii="Garamond" w:eastAsia="Times New Roman" w:hAnsi="Garamond" w:cs="Times New Roman"/>
                <w:sz w:val="10"/>
                <w:szCs w:val="10"/>
              </w:rPr>
            </w:pPr>
          </w:p>
        </w:tc>
        <w:tc>
          <w:tcPr>
            <w:tcW w:w="236" w:type="pct"/>
            <w:vMerge/>
            <w:tcBorders>
              <w:top w:val="nil"/>
              <w:left w:val="single" w:sz="4" w:space="0" w:color="auto"/>
              <w:bottom w:val="single" w:sz="4" w:space="0" w:color="000000"/>
              <w:right w:val="single" w:sz="4" w:space="0" w:color="auto"/>
            </w:tcBorders>
            <w:vAlign w:val="center"/>
            <w:hideMark/>
          </w:tcPr>
          <w:p w14:paraId="22913A2C" w14:textId="77777777" w:rsidR="000A2254" w:rsidRPr="00B31292" w:rsidRDefault="000A2254" w:rsidP="000A2254">
            <w:pPr>
              <w:spacing w:after="0" w:line="240" w:lineRule="auto"/>
              <w:rPr>
                <w:rFonts w:ascii="Garamond" w:eastAsia="Times New Roman" w:hAnsi="Garamond" w:cs="Times New Roman"/>
                <w:sz w:val="10"/>
                <w:szCs w:val="10"/>
              </w:rPr>
            </w:pPr>
          </w:p>
        </w:tc>
        <w:tc>
          <w:tcPr>
            <w:tcW w:w="238" w:type="pct"/>
            <w:vMerge/>
            <w:tcBorders>
              <w:top w:val="nil"/>
              <w:left w:val="single" w:sz="4" w:space="0" w:color="auto"/>
              <w:bottom w:val="single" w:sz="4" w:space="0" w:color="000000"/>
              <w:right w:val="single" w:sz="4" w:space="0" w:color="auto"/>
            </w:tcBorders>
            <w:vAlign w:val="center"/>
            <w:hideMark/>
          </w:tcPr>
          <w:p w14:paraId="38716A46" w14:textId="77777777" w:rsidR="000A2254" w:rsidRPr="00B31292" w:rsidRDefault="000A2254" w:rsidP="000A2254">
            <w:pPr>
              <w:spacing w:after="0" w:line="240" w:lineRule="auto"/>
              <w:rPr>
                <w:rFonts w:ascii="Garamond" w:eastAsia="Times New Roman" w:hAnsi="Garamond" w:cs="Times New Roman"/>
                <w:sz w:val="10"/>
                <w:szCs w:val="10"/>
              </w:rPr>
            </w:pPr>
          </w:p>
        </w:tc>
        <w:tc>
          <w:tcPr>
            <w:tcW w:w="180" w:type="pct"/>
            <w:vMerge/>
            <w:tcBorders>
              <w:top w:val="nil"/>
              <w:left w:val="single" w:sz="4" w:space="0" w:color="auto"/>
              <w:bottom w:val="single" w:sz="4" w:space="0" w:color="000000"/>
              <w:right w:val="single" w:sz="4" w:space="0" w:color="auto"/>
            </w:tcBorders>
            <w:vAlign w:val="center"/>
            <w:hideMark/>
          </w:tcPr>
          <w:p w14:paraId="7206D36C" w14:textId="77777777" w:rsidR="000A2254" w:rsidRPr="00B31292" w:rsidRDefault="000A2254" w:rsidP="000A2254">
            <w:pPr>
              <w:spacing w:after="0" w:line="240" w:lineRule="auto"/>
              <w:rPr>
                <w:rFonts w:ascii="Garamond" w:eastAsia="Times New Roman" w:hAnsi="Garamond" w:cs="Times New Roman"/>
                <w:sz w:val="10"/>
                <w:szCs w:val="10"/>
              </w:rPr>
            </w:pPr>
          </w:p>
        </w:tc>
        <w:tc>
          <w:tcPr>
            <w:tcW w:w="228" w:type="pct"/>
            <w:vMerge/>
            <w:tcBorders>
              <w:top w:val="nil"/>
              <w:left w:val="single" w:sz="4" w:space="0" w:color="auto"/>
              <w:bottom w:val="single" w:sz="4" w:space="0" w:color="000000"/>
              <w:right w:val="single" w:sz="4" w:space="0" w:color="auto"/>
            </w:tcBorders>
            <w:vAlign w:val="center"/>
            <w:hideMark/>
          </w:tcPr>
          <w:p w14:paraId="0AE9C7D4"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22" w:type="pct"/>
            <w:vMerge/>
            <w:tcBorders>
              <w:top w:val="nil"/>
              <w:left w:val="single" w:sz="4" w:space="0" w:color="auto"/>
              <w:bottom w:val="single" w:sz="4" w:space="0" w:color="000000"/>
              <w:right w:val="single" w:sz="4" w:space="0" w:color="auto"/>
            </w:tcBorders>
            <w:vAlign w:val="center"/>
            <w:hideMark/>
          </w:tcPr>
          <w:p w14:paraId="45A3D194"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486" w:type="pct"/>
            <w:tcBorders>
              <w:top w:val="nil"/>
              <w:left w:val="nil"/>
              <w:bottom w:val="nil"/>
              <w:right w:val="single" w:sz="4" w:space="0" w:color="auto"/>
            </w:tcBorders>
            <w:shd w:val="clear" w:color="000000" w:fill="FFFFFF"/>
            <w:hideMark/>
          </w:tcPr>
          <w:p w14:paraId="38ABF222" w14:textId="7D5F1606"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43.</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 xml:space="preserve">Shpenzime </w:t>
            </w:r>
            <w:r w:rsidR="00106FB4" w:rsidRPr="00B31292">
              <w:rPr>
                <w:rFonts w:ascii="Garamond" w:eastAsia="Times New Roman" w:hAnsi="Garamond" w:cs="Times New Roman"/>
                <w:color w:val="000000"/>
                <w:sz w:val="10"/>
                <w:szCs w:val="10"/>
              </w:rPr>
              <w:t>për</w:t>
            </w:r>
            <w:r w:rsidRPr="00B31292">
              <w:rPr>
                <w:rFonts w:ascii="Garamond" w:eastAsia="Times New Roman" w:hAnsi="Garamond" w:cs="Times New Roman"/>
                <w:color w:val="000000"/>
                <w:sz w:val="10"/>
                <w:szCs w:val="10"/>
              </w:rPr>
              <w:t xml:space="preserve"> </w:t>
            </w:r>
            <w:r w:rsidR="00106FB4" w:rsidRPr="00B31292">
              <w:rPr>
                <w:rFonts w:ascii="Garamond" w:eastAsia="Times New Roman" w:hAnsi="Garamond" w:cs="Times New Roman"/>
                <w:color w:val="000000"/>
                <w:sz w:val="10"/>
                <w:szCs w:val="10"/>
              </w:rPr>
              <w:t xml:space="preserve">materiale </w:t>
            </w:r>
            <w:r w:rsidRPr="00B31292">
              <w:rPr>
                <w:rFonts w:ascii="Garamond" w:eastAsia="Times New Roman" w:hAnsi="Garamond" w:cs="Times New Roman"/>
                <w:color w:val="000000"/>
                <w:sz w:val="10"/>
                <w:szCs w:val="10"/>
              </w:rPr>
              <w:t>dhe furnitura, sipas madhësisë së ndërmarrjeve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44.</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 xml:space="preserve">Shpenzime </w:t>
            </w:r>
            <w:r w:rsidR="00106FB4" w:rsidRPr="00B31292">
              <w:rPr>
                <w:rFonts w:ascii="Garamond" w:eastAsia="Times New Roman" w:hAnsi="Garamond" w:cs="Times New Roman"/>
                <w:color w:val="000000"/>
                <w:sz w:val="10"/>
                <w:szCs w:val="10"/>
              </w:rPr>
              <w:t>për</w:t>
            </w:r>
            <w:r w:rsidRPr="00B31292">
              <w:rPr>
                <w:rFonts w:ascii="Garamond" w:eastAsia="Times New Roman" w:hAnsi="Garamond" w:cs="Times New Roman"/>
                <w:color w:val="000000"/>
                <w:sz w:val="10"/>
                <w:szCs w:val="10"/>
              </w:rPr>
              <w:t xml:space="preserve"> Mallrat, sipas madhësisë së ndërmarrjeve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45.</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Shpenzime personel, sipas madhësisë së ndërmarrjeve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46.</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 xml:space="preserve">Shpenzime </w:t>
            </w:r>
            <w:r w:rsidR="00106FB4" w:rsidRPr="00B31292">
              <w:rPr>
                <w:rFonts w:ascii="Garamond" w:eastAsia="Times New Roman" w:hAnsi="Garamond" w:cs="Times New Roman"/>
                <w:color w:val="000000"/>
                <w:sz w:val="10"/>
                <w:szCs w:val="10"/>
              </w:rPr>
              <w:t>për</w:t>
            </w:r>
            <w:r w:rsidRPr="00B31292">
              <w:rPr>
                <w:rFonts w:ascii="Garamond" w:eastAsia="Times New Roman" w:hAnsi="Garamond" w:cs="Times New Roman"/>
                <w:color w:val="000000"/>
                <w:sz w:val="10"/>
                <w:szCs w:val="10"/>
              </w:rPr>
              <w:t xml:space="preserve"> paga,</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sipas madhësisë së ndërmarrjeve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47.</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 xml:space="preserve">Shpenzime </w:t>
            </w:r>
            <w:r w:rsidR="00106FB4" w:rsidRPr="00B31292">
              <w:rPr>
                <w:rFonts w:ascii="Garamond" w:eastAsia="Times New Roman" w:hAnsi="Garamond" w:cs="Times New Roman"/>
                <w:color w:val="000000"/>
                <w:sz w:val="10"/>
                <w:szCs w:val="10"/>
              </w:rPr>
              <w:t>për</w:t>
            </w:r>
            <w:r w:rsidRPr="00B31292">
              <w:rPr>
                <w:rFonts w:ascii="Garamond" w:eastAsia="Times New Roman" w:hAnsi="Garamond" w:cs="Times New Roman"/>
                <w:color w:val="000000"/>
                <w:sz w:val="10"/>
                <w:szCs w:val="10"/>
              </w:rPr>
              <w:t xml:space="preserve"> trajtime e shpërblime, sipas madhësisë së ndërmarrjeve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48.</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 xml:space="preserve">Shpenzime </w:t>
            </w:r>
            <w:r w:rsidR="00106FB4" w:rsidRPr="00B31292">
              <w:rPr>
                <w:rFonts w:ascii="Garamond" w:eastAsia="Times New Roman" w:hAnsi="Garamond" w:cs="Times New Roman"/>
                <w:color w:val="000000"/>
                <w:sz w:val="10"/>
                <w:szCs w:val="10"/>
              </w:rPr>
              <w:t>për</w:t>
            </w:r>
            <w:r w:rsidRPr="00B31292">
              <w:rPr>
                <w:rFonts w:ascii="Garamond" w:eastAsia="Times New Roman" w:hAnsi="Garamond" w:cs="Times New Roman"/>
                <w:color w:val="000000"/>
                <w:sz w:val="10"/>
                <w:szCs w:val="10"/>
              </w:rPr>
              <w:t xml:space="preserve"> sigurimet shoqërore, sipas madhësisë së ndërmarrjeve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49.</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Shpenzime të tjera,</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sipas madhësisë së ndërmarrjeve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50.</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Shpenzimet gjithsej, sipas madhësisë së ndërmarrjeve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51.</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Fitimi neto/humbjet,</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sipas madhësisë së ndërmarrjeve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52.</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Investimet gjithsej,</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sipas madhësisë së ndërmarrjeve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53.</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Investimet për</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ndërtesa, sipas madhësisë së ndërmarrjeve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54.</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Investimet për</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ndërtime dhe instalime,</w:t>
            </w:r>
            <w:r w:rsidR="00106FB4"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sipas madhësisë së ndërmarrjeve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55.</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Investimet për</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inst.</w:t>
            </w:r>
            <w:r w:rsidR="00106FB4"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teknike, makineri e pajisje, sipas madhësisë së ndërmarrjeve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56.</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Investimet për</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mjete transporti,</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sipas madhësisë së ndërmarrjeve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r>
            <w:r w:rsidRPr="00B31292">
              <w:rPr>
                <w:rFonts w:ascii="Garamond" w:eastAsia="Times New Roman" w:hAnsi="Garamond" w:cs="Times New Roman"/>
                <w:color w:val="000000"/>
                <w:sz w:val="10"/>
                <w:szCs w:val="10"/>
              </w:rPr>
              <w:lastRenderedPageBreak/>
              <w:t>57.</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Investimet për</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tokë,</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sipas madhësisë së ndërmarrjeve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58.</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Investimet të tjera, sipas madhësisë së ndërmarrjeve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59.</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Prodhimi, sipas madhësisë së ndërmarrjeve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60.</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Konsumi ndërmjetës, sipas madhësisë së ndërmarrjeve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61.</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Vlera e shtuar, sipas madhësisë së ndërmarrjeve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62.</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Të ardhura dhe shpenzime financiare sipas aktiviteteve ekonomike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63.</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Të ardhura dhe shpenzime financiare sipas madhësisë së ndërmarrjeve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64.</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Orët e punës për të punësuar me pagesë</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65.</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Numri i ndërmarrjeve sipas rajoneve dhe aktiviteteve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66.</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Numri i të punësuarve sipas rajoneve dhe aktiviteteve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67.</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Shpenzimet e personelit sipas rajoneve dhe aktiviteteve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68.</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Shitjet neto sipas rajoneve dhe aktiviteteve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69.</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Vlera e shtuar sipas rajoneve dhe aktiviteteve</w:t>
            </w:r>
            <w:r w:rsidR="00E1320B" w:rsidRPr="00B31292">
              <w:rPr>
                <w:rFonts w:ascii="Garamond" w:eastAsia="Times New Roman" w:hAnsi="Garamond" w:cs="Times New Roman"/>
                <w:color w:val="000000"/>
                <w:sz w:val="10"/>
                <w:szCs w:val="10"/>
              </w:rPr>
              <w:t>.</w:t>
            </w:r>
          </w:p>
        </w:tc>
        <w:tc>
          <w:tcPr>
            <w:tcW w:w="299" w:type="pct"/>
            <w:vMerge/>
            <w:tcBorders>
              <w:top w:val="nil"/>
              <w:left w:val="single" w:sz="4" w:space="0" w:color="auto"/>
              <w:bottom w:val="single" w:sz="4" w:space="0" w:color="000000"/>
              <w:right w:val="single" w:sz="4" w:space="0" w:color="auto"/>
            </w:tcBorders>
            <w:vAlign w:val="center"/>
            <w:hideMark/>
          </w:tcPr>
          <w:p w14:paraId="3774D440"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24" w:type="pct"/>
            <w:vMerge/>
            <w:tcBorders>
              <w:top w:val="nil"/>
              <w:left w:val="single" w:sz="4" w:space="0" w:color="auto"/>
              <w:bottom w:val="single" w:sz="4" w:space="0" w:color="000000"/>
              <w:right w:val="single" w:sz="4" w:space="0" w:color="auto"/>
            </w:tcBorders>
            <w:vAlign w:val="center"/>
            <w:hideMark/>
          </w:tcPr>
          <w:p w14:paraId="17FF632F"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44" w:type="pct"/>
            <w:vMerge/>
            <w:tcBorders>
              <w:top w:val="nil"/>
              <w:left w:val="single" w:sz="4" w:space="0" w:color="auto"/>
              <w:bottom w:val="single" w:sz="4" w:space="0" w:color="000000"/>
              <w:right w:val="single" w:sz="4" w:space="0" w:color="auto"/>
            </w:tcBorders>
            <w:vAlign w:val="center"/>
            <w:hideMark/>
          </w:tcPr>
          <w:p w14:paraId="3B8CC3F0"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20" w:type="pct"/>
            <w:vMerge/>
            <w:tcBorders>
              <w:top w:val="nil"/>
              <w:left w:val="single" w:sz="4" w:space="0" w:color="auto"/>
              <w:bottom w:val="single" w:sz="4" w:space="0" w:color="000000"/>
              <w:right w:val="single" w:sz="4" w:space="0" w:color="auto"/>
            </w:tcBorders>
            <w:vAlign w:val="center"/>
            <w:hideMark/>
          </w:tcPr>
          <w:p w14:paraId="22459B11"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20" w:type="pct"/>
            <w:vMerge/>
            <w:tcBorders>
              <w:top w:val="nil"/>
              <w:left w:val="single" w:sz="4" w:space="0" w:color="auto"/>
              <w:bottom w:val="single" w:sz="4" w:space="0" w:color="000000"/>
              <w:right w:val="single" w:sz="4" w:space="0" w:color="auto"/>
            </w:tcBorders>
            <w:vAlign w:val="center"/>
            <w:hideMark/>
          </w:tcPr>
          <w:p w14:paraId="635A9C96"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346" w:type="pct"/>
            <w:vMerge/>
            <w:tcBorders>
              <w:top w:val="nil"/>
              <w:left w:val="single" w:sz="4" w:space="0" w:color="auto"/>
              <w:bottom w:val="single" w:sz="4" w:space="0" w:color="000000"/>
              <w:right w:val="single" w:sz="4" w:space="0" w:color="auto"/>
            </w:tcBorders>
            <w:vAlign w:val="center"/>
            <w:hideMark/>
          </w:tcPr>
          <w:p w14:paraId="26361649"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73" w:type="pct"/>
            <w:vMerge/>
            <w:tcBorders>
              <w:top w:val="nil"/>
              <w:left w:val="single" w:sz="4" w:space="0" w:color="auto"/>
              <w:bottom w:val="single" w:sz="4" w:space="0" w:color="000000"/>
              <w:right w:val="single" w:sz="4" w:space="0" w:color="auto"/>
            </w:tcBorders>
            <w:vAlign w:val="center"/>
            <w:hideMark/>
          </w:tcPr>
          <w:p w14:paraId="0401C8AA"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r>
      <w:tr w:rsidR="000A2254" w:rsidRPr="00B31292" w14:paraId="21A6FD7A" w14:textId="77777777" w:rsidTr="000A2254">
        <w:trPr>
          <w:trHeight w:val="20"/>
        </w:trPr>
        <w:tc>
          <w:tcPr>
            <w:tcW w:w="215" w:type="pct"/>
            <w:tcBorders>
              <w:top w:val="nil"/>
              <w:left w:val="nil"/>
              <w:bottom w:val="nil"/>
              <w:right w:val="nil"/>
            </w:tcBorders>
            <w:shd w:val="clear" w:color="000000" w:fill="FFFFFF"/>
            <w:vAlign w:val="bottom"/>
            <w:hideMark/>
          </w:tcPr>
          <w:p w14:paraId="4DE470A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4FC3463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1169434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0E470DC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single" w:sz="4" w:space="0" w:color="000000"/>
              <w:left w:val="single" w:sz="4" w:space="0" w:color="000000"/>
              <w:bottom w:val="single" w:sz="4" w:space="0" w:color="000000"/>
              <w:right w:val="nil"/>
            </w:tcBorders>
            <w:shd w:val="clear" w:color="000000" w:fill="F0F0F0"/>
            <w:vAlign w:val="center"/>
            <w:hideMark/>
          </w:tcPr>
          <w:p w14:paraId="56E959D9"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2.3.2</w:t>
            </w:r>
          </w:p>
        </w:tc>
        <w:tc>
          <w:tcPr>
            <w:tcW w:w="4082" w:type="pct"/>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5128B4A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Prodcom</w:t>
            </w:r>
          </w:p>
        </w:tc>
      </w:tr>
      <w:tr w:rsidR="000A2254" w:rsidRPr="00B31292" w14:paraId="41B30587" w14:textId="77777777" w:rsidTr="000A2254">
        <w:trPr>
          <w:trHeight w:val="20"/>
        </w:trPr>
        <w:tc>
          <w:tcPr>
            <w:tcW w:w="215" w:type="pct"/>
            <w:tcBorders>
              <w:top w:val="nil"/>
              <w:left w:val="nil"/>
              <w:bottom w:val="nil"/>
              <w:right w:val="nil"/>
            </w:tcBorders>
            <w:shd w:val="clear" w:color="000000" w:fill="FFFFFF"/>
            <w:vAlign w:val="bottom"/>
            <w:hideMark/>
          </w:tcPr>
          <w:p w14:paraId="1E56FB8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09FB309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048421E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5C16010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5332160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4384C68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000000"/>
              <w:bottom w:val="nil"/>
              <w:right w:val="single" w:sz="4" w:space="0" w:color="000000"/>
            </w:tcBorders>
            <w:shd w:val="clear" w:color="auto" w:fill="auto"/>
            <w:vAlign w:val="center"/>
            <w:hideMark/>
          </w:tcPr>
          <w:p w14:paraId="57C08EF8"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2.3.2.1</w:t>
            </w:r>
          </w:p>
        </w:tc>
        <w:tc>
          <w:tcPr>
            <w:tcW w:w="281" w:type="pct"/>
            <w:tcBorders>
              <w:top w:val="nil"/>
              <w:left w:val="nil"/>
              <w:bottom w:val="nil"/>
              <w:right w:val="single" w:sz="4" w:space="0" w:color="000000"/>
            </w:tcBorders>
            <w:shd w:val="clear" w:color="auto" w:fill="auto"/>
            <w:vAlign w:val="center"/>
            <w:hideMark/>
          </w:tcPr>
          <w:p w14:paraId="113991D8"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Statistikat e produkteve industriale</w:t>
            </w:r>
          </w:p>
        </w:tc>
        <w:tc>
          <w:tcPr>
            <w:tcW w:w="236" w:type="pct"/>
            <w:tcBorders>
              <w:top w:val="nil"/>
              <w:left w:val="nil"/>
              <w:bottom w:val="nil"/>
              <w:right w:val="single" w:sz="4" w:space="0" w:color="000000"/>
            </w:tcBorders>
            <w:shd w:val="clear" w:color="auto" w:fill="auto"/>
            <w:vAlign w:val="center"/>
            <w:hideMark/>
          </w:tcPr>
          <w:p w14:paraId="689CC576"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Vrojtim</w:t>
            </w:r>
          </w:p>
        </w:tc>
        <w:tc>
          <w:tcPr>
            <w:tcW w:w="238" w:type="pct"/>
            <w:tcBorders>
              <w:top w:val="nil"/>
              <w:left w:val="nil"/>
              <w:bottom w:val="single" w:sz="4" w:space="0" w:color="auto"/>
              <w:right w:val="single" w:sz="4" w:space="0" w:color="auto"/>
            </w:tcBorders>
            <w:shd w:val="clear" w:color="auto" w:fill="auto"/>
            <w:noWrap/>
            <w:vAlign w:val="center"/>
            <w:hideMark/>
          </w:tcPr>
          <w:p w14:paraId="61503055"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180" w:type="pct"/>
            <w:tcBorders>
              <w:top w:val="nil"/>
              <w:left w:val="nil"/>
              <w:bottom w:val="single" w:sz="4" w:space="0" w:color="auto"/>
              <w:right w:val="single" w:sz="4" w:space="0" w:color="auto"/>
            </w:tcBorders>
            <w:shd w:val="clear" w:color="auto" w:fill="auto"/>
            <w:noWrap/>
            <w:vAlign w:val="center"/>
            <w:hideMark/>
          </w:tcPr>
          <w:p w14:paraId="5C5B1F5E"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228" w:type="pct"/>
            <w:tcBorders>
              <w:top w:val="nil"/>
              <w:left w:val="nil"/>
              <w:bottom w:val="single" w:sz="4" w:space="0" w:color="auto"/>
              <w:right w:val="single" w:sz="4" w:space="0" w:color="auto"/>
            </w:tcBorders>
            <w:shd w:val="clear" w:color="auto" w:fill="auto"/>
            <w:vAlign w:val="center"/>
            <w:hideMark/>
          </w:tcPr>
          <w:p w14:paraId="2ECF47F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tcBorders>
              <w:top w:val="nil"/>
              <w:left w:val="nil"/>
              <w:bottom w:val="nil"/>
              <w:right w:val="nil"/>
            </w:tcBorders>
            <w:shd w:val="clear" w:color="auto" w:fill="auto"/>
            <w:vAlign w:val="center"/>
            <w:hideMark/>
          </w:tcPr>
          <w:p w14:paraId="6108C15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Vjetor</w:t>
            </w:r>
          </w:p>
        </w:tc>
        <w:tc>
          <w:tcPr>
            <w:tcW w:w="486" w:type="pct"/>
            <w:tcBorders>
              <w:top w:val="nil"/>
              <w:left w:val="single" w:sz="4" w:space="0" w:color="auto"/>
              <w:bottom w:val="single" w:sz="4" w:space="0" w:color="auto"/>
              <w:right w:val="single" w:sz="4" w:space="0" w:color="auto"/>
            </w:tcBorders>
            <w:shd w:val="clear" w:color="auto" w:fill="auto"/>
            <w:vAlign w:val="center"/>
            <w:hideMark/>
          </w:tcPr>
          <w:p w14:paraId="27EF2FE8" w14:textId="2F8F4E3C"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Sasia e produkteve të prodhuara sipas llojit të produkteve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2. Sasia </w:t>
            </w:r>
            <w:r w:rsidR="00CD213A" w:rsidRPr="00B31292">
              <w:rPr>
                <w:rFonts w:ascii="Garamond" w:eastAsia="Times New Roman" w:hAnsi="Garamond" w:cs="Times New Roman"/>
                <w:color w:val="000000"/>
                <w:sz w:val="10"/>
                <w:szCs w:val="10"/>
              </w:rPr>
              <w:t xml:space="preserve">e </w:t>
            </w:r>
            <w:r w:rsidRPr="00B31292">
              <w:rPr>
                <w:rFonts w:ascii="Garamond" w:eastAsia="Times New Roman" w:hAnsi="Garamond" w:cs="Times New Roman"/>
                <w:color w:val="000000"/>
                <w:sz w:val="10"/>
                <w:szCs w:val="10"/>
              </w:rPr>
              <w:t>produkteve t</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shitur</w:t>
            </w:r>
            <w:r w:rsidR="00CD213A" w:rsidRPr="00B31292">
              <w:rPr>
                <w:rFonts w:ascii="Garamond" w:eastAsia="Times New Roman" w:hAnsi="Garamond" w:cs="Times New Roman"/>
                <w:color w:val="000000"/>
                <w:sz w:val="10"/>
                <w:szCs w:val="10"/>
              </w:rPr>
              <w:t>a</w:t>
            </w:r>
            <w:r w:rsidRPr="00B31292">
              <w:rPr>
                <w:rFonts w:ascii="Garamond" w:eastAsia="Times New Roman" w:hAnsi="Garamond" w:cs="Times New Roman"/>
                <w:color w:val="000000"/>
                <w:sz w:val="10"/>
                <w:szCs w:val="10"/>
              </w:rPr>
              <w:t xml:space="preserve"> sipas llojit të produkteve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 Vlera e produkteve t</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shitur</w:t>
            </w:r>
            <w:r w:rsidR="00CD213A" w:rsidRPr="00B31292">
              <w:rPr>
                <w:rFonts w:ascii="Garamond" w:eastAsia="Times New Roman" w:hAnsi="Garamond" w:cs="Times New Roman"/>
                <w:color w:val="000000"/>
                <w:sz w:val="10"/>
                <w:szCs w:val="10"/>
              </w:rPr>
              <w:t>a</w:t>
            </w:r>
            <w:r w:rsidRPr="00B31292">
              <w:rPr>
                <w:rFonts w:ascii="Garamond" w:eastAsia="Times New Roman" w:hAnsi="Garamond" w:cs="Times New Roman"/>
                <w:color w:val="000000"/>
                <w:sz w:val="10"/>
                <w:szCs w:val="10"/>
              </w:rPr>
              <w:t xml:space="preserve"> sipas llojit të produkteve</w:t>
            </w:r>
            <w:r w:rsidR="00E1320B" w:rsidRPr="00B31292">
              <w:rPr>
                <w:rFonts w:ascii="Garamond" w:eastAsia="Times New Roman" w:hAnsi="Garamond" w:cs="Times New Roman"/>
                <w:color w:val="000000"/>
                <w:sz w:val="10"/>
                <w:szCs w:val="10"/>
              </w:rPr>
              <w:t>.</w:t>
            </w:r>
          </w:p>
        </w:tc>
        <w:tc>
          <w:tcPr>
            <w:tcW w:w="299" w:type="pct"/>
            <w:tcBorders>
              <w:top w:val="nil"/>
              <w:left w:val="nil"/>
              <w:bottom w:val="single" w:sz="4" w:space="0" w:color="auto"/>
              <w:right w:val="single" w:sz="4" w:space="0" w:color="auto"/>
            </w:tcBorders>
            <w:shd w:val="clear" w:color="auto" w:fill="auto"/>
            <w:vAlign w:val="center"/>
            <w:hideMark/>
          </w:tcPr>
          <w:p w14:paraId="1E0D9B5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24" w:type="pct"/>
            <w:tcBorders>
              <w:top w:val="nil"/>
              <w:left w:val="nil"/>
              <w:bottom w:val="single" w:sz="4" w:space="0" w:color="auto"/>
              <w:right w:val="single" w:sz="4" w:space="0" w:color="auto"/>
            </w:tcBorders>
            <w:shd w:val="clear" w:color="auto" w:fill="auto"/>
            <w:vAlign w:val="center"/>
            <w:hideMark/>
          </w:tcPr>
          <w:p w14:paraId="0B0C4992" w14:textId="027B0189"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E1320B" w:rsidRPr="00B31292">
              <w:rPr>
                <w:rFonts w:ascii="Garamond" w:eastAsia="Times New Roman" w:hAnsi="Garamond" w:cs="Times New Roman"/>
                <w:color w:val="000000"/>
                <w:sz w:val="10"/>
                <w:szCs w:val="10"/>
              </w:rPr>
              <w:t>-i</w:t>
            </w:r>
          </w:p>
        </w:tc>
        <w:tc>
          <w:tcPr>
            <w:tcW w:w="244" w:type="pct"/>
            <w:tcBorders>
              <w:top w:val="nil"/>
              <w:left w:val="nil"/>
              <w:bottom w:val="single" w:sz="4" w:space="0" w:color="auto"/>
              <w:right w:val="single" w:sz="4" w:space="0" w:color="auto"/>
            </w:tcBorders>
            <w:shd w:val="clear" w:color="000000" w:fill="FFFFFF"/>
            <w:vAlign w:val="center"/>
            <w:hideMark/>
          </w:tcPr>
          <w:p w14:paraId="716F2307"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+ 68D</w:t>
            </w:r>
          </w:p>
        </w:tc>
        <w:tc>
          <w:tcPr>
            <w:tcW w:w="220" w:type="pct"/>
            <w:tcBorders>
              <w:top w:val="nil"/>
              <w:left w:val="nil"/>
              <w:bottom w:val="single" w:sz="4" w:space="0" w:color="auto"/>
              <w:right w:val="single" w:sz="4" w:space="0" w:color="auto"/>
            </w:tcBorders>
            <w:shd w:val="clear" w:color="000000" w:fill="FFFFFF"/>
            <w:vAlign w:val="center"/>
            <w:hideMark/>
          </w:tcPr>
          <w:p w14:paraId="4F9FBE33"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+ 159D</w:t>
            </w:r>
          </w:p>
        </w:tc>
        <w:tc>
          <w:tcPr>
            <w:tcW w:w="220" w:type="pct"/>
            <w:tcBorders>
              <w:top w:val="nil"/>
              <w:left w:val="nil"/>
              <w:bottom w:val="single" w:sz="4" w:space="0" w:color="auto"/>
              <w:right w:val="single" w:sz="4" w:space="0" w:color="auto"/>
            </w:tcBorders>
            <w:shd w:val="clear" w:color="000000" w:fill="FFFFFF"/>
            <w:vAlign w:val="center"/>
            <w:hideMark/>
          </w:tcPr>
          <w:p w14:paraId="3E5091B4"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+ 166D</w:t>
            </w:r>
          </w:p>
        </w:tc>
        <w:tc>
          <w:tcPr>
            <w:tcW w:w="346" w:type="pct"/>
            <w:tcBorders>
              <w:top w:val="nil"/>
              <w:left w:val="nil"/>
              <w:bottom w:val="single" w:sz="4" w:space="0" w:color="auto"/>
              <w:right w:val="single" w:sz="4" w:space="0" w:color="auto"/>
            </w:tcBorders>
            <w:shd w:val="clear" w:color="auto" w:fill="auto"/>
            <w:vAlign w:val="center"/>
            <w:hideMark/>
          </w:tcPr>
          <w:p w14:paraId="33F284CD" w14:textId="32049A24"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Mosmarrja në kohë dhe ndryshimi i bazës ligjore të burimit administrativ, sjell si pasojë mos publikimin në kohë dhe me cilësi të rezultateve të treguesve statistikorë -|- 3</w:t>
            </w:r>
            <w:r w:rsidRPr="00B31292">
              <w:rPr>
                <w:rFonts w:ascii="Garamond" w:eastAsia="Times New Roman" w:hAnsi="Garamond" w:cs="Times New Roman"/>
                <w:color w:val="000000"/>
                <w:sz w:val="10"/>
                <w:szCs w:val="10"/>
              </w:rPr>
              <w:br/>
              <w:t>Moszbatimi në kohë i hapave dhe detyrave për kryerjen e procesit statistikor në vrojtimet vjetore, e cila sjell si pasojë mos publikimin në kohë të rezultateve të vrojtimit. -|- 4</w:t>
            </w:r>
            <w:r w:rsidRPr="00B31292">
              <w:rPr>
                <w:rFonts w:ascii="Garamond" w:eastAsia="Times New Roman" w:hAnsi="Garamond" w:cs="Times New Roman"/>
                <w:color w:val="000000"/>
                <w:sz w:val="10"/>
                <w:szCs w:val="10"/>
              </w:rPr>
              <w:br/>
              <w:t>Mospërmbushja e</w:t>
            </w:r>
            <w:r w:rsidR="003E16E0" w:rsidRPr="00B31292">
              <w:rPr>
                <w:rFonts w:ascii="Garamond" w:eastAsia="Times New Roman" w:hAnsi="Garamond" w:cs="Times New Roman"/>
                <w:color w:val="000000"/>
                <w:sz w:val="10"/>
                <w:szCs w:val="10"/>
              </w:rPr>
              <w:t xml:space="preserve"> </w:t>
            </w:r>
            <w:r w:rsidR="00F667B8" w:rsidRPr="00B31292">
              <w:rPr>
                <w:rFonts w:ascii="Garamond" w:eastAsia="Times New Roman" w:hAnsi="Garamond" w:cs="Times New Roman"/>
                <w:color w:val="000000"/>
                <w:sz w:val="10"/>
                <w:szCs w:val="10"/>
              </w:rPr>
              <w:t>kritereve të cilësisë, si:</w:t>
            </w:r>
            <w:r w:rsidRPr="00B31292">
              <w:rPr>
                <w:rFonts w:ascii="Garamond" w:eastAsia="Times New Roman" w:hAnsi="Garamond" w:cs="Times New Roman"/>
                <w:color w:val="000000"/>
                <w:sz w:val="10"/>
                <w:szCs w:val="10"/>
              </w:rPr>
              <w:t xml:space="preserve"> saktësia, përpikmëria dhe krahasueshmëria, për vrojtimet statistikore e cila sjell si pasojë mos shpërndarjen në kohë e në cilësi të rezultateve të vrojtimit. -|- 5</w:t>
            </w:r>
            <w:r w:rsidRPr="00B31292">
              <w:rPr>
                <w:rFonts w:ascii="Garamond" w:eastAsia="Times New Roman" w:hAnsi="Garamond" w:cs="Times New Roman"/>
                <w:color w:val="000000"/>
                <w:sz w:val="10"/>
                <w:szCs w:val="10"/>
              </w:rPr>
              <w:br/>
              <w:t>Pezullimi/vonesa e mbledhjes, prodhimit dhe shpërndarjes të statistikave zyrtare nga fatkeqësitë natyrore / pandemi globale, e cila sjell si pasojë mos publikimin në kohë të rezultateve të vrojtimit. -|- 5</w:t>
            </w:r>
            <w:r w:rsidRPr="00B31292">
              <w:rPr>
                <w:rFonts w:ascii="Garamond" w:eastAsia="Times New Roman" w:hAnsi="Garamond" w:cs="Times New Roman"/>
                <w:color w:val="000000"/>
                <w:sz w:val="10"/>
                <w:szCs w:val="10"/>
              </w:rPr>
              <w:br/>
              <w:t xml:space="preserve">Mosevidentimi dhe </w:t>
            </w:r>
            <w:r w:rsidRPr="00B31292">
              <w:rPr>
                <w:rFonts w:ascii="Garamond" w:eastAsia="Times New Roman" w:hAnsi="Garamond" w:cs="Times New Roman"/>
                <w:color w:val="000000"/>
                <w:sz w:val="10"/>
                <w:szCs w:val="10"/>
              </w:rPr>
              <w:lastRenderedPageBreak/>
              <w:t>realizimi i detyrave të përditshme të sektorit, e cila sjell si pasojë ngadalësim të proceseve të punës -|- 2</w:t>
            </w:r>
            <w:r w:rsidRPr="00B31292">
              <w:rPr>
                <w:rFonts w:ascii="Garamond" w:eastAsia="Times New Roman" w:hAnsi="Garamond" w:cs="Times New Roman"/>
                <w:color w:val="000000"/>
                <w:sz w:val="10"/>
                <w:szCs w:val="10"/>
              </w:rPr>
              <w:br/>
              <w:t xml:space="preserve">Moszbatimi në kohë i kalendarit të publikimeve statistikore dhe përditësimit të materialeve në </w:t>
            </w:r>
            <w:r w:rsidRPr="00B31292">
              <w:rPr>
                <w:rFonts w:ascii="Garamond" w:eastAsia="Times New Roman" w:hAnsi="Garamond" w:cs="Times New Roman"/>
                <w:i/>
                <w:iCs/>
                <w:color w:val="000000"/>
                <w:sz w:val="10"/>
                <w:szCs w:val="10"/>
              </w:rPr>
              <w:t>web</w:t>
            </w:r>
            <w:r w:rsidRPr="00B31292">
              <w:rPr>
                <w:rFonts w:ascii="Garamond" w:eastAsia="Times New Roman" w:hAnsi="Garamond" w:cs="Times New Roman"/>
                <w:color w:val="000000"/>
                <w:sz w:val="10"/>
                <w:szCs w:val="10"/>
              </w:rPr>
              <w:t>, e cila sjell si pasojë mungesën e informacionit për përdoruesit dhe cënimin e imazhit të INSTAT. -|- 2</w:t>
            </w:r>
            <w:r w:rsidRPr="00B31292">
              <w:rPr>
                <w:rFonts w:ascii="Garamond" w:eastAsia="Times New Roman" w:hAnsi="Garamond" w:cs="Times New Roman"/>
                <w:color w:val="000000"/>
                <w:sz w:val="10"/>
                <w:szCs w:val="10"/>
              </w:rPr>
              <w:br/>
              <w:t>Gabime në përllogaritje e treguesve nga specialistët, e cila sjell si pasojë mos shpërndarja në cilësi të rezultateve të treguesve statistikorë -|- 2</w:t>
            </w:r>
            <w:r w:rsidRPr="00B31292">
              <w:rPr>
                <w:rFonts w:ascii="Garamond" w:eastAsia="Times New Roman" w:hAnsi="Garamond" w:cs="Times New Roman"/>
                <w:color w:val="000000"/>
                <w:sz w:val="10"/>
                <w:szCs w:val="10"/>
              </w:rPr>
              <w:br/>
              <w:t>Mosfunksionimi i metodave të reja të IT për mbledhjen e të dhënave në vrojtimet vjetore, e cila sjell si pasojë mos publikimin në kohë të rezultateve të vrojtimit -|- 6</w:t>
            </w:r>
            <w:r w:rsidRPr="00B31292">
              <w:rPr>
                <w:rFonts w:ascii="Garamond" w:eastAsia="Times New Roman" w:hAnsi="Garamond" w:cs="Times New Roman"/>
                <w:color w:val="000000"/>
                <w:sz w:val="10"/>
                <w:szCs w:val="10"/>
              </w:rPr>
              <w:br/>
              <w:t>Lëvizja e stafit me eksperiencë nga sektori, e cila sjell si pasojë ndërprerje/ngadalësim të proceseve të punës. -|- 6</w:t>
            </w:r>
            <w:r w:rsidRPr="00B31292">
              <w:rPr>
                <w:rFonts w:ascii="Garamond" w:eastAsia="Times New Roman" w:hAnsi="Garamond" w:cs="Times New Roman"/>
                <w:color w:val="000000"/>
                <w:sz w:val="10"/>
                <w:szCs w:val="10"/>
              </w:rPr>
              <w:br/>
              <w:t>Mosfunksionimi i metodave të automatizimit dhe mos pasja e suportit për automatizimin e proceseve t</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prodhimit statistikor, e cila sjell si pasojë ngadalësim të procesit të automatizimit -|- 6</w:t>
            </w:r>
            <w:r w:rsidRPr="00B31292">
              <w:rPr>
                <w:rFonts w:ascii="Garamond" w:eastAsia="Times New Roman" w:hAnsi="Garamond" w:cs="Times New Roman"/>
                <w:color w:val="000000"/>
                <w:sz w:val="10"/>
                <w:szCs w:val="10"/>
              </w:rPr>
              <w:br/>
              <w:t xml:space="preserve">Mos-zhvillimi i sistemeve të informacionit dhe </w:t>
            </w:r>
            <w:r w:rsidRPr="00B31292">
              <w:rPr>
                <w:rFonts w:ascii="Garamond" w:eastAsia="Times New Roman" w:hAnsi="Garamond" w:cs="Times New Roman"/>
                <w:i/>
                <w:iCs/>
                <w:color w:val="000000"/>
                <w:sz w:val="10"/>
                <w:szCs w:val="10"/>
              </w:rPr>
              <w:t>web-services</w:t>
            </w:r>
            <w:r w:rsidRPr="00B31292">
              <w:rPr>
                <w:rFonts w:ascii="Garamond" w:eastAsia="Times New Roman" w:hAnsi="Garamond" w:cs="Times New Roman"/>
                <w:color w:val="000000"/>
                <w:sz w:val="10"/>
                <w:szCs w:val="10"/>
              </w:rPr>
              <w:t xml:space="preserve">, e cila sjell si pasojë përdorimin e sistemeve aktuale dhe mospërmirësim të </w:t>
            </w:r>
            <w:r w:rsidRPr="00B31292">
              <w:rPr>
                <w:rFonts w:ascii="Garamond" w:eastAsia="Times New Roman" w:hAnsi="Garamond" w:cs="Times New Roman"/>
                <w:i/>
                <w:iCs/>
                <w:color w:val="000000"/>
                <w:sz w:val="10"/>
                <w:szCs w:val="10"/>
              </w:rPr>
              <w:t>response burden</w:t>
            </w:r>
            <w:r w:rsidRPr="00B31292">
              <w:rPr>
                <w:rFonts w:ascii="Garamond" w:eastAsia="Times New Roman" w:hAnsi="Garamond" w:cs="Times New Roman"/>
                <w:color w:val="000000"/>
                <w:sz w:val="10"/>
                <w:szCs w:val="10"/>
              </w:rPr>
              <w:t xml:space="preserve"> -|- 6</w:t>
            </w:r>
          </w:p>
        </w:tc>
        <w:tc>
          <w:tcPr>
            <w:tcW w:w="273" w:type="pct"/>
            <w:tcBorders>
              <w:top w:val="nil"/>
              <w:left w:val="nil"/>
              <w:bottom w:val="single" w:sz="4" w:space="0" w:color="auto"/>
              <w:right w:val="single" w:sz="4" w:space="0" w:color="auto"/>
            </w:tcBorders>
            <w:shd w:val="clear" w:color="auto" w:fill="auto"/>
            <w:vAlign w:val="center"/>
            <w:hideMark/>
          </w:tcPr>
          <w:p w14:paraId="79DD8137"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lastRenderedPageBreak/>
              <w:t>Buxhet shteti</w:t>
            </w:r>
          </w:p>
        </w:tc>
      </w:tr>
      <w:tr w:rsidR="000A2254" w:rsidRPr="00B31292" w14:paraId="5AFC32F1" w14:textId="77777777" w:rsidTr="000A2254">
        <w:trPr>
          <w:trHeight w:val="20"/>
        </w:trPr>
        <w:tc>
          <w:tcPr>
            <w:tcW w:w="215" w:type="pct"/>
            <w:tcBorders>
              <w:top w:val="nil"/>
              <w:left w:val="nil"/>
              <w:bottom w:val="nil"/>
              <w:right w:val="nil"/>
            </w:tcBorders>
            <w:shd w:val="clear" w:color="000000" w:fill="FFFFFF"/>
            <w:vAlign w:val="bottom"/>
            <w:hideMark/>
          </w:tcPr>
          <w:p w14:paraId="0BE7F14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5C1FCD1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4B0CC4B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43E2E7D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single" w:sz="4" w:space="0" w:color="000000"/>
              <w:left w:val="single" w:sz="4" w:space="0" w:color="000000"/>
              <w:bottom w:val="single" w:sz="4" w:space="0" w:color="000000"/>
              <w:right w:val="nil"/>
            </w:tcBorders>
            <w:shd w:val="clear" w:color="000000" w:fill="F0F0F0"/>
            <w:vAlign w:val="center"/>
            <w:hideMark/>
          </w:tcPr>
          <w:p w14:paraId="72E4CA4A"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2.3.3</w:t>
            </w:r>
          </w:p>
        </w:tc>
        <w:tc>
          <w:tcPr>
            <w:tcW w:w="4082" w:type="pct"/>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4E317902" w14:textId="0BFADF00"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Statistikat </w:t>
            </w:r>
            <w:r w:rsidR="00E1320B" w:rsidRPr="00B31292">
              <w:rPr>
                <w:rFonts w:ascii="Garamond" w:eastAsia="Times New Roman" w:hAnsi="Garamond" w:cs="Times New Roman"/>
                <w:color w:val="000000"/>
                <w:sz w:val="10"/>
                <w:szCs w:val="10"/>
              </w:rPr>
              <w:t xml:space="preserve">afatshkurtra të ndërmarrjeve </w:t>
            </w:r>
          </w:p>
        </w:tc>
      </w:tr>
      <w:tr w:rsidR="000A2254" w:rsidRPr="00B31292" w14:paraId="4D712FC1" w14:textId="77777777" w:rsidTr="000A2254">
        <w:trPr>
          <w:trHeight w:val="20"/>
        </w:trPr>
        <w:tc>
          <w:tcPr>
            <w:tcW w:w="215" w:type="pct"/>
            <w:tcBorders>
              <w:top w:val="nil"/>
              <w:left w:val="nil"/>
              <w:bottom w:val="nil"/>
              <w:right w:val="nil"/>
            </w:tcBorders>
            <w:shd w:val="clear" w:color="000000" w:fill="FFFFFF"/>
            <w:vAlign w:val="bottom"/>
            <w:hideMark/>
          </w:tcPr>
          <w:p w14:paraId="183B330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32204C9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1C27CCB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3DE4A23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072F810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4476B99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auto"/>
              <w:bottom w:val="single" w:sz="4" w:space="0" w:color="auto"/>
              <w:right w:val="single" w:sz="4" w:space="0" w:color="auto"/>
            </w:tcBorders>
            <w:shd w:val="clear" w:color="auto" w:fill="auto"/>
            <w:vAlign w:val="center"/>
            <w:hideMark/>
          </w:tcPr>
          <w:p w14:paraId="19BAEF50"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2.3.3.1</w:t>
            </w:r>
          </w:p>
        </w:tc>
        <w:tc>
          <w:tcPr>
            <w:tcW w:w="281" w:type="pct"/>
            <w:tcBorders>
              <w:top w:val="nil"/>
              <w:left w:val="nil"/>
              <w:bottom w:val="single" w:sz="4" w:space="0" w:color="auto"/>
              <w:right w:val="single" w:sz="4" w:space="0" w:color="auto"/>
            </w:tcBorders>
            <w:shd w:val="clear" w:color="auto" w:fill="auto"/>
            <w:vAlign w:val="center"/>
            <w:hideMark/>
          </w:tcPr>
          <w:p w14:paraId="337B838A" w14:textId="04423A20"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xml:space="preserve">Statistikat </w:t>
            </w:r>
            <w:r w:rsidR="00E1320B" w:rsidRPr="00B31292">
              <w:rPr>
                <w:rFonts w:ascii="Garamond" w:eastAsia="Times New Roman" w:hAnsi="Garamond" w:cs="Times New Roman"/>
                <w:sz w:val="10"/>
                <w:szCs w:val="10"/>
              </w:rPr>
              <w:t>afatshkurtra të ndërmarrjeve</w:t>
            </w:r>
          </w:p>
        </w:tc>
        <w:tc>
          <w:tcPr>
            <w:tcW w:w="236" w:type="pct"/>
            <w:tcBorders>
              <w:top w:val="nil"/>
              <w:left w:val="nil"/>
              <w:bottom w:val="single" w:sz="4" w:space="0" w:color="auto"/>
              <w:right w:val="single" w:sz="4" w:space="0" w:color="auto"/>
            </w:tcBorders>
            <w:shd w:val="clear" w:color="auto" w:fill="auto"/>
            <w:vAlign w:val="center"/>
            <w:hideMark/>
          </w:tcPr>
          <w:p w14:paraId="247216CF"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Kombinim i burimeve administrative dhe vrojtimeve</w:t>
            </w:r>
          </w:p>
        </w:tc>
        <w:tc>
          <w:tcPr>
            <w:tcW w:w="238" w:type="pct"/>
            <w:tcBorders>
              <w:top w:val="nil"/>
              <w:left w:val="nil"/>
              <w:bottom w:val="single" w:sz="4" w:space="0" w:color="auto"/>
              <w:right w:val="single" w:sz="4" w:space="0" w:color="auto"/>
            </w:tcBorders>
            <w:shd w:val="clear" w:color="auto" w:fill="auto"/>
            <w:noWrap/>
            <w:vAlign w:val="center"/>
            <w:hideMark/>
          </w:tcPr>
          <w:p w14:paraId="47E1B63A"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70%</w:t>
            </w:r>
          </w:p>
        </w:tc>
        <w:tc>
          <w:tcPr>
            <w:tcW w:w="180" w:type="pct"/>
            <w:tcBorders>
              <w:top w:val="nil"/>
              <w:left w:val="nil"/>
              <w:bottom w:val="single" w:sz="4" w:space="0" w:color="auto"/>
              <w:right w:val="single" w:sz="4" w:space="0" w:color="auto"/>
            </w:tcBorders>
            <w:shd w:val="clear" w:color="auto" w:fill="auto"/>
            <w:noWrap/>
            <w:vAlign w:val="center"/>
            <w:hideMark/>
          </w:tcPr>
          <w:p w14:paraId="39189D4C"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30%</w:t>
            </w:r>
          </w:p>
        </w:tc>
        <w:tc>
          <w:tcPr>
            <w:tcW w:w="228" w:type="pct"/>
            <w:tcBorders>
              <w:top w:val="nil"/>
              <w:left w:val="nil"/>
              <w:bottom w:val="single" w:sz="4" w:space="0" w:color="auto"/>
              <w:right w:val="single" w:sz="4" w:space="0" w:color="auto"/>
            </w:tcBorders>
            <w:shd w:val="clear" w:color="auto" w:fill="auto"/>
            <w:vAlign w:val="center"/>
            <w:hideMark/>
          </w:tcPr>
          <w:p w14:paraId="0057385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tcBorders>
              <w:top w:val="nil"/>
              <w:left w:val="nil"/>
              <w:bottom w:val="single" w:sz="4" w:space="0" w:color="auto"/>
              <w:right w:val="single" w:sz="4" w:space="0" w:color="auto"/>
            </w:tcBorders>
            <w:shd w:val="clear" w:color="auto" w:fill="auto"/>
            <w:vAlign w:val="center"/>
            <w:hideMark/>
          </w:tcPr>
          <w:p w14:paraId="2D1A13C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Tremujor</w:t>
            </w:r>
          </w:p>
        </w:tc>
        <w:tc>
          <w:tcPr>
            <w:tcW w:w="486" w:type="pct"/>
            <w:tcBorders>
              <w:top w:val="nil"/>
              <w:left w:val="nil"/>
              <w:bottom w:val="single" w:sz="4" w:space="0" w:color="auto"/>
              <w:right w:val="single" w:sz="4" w:space="0" w:color="auto"/>
            </w:tcBorders>
            <w:shd w:val="clear" w:color="auto" w:fill="auto"/>
            <w:vAlign w:val="center"/>
            <w:hideMark/>
          </w:tcPr>
          <w:p w14:paraId="7914CEF7" w14:textId="2E54D2F7" w:rsidR="00E1320B"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color w:val="000000"/>
                <w:sz w:val="10"/>
                <w:szCs w:val="10"/>
              </w:rPr>
              <w:br/>
            </w:r>
            <w:r w:rsidRPr="00B31292">
              <w:rPr>
                <w:rFonts w:ascii="Garamond" w:eastAsia="Times New Roman" w:hAnsi="Garamond" w:cs="Times New Roman"/>
                <w:color w:val="000000"/>
                <w:sz w:val="10"/>
                <w:szCs w:val="10"/>
              </w:rPr>
              <w:br/>
            </w:r>
            <w:r w:rsidRPr="00B31292">
              <w:rPr>
                <w:rFonts w:ascii="Garamond" w:eastAsia="Times New Roman" w:hAnsi="Garamond" w:cs="Times New Roman"/>
                <w:sz w:val="10"/>
                <w:szCs w:val="10"/>
              </w:rPr>
              <w:t>1. Indeksi i prodhimit në vlerë/volum (</w:t>
            </w:r>
            <w:r w:rsidR="00E1320B" w:rsidRPr="00B31292">
              <w:rPr>
                <w:rFonts w:ascii="Garamond" w:eastAsia="Times New Roman" w:hAnsi="Garamond" w:cs="Times New Roman"/>
                <w:sz w:val="10"/>
                <w:szCs w:val="10"/>
              </w:rPr>
              <w:t xml:space="preserve">industri, ndërtim). </w:t>
            </w:r>
          </w:p>
          <w:p w14:paraId="605829C2" w14:textId="3146CE3F" w:rsidR="00E1320B"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2. Indeksi i shitjeve neto në vlerë/volum (</w:t>
            </w:r>
            <w:r w:rsidR="00E1320B" w:rsidRPr="00B31292">
              <w:rPr>
                <w:rFonts w:ascii="Garamond" w:eastAsia="Times New Roman" w:hAnsi="Garamond" w:cs="Times New Roman"/>
                <w:sz w:val="10"/>
                <w:szCs w:val="10"/>
              </w:rPr>
              <w:t>industri, ndërtim, tregti, shërbime</w:t>
            </w:r>
            <w:r w:rsidRPr="00B31292">
              <w:rPr>
                <w:rFonts w:ascii="Garamond" w:eastAsia="Times New Roman" w:hAnsi="Garamond" w:cs="Times New Roman"/>
                <w:sz w:val="10"/>
                <w:szCs w:val="10"/>
              </w:rPr>
              <w:t>)</w:t>
            </w:r>
            <w:r w:rsidR="00E1320B"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 xml:space="preserve">3. Indeksi i numrit të të </w:t>
            </w:r>
            <w:r w:rsidRPr="00B31292">
              <w:rPr>
                <w:rFonts w:ascii="Garamond" w:eastAsia="Times New Roman" w:hAnsi="Garamond" w:cs="Times New Roman"/>
                <w:sz w:val="10"/>
                <w:szCs w:val="10"/>
              </w:rPr>
              <w:lastRenderedPageBreak/>
              <w:t>punësuarve</w:t>
            </w:r>
            <w:r w:rsidR="002E2911" w:rsidRPr="00B31292">
              <w:rPr>
                <w:rFonts w:ascii="Garamond" w:eastAsia="Times New Roman" w:hAnsi="Garamond" w:cs="Times New Roman"/>
                <w:sz w:val="10"/>
                <w:szCs w:val="10"/>
              </w:rPr>
              <w:t xml:space="preserve"> </w:t>
            </w:r>
            <w:r w:rsidRPr="00B31292">
              <w:rPr>
                <w:rFonts w:ascii="Garamond" w:eastAsia="Times New Roman" w:hAnsi="Garamond" w:cs="Times New Roman"/>
                <w:sz w:val="10"/>
                <w:szCs w:val="10"/>
              </w:rPr>
              <w:t>(</w:t>
            </w:r>
            <w:r w:rsidR="00E1320B" w:rsidRPr="00B31292">
              <w:rPr>
                <w:rFonts w:ascii="Garamond" w:eastAsia="Times New Roman" w:hAnsi="Garamond" w:cs="Times New Roman"/>
                <w:sz w:val="10"/>
                <w:szCs w:val="10"/>
              </w:rPr>
              <w:t>industri, ndërtim, tregti, shërbime</w:t>
            </w:r>
            <w:r w:rsidRPr="00B31292">
              <w:rPr>
                <w:rFonts w:ascii="Garamond" w:eastAsia="Times New Roman" w:hAnsi="Garamond" w:cs="Times New Roman"/>
                <w:sz w:val="10"/>
                <w:szCs w:val="10"/>
              </w:rPr>
              <w:t>)</w:t>
            </w:r>
            <w:r w:rsidR="00E1320B" w:rsidRPr="00B31292">
              <w:rPr>
                <w:rFonts w:ascii="Garamond" w:eastAsia="Times New Roman" w:hAnsi="Garamond" w:cs="Times New Roman"/>
                <w:sz w:val="10"/>
                <w:szCs w:val="10"/>
              </w:rPr>
              <w:t>.</w:t>
            </w:r>
            <w:r w:rsidR="002E2911" w:rsidRPr="00B31292">
              <w:rPr>
                <w:rFonts w:ascii="Garamond" w:eastAsia="Times New Roman" w:hAnsi="Garamond" w:cs="Times New Roman"/>
                <w:sz w:val="10"/>
                <w:szCs w:val="10"/>
              </w:rPr>
              <w:t xml:space="preserve"> </w:t>
            </w:r>
          </w:p>
          <w:p w14:paraId="5C7500B9" w14:textId="3B90542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sz w:val="10"/>
                <w:szCs w:val="10"/>
              </w:rPr>
              <w:t>4. Indeksi i fondit të pagave (</w:t>
            </w:r>
            <w:r w:rsidR="00E1320B" w:rsidRPr="00B31292">
              <w:rPr>
                <w:rFonts w:ascii="Garamond" w:eastAsia="Times New Roman" w:hAnsi="Garamond" w:cs="Times New Roman"/>
                <w:sz w:val="10"/>
                <w:szCs w:val="10"/>
              </w:rPr>
              <w:t>industri, ndërtim, tregti, shërbime</w:t>
            </w:r>
            <w:r w:rsidRPr="00B31292">
              <w:rPr>
                <w:rFonts w:ascii="Garamond" w:eastAsia="Times New Roman" w:hAnsi="Garamond" w:cs="Times New Roman"/>
                <w:sz w:val="10"/>
                <w:szCs w:val="10"/>
              </w:rPr>
              <w:t>)</w:t>
            </w:r>
            <w:r w:rsidR="00E1320B"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 xml:space="preserve">5. Indeksi i shitjeve neto (vlerë/volum) në </w:t>
            </w:r>
            <w:r w:rsidR="00E1320B" w:rsidRPr="00B31292">
              <w:rPr>
                <w:rFonts w:ascii="Garamond" w:eastAsia="Times New Roman" w:hAnsi="Garamond" w:cs="Times New Roman"/>
                <w:sz w:val="10"/>
                <w:szCs w:val="10"/>
              </w:rPr>
              <w:t>tregtinë me pakicë dhe tregtinë</w:t>
            </w:r>
            <w:r w:rsidRPr="00B31292">
              <w:rPr>
                <w:rFonts w:ascii="Garamond" w:eastAsia="Times New Roman" w:hAnsi="Garamond" w:cs="Times New Roman"/>
                <w:sz w:val="10"/>
                <w:szCs w:val="10"/>
              </w:rPr>
              <w:t xml:space="preserve"> me pakicë të hidrokarbureve</w:t>
            </w:r>
            <w:r w:rsidR="00E1320B"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 xml:space="preserve">6. Volumi i prodhimit në </w:t>
            </w:r>
            <w:r w:rsidR="00106FB4" w:rsidRPr="00B31292">
              <w:rPr>
                <w:rFonts w:ascii="Garamond" w:eastAsia="Times New Roman" w:hAnsi="Garamond" w:cs="Times New Roman"/>
                <w:sz w:val="10"/>
                <w:szCs w:val="10"/>
              </w:rPr>
              <w:t>ndërtim</w:t>
            </w:r>
            <w:r w:rsidRPr="00B31292">
              <w:rPr>
                <w:rFonts w:ascii="Garamond" w:eastAsia="Times New Roman" w:hAnsi="Garamond" w:cs="Times New Roman"/>
                <w:sz w:val="10"/>
                <w:szCs w:val="10"/>
              </w:rPr>
              <w:t>, total, ndërtesa, shërbime inxhinierike</w:t>
            </w:r>
            <w:r w:rsidR="00E1320B" w:rsidRPr="00B31292">
              <w:rPr>
                <w:rFonts w:ascii="Garamond" w:eastAsia="Times New Roman" w:hAnsi="Garamond" w:cs="Times New Roman"/>
                <w:sz w:val="10"/>
                <w:szCs w:val="10"/>
              </w:rPr>
              <w:t>.</w:t>
            </w:r>
          </w:p>
        </w:tc>
        <w:tc>
          <w:tcPr>
            <w:tcW w:w="299" w:type="pct"/>
            <w:tcBorders>
              <w:top w:val="nil"/>
              <w:left w:val="nil"/>
              <w:bottom w:val="single" w:sz="4" w:space="0" w:color="auto"/>
              <w:right w:val="single" w:sz="4" w:space="0" w:color="auto"/>
            </w:tcBorders>
            <w:shd w:val="clear" w:color="auto" w:fill="auto"/>
            <w:vAlign w:val="center"/>
            <w:hideMark/>
          </w:tcPr>
          <w:p w14:paraId="0FA99C1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lastRenderedPageBreak/>
              <w:t xml:space="preserve"> Drejtoria e Përgjithshme e Tatimeve</w:t>
            </w:r>
          </w:p>
        </w:tc>
        <w:tc>
          <w:tcPr>
            <w:tcW w:w="224" w:type="pct"/>
            <w:tcBorders>
              <w:top w:val="nil"/>
              <w:left w:val="nil"/>
              <w:bottom w:val="single" w:sz="4" w:space="0" w:color="auto"/>
              <w:right w:val="single" w:sz="4" w:space="0" w:color="auto"/>
            </w:tcBorders>
            <w:shd w:val="clear" w:color="auto" w:fill="auto"/>
            <w:vAlign w:val="center"/>
            <w:hideMark/>
          </w:tcPr>
          <w:p w14:paraId="78D6D561" w14:textId="333DC6CF"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E1320B" w:rsidRPr="00B31292">
              <w:rPr>
                <w:rFonts w:ascii="Garamond" w:eastAsia="Times New Roman" w:hAnsi="Garamond" w:cs="Times New Roman"/>
                <w:color w:val="000000"/>
                <w:sz w:val="10"/>
                <w:szCs w:val="10"/>
              </w:rPr>
              <w:t>-i</w:t>
            </w:r>
          </w:p>
        </w:tc>
        <w:tc>
          <w:tcPr>
            <w:tcW w:w="244" w:type="pct"/>
            <w:tcBorders>
              <w:top w:val="nil"/>
              <w:left w:val="nil"/>
              <w:bottom w:val="single" w:sz="4" w:space="0" w:color="auto"/>
              <w:right w:val="single" w:sz="4" w:space="0" w:color="auto"/>
            </w:tcBorders>
            <w:shd w:val="clear" w:color="000000" w:fill="FFFFFF"/>
            <w:vAlign w:val="center"/>
            <w:hideMark/>
          </w:tcPr>
          <w:p w14:paraId="64C4EA10"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 T + 61 D</w:t>
            </w:r>
          </w:p>
        </w:tc>
        <w:tc>
          <w:tcPr>
            <w:tcW w:w="220" w:type="pct"/>
            <w:tcBorders>
              <w:top w:val="nil"/>
              <w:left w:val="nil"/>
              <w:bottom w:val="single" w:sz="4" w:space="0" w:color="auto"/>
              <w:right w:val="single" w:sz="4" w:space="0" w:color="auto"/>
            </w:tcBorders>
            <w:shd w:val="clear" w:color="000000" w:fill="FFFFFF"/>
            <w:vAlign w:val="center"/>
            <w:hideMark/>
          </w:tcPr>
          <w:p w14:paraId="71546384"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 T+ 71D</w:t>
            </w:r>
          </w:p>
        </w:tc>
        <w:tc>
          <w:tcPr>
            <w:tcW w:w="220" w:type="pct"/>
            <w:tcBorders>
              <w:top w:val="nil"/>
              <w:left w:val="nil"/>
              <w:bottom w:val="single" w:sz="4" w:space="0" w:color="auto"/>
              <w:right w:val="single" w:sz="4" w:space="0" w:color="auto"/>
            </w:tcBorders>
            <w:shd w:val="clear" w:color="000000" w:fill="FFFFFF"/>
            <w:vAlign w:val="center"/>
            <w:hideMark/>
          </w:tcPr>
          <w:p w14:paraId="4D7ABAE2"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 T+ 78D</w:t>
            </w:r>
          </w:p>
        </w:tc>
        <w:tc>
          <w:tcPr>
            <w:tcW w:w="346" w:type="pct"/>
            <w:tcBorders>
              <w:top w:val="nil"/>
              <w:left w:val="nil"/>
              <w:bottom w:val="single" w:sz="4" w:space="0" w:color="auto"/>
              <w:right w:val="single" w:sz="4" w:space="0" w:color="auto"/>
            </w:tcBorders>
            <w:shd w:val="clear" w:color="auto" w:fill="auto"/>
            <w:vAlign w:val="center"/>
            <w:hideMark/>
          </w:tcPr>
          <w:p w14:paraId="78605AB9" w14:textId="336B3D0D"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1. Moszbatimi në kohë i hapave dhe detyrave për kryerjen e procesit statistikor në vrojtimet tremujore, e cila sjell si pasojë mos publikimin në kohë të rezultateve të </w:t>
            </w:r>
            <w:r w:rsidRPr="00B31292">
              <w:rPr>
                <w:rFonts w:ascii="Garamond" w:eastAsia="Times New Roman" w:hAnsi="Garamond" w:cs="Times New Roman"/>
                <w:color w:val="000000"/>
                <w:sz w:val="10"/>
                <w:szCs w:val="10"/>
              </w:rPr>
              <w:lastRenderedPageBreak/>
              <w:t>vrojtimit -|- 6</w:t>
            </w:r>
            <w:r w:rsidRPr="00B31292">
              <w:rPr>
                <w:rFonts w:ascii="Garamond" w:eastAsia="Times New Roman" w:hAnsi="Garamond" w:cs="Times New Roman"/>
                <w:color w:val="000000"/>
                <w:sz w:val="10"/>
                <w:szCs w:val="10"/>
              </w:rPr>
              <w:br/>
              <w:t>2. Mospërmbushja e</w:t>
            </w:r>
            <w:r w:rsidR="003E16E0" w:rsidRPr="00B31292">
              <w:rPr>
                <w:rFonts w:ascii="Garamond" w:eastAsia="Times New Roman" w:hAnsi="Garamond" w:cs="Times New Roman"/>
                <w:color w:val="000000"/>
                <w:sz w:val="10"/>
                <w:szCs w:val="10"/>
              </w:rPr>
              <w:t xml:space="preserve"> </w:t>
            </w:r>
            <w:r w:rsidR="00F667B8" w:rsidRPr="00B31292">
              <w:rPr>
                <w:rFonts w:ascii="Garamond" w:eastAsia="Times New Roman" w:hAnsi="Garamond" w:cs="Times New Roman"/>
                <w:color w:val="000000"/>
                <w:sz w:val="10"/>
                <w:szCs w:val="10"/>
              </w:rPr>
              <w:t>kritereve të cilësisë, si:</w:t>
            </w:r>
            <w:r w:rsidRPr="00B31292">
              <w:rPr>
                <w:rFonts w:ascii="Garamond" w:eastAsia="Times New Roman" w:hAnsi="Garamond" w:cs="Times New Roman"/>
                <w:color w:val="000000"/>
                <w:sz w:val="10"/>
                <w:szCs w:val="10"/>
              </w:rPr>
              <w:t xml:space="preserve"> saktësia, përpikmëria dhe krahasueshmëria, për vrojtimet statistikore e cila sjell si pasojë mos shpërndarjen në kohë e në cilësi të rezultateve të vrojtimit -|- 5</w:t>
            </w:r>
            <w:r w:rsidRPr="00B31292">
              <w:rPr>
                <w:rFonts w:ascii="Garamond" w:eastAsia="Times New Roman" w:hAnsi="Garamond" w:cs="Times New Roman"/>
                <w:color w:val="000000"/>
                <w:sz w:val="10"/>
                <w:szCs w:val="10"/>
              </w:rPr>
              <w:br/>
              <w:t>3. Pezullimi/vonesa e mbledhjes, prodhimit dhe shpërndarjes të statistikave zyrtare nga fatkeqësitë natyrore / pandemi globale, e cila sjell si pasojë mos publikimin në kohë të rezultateve të vrojtimit -|- 6</w:t>
            </w:r>
            <w:r w:rsidRPr="00B31292">
              <w:rPr>
                <w:rFonts w:ascii="Garamond" w:eastAsia="Times New Roman" w:hAnsi="Garamond" w:cs="Times New Roman"/>
                <w:color w:val="000000"/>
                <w:sz w:val="10"/>
                <w:szCs w:val="10"/>
              </w:rPr>
              <w:br/>
              <w:t>4. Mosmarrja në kohë dhe ndryshimi i bazës ligjore të burimit administrativ, sjell si pasojë mos publikimin në kohë të rezultateve të treguesve statistikorë -|- 7</w:t>
            </w:r>
            <w:r w:rsidRPr="00B31292">
              <w:rPr>
                <w:rFonts w:ascii="Garamond" w:eastAsia="Times New Roman" w:hAnsi="Garamond" w:cs="Times New Roman"/>
                <w:color w:val="000000"/>
                <w:sz w:val="10"/>
                <w:szCs w:val="10"/>
              </w:rPr>
              <w:br/>
              <w:t>5. Gabime në përllogaritje e treguesve, e cila sjell si pasojë mos shpërndarja në cilësi të rezultateve të treguesve statistikorë -|- 5</w:t>
            </w:r>
            <w:r w:rsidRPr="00B31292">
              <w:rPr>
                <w:rFonts w:ascii="Garamond" w:eastAsia="Times New Roman" w:hAnsi="Garamond" w:cs="Times New Roman"/>
                <w:color w:val="000000"/>
                <w:sz w:val="10"/>
                <w:szCs w:val="10"/>
              </w:rPr>
              <w:br/>
              <w:t>6. Mosevidentimi dhe realizimi i detyrave të përditshme të sektorit, e cila sjell si pasojë ngadalësim të proceseve të punës -|- 3</w:t>
            </w:r>
            <w:r w:rsidRPr="00B31292">
              <w:rPr>
                <w:rFonts w:ascii="Garamond" w:eastAsia="Times New Roman" w:hAnsi="Garamond" w:cs="Times New Roman"/>
                <w:color w:val="000000"/>
                <w:sz w:val="10"/>
                <w:szCs w:val="10"/>
              </w:rPr>
              <w:br/>
              <w:t>7. Lëvizja e stafit me eksperiencë nga sektori, e cila sjell si pasojë ndërprerje/ngadalësim të proceseve të punës -|- 6</w:t>
            </w:r>
            <w:r w:rsidRPr="00B31292">
              <w:rPr>
                <w:rFonts w:ascii="Garamond" w:eastAsia="Times New Roman" w:hAnsi="Garamond" w:cs="Times New Roman"/>
                <w:color w:val="000000"/>
                <w:sz w:val="10"/>
                <w:szCs w:val="10"/>
              </w:rPr>
              <w:br/>
              <w:t>8. Mungesa e trajnimeve për stafin, e cila sjell si pasojë uljen e cilësisë dhe gabime në proceset e punës -|- 5</w:t>
            </w:r>
          </w:p>
        </w:tc>
        <w:tc>
          <w:tcPr>
            <w:tcW w:w="273" w:type="pct"/>
            <w:tcBorders>
              <w:top w:val="nil"/>
              <w:left w:val="nil"/>
              <w:bottom w:val="single" w:sz="4" w:space="0" w:color="auto"/>
              <w:right w:val="single" w:sz="4" w:space="0" w:color="auto"/>
            </w:tcBorders>
            <w:shd w:val="clear" w:color="auto" w:fill="auto"/>
            <w:vAlign w:val="center"/>
            <w:hideMark/>
          </w:tcPr>
          <w:p w14:paraId="2385574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lastRenderedPageBreak/>
              <w:t>Buxhet shteti</w:t>
            </w:r>
          </w:p>
        </w:tc>
      </w:tr>
      <w:tr w:rsidR="000A2254" w:rsidRPr="00B31292" w14:paraId="449A8050" w14:textId="77777777" w:rsidTr="000A2254">
        <w:trPr>
          <w:trHeight w:val="20"/>
        </w:trPr>
        <w:tc>
          <w:tcPr>
            <w:tcW w:w="215" w:type="pct"/>
            <w:tcBorders>
              <w:top w:val="nil"/>
              <w:left w:val="nil"/>
              <w:bottom w:val="nil"/>
              <w:right w:val="nil"/>
            </w:tcBorders>
            <w:shd w:val="clear" w:color="000000" w:fill="FFFFFF"/>
            <w:vAlign w:val="bottom"/>
            <w:hideMark/>
          </w:tcPr>
          <w:p w14:paraId="0A41E27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1C99E9E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57AE909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5EECE21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40AB71C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0C38300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000000"/>
              <w:bottom w:val="single" w:sz="4" w:space="0" w:color="000000"/>
              <w:right w:val="single" w:sz="4" w:space="0" w:color="000000"/>
            </w:tcBorders>
            <w:shd w:val="clear" w:color="000000" w:fill="FFFFFF"/>
            <w:vAlign w:val="center"/>
            <w:hideMark/>
          </w:tcPr>
          <w:p w14:paraId="6296CBB0"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2.3.3.2</w:t>
            </w:r>
          </w:p>
        </w:tc>
        <w:tc>
          <w:tcPr>
            <w:tcW w:w="281" w:type="pct"/>
            <w:tcBorders>
              <w:top w:val="nil"/>
              <w:left w:val="nil"/>
              <w:bottom w:val="single" w:sz="4" w:space="0" w:color="000000"/>
              <w:right w:val="single" w:sz="4" w:space="0" w:color="000000"/>
            </w:tcBorders>
            <w:shd w:val="clear" w:color="auto" w:fill="auto"/>
            <w:vAlign w:val="center"/>
            <w:hideMark/>
          </w:tcPr>
          <w:p w14:paraId="4E110EA8"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Statistikat e çmimeve në ndërmarrjet ekonomike në nivel tremujor</w:t>
            </w:r>
          </w:p>
        </w:tc>
        <w:tc>
          <w:tcPr>
            <w:tcW w:w="236" w:type="pct"/>
            <w:tcBorders>
              <w:top w:val="nil"/>
              <w:left w:val="nil"/>
              <w:bottom w:val="single" w:sz="4" w:space="0" w:color="000000"/>
              <w:right w:val="single" w:sz="4" w:space="0" w:color="000000"/>
            </w:tcBorders>
            <w:shd w:val="clear" w:color="auto" w:fill="auto"/>
            <w:vAlign w:val="center"/>
            <w:hideMark/>
          </w:tcPr>
          <w:p w14:paraId="7F6C1633"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Vrojtim</w:t>
            </w:r>
          </w:p>
        </w:tc>
        <w:tc>
          <w:tcPr>
            <w:tcW w:w="238" w:type="pct"/>
            <w:tcBorders>
              <w:top w:val="nil"/>
              <w:left w:val="nil"/>
              <w:bottom w:val="single" w:sz="4" w:space="0" w:color="auto"/>
              <w:right w:val="single" w:sz="4" w:space="0" w:color="auto"/>
            </w:tcBorders>
            <w:shd w:val="clear" w:color="auto" w:fill="auto"/>
            <w:vAlign w:val="center"/>
            <w:hideMark/>
          </w:tcPr>
          <w:p w14:paraId="709C9431"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180" w:type="pct"/>
            <w:tcBorders>
              <w:top w:val="nil"/>
              <w:left w:val="nil"/>
              <w:bottom w:val="single" w:sz="4" w:space="0" w:color="auto"/>
              <w:right w:val="single" w:sz="4" w:space="0" w:color="auto"/>
            </w:tcBorders>
            <w:shd w:val="clear" w:color="auto" w:fill="auto"/>
            <w:noWrap/>
            <w:vAlign w:val="center"/>
            <w:hideMark/>
          </w:tcPr>
          <w:p w14:paraId="41EE0AC5"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228" w:type="pct"/>
            <w:tcBorders>
              <w:top w:val="nil"/>
              <w:left w:val="nil"/>
              <w:bottom w:val="single" w:sz="4" w:space="0" w:color="auto"/>
              <w:right w:val="single" w:sz="4" w:space="0" w:color="auto"/>
            </w:tcBorders>
            <w:shd w:val="clear" w:color="auto" w:fill="auto"/>
            <w:vAlign w:val="center"/>
            <w:hideMark/>
          </w:tcPr>
          <w:p w14:paraId="642001D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tcBorders>
              <w:top w:val="nil"/>
              <w:left w:val="nil"/>
              <w:bottom w:val="single" w:sz="4" w:space="0" w:color="000000"/>
              <w:right w:val="single" w:sz="4" w:space="0" w:color="000000"/>
            </w:tcBorders>
            <w:shd w:val="clear" w:color="000000" w:fill="FFFFFF"/>
            <w:vAlign w:val="center"/>
            <w:hideMark/>
          </w:tcPr>
          <w:p w14:paraId="3AF403A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Tremujor</w:t>
            </w:r>
          </w:p>
        </w:tc>
        <w:tc>
          <w:tcPr>
            <w:tcW w:w="486" w:type="pct"/>
            <w:tcBorders>
              <w:top w:val="nil"/>
              <w:left w:val="nil"/>
              <w:bottom w:val="single" w:sz="4" w:space="0" w:color="auto"/>
              <w:right w:val="single" w:sz="4" w:space="0" w:color="auto"/>
            </w:tcBorders>
            <w:shd w:val="clear" w:color="000000" w:fill="FFFFFF"/>
            <w:vAlign w:val="center"/>
            <w:hideMark/>
          </w:tcPr>
          <w:p w14:paraId="3E3DEAE0" w14:textId="0209EB48"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Indekset tremujore të çmimeve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 Indekset mesatare vjetore të</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çmimeve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 Ndryshimet tremujore</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të</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indekseve të çmimeve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4. Ndryshimet vjetor të Indekseve të çmimeve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5. Ndryshimet mesatar vjetor të Indekseve</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të çmimeve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p>
        </w:tc>
        <w:tc>
          <w:tcPr>
            <w:tcW w:w="299" w:type="pct"/>
            <w:tcBorders>
              <w:top w:val="nil"/>
              <w:left w:val="nil"/>
              <w:bottom w:val="single" w:sz="4" w:space="0" w:color="auto"/>
              <w:right w:val="single" w:sz="4" w:space="0" w:color="auto"/>
            </w:tcBorders>
            <w:shd w:val="clear" w:color="000000" w:fill="FFFFFF"/>
            <w:vAlign w:val="center"/>
            <w:hideMark/>
          </w:tcPr>
          <w:p w14:paraId="686863D9" w14:textId="315E7AB3"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E1320B" w:rsidRPr="00B31292">
              <w:rPr>
                <w:rFonts w:ascii="Garamond" w:eastAsia="Times New Roman" w:hAnsi="Garamond" w:cs="Times New Roman"/>
                <w:color w:val="000000"/>
                <w:sz w:val="10"/>
                <w:szCs w:val="10"/>
              </w:rPr>
              <w:t>-i</w:t>
            </w:r>
          </w:p>
        </w:tc>
        <w:tc>
          <w:tcPr>
            <w:tcW w:w="224" w:type="pct"/>
            <w:tcBorders>
              <w:top w:val="nil"/>
              <w:left w:val="nil"/>
              <w:bottom w:val="single" w:sz="4" w:space="0" w:color="auto"/>
              <w:right w:val="single" w:sz="4" w:space="0" w:color="auto"/>
            </w:tcBorders>
            <w:shd w:val="clear" w:color="000000" w:fill="FFFFFF"/>
            <w:vAlign w:val="center"/>
            <w:hideMark/>
          </w:tcPr>
          <w:p w14:paraId="07CB58D2" w14:textId="620F6278"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E1320B" w:rsidRPr="00B31292">
              <w:rPr>
                <w:rFonts w:ascii="Garamond" w:eastAsia="Times New Roman" w:hAnsi="Garamond" w:cs="Times New Roman"/>
                <w:color w:val="000000"/>
                <w:sz w:val="10"/>
                <w:szCs w:val="10"/>
              </w:rPr>
              <w:t>-i</w:t>
            </w:r>
          </w:p>
        </w:tc>
        <w:tc>
          <w:tcPr>
            <w:tcW w:w="244" w:type="pct"/>
            <w:tcBorders>
              <w:top w:val="nil"/>
              <w:left w:val="nil"/>
              <w:bottom w:val="single" w:sz="4" w:space="0" w:color="auto"/>
              <w:right w:val="single" w:sz="4" w:space="0" w:color="auto"/>
            </w:tcBorders>
            <w:shd w:val="clear" w:color="000000" w:fill="FFFFFF"/>
            <w:vAlign w:val="center"/>
            <w:hideMark/>
          </w:tcPr>
          <w:p w14:paraId="1F1B33BA"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 T+ 15D</w:t>
            </w:r>
          </w:p>
        </w:tc>
        <w:tc>
          <w:tcPr>
            <w:tcW w:w="220" w:type="pct"/>
            <w:tcBorders>
              <w:top w:val="nil"/>
              <w:left w:val="nil"/>
              <w:bottom w:val="single" w:sz="4" w:space="0" w:color="auto"/>
              <w:right w:val="single" w:sz="4" w:space="0" w:color="auto"/>
            </w:tcBorders>
            <w:shd w:val="clear" w:color="000000" w:fill="FFFFFF"/>
            <w:vAlign w:val="center"/>
            <w:hideMark/>
          </w:tcPr>
          <w:p w14:paraId="719C2C53"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 T+ 64D</w:t>
            </w:r>
          </w:p>
        </w:tc>
        <w:tc>
          <w:tcPr>
            <w:tcW w:w="220" w:type="pct"/>
            <w:tcBorders>
              <w:top w:val="nil"/>
              <w:left w:val="nil"/>
              <w:bottom w:val="single" w:sz="4" w:space="0" w:color="auto"/>
              <w:right w:val="single" w:sz="4" w:space="0" w:color="auto"/>
            </w:tcBorders>
            <w:shd w:val="clear" w:color="000000" w:fill="FFFFFF"/>
            <w:vAlign w:val="center"/>
            <w:hideMark/>
          </w:tcPr>
          <w:p w14:paraId="0F5D707B"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 T+ 67D</w:t>
            </w:r>
          </w:p>
        </w:tc>
        <w:tc>
          <w:tcPr>
            <w:tcW w:w="346" w:type="pct"/>
            <w:tcBorders>
              <w:top w:val="nil"/>
              <w:left w:val="nil"/>
              <w:bottom w:val="single" w:sz="4" w:space="0" w:color="auto"/>
              <w:right w:val="single" w:sz="4" w:space="0" w:color="auto"/>
            </w:tcBorders>
            <w:shd w:val="clear" w:color="auto" w:fill="auto"/>
            <w:vAlign w:val="center"/>
            <w:hideMark/>
          </w:tcPr>
          <w:p w14:paraId="0EB0C9C5" w14:textId="30CF9DEF"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2. Mospërmbushja e</w:t>
            </w:r>
            <w:r w:rsidR="003E16E0" w:rsidRPr="00B31292">
              <w:rPr>
                <w:rFonts w:ascii="Garamond" w:eastAsia="Times New Roman" w:hAnsi="Garamond" w:cs="Times New Roman"/>
                <w:color w:val="000000"/>
                <w:sz w:val="10"/>
                <w:szCs w:val="10"/>
              </w:rPr>
              <w:t xml:space="preserve"> </w:t>
            </w:r>
            <w:r w:rsidR="00F667B8" w:rsidRPr="00B31292">
              <w:rPr>
                <w:rFonts w:ascii="Garamond" w:eastAsia="Times New Roman" w:hAnsi="Garamond" w:cs="Times New Roman"/>
                <w:color w:val="000000"/>
                <w:sz w:val="10"/>
                <w:szCs w:val="10"/>
              </w:rPr>
              <w:t>kritereve të cilësisë, si:</w:t>
            </w:r>
            <w:r w:rsidRPr="00B31292">
              <w:rPr>
                <w:rFonts w:ascii="Garamond" w:eastAsia="Times New Roman" w:hAnsi="Garamond" w:cs="Times New Roman"/>
                <w:color w:val="000000"/>
                <w:sz w:val="10"/>
                <w:szCs w:val="10"/>
              </w:rPr>
              <w:t xml:space="preserve"> saktësia, përpikmëria dhe krahasueshmëria, për vrojtimet statistikore -|- 1</w:t>
            </w:r>
            <w:r w:rsidRPr="00B31292">
              <w:rPr>
                <w:rFonts w:ascii="Garamond" w:eastAsia="Times New Roman" w:hAnsi="Garamond" w:cs="Times New Roman"/>
                <w:color w:val="000000"/>
                <w:sz w:val="10"/>
                <w:szCs w:val="10"/>
              </w:rPr>
              <w:br/>
              <w:t xml:space="preserve">3. Pezullimi/vonesa e mbledhjes, prodhimit </w:t>
            </w:r>
            <w:r w:rsidR="00F667B8" w:rsidRPr="00B31292">
              <w:rPr>
                <w:rFonts w:ascii="Garamond" w:eastAsia="Times New Roman" w:hAnsi="Garamond" w:cs="Times New Roman"/>
                <w:color w:val="000000"/>
                <w:sz w:val="10"/>
                <w:szCs w:val="10"/>
              </w:rPr>
              <w:t xml:space="preserve">dhe shpërndarjes së </w:t>
            </w:r>
            <w:r w:rsidR="00F667B8" w:rsidRPr="00B31292">
              <w:rPr>
                <w:rFonts w:ascii="Garamond" w:eastAsia="Times New Roman" w:hAnsi="Garamond" w:cs="Times New Roman"/>
                <w:color w:val="000000"/>
                <w:sz w:val="10"/>
                <w:szCs w:val="10"/>
              </w:rPr>
              <w:lastRenderedPageBreak/>
              <w:t>statistikave zyrtare si pasojë e fatkeqësive natyrore/ pandemive globale</w:t>
            </w:r>
            <w:r w:rsidRPr="00B31292">
              <w:rPr>
                <w:rFonts w:ascii="Garamond" w:eastAsia="Times New Roman" w:hAnsi="Garamond" w:cs="Times New Roman"/>
                <w:color w:val="000000"/>
                <w:sz w:val="10"/>
                <w:szCs w:val="10"/>
              </w:rPr>
              <w:t xml:space="preserve"> -|- 3</w:t>
            </w:r>
          </w:p>
        </w:tc>
        <w:tc>
          <w:tcPr>
            <w:tcW w:w="273" w:type="pct"/>
            <w:tcBorders>
              <w:top w:val="nil"/>
              <w:left w:val="nil"/>
              <w:bottom w:val="single" w:sz="4" w:space="0" w:color="auto"/>
              <w:right w:val="single" w:sz="4" w:space="0" w:color="auto"/>
            </w:tcBorders>
            <w:shd w:val="clear" w:color="auto" w:fill="auto"/>
            <w:vAlign w:val="center"/>
            <w:hideMark/>
          </w:tcPr>
          <w:p w14:paraId="2F394F0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lastRenderedPageBreak/>
              <w:t>Buxhet shteti</w:t>
            </w:r>
          </w:p>
        </w:tc>
      </w:tr>
      <w:tr w:rsidR="000A2254" w:rsidRPr="00B31292" w14:paraId="3AB78163" w14:textId="77777777" w:rsidTr="000A2254">
        <w:trPr>
          <w:trHeight w:val="20"/>
        </w:trPr>
        <w:tc>
          <w:tcPr>
            <w:tcW w:w="215" w:type="pct"/>
            <w:tcBorders>
              <w:top w:val="nil"/>
              <w:left w:val="nil"/>
              <w:bottom w:val="nil"/>
              <w:right w:val="nil"/>
            </w:tcBorders>
            <w:shd w:val="clear" w:color="000000" w:fill="FFFFFF"/>
            <w:vAlign w:val="bottom"/>
            <w:hideMark/>
          </w:tcPr>
          <w:p w14:paraId="763947B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0E8027D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65855B8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4814ACD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5C36D44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3E7A4F0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000000"/>
              <w:bottom w:val="nil"/>
              <w:right w:val="single" w:sz="4" w:space="0" w:color="000000"/>
            </w:tcBorders>
            <w:shd w:val="clear" w:color="auto" w:fill="auto"/>
            <w:vAlign w:val="center"/>
            <w:hideMark/>
          </w:tcPr>
          <w:p w14:paraId="7537ACD1"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2.3.3.3</w:t>
            </w:r>
          </w:p>
        </w:tc>
        <w:tc>
          <w:tcPr>
            <w:tcW w:w="281" w:type="pct"/>
            <w:tcBorders>
              <w:top w:val="nil"/>
              <w:left w:val="nil"/>
              <w:bottom w:val="nil"/>
              <w:right w:val="single" w:sz="4" w:space="0" w:color="000000"/>
            </w:tcBorders>
            <w:shd w:val="clear" w:color="auto" w:fill="auto"/>
            <w:vAlign w:val="center"/>
            <w:hideMark/>
          </w:tcPr>
          <w:p w14:paraId="73EDBADE"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Statistika mbi lejet e ndërtimit të miratuara në territorin e Republikës së Shqipërisë</w:t>
            </w:r>
          </w:p>
        </w:tc>
        <w:tc>
          <w:tcPr>
            <w:tcW w:w="236" w:type="pct"/>
            <w:tcBorders>
              <w:top w:val="nil"/>
              <w:left w:val="nil"/>
              <w:bottom w:val="nil"/>
              <w:right w:val="single" w:sz="4" w:space="0" w:color="000000"/>
            </w:tcBorders>
            <w:shd w:val="clear" w:color="auto" w:fill="auto"/>
            <w:vAlign w:val="center"/>
            <w:hideMark/>
          </w:tcPr>
          <w:p w14:paraId="0226DB0D"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Burim administrativ</w:t>
            </w:r>
          </w:p>
        </w:tc>
        <w:tc>
          <w:tcPr>
            <w:tcW w:w="238" w:type="pct"/>
            <w:tcBorders>
              <w:top w:val="nil"/>
              <w:left w:val="nil"/>
              <w:bottom w:val="single" w:sz="4" w:space="0" w:color="auto"/>
              <w:right w:val="single" w:sz="4" w:space="0" w:color="auto"/>
            </w:tcBorders>
            <w:shd w:val="clear" w:color="auto" w:fill="auto"/>
            <w:noWrap/>
            <w:vAlign w:val="center"/>
            <w:hideMark/>
          </w:tcPr>
          <w:p w14:paraId="27AE33B4"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180" w:type="pct"/>
            <w:tcBorders>
              <w:top w:val="nil"/>
              <w:left w:val="nil"/>
              <w:bottom w:val="single" w:sz="4" w:space="0" w:color="auto"/>
              <w:right w:val="single" w:sz="4" w:space="0" w:color="auto"/>
            </w:tcBorders>
            <w:shd w:val="clear" w:color="auto" w:fill="auto"/>
            <w:noWrap/>
            <w:vAlign w:val="center"/>
            <w:hideMark/>
          </w:tcPr>
          <w:p w14:paraId="610239C9"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28" w:type="pct"/>
            <w:tcBorders>
              <w:top w:val="nil"/>
              <w:left w:val="nil"/>
              <w:bottom w:val="single" w:sz="4" w:space="0" w:color="auto"/>
              <w:right w:val="single" w:sz="4" w:space="0" w:color="auto"/>
            </w:tcBorders>
            <w:shd w:val="clear" w:color="auto" w:fill="auto"/>
            <w:vAlign w:val="center"/>
            <w:hideMark/>
          </w:tcPr>
          <w:p w14:paraId="2D6FCA1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tcBorders>
              <w:top w:val="nil"/>
              <w:left w:val="nil"/>
              <w:bottom w:val="nil"/>
              <w:right w:val="single" w:sz="4" w:space="0" w:color="000000"/>
            </w:tcBorders>
            <w:shd w:val="clear" w:color="auto" w:fill="auto"/>
            <w:vAlign w:val="center"/>
            <w:hideMark/>
          </w:tcPr>
          <w:p w14:paraId="34A951D7"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Tremujor</w:t>
            </w:r>
          </w:p>
        </w:tc>
        <w:tc>
          <w:tcPr>
            <w:tcW w:w="486" w:type="pct"/>
            <w:tcBorders>
              <w:top w:val="nil"/>
              <w:left w:val="nil"/>
              <w:bottom w:val="nil"/>
              <w:right w:val="single" w:sz="4" w:space="0" w:color="auto"/>
            </w:tcBorders>
            <w:shd w:val="clear" w:color="auto" w:fill="auto"/>
            <w:vAlign w:val="center"/>
            <w:hideMark/>
          </w:tcPr>
          <w:p w14:paraId="5EB56B63" w14:textId="0DA60F21"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Numri i lejeve të ndërtimit të miratuara për ndërtesa të reja</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 Sipërfaqja gjithsej e lejeve të ndërtimit të miratuara për ndërtesa të reja</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 Vlera e përafërt e lejeve të ndërtimit të miratuara</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4. Treguesit e lejeve të ndërtimit të miratuara sipas tipit të klientëve</w:t>
            </w:r>
            <w:r w:rsidR="00E1320B" w:rsidRPr="00B31292">
              <w:rPr>
                <w:rFonts w:ascii="Garamond" w:eastAsia="Times New Roman" w:hAnsi="Garamond" w:cs="Times New Roman"/>
                <w:color w:val="000000"/>
                <w:sz w:val="10"/>
                <w:szCs w:val="10"/>
              </w:rPr>
              <w:t>.</w:t>
            </w:r>
          </w:p>
        </w:tc>
        <w:tc>
          <w:tcPr>
            <w:tcW w:w="299" w:type="pct"/>
            <w:tcBorders>
              <w:top w:val="nil"/>
              <w:left w:val="nil"/>
              <w:bottom w:val="nil"/>
              <w:right w:val="single" w:sz="4" w:space="0" w:color="auto"/>
            </w:tcBorders>
            <w:shd w:val="clear" w:color="auto" w:fill="auto"/>
            <w:vAlign w:val="center"/>
            <w:hideMark/>
          </w:tcPr>
          <w:p w14:paraId="70E59D5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Bashkitë</w:t>
            </w:r>
          </w:p>
        </w:tc>
        <w:tc>
          <w:tcPr>
            <w:tcW w:w="224" w:type="pct"/>
            <w:tcBorders>
              <w:top w:val="nil"/>
              <w:left w:val="nil"/>
              <w:bottom w:val="nil"/>
              <w:right w:val="single" w:sz="4" w:space="0" w:color="auto"/>
            </w:tcBorders>
            <w:shd w:val="clear" w:color="auto" w:fill="auto"/>
            <w:vAlign w:val="center"/>
            <w:hideMark/>
          </w:tcPr>
          <w:p w14:paraId="33D1ED6B" w14:textId="12D04401"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E1320B" w:rsidRPr="00B31292">
              <w:rPr>
                <w:rFonts w:ascii="Garamond" w:eastAsia="Times New Roman" w:hAnsi="Garamond" w:cs="Times New Roman"/>
                <w:color w:val="000000"/>
                <w:sz w:val="10"/>
                <w:szCs w:val="10"/>
              </w:rPr>
              <w:t>-i</w:t>
            </w:r>
          </w:p>
        </w:tc>
        <w:tc>
          <w:tcPr>
            <w:tcW w:w="244" w:type="pct"/>
            <w:tcBorders>
              <w:top w:val="nil"/>
              <w:left w:val="nil"/>
              <w:bottom w:val="single" w:sz="4" w:space="0" w:color="auto"/>
              <w:right w:val="single" w:sz="4" w:space="0" w:color="auto"/>
            </w:tcBorders>
            <w:shd w:val="clear" w:color="000000" w:fill="FFFFFF"/>
            <w:vAlign w:val="center"/>
            <w:hideMark/>
          </w:tcPr>
          <w:p w14:paraId="178E0168"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T + 18D</w:t>
            </w:r>
          </w:p>
        </w:tc>
        <w:tc>
          <w:tcPr>
            <w:tcW w:w="220" w:type="pct"/>
            <w:tcBorders>
              <w:top w:val="nil"/>
              <w:left w:val="nil"/>
              <w:bottom w:val="single" w:sz="4" w:space="0" w:color="auto"/>
              <w:right w:val="single" w:sz="4" w:space="0" w:color="auto"/>
            </w:tcBorders>
            <w:shd w:val="clear" w:color="000000" w:fill="FFFFFF"/>
            <w:vAlign w:val="center"/>
            <w:hideMark/>
          </w:tcPr>
          <w:p w14:paraId="3DD8BCF6"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T + 55D</w:t>
            </w:r>
          </w:p>
        </w:tc>
        <w:tc>
          <w:tcPr>
            <w:tcW w:w="220" w:type="pct"/>
            <w:tcBorders>
              <w:top w:val="nil"/>
              <w:left w:val="nil"/>
              <w:bottom w:val="single" w:sz="4" w:space="0" w:color="auto"/>
              <w:right w:val="single" w:sz="4" w:space="0" w:color="auto"/>
            </w:tcBorders>
            <w:shd w:val="clear" w:color="000000" w:fill="FFFFFF"/>
            <w:vAlign w:val="center"/>
            <w:hideMark/>
          </w:tcPr>
          <w:p w14:paraId="3ED5FC77"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T + 59D</w:t>
            </w:r>
          </w:p>
        </w:tc>
        <w:tc>
          <w:tcPr>
            <w:tcW w:w="346" w:type="pct"/>
            <w:tcBorders>
              <w:top w:val="nil"/>
              <w:left w:val="nil"/>
              <w:bottom w:val="single" w:sz="4" w:space="0" w:color="auto"/>
              <w:right w:val="single" w:sz="4" w:space="0" w:color="auto"/>
            </w:tcBorders>
            <w:shd w:val="clear" w:color="auto" w:fill="auto"/>
            <w:vAlign w:val="center"/>
            <w:hideMark/>
          </w:tcPr>
          <w:p w14:paraId="3243259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Moszbatimi në kohë i hapave dhe detyrave për kryerjen e procesit statistikor në vrojtimet tremujore, e cila sjell si pasojë mos publikimin në kohë të rezultateve të vrojtimit. -|- 3</w:t>
            </w:r>
            <w:r w:rsidRPr="00B31292">
              <w:rPr>
                <w:rFonts w:ascii="Garamond" w:eastAsia="Times New Roman" w:hAnsi="Garamond" w:cs="Times New Roman"/>
                <w:color w:val="000000"/>
                <w:sz w:val="10"/>
                <w:szCs w:val="10"/>
              </w:rPr>
              <w:br/>
              <w:t>2. Mosevidentimi dhe realizimi i detyrave të përditshme të sektorit, e cila sjell si pasojë ngadalësim të proceseve të punës. -|- 4</w:t>
            </w:r>
            <w:r w:rsidRPr="00B31292">
              <w:rPr>
                <w:rFonts w:ascii="Garamond" w:eastAsia="Times New Roman" w:hAnsi="Garamond" w:cs="Times New Roman"/>
                <w:color w:val="000000"/>
                <w:sz w:val="10"/>
                <w:szCs w:val="10"/>
              </w:rPr>
              <w:br/>
              <w:t>3. Lëvizja e stafit me eksperiencë nga sektori, e cila sjell si pasojë ndërprerje/ngadalësim të proceseve të punës. -|- 4</w:t>
            </w:r>
            <w:r w:rsidRPr="00B31292">
              <w:rPr>
                <w:rFonts w:ascii="Garamond" w:eastAsia="Times New Roman" w:hAnsi="Garamond" w:cs="Times New Roman"/>
                <w:color w:val="000000"/>
                <w:sz w:val="10"/>
                <w:szCs w:val="10"/>
              </w:rPr>
              <w:br/>
              <w:t>4. Pezullimi/vonesa e mbledhjes, prodhimit dhe shpërndarjes të statistikave zyrtare nga fatkeqësitë natyrore / pandemi globale, e cila sjell si pasojë mos publikimin në kohë të rezultateve të vrojtimit. -|- 4</w:t>
            </w:r>
            <w:r w:rsidRPr="00B31292">
              <w:rPr>
                <w:rFonts w:ascii="Garamond" w:eastAsia="Times New Roman" w:hAnsi="Garamond" w:cs="Times New Roman"/>
                <w:color w:val="000000"/>
                <w:sz w:val="10"/>
                <w:szCs w:val="10"/>
              </w:rPr>
              <w:br/>
              <w:t>5. Mosmarrja në kohë dhe ndryshimi i bazës ligjore të burimit administrativ, sjell si pasojë mos publikimin në kohë të rezultateve të treguesve statistikorë. -|- 7</w:t>
            </w:r>
          </w:p>
        </w:tc>
        <w:tc>
          <w:tcPr>
            <w:tcW w:w="273" w:type="pct"/>
            <w:tcBorders>
              <w:top w:val="nil"/>
              <w:left w:val="nil"/>
              <w:bottom w:val="single" w:sz="4" w:space="0" w:color="auto"/>
              <w:right w:val="single" w:sz="4" w:space="0" w:color="auto"/>
            </w:tcBorders>
            <w:shd w:val="clear" w:color="auto" w:fill="auto"/>
            <w:vAlign w:val="center"/>
            <w:hideMark/>
          </w:tcPr>
          <w:p w14:paraId="5504F85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Buxhet shteti</w:t>
            </w:r>
          </w:p>
        </w:tc>
      </w:tr>
      <w:tr w:rsidR="000A2254" w:rsidRPr="00B31292" w14:paraId="49E0A006" w14:textId="77777777" w:rsidTr="000A2254">
        <w:trPr>
          <w:trHeight w:val="20"/>
        </w:trPr>
        <w:tc>
          <w:tcPr>
            <w:tcW w:w="215" w:type="pct"/>
            <w:tcBorders>
              <w:top w:val="nil"/>
              <w:left w:val="nil"/>
              <w:bottom w:val="nil"/>
              <w:right w:val="nil"/>
            </w:tcBorders>
            <w:shd w:val="clear" w:color="000000" w:fill="FFFFFF"/>
            <w:vAlign w:val="bottom"/>
            <w:hideMark/>
          </w:tcPr>
          <w:p w14:paraId="2CEB88C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62EA537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5291DA8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407900A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single" w:sz="4" w:space="0" w:color="000000"/>
              <w:left w:val="single" w:sz="4" w:space="0" w:color="000000"/>
              <w:bottom w:val="single" w:sz="4" w:space="0" w:color="000000"/>
              <w:right w:val="nil"/>
            </w:tcBorders>
            <w:shd w:val="clear" w:color="000000" w:fill="F0F0F0"/>
            <w:vAlign w:val="center"/>
            <w:hideMark/>
          </w:tcPr>
          <w:p w14:paraId="7D1BB6F3"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2.3.4</w:t>
            </w:r>
          </w:p>
        </w:tc>
        <w:tc>
          <w:tcPr>
            <w:tcW w:w="4082" w:type="pct"/>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2B467AC5" w14:textId="0A165DB0"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Regjistrat e </w:t>
            </w:r>
            <w:r w:rsidR="00E1320B" w:rsidRPr="00B31292">
              <w:rPr>
                <w:rFonts w:ascii="Garamond" w:eastAsia="Times New Roman" w:hAnsi="Garamond" w:cs="Times New Roman"/>
                <w:color w:val="000000"/>
                <w:sz w:val="10"/>
                <w:szCs w:val="10"/>
              </w:rPr>
              <w:t>bizne</w:t>
            </w:r>
            <w:r w:rsidRPr="00B31292">
              <w:rPr>
                <w:rFonts w:ascii="Garamond" w:eastAsia="Times New Roman" w:hAnsi="Garamond" w:cs="Times New Roman"/>
                <w:color w:val="000000"/>
                <w:sz w:val="10"/>
                <w:szCs w:val="10"/>
              </w:rPr>
              <w:t>seve</w:t>
            </w:r>
          </w:p>
        </w:tc>
      </w:tr>
      <w:tr w:rsidR="000A2254" w:rsidRPr="00B31292" w14:paraId="4969D34B" w14:textId="77777777" w:rsidTr="000A2254">
        <w:trPr>
          <w:trHeight w:val="20"/>
        </w:trPr>
        <w:tc>
          <w:tcPr>
            <w:tcW w:w="215" w:type="pct"/>
            <w:tcBorders>
              <w:top w:val="nil"/>
              <w:left w:val="nil"/>
              <w:bottom w:val="nil"/>
              <w:right w:val="nil"/>
            </w:tcBorders>
            <w:shd w:val="clear" w:color="000000" w:fill="FFFFFF"/>
            <w:vAlign w:val="bottom"/>
            <w:hideMark/>
          </w:tcPr>
          <w:p w14:paraId="4967D27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2F01A8E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6DB9439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7762CEF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24ABF01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7325978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0432668B"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2.3.4.1</w:t>
            </w:r>
          </w:p>
        </w:tc>
        <w:tc>
          <w:tcPr>
            <w:tcW w:w="281"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1C948FFB" w14:textId="0C2CC598"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xml:space="preserve">Regjistri </w:t>
            </w:r>
            <w:r w:rsidR="00E1320B" w:rsidRPr="00B31292">
              <w:rPr>
                <w:rFonts w:ascii="Garamond" w:eastAsia="Times New Roman" w:hAnsi="Garamond" w:cs="Times New Roman"/>
                <w:sz w:val="10"/>
                <w:szCs w:val="10"/>
              </w:rPr>
              <w:t>statistikor i ndër</w:t>
            </w:r>
            <w:r w:rsidRPr="00B31292">
              <w:rPr>
                <w:rFonts w:ascii="Garamond" w:eastAsia="Times New Roman" w:hAnsi="Garamond" w:cs="Times New Roman"/>
                <w:sz w:val="10"/>
                <w:szCs w:val="10"/>
              </w:rPr>
              <w:t>marrjeve</w:t>
            </w:r>
          </w:p>
        </w:tc>
        <w:tc>
          <w:tcPr>
            <w:tcW w:w="236" w:type="pct"/>
            <w:vMerge w:val="restart"/>
            <w:tcBorders>
              <w:top w:val="nil"/>
              <w:left w:val="single" w:sz="4" w:space="0" w:color="000000"/>
              <w:bottom w:val="single" w:sz="4" w:space="0" w:color="000000"/>
              <w:right w:val="single" w:sz="4" w:space="0" w:color="auto"/>
            </w:tcBorders>
            <w:shd w:val="clear" w:color="auto" w:fill="auto"/>
            <w:vAlign w:val="center"/>
            <w:hideMark/>
          </w:tcPr>
          <w:p w14:paraId="0A644D7B" w14:textId="1A10F291"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xml:space="preserve">Kombinim i burimeve administrative dhe vrojtimeve të </w:t>
            </w:r>
            <w:r w:rsidR="0012403A" w:rsidRPr="00B31292">
              <w:rPr>
                <w:rFonts w:ascii="Garamond" w:eastAsia="Times New Roman" w:hAnsi="Garamond" w:cs="Times New Roman"/>
                <w:sz w:val="10"/>
                <w:szCs w:val="10"/>
              </w:rPr>
              <w:t>anketave të INSTAT-it</w:t>
            </w:r>
          </w:p>
        </w:tc>
        <w:tc>
          <w:tcPr>
            <w:tcW w:w="23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4FD0B20"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80%</w:t>
            </w:r>
          </w:p>
        </w:tc>
        <w:tc>
          <w:tcPr>
            <w:tcW w:w="18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AA0A13E"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20%</w:t>
            </w:r>
          </w:p>
        </w:tc>
        <w:tc>
          <w:tcPr>
            <w:tcW w:w="228" w:type="pct"/>
            <w:vMerge w:val="restart"/>
            <w:tcBorders>
              <w:top w:val="nil"/>
              <w:left w:val="single" w:sz="4" w:space="0" w:color="auto"/>
              <w:bottom w:val="single" w:sz="4" w:space="0" w:color="000000"/>
              <w:right w:val="single" w:sz="4" w:space="0" w:color="auto"/>
            </w:tcBorders>
            <w:shd w:val="clear" w:color="auto" w:fill="auto"/>
            <w:vAlign w:val="center"/>
            <w:hideMark/>
          </w:tcPr>
          <w:p w14:paraId="3F56A077"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vMerge w:val="restart"/>
            <w:tcBorders>
              <w:top w:val="nil"/>
              <w:left w:val="single" w:sz="4" w:space="0" w:color="auto"/>
              <w:bottom w:val="single" w:sz="4" w:space="0" w:color="000000"/>
              <w:right w:val="single" w:sz="4" w:space="0" w:color="auto"/>
            </w:tcBorders>
            <w:shd w:val="clear" w:color="auto" w:fill="auto"/>
            <w:vAlign w:val="center"/>
            <w:hideMark/>
          </w:tcPr>
          <w:p w14:paraId="7956C001"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Vjetor</w:t>
            </w:r>
          </w:p>
        </w:tc>
        <w:tc>
          <w:tcPr>
            <w:tcW w:w="486" w:type="pct"/>
            <w:tcBorders>
              <w:top w:val="nil"/>
              <w:left w:val="nil"/>
              <w:bottom w:val="nil"/>
              <w:right w:val="nil"/>
            </w:tcBorders>
            <w:shd w:val="clear" w:color="000000" w:fill="FFFFFF"/>
            <w:hideMark/>
          </w:tcPr>
          <w:p w14:paraId="1010F135" w14:textId="1CE7557D"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Ndërmarrjet aktive sipas formës ligjore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 Ndërmarrjet aktive të regjistruara të reja(viti referencë) sipas formës ligjore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 Ndërmarrjet aktive sipas vitit të regjistrimit dhe formës ligjore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4. Ndërmarrjet aktive sipas vitit të regjistrimit dhe aktivitetit ekonomik</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5. Ndërmarrjet aktive sipas vitit të regjistrimit dhe madhësisë</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6. Ndërmarrjet aktive sipas aktivitetit ekonomik dhe formës ligjore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7. Ndërmarrjet aktive regjistruar të reja sipas aktivitetit ekonomik dhe formës ligjore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r>
            <w:r w:rsidRPr="00B31292">
              <w:rPr>
                <w:rFonts w:ascii="Garamond" w:eastAsia="Times New Roman" w:hAnsi="Garamond" w:cs="Times New Roman"/>
                <w:color w:val="000000"/>
                <w:sz w:val="10"/>
                <w:szCs w:val="10"/>
              </w:rPr>
              <w:lastRenderedPageBreak/>
              <w:t>8. Ndërmarrjet aktive sipas aktivitetit ekonomik dhe pronësisë</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9. Ndërmarrjet aktive regjistruar të reja sipas aktivitetit ekonomik dhe pronësisë</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10. Ndërmarrjet aktive sipas aktivitetit ekonomik dhe madhësisë</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11. Ndërmarrjet aktive regjistruar të reja sipas aktivitetit ekonomik dhe madhësisë</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12. Ndërmarrjet aktive sipas seksionit të aktivitetit ekonomik dhe formës ligjore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13. Ndërmarrjet aktive sipas seksionit të aktivitetit ekonomik dhe madhësisë</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14. Ndërmarrjet aktive sipas ndarjeve 2</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shifror të aktivitetit ekonomik</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15. Ndërmarrjet aktive sipas qarqeve</w:t>
            </w:r>
            <w:r w:rsidR="00E1320B" w:rsidRPr="00B31292">
              <w:rPr>
                <w:rFonts w:ascii="Garamond" w:eastAsia="Times New Roman" w:hAnsi="Garamond" w:cs="Times New Roman"/>
                <w:color w:val="000000"/>
                <w:sz w:val="10"/>
                <w:szCs w:val="10"/>
              </w:rPr>
              <w:t>.</w:t>
            </w:r>
          </w:p>
        </w:tc>
        <w:tc>
          <w:tcPr>
            <w:tcW w:w="299" w:type="pct"/>
            <w:vMerge w:val="restart"/>
            <w:tcBorders>
              <w:top w:val="nil"/>
              <w:left w:val="single" w:sz="4" w:space="0" w:color="auto"/>
              <w:bottom w:val="single" w:sz="4" w:space="0" w:color="000000"/>
              <w:right w:val="single" w:sz="4" w:space="0" w:color="auto"/>
            </w:tcBorders>
            <w:shd w:val="clear" w:color="auto" w:fill="auto"/>
            <w:vAlign w:val="center"/>
            <w:hideMark/>
          </w:tcPr>
          <w:p w14:paraId="7502480E" w14:textId="271C472A"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lastRenderedPageBreak/>
              <w:t>Instituti i Statistikave</w:t>
            </w:r>
            <w:r w:rsidRPr="00B31292">
              <w:rPr>
                <w:rFonts w:ascii="Garamond" w:eastAsia="Times New Roman" w:hAnsi="Garamond" w:cs="Times New Roman"/>
                <w:color w:val="000000"/>
                <w:sz w:val="10"/>
                <w:szCs w:val="10"/>
              </w:rPr>
              <w:br/>
              <w:t xml:space="preserve">Drejtoria e Përgjithshme e Tatimeve </w:t>
            </w:r>
            <w:r w:rsidRPr="00B31292">
              <w:rPr>
                <w:rFonts w:ascii="Garamond" w:eastAsia="Times New Roman" w:hAnsi="Garamond" w:cs="Times New Roman"/>
                <w:color w:val="000000"/>
                <w:sz w:val="10"/>
                <w:szCs w:val="10"/>
              </w:rPr>
              <w:br/>
              <w:t>Qendra Kombëtare e</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Biznesit (QKB)</w:t>
            </w:r>
          </w:p>
        </w:tc>
        <w:tc>
          <w:tcPr>
            <w:tcW w:w="224" w:type="pct"/>
            <w:vMerge w:val="restart"/>
            <w:tcBorders>
              <w:top w:val="nil"/>
              <w:left w:val="single" w:sz="4" w:space="0" w:color="auto"/>
              <w:bottom w:val="single" w:sz="4" w:space="0" w:color="000000"/>
              <w:right w:val="single" w:sz="4" w:space="0" w:color="auto"/>
            </w:tcBorders>
            <w:shd w:val="clear" w:color="auto" w:fill="auto"/>
            <w:vAlign w:val="center"/>
            <w:hideMark/>
          </w:tcPr>
          <w:p w14:paraId="73933E10" w14:textId="13704171"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E1320B" w:rsidRPr="00B31292">
              <w:rPr>
                <w:rFonts w:ascii="Garamond" w:eastAsia="Times New Roman" w:hAnsi="Garamond" w:cs="Times New Roman"/>
                <w:color w:val="000000"/>
                <w:sz w:val="10"/>
                <w:szCs w:val="10"/>
              </w:rPr>
              <w:t>-i</w:t>
            </w:r>
          </w:p>
        </w:tc>
        <w:tc>
          <w:tcPr>
            <w:tcW w:w="24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2C0EB1D"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+ 122D</w:t>
            </w:r>
          </w:p>
        </w:tc>
        <w:tc>
          <w:tcPr>
            <w:tcW w:w="220"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E08A8C0"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V+128</w:t>
            </w:r>
          </w:p>
        </w:tc>
        <w:tc>
          <w:tcPr>
            <w:tcW w:w="220"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D3EB945"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+ 157D</w:t>
            </w:r>
          </w:p>
        </w:tc>
        <w:tc>
          <w:tcPr>
            <w:tcW w:w="346" w:type="pct"/>
            <w:vMerge w:val="restart"/>
            <w:tcBorders>
              <w:top w:val="nil"/>
              <w:left w:val="single" w:sz="4" w:space="0" w:color="auto"/>
              <w:bottom w:val="single" w:sz="4" w:space="0" w:color="000000"/>
              <w:right w:val="single" w:sz="4" w:space="0" w:color="auto"/>
            </w:tcBorders>
            <w:shd w:val="clear" w:color="auto" w:fill="auto"/>
            <w:vAlign w:val="center"/>
            <w:hideMark/>
          </w:tcPr>
          <w:p w14:paraId="4A567F15" w14:textId="1A6F9774"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Vonesa e marrjes së të dhënave nga burimet administrative -|- 1</w:t>
            </w:r>
            <w:r w:rsidRPr="00B31292">
              <w:rPr>
                <w:rFonts w:ascii="Garamond" w:eastAsia="Times New Roman" w:hAnsi="Garamond" w:cs="Times New Roman"/>
                <w:color w:val="000000"/>
                <w:sz w:val="10"/>
                <w:szCs w:val="10"/>
              </w:rPr>
              <w:br/>
              <w:t>2. Informacion jo i plotë, i pastandardizuar -|- 3</w:t>
            </w:r>
            <w:r w:rsidRPr="00B31292">
              <w:rPr>
                <w:rFonts w:ascii="Garamond" w:eastAsia="Times New Roman" w:hAnsi="Garamond" w:cs="Times New Roman"/>
                <w:color w:val="000000"/>
                <w:sz w:val="10"/>
                <w:szCs w:val="10"/>
              </w:rPr>
              <w:br/>
              <w:t>3. Gabime të bëra nga stafi ekspert gjatë përpunimit dhe nxjerrjes së rezultateve -|- 1</w:t>
            </w:r>
            <w:r w:rsidRPr="00B31292">
              <w:rPr>
                <w:rFonts w:ascii="Garamond" w:eastAsia="Times New Roman" w:hAnsi="Garamond" w:cs="Times New Roman"/>
                <w:color w:val="000000"/>
                <w:sz w:val="10"/>
                <w:szCs w:val="10"/>
              </w:rPr>
              <w:br/>
              <w:t>4. Vonesat nga burimet statistikore (vrojtimet) -|- 2</w:t>
            </w:r>
            <w:r w:rsidRPr="00B31292">
              <w:rPr>
                <w:rFonts w:ascii="Garamond" w:eastAsia="Times New Roman" w:hAnsi="Garamond" w:cs="Times New Roman"/>
                <w:color w:val="000000"/>
                <w:sz w:val="10"/>
                <w:szCs w:val="10"/>
              </w:rPr>
              <w:br/>
              <w:t>5. Vonesat për shkak të fatkeqësive natyrore -|- 3</w:t>
            </w:r>
          </w:p>
        </w:tc>
        <w:tc>
          <w:tcPr>
            <w:tcW w:w="273" w:type="pct"/>
            <w:vMerge w:val="restart"/>
            <w:tcBorders>
              <w:top w:val="nil"/>
              <w:left w:val="single" w:sz="4" w:space="0" w:color="auto"/>
              <w:bottom w:val="single" w:sz="4" w:space="0" w:color="000000"/>
              <w:right w:val="single" w:sz="4" w:space="0" w:color="auto"/>
            </w:tcBorders>
            <w:shd w:val="clear" w:color="auto" w:fill="auto"/>
            <w:vAlign w:val="center"/>
            <w:hideMark/>
          </w:tcPr>
          <w:p w14:paraId="73561B7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Buxhet shteti</w:t>
            </w:r>
          </w:p>
        </w:tc>
      </w:tr>
      <w:tr w:rsidR="000A2254" w:rsidRPr="00B31292" w14:paraId="75950E0B" w14:textId="77777777" w:rsidTr="000A2254">
        <w:trPr>
          <w:trHeight w:val="20"/>
        </w:trPr>
        <w:tc>
          <w:tcPr>
            <w:tcW w:w="215" w:type="pct"/>
            <w:tcBorders>
              <w:top w:val="nil"/>
              <w:left w:val="nil"/>
              <w:bottom w:val="nil"/>
              <w:right w:val="nil"/>
            </w:tcBorders>
            <w:shd w:val="clear" w:color="000000" w:fill="FFFFFF"/>
            <w:vAlign w:val="bottom"/>
            <w:hideMark/>
          </w:tcPr>
          <w:p w14:paraId="7BDBBD5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37FB64F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425CE73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0120000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43ACEEF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5C587A4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vMerge/>
            <w:tcBorders>
              <w:top w:val="nil"/>
              <w:left w:val="single" w:sz="4" w:space="0" w:color="000000"/>
              <w:bottom w:val="single" w:sz="4" w:space="0" w:color="000000"/>
              <w:right w:val="single" w:sz="4" w:space="0" w:color="000000"/>
            </w:tcBorders>
            <w:vAlign w:val="center"/>
            <w:hideMark/>
          </w:tcPr>
          <w:p w14:paraId="49590250"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81" w:type="pct"/>
            <w:vMerge/>
            <w:tcBorders>
              <w:top w:val="nil"/>
              <w:left w:val="single" w:sz="4" w:space="0" w:color="000000"/>
              <w:bottom w:val="single" w:sz="4" w:space="0" w:color="000000"/>
              <w:right w:val="single" w:sz="4" w:space="0" w:color="000000"/>
            </w:tcBorders>
            <w:vAlign w:val="center"/>
            <w:hideMark/>
          </w:tcPr>
          <w:p w14:paraId="76BA9A31" w14:textId="77777777" w:rsidR="000A2254" w:rsidRPr="00B31292" w:rsidRDefault="000A2254" w:rsidP="000A2254">
            <w:pPr>
              <w:spacing w:after="0" w:line="240" w:lineRule="auto"/>
              <w:rPr>
                <w:rFonts w:ascii="Garamond" w:eastAsia="Times New Roman" w:hAnsi="Garamond" w:cs="Times New Roman"/>
                <w:sz w:val="10"/>
                <w:szCs w:val="10"/>
              </w:rPr>
            </w:pPr>
          </w:p>
        </w:tc>
        <w:tc>
          <w:tcPr>
            <w:tcW w:w="236" w:type="pct"/>
            <w:vMerge/>
            <w:tcBorders>
              <w:top w:val="nil"/>
              <w:left w:val="single" w:sz="4" w:space="0" w:color="000000"/>
              <w:bottom w:val="single" w:sz="4" w:space="0" w:color="000000"/>
              <w:right w:val="single" w:sz="4" w:space="0" w:color="auto"/>
            </w:tcBorders>
            <w:vAlign w:val="center"/>
            <w:hideMark/>
          </w:tcPr>
          <w:p w14:paraId="6FBA2F8D" w14:textId="77777777" w:rsidR="000A2254" w:rsidRPr="00B31292" w:rsidRDefault="000A2254" w:rsidP="000A2254">
            <w:pPr>
              <w:spacing w:after="0" w:line="240" w:lineRule="auto"/>
              <w:rPr>
                <w:rFonts w:ascii="Garamond" w:eastAsia="Times New Roman" w:hAnsi="Garamond" w:cs="Times New Roman"/>
                <w:sz w:val="10"/>
                <w:szCs w:val="10"/>
              </w:rPr>
            </w:pPr>
          </w:p>
        </w:tc>
        <w:tc>
          <w:tcPr>
            <w:tcW w:w="238" w:type="pct"/>
            <w:vMerge/>
            <w:tcBorders>
              <w:top w:val="nil"/>
              <w:left w:val="single" w:sz="4" w:space="0" w:color="auto"/>
              <w:bottom w:val="single" w:sz="4" w:space="0" w:color="000000"/>
              <w:right w:val="single" w:sz="4" w:space="0" w:color="auto"/>
            </w:tcBorders>
            <w:vAlign w:val="center"/>
            <w:hideMark/>
          </w:tcPr>
          <w:p w14:paraId="54BF27D6" w14:textId="77777777" w:rsidR="000A2254" w:rsidRPr="00B31292" w:rsidRDefault="000A2254" w:rsidP="000A2254">
            <w:pPr>
              <w:spacing w:after="0" w:line="240" w:lineRule="auto"/>
              <w:rPr>
                <w:rFonts w:ascii="Garamond" w:eastAsia="Times New Roman" w:hAnsi="Garamond" w:cs="Times New Roman"/>
                <w:sz w:val="10"/>
                <w:szCs w:val="10"/>
              </w:rPr>
            </w:pPr>
          </w:p>
        </w:tc>
        <w:tc>
          <w:tcPr>
            <w:tcW w:w="180" w:type="pct"/>
            <w:vMerge/>
            <w:tcBorders>
              <w:top w:val="nil"/>
              <w:left w:val="single" w:sz="4" w:space="0" w:color="auto"/>
              <w:bottom w:val="single" w:sz="4" w:space="0" w:color="000000"/>
              <w:right w:val="single" w:sz="4" w:space="0" w:color="auto"/>
            </w:tcBorders>
            <w:vAlign w:val="center"/>
            <w:hideMark/>
          </w:tcPr>
          <w:p w14:paraId="44682112" w14:textId="77777777" w:rsidR="000A2254" w:rsidRPr="00B31292" w:rsidRDefault="000A2254" w:rsidP="000A2254">
            <w:pPr>
              <w:spacing w:after="0" w:line="240" w:lineRule="auto"/>
              <w:rPr>
                <w:rFonts w:ascii="Garamond" w:eastAsia="Times New Roman" w:hAnsi="Garamond" w:cs="Times New Roman"/>
                <w:sz w:val="10"/>
                <w:szCs w:val="10"/>
              </w:rPr>
            </w:pPr>
          </w:p>
        </w:tc>
        <w:tc>
          <w:tcPr>
            <w:tcW w:w="228" w:type="pct"/>
            <w:vMerge/>
            <w:tcBorders>
              <w:top w:val="nil"/>
              <w:left w:val="single" w:sz="4" w:space="0" w:color="auto"/>
              <w:bottom w:val="single" w:sz="4" w:space="0" w:color="000000"/>
              <w:right w:val="single" w:sz="4" w:space="0" w:color="auto"/>
            </w:tcBorders>
            <w:vAlign w:val="center"/>
            <w:hideMark/>
          </w:tcPr>
          <w:p w14:paraId="69C991B1"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22" w:type="pct"/>
            <w:vMerge/>
            <w:tcBorders>
              <w:top w:val="nil"/>
              <w:left w:val="single" w:sz="4" w:space="0" w:color="auto"/>
              <w:bottom w:val="single" w:sz="4" w:space="0" w:color="000000"/>
              <w:right w:val="single" w:sz="4" w:space="0" w:color="auto"/>
            </w:tcBorders>
            <w:vAlign w:val="center"/>
            <w:hideMark/>
          </w:tcPr>
          <w:p w14:paraId="74E7318D"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486" w:type="pct"/>
            <w:tcBorders>
              <w:top w:val="nil"/>
              <w:left w:val="nil"/>
              <w:bottom w:val="nil"/>
              <w:right w:val="nil"/>
            </w:tcBorders>
            <w:shd w:val="clear" w:color="000000" w:fill="FFFFFF"/>
            <w:hideMark/>
          </w:tcPr>
          <w:p w14:paraId="6464F0E5" w14:textId="4C189EAF"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16. Ndërmarrjet aktive regjistruar të reja sipas qarqeve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17. Ndërmarrjet aktive sipas qarqeve dhe vitit të regjistrimit</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18. Ndërmarrjet aktive sipas qarqeve dhe formës ligjore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19. Ndërmarrjet aktive sipas qarqeve dhe pronësisë</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20. Ndërmarrjet aktive sipas qarqeve dhe madhësisë</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21. Ndërmarrjet aktive sipas qarqeve dhe aktivitetit ekonomik</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22. Ndërmarrjet aktive të huaja e të përbashkëta (</w:t>
            </w:r>
            <w:r w:rsidR="00E1320B" w:rsidRPr="00B31292">
              <w:rPr>
                <w:rFonts w:ascii="Garamond" w:eastAsia="Times New Roman" w:hAnsi="Garamond" w:cs="Times New Roman"/>
                <w:color w:val="000000"/>
                <w:sz w:val="10"/>
                <w:szCs w:val="10"/>
              </w:rPr>
              <w:t>s</w:t>
            </w:r>
            <w:r w:rsidRPr="00B31292">
              <w:rPr>
                <w:rFonts w:ascii="Garamond" w:eastAsia="Times New Roman" w:hAnsi="Garamond" w:cs="Times New Roman"/>
                <w:color w:val="000000"/>
                <w:sz w:val="10"/>
                <w:szCs w:val="10"/>
              </w:rPr>
              <w:t xml:space="preserve">hqiptarë + </w:t>
            </w:r>
            <w:r w:rsidR="0012403A" w:rsidRPr="00B31292">
              <w:rPr>
                <w:rFonts w:ascii="Garamond" w:eastAsia="Times New Roman" w:hAnsi="Garamond" w:cs="Times New Roman"/>
                <w:color w:val="000000"/>
                <w:sz w:val="10"/>
                <w:szCs w:val="10"/>
              </w:rPr>
              <w:t xml:space="preserve">të </w:t>
            </w:r>
            <w:r w:rsidRPr="00B31292">
              <w:rPr>
                <w:rFonts w:ascii="Garamond" w:eastAsia="Times New Roman" w:hAnsi="Garamond" w:cs="Times New Roman"/>
                <w:color w:val="000000"/>
                <w:sz w:val="10"/>
                <w:szCs w:val="10"/>
              </w:rPr>
              <w:t>huaj) sipas aktivitetit ekonomik dhe madhësisë</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23. Ndërmarrjet aktive të huaja e të përbashkëta (</w:t>
            </w:r>
            <w:r w:rsidR="00E1320B" w:rsidRPr="00B31292">
              <w:rPr>
                <w:rFonts w:ascii="Garamond" w:eastAsia="Times New Roman" w:hAnsi="Garamond" w:cs="Times New Roman"/>
                <w:color w:val="000000"/>
                <w:sz w:val="10"/>
                <w:szCs w:val="10"/>
              </w:rPr>
              <w:t>s</w:t>
            </w:r>
            <w:r w:rsidRPr="00B31292">
              <w:rPr>
                <w:rFonts w:ascii="Garamond" w:eastAsia="Times New Roman" w:hAnsi="Garamond" w:cs="Times New Roman"/>
                <w:color w:val="000000"/>
                <w:sz w:val="10"/>
                <w:szCs w:val="10"/>
              </w:rPr>
              <w:t xml:space="preserve">hqiptarë + </w:t>
            </w:r>
            <w:r w:rsidR="0012403A" w:rsidRPr="00B31292">
              <w:rPr>
                <w:rFonts w:ascii="Garamond" w:eastAsia="Times New Roman" w:hAnsi="Garamond" w:cs="Times New Roman"/>
                <w:color w:val="000000"/>
                <w:sz w:val="10"/>
                <w:szCs w:val="10"/>
              </w:rPr>
              <w:t xml:space="preserve">të </w:t>
            </w:r>
            <w:r w:rsidRPr="00B31292">
              <w:rPr>
                <w:rFonts w:ascii="Garamond" w:eastAsia="Times New Roman" w:hAnsi="Garamond" w:cs="Times New Roman"/>
                <w:color w:val="000000"/>
                <w:sz w:val="10"/>
                <w:szCs w:val="10"/>
              </w:rPr>
              <w:t>huaj) sipas shtetit dhe madhësisë</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24. Ndërmarrjet aktive të huaja e të përbashkëta (</w:t>
            </w:r>
            <w:r w:rsidR="00E1320B" w:rsidRPr="00B31292">
              <w:rPr>
                <w:rFonts w:ascii="Garamond" w:eastAsia="Times New Roman" w:hAnsi="Garamond" w:cs="Times New Roman"/>
                <w:color w:val="000000"/>
                <w:sz w:val="10"/>
                <w:szCs w:val="10"/>
              </w:rPr>
              <w:t>s</w:t>
            </w:r>
            <w:r w:rsidRPr="00B31292">
              <w:rPr>
                <w:rFonts w:ascii="Garamond" w:eastAsia="Times New Roman" w:hAnsi="Garamond" w:cs="Times New Roman"/>
                <w:color w:val="000000"/>
                <w:sz w:val="10"/>
                <w:szCs w:val="10"/>
              </w:rPr>
              <w:t xml:space="preserve">hqiptarë + </w:t>
            </w:r>
            <w:r w:rsidR="0012403A" w:rsidRPr="00B31292">
              <w:rPr>
                <w:rFonts w:ascii="Garamond" w:eastAsia="Times New Roman" w:hAnsi="Garamond" w:cs="Times New Roman"/>
                <w:color w:val="000000"/>
                <w:sz w:val="10"/>
                <w:szCs w:val="10"/>
              </w:rPr>
              <w:t xml:space="preserve">të </w:t>
            </w:r>
            <w:r w:rsidRPr="00B31292">
              <w:rPr>
                <w:rFonts w:ascii="Garamond" w:eastAsia="Times New Roman" w:hAnsi="Garamond" w:cs="Times New Roman"/>
                <w:color w:val="000000"/>
                <w:sz w:val="10"/>
                <w:szCs w:val="10"/>
              </w:rPr>
              <w:t>huaj) sipas shtetit dhe aktivitetit ekonomik</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25. Ndërmarrjet aktive të huaja e të përbashkëta (shqiptarë + të huaj) sipas shtetit dhe qarqeve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26. Ndërmarrjet aktive me pronare/administratore femër sipas madhësisë dhe aktivitetit ekonomik</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27. Ndërmarrjet aktive me pronare/administratore femër sipas qarqeve dhe madhësisë</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28. Ndërmarrjet aktive me pronare/administratore femër sipas qarqeve dhe aktivitetit ekonomik</w:t>
            </w:r>
            <w:r w:rsidR="00E1320B" w:rsidRPr="00B31292">
              <w:rPr>
                <w:rFonts w:ascii="Garamond" w:eastAsia="Times New Roman" w:hAnsi="Garamond" w:cs="Times New Roman"/>
                <w:color w:val="000000"/>
                <w:sz w:val="10"/>
                <w:szCs w:val="10"/>
              </w:rPr>
              <w:t>.</w:t>
            </w:r>
          </w:p>
        </w:tc>
        <w:tc>
          <w:tcPr>
            <w:tcW w:w="299" w:type="pct"/>
            <w:vMerge/>
            <w:tcBorders>
              <w:top w:val="nil"/>
              <w:left w:val="single" w:sz="4" w:space="0" w:color="auto"/>
              <w:bottom w:val="single" w:sz="4" w:space="0" w:color="000000"/>
              <w:right w:val="single" w:sz="4" w:space="0" w:color="auto"/>
            </w:tcBorders>
            <w:vAlign w:val="center"/>
            <w:hideMark/>
          </w:tcPr>
          <w:p w14:paraId="0F7A7901"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24" w:type="pct"/>
            <w:vMerge/>
            <w:tcBorders>
              <w:top w:val="nil"/>
              <w:left w:val="single" w:sz="4" w:space="0" w:color="auto"/>
              <w:bottom w:val="single" w:sz="4" w:space="0" w:color="000000"/>
              <w:right w:val="single" w:sz="4" w:space="0" w:color="auto"/>
            </w:tcBorders>
            <w:vAlign w:val="center"/>
            <w:hideMark/>
          </w:tcPr>
          <w:p w14:paraId="6880DFD8"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44" w:type="pct"/>
            <w:vMerge/>
            <w:tcBorders>
              <w:top w:val="nil"/>
              <w:left w:val="single" w:sz="4" w:space="0" w:color="auto"/>
              <w:bottom w:val="single" w:sz="4" w:space="0" w:color="000000"/>
              <w:right w:val="single" w:sz="4" w:space="0" w:color="auto"/>
            </w:tcBorders>
            <w:vAlign w:val="center"/>
            <w:hideMark/>
          </w:tcPr>
          <w:p w14:paraId="3318626C"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20" w:type="pct"/>
            <w:vMerge/>
            <w:tcBorders>
              <w:top w:val="nil"/>
              <w:left w:val="single" w:sz="4" w:space="0" w:color="auto"/>
              <w:bottom w:val="single" w:sz="4" w:space="0" w:color="000000"/>
              <w:right w:val="single" w:sz="4" w:space="0" w:color="auto"/>
            </w:tcBorders>
            <w:vAlign w:val="center"/>
            <w:hideMark/>
          </w:tcPr>
          <w:p w14:paraId="498493DD"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20" w:type="pct"/>
            <w:vMerge/>
            <w:tcBorders>
              <w:top w:val="nil"/>
              <w:left w:val="single" w:sz="4" w:space="0" w:color="auto"/>
              <w:bottom w:val="single" w:sz="4" w:space="0" w:color="000000"/>
              <w:right w:val="single" w:sz="4" w:space="0" w:color="auto"/>
            </w:tcBorders>
            <w:vAlign w:val="center"/>
            <w:hideMark/>
          </w:tcPr>
          <w:p w14:paraId="7E295BD3"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346" w:type="pct"/>
            <w:vMerge/>
            <w:tcBorders>
              <w:top w:val="nil"/>
              <w:left w:val="single" w:sz="4" w:space="0" w:color="auto"/>
              <w:bottom w:val="single" w:sz="4" w:space="0" w:color="000000"/>
              <w:right w:val="single" w:sz="4" w:space="0" w:color="auto"/>
            </w:tcBorders>
            <w:vAlign w:val="center"/>
            <w:hideMark/>
          </w:tcPr>
          <w:p w14:paraId="13B4A5FD"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73" w:type="pct"/>
            <w:vMerge/>
            <w:tcBorders>
              <w:top w:val="nil"/>
              <w:left w:val="single" w:sz="4" w:space="0" w:color="auto"/>
              <w:bottom w:val="single" w:sz="4" w:space="0" w:color="000000"/>
              <w:right w:val="single" w:sz="4" w:space="0" w:color="auto"/>
            </w:tcBorders>
            <w:vAlign w:val="center"/>
            <w:hideMark/>
          </w:tcPr>
          <w:p w14:paraId="1450A9F6"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r>
      <w:tr w:rsidR="000A2254" w:rsidRPr="00B31292" w14:paraId="042BE8B4" w14:textId="77777777" w:rsidTr="000A2254">
        <w:trPr>
          <w:trHeight w:val="20"/>
        </w:trPr>
        <w:tc>
          <w:tcPr>
            <w:tcW w:w="215" w:type="pct"/>
            <w:tcBorders>
              <w:top w:val="nil"/>
              <w:left w:val="nil"/>
              <w:bottom w:val="nil"/>
              <w:right w:val="nil"/>
            </w:tcBorders>
            <w:shd w:val="clear" w:color="000000" w:fill="FFFFFF"/>
            <w:vAlign w:val="bottom"/>
            <w:hideMark/>
          </w:tcPr>
          <w:p w14:paraId="7248A75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6849A63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6C7ADA4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4013F1F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583752D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5D7223C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000000"/>
              <w:bottom w:val="single" w:sz="4" w:space="0" w:color="000000"/>
              <w:right w:val="single" w:sz="4" w:space="0" w:color="000000"/>
            </w:tcBorders>
            <w:shd w:val="clear" w:color="auto" w:fill="auto"/>
            <w:vAlign w:val="center"/>
            <w:hideMark/>
          </w:tcPr>
          <w:p w14:paraId="7ED4488F"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2.3.4.2</w:t>
            </w:r>
          </w:p>
        </w:tc>
        <w:tc>
          <w:tcPr>
            <w:tcW w:w="281" w:type="pct"/>
            <w:tcBorders>
              <w:top w:val="nil"/>
              <w:left w:val="nil"/>
              <w:bottom w:val="single" w:sz="4" w:space="0" w:color="000000"/>
              <w:right w:val="single" w:sz="4" w:space="0" w:color="000000"/>
            </w:tcBorders>
            <w:shd w:val="clear" w:color="auto" w:fill="auto"/>
            <w:vAlign w:val="center"/>
            <w:hideMark/>
          </w:tcPr>
          <w:p w14:paraId="30F09507" w14:textId="6A922A52"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xml:space="preserve">Regjistri i </w:t>
            </w:r>
            <w:r w:rsidR="00E1320B" w:rsidRPr="00B31292">
              <w:rPr>
                <w:rFonts w:ascii="Garamond" w:eastAsia="Times New Roman" w:hAnsi="Garamond" w:cs="Times New Roman"/>
                <w:sz w:val="10"/>
                <w:szCs w:val="10"/>
              </w:rPr>
              <w:t>njësive l</w:t>
            </w:r>
            <w:r w:rsidRPr="00B31292">
              <w:rPr>
                <w:rFonts w:ascii="Garamond" w:eastAsia="Times New Roman" w:hAnsi="Garamond" w:cs="Times New Roman"/>
                <w:sz w:val="10"/>
                <w:szCs w:val="10"/>
              </w:rPr>
              <w:t>okale</w:t>
            </w:r>
          </w:p>
        </w:tc>
        <w:tc>
          <w:tcPr>
            <w:tcW w:w="236" w:type="pct"/>
            <w:tcBorders>
              <w:top w:val="nil"/>
              <w:left w:val="nil"/>
              <w:bottom w:val="single" w:sz="4" w:space="0" w:color="000000"/>
              <w:right w:val="single" w:sz="4" w:space="0" w:color="000000"/>
            </w:tcBorders>
            <w:shd w:val="clear" w:color="auto" w:fill="auto"/>
            <w:vAlign w:val="center"/>
            <w:hideMark/>
          </w:tcPr>
          <w:p w14:paraId="189209C8" w14:textId="74D335D1"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xml:space="preserve">Kombinim i burimeve administrative dhe vrojtimeve të </w:t>
            </w:r>
            <w:r w:rsidR="0012403A" w:rsidRPr="00B31292">
              <w:rPr>
                <w:rFonts w:ascii="Garamond" w:eastAsia="Times New Roman" w:hAnsi="Garamond" w:cs="Times New Roman"/>
                <w:sz w:val="10"/>
                <w:szCs w:val="10"/>
              </w:rPr>
              <w:t>anketave të INSTAT-it</w:t>
            </w:r>
          </w:p>
        </w:tc>
        <w:tc>
          <w:tcPr>
            <w:tcW w:w="238" w:type="pct"/>
            <w:tcBorders>
              <w:top w:val="nil"/>
              <w:left w:val="nil"/>
              <w:bottom w:val="single" w:sz="4" w:space="0" w:color="auto"/>
              <w:right w:val="single" w:sz="4" w:space="0" w:color="auto"/>
            </w:tcBorders>
            <w:shd w:val="clear" w:color="auto" w:fill="auto"/>
            <w:noWrap/>
            <w:vAlign w:val="center"/>
            <w:hideMark/>
          </w:tcPr>
          <w:p w14:paraId="358E0823"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80%</w:t>
            </w:r>
          </w:p>
        </w:tc>
        <w:tc>
          <w:tcPr>
            <w:tcW w:w="180" w:type="pct"/>
            <w:tcBorders>
              <w:top w:val="nil"/>
              <w:left w:val="nil"/>
              <w:bottom w:val="single" w:sz="4" w:space="0" w:color="auto"/>
              <w:right w:val="single" w:sz="4" w:space="0" w:color="auto"/>
            </w:tcBorders>
            <w:shd w:val="clear" w:color="auto" w:fill="auto"/>
            <w:noWrap/>
            <w:vAlign w:val="center"/>
            <w:hideMark/>
          </w:tcPr>
          <w:p w14:paraId="24DAEF53"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20%</w:t>
            </w:r>
          </w:p>
        </w:tc>
        <w:tc>
          <w:tcPr>
            <w:tcW w:w="228" w:type="pct"/>
            <w:tcBorders>
              <w:top w:val="nil"/>
              <w:left w:val="nil"/>
              <w:bottom w:val="single" w:sz="4" w:space="0" w:color="auto"/>
              <w:right w:val="single" w:sz="4" w:space="0" w:color="auto"/>
            </w:tcBorders>
            <w:shd w:val="clear" w:color="auto" w:fill="auto"/>
            <w:vAlign w:val="center"/>
            <w:hideMark/>
          </w:tcPr>
          <w:p w14:paraId="7E1BF70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tcBorders>
              <w:top w:val="nil"/>
              <w:left w:val="nil"/>
              <w:bottom w:val="single" w:sz="4" w:space="0" w:color="000000"/>
              <w:right w:val="nil"/>
            </w:tcBorders>
            <w:shd w:val="clear" w:color="auto" w:fill="auto"/>
            <w:vAlign w:val="center"/>
            <w:hideMark/>
          </w:tcPr>
          <w:p w14:paraId="11DFAF8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Vjetor</w:t>
            </w:r>
          </w:p>
        </w:tc>
        <w:tc>
          <w:tcPr>
            <w:tcW w:w="48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D5D1FD0" w14:textId="31DD9BAA"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Njësitë lokale sipas qarqeve dhe madhësisë</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 Njësitë lokale sipas qarqeve dhe aktivitetit ekonomik</w:t>
            </w:r>
            <w:r w:rsidR="00E1320B" w:rsidRPr="00B31292">
              <w:rPr>
                <w:rFonts w:ascii="Garamond" w:eastAsia="Times New Roman" w:hAnsi="Garamond" w:cs="Times New Roman"/>
                <w:color w:val="000000"/>
                <w:sz w:val="10"/>
                <w:szCs w:val="10"/>
              </w:rPr>
              <w:t>.</w:t>
            </w:r>
          </w:p>
        </w:tc>
        <w:tc>
          <w:tcPr>
            <w:tcW w:w="299" w:type="pct"/>
            <w:tcBorders>
              <w:top w:val="nil"/>
              <w:left w:val="nil"/>
              <w:bottom w:val="single" w:sz="4" w:space="0" w:color="auto"/>
              <w:right w:val="single" w:sz="4" w:space="0" w:color="auto"/>
            </w:tcBorders>
            <w:shd w:val="clear" w:color="auto" w:fill="auto"/>
            <w:vAlign w:val="center"/>
            <w:hideMark/>
          </w:tcPr>
          <w:p w14:paraId="089A45A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Instituti i Statistikave </w:t>
            </w:r>
            <w:r w:rsidRPr="00B31292">
              <w:rPr>
                <w:rFonts w:ascii="Garamond" w:eastAsia="Times New Roman" w:hAnsi="Garamond" w:cs="Times New Roman"/>
                <w:color w:val="000000"/>
                <w:sz w:val="10"/>
                <w:szCs w:val="10"/>
              </w:rPr>
              <w:br/>
              <w:t>Drejtoria e Përgjithshme e Tatimeve</w:t>
            </w:r>
          </w:p>
        </w:tc>
        <w:tc>
          <w:tcPr>
            <w:tcW w:w="224" w:type="pct"/>
            <w:tcBorders>
              <w:top w:val="nil"/>
              <w:left w:val="nil"/>
              <w:bottom w:val="single" w:sz="4" w:space="0" w:color="auto"/>
              <w:right w:val="single" w:sz="4" w:space="0" w:color="auto"/>
            </w:tcBorders>
            <w:shd w:val="clear" w:color="auto" w:fill="auto"/>
            <w:vAlign w:val="center"/>
            <w:hideMark/>
          </w:tcPr>
          <w:p w14:paraId="216E0DE1" w14:textId="2F3B9D3A"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E1320B" w:rsidRPr="00B31292">
              <w:rPr>
                <w:rFonts w:ascii="Garamond" w:eastAsia="Times New Roman" w:hAnsi="Garamond" w:cs="Times New Roman"/>
                <w:color w:val="000000"/>
                <w:sz w:val="10"/>
                <w:szCs w:val="10"/>
              </w:rPr>
              <w:t>-i</w:t>
            </w:r>
          </w:p>
        </w:tc>
        <w:tc>
          <w:tcPr>
            <w:tcW w:w="244" w:type="pct"/>
            <w:tcBorders>
              <w:top w:val="nil"/>
              <w:left w:val="nil"/>
              <w:bottom w:val="single" w:sz="4" w:space="0" w:color="auto"/>
              <w:right w:val="single" w:sz="4" w:space="0" w:color="auto"/>
            </w:tcBorders>
            <w:shd w:val="clear" w:color="000000" w:fill="FFFFFF"/>
            <w:vAlign w:val="center"/>
            <w:hideMark/>
          </w:tcPr>
          <w:p w14:paraId="161722CB"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+ 91D</w:t>
            </w:r>
          </w:p>
        </w:tc>
        <w:tc>
          <w:tcPr>
            <w:tcW w:w="220" w:type="pct"/>
            <w:tcBorders>
              <w:top w:val="nil"/>
              <w:left w:val="nil"/>
              <w:bottom w:val="single" w:sz="4" w:space="0" w:color="auto"/>
              <w:right w:val="single" w:sz="4" w:space="0" w:color="auto"/>
            </w:tcBorders>
            <w:shd w:val="clear" w:color="000000" w:fill="FFFFFF"/>
            <w:vAlign w:val="center"/>
            <w:hideMark/>
          </w:tcPr>
          <w:p w14:paraId="109E861D"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+ 128D</w:t>
            </w:r>
          </w:p>
        </w:tc>
        <w:tc>
          <w:tcPr>
            <w:tcW w:w="220" w:type="pct"/>
            <w:tcBorders>
              <w:top w:val="nil"/>
              <w:left w:val="nil"/>
              <w:bottom w:val="single" w:sz="4" w:space="0" w:color="auto"/>
              <w:right w:val="single" w:sz="4" w:space="0" w:color="auto"/>
            </w:tcBorders>
            <w:shd w:val="clear" w:color="000000" w:fill="FFFFFF"/>
            <w:vAlign w:val="center"/>
            <w:hideMark/>
          </w:tcPr>
          <w:p w14:paraId="2C8BBB23"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+ 157D</w:t>
            </w:r>
          </w:p>
        </w:tc>
        <w:tc>
          <w:tcPr>
            <w:tcW w:w="346" w:type="pct"/>
            <w:tcBorders>
              <w:top w:val="nil"/>
              <w:left w:val="nil"/>
              <w:bottom w:val="single" w:sz="4" w:space="0" w:color="auto"/>
              <w:right w:val="single" w:sz="4" w:space="0" w:color="auto"/>
            </w:tcBorders>
            <w:shd w:val="clear" w:color="auto" w:fill="auto"/>
            <w:vAlign w:val="center"/>
            <w:hideMark/>
          </w:tcPr>
          <w:p w14:paraId="0796F4D3" w14:textId="2AF92081"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Mungesa / Vonesat e të dhënave nga burimet administrative -|- 9</w:t>
            </w:r>
            <w:r w:rsidRPr="00B31292">
              <w:rPr>
                <w:rFonts w:ascii="Garamond" w:eastAsia="Times New Roman" w:hAnsi="Garamond" w:cs="Times New Roman"/>
                <w:color w:val="000000"/>
                <w:sz w:val="10"/>
                <w:szCs w:val="10"/>
              </w:rPr>
              <w:br/>
              <w:t>2. Informacion jo i plotë, i pastandardizuar -|- 9</w:t>
            </w:r>
            <w:r w:rsidRPr="00B31292">
              <w:rPr>
                <w:rFonts w:ascii="Garamond" w:eastAsia="Times New Roman" w:hAnsi="Garamond" w:cs="Times New Roman"/>
                <w:color w:val="000000"/>
                <w:sz w:val="10"/>
                <w:szCs w:val="10"/>
              </w:rPr>
              <w:br/>
            </w:r>
            <w:r w:rsidRPr="00B31292">
              <w:rPr>
                <w:rFonts w:ascii="Garamond" w:eastAsia="Times New Roman" w:hAnsi="Garamond" w:cs="Times New Roman"/>
                <w:color w:val="000000"/>
                <w:sz w:val="10"/>
                <w:szCs w:val="10"/>
              </w:rPr>
              <w:lastRenderedPageBreak/>
              <w:t>3. Gabime të bëra nga stafi ekspert gjatë përpunimit dhe nxjerrjes së rezultateve -|- 3</w:t>
            </w:r>
            <w:r w:rsidRPr="00B31292">
              <w:rPr>
                <w:rFonts w:ascii="Garamond" w:eastAsia="Times New Roman" w:hAnsi="Garamond" w:cs="Times New Roman"/>
                <w:color w:val="000000"/>
                <w:sz w:val="10"/>
                <w:szCs w:val="10"/>
              </w:rPr>
              <w:br/>
              <w:t>4. Vonesa për shkak të fatkeqësive natyrore -|- 3</w:t>
            </w:r>
          </w:p>
        </w:tc>
        <w:tc>
          <w:tcPr>
            <w:tcW w:w="273" w:type="pct"/>
            <w:tcBorders>
              <w:top w:val="nil"/>
              <w:left w:val="nil"/>
              <w:bottom w:val="single" w:sz="4" w:space="0" w:color="auto"/>
              <w:right w:val="single" w:sz="4" w:space="0" w:color="auto"/>
            </w:tcBorders>
            <w:shd w:val="clear" w:color="auto" w:fill="auto"/>
            <w:vAlign w:val="center"/>
            <w:hideMark/>
          </w:tcPr>
          <w:p w14:paraId="453B0497"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lastRenderedPageBreak/>
              <w:t>Buxhet shteti</w:t>
            </w:r>
          </w:p>
        </w:tc>
      </w:tr>
      <w:tr w:rsidR="000A2254" w:rsidRPr="00B31292" w14:paraId="0C768579" w14:textId="77777777" w:rsidTr="000A2254">
        <w:trPr>
          <w:trHeight w:val="20"/>
        </w:trPr>
        <w:tc>
          <w:tcPr>
            <w:tcW w:w="215" w:type="pct"/>
            <w:tcBorders>
              <w:top w:val="nil"/>
              <w:left w:val="nil"/>
              <w:bottom w:val="nil"/>
              <w:right w:val="nil"/>
            </w:tcBorders>
            <w:shd w:val="clear" w:color="000000" w:fill="FFFFFF"/>
            <w:vAlign w:val="bottom"/>
            <w:hideMark/>
          </w:tcPr>
          <w:p w14:paraId="238AFEA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2659496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4A60E4D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02387E8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4C59BF47"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2A0BEB47"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000000"/>
              <w:bottom w:val="nil"/>
              <w:right w:val="single" w:sz="4" w:space="0" w:color="000000"/>
            </w:tcBorders>
            <w:shd w:val="clear" w:color="000000" w:fill="FFFFFF"/>
            <w:vAlign w:val="center"/>
            <w:hideMark/>
          </w:tcPr>
          <w:p w14:paraId="264DBD2A"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2.3.4.3</w:t>
            </w:r>
          </w:p>
        </w:tc>
        <w:tc>
          <w:tcPr>
            <w:tcW w:w="281" w:type="pct"/>
            <w:tcBorders>
              <w:top w:val="nil"/>
              <w:left w:val="nil"/>
              <w:bottom w:val="nil"/>
              <w:right w:val="single" w:sz="4" w:space="0" w:color="000000"/>
            </w:tcBorders>
            <w:shd w:val="clear" w:color="000000" w:fill="FFFFFF"/>
            <w:vAlign w:val="center"/>
            <w:hideMark/>
          </w:tcPr>
          <w:p w14:paraId="0F5EBAD8" w14:textId="5CD7CA1D"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xml:space="preserve">Regjistri i </w:t>
            </w:r>
            <w:r w:rsidR="00E1320B" w:rsidRPr="00B31292">
              <w:rPr>
                <w:rFonts w:ascii="Garamond" w:eastAsia="Times New Roman" w:hAnsi="Garamond" w:cs="Times New Roman"/>
                <w:sz w:val="10"/>
                <w:szCs w:val="10"/>
              </w:rPr>
              <w:t>grupeve të ndërmarrjeve</w:t>
            </w:r>
          </w:p>
        </w:tc>
        <w:tc>
          <w:tcPr>
            <w:tcW w:w="236" w:type="pct"/>
            <w:tcBorders>
              <w:top w:val="nil"/>
              <w:left w:val="nil"/>
              <w:bottom w:val="single" w:sz="4" w:space="0" w:color="000000"/>
              <w:right w:val="single" w:sz="4" w:space="0" w:color="000000"/>
            </w:tcBorders>
            <w:shd w:val="clear" w:color="000000" w:fill="FFFFFF"/>
            <w:vAlign w:val="center"/>
            <w:hideMark/>
          </w:tcPr>
          <w:p w14:paraId="4032A7FE" w14:textId="3DB833EA"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xml:space="preserve">Kombinim i burimeve administrative dhe vrojtimeve të </w:t>
            </w:r>
            <w:r w:rsidR="0012403A" w:rsidRPr="00B31292">
              <w:rPr>
                <w:rFonts w:ascii="Garamond" w:eastAsia="Times New Roman" w:hAnsi="Garamond" w:cs="Times New Roman"/>
                <w:sz w:val="10"/>
                <w:szCs w:val="10"/>
              </w:rPr>
              <w:t>anketave të INSTAT-it</w:t>
            </w:r>
          </w:p>
        </w:tc>
        <w:tc>
          <w:tcPr>
            <w:tcW w:w="238" w:type="pct"/>
            <w:tcBorders>
              <w:top w:val="nil"/>
              <w:left w:val="nil"/>
              <w:bottom w:val="single" w:sz="4" w:space="0" w:color="auto"/>
              <w:right w:val="single" w:sz="4" w:space="0" w:color="auto"/>
            </w:tcBorders>
            <w:shd w:val="clear" w:color="000000" w:fill="FFFFFF"/>
            <w:noWrap/>
            <w:vAlign w:val="center"/>
            <w:hideMark/>
          </w:tcPr>
          <w:p w14:paraId="72638599"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80%</w:t>
            </w:r>
          </w:p>
        </w:tc>
        <w:tc>
          <w:tcPr>
            <w:tcW w:w="180" w:type="pct"/>
            <w:tcBorders>
              <w:top w:val="nil"/>
              <w:left w:val="nil"/>
              <w:bottom w:val="single" w:sz="4" w:space="0" w:color="auto"/>
              <w:right w:val="single" w:sz="4" w:space="0" w:color="auto"/>
            </w:tcBorders>
            <w:shd w:val="clear" w:color="000000" w:fill="FFFFFF"/>
            <w:noWrap/>
            <w:vAlign w:val="center"/>
            <w:hideMark/>
          </w:tcPr>
          <w:p w14:paraId="6F0945FA"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20%</w:t>
            </w:r>
          </w:p>
        </w:tc>
        <w:tc>
          <w:tcPr>
            <w:tcW w:w="228" w:type="pct"/>
            <w:tcBorders>
              <w:top w:val="nil"/>
              <w:left w:val="nil"/>
              <w:bottom w:val="single" w:sz="4" w:space="0" w:color="auto"/>
              <w:right w:val="single" w:sz="4" w:space="0" w:color="auto"/>
            </w:tcBorders>
            <w:shd w:val="clear" w:color="000000" w:fill="FFFFFF"/>
            <w:vAlign w:val="center"/>
            <w:hideMark/>
          </w:tcPr>
          <w:p w14:paraId="51CE6A5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tcBorders>
              <w:top w:val="nil"/>
              <w:left w:val="nil"/>
              <w:bottom w:val="nil"/>
              <w:right w:val="single" w:sz="4" w:space="0" w:color="000000"/>
            </w:tcBorders>
            <w:shd w:val="clear" w:color="000000" w:fill="FFFFFF"/>
            <w:vAlign w:val="center"/>
            <w:hideMark/>
          </w:tcPr>
          <w:p w14:paraId="76D2D32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 Në mënyrë rastësore</w:t>
            </w:r>
          </w:p>
        </w:tc>
        <w:tc>
          <w:tcPr>
            <w:tcW w:w="486" w:type="pct"/>
            <w:tcBorders>
              <w:top w:val="nil"/>
              <w:left w:val="nil"/>
              <w:bottom w:val="nil"/>
              <w:right w:val="nil"/>
            </w:tcBorders>
            <w:shd w:val="clear" w:color="000000" w:fill="FFFFFF"/>
            <w:vAlign w:val="center"/>
            <w:hideMark/>
          </w:tcPr>
          <w:p w14:paraId="10FADAC2" w14:textId="046E6C3A"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Ndërmarrjet shumëkombëshe</w:t>
            </w:r>
            <w:r w:rsidR="00E1320B" w:rsidRPr="00B31292">
              <w:rPr>
                <w:rFonts w:ascii="Garamond" w:eastAsia="Times New Roman" w:hAnsi="Garamond" w:cs="Times New Roman"/>
                <w:color w:val="000000"/>
                <w:sz w:val="10"/>
                <w:szCs w:val="10"/>
              </w:rPr>
              <w:t>.</w:t>
            </w:r>
          </w:p>
        </w:tc>
        <w:tc>
          <w:tcPr>
            <w:tcW w:w="299" w:type="pct"/>
            <w:tcBorders>
              <w:top w:val="nil"/>
              <w:left w:val="single" w:sz="4" w:space="0" w:color="auto"/>
              <w:bottom w:val="nil"/>
              <w:right w:val="single" w:sz="4" w:space="0" w:color="auto"/>
            </w:tcBorders>
            <w:shd w:val="clear" w:color="000000" w:fill="FFFFFF"/>
            <w:vAlign w:val="center"/>
            <w:hideMark/>
          </w:tcPr>
          <w:p w14:paraId="02A6ED77" w14:textId="51D4FDCB"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Qendra Kombëtare e</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Biznesit (QKB)</w:t>
            </w:r>
          </w:p>
        </w:tc>
        <w:tc>
          <w:tcPr>
            <w:tcW w:w="224" w:type="pct"/>
            <w:tcBorders>
              <w:top w:val="nil"/>
              <w:left w:val="nil"/>
              <w:bottom w:val="nil"/>
              <w:right w:val="single" w:sz="4" w:space="0" w:color="auto"/>
            </w:tcBorders>
            <w:shd w:val="clear" w:color="000000" w:fill="FFFFFF"/>
            <w:vAlign w:val="center"/>
            <w:hideMark/>
          </w:tcPr>
          <w:p w14:paraId="58F0AF6B" w14:textId="138A9292"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E1320B" w:rsidRPr="00B31292">
              <w:rPr>
                <w:rFonts w:ascii="Garamond" w:eastAsia="Times New Roman" w:hAnsi="Garamond" w:cs="Times New Roman"/>
                <w:color w:val="000000"/>
                <w:sz w:val="10"/>
                <w:szCs w:val="10"/>
              </w:rPr>
              <w:t>-i</w:t>
            </w:r>
          </w:p>
        </w:tc>
        <w:tc>
          <w:tcPr>
            <w:tcW w:w="244" w:type="pct"/>
            <w:tcBorders>
              <w:top w:val="nil"/>
              <w:left w:val="nil"/>
              <w:bottom w:val="single" w:sz="4" w:space="0" w:color="auto"/>
              <w:right w:val="single" w:sz="4" w:space="0" w:color="auto"/>
            </w:tcBorders>
            <w:shd w:val="clear" w:color="000000" w:fill="FFFFFF"/>
            <w:vAlign w:val="center"/>
            <w:hideMark/>
          </w:tcPr>
          <w:p w14:paraId="248676C3"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+ 91D</w:t>
            </w:r>
          </w:p>
        </w:tc>
        <w:tc>
          <w:tcPr>
            <w:tcW w:w="220" w:type="pct"/>
            <w:tcBorders>
              <w:top w:val="nil"/>
              <w:left w:val="nil"/>
              <w:bottom w:val="single" w:sz="4" w:space="0" w:color="auto"/>
              <w:right w:val="single" w:sz="4" w:space="0" w:color="auto"/>
            </w:tcBorders>
            <w:shd w:val="clear" w:color="000000" w:fill="FFFFFF"/>
            <w:vAlign w:val="center"/>
            <w:hideMark/>
          </w:tcPr>
          <w:p w14:paraId="5586EDFB"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+ 129D</w:t>
            </w:r>
          </w:p>
        </w:tc>
        <w:tc>
          <w:tcPr>
            <w:tcW w:w="220" w:type="pct"/>
            <w:tcBorders>
              <w:top w:val="nil"/>
              <w:left w:val="nil"/>
              <w:bottom w:val="single" w:sz="4" w:space="0" w:color="auto"/>
              <w:right w:val="single" w:sz="4" w:space="0" w:color="auto"/>
            </w:tcBorders>
            <w:shd w:val="clear" w:color="000000" w:fill="FFFFFF"/>
            <w:noWrap/>
            <w:vAlign w:val="center"/>
            <w:hideMark/>
          </w:tcPr>
          <w:p w14:paraId="3464998A"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346" w:type="pct"/>
            <w:tcBorders>
              <w:top w:val="nil"/>
              <w:left w:val="nil"/>
              <w:bottom w:val="single" w:sz="4" w:space="0" w:color="auto"/>
              <w:right w:val="single" w:sz="4" w:space="0" w:color="auto"/>
            </w:tcBorders>
            <w:shd w:val="clear" w:color="000000" w:fill="FFFFFF"/>
            <w:vAlign w:val="center"/>
            <w:hideMark/>
          </w:tcPr>
          <w:p w14:paraId="1263176E" w14:textId="46120CA4"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Mungesat / Vonesat e të dhënave nga burimet administrative -|- 9</w:t>
            </w:r>
            <w:r w:rsidRPr="00B31292">
              <w:rPr>
                <w:rFonts w:ascii="Garamond" w:eastAsia="Times New Roman" w:hAnsi="Garamond" w:cs="Times New Roman"/>
                <w:color w:val="000000"/>
                <w:sz w:val="10"/>
                <w:szCs w:val="10"/>
              </w:rPr>
              <w:br/>
              <w:t>2. Informacion jo i plotë, i pa</w:t>
            </w:r>
            <w:r w:rsidR="00221A99" w:rsidRPr="00B31292">
              <w:rPr>
                <w:rFonts w:ascii="Garamond" w:eastAsia="Times New Roman" w:hAnsi="Garamond" w:cs="Times New Roman"/>
                <w:color w:val="000000"/>
                <w:sz w:val="10"/>
                <w:szCs w:val="10"/>
              </w:rPr>
              <w:t>standardizuar</w:t>
            </w:r>
            <w:r w:rsidRPr="00B31292">
              <w:rPr>
                <w:rFonts w:ascii="Garamond" w:eastAsia="Times New Roman" w:hAnsi="Garamond" w:cs="Times New Roman"/>
                <w:color w:val="000000"/>
                <w:sz w:val="10"/>
                <w:szCs w:val="10"/>
              </w:rPr>
              <w:t xml:space="preserve"> -|- 9</w:t>
            </w:r>
            <w:r w:rsidRPr="00B31292">
              <w:rPr>
                <w:rFonts w:ascii="Garamond" w:eastAsia="Times New Roman" w:hAnsi="Garamond" w:cs="Times New Roman"/>
                <w:color w:val="000000"/>
                <w:sz w:val="10"/>
                <w:szCs w:val="10"/>
              </w:rPr>
              <w:br/>
              <w:t>3. Gabime të bëra nga stafi ekspert gjatë përpunimit dhe nxjerrjes së rezultateve -|- 7</w:t>
            </w:r>
            <w:r w:rsidRPr="00B31292">
              <w:rPr>
                <w:rFonts w:ascii="Garamond" w:eastAsia="Times New Roman" w:hAnsi="Garamond" w:cs="Times New Roman"/>
                <w:color w:val="000000"/>
                <w:sz w:val="10"/>
                <w:szCs w:val="10"/>
              </w:rPr>
              <w:br/>
              <w:t>4. Vonesa për shkak të fatkeqësive natyrore -|- 3</w:t>
            </w:r>
          </w:p>
        </w:tc>
        <w:tc>
          <w:tcPr>
            <w:tcW w:w="273" w:type="pct"/>
            <w:tcBorders>
              <w:top w:val="nil"/>
              <w:left w:val="nil"/>
              <w:bottom w:val="single" w:sz="4" w:space="0" w:color="auto"/>
              <w:right w:val="single" w:sz="4" w:space="0" w:color="auto"/>
            </w:tcBorders>
            <w:shd w:val="clear" w:color="000000" w:fill="FFFFFF"/>
            <w:vAlign w:val="center"/>
            <w:hideMark/>
          </w:tcPr>
          <w:p w14:paraId="7E8697B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Buxhet shteti</w:t>
            </w:r>
          </w:p>
        </w:tc>
      </w:tr>
      <w:tr w:rsidR="000A2254" w:rsidRPr="00B31292" w14:paraId="19D8493E" w14:textId="77777777" w:rsidTr="000A2254">
        <w:trPr>
          <w:trHeight w:val="20"/>
        </w:trPr>
        <w:tc>
          <w:tcPr>
            <w:tcW w:w="215" w:type="pct"/>
            <w:tcBorders>
              <w:top w:val="nil"/>
              <w:left w:val="nil"/>
              <w:bottom w:val="nil"/>
              <w:right w:val="nil"/>
            </w:tcBorders>
            <w:shd w:val="clear" w:color="000000" w:fill="FFFFFF"/>
            <w:vAlign w:val="bottom"/>
            <w:hideMark/>
          </w:tcPr>
          <w:p w14:paraId="39EB258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0D0BC38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1759B657"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67B4F15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239B3FE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15EEEAE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9B5F73C"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2.3.4.4</w:t>
            </w:r>
          </w:p>
        </w:tc>
        <w:tc>
          <w:tcPr>
            <w:tcW w:w="281" w:type="pct"/>
            <w:tcBorders>
              <w:top w:val="single" w:sz="4" w:space="0" w:color="auto"/>
              <w:left w:val="nil"/>
              <w:bottom w:val="single" w:sz="4" w:space="0" w:color="auto"/>
              <w:right w:val="single" w:sz="4" w:space="0" w:color="auto"/>
            </w:tcBorders>
            <w:shd w:val="clear" w:color="000000" w:fill="FFFFFF"/>
            <w:vAlign w:val="center"/>
            <w:hideMark/>
          </w:tcPr>
          <w:p w14:paraId="24DA7A70" w14:textId="0E9BAD64"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Vrojtimi i </w:t>
            </w:r>
            <w:r w:rsidR="00E1320B" w:rsidRPr="00B31292">
              <w:rPr>
                <w:rFonts w:ascii="Garamond" w:eastAsia="Times New Roman" w:hAnsi="Garamond" w:cs="Times New Roman"/>
                <w:color w:val="000000"/>
                <w:sz w:val="10"/>
                <w:szCs w:val="10"/>
              </w:rPr>
              <w:t>regjistrave të bizn</w:t>
            </w:r>
            <w:r w:rsidRPr="00B31292">
              <w:rPr>
                <w:rFonts w:ascii="Garamond" w:eastAsia="Times New Roman" w:hAnsi="Garamond" w:cs="Times New Roman"/>
                <w:color w:val="000000"/>
                <w:sz w:val="10"/>
                <w:szCs w:val="10"/>
              </w:rPr>
              <w:t>esit (ARB)</w:t>
            </w:r>
          </w:p>
        </w:tc>
        <w:tc>
          <w:tcPr>
            <w:tcW w:w="236" w:type="pct"/>
            <w:tcBorders>
              <w:top w:val="nil"/>
              <w:left w:val="nil"/>
              <w:bottom w:val="single" w:sz="4" w:space="0" w:color="auto"/>
              <w:right w:val="single" w:sz="4" w:space="0" w:color="auto"/>
            </w:tcBorders>
            <w:shd w:val="clear" w:color="000000" w:fill="FFFFFF"/>
            <w:vAlign w:val="center"/>
            <w:hideMark/>
          </w:tcPr>
          <w:p w14:paraId="6C97D2A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Vrojtim</w:t>
            </w:r>
          </w:p>
        </w:tc>
        <w:tc>
          <w:tcPr>
            <w:tcW w:w="238" w:type="pct"/>
            <w:tcBorders>
              <w:top w:val="nil"/>
              <w:left w:val="nil"/>
              <w:bottom w:val="single" w:sz="4" w:space="0" w:color="auto"/>
              <w:right w:val="single" w:sz="4" w:space="0" w:color="auto"/>
            </w:tcBorders>
            <w:shd w:val="clear" w:color="000000" w:fill="FFFFFF"/>
            <w:noWrap/>
            <w:vAlign w:val="center"/>
            <w:hideMark/>
          </w:tcPr>
          <w:p w14:paraId="17796B2C"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180" w:type="pct"/>
            <w:tcBorders>
              <w:top w:val="nil"/>
              <w:left w:val="nil"/>
              <w:bottom w:val="single" w:sz="4" w:space="0" w:color="auto"/>
              <w:right w:val="single" w:sz="4" w:space="0" w:color="auto"/>
            </w:tcBorders>
            <w:shd w:val="clear" w:color="000000" w:fill="FFFFFF"/>
            <w:noWrap/>
            <w:vAlign w:val="center"/>
            <w:hideMark/>
          </w:tcPr>
          <w:p w14:paraId="28113F71"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228" w:type="pct"/>
            <w:tcBorders>
              <w:top w:val="nil"/>
              <w:left w:val="nil"/>
              <w:bottom w:val="single" w:sz="4" w:space="0" w:color="auto"/>
              <w:right w:val="single" w:sz="4" w:space="0" w:color="auto"/>
            </w:tcBorders>
            <w:shd w:val="clear" w:color="auto" w:fill="auto"/>
            <w:vAlign w:val="center"/>
            <w:hideMark/>
          </w:tcPr>
          <w:p w14:paraId="38BB9E5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tcBorders>
              <w:top w:val="single" w:sz="4" w:space="0" w:color="auto"/>
              <w:left w:val="nil"/>
              <w:bottom w:val="single" w:sz="4" w:space="0" w:color="auto"/>
              <w:right w:val="single" w:sz="4" w:space="0" w:color="auto"/>
            </w:tcBorders>
            <w:shd w:val="clear" w:color="000000" w:fill="FFFFFF"/>
            <w:vAlign w:val="center"/>
            <w:hideMark/>
          </w:tcPr>
          <w:p w14:paraId="10B5D2E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 Çdo 5 vite</w:t>
            </w:r>
          </w:p>
        </w:tc>
        <w:tc>
          <w:tcPr>
            <w:tcW w:w="486" w:type="pct"/>
            <w:tcBorders>
              <w:top w:val="single" w:sz="4" w:space="0" w:color="auto"/>
              <w:left w:val="nil"/>
              <w:bottom w:val="single" w:sz="4" w:space="0" w:color="auto"/>
              <w:right w:val="single" w:sz="4" w:space="0" w:color="auto"/>
            </w:tcBorders>
            <w:shd w:val="clear" w:color="000000" w:fill="FFFFFF"/>
            <w:vAlign w:val="center"/>
            <w:hideMark/>
          </w:tcPr>
          <w:p w14:paraId="2A68F8A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99" w:type="pct"/>
            <w:tcBorders>
              <w:top w:val="single" w:sz="4" w:space="0" w:color="auto"/>
              <w:left w:val="nil"/>
              <w:bottom w:val="single" w:sz="4" w:space="0" w:color="auto"/>
              <w:right w:val="single" w:sz="4" w:space="0" w:color="auto"/>
            </w:tcBorders>
            <w:shd w:val="clear" w:color="000000" w:fill="FFFFFF"/>
            <w:vAlign w:val="center"/>
            <w:hideMark/>
          </w:tcPr>
          <w:p w14:paraId="1819025B" w14:textId="08DAA783"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E1320B" w:rsidRPr="00B31292">
              <w:rPr>
                <w:rFonts w:ascii="Garamond" w:eastAsia="Times New Roman" w:hAnsi="Garamond" w:cs="Times New Roman"/>
                <w:color w:val="000000"/>
                <w:sz w:val="10"/>
                <w:szCs w:val="10"/>
              </w:rPr>
              <w:t>-i</w:t>
            </w:r>
          </w:p>
        </w:tc>
        <w:tc>
          <w:tcPr>
            <w:tcW w:w="224" w:type="pct"/>
            <w:tcBorders>
              <w:top w:val="single" w:sz="4" w:space="0" w:color="auto"/>
              <w:left w:val="nil"/>
              <w:bottom w:val="single" w:sz="4" w:space="0" w:color="auto"/>
              <w:right w:val="single" w:sz="4" w:space="0" w:color="auto"/>
            </w:tcBorders>
            <w:shd w:val="clear" w:color="000000" w:fill="FFFFFF"/>
            <w:vAlign w:val="center"/>
            <w:hideMark/>
          </w:tcPr>
          <w:p w14:paraId="127C1A0E" w14:textId="3EF9801A"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E1320B" w:rsidRPr="00B31292">
              <w:rPr>
                <w:rFonts w:ascii="Garamond" w:eastAsia="Times New Roman" w:hAnsi="Garamond" w:cs="Times New Roman"/>
                <w:color w:val="000000"/>
                <w:sz w:val="10"/>
                <w:szCs w:val="10"/>
              </w:rPr>
              <w:t>-i</w:t>
            </w:r>
          </w:p>
        </w:tc>
        <w:tc>
          <w:tcPr>
            <w:tcW w:w="244" w:type="pct"/>
            <w:tcBorders>
              <w:top w:val="nil"/>
              <w:left w:val="nil"/>
              <w:bottom w:val="single" w:sz="4" w:space="0" w:color="auto"/>
              <w:right w:val="single" w:sz="4" w:space="0" w:color="auto"/>
            </w:tcBorders>
            <w:shd w:val="clear" w:color="000000" w:fill="FFFFFF"/>
            <w:vAlign w:val="center"/>
            <w:hideMark/>
          </w:tcPr>
          <w:p w14:paraId="3E003904" w14:textId="2C16AB63"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 (dita</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e 276 e V</w:t>
            </w:r>
          </w:p>
        </w:tc>
        <w:tc>
          <w:tcPr>
            <w:tcW w:w="220" w:type="pct"/>
            <w:tcBorders>
              <w:top w:val="nil"/>
              <w:left w:val="nil"/>
              <w:bottom w:val="single" w:sz="4" w:space="0" w:color="auto"/>
              <w:right w:val="single" w:sz="4" w:space="0" w:color="auto"/>
            </w:tcBorders>
            <w:shd w:val="clear" w:color="000000" w:fill="FFFFFF"/>
            <w:vAlign w:val="center"/>
            <w:hideMark/>
          </w:tcPr>
          <w:p w14:paraId="2998358E"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 V+ 90D</w:t>
            </w:r>
          </w:p>
        </w:tc>
        <w:tc>
          <w:tcPr>
            <w:tcW w:w="220" w:type="pct"/>
            <w:tcBorders>
              <w:top w:val="nil"/>
              <w:left w:val="nil"/>
              <w:bottom w:val="single" w:sz="4" w:space="0" w:color="auto"/>
              <w:right w:val="single" w:sz="4" w:space="0" w:color="auto"/>
            </w:tcBorders>
            <w:shd w:val="clear" w:color="000000" w:fill="FFFFFF"/>
            <w:noWrap/>
            <w:vAlign w:val="center"/>
            <w:hideMark/>
          </w:tcPr>
          <w:p w14:paraId="4F4B6007"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346" w:type="pct"/>
            <w:tcBorders>
              <w:top w:val="nil"/>
              <w:left w:val="nil"/>
              <w:bottom w:val="single" w:sz="4" w:space="0" w:color="auto"/>
              <w:right w:val="single" w:sz="4" w:space="0" w:color="auto"/>
            </w:tcBorders>
            <w:shd w:val="clear" w:color="000000" w:fill="FFFFFF"/>
            <w:vAlign w:val="center"/>
            <w:hideMark/>
          </w:tcPr>
          <w:p w14:paraId="19AFC569" w14:textId="6EED759B"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Moszbatimi në kohë i hapave dhe detyrave për kryerjen e procesit statistikor të vrojtimit, e cila sjell si pasojë mos përditësimin e Regjistrave të Biznesit -|- 5</w:t>
            </w:r>
            <w:r w:rsidRPr="00B31292">
              <w:rPr>
                <w:rFonts w:ascii="Garamond" w:eastAsia="Times New Roman" w:hAnsi="Garamond" w:cs="Times New Roman"/>
                <w:color w:val="000000"/>
                <w:sz w:val="10"/>
                <w:szCs w:val="10"/>
              </w:rPr>
              <w:br/>
              <w:t>2. Mospërmbushja e</w:t>
            </w:r>
            <w:r w:rsidR="003E16E0" w:rsidRPr="00B31292">
              <w:rPr>
                <w:rFonts w:ascii="Garamond" w:eastAsia="Times New Roman" w:hAnsi="Garamond" w:cs="Times New Roman"/>
                <w:color w:val="000000"/>
                <w:sz w:val="10"/>
                <w:szCs w:val="10"/>
              </w:rPr>
              <w:t xml:space="preserve"> </w:t>
            </w:r>
            <w:r w:rsidR="00F667B8" w:rsidRPr="00B31292">
              <w:rPr>
                <w:rFonts w:ascii="Garamond" w:eastAsia="Times New Roman" w:hAnsi="Garamond" w:cs="Times New Roman"/>
                <w:color w:val="000000"/>
                <w:sz w:val="10"/>
                <w:szCs w:val="10"/>
              </w:rPr>
              <w:t>kritereve të cilësisë, si:</w:t>
            </w:r>
            <w:r w:rsidRPr="00B31292">
              <w:rPr>
                <w:rFonts w:ascii="Garamond" w:eastAsia="Times New Roman" w:hAnsi="Garamond" w:cs="Times New Roman"/>
                <w:color w:val="000000"/>
                <w:sz w:val="10"/>
                <w:szCs w:val="10"/>
              </w:rPr>
              <w:t xml:space="preserve"> saktësia, përpikmëria dhe krahasueshmëria, për vrojtimet statistikore e cila sjell si pasojë mos përdorimin e vrojtimit në përditësimin e RB -|- 5</w:t>
            </w:r>
            <w:r w:rsidRPr="00B31292">
              <w:rPr>
                <w:rFonts w:ascii="Garamond" w:eastAsia="Times New Roman" w:hAnsi="Garamond" w:cs="Times New Roman"/>
                <w:color w:val="000000"/>
                <w:sz w:val="10"/>
                <w:szCs w:val="10"/>
              </w:rPr>
              <w:br/>
              <w:t>3. Mosevidentimi dhe realizimi i detyrave të përditshme të sektorit, e cila sjell si pasojë ngadalësim të proceseve të punës -|- 2</w:t>
            </w:r>
            <w:r w:rsidRPr="00B31292">
              <w:rPr>
                <w:rFonts w:ascii="Garamond" w:eastAsia="Times New Roman" w:hAnsi="Garamond" w:cs="Times New Roman"/>
                <w:color w:val="000000"/>
                <w:sz w:val="10"/>
                <w:szCs w:val="10"/>
              </w:rPr>
              <w:br/>
              <w:t>4. Mosfunksionimi i metodave të reja të IT për mbledhjen e të dhënave në vrojtimet vjetore, e cila sjell si pasojë vonesa dhe mungesë cilësie -|- 4</w:t>
            </w:r>
            <w:r w:rsidRPr="00B31292">
              <w:rPr>
                <w:rFonts w:ascii="Garamond" w:eastAsia="Times New Roman" w:hAnsi="Garamond" w:cs="Times New Roman"/>
                <w:color w:val="000000"/>
                <w:sz w:val="10"/>
                <w:szCs w:val="10"/>
              </w:rPr>
              <w:br/>
              <w:t>5. Lëvizja e stafit me eksperiencë nga sektori, e cila sjell si pasojë ndërprerje/ngadalësim të proceseve të punës -|- 5</w:t>
            </w:r>
            <w:r w:rsidRPr="00B31292">
              <w:rPr>
                <w:rFonts w:ascii="Garamond" w:eastAsia="Times New Roman" w:hAnsi="Garamond" w:cs="Times New Roman"/>
                <w:color w:val="000000"/>
                <w:sz w:val="10"/>
                <w:szCs w:val="10"/>
              </w:rPr>
              <w:br/>
              <w:t xml:space="preserve">6. Mosfunksionimi i metodave të automatizimit dhe </w:t>
            </w:r>
            <w:r w:rsidRPr="00B31292">
              <w:rPr>
                <w:rFonts w:ascii="Garamond" w:eastAsia="Times New Roman" w:hAnsi="Garamond" w:cs="Times New Roman"/>
                <w:color w:val="000000"/>
                <w:sz w:val="10"/>
                <w:szCs w:val="10"/>
              </w:rPr>
              <w:lastRenderedPageBreak/>
              <w:t>mos pasja e suportit për automatizimin e proceseve t</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prodhimit statistikor, e cila sjell si pasojë ngadalësim të procesit të automatizimi -|- 6</w:t>
            </w:r>
            <w:r w:rsidRPr="00B31292">
              <w:rPr>
                <w:rFonts w:ascii="Garamond" w:eastAsia="Times New Roman" w:hAnsi="Garamond" w:cs="Times New Roman"/>
                <w:color w:val="000000"/>
                <w:sz w:val="10"/>
                <w:szCs w:val="10"/>
              </w:rPr>
              <w:br/>
              <w:t>7. Pezullimi/vonesa e mbledhjes, prodhimit dhe shpërndarjes të statistikave zyrtare nga fatkeqësitë natyrore / pandemi globale, e cila sjell si pasojë e mos mbledhjes në kohë të rezultateve të vrojtimit -|- 5</w:t>
            </w:r>
          </w:p>
        </w:tc>
        <w:tc>
          <w:tcPr>
            <w:tcW w:w="273" w:type="pct"/>
            <w:tcBorders>
              <w:top w:val="nil"/>
              <w:left w:val="nil"/>
              <w:bottom w:val="single" w:sz="4" w:space="0" w:color="auto"/>
              <w:right w:val="single" w:sz="4" w:space="0" w:color="auto"/>
            </w:tcBorders>
            <w:shd w:val="clear" w:color="000000" w:fill="FFFFFF"/>
            <w:vAlign w:val="center"/>
            <w:hideMark/>
          </w:tcPr>
          <w:p w14:paraId="073510F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lastRenderedPageBreak/>
              <w:t>Buxhet shteti</w:t>
            </w:r>
          </w:p>
        </w:tc>
      </w:tr>
      <w:tr w:rsidR="000A2254" w:rsidRPr="00B31292" w14:paraId="46312FF3" w14:textId="77777777" w:rsidTr="000A2254">
        <w:trPr>
          <w:trHeight w:val="20"/>
        </w:trPr>
        <w:tc>
          <w:tcPr>
            <w:tcW w:w="215" w:type="pct"/>
            <w:tcBorders>
              <w:top w:val="single" w:sz="4" w:space="0" w:color="000000"/>
              <w:left w:val="single" w:sz="4" w:space="0" w:color="000000"/>
              <w:bottom w:val="single" w:sz="4" w:space="0" w:color="000000"/>
              <w:right w:val="nil"/>
            </w:tcBorders>
            <w:shd w:val="clear" w:color="000000" w:fill="F0F0F0"/>
            <w:vAlign w:val="center"/>
            <w:hideMark/>
          </w:tcPr>
          <w:p w14:paraId="197E98E2"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3</w:t>
            </w:r>
          </w:p>
        </w:tc>
        <w:tc>
          <w:tcPr>
            <w:tcW w:w="4785" w:type="pct"/>
            <w:gridSpan w:val="20"/>
            <w:tcBorders>
              <w:top w:val="single" w:sz="4" w:space="0" w:color="auto"/>
              <w:left w:val="single" w:sz="4" w:space="0" w:color="auto"/>
              <w:bottom w:val="single" w:sz="4" w:space="0" w:color="auto"/>
              <w:right w:val="single" w:sz="4" w:space="0" w:color="auto"/>
            </w:tcBorders>
            <w:shd w:val="clear" w:color="000000" w:fill="F0F0F0"/>
            <w:vAlign w:val="center"/>
            <w:hideMark/>
          </w:tcPr>
          <w:p w14:paraId="28BBC2E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Statistikat Sektoriale</w:t>
            </w:r>
          </w:p>
        </w:tc>
      </w:tr>
      <w:tr w:rsidR="000A2254" w:rsidRPr="00B31292" w14:paraId="199F2A08" w14:textId="77777777" w:rsidTr="000A2254">
        <w:trPr>
          <w:trHeight w:val="20"/>
        </w:trPr>
        <w:tc>
          <w:tcPr>
            <w:tcW w:w="215" w:type="pct"/>
            <w:tcBorders>
              <w:top w:val="nil"/>
              <w:left w:val="nil"/>
              <w:bottom w:val="nil"/>
              <w:right w:val="nil"/>
            </w:tcBorders>
            <w:shd w:val="clear" w:color="000000" w:fill="FFFFFF"/>
            <w:vAlign w:val="bottom"/>
            <w:hideMark/>
          </w:tcPr>
          <w:p w14:paraId="680945C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46C7E97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single" w:sz="4" w:space="0" w:color="000000"/>
              <w:bottom w:val="single" w:sz="4" w:space="0" w:color="000000"/>
              <w:right w:val="nil"/>
            </w:tcBorders>
            <w:shd w:val="clear" w:color="000000" w:fill="F0F0F0"/>
            <w:vAlign w:val="center"/>
            <w:hideMark/>
          </w:tcPr>
          <w:p w14:paraId="7E538CAF"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3.1</w:t>
            </w:r>
          </w:p>
        </w:tc>
        <w:tc>
          <w:tcPr>
            <w:tcW w:w="4416" w:type="pct"/>
            <w:gridSpan w:val="18"/>
            <w:tcBorders>
              <w:top w:val="single" w:sz="4" w:space="0" w:color="auto"/>
              <w:left w:val="single" w:sz="4" w:space="0" w:color="auto"/>
              <w:bottom w:val="single" w:sz="4" w:space="0" w:color="auto"/>
              <w:right w:val="single" w:sz="4" w:space="0" w:color="auto"/>
            </w:tcBorders>
            <w:shd w:val="clear" w:color="000000" w:fill="F0F0F0"/>
            <w:vAlign w:val="center"/>
            <w:hideMark/>
          </w:tcPr>
          <w:p w14:paraId="66490058" w14:textId="418FAEEE"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Statistikat e </w:t>
            </w:r>
            <w:r w:rsidR="00E1320B" w:rsidRPr="00B31292">
              <w:rPr>
                <w:rFonts w:ascii="Garamond" w:eastAsia="Times New Roman" w:hAnsi="Garamond" w:cs="Times New Roman"/>
                <w:color w:val="000000"/>
                <w:sz w:val="10"/>
                <w:szCs w:val="10"/>
              </w:rPr>
              <w:t>bujqësisë, peshkimit dhe pyjeve</w:t>
            </w:r>
          </w:p>
        </w:tc>
      </w:tr>
      <w:tr w:rsidR="000A2254" w:rsidRPr="00B31292" w14:paraId="316FF1BA" w14:textId="77777777" w:rsidTr="000A2254">
        <w:trPr>
          <w:trHeight w:val="20"/>
        </w:trPr>
        <w:tc>
          <w:tcPr>
            <w:tcW w:w="215" w:type="pct"/>
            <w:tcBorders>
              <w:top w:val="nil"/>
              <w:left w:val="nil"/>
              <w:bottom w:val="nil"/>
              <w:right w:val="nil"/>
            </w:tcBorders>
            <w:shd w:val="clear" w:color="000000" w:fill="FFFFFF"/>
            <w:vAlign w:val="bottom"/>
            <w:hideMark/>
          </w:tcPr>
          <w:p w14:paraId="0A1C244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74A7F06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69BDDBD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33A75A8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single" w:sz="4" w:space="0" w:color="000000"/>
              <w:bottom w:val="single" w:sz="4" w:space="0" w:color="000000"/>
              <w:right w:val="nil"/>
            </w:tcBorders>
            <w:shd w:val="clear" w:color="000000" w:fill="F0F0F0"/>
            <w:vAlign w:val="center"/>
            <w:hideMark/>
          </w:tcPr>
          <w:p w14:paraId="36482F27"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3.1.1</w:t>
            </w:r>
          </w:p>
        </w:tc>
        <w:tc>
          <w:tcPr>
            <w:tcW w:w="4082" w:type="pct"/>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0A45C3A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Statistikat e pyjeve </w:t>
            </w:r>
          </w:p>
        </w:tc>
      </w:tr>
      <w:tr w:rsidR="000A2254" w:rsidRPr="00B31292" w14:paraId="33A9C5A9" w14:textId="77777777" w:rsidTr="000A2254">
        <w:trPr>
          <w:trHeight w:val="20"/>
        </w:trPr>
        <w:tc>
          <w:tcPr>
            <w:tcW w:w="215" w:type="pct"/>
            <w:tcBorders>
              <w:top w:val="nil"/>
              <w:left w:val="nil"/>
              <w:bottom w:val="nil"/>
              <w:right w:val="nil"/>
            </w:tcBorders>
            <w:shd w:val="clear" w:color="000000" w:fill="FFFFFF"/>
            <w:vAlign w:val="bottom"/>
            <w:hideMark/>
          </w:tcPr>
          <w:p w14:paraId="2E99436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48BC00F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6F7ECEB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6ECC1B8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274962A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455ACC07"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000000"/>
              <w:bottom w:val="nil"/>
              <w:right w:val="single" w:sz="4" w:space="0" w:color="000000"/>
            </w:tcBorders>
            <w:shd w:val="clear" w:color="000000" w:fill="FFFFFF"/>
            <w:vAlign w:val="center"/>
            <w:hideMark/>
          </w:tcPr>
          <w:p w14:paraId="47521231"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3.1.1.1</w:t>
            </w:r>
          </w:p>
        </w:tc>
        <w:tc>
          <w:tcPr>
            <w:tcW w:w="281" w:type="pct"/>
            <w:tcBorders>
              <w:top w:val="nil"/>
              <w:left w:val="nil"/>
              <w:bottom w:val="nil"/>
              <w:right w:val="single" w:sz="4" w:space="0" w:color="000000"/>
            </w:tcBorders>
            <w:shd w:val="clear" w:color="000000" w:fill="FFFFFF"/>
            <w:vAlign w:val="center"/>
            <w:hideMark/>
          </w:tcPr>
          <w:p w14:paraId="3290BFFD" w14:textId="7DAD189C"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Statistikat e pyjeve</w:t>
            </w:r>
            <w:r w:rsidR="002E2911" w:rsidRPr="00B31292">
              <w:rPr>
                <w:rFonts w:ascii="Garamond" w:eastAsia="Times New Roman" w:hAnsi="Garamond" w:cs="Times New Roman"/>
                <w:sz w:val="10"/>
                <w:szCs w:val="10"/>
              </w:rPr>
              <w:t xml:space="preserve"> </w:t>
            </w:r>
            <w:r w:rsidRPr="00B31292">
              <w:rPr>
                <w:rFonts w:ascii="Garamond" w:eastAsia="Times New Roman" w:hAnsi="Garamond" w:cs="Times New Roman"/>
                <w:sz w:val="10"/>
                <w:szCs w:val="10"/>
              </w:rPr>
              <w:t>- administrative</w:t>
            </w:r>
          </w:p>
        </w:tc>
        <w:tc>
          <w:tcPr>
            <w:tcW w:w="236" w:type="pct"/>
            <w:tcBorders>
              <w:top w:val="nil"/>
              <w:left w:val="nil"/>
              <w:bottom w:val="nil"/>
              <w:right w:val="single" w:sz="4" w:space="0" w:color="000000"/>
            </w:tcBorders>
            <w:shd w:val="clear" w:color="000000" w:fill="FFFFFF"/>
            <w:vAlign w:val="center"/>
            <w:hideMark/>
          </w:tcPr>
          <w:p w14:paraId="76220CBF"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Burim administrativ</w:t>
            </w:r>
          </w:p>
        </w:tc>
        <w:tc>
          <w:tcPr>
            <w:tcW w:w="238" w:type="pct"/>
            <w:tcBorders>
              <w:top w:val="nil"/>
              <w:left w:val="nil"/>
              <w:bottom w:val="single" w:sz="4" w:space="0" w:color="auto"/>
              <w:right w:val="single" w:sz="4" w:space="0" w:color="auto"/>
            </w:tcBorders>
            <w:shd w:val="clear" w:color="000000" w:fill="FFFFFF"/>
            <w:noWrap/>
            <w:vAlign w:val="center"/>
            <w:hideMark/>
          </w:tcPr>
          <w:p w14:paraId="134FF24D"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180" w:type="pct"/>
            <w:tcBorders>
              <w:top w:val="nil"/>
              <w:left w:val="nil"/>
              <w:bottom w:val="single" w:sz="4" w:space="0" w:color="auto"/>
              <w:right w:val="single" w:sz="4" w:space="0" w:color="auto"/>
            </w:tcBorders>
            <w:shd w:val="clear" w:color="000000" w:fill="FFFFFF"/>
            <w:noWrap/>
            <w:vAlign w:val="center"/>
            <w:hideMark/>
          </w:tcPr>
          <w:p w14:paraId="7D0F31A3"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28" w:type="pct"/>
            <w:tcBorders>
              <w:top w:val="nil"/>
              <w:left w:val="nil"/>
              <w:bottom w:val="single" w:sz="4" w:space="0" w:color="auto"/>
              <w:right w:val="single" w:sz="4" w:space="0" w:color="auto"/>
            </w:tcBorders>
            <w:shd w:val="clear" w:color="000000" w:fill="FFFFFF"/>
            <w:vAlign w:val="center"/>
            <w:hideMark/>
          </w:tcPr>
          <w:p w14:paraId="4AF026D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tcBorders>
              <w:top w:val="nil"/>
              <w:left w:val="nil"/>
              <w:bottom w:val="nil"/>
              <w:right w:val="single" w:sz="4" w:space="0" w:color="000000"/>
            </w:tcBorders>
            <w:shd w:val="clear" w:color="000000" w:fill="FFFFFF"/>
            <w:vAlign w:val="center"/>
            <w:hideMark/>
          </w:tcPr>
          <w:p w14:paraId="7A0FAE7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Vjetor</w:t>
            </w:r>
          </w:p>
        </w:tc>
        <w:tc>
          <w:tcPr>
            <w:tcW w:w="486" w:type="pct"/>
            <w:tcBorders>
              <w:top w:val="nil"/>
              <w:left w:val="nil"/>
              <w:bottom w:val="nil"/>
              <w:right w:val="single" w:sz="4" w:space="0" w:color="auto"/>
            </w:tcBorders>
            <w:shd w:val="clear" w:color="000000" w:fill="FFFFFF"/>
            <w:vAlign w:val="center"/>
            <w:hideMark/>
          </w:tcPr>
          <w:p w14:paraId="46A4342A" w14:textId="3B51C221"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Të dhëna për bilancin kadastral të fondit pyjor e kullosor të Shqipërisë</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 Fondi pyjor sipas pronësisë</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 Fondi pyjor sipas qeverisjes</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4. Struktura e pyjeve sipas moshës</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5. Bilanci kadastral i fondit pyjor sipas funksionit kryesor</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6. Shfrytëzimi pyjeve dhe produktet kryesore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7. Shtesa dhe </w:t>
            </w:r>
            <w:r w:rsidR="0012403A" w:rsidRPr="00B31292">
              <w:rPr>
                <w:rFonts w:ascii="Garamond" w:eastAsia="Times New Roman" w:hAnsi="Garamond" w:cs="Times New Roman"/>
                <w:color w:val="000000"/>
                <w:sz w:val="10"/>
                <w:szCs w:val="10"/>
              </w:rPr>
              <w:t>pakësime</w:t>
            </w:r>
            <w:r w:rsidRPr="00B31292">
              <w:rPr>
                <w:rFonts w:ascii="Garamond" w:eastAsia="Times New Roman" w:hAnsi="Garamond" w:cs="Times New Roman"/>
                <w:color w:val="000000"/>
                <w:sz w:val="10"/>
                <w:szCs w:val="10"/>
              </w:rPr>
              <w:t xml:space="preserve"> të fondit pyjor dhe kullosor në sipërfaqe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8. </w:t>
            </w:r>
            <w:r w:rsidR="0012403A" w:rsidRPr="00B31292">
              <w:rPr>
                <w:rFonts w:ascii="Garamond" w:eastAsia="Times New Roman" w:hAnsi="Garamond" w:cs="Times New Roman"/>
                <w:color w:val="000000"/>
                <w:sz w:val="10"/>
                <w:szCs w:val="10"/>
              </w:rPr>
              <w:t>Kundërvajtjet</w:t>
            </w:r>
            <w:r w:rsidRPr="00B31292">
              <w:rPr>
                <w:rFonts w:ascii="Garamond" w:eastAsia="Times New Roman" w:hAnsi="Garamond" w:cs="Times New Roman"/>
                <w:color w:val="000000"/>
                <w:sz w:val="10"/>
                <w:szCs w:val="10"/>
              </w:rPr>
              <w:t xml:space="preserve"> në pyje dhe kullota</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9. Lënda drusore e eksportuar</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10. Lënda drusore e importuar</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11. Investime të realizuara në pyje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12. Të ardhura nga aktivitete dytësore pyjore dhe kullota</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13. Fondi kullosor sipas pronësisë</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14. Fondi kullosor sipas stinëve të shfrytëzimit</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15. Zjarret në pyje dhe kullota</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16. Fondi pyjor sipas strukturës së llojeve</w:t>
            </w:r>
            <w:r w:rsidR="00E1320B" w:rsidRPr="00B31292">
              <w:rPr>
                <w:rFonts w:ascii="Garamond" w:eastAsia="Times New Roman" w:hAnsi="Garamond" w:cs="Times New Roman"/>
                <w:color w:val="000000"/>
                <w:sz w:val="10"/>
                <w:szCs w:val="10"/>
              </w:rPr>
              <w:t>.</w:t>
            </w:r>
          </w:p>
        </w:tc>
        <w:tc>
          <w:tcPr>
            <w:tcW w:w="299" w:type="pct"/>
            <w:tcBorders>
              <w:top w:val="nil"/>
              <w:left w:val="nil"/>
              <w:bottom w:val="nil"/>
              <w:right w:val="nil"/>
            </w:tcBorders>
            <w:shd w:val="clear" w:color="000000" w:fill="FFFFFF"/>
            <w:vAlign w:val="center"/>
            <w:hideMark/>
          </w:tcPr>
          <w:p w14:paraId="247206B3" w14:textId="57A9DC8A"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Ministria e Turizmit dhe Mjedisit</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Agjencia Kombëtare e Pyjeve</w:t>
            </w:r>
          </w:p>
        </w:tc>
        <w:tc>
          <w:tcPr>
            <w:tcW w:w="224" w:type="pct"/>
            <w:tcBorders>
              <w:top w:val="nil"/>
              <w:left w:val="single" w:sz="4" w:space="0" w:color="auto"/>
              <w:bottom w:val="nil"/>
              <w:right w:val="single" w:sz="4" w:space="0" w:color="auto"/>
            </w:tcBorders>
            <w:shd w:val="clear" w:color="000000" w:fill="FFFFFF"/>
            <w:vAlign w:val="center"/>
            <w:hideMark/>
          </w:tcPr>
          <w:p w14:paraId="4577D9E4" w14:textId="51957939"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E1320B" w:rsidRPr="00B31292">
              <w:rPr>
                <w:rFonts w:ascii="Garamond" w:eastAsia="Times New Roman" w:hAnsi="Garamond" w:cs="Times New Roman"/>
                <w:color w:val="000000"/>
                <w:sz w:val="10"/>
                <w:szCs w:val="10"/>
              </w:rPr>
              <w:t>-i</w:t>
            </w:r>
          </w:p>
        </w:tc>
        <w:tc>
          <w:tcPr>
            <w:tcW w:w="244" w:type="pct"/>
            <w:tcBorders>
              <w:top w:val="nil"/>
              <w:left w:val="nil"/>
              <w:bottom w:val="single" w:sz="4" w:space="0" w:color="auto"/>
              <w:right w:val="single" w:sz="4" w:space="0" w:color="auto"/>
            </w:tcBorders>
            <w:shd w:val="clear" w:color="000000" w:fill="FFFFFF"/>
            <w:vAlign w:val="center"/>
            <w:hideMark/>
          </w:tcPr>
          <w:p w14:paraId="21EEEA01"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+ 152D</w:t>
            </w:r>
          </w:p>
        </w:tc>
        <w:tc>
          <w:tcPr>
            <w:tcW w:w="220" w:type="pct"/>
            <w:tcBorders>
              <w:top w:val="nil"/>
              <w:left w:val="nil"/>
              <w:bottom w:val="single" w:sz="4" w:space="0" w:color="auto"/>
              <w:right w:val="single" w:sz="4" w:space="0" w:color="auto"/>
            </w:tcBorders>
            <w:shd w:val="clear" w:color="000000" w:fill="FFFFFF"/>
            <w:vAlign w:val="center"/>
            <w:hideMark/>
          </w:tcPr>
          <w:p w14:paraId="6593EA99"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+ 246D</w:t>
            </w:r>
          </w:p>
        </w:tc>
        <w:tc>
          <w:tcPr>
            <w:tcW w:w="220" w:type="pct"/>
            <w:tcBorders>
              <w:top w:val="nil"/>
              <w:left w:val="nil"/>
              <w:bottom w:val="single" w:sz="4" w:space="0" w:color="auto"/>
              <w:right w:val="single" w:sz="4" w:space="0" w:color="auto"/>
            </w:tcBorders>
            <w:shd w:val="clear" w:color="000000" w:fill="FFFFFF"/>
            <w:vAlign w:val="center"/>
            <w:hideMark/>
          </w:tcPr>
          <w:p w14:paraId="769BDF4C"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+ 253D</w:t>
            </w:r>
          </w:p>
        </w:tc>
        <w:tc>
          <w:tcPr>
            <w:tcW w:w="346" w:type="pct"/>
            <w:tcBorders>
              <w:top w:val="nil"/>
              <w:left w:val="nil"/>
              <w:bottom w:val="nil"/>
              <w:right w:val="single" w:sz="4" w:space="0" w:color="auto"/>
            </w:tcBorders>
            <w:shd w:val="clear" w:color="000000" w:fill="FFFFFF"/>
            <w:vAlign w:val="center"/>
            <w:hideMark/>
          </w:tcPr>
          <w:p w14:paraId="54D26024" w14:textId="3BFDDF9B"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Mosmarrja e të dhënave administrative nga Agjencia Kombëtare e Pyjeve dhe</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Ministria e Turizmit dhe Mjedi</w:t>
            </w:r>
            <w:r w:rsidR="0012403A" w:rsidRPr="00B31292">
              <w:rPr>
                <w:rFonts w:ascii="Garamond" w:eastAsia="Times New Roman" w:hAnsi="Garamond" w:cs="Times New Roman"/>
                <w:color w:val="000000"/>
                <w:sz w:val="10"/>
                <w:szCs w:val="10"/>
              </w:rPr>
              <w:t>s</w:t>
            </w:r>
            <w:r w:rsidRPr="00B31292">
              <w:rPr>
                <w:rFonts w:ascii="Garamond" w:eastAsia="Times New Roman" w:hAnsi="Garamond" w:cs="Times New Roman"/>
                <w:color w:val="000000"/>
                <w:sz w:val="10"/>
                <w:szCs w:val="10"/>
              </w:rPr>
              <w:t>it për Pyjet, kullotat dhe biodiversitetin, si pasojë e riorganizimit t</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sistemit administrativ që mbulon fushën përkatëse, duke sjellë pamundësi të realizimit t</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treguesve kryesisht lidhur me </w:t>
            </w:r>
            <w:r w:rsidR="0012403A" w:rsidRPr="00B31292">
              <w:rPr>
                <w:rFonts w:ascii="Garamond" w:eastAsia="Times New Roman" w:hAnsi="Garamond" w:cs="Times New Roman"/>
                <w:color w:val="000000"/>
                <w:sz w:val="10"/>
                <w:szCs w:val="10"/>
              </w:rPr>
              <w:t>kadastrën</w:t>
            </w:r>
            <w:r w:rsidRPr="00B31292">
              <w:rPr>
                <w:rFonts w:ascii="Garamond" w:eastAsia="Times New Roman" w:hAnsi="Garamond" w:cs="Times New Roman"/>
                <w:color w:val="000000"/>
                <w:sz w:val="10"/>
                <w:szCs w:val="10"/>
              </w:rPr>
              <w:t xml:space="preserve"> pyjore -|- 4</w:t>
            </w:r>
          </w:p>
        </w:tc>
        <w:tc>
          <w:tcPr>
            <w:tcW w:w="273" w:type="pct"/>
            <w:tcBorders>
              <w:top w:val="nil"/>
              <w:left w:val="nil"/>
              <w:bottom w:val="nil"/>
              <w:right w:val="single" w:sz="4" w:space="0" w:color="auto"/>
            </w:tcBorders>
            <w:shd w:val="clear" w:color="000000" w:fill="FFFFFF"/>
            <w:vAlign w:val="center"/>
            <w:hideMark/>
          </w:tcPr>
          <w:p w14:paraId="25BF36E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Buxhet shteti</w:t>
            </w:r>
          </w:p>
        </w:tc>
      </w:tr>
      <w:tr w:rsidR="000A2254" w:rsidRPr="00B31292" w14:paraId="4F69A118" w14:textId="77777777" w:rsidTr="000A2254">
        <w:trPr>
          <w:trHeight w:val="20"/>
        </w:trPr>
        <w:tc>
          <w:tcPr>
            <w:tcW w:w="215" w:type="pct"/>
            <w:tcBorders>
              <w:top w:val="nil"/>
              <w:left w:val="nil"/>
              <w:bottom w:val="nil"/>
              <w:right w:val="nil"/>
            </w:tcBorders>
            <w:shd w:val="clear" w:color="000000" w:fill="FFFFFF"/>
            <w:vAlign w:val="bottom"/>
            <w:hideMark/>
          </w:tcPr>
          <w:p w14:paraId="1310AF67"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0225AF1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7ABA4FA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588DCAA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52A345B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5CB5BB3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2DD23D9"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3.1.1.2</w:t>
            </w:r>
          </w:p>
        </w:tc>
        <w:tc>
          <w:tcPr>
            <w:tcW w:w="281" w:type="pct"/>
            <w:tcBorders>
              <w:top w:val="single" w:sz="4" w:space="0" w:color="auto"/>
              <w:left w:val="nil"/>
              <w:bottom w:val="single" w:sz="4" w:space="0" w:color="auto"/>
              <w:right w:val="single" w:sz="4" w:space="0" w:color="auto"/>
            </w:tcBorders>
            <w:shd w:val="clear" w:color="000000" w:fill="FFFFFF"/>
            <w:vAlign w:val="center"/>
            <w:hideMark/>
          </w:tcPr>
          <w:p w14:paraId="38B50C02" w14:textId="53ED74E2"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br/>
              <w:t xml:space="preserve">Vrojtimi i përdorimit të lëndës drusore në </w:t>
            </w:r>
            <w:r w:rsidR="00E1320B" w:rsidRPr="00B31292">
              <w:rPr>
                <w:rFonts w:ascii="Garamond" w:eastAsia="Times New Roman" w:hAnsi="Garamond" w:cs="Times New Roman"/>
                <w:sz w:val="10"/>
                <w:szCs w:val="10"/>
              </w:rPr>
              <w:t>i</w:t>
            </w:r>
            <w:r w:rsidRPr="00B31292">
              <w:rPr>
                <w:rFonts w:ascii="Garamond" w:eastAsia="Times New Roman" w:hAnsi="Garamond" w:cs="Times New Roman"/>
                <w:sz w:val="10"/>
                <w:szCs w:val="10"/>
              </w:rPr>
              <w:t xml:space="preserve">ndustri </w:t>
            </w:r>
          </w:p>
        </w:tc>
        <w:tc>
          <w:tcPr>
            <w:tcW w:w="236" w:type="pct"/>
            <w:tcBorders>
              <w:top w:val="single" w:sz="4" w:space="0" w:color="auto"/>
              <w:left w:val="nil"/>
              <w:bottom w:val="single" w:sz="4" w:space="0" w:color="auto"/>
              <w:right w:val="single" w:sz="4" w:space="0" w:color="auto"/>
            </w:tcBorders>
            <w:shd w:val="clear" w:color="000000" w:fill="FFFFFF"/>
            <w:vAlign w:val="center"/>
            <w:hideMark/>
          </w:tcPr>
          <w:p w14:paraId="149A69D8"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Vrojtim</w:t>
            </w:r>
          </w:p>
        </w:tc>
        <w:tc>
          <w:tcPr>
            <w:tcW w:w="238" w:type="pct"/>
            <w:tcBorders>
              <w:top w:val="nil"/>
              <w:left w:val="nil"/>
              <w:bottom w:val="single" w:sz="4" w:space="0" w:color="auto"/>
              <w:right w:val="single" w:sz="4" w:space="0" w:color="auto"/>
            </w:tcBorders>
            <w:shd w:val="clear" w:color="000000" w:fill="FFFFFF"/>
            <w:noWrap/>
            <w:vAlign w:val="center"/>
            <w:hideMark/>
          </w:tcPr>
          <w:p w14:paraId="02DB3107"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180" w:type="pct"/>
            <w:tcBorders>
              <w:top w:val="nil"/>
              <w:left w:val="nil"/>
              <w:bottom w:val="single" w:sz="4" w:space="0" w:color="auto"/>
              <w:right w:val="single" w:sz="4" w:space="0" w:color="auto"/>
            </w:tcBorders>
            <w:shd w:val="clear" w:color="000000" w:fill="FFFFFF"/>
            <w:noWrap/>
            <w:vAlign w:val="center"/>
            <w:hideMark/>
          </w:tcPr>
          <w:p w14:paraId="2DF49DCE"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228" w:type="pct"/>
            <w:tcBorders>
              <w:top w:val="nil"/>
              <w:left w:val="nil"/>
              <w:bottom w:val="single" w:sz="4" w:space="0" w:color="auto"/>
              <w:right w:val="single" w:sz="4" w:space="0" w:color="auto"/>
            </w:tcBorders>
            <w:shd w:val="clear" w:color="000000" w:fill="FFFFFF"/>
            <w:vAlign w:val="center"/>
            <w:hideMark/>
          </w:tcPr>
          <w:p w14:paraId="1C56AD8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tcBorders>
              <w:top w:val="single" w:sz="4" w:space="0" w:color="auto"/>
              <w:left w:val="nil"/>
              <w:bottom w:val="single" w:sz="4" w:space="0" w:color="auto"/>
              <w:right w:val="single" w:sz="4" w:space="0" w:color="auto"/>
            </w:tcBorders>
            <w:shd w:val="clear" w:color="000000" w:fill="FFFFFF"/>
            <w:vAlign w:val="center"/>
            <w:hideMark/>
          </w:tcPr>
          <w:p w14:paraId="444BB55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Vjetor</w:t>
            </w:r>
          </w:p>
        </w:tc>
        <w:tc>
          <w:tcPr>
            <w:tcW w:w="486" w:type="pct"/>
            <w:tcBorders>
              <w:top w:val="single" w:sz="4" w:space="0" w:color="auto"/>
              <w:left w:val="nil"/>
              <w:bottom w:val="single" w:sz="4" w:space="0" w:color="auto"/>
              <w:right w:val="single" w:sz="4" w:space="0" w:color="auto"/>
            </w:tcBorders>
            <w:shd w:val="clear" w:color="000000" w:fill="FFFFFF"/>
            <w:vAlign w:val="center"/>
            <w:hideMark/>
          </w:tcPr>
          <w:p w14:paraId="27778A6B" w14:textId="55488DBB" w:rsidR="000A2254" w:rsidRPr="00B31292" w:rsidRDefault="0012403A" w:rsidP="0012403A">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1. </w:t>
            </w:r>
            <w:r w:rsidR="000A2254" w:rsidRPr="00B31292">
              <w:rPr>
                <w:rFonts w:ascii="Garamond" w:eastAsia="Times New Roman" w:hAnsi="Garamond" w:cs="Times New Roman"/>
                <w:color w:val="000000"/>
                <w:sz w:val="10"/>
                <w:szCs w:val="10"/>
              </w:rPr>
              <w:t>Sasia e lëndës drusore të përdorur në industri</w:t>
            </w:r>
            <w:r w:rsidR="00E1320B" w:rsidRPr="00B31292">
              <w:rPr>
                <w:rFonts w:ascii="Garamond" w:eastAsia="Times New Roman" w:hAnsi="Garamond" w:cs="Times New Roman"/>
                <w:color w:val="000000"/>
                <w:sz w:val="10"/>
                <w:szCs w:val="10"/>
              </w:rPr>
              <w:t>.</w:t>
            </w:r>
            <w:r w:rsidR="000A2254" w:rsidRPr="00B31292">
              <w:rPr>
                <w:rFonts w:ascii="Garamond" w:eastAsia="Times New Roman" w:hAnsi="Garamond" w:cs="Times New Roman"/>
                <w:color w:val="000000"/>
                <w:sz w:val="10"/>
                <w:szCs w:val="10"/>
              </w:rPr>
              <w:br/>
              <w:t>2.</w:t>
            </w:r>
            <w:r w:rsidRPr="00B31292">
              <w:rPr>
                <w:rFonts w:ascii="Garamond" w:eastAsia="Times New Roman" w:hAnsi="Garamond" w:cs="Times New Roman"/>
                <w:color w:val="000000"/>
                <w:sz w:val="10"/>
                <w:szCs w:val="10"/>
              </w:rPr>
              <w:t xml:space="preserve"> </w:t>
            </w:r>
            <w:r w:rsidR="000A2254" w:rsidRPr="00B31292">
              <w:rPr>
                <w:rFonts w:ascii="Garamond" w:eastAsia="Times New Roman" w:hAnsi="Garamond" w:cs="Times New Roman"/>
                <w:color w:val="000000"/>
                <w:sz w:val="10"/>
                <w:szCs w:val="10"/>
              </w:rPr>
              <w:t>Lloji</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i</w:t>
            </w:r>
            <w:r w:rsidR="002E2911" w:rsidRPr="00B31292">
              <w:rPr>
                <w:rFonts w:ascii="Garamond" w:eastAsia="Times New Roman" w:hAnsi="Garamond" w:cs="Times New Roman"/>
                <w:color w:val="000000"/>
                <w:sz w:val="10"/>
                <w:szCs w:val="10"/>
              </w:rPr>
              <w:t xml:space="preserve"> </w:t>
            </w:r>
            <w:r w:rsidR="000A2254" w:rsidRPr="00B31292">
              <w:rPr>
                <w:rFonts w:ascii="Garamond" w:eastAsia="Times New Roman" w:hAnsi="Garamond" w:cs="Times New Roman"/>
                <w:color w:val="000000"/>
                <w:sz w:val="10"/>
                <w:szCs w:val="10"/>
              </w:rPr>
              <w:t>lëndës drusore të përdorur</w:t>
            </w:r>
            <w:r w:rsidR="00E1320B" w:rsidRPr="00B31292">
              <w:rPr>
                <w:rFonts w:ascii="Garamond" w:eastAsia="Times New Roman" w:hAnsi="Garamond" w:cs="Times New Roman"/>
                <w:color w:val="000000"/>
                <w:sz w:val="10"/>
                <w:szCs w:val="10"/>
              </w:rPr>
              <w:t>.</w:t>
            </w:r>
            <w:r w:rsidR="000A2254" w:rsidRPr="00B31292">
              <w:rPr>
                <w:rFonts w:ascii="Garamond" w:eastAsia="Times New Roman" w:hAnsi="Garamond" w:cs="Times New Roman"/>
                <w:color w:val="000000"/>
                <w:sz w:val="10"/>
                <w:szCs w:val="10"/>
              </w:rPr>
              <w:br/>
              <w:t>3.</w:t>
            </w:r>
            <w:r w:rsidRPr="00B31292">
              <w:rPr>
                <w:rFonts w:ascii="Garamond" w:eastAsia="Times New Roman" w:hAnsi="Garamond" w:cs="Times New Roman"/>
                <w:color w:val="000000"/>
                <w:sz w:val="10"/>
                <w:szCs w:val="10"/>
              </w:rPr>
              <w:t xml:space="preserve"> </w:t>
            </w:r>
            <w:r w:rsidR="000A2254" w:rsidRPr="00B31292">
              <w:rPr>
                <w:rFonts w:ascii="Garamond" w:eastAsia="Times New Roman" w:hAnsi="Garamond" w:cs="Times New Roman"/>
                <w:color w:val="000000"/>
                <w:sz w:val="10"/>
                <w:szCs w:val="10"/>
              </w:rPr>
              <w:t xml:space="preserve">Prodhimi </w:t>
            </w:r>
            <w:r w:rsidRPr="00B31292">
              <w:rPr>
                <w:rFonts w:ascii="Garamond" w:eastAsia="Times New Roman" w:hAnsi="Garamond" w:cs="Times New Roman"/>
                <w:color w:val="000000"/>
                <w:sz w:val="10"/>
                <w:szCs w:val="10"/>
              </w:rPr>
              <w:t>i produkteve</w:t>
            </w:r>
            <w:r w:rsidR="000A2254" w:rsidRPr="00B31292">
              <w:rPr>
                <w:rFonts w:ascii="Garamond" w:eastAsia="Times New Roman" w:hAnsi="Garamond" w:cs="Times New Roman"/>
                <w:color w:val="000000"/>
                <w:sz w:val="10"/>
                <w:szCs w:val="10"/>
              </w:rPr>
              <w:t xml:space="preserve"> prej druri</w:t>
            </w:r>
            <w:r w:rsidR="00E1320B" w:rsidRPr="00B31292">
              <w:rPr>
                <w:rFonts w:ascii="Garamond" w:eastAsia="Times New Roman" w:hAnsi="Garamond" w:cs="Times New Roman"/>
                <w:color w:val="000000"/>
                <w:sz w:val="10"/>
                <w:szCs w:val="10"/>
              </w:rPr>
              <w:t>.</w:t>
            </w:r>
            <w:r w:rsidR="000A2254" w:rsidRPr="00B31292">
              <w:rPr>
                <w:rFonts w:ascii="Garamond" w:eastAsia="Times New Roman" w:hAnsi="Garamond" w:cs="Times New Roman"/>
                <w:color w:val="000000"/>
                <w:sz w:val="10"/>
                <w:szCs w:val="10"/>
              </w:rPr>
              <w:br/>
              <w:t>4.</w:t>
            </w:r>
            <w:r w:rsidRPr="00B31292">
              <w:rPr>
                <w:rFonts w:ascii="Garamond" w:eastAsia="Times New Roman" w:hAnsi="Garamond" w:cs="Times New Roman"/>
                <w:color w:val="000000"/>
                <w:sz w:val="10"/>
                <w:szCs w:val="10"/>
              </w:rPr>
              <w:t xml:space="preserve"> </w:t>
            </w:r>
            <w:r w:rsidR="000A2254" w:rsidRPr="00B31292">
              <w:rPr>
                <w:rFonts w:ascii="Garamond" w:eastAsia="Times New Roman" w:hAnsi="Garamond" w:cs="Times New Roman"/>
                <w:color w:val="000000"/>
                <w:sz w:val="10"/>
                <w:szCs w:val="10"/>
              </w:rPr>
              <w:t>Sasia e letrës së ricikluar</w:t>
            </w:r>
            <w:r w:rsidR="00E1320B" w:rsidRPr="00B31292">
              <w:rPr>
                <w:rFonts w:ascii="Garamond" w:eastAsia="Times New Roman" w:hAnsi="Garamond" w:cs="Times New Roman"/>
                <w:color w:val="000000"/>
                <w:sz w:val="10"/>
                <w:szCs w:val="10"/>
              </w:rPr>
              <w:t>.</w:t>
            </w:r>
            <w:r w:rsidR="000A2254" w:rsidRPr="00B31292">
              <w:rPr>
                <w:rFonts w:ascii="Garamond" w:eastAsia="Times New Roman" w:hAnsi="Garamond" w:cs="Times New Roman"/>
                <w:color w:val="000000"/>
                <w:sz w:val="10"/>
                <w:szCs w:val="10"/>
              </w:rPr>
              <w:br/>
              <w:t>5.</w:t>
            </w:r>
            <w:r w:rsidRPr="00B31292">
              <w:rPr>
                <w:rFonts w:ascii="Garamond" w:eastAsia="Times New Roman" w:hAnsi="Garamond" w:cs="Times New Roman"/>
                <w:color w:val="000000"/>
                <w:sz w:val="10"/>
                <w:szCs w:val="10"/>
              </w:rPr>
              <w:t xml:space="preserve"> </w:t>
            </w:r>
            <w:r w:rsidR="000A2254" w:rsidRPr="00B31292">
              <w:rPr>
                <w:rFonts w:ascii="Garamond" w:eastAsia="Times New Roman" w:hAnsi="Garamond" w:cs="Times New Roman"/>
                <w:color w:val="000000"/>
                <w:sz w:val="10"/>
                <w:szCs w:val="10"/>
              </w:rPr>
              <w:t xml:space="preserve">Prodhimi </w:t>
            </w:r>
            <w:r w:rsidR="00E1320B" w:rsidRPr="00B31292">
              <w:rPr>
                <w:rFonts w:ascii="Garamond" w:eastAsia="Times New Roman" w:hAnsi="Garamond" w:cs="Times New Roman"/>
                <w:color w:val="000000"/>
                <w:sz w:val="10"/>
                <w:szCs w:val="10"/>
              </w:rPr>
              <w:t xml:space="preserve">i </w:t>
            </w:r>
            <w:r w:rsidR="000A2254" w:rsidRPr="00B31292">
              <w:rPr>
                <w:rFonts w:ascii="Garamond" w:eastAsia="Times New Roman" w:hAnsi="Garamond" w:cs="Times New Roman"/>
                <w:color w:val="000000"/>
                <w:sz w:val="10"/>
                <w:szCs w:val="10"/>
              </w:rPr>
              <w:t>letrës dhe kartonit</w:t>
            </w:r>
            <w:r w:rsidR="00E1320B" w:rsidRPr="00B31292">
              <w:rPr>
                <w:rFonts w:ascii="Garamond" w:eastAsia="Times New Roman" w:hAnsi="Garamond" w:cs="Times New Roman"/>
                <w:color w:val="000000"/>
                <w:sz w:val="10"/>
                <w:szCs w:val="10"/>
              </w:rPr>
              <w:t>.</w:t>
            </w:r>
          </w:p>
        </w:tc>
        <w:tc>
          <w:tcPr>
            <w:tcW w:w="299" w:type="pct"/>
            <w:tcBorders>
              <w:top w:val="single" w:sz="4" w:space="0" w:color="auto"/>
              <w:left w:val="nil"/>
              <w:bottom w:val="single" w:sz="4" w:space="0" w:color="auto"/>
              <w:right w:val="single" w:sz="4" w:space="0" w:color="auto"/>
            </w:tcBorders>
            <w:shd w:val="clear" w:color="000000" w:fill="FFFFFF"/>
            <w:vAlign w:val="center"/>
            <w:hideMark/>
          </w:tcPr>
          <w:p w14:paraId="3005E1DF" w14:textId="43D3EE1A"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E1320B" w:rsidRPr="00B31292">
              <w:rPr>
                <w:rFonts w:ascii="Garamond" w:eastAsia="Times New Roman" w:hAnsi="Garamond" w:cs="Times New Roman"/>
                <w:color w:val="000000"/>
                <w:sz w:val="10"/>
                <w:szCs w:val="10"/>
              </w:rPr>
              <w:t>-i</w:t>
            </w:r>
          </w:p>
        </w:tc>
        <w:tc>
          <w:tcPr>
            <w:tcW w:w="224" w:type="pct"/>
            <w:tcBorders>
              <w:top w:val="single" w:sz="4" w:space="0" w:color="auto"/>
              <w:left w:val="nil"/>
              <w:bottom w:val="single" w:sz="4" w:space="0" w:color="auto"/>
              <w:right w:val="single" w:sz="4" w:space="0" w:color="auto"/>
            </w:tcBorders>
            <w:shd w:val="clear" w:color="000000" w:fill="FFFFFF"/>
            <w:vAlign w:val="center"/>
            <w:hideMark/>
          </w:tcPr>
          <w:p w14:paraId="6CB6E7EC" w14:textId="353E933B"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E1320B" w:rsidRPr="00B31292">
              <w:rPr>
                <w:rFonts w:ascii="Garamond" w:eastAsia="Times New Roman" w:hAnsi="Garamond" w:cs="Times New Roman"/>
                <w:color w:val="000000"/>
                <w:sz w:val="10"/>
                <w:szCs w:val="10"/>
              </w:rPr>
              <w:t>-i</w:t>
            </w:r>
          </w:p>
        </w:tc>
        <w:tc>
          <w:tcPr>
            <w:tcW w:w="244" w:type="pct"/>
            <w:tcBorders>
              <w:top w:val="nil"/>
              <w:left w:val="nil"/>
              <w:bottom w:val="single" w:sz="4" w:space="0" w:color="auto"/>
              <w:right w:val="single" w:sz="4" w:space="0" w:color="auto"/>
            </w:tcBorders>
            <w:shd w:val="clear" w:color="000000" w:fill="FFFFFF"/>
            <w:vAlign w:val="center"/>
            <w:hideMark/>
          </w:tcPr>
          <w:p w14:paraId="3FEC469D"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+ 185 D</w:t>
            </w:r>
          </w:p>
        </w:tc>
        <w:tc>
          <w:tcPr>
            <w:tcW w:w="220" w:type="pct"/>
            <w:tcBorders>
              <w:top w:val="nil"/>
              <w:left w:val="nil"/>
              <w:bottom w:val="single" w:sz="4" w:space="0" w:color="auto"/>
              <w:right w:val="single" w:sz="4" w:space="0" w:color="auto"/>
            </w:tcBorders>
            <w:shd w:val="clear" w:color="000000" w:fill="FFFFFF"/>
            <w:vAlign w:val="center"/>
            <w:hideMark/>
          </w:tcPr>
          <w:p w14:paraId="665DD4DE"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+ 290 D</w:t>
            </w:r>
          </w:p>
        </w:tc>
        <w:tc>
          <w:tcPr>
            <w:tcW w:w="220" w:type="pct"/>
            <w:tcBorders>
              <w:top w:val="nil"/>
              <w:left w:val="nil"/>
              <w:bottom w:val="single" w:sz="4" w:space="0" w:color="auto"/>
              <w:right w:val="single" w:sz="4" w:space="0" w:color="auto"/>
            </w:tcBorders>
            <w:shd w:val="clear" w:color="000000" w:fill="FFFFFF"/>
            <w:vAlign w:val="center"/>
            <w:hideMark/>
          </w:tcPr>
          <w:p w14:paraId="38BC2EB4"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Nuk publikohen</w:t>
            </w:r>
          </w:p>
        </w:tc>
        <w:tc>
          <w:tcPr>
            <w:tcW w:w="346" w:type="pct"/>
            <w:tcBorders>
              <w:top w:val="single" w:sz="4" w:space="0" w:color="auto"/>
              <w:left w:val="nil"/>
              <w:bottom w:val="single" w:sz="4" w:space="0" w:color="auto"/>
              <w:right w:val="single" w:sz="4" w:space="0" w:color="auto"/>
            </w:tcBorders>
            <w:shd w:val="clear" w:color="000000" w:fill="FFFFFF"/>
            <w:vAlign w:val="center"/>
            <w:hideMark/>
          </w:tcPr>
          <w:p w14:paraId="26587201" w14:textId="24EF95E6"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Ardhja e pyetësorëve me vonesë në INSTAT -| - 4</w:t>
            </w:r>
            <w:r w:rsidRPr="00B31292">
              <w:rPr>
                <w:rFonts w:ascii="Garamond" w:eastAsia="Times New Roman" w:hAnsi="Garamond" w:cs="Times New Roman"/>
                <w:color w:val="000000"/>
                <w:sz w:val="10"/>
                <w:szCs w:val="10"/>
              </w:rPr>
              <w:br/>
              <w:t xml:space="preserve">2. Vonesa dhe gabime të tjera në </w:t>
            </w:r>
            <w:r w:rsidR="0012403A" w:rsidRPr="00B31292">
              <w:rPr>
                <w:rFonts w:ascii="Garamond" w:eastAsia="Times New Roman" w:hAnsi="Garamond" w:cs="Times New Roman"/>
                <w:color w:val="000000"/>
                <w:sz w:val="10"/>
                <w:szCs w:val="10"/>
              </w:rPr>
              <w:t>procesin</w:t>
            </w:r>
            <w:r w:rsidRPr="00B31292">
              <w:rPr>
                <w:rFonts w:ascii="Garamond" w:eastAsia="Times New Roman" w:hAnsi="Garamond" w:cs="Times New Roman"/>
                <w:color w:val="000000"/>
                <w:sz w:val="10"/>
                <w:szCs w:val="10"/>
              </w:rPr>
              <w:t xml:space="preserve"> e </w:t>
            </w:r>
            <w:r w:rsidR="0012403A" w:rsidRPr="00B31292">
              <w:rPr>
                <w:rFonts w:ascii="Garamond" w:eastAsia="Times New Roman" w:hAnsi="Garamond" w:cs="Times New Roman"/>
                <w:color w:val="000000"/>
                <w:sz w:val="10"/>
                <w:szCs w:val="10"/>
              </w:rPr>
              <w:t>kontrollit</w:t>
            </w:r>
            <w:r w:rsidRPr="00B31292">
              <w:rPr>
                <w:rFonts w:ascii="Garamond" w:eastAsia="Times New Roman" w:hAnsi="Garamond" w:cs="Times New Roman"/>
                <w:color w:val="000000"/>
                <w:sz w:val="10"/>
                <w:szCs w:val="10"/>
              </w:rPr>
              <w:t xml:space="preserve"> dhe hedhjes së të dhënave -|- 4</w:t>
            </w:r>
            <w:r w:rsidRPr="00B31292">
              <w:rPr>
                <w:rFonts w:ascii="Garamond" w:eastAsia="Times New Roman" w:hAnsi="Garamond" w:cs="Times New Roman"/>
                <w:color w:val="000000"/>
                <w:sz w:val="10"/>
                <w:szCs w:val="10"/>
              </w:rPr>
              <w:br/>
              <w:t xml:space="preserve">3. Mospërmbushja e kritereve të cilësisë (saktësia, përpikmëria dhe krahasueshmëria) në vrojtimin e përdorimit të lëndës drusore në Industri, e cila sjell si pasojë mos shpërndarjen në kohë dhe me cilësi </w:t>
            </w:r>
            <w:r w:rsidRPr="00B31292">
              <w:rPr>
                <w:rFonts w:ascii="Garamond" w:eastAsia="Times New Roman" w:hAnsi="Garamond" w:cs="Times New Roman"/>
                <w:color w:val="000000"/>
                <w:sz w:val="10"/>
                <w:szCs w:val="10"/>
              </w:rPr>
              <w:lastRenderedPageBreak/>
              <w:t>të rezultateve të vrojtimit -|- 5</w:t>
            </w:r>
            <w:r w:rsidRPr="00B31292">
              <w:rPr>
                <w:rFonts w:ascii="Garamond" w:eastAsia="Times New Roman" w:hAnsi="Garamond" w:cs="Times New Roman"/>
                <w:color w:val="000000"/>
                <w:sz w:val="10"/>
                <w:szCs w:val="10"/>
              </w:rPr>
              <w:br/>
              <w:t xml:space="preserve">4. Avari/dëmtime /shkëputje në </w:t>
            </w:r>
            <w:r w:rsidR="0012403A" w:rsidRPr="00B31292">
              <w:rPr>
                <w:rFonts w:ascii="Garamond" w:eastAsia="Times New Roman" w:hAnsi="Garamond" w:cs="Times New Roman"/>
                <w:color w:val="000000"/>
                <w:sz w:val="10"/>
                <w:szCs w:val="10"/>
              </w:rPr>
              <w:t>infrastrukturën</w:t>
            </w:r>
            <w:r w:rsidRPr="00B31292">
              <w:rPr>
                <w:rFonts w:ascii="Garamond" w:eastAsia="Times New Roman" w:hAnsi="Garamond" w:cs="Times New Roman"/>
                <w:color w:val="000000"/>
                <w:sz w:val="10"/>
                <w:szCs w:val="10"/>
              </w:rPr>
              <w:t xml:space="preserve"> e IT servera duke sjellë pezullim/vonesa të mbledhjes prodhimit dhe shpërndarjes të statistikave zyrtare -|- 4</w:t>
            </w:r>
          </w:p>
        </w:tc>
        <w:tc>
          <w:tcPr>
            <w:tcW w:w="273" w:type="pct"/>
            <w:tcBorders>
              <w:top w:val="single" w:sz="4" w:space="0" w:color="auto"/>
              <w:left w:val="nil"/>
              <w:bottom w:val="nil"/>
              <w:right w:val="single" w:sz="4" w:space="0" w:color="auto"/>
            </w:tcBorders>
            <w:shd w:val="clear" w:color="000000" w:fill="FFFFFF"/>
            <w:vAlign w:val="center"/>
            <w:hideMark/>
          </w:tcPr>
          <w:p w14:paraId="2A1A563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lastRenderedPageBreak/>
              <w:t>Buxhet shteti</w:t>
            </w:r>
          </w:p>
        </w:tc>
      </w:tr>
      <w:tr w:rsidR="000A2254" w:rsidRPr="00B31292" w14:paraId="6FBA2D25" w14:textId="77777777" w:rsidTr="000A2254">
        <w:trPr>
          <w:trHeight w:val="20"/>
        </w:trPr>
        <w:tc>
          <w:tcPr>
            <w:tcW w:w="215" w:type="pct"/>
            <w:tcBorders>
              <w:top w:val="nil"/>
              <w:left w:val="nil"/>
              <w:bottom w:val="nil"/>
              <w:right w:val="nil"/>
            </w:tcBorders>
            <w:shd w:val="clear" w:color="000000" w:fill="FFFFFF"/>
            <w:vAlign w:val="bottom"/>
            <w:hideMark/>
          </w:tcPr>
          <w:p w14:paraId="2255E2E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53EE487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775F4FA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1E7EAF2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single" w:sz="4" w:space="0" w:color="000000"/>
              <w:left w:val="single" w:sz="4" w:space="0" w:color="000000"/>
              <w:bottom w:val="single" w:sz="4" w:space="0" w:color="000000"/>
              <w:right w:val="nil"/>
            </w:tcBorders>
            <w:shd w:val="clear" w:color="000000" w:fill="F0F0F0"/>
            <w:vAlign w:val="center"/>
            <w:hideMark/>
          </w:tcPr>
          <w:p w14:paraId="7D113E28"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3.1.2</w:t>
            </w:r>
          </w:p>
        </w:tc>
        <w:tc>
          <w:tcPr>
            <w:tcW w:w="4082" w:type="pct"/>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198A7514" w14:textId="26EADC1D"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Statistikat e </w:t>
            </w:r>
            <w:r w:rsidR="00E1320B" w:rsidRPr="00B31292">
              <w:rPr>
                <w:rFonts w:ascii="Garamond" w:eastAsia="Times New Roman" w:hAnsi="Garamond" w:cs="Times New Roman"/>
                <w:color w:val="000000"/>
                <w:sz w:val="10"/>
                <w:szCs w:val="10"/>
              </w:rPr>
              <w:t>b</w:t>
            </w:r>
            <w:r w:rsidRPr="00B31292">
              <w:rPr>
                <w:rFonts w:ascii="Garamond" w:eastAsia="Times New Roman" w:hAnsi="Garamond" w:cs="Times New Roman"/>
                <w:color w:val="000000"/>
                <w:sz w:val="10"/>
                <w:szCs w:val="10"/>
              </w:rPr>
              <w:t>ujqësisë</w:t>
            </w:r>
          </w:p>
        </w:tc>
      </w:tr>
      <w:tr w:rsidR="000A2254" w:rsidRPr="00B31292" w14:paraId="7A629EAD" w14:textId="77777777" w:rsidTr="000A2254">
        <w:trPr>
          <w:trHeight w:val="20"/>
        </w:trPr>
        <w:tc>
          <w:tcPr>
            <w:tcW w:w="215" w:type="pct"/>
            <w:tcBorders>
              <w:top w:val="nil"/>
              <w:left w:val="nil"/>
              <w:bottom w:val="nil"/>
              <w:right w:val="nil"/>
            </w:tcBorders>
            <w:shd w:val="clear" w:color="000000" w:fill="FFFFFF"/>
            <w:vAlign w:val="bottom"/>
            <w:hideMark/>
          </w:tcPr>
          <w:p w14:paraId="5462DD1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6FC80CD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68A0DC3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7E2CCA4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1758C44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436EEAE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000000"/>
              <w:bottom w:val="single" w:sz="4" w:space="0" w:color="000000"/>
              <w:right w:val="nil"/>
            </w:tcBorders>
            <w:shd w:val="clear" w:color="000000" w:fill="F0F0F0"/>
            <w:vAlign w:val="center"/>
            <w:hideMark/>
          </w:tcPr>
          <w:p w14:paraId="113582B9"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3.1.2.a</w:t>
            </w:r>
          </w:p>
        </w:tc>
        <w:tc>
          <w:tcPr>
            <w:tcW w:w="3700" w:type="pct"/>
            <w:gridSpan w:val="14"/>
            <w:tcBorders>
              <w:top w:val="single" w:sz="4" w:space="0" w:color="auto"/>
              <w:left w:val="single" w:sz="4" w:space="0" w:color="auto"/>
              <w:bottom w:val="single" w:sz="4" w:space="0" w:color="auto"/>
              <w:right w:val="single" w:sz="4" w:space="0" w:color="auto"/>
            </w:tcBorders>
            <w:shd w:val="clear" w:color="000000" w:fill="F0F0F0"/>
            <w:vAlign w:val="center"/>
            <w:hideMark/>
          </w:tcPr>
          <w:p w14:paraId="4CE4A38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Statistikat e produkteve bimore</w:t>
            </w:r>
          </w:p>
        </w:tc>
      </w:tr>
      <w:tr w:rsidR="000A2254" w:rsidRPr="00B31292" w14:paraId="0432F380" w14:textId="77777777" w:rsidTr="000A2254">
        <w:trPr>
          <w:trHeight w:val="20"/>
        </w:trPr>
        <w:tc>
          <w:tcPr>
            <w:tcW w:w="215" w:type="pct"/>
            <w:tcBorders>
              <w:top w:val="nil"/>
              <w:left w:val="nil"/>
              <w:bottom w:val="nil"/>
              <w:right w:val="nil"/>
            </w:tcBorders>
            <w:shd w:val="clear" w:color="000000" w:fill="FFFFFF"/>
            <w:vAlign w:val="bottom"/>
            <w:hideMark/>
          </w:tcPr>
          <w:p w14:paraId="346E3FD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04950C9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651056F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3EE438D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5465490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4CB0535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auto"/>
              <w:bottom w:val="single" w:sz="4" w:space="0" w:color="auto"/>
              <w:right w:val="single" w:sz="4" w:space="0" w:color="auto"/>
            </w:tcBorders>
            <w:shd w:val="clear" w:color="000000" w:fill="FFFFFF"/>
            <w:vAlign w:val="center"/>
            <w:hideMark/>
          </w:tcPr>
          <w:p w14:paraId="237ACFE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3.1.2.a.1</w:t>
            </w:r>
          </w:p>
        </w:tc>
        <w:tc>
          <w:tcPr>
            <w:tcW w:w="281" w:type="pct"/>
            <w:tcBorders>
              <w:top w:val="nil"/>
              <w:left w:val="nil"/>
              <w:bottom w:val="single" w:sz="4" w:space="0" w:color="auto"/>
              <w:right w:val="single" w:sz="4" w:space="0" w:color="auto"/>
            </w:tcBorders>
            <w:shd w:val="clear" w:color="auto" w:fill="auto"/>
            <w:vAlign w:val="center"/>
            <w:hideMark/>
          </w:tcPr>
          <w:p w14:paraId="3985D450" w14:textId="5A74DA3D"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xml:space="preserve">Statistikat e </w:t>
            </w:r>
            <w:r w:rsidR="00E1320B" w:rsidRPr="00B31292">
              <w:rPr>
                <w:rFonts w:ascii="Garamond" w:eastAsia="Times New Roman" w:hAnsi="Garamond" w:cs="Times New Roman"/>
                <w:sz w:val="10"/>
                <w:szCs w:val="10"/>
              </w:rPr>
              <w:t>produkteve bimore nga vrojtimi vjetor në bujqësi</w:t>
            </w:r>
          </w:p>
        </w:tc>
        <w:tc>
          <w:tcPr>
            <w:tcW w:w="236" w:type="pct"/>
            <w:tcBorders>
              <w:top w:val="nil"/>
              <w:left w:val="nil"/>
              <w:bottom w:val="single" w:sz="4" w:space="0" w:color="000000"/>
              <w:right w:val="single" w:sz="4" w:space="0" w:color="000000"/>
            </w:tcBorders>
            <w:shd w:val="clear" w:color="auto" w:fill="auto"/>
            <w:vAlign w:val="center"/>
            <w:hideMark/>
          </w:tcPr>
          <w:p w14:paraId="5E2ED847"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Vrojtim</w:t>
            </w:r>
          </w:p>
        </w:tc>
        <w:tc>
          <w:tcPr>
            <w:tcW w:w="238" w:type="pct"/>
            <w:tcBorders>
              <w:top w:val="nil"/>
              <w:left w:val="nil"/>
              <w:bottom w:val="single" w:sz="4" w:space="0" w:color="auto"/>
              <w:right w:val="single" w:sz="4" w:space="0" w:color="auto"/>
            </w:tcBorders>
            <w:shd w:val="clear" w:color="auto" w:fill="auto"/>
            <w:noWrap/>
            <w:vAlign w:val="center"/>
            <w:hideMark/>
          </w:tcPr>
          <w:p w14:paraId="462C061E"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180" w:type="pct"/>
            <w:tcBorders>
              <w:top w:val="nil"/>
              <w:left w:val="nil"/>
              <w:bottom w:val="single" w:sz="4" w:space="0" w:color="auto"/>
              <w:right w:val="single" w:sz="4" w:space="0" w:color="auto"/>
            </w:tcBorders>
            <w:shd w:val="clear" w:color="auto" w:fill="auto"/>
            <w:noWrap/>
            <w:vAlign w:val="center"/>
            <w:hideMark/>
          </w:tcPr>
          <w:p w14:paraId="21F37D13"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228" w:type="pct"/>
            <w:tcBorders>
              <w:top w:val="nil"/>
              <w:left w:val="nil"/>
              <w:bottom w:val="single" w:sz="4" w:space="0" w:color="auto"/>
              <w:right w:val="single" w:sz="4" w:space="0" w:color="auto"/>
            </w:tcBorders>
            <w:shd w:val="clear" w:color="auto" w:fill="auto"/>
            <w:vAlign w:val="center"/>
            <w:hideMark/>
          </w:tcPr>
          <w:p w14:paraId="1512030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tcBorders>
              <w:top w:val="nil"/>
              <w:left w:val="nil"/>
              <w:bottom w:val="nil"/>
              <w:right w:val="nil"/>
            </w:tcBorders>
            <w:shd w:val="clear" w:color="auto" w:fill="auto"/>
            <w:vAlign w:val="center"/>
            <w:hideMark/>
          </w:tcPr>
          <w:p w14:paraId="6F0A845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Vjetor</w:t>
            </w:r>
          </w:p>
        </w:tc>
        <w:tc>
          <w:tcPr>
            <w:tcW w:w="486" w:type="pct"/>
            <w:tcBorders>
              <w:top w:val="nil"/>
              <w:left w:val="single" w:sz="4" w:space="0" w:color="auto"/>
              <w:bottom w:val="single" w:sz="4" w:space="0" w:color="auto"/>
              <w:right w:val="single" w:sz="4" w:space="0" w:color="auto"/>
            </w:tcBorders>
            <w:shd w:val="clear" w:color="auto" w:fill="auto"/>
            <w:vAlign w:val="center"/>
            <w:hideMark/>
          </w:tcPr>
          <w:p w14:paraId="01851B2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99" w:type="pct"/>
            <w:tcBorders>
              <w:top w:val="nil"/>
              <w:left w:val="nil"/>
              <w:bottom w:val="single" w:sz="4" w:space="0" w:color="auto"/>
              <w:right w:val="single" w:sz="4" w:space="0" w:color="auto"/>
            </w:tcBorders>
            <w:shd w:val="clear" w:color="auto" w:fill="auto"/>
            <w:vAlign w:val="center"/>
            <w:hideMark/>
          </w:tcPr>
          <w:p w14:paraId="6A6ED37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Nuk merren të dhëna administrative</w:t>
            </w:r>
          </w:p>
        </w:tc>
        <w:tc>
          <w:tcPr>
            <w:tcW w:w="224" w:type="pct"/>
            <w:tcBorders>
              <w:top w:val="nil"/>
              <w:left w:val="nil"/>
              <w:bottom w:val="single" w:sz="4" w:space="0" w:color="auto"/>
              <w:right w:val="single" w:sz="4" w:space="0" w:color="auto"/>
            </w:tcBorders>
            <w:shd w:val="clear" w:color="auto" w:fill="auto"/>
            <w:vAlign w:val="center"/>
            <w:hideMark/>
          </w:tcPr>
          <w:p w14:paraId="38B3A6EB" w14:textId="7A87B66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E1320B" w:rsidRPr="00B31292">
              <w:rPr>
                <w:rFonts w:ascii="Garamond" w:eastAsia="Times New Roman" w:hAnsi="Garamond" w:cs="Times New Roman"/>
                <w:color w:val="000000"/>
                <w:sz w:val="10"/>
                <w:szCs w:val="10"/>
              </w:rPr>
              <w:t>-i</w:t>
            </w:r>
          </w:p>
        </w:tc>
        <w:tc>
          <w:tcPr>
            <w:tcW w:w="244" w:type="pct"/>
            <w:tcBorders>
              <w:top w:val="nil"/>
              <w:left w:val="nil"/>
              <w:bottom w:val="single" w:sz="4" w:space="0" w:color="auto"/>
              <w:right w:val="single" w:sz="4" w:space="0" w:color="auto"/>
            </w:tcBorders>
            <w:shd w:val="clear" w:color="000000" w:fill="FFFFFF"/>
            <w:vAlign w:val="center"/>
            <w:hideMark/>
          </w:tcPr>
          <w:p w14:paraId="5F176221"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+ 0D</w:t>
            </w:r>
          </w:p>
        </w:tc>
        <w:tc>
          <w:tcPr>
            <w:tcW w:w="220" w:type="pct"/>
            <w:tcBorders>
              <w:top w:val="nil"/>
              <w:left w:val="nil"/>
              <w:bottom w:val="single" w:sz="4" w:space="0" w:color="auto"/>
              <w:right w:val="single" w:sz="4" w:space="0" w:color="auto"/>
            </w:tcBorders>
            <w:shd w:val="clear" w:color="000000" w:fill="FFFFFF"/>
            <w:vAlign w:val="center"/>
            <w:hideMark/>
          </w:tcPr>
          <w:p w14:paraId="1F1C873F"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+ 300D</w:t>
            </w:r>
          </w:p>
        </w:tc>
        <w:tc>
          <w:tcPr>
            <w:tcW w:w="220" w:type="pct"/>
            <w:tcBorders>
              <w:top w:val="nil"/>
              <w:left w:val="nil"/>
              <w:bottom w:val="single" w:sz="4" w:space="0" w:color="auto"/>
              <w:right w:val="single" w:sz="4" w:space="0" w:color="auto"/>
            </w:tcBorders>
            <w:shd w:val="clear" w:color="000000" w:fill="FFFFFF"/>
            <w:vAlign w:val="center"/>
            <w:hideMark/>
          </w:tcPr>
          <w:p w14:paraId="247D4E03"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+ 300D</w:t>
            </w:r>
          </w:p>
        </w:tc>
        <w:tc>
          <w:tcPr>
            <w:tcW w:w="346" w:type="pct"/>
            <w:tcBorders>
              <w:top w:val="nil"/>
              <w:left w:val="nil"/>
              <w:bottom w:val="single" w:sz="4" w:space="0" w:color="auto"/>
              <w:right w:val="single" w:sz="4" w:space="0" w:color="auto"/>
            </w:tcBorders>
            <w:shd w:val="clear" w:color="auto" w:fill="auto"/>
            <w:vAlign w:val="center"/>
            <w:hideMark/>
          </w:tcPr>
          <w:p w14:paraId="76267F8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Mospërmbushja e kritereve të cilësisë (saktësia, përpikmëria dhe krahasueshmëria) në vrojtimin vjetor të bujqësisë (VVB), e cila sjell si pasojë mos shpërndarjen në kohë dhe me cilësi të rezultateve të vrojtimit -|- 5</w:t>
            </w:r>
          </w:p>
        </w:tc>
        <w:tc>
          <w:tcPr>
            <w:tcW w:w="273" w:type="pct"/>
            <w:tcBorders>
              <w:top w:val="nil"/>
              <w:left w:val="nil"/>
              <w:bottom w:val="single" w:sz="4" w:space="0" w:color="auto"/>
              <w:right w:val="single" w:sz="4" w:space="0" w:color="auto"/>
            </w:tcBorders>
            <w:shd w:val="clear" w:color="auto" w:fill="auto"/>
            <w:vAlign w:val="center"/>
            <w:hideMark/>
          </w:tcPr>
          <w:p w14:paraId="3DF8932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Buxhet shteti</w:t>
            </w:r>
          </w:p>
        </w:tc>
      </w:tr>
      <w:tr w:rsidR="000A2254" w:rsidRPr="00B31292" w14:paraId="76BA52A2" w14:textId="77777777" w:rsidTr="000A2254">
        <w:trPr>
          <w:trHeight w:val="20"/>
        </w:trPr>
        <w:tc>
          <w:tcPr>
            <w:tcW w:w="215" w:type="pct"/>
            <w:tcBorders>
              <w:top w:val="nil"/>
              <w:left w:val="nil"/>
              <w:bottom w:val="nil"/>
              <w:right w:val="nil"/>
            </w:tcBorders>
            <w:shd w:val="clear" w:color="000000" w:fill="FFFFFF"/>
            <w:vAlign w:val="bottom"/>
            <w:hideMark/>
          </w:tcPr>
          <w:p w14:paraId="31B43A4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6A2CD29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5498D7E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069FB75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3848AF0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576FDBD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vMerge w:val="restart"/>
            <w:tcBorders>
              <w:top w:val="nil"/>
              <w:left w:val="single" w:sz="4" w:space="0" w:color="auto"/>
              <w:bottom w:val="single" w:sz="4" w:space="0" w:color="000000"/>
              <w:right w:val="single" w:sz="4" w:space="0" w:color="auto"/>
            </w:tcBorders>
            <w:shd w:val="clear" w:color="auto" w:fill="auto"/>
            <w:vAlign w:val="center"/>
            <w:hideMark/>
          </w:tcPr>
          <w:p w14:paraId="79518C56"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3.1.2.a.2</w:t>
            </w:r>
          </w:p>
        </w:tc>
        <w:tc>
          <w:tcPr>
            <w:tcW w:w="281" w:type="pct"/>
            <w:vMerge w:val="restart"/>
            <w:tcBorders>
              <w:top w:val="nil"/>
              <w:left w:val="single" w:sz="4" w:space="0" w:color="auto"/>
              <w:bottom w:val="single" w:sz="4" w:space="0" w:color="000000"/>
              <w:right w:val="single" w:sz="4" w:space="0" w:color="auto"/>
            </w:tcBorders>
            <w:shd w:val="clear" w:color="auto" w:fill="auto"/>
            <w:vAlign w:val="center"/>
            <w:hideMark/>
          </w:tcPr>
          <w:p w14:paraId="4881B926" w14:textId="3B72D992"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xml:space="preserve">Statistikat e </w:t>
            </w:r>
            <w:r w:rsidR="00E1320B" w:rsidRPr="00B31292">
              <w:rPr>
                <w:rFonts w:ascii="Garamond" w:eastAsia="Times New Roman" w:hAnsi="Garamond" w:cs="Times New Roman"/>
                <w:sz w:val="10"/>
                <w:szCs w:val="10"/>
              </w:rPr>
              <w:t>produkteve bimo</w:t>
            </w:r>
            <w:r w:rsidRPr="00B31292">
              <w:rPr>
                <w:rFonts w:ascii="Garamond" w:eastAsia="Times New Roman" w:hAnsi="Garamond" w:cs="Times New Roman"/>
                <w:sz w:val="10"/>
                <w:szCs w:val="10"/>
              </w:rPr>
              <w:t>re nga burimi administrativ</w:t>
            </w:r>
          </w:p>
        </w:tc>
        <w:tc>
          <w:tcPr>
            <w:tcW w:w="236" w:type="pct"/>
            <w:vMerge w:val="restart"/>
            <w:tcBorders>
              <w:top w:val="nil"/>
              <w:left w:val="single" w:sz="4" w:space="0" w:color="auto"/>
              <w:bottom w:val="single" w:sz="4" w:space="0" w:color="000000"/>
              <w:right w:val="single" w:sz="4" w:space="0" w:color="auto"/>
            </w:tcBorders>
            <w:shd w:val="clear" w:color="auto" w:fill="auto"/>
            <w:vAlign w:val="center"/>
            <w:hideMark/>
          </w:tcPr>
          <w:p w14:paraId="33A8D506"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Burim administrativ</w:t>
            </w:r>
          </w:p>
        </w:tc>
        <w:tc>
          <w:tcPr>
            <w:tcW w:w="23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F01286F"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18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A7921B0"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28" w:type="pct"/>
            <w:vMerge w:val="restart"/>
            <w:tcBorders>
              <w:top w:val="nil"/>
              <w:left w:val="single" w:sz="4" w:space="0" w:color="auto"/>
              <w:bottom w:val="single" w:sz="4" w:space="0" w:color="000000"/>
              <w:right w:val="single" w:sz="4" w:space="0" w:color="auto"/>
            </w:tcBorders>
            <w:shd w:val="clear" w:color="auto" w:fill="auto"/>
            <w:vAlign w:val="center"/>
            <w:hideMark/>
          </w:tcPr>
          <w:p w14:paraId="340E1E0D"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CA3ACA5"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Vjetor</w:t>
            </w:r>
          </w:p>
        </w:tc>
        <w:tc>
          <w:tcPr>
            <w:tcW w:w="486" w:type="pct"/>
            <w:tcBorders>
              <w:top w:val="nil"/>
              <w:left w:val="nil"/>
              <w:bottom w:val="nil"/>
              <w:right w:val="nil"/>
            </w:tcBorders>
            <w:shd w:val="clear" w:color="auto" w:fill="auto"/>
            <w:hideMark/>
          </w:tcPr>
          <w:p w14:paraId="4E22FA33" w14:textId="44ECB7D3"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1. Struktura e sipërfaqes së mbjellë për </w:t>
            </w:r>
            <w:r w:rsidR="0012403A" w:rsidRPr="00B31292">
              <w:rPr>
                <w:rFonts w:ascii="Garamond" w:eastAsia="Times New Roman" w:hAnsi="Garamond" w:cs="Times New Roman"/>
                <w:color w:val="000000"/>
                <w:sz w:val="10"/>
                <w:szCs w:val="10"/>
              </w:rPr>
              <w:t>drithërat</w:t>
            </w:r>
            <w:r w:rsidRPr="00B31292">
              <w:rPr>
                <w:rFonts w:ascii="Garamond" w:eastAsia="Times New Roman" w:hAnsi="Garamond" w:cs="Times New Roman"/>
                <w:color w:val="000000"/>
                <w:sz w:val="10"/>
                <w:szCs w:val="10"/>
              </w:rPr>
              <w:br/>
              <w:t>2. Struktura e mbjelljes së perimeve dhe bostanoreve në fushë</w:t>
            </w:r>
            <w:r w:rsidRPr="00B31292">
              <w:rPr>
                <w:rFonts w:ascii="Garamond" w:eastAsia="Times New Roman" w:hAnsi="Garamond" w:cs="Times New Roman"/>
                <w:color w:val="000000"/>
                <w:sz w:val="10"/>
                <w:szCs w:val="10"/>
              </w:rPr>
              <w:br/>
              <w:t>3. Struktura e mbjelljes së perimeve dhe bostanoreve në serra</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4. Struktura e mbjelljes së bimëve industriale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5. Struktura e </w:t>
            </w:r>
            <w:r w:rsidR="0012403A" w:rsidRPr="00B31292">
              <w:rPr>
                <w:rFonts w:ascii="Garamond" w:eastAsia="Times New Roman" w:hAnsi="Garamond" w:cs="Times New Roman"/>
                <w:color w:val="000000"/>
                <w:sz w:val="10"/>
                <w:szCs w:val="10"/>
              </w:rPr>
              <w:t>mbjellëve</w:t>
            </w:r>
            <w:r w:rsidRPr="00B31292">
              <w:rPr>
                <w:rFonts w:ascii="Garamond" w:eastAsia="Times New Roman" w:hAnsi="Garamond" w:cs="Times New Roman"/>
                <w:color w:val="000000"/>
                <w:sz w:val="10"/>
                <w:szCs w:val="10"/>
              </w:rPr>
              <w:t xml:space="preserve"> të foragjereve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6. Struktura e mbjelljeve të </w:t>
            </w:r>
            <w:r w:rsidR="0012403A" w:rsidRPr="00B31292">
              <w:rPr>
                <w:rFonts w:ascii="Garamond" w:eastAsia="Times New Roman" w:hAnsi="Garamond" w:cs="Times New Roman"/>
                <w:color w:val="000000"/>
                <w:sz w:val="10"/>
                <w:szCs w:val="10"/>
              </w:rPr>
              <w:t>bimëve</w:t>
            </w:r>
            <w:r w:rsidRPr="00B31292">
              <w:rPr>
                <w:rFonts w:ascii="Garamond" w:eastAsia="Times New Roman" w:hAnsi="Garamond" w:cs="Times New Roman"/>
                <w:color w:val="000000"/>
                <w:sz w:val="10"/>
                <w:szCs w:val="10"/>
              </w:rPr>
              <w:t xml:space="preserve"> medicinale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7. Statistikat e </w:t>
            </w:r>
            <w:r w:rsidR="0012403A" w:rsidRPr="00B31292">
              <w:rPr>
                <w:rFonts w:ascii="Garamond" w:eastAsia="Times New Roman" w:hAnsi="Garamond" w:cs="Times New Roman"/>
                <w:color w:val="000000"/>
                <w:sz w:val="10"/>
                <w:szCs w:val="10"/>
              </w:rPr>
              <w:t>drithërave</w:t>
            </w:r>
            <w:r w:rsidRPr="00B31292">
              <w:rPr>
                <w:rFonts w:ascii="Garamond" w:eastAsia="Times New Roman" w:hAnsi="Garamond" w:cs="Times New Roman"/>
                <w:color w:val="000000"/>
                <w:sz w:val="10"/>
                <w:szCs w:val="10"/>
              </w:rPr>
              <w:t xml:space="preserve"> (sipërfaqe e korrur, prodhim, rendiment)</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8. Statistikat e perimeve në fushë (sipërfaqe e vjelë, prodhim, rendiment)</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9. Statistikat e perimeve në serra (sipërfaqe e vjelë, prodhim, rendiment)</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10. Statistikat e luleshtrydhes sipas mënyrës së kultivimit (sipërfaqe e vjelë, prodhim, rendiment)</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11. Statistikat e fasules (</w:t>
            </w:r>
            <w:r w:rsidR="0012403A" w:rsidRPr="00B31292">
              <w:rPr>
                <w:rFonts w:ascii="Garamond" w:eastAsia="Times New Roman" w:hAnsi="Garamond" w:cs="Times New Roman"/>
                <w:color w:val="000000"/>
                <w:sz w:val="10"/>
                <w:szCs w:val="10"/>
              </w:rPr>
              <w:t>sipërfaqe</w:t>
            </w:r>
            <w:r w:rsidRPr="00B31292">
              <w:rPr>
                <w:rFonts w:ascii="Garamond" w:eastAsia="Times New Roman" w:hAnsi="Garamond" w:cs="Times New Roman"/>
                <w:color w:val="000000"/>
                <w:sz w:val="10"/>
                <w:szCs w:val="10"/>
              </w:rPr>
              <w:t xml:space="preserve"> e vjelë, prodhim, rendiment)</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12. Statistikat e patates (sipërfaqe e vjelë, prodhim, rendiment)</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 xml:space="preserve">13. Statistikat e </w:t>
            </w:r>
            <w:r w:rsidR="0012403A" w:rsidRPr="00B31292">
              <w:rPr>
                <w:rFonts w:ascii="Garamond" w:eastAsia="Times New Roman" w:hAnsi="Garamond" w:cs="Times New Roman"/>
                <w:color w:val="000000"/>
                <w:sz w:val="10"/>
                <w:szCs w:val="10"/>
              </w:rPr>
              <w:t>bimëve</w:t>
            </w:r>
            <w:r w:rsidRPr="00B31292">
              <w:rPr>
                <w:rFonts w:ascii="Garamond" w:eastAsia="Times New Roman" w:hAnsi="Garamond" w:cs="Times New Roman"/>
                <w:color w:val="000000"/>
                <w:sz w:val="10"/>
                <w:szCs w:val="10"/>
              </w:rPr>
              <w:t xml:space="preserve"> industriale (</w:t>
            </w:r>
            <w:r w:rsidR="0012403A" w:rsidRPr="00B31292">
              <w:rPr>
                <w:rFonts w:ascii="Garamond" w:eastAsia="Times New Roman" w:hAnsi="Garamond" w:cs="Times New Roman"/>
                <w:color w:val="000000"/>
                <w:sz w:val="10"/>
                <w:szCs w:val="10"/>
              </w:rPr>
              <w:t>sipërfaqe</w:t>
            </w:r>
            <w:r w:rsidRPr="00B31292">
              <w:rPr>
                <w:rFonts w:ascii="Garamond" w:eastAsia="Times New Roman" w:hAnsi="Garamond" w:cs="Times New Roman"/>
                <w:color w:val="000000"/>
                <w:sz w:val="10"/>
                <w:szCs w:val="10"/>
              </w:rPr>
              <w:t xml:space="preserve"> e korr</w:t>
            </w:r>
            <w:r w:rsidR="0012403A" w:rsidRPr="00B31292">
              <w:rPr>
                <w:rFonts w:ascii="Garamond" w:eastAsia="Times New Roman" w:hAnsi="Garamond" w:cs="Times New Roman"/>
                <w:color w:val="000000"/>
                <w:sz w:val="10"/>
                <w:szCs w:val="10"/>
              </w:rPr>
              <w:t>u</w:t>
            </w:r>
            <w:r w:rsidRPr="00B31292">
              <w:rPr>
                <w:rFonts w:ascii="Garamond" w:eastAsia="Times New Roman" w:hAnsi="Garamond" w:cs="Times New Roman"/>
                <w:color w:val="000000"/>
                <w:sz w:val="10"/>
                <w:szCs w:val="10"/>
              </w:rPr>
              <w:t>r, prodhim, rendiment)</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 xml:space="preserve">14. Statistikat e </w:t>
            </w:r>
            <w:r w:rsidR="0012403A" w:rsidRPr="00B31292">
              <w:rPr>
                <w:rFonts w:ascii="Garamond" w:eastAsia="Times New Roman" w:hAnsi="Garamond" w:cs="Times New Roman"/>
                <w:color w:val="000000"/>
                <w:sz w:val="10"/>
                <w:szCs w:val="10"/>
              </w:rPr>
              <w:t>bimëve</w:t>
            </w:r>
            <w:r w:rsidRPr="00B31292">
              <w:rPr>
                <w:rFonts w:ascii="Garamond" w:eastAsia="Times New Roman" w:hAnsi="Garamond" w:cs="Times New Roman"/>
                <w:color w:val="000000"/>
                <w:sz w:val="10"/>
                <w:szCs w:val="10"/>
              </w:rPr>
              <w:t xml:space="preserve"> medicinale (sipërfaqe prodhuese, prodhim, rendiment)</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15. Statistikat e </w:t>
            </w:r>
            <w:r w:rsidR="0012403A" w:rsidRPr="00B31292">
              <w:rPr>
                <w:rFonts w:ascii="Garamond" w:eastAsia="Times New Roman" w:hAnsi="Garamond" w:cs="Times New Roman"/>
                <w:color w:val="000000"/>
                <w:sz w:val="10"/>
                <w:szCs w:val="10"/>
              </w:rPr>
              <w:t>bimëve</w:t>
            </w:r>
            <w:r w:rsidRPr="00B31292">
              <w:rPr>
                <w:rFonts w:ascii="Garamond" w:eastAsia="Times New Roman" w:hAnsi="Garamond" w:cs="Times New Roman"/>
                <w:color w:val="000000"/>
                <w:sz w:val="10"/>
                <w:szCs w:val="10"/>
              </w:rPr>
              <w:t xml:space="preserve"> foragjere (sipërfaqe e kositur, prodhim, rendiment)</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16. Mbjelljet e reja të </w:t>
            </w:r>
            <w:r w:rsidR="0012403A" w:rsidRPr="00B31292">
              <w:rPr>
                <w:rFonts w:ascii="Garamond" w:eastAsia="Times New Roman" w:hAnsi="Garamond" w:cs="Times New Roman"/>
                <w:color w:val="000000"/>
                <w:sz w:val="10"/>
                <w:szCs w:val="10"/>
              </w:rPr>
              <w:t>pemëve</w:t>
            </w:r>
            <w:r w:rsidRPr="00B31292">
              <w:rPr>
                <w:rFonts w:ascii="Garamond" w:eastAsia="Times New Roman" w:hAnsi="Garamond" w:cs="Times New Roman"/>
                <w:color w:val="000000"/>
                <w:sz w:val="10"/>
                <w:szCs w:val="10"/>
              </w:rPr>
              <w:t xml:space="preserve"> frutore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17. Mbjelljet e reja të ullirit</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18. Mbjelljet e reja të agrumeve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19. Mbjelljet e reja me vreshta</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20. Mbjelljet e reja të pjergullave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21. Sipërfaqja e </w:t>
            </w:r>
            <w:r w:rsidR="0012403A" w:rsidRPr="00B31292">
              <w:rPr>
                <w:rFonts w:ascii="Garamond" w:eastAsia="Times New Roman" w:hAnsi="Garamond" w:cs="Times New Roman"/>
                <w:color w:val="000000"/>
                <w:sz w:val="10"/>
                <w:szCs w:val="10"/>
              </w:rPr>
              <w:t>pemëve</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lastRenderedPageBreak/>
              <w:t>frutore, në blloqe, gjithsej dhe në prodhim</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22. Sipërfaqja e </w:t>
            </w:r>
            <w:r w:rsidR="00106FB4" w:rsidRPr="00B31292">
              <w:rPr>
                <w:rFonts w:ascii="Garamond" w:eastAsia="Times New Roman" w:hAnsi="Garamond" w:cs="Times New Roman"/>
                <w:color w:val="000000"/>
                <w:sz w:val="10"/>
                <w:szCs w:val="10"/>
              </w:rPr>
              <w:t>ullishtave</w:t>
            </w:r>
            <w:r w:rsidRPr="00B31292">
              <w:rPr>
                <w:rFonts w:ascii="Garamond" w:eastAsia="Times New Roman" w:hAnsi="Garamond" w:cs="Times New Roman"/>
                <w:color w:val="000000"/>
                <w:sz w:val="10"/>
                <w:szCs w:val="10"/>
              </w:rPr>
              <w:t>, në blloqe, gjithsej dhe në prodhim</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23. Sipërfaqja e agrumeve, në blloqe, gjithsej dhe në prodhim</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24. </w:t>
            </w:r>
            <w:r w:rsidR="0012403A" w:rsidRPr="00B31292">
              <w:rPr>
                <w:rFonts w:ascii="Garamond" w:eastAsia="Times New Roman" w:hAnsi="Garamond" w:cs="Times New Roman"/>
                <w:color w:val="000000"/>
                <w:sz w:val="10"/>
                <w:szCs w:val="10"/>
              </w:rPr>
              <w:t>Sipërfaqja</w:t>
            </w:r>
            <w:r w:rsidRPr="00B31292">
              <w:rPr>
                <w:rFonts w:ascii="Garamond" w:eastAsia="Times New Roman" w:hAnsi="Garamond" w:cs="Times New Roman"/>
                <w:color w:val="000000"/>
                <w:sz w:val="10"/>
                <w:szCs w:val="10"/>
              </w:rPr>
              <w:t xml:space="preserve"> e vreshtit gjithsej dhe në prodhim</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25. Numri i rrënjëve gjithsej dhe në prodhim të pemëve frutore</w:t>
            </w:r>
            <w:r w:rsidR="00E1320B" w:rsidRPr="00B31292">
              <w:rPr>
                <w:rFonts w:ascii="Garamond" w:eastAsia="Times New Roman" w:hAnsi="Garamond" w:cs="Times New Roman"/>
                <w:color w:val="000000"/>
                <w:sz w:val="10"/>
                <w:szCs w:val="10"/>
              </w:rPr>
              <w:t>.</w:t>
            </w:r>
          </w:p>
        </w:tc>
        <w:tc>
          <w:tcPr>
            <w:tcW w:w="299" w:type="pct"/>
            <w:vMerge w:val="restart"/>
            <w:tcBorders>
              <w:top w:val="nil"/>
              <w:left w:val="single" w:sz="4" w:space="0" w:color="auto"/>
              <w:bottom w:val="single" w:sz="4" w:space="0" w:color="000000"/>
              <w:right w:val="single" w:sz="4" w:space="0" w:color="auto"/>
            </w:tcBorders>
            <w:shd w:val="clear" w:color="auto" w:fill="auto"/>
            <w:vAlign w:val="center"/>
            <w:hideMark/>
          </w:tcPr>
          <w:p w14:paraId="2EE5629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lastRenderedPageBreak/>
              <w:t>Ministria e Bujqësisë dhe Zhvillimit Rural</w:t>
            </w:r>
          </w:p>
        </w:tc>
        <w:tc>
          <w:tcPr>
            <w:tcW w:w="224" w:type="pct"/>
            <w:vMerge w:val="restart"/>
            <w:tcBorders>
              <w:top w:val="nil"/>
              <w:left w:val="single" w:sz="4" w:space="0" w:color="auto"/>
              <w:bottom w:val="single" w:sz="4" w:space="0" w:color="000000"/>
              <w:right w:val="single" w:sz="4" w:space="0" w:color="auto"/>
            </w:tcBorders>
            <w:shd w:val="clear" w:color="auto" w:fill="auto"/>
            <w:vAlign w:val="center"/>
            <w:hideMark/>
          </w:tcPr>
          <w:p w14:paraId="31037865" w14:textId="76630B04"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E1320B" w:rsidRPr="00B31292">
              <w:rPr>
                <w:rFonts w:ascii="Garamond" w:eastAsia="Times New Roman" w:hAnsi="Garamond" w:cs="Times New Roman"/>
                <w:color w:val="000000"/>
                <w:sz w:val="10"/>
                <w:szCs w:val="10"/>
              </w:rPr>
              <w:t>-i</w:t>
            </w:r>
          </w:p>
        </w:tc>
        <w:tc>
          <w:tcPr>
            <w:tcW w:w="24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D2E901B"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+ 118D</w:t>
            </w:r>
          </w:p>
        </w:tc>
        <w:tc>
          <w:tcPr>
            <w:tcW w:w="220"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E5B5EB6"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+ 157D</w:t>
            </w:r>
          </w:p>
        </w:tc>
        <w:tc>
          <w:tcPr>
            <w:tcW w:w="220"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24D2C2F"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+ 174D</w:t>
            </w:r>
          </w:p>
        </w:tc>
        <w:tc>
          <w:tcPr>
            <w:tcW w:w="346" w:type="pct"/>
            <w:vMerge w:val="restart"/>
            <w:tcBorders>
              <w:top w:val="nil"/>
              <w:left w:val="single" w:sz="4" w:space="0" w:color="auto"/>
              <w:bottom w:val="single" w:sz="4" w:space="0" w:color="000000"/>
              <w:right w:val="single" w:sz="4" w:space="0" w:color="auto"/>
            </w:tcBorders>
            <w:shd w:val="clear" w:color="auto" w:fill="auto"/>
            <w:vAlign w:val="center"/>
            <w:hideMark/>
          </w:tcPr>
          <w:p w14:paraId="65A4C629" w14:textId="5D950A6F"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1. Vonesa në </w:t>
            </w:r>
            <w:r w:rsidR="0012403A" w:rsidRPr="00B31292">
              <w:rPr>
                <w:rFonts w:ascii="Garamond" w:eastAsia="Times New Roman" w:hAnsi="Garamond" w:cs="Times New Roman"/>
                <w:color w:val="000000"/>
                <w:sz w:val="10"/>
                <w:szCs w:val="10"/>
              </w:rPr>
              <w:t>marrjen</w:t>
            </w:r>
            <w:r w:rsidRPr="00B31292">
              <w:rPr>
                <w:rFonts w:ascii="Garamond" w:eastAsia="Times New Roman" w:hAnsi="Garamond" w:cs="Times New Roman"/>
                <w:color w:val="000000"/>
                <w:sz w:val="10"/>
                <w:szCs w:val="10"/>
              </w:rPr>
              <w:t xml:space="preserve"> e të dhënave nga burimi administrativ -|- 2</w:t>
            </w:r>
          </w:p>
        </w:tc>
        <w:tc>
          <w:tcPr>
            <w:tcW w:w="273" w:type="pct"/>
            <w:vMerge w:val="restart"/>
            <w:tcBorders>
              <w:top w:val="nil"/>
              <w:left w:val="single" w:sz="4" w:space="0" w:color="auto"/>
              <w:bottom w:val="single" w:sz="4" w:space="0" w:color="000000"/>
              <w:right w:val="single" w:sz="4" w:space="0" w:color="auto"/>
            </w:tcBorders>
            <w:shd w:val="clear" w:color="auto" w:fill="auto"/>
            <w:vAlign w:val="center"/>
            <w:hideMark/>
          </w:tcPr>
          <w:p w14:paraId="7D5310D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Buxhet shteti</w:t>
            </w:r>
          </w:p>
        </w:tc>
      </w:tr>
      <w:tr w:rsidR="000A2254" w:rsidRPr="00B31292" w14:paraId="41401DCF" w14:textId="77777777" w:rsidTr="000A2254">
        <w:trPr>
          <w:trHeight w:val="20"/>
        </w:trPr>
        <w:tc>
          <w:tcPr>
            <w:tcW w:w="215" w:type="pct"/>
            <w:tcBorders>
              <w:top w:val="nil"/>
              <w:left w:val="nil"/>
              <w:bottom w:val="nil"/>
              <w:right w:val="nil"/>
            </w:tcBorders>
            <w:shd w:val="clear" w:color="000000" w:fill="FFFFFF"/>
            <w:vAlign w:val="bottom"/>
            <w:hideMark/>
          </w:tcPr>
          <w:p w14:paraId="65011027"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74D5996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416A300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21C2287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3097D4A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4BC58F3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vMerge/>
            <w:tcBorders>
              <w:top w:val="nil"/>
              <w:left w:val="single" w:sz="4" w:space="0" w:color="auto"/>
              <w:bottom w:val="single" w:sz="4" w:space="0" w:color="000000"/>
              <w:right w:val="single" w:sz="4" w:space="0" w:color="auto"/>
            </w:tcBorders>
            <w:vAlign w:val="center"/>
            <w:hideMark/>
          </w:tcPr>
          <w:p w14:paraId="7514F411"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81" w:type="pct"/>
            <w:vMerge/>
            <w:tcBorders>
              <w:top w:val="nil"/>
              <w:left w:val="single" w:sz="4" w:space="0" w:color="auto"/>
              <w:bottom w:val="single" w:sz="4" w:space="0" w:color="000000"/>
              <w:right w:val="single" w:sz="4" w:space="0" w:color="auto"/>
            </w:tcBorders>
            <w:vAlign w:val="center"/>
            <w:hideMark/>
          </w:tcPr>
          <w:p w14:paraId="3FE4395F" w14:textId="77777777" w:rsidR="000A2254" w:rsidRPr="00B31292" w:rsidRDefault="000A2254" w:rsidP="000A2254">
            <w:pPr>
              <w:spacing w:after="0" w:line="240" w:lineRule="auto"/>
              <w:rPr>
                <w:rFonts w:ascii="Garamond" w:eastAsia="Times New Roman" w:hAnsi="Garamond" w:cs="Times New Roman"/>
                <w:sz w:val="10"/>
                <w:szCs w:val="10"/>
              </w:rPr>
            </w:pPr>
          </w:p>
        </w:tc>
        <w:tc>
          <w:tcPr>
            <w:tcW w:w="236" w:type="pct"/>
            <w:vMerge/>
            <w:tcBorders>
              <w:top w:val="nil"/>
              <w:left w:val="single" w:sz="4" w:space="0" w:color="auto"/>
              <w:bottom w:val="single" w:sz="4" w:space="0" w:color="000000"/>
              <w:right w:val="single" w:sz="4" w:space="0" w:color="auto"/>
            </w:tcBorders>
            <w:vAlign w:val="center"/>
            <w:hideMark/>
          </w:tcPr>
          <w:p w14:paraId="3179BB78" w14:textId="77777777" w:rsidR="000A2254" w:rsidRPr="00B31292" w:rsidRDefault="000A2254" w:rsidP="000A2254">
            <w:pPr>
              <w:spacing w:after="0" w:line="240" w:lineRule="auto"/>
              <w:rPr>
                <w:rFonts w:ascii="Garamond" w:eastAsia="Times New Roman" w:hAnsi="Garamond" w:cs="Times New Roman"/>
                <w:sz w:val="10"/>
                <w:szCs w:val="10"/>
              </w:rPr>
            </w:pPr>
          </w:p>
        </w:tc>
        <w:tc>
          <w:tcPr>
            <w:tcW w:w="238" w:type="pct"/>
            <w:vMerge/>
            <w:tcBorders>
              <w:top w:val="nil"/>
              <w:left w:val="single" w:sz="4" w:space="0" w:color="auto"/>
              <w:bottom w:val="single" w:sz="4" w:space="0" w:color="000000"/>
              <w:right w:val="single" w:sz="4" w:space="0" w:color="auto"/>
            </w:tcBorders>
            <w:vAlign w:val="center"/>
            <w:hideMark/>
          </w:tcPr>
          <w:p w14:paraId="2619A8C9" w14:textId="77777777" w:rsidR="000A2254" w:rsidRPr="00B31292" w:rsidRDefault="000A2254" w:rsidP="000A2254">
            <w:pPr>
              <w:spacing w:after="0" w:line="240" w:lineRule="auto"/>
              <w:rPr>
                <w:rFonts w:ascii="Garamond" w:eastAsia="Times New Roman" w:hAnsi="Garamond" w:cs="Times New Roman"/>
                <w:sz w:val="10"/>
                <w:szCs w:val="10"/>
              </w:rPr>
            </w:pPr>
          </w:p>
        </w:tc>
        <w:tc>
          <w:tcPr>
            <w:tcW w:w="180" w:type="pct"/>
            <w:vMerge/>
            <w:tcBorders>
              <w:top w:val="nil"/>
              <w:left w:val="single" w:sz="4" w:space="0" w:color="auto"/>
              <w:bottom w:val="single" w:sz="4" w:space="0" w:color="000000"/>
              <w:right w:val="single" w:sz="4" w:space="0" w:color="auto"/>
            </w:tcBorders>
            <w:vAlign w:val="center"/>
            <w:hideMark/>
          </w:tcPr>
          <w:p w14:paraId="416CF7B8" w14:textId="77777777" w:rsidR="000A2254" w:rsidRPr="00B31292" w:rsidRDefault="000A2254" w:rsidP="000A2254">
            <w:pPr>
              <w:spacing w:after="0" w:line="240" w:lineRule="auto"/>
              <w:rPr>
                <w:rFonts w:ascii="Garamond" w:eastAsia="Times New Roman" w:hAnsi="Garamond" w:cs="Times New Roman"/>
                <w:sz w:val="10"/>
                <w:szCs w:val="10"/>
              </w:rPr>
            </w:pPr>
          </w:p>
        </w:tc>
        <w:tc>
          <w:tcPr>
            <w:tcW w:w="228" w:type="pct"/>
            <w:vMerge/>
            <w:tcBorders>
              <w:top w:val="nil"/>
              <w:left w:val="single" w:sz="4" w:space="0" w:color="auto"/>
              <w:bottom w:val="single" w:sz="4" w:space="0" w:color="000000"/>
              <w:right w:val="single" w:sz="4" w:space="0" w:color="auto"/>
            </w:tcBorders>
            <w:vAlign w:val="center"/>
            <w:hideMark/>
          </w:tcPr>
          <w:p w14:paraId="0C681960"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22" w:type="pct"/>
            <w:vMerge/>
            <w:tcBorders>
              <w:top w:val="single" w:sz="4" w:space="0" w:color="auto"/>
              <w:left w:val="single" w:sz="4" w:space="0" w:color="auto"/>
              <w:bottom w:val="single" w:sz="4" w:space="0" w:color="000000"/>
              <w:right w:val="single" w:sz="4" w:space="0" w:color="auto"/>
            </w:tcBorders>
            <w:vAlign w:val="center"/>
            <w:hideMark/>
          </w:tcPr>
          <w:p w14:paraId="10A22EF3"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486" w:type="pct"/>
            <w:tcBorders>
              <w:top w:val="nil"/>
              <w:left w:val="nil"/>
              <w:bottom w:val="nil"/>
              <w:right w:val="nil"/>
            </w:tcBorders>
            <w:shd w:val="clear" w:color="auto" w:fill="auto"/>
            <w:hideMark/>
          </w:tcPr>
          <w:p w14:paraId="38EFE729" w14:textId="7D72C16D"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26. Numri i rrënjëve gjithsej dhe në prodhim të ullirit</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27. Numri i rrënjëve gjithsej dhe në prodhim t</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agrumeve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28. Numri i rrënjëve gjithsej dhe në prodhim të pjergullave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29. Prodhimi dhe rendimenti i pemëve frutore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30. Prodhimi dhe rendimenti i ullirit</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31. Prodhimi dhe rendimenti i agrumeve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32. Prodhimi dhe rendimenti i rrushit</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33. Sipërfaqja bujqësore e përdorur</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34. Sipërfaqja e tokës së punueshme (arë)</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35. Sipërfaqja e drufrutor</w:t>
            </w:r>
            <w:r w:rsidR="00E1320B"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ve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36. Sipërfaqja e livadheve dhe kullotave e përdorur për aktivitet bujqësor</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37. Sipërfaqja e </w:t>
            </w:r>
            <w:r w:rsidR="0012403A" w:rsidRPr="00B31292">
              <w:rPr>
                <w:rFonts w:ascii="Garamond" w:eastAsia="Times New Roman" w:hAnsi="Garamond" w:cs="Times New Roman"/>
                <w:color w:val="000000"/>
                <w:sz w:val="10"/>
                <w:szCs w:val="10"/>
              </w:rPr>
              <w:t>kopshtit</w:t>
            </w:r>
            <w:r w:rsidRPr="00B31292">
              <w:rPr>
                <w:rFonts w:ascii="Garamond" w:eastAsia="Times New Roman" w:hAnsi="Garamond" w:cs="Times New Roman"/>
                <w:color w:val="000000"/>
                <w:sz w:val="10"/>
                <w:szCs w:val="10"/>
              </w:rPr>
              <w:t xml:space="preserve"> të shtëpisë</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38. Aftësia ujitëse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39. Numri i mjeteve të mekanikës bujqësore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40. Import eksporti i prodhimeve bujqësore sipas grup kulturave dhe produkteve bujqësore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41. Sipërfaqja e punueshme e mbjellë me kultura të para</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42. Sipërfaqja e mbjellë me perime të para sipas llojeve kryesore, në fushë dhe në serra</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43. Sipërfaqja e mbjellë me </w:t>
            </w:r>
            <w:r w:rsidR="0012403A" w:rsidRPr="00B31292">
              <w:rPr>
                <w:rFonts w:ascii="Garamond" w:eastAsia="Times New Roman" w:hAnsi="Garamond" w:cs="Times New Roman"/>
                <w:color w:val="000000"/>
                <w:sz w:val="10"/>
                <w:szCs w:val="10"/>
              </w:rPr>
              <w:t>drithëra</w:t>
            </w:r>
            <w:r w:rsidRPr="00B31292">
              <w:rPr>
                <w:rFonts w:ascii="Garamond" w:eastAsia="Times New Roman" w:hAnsi="Garamond" w:cs="Times New Roman"/>
                <w:color w:val="000000"/>
                <w:sz w:val="10"/>
                <w:szCs w:val="10"/>
              </w:rPr>
              <w:t>, patate dhe fasule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44. Sipërfaqja e mbjellë me bime industriale dhe medicinale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45. Sipërfaqja e mbjellë me luleshtrydhe kulturë e parë në fushë e serra</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46. Sipërfaqja e mbjellë me foragjere kulturë e parë</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47. Sipërfaqja e mbjellë me vresht sipas destinacionit të varieteteve (për verë dhe për tavolinë)</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48. Sipërfaqja e </w:t>
            </w:r>
            <w:r w:rsidR="00106FB4" w:rsidRPr="00B31292">
              <w:rPr>
                <w:rFonts w:ascii="Garamond" w:eastAsia="Times New Roman" w:hAnsi="Garamond" w:cs="Times New Roman"/>
                <w:color w:val="000000"/>
                <w:sz w:val="10"/>
                <w:szCs w:val="10"/>
              </w:rPr>
              <w:t>ullishtave</w:t>
            </w:r>
            <w:r w:rsidRPr="00B31292">
              <w:rPr>
                <w:rFonts w:ascii="Garamond" w:eastAsia="Times New Roman" w:hAnsi="Garamond" w:cs="Times New Roman"/>
                <w:color w:val="000000"/>
                <w:sz w:val="10"/>
                <w:szCs w:val="10"/>
              </w:rPr>
              <w:t xml:space="preserve"> sipas destinacionit të varieteteve (për vaj dhe për tavolinë)</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49. Struktura e pemëve </w:t>
            </w:r>
            <w:r w:rsidR="00E1320B" w:rsidRPr="00B31292">
              <w:rPr>
                <w:rFonts w:ascii="Garamond" w:eastAsia="Times New Roman" w:hAnsi="Garamond" w:cs="Times New Roman"/>
                <w:color w:val="000000"/>
                <w:sz w:val="10"/>
                <w:szCs w:val="10"/>
              </w:rPr>
              <w:t>f</w:t>
            </w:r>
            <w:r w:rsidRPr="00B31292">
              <w:rPr>
                <w:rFonts w:ascii="Garamond" w:eastAsia="Times New Roman" w:hAnsi="Garamond" w:cs="Times New Roman"/>
                <w:color w:val="000000"/>
                <w:sz w:val="10"/>
                <w:szCs w:val="10"/>
              </w:rPr>
              <w:t>rutore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50. Struktura e vreshtarisë</w:t>
            </w:r>
            <w:r w:rsidR="00E1320B" w:rsidRPr="00B31292">
              <w:rPr>
                <w:rFonts w:ascii="Garamond" w:eastAsia="Times New Roman" w:hAnsi="Garamond" w:cs="Times New Roman"/>
                <w:color w:val="000000"/>
                <w:sz w:val="10"/>
                <w:szCs w:val="10"/>
              </w:rPr>
              <w:t>.</w:t>
            </w:r>
          </w:p>
        </w:tc>
        <w:tc>
          <w:tcPr>
            <w:tcW w:w="299" w:type="pct"/>
            <w:vMerge/>
            <w:tcBorders>
              <w:top w:val="nil"/>
              <w:left w:val="single" w:sz="4" w:space="0" w:color="auto"/>
              <w:bottom w:val="single" w:sz="4" w:space="0" w:color="000000"/>
              <w:right w:val="single" w:sz="4" w:space="0" w:color="auto"/>
            </w:tcBorders>
            <w:vAlign w:val="center"/>
            <w:hideMark/>
          </w:tcPr>
          <w:p w14:paraId="6683E34A"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24" w:type="pct"/>
            <w:vMerge/>
            <w:tcBorders>
              <w:top w:val="nil"/>
              <w:left w:val="single" w:sz="4" w:space="0" w:color="auto"/>
              <w:bottom w:val="single" w:sz="4" w:space="0" w:color="000000"/>
              <w:right w:val="single" w:sz="4" w:space="0" w:color="auto"/>
            </w:tcBorders>
            <w:vAlign w:val="center"/>
            <w:hideMark/>
          </w:tcPr>
          <w:p w14:paraId="6CB36E17"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44" w:type="pct"/>
            <w:vMerge/>
            <w:tcBorders>
              <w:top w:val="nil"/>
              <w:left w:val="single" w:sz="4" w:space="0" w:color="auto"/>
              <w:bottom w:val="single" w:sz="4" w:space="0" w:color="000000"/>
              <w:right w:val="single" w:sz="4" w:space="0" w:color="auto"/>
            </w:tcBorders>
            <w:vAlign w:val="center"/>
            <w:hideMark/>
          </w:tcPr>
          <w:p w14:paraId="3A934AE3"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20" w:type="pct"/>
            <w:vMerge/>
            <w:tcBorders>
              <w:top w:val="nil"/>
              <w:left w:val="single" w:sz="4" w:space="0" w:color="auto"/>
              <w:bottom w:val="single" w:sz="4" w:space="0" w:color="000000"/>
              <w:right w:val="single" w:sz="4" w:space="0" w:color="auto"/>
            </w:tcBorders>
            <w:vAlign w:val="center"/>
            <w:hideMark/>
          </w:tcPr>
          <w:p w14:paraId="3FACBAE9"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20" w:type="pct"/>
            <w:vMerge/>
            <w:tcBorders>
              <w:top w:val="nil"/>
              <w:left w:val="single" w:sz="4" w:space="0" w:color="auto"/>
              <w:bottom w:val="single" w:sz="4" w:space="0" w:color="000000"/>
              <w:right w:val="single" w:sz="4" w:space="0" w:color="auto"/>
            </w:tcBorders>
            <w:vAlign w:val="center"/>
            <w:hideMark/>
          </w:tcPr>
          <w:p w14:paraId="608B4B51"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346" w:type="pct"/>
            <w:vMerge/>
            <w:tcBorders>
              <w:top w:val="nil"/>
              <w:left w:val="single" w:sz="4" w:space="0" w:color="auto"/>
              <w:bottom w:val="single" w:sz="4" w:space="0" w:color="000000"/>
              <w:right w:val="single" w:sz="4" w:space="0" w:color="auto"/>
            </w:tcBorders>
            <w:vAlign w:val="center"/>
            <w:hideMark/>
          </w:tcPr>
          <w:p w14:paraId="5AD557FD"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73" w:type="pct"/>
            <w:vMerge/>
            <w:tcBorders>
              <w:top w:val="nil"/>
              <w:left w:val="single" w:sz="4" w:space="0" w:color="auto"/>
              <w:bottom w:val="single" w:sz="4" w:space="0" w:color="000000"/>
              <w:right w:val="single" w:sz="4" w:space="0" w:color="auto"/>
            </w:tcBorders>
            <w:vAlign w:val="center"/>
            <w:hideMark/>
          </w:tcPr>
          <w:p w14:paraId="459D5E86"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r>
      <w:tr w:rsidR="000A2254" w:rsidRPr="00B31292" w14:paraId="4018F29C" w14:textId="77777777" w:rsidTr="000A2254">
        <w:trPr>
          <w:trHeight w:val="20"/>
        </w:trPr>
        <w:tc>
          <w:tcPr>
            <w:tcW w:w="215" w:type="pct"/>
            <w:tcBorders>
              <w:top w:val="nil"/>
              <w:left w:val="nil"/>
              <w:bottom w:val="nil"/>
              <w:right w:val="nil"/>
            </w:tcBorders>
            <w:shd w:val="clear" w:color="000000" w:fill="FFFFFF"/>
            <w:vAlign w:val="bottom"/>
            <w:hideMark/>
          </w:tcPr>
          <w:p w14:paraId="53C473F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32A124B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6B0B6357"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2EEEE40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1DAF089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5EEA0C4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auto"/>
              <w:bottom w:val="single" w:sz="4" w:space="0" w:color="auto"/>
              <w:right w:val="single" w:sz="4" w:space="0" w:color="auto"/>
            </w:tcBorders>
            <w:shd w:val="clear" w:color="auto" w:fill="auto"/>
            <w:vAlign w:val="center"/>
            <w:hideMark/>
          </w:tcPr>
          <w:p w14:paraId="53E513A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3.1.2.a.3</w:t>
            </w:r>
          </w:p>
        </w:tc>
        <w:tc>
          <w:tcPr>
            <w:tcW w:w="281" w:type="pct"/>
            <w:tcBorders>
              <w:top w:val="nil"/>
              <w:left w:val="nil"/>
              <w:bottom w:val="nil"/>
              <w:right w:val="single" w:sz="4" w:space="0" w:color="auto"/>
            </w:tcBorders>
            <w:shd w:val="clear" w:color="auto" w:fill="auto"/>
            <w:vAlign w:val="center"/>
            <w:hideMark/>
          </w:tcPr>
          <w:p w14:paraId="16308335" w14:textId="2E95D313"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xml:space="preserve">Statistikat e </w:t>
            </w:r>
            <w:r w:rsidR="00E1320B" w:rsidRPr="00B31292">
              <w:rPr>
                <w:rFonts w:ascii="Garamond" w:eastAsia="Times New Roman" w:hAnsi="Garamond" w:cs="Times New Roman"/>
                <w:sz w:val="10"/>
                <w:szCs w:val="10"/>
              </w:rPr>
              <w:t xml:space="preserve">produkteve bimore nga vrojtimi mbi sipërfaqen </w:t>
            </w:r>
            <w:r w:rsidRPr="00B31292">
              <w:rPr>
                <w:rFonts w:ascii="Garamond" w:eastAsia="Times New Roman" w:hAnsi="Garamond" w:cs="Times New Roman"/>
                <w:sz w:val="10"/>
                <w:szCs w:val="10"/>
              </w:rPr>
              <w:t xml:space="preserve">e </w:t>
            </w:r>
            <w:r w:rsidR="00E1320B" w:rsidRPr="00B31292">
              <w:rPr>
                <w:rFonts w:ascii="Garamond" w:eastAsia="Times New Roman" w:hAnsi="Garamond" w:cs="Times New Roman"/>
                <w:sz w:val="10"/>
                <w:szCs w:val="10"/>
              </w:rPr>
              <w:t>m</w:t>
            </w:r>
            <w:r w:rsidRPr="00B31292">
              <w:rPr>
                <w:rFonts w:ascii="Garamond" w:eastAsia="Times New Roman" w:hAnsi="Garamond" w:cs="Times New Roman"/>
                <w:sz w:val="10"/>
                <w:szCs w:val="10"/>
              </w:rPr>
              <w:t>bjellë</w:t>
            </w:r>
          </w:p>
        </w:tc>
        <w:tc>
          <w:tcPr>
            <w:tcW w:w="236" w:type="pct"/>
            <w:tcBorders>
              <w:top w:val="nil"/>
              <w:left w:val="nil"/>
              <w:bottom w:val="nil"/>
              <w:right w:val="single" w:sz="4" w:space="0" w:color="000000"/>
            </w:tcBorders>
            <w:shd w:val="clear" w:color="auto" w:fill="auto"/>
            <w:vAlign w:val="center"/>
            <w:hideMark/>
          </w:tcPr>
          <w:p w14:paraId="5E2633F0"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Vrojtim</w:t>
            </w:r>
          </w:p>
        </w:tc>
        <w:tc>
          <w:tcPr>
            <w:tcW w:w="238" w:type="pct"/>
            <w:tcBorders>
              <w:top w:val="nil"/>
              <w:left w:val="nil"/>
              <w:bottom w:val="single" w:sz="4" w:space="0" w:color="auto"/>
              <w:right w:val="single" w:sz="4" w:space="0" w:color="auto"/>
            </w:tcBorders>
            <w:shd w:val="clear" w:color="auto" w:fill="auto"/>
            <w:noWrap/>
            <w:vAlign w:val="center"/>
            <w:hideMark/>
          </w:tcPr>
          <w:p w14:paraId="7AA3540D"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180" w:type="pct"/>
            <w:tcBorders>
              <w:top w:val="nil"/>
              <w:left w:val="nil"/>
              <w:bottom w:val="single" w:sz="4" w:space="0" w:color="auto"/>
              <w:right w:val="single" w:sz="4" w:space="0" w:color="auto"/>
            </w:tcBorders>
            <w:shd w:val="clear" w:color="auto" w:fill="auto"/>
            <w:noWrap/>
            <w:vAlign w:val="center"/>
            <w:hideMark/>
          </w:tcPr>
          <w:p w14:paraId="66DC7D11"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228" w:type="pct"/>
            <w:tcBorders>
              <w:top w:val="nil"/>
              <w:left w:val="nil"/>
              <w:bottom w:val="single" w:sz="4" w:space="0" w:color="auto"/>
              <w:right w:val="single" w:sz="4" w:space="0" w:color="auto"/>
            </w:tcBorders>
            <w:shd w:val="clear" w:color="auto" w:fill="auto"/>
            <w:vAlign w:val="center"/>
            <w:hideMark/>
          </w:tcPr>
          <w:p w14:paraId="33B6E93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tcBorders>
              <w:top w:val="nil"/>
              <w:left w:val="nil"/>
              <w:bottom w:val="nil"/>
              <w:right w:val="nil"/>
            </w:tcBorders>
            <w:shd w:val="clear" w:color="auto" w:fill="auto"/>
            <w:vAlign w:val="center"/>
            <w:hideMark/>
          </w:tcPr>
          <w:p w14:paraId="0B1EB0D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Vjetor</w:t>
            </w:r>
          </w:p>
        </w:tc>
        <w:tc>
          <w:tcPr>
            <w:tcW w:w="48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373D0B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99" w:type="pct"/>
            <w:tcBorders>
              <w:top w:val="nil"/>
              <w:left w:val="nil"/>
              <w:bottom w:val="nil"/>
              <w:right w:val="single" w:sz="4" w:space="0" w:color="auto"/>
            </w:tcBorders>
            <w:shd w:val="clear" w:color="auto" w:fill="auto"/>
            <w:vAlign w:val="center"/>
            <w:hideMark/>
          </w:tcPr>
          <w:p w14:paraId="7D1C0DA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Nuk merren të dhëna administrative</w:t>
            </w:r>
          </w:p>
        </w:tc>
        <w:tc>
          <w:tcPr>
            <w:tcW w:w="224" w:type="pct"/>
            <w:tcBorders>
              <w:top w:val="nil"/>
              <w:left w:val="nil"/>
              <w:bottom w:val="nil"/>
              <w:right w:val="single" w:sz="4" w:space="0" w:color="auto"/>
            </w:tcBorders>
            <w:shd w:val="clear" w:color="auto" w:fill="auto"/>
            <w:vAlign w:val="center"/>
            <w:hideMark/>
          </w:tcPr>
          <w:p w14:paraId="3844601D" w14:textId="602BB148"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E1320B" w:rsidRPr="00B31292">
              <w:rPr>
                <w:rFonts w:ascii="Garamond" w:eastAsia="Times New Roman" w:hAnsi="Garamond" w:cs="Times New Roman"/>
                <w:color w:val="000000"/>
                <w:sz w:val="10"/>
                <w:szCs w:val="10"/>
              </w:rPr>
              <w:t>-i</w:t>
            </w:r>
          </w:p>
        </w:tc>
        <w:tc>
          <w:tcPr>
            <w:tcW w:w="244" w:type="pct"/>
            <w:tcBorders>
              <w:top w:val="nil"/>
              <w:left w:val="nil"/>
              <w:bottom w:val="single" w:sz="4" w:space="0" w:color="auto"/>
              <w:right w:val="single" w:sz="4" w:space="0" w:color="auto"/>
            </w:tcBorders>
            <w:shd w:val="clear" w:color="000000" w:fill="FFFFFF"/>
            <w:vAlign w:val="center"/>
            <w:hideMark/>
          </w:tcPr>
          <w:p w14:paraId="3228050A"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Dita e 171 e V</w:t>
            </w:r>
          </w:p>
        </w:tc>
        <w:tc>
          <w:tcPr>
            <w:tcW w:w="220" w:type="pct"/>
            <w:tcBorders>
              <w:top w:val="nil"/>
              <w:left w:val="nil"/>
              <w:bottom w:val="single" w:sz="4" w:space="0" w:color="auto"/>
              <w:right w:val="single" w:sz="4" w:space="0" w:color="auto"/>
            </w:tcBorders>
            <w:shd w:val="clear" w:color="000000" w:fill="FFFFFF"/>
            <w:vAlign w:val="center"/>
            <w:hideMark/>
          </w:tcPr>
          <w:p w14:paraId="44561591"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Dita e 318 e V</w:t>
            </w:r>
          </w:p>
        </w:tc>
        <w:tc>
          <w:tcPr>
            <w:tcW w:w="220" w:type="pct"/>
            <w:tcBorders>
              <w:top w:val="nil"/>
              <w:left w:val="nil"/>
              <w:bottom w:val="single" w:sz="4" w:space="0" w:color="auto"/>
              <w:right w:val="single" w:sz="4" w:space="0" w:color="auto"/>
            </w:tcBorders>
            <w:shd w:val="clear" w:color="000000" w:fill="FFFFFF"/>
            <w:noWrap/>
            <w:vAlign w:val="center"/>
            <w:hideMark/>
          </w:tcPr>
          <w:p w14:paraId="358639B6"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346" w:type="pct"/>
            <w:tcBorders>
              <w:top w:val="nil"/>
              <w:left w:val="nil"/>
              <w:bottom w:val="single" w:sz="4" w:space="0" w:color="auto"/>
              <w:right w:val="single" w:sz="4" w:space="0" w:color="auto"/>
            </w:tcBorders>
            <w:shd w:val="clear" w:color="auto" w:fill="auto"/>
            <w:vAlign w:val="center"/>
            <w:hideMark/>
          </w:tcPr>
          <w:p w14:paraId="7960D36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1. Mospërmbushja e kritereve të cilësisë (saktësia, përpikmëria dhe krahasueshmëria) në vrojtimin vjetor të bujqësisë (VVB), </w:t>
            </w:r>
            <w:r w:rsidRPr="00B31292">
              <w:rPr>
                <w:rFonts w:ascii="Garamond" w:eastAsia="Times New Roman" w:hAnsi="Garamond" w:cs="Times New Roman"/>
                <w:color w:val="000000"/>
                <w:sz w:val="10"/>
                <w:szCs w:val="10"/>
              </w:rPr>
              <w:lastRenderedPageBreak/>
              <w:t>e cila sjell si pasojë mos shpërndarjen në kohë dhe me cilësi të rezultateve të vrojtimit -|- 5</w:t>
            </w:r>
          </w:p>
        </w:tc>
        <w:tc>
          <w:tcPr>
            <w:tcW w:w="273" w:type="pct"/>
            <w:tcBorders>
              <w:top w:val="nil"/>
              <w:left w:val="nil"/>
              <w:bottom w:val="single" w:sz="4" w:space="0" w:color="auto"/>
              <w:right w:val="single" w:sz="4" w:space="0" w:color="auto"/>
            </w:tcBorders>
            <w:shd w:val="clear" w:color="auto" w:fill="auto"/>
            <w:vAlign w:val="center"/>
            <w:hideMark/>
          </w:tcPr>
          <w:p w14:paraId="129A2F6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lastRenderedPageBreak/>
              <w:t>Buxhet shteti</w:t>
            </w:r>
          </w:p>
        </w:tc>
      </w:tr>
      <w:tr w:rsidR="000A2254" w:rsidRPr="00B31292" w14:paraId="0239D8D5" w14:textId="77777777" w:rsidTr="000A2254">
        <w:trPr>
          <w:trHeight w:val="20"/>
        </w:trPr>
        <w:tc>
          <w:tcPr>
            <w:tcW w:w="215" w:type="pct"/>
            <w:tcBorders>
              <w:top w:val="nil"/>
              <w:left w:val="nil"/>
              <w:bottom w:val="nil"/>
              <w:right w:val="nil"/>
            </w:tcBorders>
            <w:shd w:val="clear" w:color="000000" w:fill="FFFFFF"/>
            <w:vAlign w:val="bottom"/>
            <w:hideMark/>
          </w:tcPr>
          <w:p w14:paraId="1820180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22457CD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5ED3DAF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0084F84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08365407"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274250E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000000"/>
              <w:bottom w:val="single" w:sz="4" w:space="0" w:color="000000"/>
              <w:right w:val="nil"/>
            </w:tcBorders>
            <w:shd w:val="clear" w:color="000000" w:fill="F0F0F0"/>
            <w:vAlign w:val="center"/>
            <w:hideMark/>
          </w:tcPr>
          <w:p w14:paraId="3626BABF"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3.1.2.b</w:t>
            </w:r>
          </w:p>
        </w:tc>
        <w:tc>
          <w:tcPr>
            <w:tcW w:w="3700" w:type="pct"/>
            <w:gridSpan w:val="14"/>
            <w:tcBorders>
              <w:top w:val="single" w:sz="4" w:space="0" w:color="auto"/>
              <w:left w:val="single" w:sz="4" w:space="0" w:color="auto"/>
              <w:bottom w:val="single" w:sz="4" w:space="0" w:color="auto"/>
              <w:right w:val="single" w:sz="4" w:space="0" w:color="auto"/>
            </w:tcBorders>
            <w:shd w:val="clear" w:color="000000" w:fill="F0F0F0"/>
            <w:vAlign w:val="center"/>
            <w:hideMark/>
          </w:tcPr>
          <w:p w14:paraId="06D7072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Statistikat e blegtorisë, mishit dhe vezëve</w:t>
            </w:r>
          </w:p>
        </w:tc>
      </w:tr>
      <w:tr w:rsidR="000A2254" w:rsidRPr="00B31292" w14:paraId="429C9C11" w14:textId="77777777" w:rsidTr="000A2254">
        <w:trPr>
          <w:trHeight w:val="20"/>
        </w:trPr>
        <w:tc>
          <w:tcPr>
            <w:tcW w:w="215" w:type="pct"/>
            <w:tcBorders>
              <w:top w:val="nil"/>
              <w:left w:val="nil"/>
              <w:bottom w:val="nil"/>
              <w:right w:val="nil"/>
            </w:tcBorders>
            <w:shd w:val="clear" w:color="000000" w:fill="FFFFFF"/>
            <w:vAlign w:val="bottom"/>
            <w:hideMark/>
          </w:tcPr>
          <w:p w14:paraId="0040145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3557E5A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0811348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171960A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439DF4A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1DBFB2E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auto"/>
              <w:bottom w:val="single" w:sz="4" w:space="0" w:color="auto"/>
              <w:right w:val="single" w:sz="4" w:space="0" w:color="auto"/>
            </w:tcBorders>
            <w:shd w:val="clear" w:color="auto" w:fill="auto"/>
            <w:vAlign w:val="center"/>
            <w:hideMark/>
          </w:tcPr>
          <w:p w14:paraId="5E3E90D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3.1.2.b.1</w:t>
            </w:r>
          </w:p>
        </w:tc>
        <w:tc>
          <w:tcPr>
            <w:tcW w:w="281" w:type="pct"/>
            <w:tcBorders>
              <w:top w:val="nil"/>
              <w:left w:val="nil"/>
              <w:bottom w:val="single" w:sz="4" w:space="0" w:color="auto"/>
              <w:right w:val="single" w:sz="4" w:space="0" w:color="auto"/>
            </w:tcBorders>
            <w:shd w:val="clear" w:color="auto" w:fill="auto"/>
            <w:vAlign w:val="center"/>
            <w:hideMark/>
          </w:tcPr>
          <w:p w14:paraId="21479B44" w14:textId="2D32C39D"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xml:space="preserve">Statistikat e </w:t>
            </w:r>
            <w:r w:rsidR="00E1320B" w:rsidRPr="00B31292">
              <w:rPr>
                <w:rFonts w:ascii="Garamond" w:eastAsia="Times New Roman" w:hAnsi="Garamond" w:cs="Times New Roman"/>
                <w:sz w:val="10"/>
                <w:szCs w:val="10"/>
              </w:rPr>
              <w:t>blegtorisë, mishit dhe vezëve nga vrojtimi vjetor në bujqësi</w:t>
            </w:r>
          </w:p>
        </w:tc>
        <w:tc>
          <w:tcPr>
            <w:tcW w:w="236" w:type="pct"/>
            <w:tcBorders>
              <w:top w:val="nil"/>
              <w:left w:val="nil"/>
              <w:bottom w:val="single" w:sz="4" w:space="0" w:color="000000"/>
              <w:right w:val="single" w:sz="4" w:space="0" w:color="000000"/>
            </w:tcBorders>
            <w:shd w:val="clear" w:color="auto" w:fill="auto"/>
            <w:vAlign w:val="center"/>
            <w:hideMark/>
          </w:tcPr>
          <w:p w14:paraId="531C4FA7"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Vrojtim</w:t>
            </w:r>
          </w:p>
        </w:tc>
        <w:tc>
          <w:tcPr>
            <w:tcW w:w="238" w:type="pct"/>
            <w:tcBorders>
              <w:top w:val="nil"/>
              <w:left w:val="nil"/>
              <w:bottom w:val="single" w:sz="4" w:space="0" w:color="auto"/>
              <w:right w:val="single" w:sz="4" w:space="0" w:color="auto"/>
            </w:tcBorders>
            <w:shd w:val="clear" w:color="auto" w:fill="auto"/>
            <w:noWrap/>
            <w:vAlign w:val="center"/>
            <w:hideMark/>
          </w:tcPr>
          <w:p w14:paraId="00288C3E"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180" w:type="pct"/>
            <w:tcBorders>
              <w:top w:val="nil"/>
              <w:left w:val="nil"/>
              <w:bottom w:val="single" w:sz="4" w:space="0" w:color="auto"/>
              <w:right w:val="single" w:sz="4" w:space="0" w:color="auto"/>
            </w:tcBorders>
            <w:shd w:val="clear" w:color="auto" w:fill="auto"/>
            <w:noWrap/>
            <w:vAlign w:val="center"/>
            <w:hideMark/>
          </w:tcPr>
          <w:p w14:paraId="2E98E072"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228" w:type="pct"/>
            <w:tcBorders>
              <w:top w:val="nil"/>
              <w:left w:val="nil"/>
              <w:bottom w:val="single" w:sz="4" w:space="0" w:color="auto"/>
              <w:right w:val="single" w:sz="4" w:space="0" w:color="auto"/>
            </w:tcBorders>
            <w:shd w:val="clear" w:color="auto" w:fill="auto"/>
            <w:vAlign w:val="center"/>
            <w:hideMark/>
          </w:tcPr>
          <w:p w14:paraId="39E7388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tcBorders>
              <w:top w:val="nil"/>
              <w:left w:val="nil"/>
              <w:bottom w:val="single" w:sz="4" w:space="0" w:color="000000"/>
              <w:right w:val="single" w:sz="4" w:space="0" w:color="000000"/>
            </w:tcBorders>
            <w:shd w:val="clear" w:color="auto" w:fill="auto"/>
            <w:vAlign w:val="center"/>
            <w:hideMark/>
          </w:tcPr>
          <w:p w14:paraId="767157D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Vjetor</w:t>
            </w:r>
          </w:p>
        </w:tc>
        <w:tc>
          <w:tcPr>
            <w:tcW w:w="486" w:type="pct"/>
            <w:tcBorders>
              <w:top w:val="nil"/>
              <w:left w:val="nil"/>
              <w:bottom w:val="single" w:sz="4" w:space="0" w:color="000000"/>
              <w:right w:val="single" w:sz="4" w:space="0" w:color="000000"/>
            </w:tcBorders>
            <w:shd w:val="clear" w:color="auto" w:fill="auto"/>
            <w:vAlign w:val="center"/>
            <w:hideMark/>
          </w:tcPr>
          <w:p w14:paraId="7544563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99" w:type="pct"/>
            <w:tcBorders>
              <w:top w:val="nil"/>
              <w:left w:val="nil"/>
              <w:bottom w:val="single" w:sz="4" w:space="0" w:color="000000"/>
              <w:right w:val="nil"/>
            </w:tcBorders>
            <w:shd w:val="clear" w:color="auto" w:fill="auto"/>
            <w:vAlign w:val="center"/>
            <w:hideMark/>
          </w:tcPr>
          <w:p w14:paraId="59AC0D9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Ministria e Bujqësisë dhe Zhvillimit Rural</w:t>
            </w:r>
          </w:p>
        </w:tc>
        <w:tc>
          <w:tcPr>
            <w:tcW w:w="224" w:type="pct"/>
            <w:tcBorders>
              <w:top w:val="nil"/>
              <w:left w:val="single" w:sz="4" w:space="0" w:color="auto"/>
              <w:bottom w:val="single" w:sz="4" w:space="0" w:color="auto"/>
              <w:right w:val="single" w:sz="4" w:space="0" w:color="auto"/>
            </w:tcBorders>
            <w:shd w:val="clear" w:color="auto" w:fill="auto"/>
            <w:vAlign w:val="center"/>
            <w:hideMark/>
          </w:tcPr>
          <w:p w14:paraId="389227B5" w14:textId="4E248454"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E1320B" w:rsidRPr="00B31292">
              <w:rPr>
                <w:rFonts w:ascii="Garamond" w:eastAsia="Times New Roman" w:hAnsi="Garamond" w:cs="Times New Roman"/>
                <w:color w:val="000000"/>
                <w:sz w:val="10"/>
                <w:szCs w:val="10"/>
              </w:rPr>
              <w:t>-i</w:t>
            </w:r>
          </w:p>
        </w:tc>
        <w:tc>
          <w:tcPr>
            <w:tcW w:w="244" w:type="pct"/>
            <w:tcBorders>
              <w:top w:val="nil"/>
              <w:left w:val="nil"/>
              <w:bottom w:val="single" w:sz="4" w:space="0" w:color="auto"/>
              <w:right w:val="single" w:sz="4" w:space="0" w:color="auto"/>
            </w:tcBorders>
            <w:shd w:val="clear" w:color="000000" w:fill="FFFFFF"/>
            <w:vAlign w:val="center"/>
            <w:hideMark/>
          </w:tcPr>
          <w:p w14:paraId="5A0A1A07"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+ 30D</w:t>
            </w:r>
          </w:p>
        </w:tc>
        <w:tc>
          <w:tcPr>
            <w:tcW w:w="220" w:type="pct"/>
            <w:tcBorders>
              <w:top w:val="nil"/>
              <w:left w:val="nil"/>
              <w:bottom w:val="single" w:sz="4" w:space="0" w:color="auto"/>
              <w:right w:val="single" w:sz="4" w:space="0" w:color="auto"/>
            </w:tcBorders>
            <w:shd w:val="clear" w:color="000000" w:fill="FFFFFF"/>
            <w:vAlign w:val="center"/>
            <w:hideMark/>
          </w:tcPr>
          <w:p w14:paraId="50955F20"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+ 167D</w:t>
            </w:r>
          </w:p>
        </w:tc>
        <w:tc>
          <w:tcPr>
            <w:tcW w:w="220" w:type="pct"/>
            <w:tcBorders>
              <w:top w:val="nil"/>
              <w:left w:val="nil"/>
              <w:bottom w:val="single" w:sz="4" w:space="0" w:color="auto"/>
              <w:right w:val="single" w:sz="4" w:space="0" w:color="auto"/>
            </w:tcBorders>
            <w:shd w:val="clear" w:color="000000" w:fill="FFFFFF"/>
            <w:vAlign w:val="center"/>
            <w:hideMark/>
          </w:tcPr>
          <w:p w14:paraId="0D6F2DA3"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+ 231D</w:t>
            </w:r>
          </w:p>
        </w:tc>
        <w:tc>
          <w:tcPr>
            <w:tcW w:w="346" w:type="pct"/>
            <w:tcBorders>
              <w:top w:val="nil"/>
              <w:left w:val="nil"/>
              <w:bottom w:val="single" w:sz="4" w:space="0" w:color="auto"/>
              <w:right w:val="single" w:sz="4" w:space="0" w:color="auto"/>
            </w:tcBorders>
            <w:shd w:val="clear" w:color="auto" w:fill="auto"/>
            <w:vAlign w:val="center"/>
            <w:hideMark/>
          </w:tcPr>
          <w:p w14:paraId="7D3685FA" w14:textId="0063299E"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Mospërmbushja e kritereve të cilësisë (saktësia, përpikmëria dhe krahasueshmëria) në vrojtimin vjetor të bujqësisë (VVB)</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-|- 4</w:t>
            </w:r>
            <w:r w:rsidRPr="00B31292">
              <w:rPr>
                <w:rFonts w:ascii="Garamond" w:eastAsia="Times New Roman" w:hAnsi="Garamond" w:cs="Times New Roman"/>
                <w:color w:val="000000"/>
                <w:sz w:val="10"/>
                <w:szCs w:val="10"/>
              </w:rPr>
              <w:br/>
              <w:t xml:space="preserve">2. Moskryerja e kontrolleve periodike në terren që riskon cilësinë e </w:t>
            </w:r>
            <w:r w:rsidR="0012403A" w:rsidRPr="00B31292">
              <w:rPr>
                <w:rFonts w:ascii="Garamond" w:eastAsia="Times New Roman" w:hAnsi="Garamond" w:cs="Times New Roman"/>
                <w:color w:val="000000"/>
                <w:sz w:val="10"/>
                <w:szCs w:val="10"/>
              </w:rPr>
              <w:t>rezultatit</w:t>
            </w:r>
            <w:r w:rsidRPr="00B31292">
              <w:rPr>
                <w:rFonts w:ascii="Garamond" w:eastAsia="Times New Roman" w:hAnsi="Garamond" w:cs="Times New Roman"/>
                <w:color w:val="000000"/>
                <w:sz w:val="10"/>
                <w:szCs w:val="10"/>
              </w:rPr>
              <w:t xml:space="preserve"> </w:t>
            </w:r>
            <w:r w:rsidR="0012403A" w:rsidRPr="00B31292">
              <w:rPr>
                <w:rFonts w:ascii="Garamond" w:eastAsia="Times New Roman" w:hAnsi="Garamond" w:cs="Times New Roman"/>
                <w:color w:val="000000"/>
                <w:sz w:val="10"/>
                <w:szCs w:val="10"/>
              </w:rPr>
              <w:t>përfundimtar</w:t>
            </w:r>
            <w:r w:rsidRPr="00B31292">
              <w:rPr>
                <w:rFonts w:ascii="Garamond" w:eastAsia="Times New Roman" w:hAnsi="Garamond" w:cs="Times New Roman"/>
                <w:color w:val="000000"/>
                <w:sz w:val="10"/>
                <w:szCs w:val="10"/>
              </w:rPr>
              <w:t xml:space="preserve"> t</w:t>
            </w:r>
            <w:r w:rsidR="001240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vrojtimit VVB -|- 4</w:t>
            </w:r>
            <w:r w:rsidRPr="00B31292">
              <w:rPr>
                <w:rFonts w:ascii="Garamond" w:eastAsia="Times New Roman" w:hAnsi="Garamond" w:cs="Times New Roman"/>
                <w:color w:val="000000"/>
                <w:sz w:val="10"/>
                <w:szCs w:val="10"/>
              </w:rPr>
              <w:br/>
              <w:t>3.</w:t>
            </w:r>
            <w:r w:rsidR="0012403A"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Risk i jashtëm për mos përdorimin e statistikave zyrtare lidhur me: Statistikat e blegtorisë, mishit dhe vezëve (VVB)-|-- 4</w:t>
            </w:r>
          </w:p>
        </w:tc>
        <w:tc>
          <w:tcPr>
            <w:tcW w:w="273" w:type="pct"/>
            <w:tcBorders>
              <w:top w:val="nil"/>
              <w:left w:val="nil"/>
              <w:bottom w:val="single" w:sz="4" w:space="0" w:color="auto"/>
              <w:right w:val="single" w:sz="4" w:space="0" w:color="auto"/>
            </w:tcBorders>
            <w:shd w:val="clear" w:color="auto" w:fill="auto"/>
            <w:vAlign w:val="center"/>
            <w:hideMark/>
          </w:tcPr>
          <w:p w14:paraId="2FBEB7C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Buxhet shteti</w:t>
            </w:r>
          </w:p>
        </w:tc>
      </w:tr>
      <w:tr w:rsidR="000A2254" w:rsidRPr="00B31292" w14:paraId="51A24B87" w14:textId="77777777" w:rsidTr="000A2254">
        <w:trPr>
          <w:trHeight w:val="20"/>
        </w:trPr>
        <w:tc>
          <w:tcPr>
            <w:tcW w:w="215" w:type="pct"/>
            <w:tcBorders>
              <w:top w:val="nil"/>
              <w:left w:val="nil"/>
              <w:bottom w:val="nil"/>
              <w:right w:val="nil"/>
            </w:tcBorders>
            <w:shd w:val="clear" w:color="000000" w:fill="FFFFFF"/>
            <w:vAlign w:val="bottom"/>
            <w:hideMark/>
          </w:tcPr>
          <w:p w14:paraId="0D1C050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06FAAB8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599216E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5486829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474D152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73305BE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auto"/>
              <w:bottom w:val="single" w:sz="4" w:space="0" w:color="auto"/>
              <w:right w:val="single" w:sz="4" w:space="0" w:color="auto"/>
            </w:tcBorders>
            <w:shd w:val="clear" w:color="auto" w:fill="auto"/>
            <w:vAlign w:val="center"/>
            <w:hideMark/>
          </w:tcPr>
          <w:p w14:paraId="21422FE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3.1.2.b.2</w:t>
            </w:r>
          </w:p>
        </w:tc>
        <w:tc>
          <w:tcPr>
            <w:tcW w:w="281" w:type="pct"/>
            <w:tcBorders>
              <w:top w:val="nil"/>
              <w:left w:val="nil"/>
              <w:bottom w:val="single" w:sz="4" w:space="0" w:color="auto"/>
              <w:right w:val="single" w:sz="4" w:space="0" w:color="auto"/>
            </w:tcBorders>
            <w:shd w:val="clear" w:color="auto" w:fill="auto"/>
            <w:vAlign w:val="center"/>
            <w:hideMark/>
          </w:tcPr>
          <w:p w14:paraId="0335080B" w14:textId="18F7A3C0"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xml:space="preserve">Statistikat e </w:t>
            </w:r>
            <w:r w:rsidR="00E1320B" w:rsidRPr="00B31292">
              <w:rPr>
                <w:rFonts w:ascii="Garamond" w:eastAsia="Times New Roman" w:hAnsi="Garamond" w:cs="Times New Roman"/>
                <w:sz w:val="10"/>
                <w:szCs w:val="10"/>
              </w:rPr>
              <w:t xml:space="preserve">blegtorisë, mishit dhe vezëve </w:t>
            </w:r>
            <w:r w:rsidRPr="00B31292">
              <w:rPr>
                <w:rFonts w:ascii="Garamond" w:eastAsia="Times New Roman" w:hAnsi="Garamond" w:cs="Times New Roman"/>
                <w:sz w:val="10"/>
                <w:szCs w:val="10"/>
              </w:rPr>
              <w:t>nga burimi administrativ</w:t>
            </w:r>
          </w:p>
        </w:tc>
        <w:tc>
          <w:tcPr>
            <w:tcW w:w="236" w:type="pct"/>
            <w:tcBorders>
              <w:top w:val="nil"/>
              <w:left w:val="nil"/>
              <w:bottom w:val="single" w:sz="4" w:space="0" w:color="000000"/>
              <w:right w:val="single" w:sz="4" w:space="0" w:color="000000"/>
            </w:tcBorders>
            <w:shd w:val="clear" w:color="auto" w:fill="auto"/>
            <w:vAlign w:val="center"/>
            <w:hideMark/>
          </w:tcPr>
          <w:p w14:paraId="24822DEB"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Burim administrativ</w:t>
            </w:r>
          </w:p>
        </w:tc>
        <w:tc>
          <w:tcPr>
            <w:tcW w:w="238" w:type="pct"/>
            <w:tcBorders>
              <w:top w:val="nil"/>
              <w:left w:val="nil"/>
              <w:bottom w:val="single" w:sz="4" w:space="0" w:color="auto"/>
              <w:right w:val="single" w:sz="4" w:space="0" w:color="auto"/>
            </w:tcBorders>
            <w:shd w:val="clear" w:color="auto" w:fill="auto"/>
            <w:noWrap/>
            <w:vAlign w:val="center"/>
            <w:hideMark/>
          </w:tcPr>
          <w:p w14:paraId="31285263"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180" w:type="pct"/>
            <w:tcBorders>
              <w:top w:val="nil"/>
              <w:left w:val="nil"/>
              <w:bottom w:val="single" w:sz="4" w:space="0" w:color="auto"/>
              <w:right w:val="single" w:sz="4" w:space="0" w:color="auto"/>
            </w:tcBorders>
            <w:shd w:val="clear" w:color="auto" w:fill="auto"/>
            <w:noWrap/>
            <w:vAlign w:val="center"/>
            <w:hideMark/>
          </w:tcPr>
          <w:p w14:paraId="72ED6B6A"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28" w:type="pct"/>
            <w:tcBorders>
              <w:top w:val="nil"/>
              <w:left w:val="nil"/>
              <w:bottom w:val="single" w:sz="4" w:space="0" w:color="auto"/>
              <w:right w:val="single" w:sz="4" w:space="0" w:color="auto"/>
            </w:tcBorders>
            <w:shd w:val="clear" w:color="auto" w:fill="auto"/>
            <w:vAlign w:val="center"/>
            <w:hideMark/>
          </w:tcPr>
          <w:p w14:paraId="193EBE57"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tcBorders>
              <w:top w:val="nil"/>
              <w:left w:val="nil"/>
              <w:bottom w:val="single" w:sz="4" w:space="0" w:color="000000"/>
              <w:right w:val="single" w:sz="4" w:space="0" w:color="000000"/>
            </w:tcBorders>
            <w:shd w:val="clear" w:color="auto" w:fill="auto"/>
            <w:vAlign w:val="center"/>
            <w:hideMark/>
          </w:tcPr>
          <w:p w14:paraId="1718DAC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Vjetor</w:t>
            </w:r>
          </w:p>
        </w:tc>
        <w:tc>
          <w:tcPr>
            <w:tcW w:w="486" w:type="pct"/>
            <w:tcBorders>
              <w:top w:val="nil"/>
              <w:left w:val="nil"/>
              <w:bottom w:val="single" w:sz="4" w:space="0" w:color="auto"/>
              <w:right w:val="single" w:sz="4" w:space="0" w:color="auto"/>
            </w:tcBorders>
            <w:shd w:val="clear" w:color="auto" w:fill="auto"/>
            <w:vAlign w:val="center"/>
            <w:hideMark/>
          </w:tcPr>
          <w:p w14:paraId="2F8D256F" w14:textId="4FE90830"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Struktura e gjedhit</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 Struktura e derrave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 Struktura e t</w:t>
            </w:r>
            <w:r w:rsidR="001240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imtave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4. Struktura e </w:t>
            </w:r>
            <w:r w:rsidR="0012403A" w:rsidRPr="00B31292">
              <w:rPr>
                <w:rFonts w:ascii="Garamond" w:eastAsia="Times New Roman" w:hAnsi="Garamond" w:cs="Times New Roman"/>
                <w:color w:val="000000"/>
                <w:sz w:val="10"/>
                <w:szCs w:val="10"/>
              </w:rPr>
              <w:t>shpendëve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5. Prodhimi i mishit sipas llojit</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6. T</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tjera prodhime blegtorale sipas llojit</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7. Prodhimi dhe </w:t>
            </w:r>
            <w:r w:rsidR="0012403A" w:rsidRPr="00B31292">
              <w:rPr>
                <w:rFonts w:ascii="Garamond" w:eastAsia="Times New Roman" w:hAnsi="Garamond" w:cs="Times New Roman"/>
                <w:color w:val="000000"/>
                <w:sz w:val="10"/>
                <w:szCs w:val="10"/>
              </w:rPr>
              <w:t>përdorimi</w:t>
            </w:r>
            <w:r w:rsidRPr="00B31292">
              <w:rPr>
                <w:rFonts w:ascii="Garamond" w:eastAsia="Times New Roman" w:hAnsi="Garamond" w:cs="Times New Roman"/>
                <w:color w:val="000000"/>
                <w:sz w:val="10"/>
                <w:szCs w:val="10"/>
              </w:rPr>
              <w:t xml:space="preserve"> i </w:t>
            </w:r>
            <w:r w:rsidR="0012403A" w:rsidRPr="00B31292">
              <w:rPr>
                <w:rFonts w:ascii="Garamond" w:eastAsia="Times New Roman" w:hAnsi="Garamond" w:cs="Times New Roman"/>
                <w:color w:val="000000"/>
                <w:sz w:val="10"/>
                <w:szCs w:val="10"/>
              </w:rPr>
              <w:t>qumështit</w:t>
            </w:r>
            <w:r w:rsidRPr="00B31292">
              <w:rPr>
                <w:rFonts w:ascii="Garamond" w:eastAsia="Times New Roman" w:hAnsi="Garamond" w:cs="Times New Roman"/>
                <w:color w:val="000000"/>
                <w:sz w:val="10"/>
                <w:szCs w:val="10"/>
              </w:rPr>
              <w:t xml:space="preserve"> n</w:t>
            </w:r>
            <w:r w:rsidR="001240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ferm</w:t>
            </w:r>
            <w:r w:rsidR="0012403A" w:rsidRPr="00B31292">
              <w:rPr>
                <w:rFonts w:ascii="Garamond" w:eastAsia="Times New Roman" w:hAnsi="Garamond" w:cs="Times New Roman"/>
                <w:color w:val="000000"/>
                <w:sz w:val="10"/>
                <w:szCs w:val="10"/>
              </w:rPr>
              <w:t>ë</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8. Therjet e </w:t>
            </w:r>
            <w:r w:rsidR="0012403A" w:rsidRPr="00B31292">
              <w:rPr>
                <w:rFonts w:ascii="Garamond" w:eastAsia="Times New Roman" w:hAnsi="Garamond" w:cs="Times New Roman"/>
                <w:color w:val="000000"/>
                <w:sz w:val="10"/>
                <w:szCs w:val="10"/>
              </w:rPr>
              <w:t>kafshëve</w:t>
            </w:r>
            <w:r w:rsidRPr="00B31292">
              <w:rPr>
                <w:rFonts w:ascii="Garamond" w:eastAsia="Times New Roman" w:hAnsi="Garamond" w:cs="Times New Roman"/>
                <w:color w:val="000000"/>
                <w:sz w:val="10"/>
                <w:szCs w:val="10"/>
              </w:rPr>
              <w:t xml:space="preserve"> (t</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gjitha llojet n</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ferm</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9. Parashikimi i mishit t</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gjedhit </w:t>
            </w:r>
            <w:r w:rsidR="0012403A" w:rsidRPr="00B31292">
              <w:rPr>
                <w:rFonts w:ascii="Garamond" w:eastAsia="Times New Roman" w:hAnsi="Garamond" w:cs="Times New Roman"/>
                <w:color w:val="000000"/>
                <w:sz w:val="10"/>
                <w:szCs w:val="10"/>
              </w:rPr>
              <w:t>për</w:t>
            </w:r>
            <w:r w:rsidRPr="00B31292">
              <w:rPr>
                <w:rFonts w:ascii="Garamond" w:eastAsia="Times New Roman" w:hAnsi="Garamond" w:cs="Times New Roman"/>
                <w:color w:val="000000"/>
                <w:sz w:val="10"/>
                <w:szCs w:val="10"/>
              </w:rPr>
              <w:t xml:space="preserve"> konsum</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10. Parashikimi i mishit t</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derrit </w:t>
            </w:r>
            <w:r w:rsidR="0012403A" w:rsidRPr="00B31292">
              <w:rPr>
                <w:rFonts w:ascii="Garamond" w:eastAsia="Times New Roman" w:hAnsi="Garamond" w:cs="Times New Roman"/>
                <w:color w:val="000000"/>
                <w:sz w:val="10"/>
                <w:szCs w:val="10"/>
              </w:rPr>
              <w:t>për</w:t>
            </w:r>
            <w:r w:rsidRPr="00B31292">
              <w:rPr>
                <w:rFonts w:ascii="Garamond" w:eastAsia="Times New Roman" w:hAnsi="Garamond" w:cs="Times New Roman"/>
                <w:color w:val="000000"/>
                <w:sz w:val="10"/>
                <w:szCs w:val="10"/>
              </w:rPr>
              <w:t xml:space="preserve"> konsum</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11. Parashikimi i mishit t</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t</w:t>
            </w:r>
            <w:r w:rsidR="001240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imtave </w:t>
            </w:r>
            <w:r w:rsidR="0012403A" w:rsidRPr="00B31292">
              <w:rPr>
                <w:rFonts w:ascii="Garamond" w:eastAsia="Times New Roman" w:hAnsi="Garamond" w:cs="Times New Roman"/>
                <w:color w:val="000000"/>
                <w:sz w:val="10"/>
                <w:szCs w:val="10"/>
              </w:rPr>
              <w:t>për</w:t>
            </w:r>
            <w:r w:rsidRPr="00B31292">
              <w:rPr>
                <w:rFonts w:ascii="Garamond" w:eastAsia="Times New Roman" w:hAnsi="Garamond" w:cs="Times New Roman"/>
                <w:color w:val="000000"/>
                <w:sz w:val="10"/>
                <w:szCs w:val="10"/>
              </w:rPr>
              <w:t xml:space="preserve"> konsum</w:t>
            </w:r>
            <w:r w:rsidR="00E1320B" w:rsidRPr="00B31292">
              <w:rPr>
                <w:rFonts w:ascii="Garamond" w:eastAsia="Times New Roman" w:hAnsi="Garamond" w:cs="Times New Roman"/>
                <w:color w:val="000000"/>
                <w:sz w:val="10"/>
                <w:szCs w:val="10"/>
              </w:rPr>
              <w:t>.</w:t>
            </w:r>
          </w:p>
        </w:tc>
        <w:tc>
          <w:tcPr>
            <w:tcW w:w="299" w:type="pct"/>
            <w:tcBorders>
              <w:top w:val="nil"/>
              <w:left w:val="nil"/>
              <w:bottom w:val="single" w:sz="4" w:space="0" w:color="000000"/>
              <w:right w:val="nil"/>
            </w:tcBorders>
            <w:shd w:val="clear" w:color="auto" w:fill="auto"/>
            <w:vAlign w:val="center"/>
            <w:hideMark/>
          </w:tcPr>
          <w:p w14:paraId="54E1EED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Ministria e Bujqësisë dhe Zhvillimit Rural</w:t>
            </w:r>
          </w:p>
        </w:tc>
        <w:tc>
          <w:tcPr>
            <w:tcW w:w="224" w:type="pct"/>
            <w:tcBorders>
              <w:top w:val="nil"/>
              <w:left w:val="single" w:sz="4" w:space="0" w:color="auto"/>
              <w:bottom w:val="single" w:sz="4" w:space="0" w:color="auto"/>
              <w:right w:val="single" w:sz="4" w:space="0" w:color="auto"/>
            </w:tcBorders>
            <w:shd w:val="clear" w:color="auto" w:fill="auto"/>
            <w:vAlign w:val="center"/>
            <w:hideMark/>
          </w:tcPr>
          <w:p w14:paraId="7A937315" w14:textId="2A17B10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E1320B" w:rsidRPr="00B31292">
              <w:rPr>
                <w:rFonts w:ascii="Garamond" w:eastAsia="Times New Roman" w:hAnsi="Garamond" w:cs="Times New Roman"/>
                <w:color w:val="000000"/>
                <w:sz w:val="10"/>
                <w:szCs w:val="10"/>
              </w:rPr>
              <w:t>-i</w:t>
            </w:r>
          </w:p>
        </w:tc>
        <w:tc>
          <w:tcPr>
            <w:tcW w:w="244" w:type="pct"/>
            <w:tcBorders>
              <w:top w:val="nil"/>
              <w:left w:val="nil"/>
              <w:bottom w:val="single" w:sz="4" w:space="0" w:color="auto"/>
              <w:right w:val="single" w:sz="4" w:space="0" w:color="auto"/>
            </w:tcBorders>
            <w:shd w:val="clear" w:color="000000" w:fill="FFFFFF"/>
            <w:vAlign w:val="center"/>
            <w:hideMark/>
          </w:tcPr>
          <w:p w14:paraId="05B2DE73"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+ 117D</w:t>
            </w:r>
          </w:p>
        </w:tc>
        <w:tc>
          <w:tcPr>
            <w:tcW w:w="220" w:type="pct"/>
            <w:tcBorders>
              <w:top w:val="nil"/>
              <w:left w:val="nil"/>
              <w:bottom w:val="single" w:sz="4" w:space="0" w:color="auto"/>
              <w:right w:val="single" w:sz="4" w:space="0" w:color="auto"/>
            </w:tcBorders>
            <w:shd w:val="clear" w:color="000000" w:fill="FFFFFF"/>
            <w:vAlign w:val="center"/>
            <w:hideMark/>
          </w:tcPr>
          <w:p w14:paraId="3A0C91F5"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+ 159D</w:t>
            </w:r>
          </w:p>
        </w:tc>
        <w:tc>
          <w:tcPr>
            <w:tcW w:w="220" w:type="pct"/>
            <w:tcBorders>
              <w:top w:val="nil"/>
              <w:left w:val="nil"/>
              <w:bottom w:val="single" w:sz="4" w:space="0" w:color="auto"/>
              <w:right w:val="single" w:sz="4" w:space="0" w:color="auto"/>
            </w:tcBorders>
            <w:shd w:val="clear" w:color="000000" w:fill="FFFFFF"/>
            <w:vAlign w:val="center"/>
            <w:hideMark/>
          </w:tcPr>
          <w:p w14:paraId="0F4835FB"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+ 176D</w:t>
            </w:r>
          </w:p>
        </w:tc>
        <w:tc>
          <w:tcPr>
            <w:tcW w:w="346" w:type="pct"/>
            <w:tcBorders>
              <w:top w:val="nil"/>
              <w:left w:val="nil"/>
              <w:bottom w:val="single" w:sz="4" w:space="0" w:color="auto"/>
              <w:right w:val="single" w:sz="4" w:space="0" w:color="auto"/>
            </w:tcBorders>
            <w:shd w:val="clear" w:color="auto" w:fill="auto"/>
            <w:vAlign w:val="center"/>
            <w:hideMark/>
          </w:tcPr>
          <w:p w14:paraId="604B86B8" w14:textId="062856D9"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Vonesa në procesin e grumbullimit të të dhënave nga burimet administrative lidhur me: Statistikat e blegtorisë, mishit dhe vezëve -|-</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4</w:t>
            </w:r>
            <w:r w:rsidRPr="00B31292">
              <w:rPr>
                <w:rFonts w:ascii="Garamond" w:eastAsia="Times New Roman" w:hAnsi="Garamond" w:cs="Times New Roman"/>
                <w:color w:val="000000"/>
                <w:sz w:val="10"/>
                <w:szCs w:val="10"/>
              </w:rPr>
              <w:br/>
              <w:t>2. Mospërmbushja e</w:t>
            </w:r>
            <w:r w:rsidR="003E16E0" w:rsidRPr="00B31292">
              <w:rPr>
                <w:rFonts w:ascii="Garamond" w:eastAsia="Times New Roman" w:hAnsi="Garamond" w:cs="Times New Roman"/>
                <w:color w:val="000000"/>
                <w:sz w:val="10"/>
                <w:szCs w:val="10"/>
              </w:rPr>
              <w:t xml:space="preserve"> </w:t>
            </w:r>
            <w:r w:rsidR="00F667B8" w:rsidRPr="00B31292">
              <w:rPr>
                <w:rFonts w:ascii="Garamond" w:eastAsia="Times New Roman" w:hAnsi="Garamond" w:cs="Times New Roman"/>
                <w:color w:val="000000"/>
                <w:sz w:val="10"/>
                <w:szCs w:val="10"/>
              </w:rPr>
              <w:t>kritereve të cilësisë, si:</w:t>
            </w:r>
            <w:r w:rsidRPr="00B31292">
              <w:rPr>
                <w:rFonts w:ascii="Garamond" w:eastAsia="Times New Roman" w:hAnsi="Garamond" w:cs="Times New Roman"/>
                <w:color w:val="000000"/>
                <w:sz w:val="10"/>
                <w:szCs w:val="10"/>
              </w:rPr>
              <w:t xml:space="preserve"> saktësia, përpikmëria dhe krahasueshmëria, për të dhënat administrative lidhur me: Statistikat e blegtorisë, mishit dhe vezëve</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-|-- 4</w:t>
            </w:r>
            <w:r w:rsidRPr="00B31292">
              <w:rPr>
                <w:rFonts w:ascii="Garamond" w:eastAsia="Times New Roman" w:hAnsi="Garamond" w:cs="Times New Roman"/>
                <w:color w:val="000000"/>
                <w:sz w:val="10"/>
                <w:szCs w:val="10"/>
              </w:rPr>
              <w:br/>
              <w:t>3. Keqinterpretim të statistikave zyrtare të publikuara -|- 4</w:t>
            </w:r>
            <w:r w:rsidRPr="00B31292">
              <w:rPr>
                <w:rFonts w:ascii="Garamond" w:eastAsia="Times New Roman" w:hAnsi="Garamond" w:cs="Times New Roman"/>
                <w:color w:val="000000"/>
                <w:sz w:val="10"/>
                <w:szCs w:val="10"/>
              </w:rPr>
              <w:br/>
              <w:t>4. Mosrealizimi i aktiviteteve statistikore që janë detyrim i burimit administrativ lidhur me: Statistikat e blegtorisë, mishit, vezëve dhe qumështit gjeneruar nga burimi administrativ</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-|-- 4</w:t>
            </w:r>
            <w:r w:rsidRPr="00B31292">
              <w:rPr>
                <w:rFonts w:ascii="Garamond" w:eastAsia="Times New Roman" w:hAnsi="Garamond" w:cs="Times New Roman"/>
                <w:color w:val="000000"/>
                <w:sz w:val="10"/>
                <w:szCs w:val="10"/>
              </w:rPr>
              <w:br/>
              <w:t>4. Gabime të bëra nga stafi ekspert gjatë përpunimit të të dhënave -|- 4</w:t>
            </w:r>
            <w:r w:rsidRPr="00B31292">
              <w:rPr>
                <w:rFonts w:ascii="Garamond" w:eastAsia="Times New Roman" w:hAnsi="Garamond" w:cs="Times New Roman"/>
                <w:color w:val="000000"/>
                <w:sz w:val="10"/>
                <w:szCs w:val="10"/>
              </w:rPr>
              <w:br/>
              <w:t xml:space="preserve">5. Moszbatimi i memorandumeve të bashkëpunimit -|- 4 </w:t>
            </w:r>
            <w:r w:rsidRPr="00B31292">
              <w:rPr>
                <w:rFonts w:ascii="Garamond" w:eastAsia="Times New Roman" w:hAnsi="Garamond" w:cs="Times New Roman"/>
                <w:color w:val="000000"/>
                <w:sz w:val="10"/>
                <w:szCs w:val="10"/>
              </w:rPr>
              <w:br/>
              <w:t xml:space="preserve">6. Lëvizja e stafit të sektorit me eksperiencë në </w:t>
            </w:r>
            <w:r w:rsidRPr="00B31292">
              <w:rPr>
                <w:rFonts w:ascii="Garamond" w:eastAsia="Times New Roman" w:hAnsi="Garamond" w:cs="Times New Roman"/>
                <w:color w:val="000000"/>
                <w:sz w:val="10"/>
                <w:szCs w:val="10"/>
              </w:rPr>
              <w:lastRenderedPageBreak/>
              <w:t xml:space="preserve">prodhimin e statistikave të blegtorisë dhe peshkimit, e cila sjell si pasojë ndërprerje/ngadalësim të </w:t>
            </w:r>
            <w:r w:rsidR="0012403A" w:rsidRPr="00B31292">
              <w:rPr>
                <w:rFonts w:ascii="Garamond" w:eastAsia="Times New Roman" w:hAnsi="Garamond" w:cs="Times New Roman"/>
                <w:color w:val="000000"/>
                <w:sz w:val="10"/>
                <w:szCs w:val="10"/>
              </w:rPr>
              <w:t>proceseve</w:t>
            </w:r>
            <w:r w:rsidRPr="00B31292">
              <w:rPr>
                <w:rFonts w:ascii="Garamond" w:eastAsia="Times New Roman" w:hAnsi="Garamond" w:cs="Times New Roman"/>
                <w:color w:val="000000"/>
                <w:sz w:val="10"/>
                <w:szCs w:val="10"/>
              </w:rPr>
              <w:t xml:space="preserve"> të punës.</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-|- 4</w:t>
            </w:r>
            <w:r w:rsidRPr="00B31292">
              <w:rPr>
                <w:rFonts w:ascii="Garamond" w:eastAsia="Times New Roman" w:hAnsi="Garamond" w:cs="Times New Roman"/>
                <w:color w:val="000000"/>
                <w:sz w:val="10"/>
                <w:szCs w:val="10"/>
              </w:rPr>
              <w:br/>
              <w:t>5. Gabime në përllogaritjen e treguesve -|- 4</w:t>
            </w:r>
          </w:p>
        </w:tc>
        <w:tc>
          <w:tcPr>
            <w:tcW w:w="273" w:type="pct"/>
            <w:tcBorders>
              <w:top w:val="nil"/>
              <w:left w:val="nil"/>
              <w:bottom w:val="single" w:sz="4" w:space="0" w:color="auto"/>
              <w:right w:val="single" w:sz="4" w:space="0" w:color="auto"/>
            </w:tcBorders>
            <w:shd w:val="clear" w:color="auto" w:fill="auto"/>
            <w:vAlign w:val="center"/>
            <w:hideMark/>
          </w:tcPr>
          <w:p w14:paraId="4C7C24F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lastRenderedPageBreak/>
              <w:t>Buxhet shteti</w:t>
            </w:r>
          </w:p>
        </w:tc>
      </w:tr>
      <w:tr w:rsidR="000A2254" w:rsidRPr="00B31292" w14:paraId="68D3A63E" w14:textId="77777777" w:rsidTr="000A2254">
        <w:trPr>
          <w:trHeight w:val="20"/>
        </w:trPr>
        <w:tc>
          <w:tcPr>
            <w:tcW w:w="215" w:type="pct"/>
            <w:tcBorders>
              <w:top w:val="nil"/>
              <w:left w:val="nil"/>
              <w:bottom w:val="nil"/>
              <w:right w:val="nil"/>
            </w:tcBorders>
            <w:shd w:val="clear" w:color="000000" w:fill="FFFFFF"/>
            <w:vAlign w:val="bottom"/>
            <w:hideMark/>
          </w:tcPr>
          <w:p w14:paraId="5A385E4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3F8664C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21D5C22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2084FB3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28A5A87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763DE93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auto"/>
              <w:bottom w:val="single" w:sz="4" w:space="0" w:color="auto"/>
              <w:right w:val="single" w:sz="4" w:space="0" w:color="auto"/>
            </w:tcBorders>
            <w:shd w:val="clear" w:color="auto" w:fill="auto"/>
            <w:vAlign w:val="center"/>
            <w:hideMark/>
          </w:tcPr>
          <w:p w14:paraId="40292EC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3.1.2.b.3</w:t>
            </w:r>
          </w:p>
        </w:tc>
        <w:tc>
          <w:tcPr>
            <w:tcW w:w="281" w:type="pct"/>
            <w:tcBorders>
              <w:top w:val="nil"/>
              <w:left w:val="nil"/>
              <w:bottom w:val="single" w:sz="4" w:space="0" w:color="auto"/>
              <w:right w:val="single" w:sz="4" w:space="0" w:color="auto"/>
            </w:tcBorders>
            <w:shd w:val="clear" w:color="auto" w:fill="auto"/>
            <w:vAlign w:val="center"/>
            <w:hideMark/>
          </w:tcPr>
          <w:p w14:paraId="06F4B143" w14:textId="427178E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xml:space="preserve">Statistikat e </w:t>
            </w:r>
            <w:r w:rsidR="00E1320B" w:rsidRPr="00B31292">
              <w:rPr>
                <w:rFonts w:ascii="Garamond" w:eastAsia="Times New Roman" w:hAnsi="Garamond" w:cs="Times New Roman"/>
                <w:sz w:val="10"/>
                <w:szCs w:val="10"/>
              </w:rPr>
              <w:t xml:space="preserve">blegtorisë, mishit dhe vezëve </w:t>
            </w:r>
            <w:r w:rsidRPr="00B31292">
              <w:rPr>
                <w:rFonts w:ascii="Garamond" w:eastAsia="Times New Roman" w:hAnsi="Garamond" w:cs="Times New Roman"/>
                <w:sz w:val="10"/>
                <w:szCs w:val="10"/>
              </w:rPr>
              <w:t>nga</w:t>
            </w:r>
            <w:r w:rsidR="002E2911" w:rsidRPr="00B31292">
              <w:rPr>
                <w:rFonts w:ascii="Garamond" w:eastAsia="Times New Roman" w:hAnsi="Garamond" w:cs="Times New Roman"/>
                <w:sz w:val="10"/>
                <w:szCs w:val="10"/>
              </w:rPr>
              <w:t xml:space="preserve"> </w:t>
            </w:r>
            <w:r w:rsidRPr="00B31292">
              <w:rPr>
                <w:rFonts w:ascii="Garamond" w:eastAsia="Times New Roman" w:hAnsi="Garamond" w:cs="Times New Roman"/>
                <w:sz w:val="10"/>
                <w:szCs w:val="10"/>
              </w:rPr>
              <w:t>vrojtimi mujor mbi monitorimin e aktivitetit të thertoreve për gjedhë, derra dhe të imta</w:t>
            </w:r>
          </w:p>
        </w:tc>
        <w:tc>
          <w:tcPr>
            <w:tcW w:w="236" w:type="pct"/>
            <w:tcBorders>
              <w:top w:val="nil"/>
              <w:left w:val="nil"/>
              <w:bottom w:val="single" w:sz="4" w:space="0" w:color="000000"/>
              <w:right w:val="single" w:sz="4" w:space="0" w:color="000000"/>
            </w:tcBorders>
            <w:shd w:val="clear" w:color="auto" w:fill="auto"/>
            <w:vAlign w:val="center"/>
            <w:hideMark/>
          </w:tcPr>
          <w:p w14:paraId="7440FB74"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Vrojtim</w:t>
            </w:r>
          </w:p>
        </w:tc>
        <w:tc>
          <w:tcPr>
            <w:tcW w:w="238" w:type="pct"/>
            <w:tcBorders>
              <w:top w:val="nil"/>
              <w:left w:val="nil"/>
              <w:bottom w:val="single" w:sz="4" w:space="0" w:color="auto"/>
              <w:right w:val="single" w:sz="4" w:space="0" w:color="auto"/>
            </w:tcBorders>
            <w:shd w:val="clear" w:color="auto" w:fill="auto"/>
            <w:noWrap/>
            <w:vAlign w:val="center"/>
            <w:hideMark/>
          </w:tcPr>
          <w:p w14:paraId="7BFB801B"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180" w:type="pct"/>
            <w:tcBorders>
              <w:top w:val="nil"/>
              <w:left w:val="nil"/>
              <w:bottom w:val="single" w:sz="4" w:space="0" w:color="auto"/>
              <w:right w:val="single" w:sz="4" w:space="0" w:color="auto"/>
            </w:tcBorders>
            <w:shd w:val="clear" w:color="auto" w:fill="auto"/>
            <w:noWrap/>
            <w:vAlign w:val="center"/>
            <w:hideMark/>
          </w:tcPr>
          <w:p w14:paraId="7A6E8C75"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228" w:type="pct"/>
            <w:tcBorders>
              <w:top w:val="nil"/>
              <w:left w:val="nil"/>
              <w:bottom w:val="single" w:sz="4" w:space="0" w:color="auto"/>
              <w:right w:val="single" w:sz="4" w:space="0" w:color="auto"/>
            </w:tcBorders>
            <w:shd w:val="clear" w:color="auto" w:fill="auto"/>
            <w:vAlign w:val="center"/>
            <w:hideMark/>
          </w:tcPr>
          <w:p w14:paraId="7E0F600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tcBorders>
              <w:top w:val="nil"/>
              <w:left w:val="nil"/>
              <w:bottom w:val="single" w:sz="4" w:space="0" w:color="000000"/>
              <w:right w:val="single" w:sz="4" w:space="0" w:color="000000"/>
            </w:tcBorders>
            <w:shd w:val="clear" w:color="auto" w:fill="auto"/>
            <w:vAlign w:val="center"/>
            <w:hideMark/>
          </w:tcPr>
          <w:p w14:paraId="2EE50D8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Mujor</w:t>
            </w:r>
          </w:p>
        </w:tc>
        <w:tc>
          <w:tcPr>
            <w:tcW w:w="486" w:type="pct"/>
            <w:tcBorders>
              <w:top w:val="nil"/>
              <w:left w:val="nil"/>
              <w:bottom w:val="single" w:sz="4" w:space="0" w:color="auto"/>
              <w:right w:val="single" w:sz="4" w:space="0" w:color="auto"/>
            </w:tcBorders>
            <w:shd w:val="clear" w:color="auto" w:fill="auto"/>
            <w:vAlign w:val="center"/>
            <w:hideMark/>
          </w:tcPr>
          <w:p w14:paraId="24447AB7" w14:textId="0979969E"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Prodhimi i mishit të gjedhit nga thertoret</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 Prodhimi i mishit të derrit nga thertoret</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 Prodhimi i mishit të deleve nga thertoret</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4. Prodhimi i mishit të dhive nga thertoret</w:t>
            </w:r>
            <w:r w:rsidR="00E1320B" w:rsidRPr="00B31292">
              <w:rPr>
                <w:rFonts w:ascii="Garamond" w:eastAsia="Times New Roman" w:hAnsi="Garamond" w:cs="Times New Roman"/>
                <w:color w:val="000000"/>
                <w:sz w:val="10"/>
                <w:szCs w:val="10"/>
              </w:rPr>
              <w:t>.</w:t>
            </w:r>
          </w:p>
        </w:tc>
        <w:tc>
          <w:tcPr>
            <w:tcW w:w="299" w:type="pct"/>
            <w:tcBorders>
              <w:top w:val="nil"/>
              <w:left w:val="nil"/>
              <w:bottom w:val="single" w:sz="4" w:space="0" w:color="000000"/>
              <w:right w:val="nil"/>
            </w:tcBorders>
            <w:shd w:val="clear" w:color="auto" w:fill="auto"/>
            <w:vAlign w:val="center"/>
            <w:hideMark/>
          </w:tcPr>
          <w:p w14:paraId="7224785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Instituti i Statistikave</w:t>
            </w:r>
          </w:p>
        </w:tc>
        <w:tc>
          <w:tcPr>
            <w:tcW w:w="224" w:type="pct"/>
            <w:tcBorders>
              <w:top w:val="nil"/>
              <w:left w:val="single" w:sz="4" w:space="0" w:color="auto"/>
              <w:bottom w:val="single" w:sz="4" w:space="0" w:color="auto"/>
              <w:right w:val="single" w:sz="4" w:space="0" w:color="auto"/>
            </w:tcBorders>
            <w:shd w:val="clear" w:color="auto" w:fill="auto"/>
            <w:vAlign w:val="center"/>
            <w:hideMark/>
          </w:tcPr>
          <w:p w14:paraId="7C28EAAE" w14:textId="797B8455"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E1320B" w:rsidRPr="00B31292">
              <w:rPr>
                <w:rFonts w:ascii="Garamond" w:eastAsia="Times New Roman" w:hAnsi="Garamond" w:cs="Times New Roman"/>
                <w:color w:val="000000"/>
                <w:sz w:val="10"/>
                <w:szCs w:val="10"/>
              </w:rPr>
              <w:t>-i</w:t>
            </w:r>
          </w:p>
        </w:tc>
        <w:tc>
          <w:tcPr>
            <w:tcW w:w="244" w:type="pct"/>
            <w:tcBorders>
              <w:top w:val="nil"/>
              <w:left w:val="nil"/>
              <w:bottom w:val="single" w:sz="4" w:space="0" w:color="auto"/>
              <w:right w:val="single" w:sz="4" w:space="0" w:color="auto"/>
            </w:tcBorders>
            <w:shd w:val="clear" w:color="000000" w:fill="FFFFFF"/>
            <w:vAlign w:val="center"/>
            <w:hideMark/>
          </w:tcPr>
          <w:p w14:paraId="48C01005"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M + 29D</w:t>
            </w:r>
          </w:p>
        </w:tc>
        <w:tc>
          <w:tcPr>
            <w:tcW w:w="220" w:type="pct"/>
            <w:tcBorders>
              <w:top w:val="nil"/>
              <w:left w:val="nil"/>
              <w:bottom w:val="single" w:sz="4" w:space="0" w:color="auto"/>
              <w:right w:val="single" w:sz="4" w:space="0" w:color="auto"/>
            </w:tcBorders>
            <w:shd w:val="clear" w:color="000000" w:fill="FFFFFF"/>
            <w:vAlign w:val="center"/>
            <w:hideMark/>
          </w:tcPr>
          <w:p w14:paraId="0B335E92"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M + 44D</w:t>
            </w:r>
          </w:p>
        </w:tc>
        <w:tc>
          <w:tcPr>
            <w:tcW w:w="220" w:type="pct"/>
            <w:tcBorders>
              <w:top w:val="nil"/>
              <w:left w:val="nil"/>
              <w:bottom w:val="single" w:sz="4" w:space="0" w:color="auto"/>
              <w:right w:val="single" w:sz="4" w:space="0" w:color="auto"/>
            </w:tcBorders>
            <w:shd w:val="clear" w:color="000000" w:fill="FFFFFF"/>
            <w:vAlign w:val="center"/>
            <w:hideMark/>
          </w:tcPr>
          <w:p w14:paraId="4CBFB6D8"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346" w:type="pct"/>
            <w:tcBorders>
              <w:top w:val="nil"/>
              <w:left w:val="nil"/>
              <w:bottom w:val="single" w:sz="4" w:space="0" w:color="auto"/>
              <w:right w:val="single" w:sz="4" w:space="0" w:color="auto"/>
            </w:tcBorders>
            <w:shd w:val="clear" w:color="auto" w:fill="auto"/>
            <w:vAlign w:val="center"/>
            <w:hideMark/>
          </w:tcPr>
          <w:p w14:paraId="71D651F6" w14:textId="58E8071E"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Ardhja e pyetësorëve me vonesë në INSTAT lidhur me: Statistikat e blegtorisë, mishit dhe vezëve të gjeneruara nga vrojtimet mujore të aktivitetit të thertoreve për gjedhë, derra dhe të imta, shpendë -| - 4</w:t>
            </w:r>
            <w:r w:rsidRPr="00B31292">
              <w:rPr>
                <w:rFonts w:ascii="Garamond" w:eastAsia="Times New Roman" w:hAnsi="Garamond" w:cs="Times New Roman"/>
                <w:color w:val="000000"/>
                <w:sz w:val="10"/>
                <w:szCs w:val="10"/>
              </w:rPr>
              <w:br/>
              <w:t xml:space="preserve">2. Vonesa dhe gabime të tjera në </w:t>
            </w:r>
            <w:r w:rsidR="0012403A" w:rsidRPr="00B31292">
              <w:rPr>
                <w:rFonts w:ascii="Garamond" w:eastAsia="Times New Roman" w:hAnsi="Garamond" w:cs="Times New Roman"/>
                <w:color w:val="000000"/>
                <w:sz w:val="10"/>
                <w:szCs w:val="10"/>
              </w:rPr>
              <w:t>procesin</w:t>
            </w:r>
            <w:r w:rsidRPr="00B31292">
              <w:rPr>
                <w:rFonts w:ascii="Garamond" w:eastAsia="Times New Roman" w:hAnsi="Garamond" w:cs="Times New Roman"/>
                <w:color w:val="000000"/>
                <w:sz w:val="10"/>
                <w:szCs w:val="10"/>
              </w:rPr>
              <w:t xml:space="preserve"> e </w:t>
            </w:r>
            <w:r w:rsidR="0012403A" w:rsidRPr="00B31292">
              <w:rPr>
                <w:rFonts w:ascii="Garamond" w:eastAsia="Times New Roman" w:hAnsi="Garamond" w:cs="Times New Roman"/>
                <w:color w:val="000000"/>
                <w:sz w:val="10"/>
                <w:szCs w:val="10"/>
              </w:rPr>
              <w:t>kontrollit</w:t>
            </w:r>
            <w:r w:rsidRPr="00B31292">
              <w:rPr>
                <w:rFonts w:ascii="Garamond" w:eastAsia="Times New Roman" w:hAnsi="Garamond" w:cs="Times New Roman"/>
                <w:color w:val="000000"/>
                <w:sz w:val="10"/>
                <w:szCs w:val="10"/>
              </w:rPr>
              <w:t xml:space="preserve"> dhe hedhjes së të dhënave për anketat mujore dhe vjetore të blegtorisë. -|- 4</w:t>
            </w:r>
            <w:r w:rsidRPr="00B31292">
              <w:rPr>
                <w:rFonts w:ascii="Garamond" w:eastAsia="Times New Roman" w:hAnsi="Garamond" w:cs="Times New Roman"/>
                <w:color w:val="000000"/>
                <w:sz w:val="10"/>
                <w:szCs w:val="10"/>
              </w:rPr>
              <w:br/>
              <w:t>3. Problemet me sistemin CAPI të mbledhjes së të dhënave, që riskojnë cilësinë e të dhënave si dhe vendos barrë mbi anketuesin për: Statistikat e blegtorisë, mishit dhe vezëve të gjeneruara nga vrojtimi mujor i aktivitetit të thertoreve për gjedhë, derra dhe të imta.</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 - 4</w:t>
            </w:r>
            <w:r w:rsidRPr="00B31292">
              <w:rPr>
                <w:rFonts w:ascii="Garamond" w:eastAsia="Times New Roman" w:hAnsi="Garamond" w:cs="Times New Roman"/>
                <w:color w:val="000000"/>
                <w:sz w:val="10"/>
                <w:szCs w:val="10"/>
              </w:rPr>
              <w:br/>
              <w:t>4. Gabime në hedhjen e të dhënave nga vrojtimet statistikore -|- 4</w:t>
            </w:r>
            <w:r w:rsidRPr="00B31292">
              <w:rPr>
                <w:rFonts w:ascii="Garamond" w:eastAsia="Times New Roman" w:hAnsi="Garamond" w:cs="Times New Roman"/>
                <w:color w:val="000000"/>
                <w:sz w:val="10"/>
                <w:szCs w:val="10"/>
              </w:rPr>
              <w:br/>
              <w:t>5. Kohë e gjatë për kontrollet në nivel mikro të të dhënave. -|- 4</w:t>
            </w:r>
          </w:p>
        </w:tc>
        <w:tc>
          <w:tcPr>
            <w:tcW w:w="273" w:type="pct"/>
            <w:tcBorders>
              <w:top w:val="nil"/>
              <w:left w:val="nil"/>
              <w:bottom w:val="single" w:sz="4" w:space="0" w:color="auto"/>
              <w:right w:val="single" w:sz="4" w:space="0" w:color="auto"/>
            </w:tcBorders>
            <w:shd w:val="clear" w:color="auto" w:fill="auto"/>
            <w:vAlign w:val="center"/>
            <w:hideMark/>
          </w:tcPr>
          <w:p w14:paraId="46132DD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Buxhet shteti</w:t>
            </w:r>
          </w:p>
        </w:tc>
      </w:tr>
      <w:tr w:rsidR="000A2254" w:rsidRPr="00B31292" w14:paraId="186D6FCC" w14:textId="77777777" w:rsidTr="000A2254">
        <w:trPr>
          <w:trHeight w:val="20"/>
        </w:trPr>
        <w:tc>
          <w:tcPr>
            <w:tcW w:w="215" w:type="pct"/>
            <w:tcBorders>
              <w:top w:val="nil"/>
              <w:left w:val="nil"/>
              <w:bottom w:val="nil"/>
              <w:right w:val="nil"/>
            </w:tcBorders>
            <w:shd w:val="clear" w:color="000000" w:fill="FFFFFF"/>
            <w:vAlign w:val="bottom"/>
            <w:hideMark/>
          </w:tcPr>
          <w:p w14:paraId="1A9D776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25F9C2C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79B2B79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58391D0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221A756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6C1783B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auto"/>
              <w:bottom w:val="single" w:sz="4" w:space="0" w:color="auto"/>
              <w:right w:val="single" w:sz="4" w:space="0" w:color="auto"/>
            </w:tcBorders>
            <w:shd w:val="clear" w:color="auto" w:fill="auto"/>
            <w:vAlign w:val="center"/>
            <w:hideMark/>
          </w:tcPr>
          <w:p w14:paraId="5D24779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3.1.2.b.4</w:t>
            </w:r>
          </w:p>
        </w:tc>
        <w:tc>
          <w:tcPr>
            <w:tcW w:w="281" w:type="pct"/>
            <w:tcBorders>
              <w:top w:val="nil"/>
              <w:left w:val="nil"/>
              <w:bottom w:val="single" w:sz="4" w:space="0" w:color="auto"/>
              <w:right w:val="single" w:sz="4" w:space="0" w:color="auto"/>
            </w:tcBorders>
            <w:shd w:val="clear" w:color="auto" w:fill="auto"/>
            <w:vAlign w:val="center"/>
            <w:hideMark/>
          </w:tcPr>
          <w:p w14:paraId="5B0BD429" w14:textId="4A9724F3"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xml:space="preserve">Statistikat e </w:t>
            </w:r>
            <w:r w:rsidR="00E1320B" w:rsidRPr="00B31292">
              <w:rPr>
                <w:rFonts w:ascii="Garamond" w:eastAsia="Times New Roman" w:hAnsi="Garamond" w:cs="Times New Roman"/>
                <w:sz w:val="10"/>
                <w:szCs w:val="10"/>
              </w:rPr>
              <w:t xml:space="preserve">blegtorisë, mishit dhe vezëve </w:t>
            </w:r>
            <w:r w:rsidRPr="00B31292">
              <w:rPr>
                <w:rFonts w:ascii="Garamond" w:eastAsia="Times New Roman" w:hAnsi="Garamond" w:cs="Times New Roman"/>
                <w:sz w:val="10"/>
                <w:szCs w:val="10"/>
              </w:rPr>
              <w:t>nga vrojtimi mujor mbi monitorimin e aktivitetit të thertoreve të shpendëve</w:t>
            </w:r>
          </w:p>
        </w:tc>
        <w:tc>
          <w:tcPr>
            <w:tcW w:w="236" w:type="pct"/>
            <w:tcBorders>
              <w:top w:val="nil"/>
              <w:left w:val="nil"/>
              <w:bottom w:val="single" w:sz="4" w:space="0" w:color="000000"/>
              <w:right w:val="single" w:sz="4" w:space="0" w:color="000000"/>
            </w:tcBorders>
            <w:shd w:val="clear" w:color="auto" w:fill="auto"/>
            <w:vAlign w:val="center"/>
            <w:hideMark/>
          </w:tcPr>
          <w:p w14:paraId="6FD7049B"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Vrojtim</w:t>
            </w:r>
          </w:p>
        </w:tc>
        <w:tc>
          <w:tcPr>
            <w:tcW w:w="238" w:type="pct"/>
            <w:tcBorders>
              <w:top w:val="nil"/>
              <w:left w:val="nil"/>
              <w:bottom w:val="single" w:sz="4" w:space="0" w:color="auto"/>
              <w:right w:val="single" w:sz="4" w:space="0" w:color="auto"/>
            </w:tcBorders>
            <w:shd w:val="clear" w:color="auto" w:fill="auto"/>
            <w:noWrap/>
            <w:vAlign w:val="center"/>
            <w:hideMark/>
          </w:tcPr>
          <w:p w14:paraId="26D894BD"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180" w:type="pct"/>
            <w:tcBorders>
              <w:top w:val="nil"/>
              <w:left w:val="nil"/>
              <w:bottom w:val="single" w:sz="4" w:space="0" w:color="auto"/>
              <w:right w:val="single" w:sz="4" w:space="0" w:color="auto"/>
            </w:tcBorders>
            <w:shd w:val="clear" w:color="auto" w:fill="auto"/>
            <w:noWrap/>
            <w:vAlign w:val="center"/>
            <w:hideMark/>
          </w:tcPr>
          <w:p w14:paraId="5DCED5D3"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228" w:type="pct"/>
            <w:tcBorders>
              <w:top w:val="nil"/>
              <w:left w:val="nil"/>
              <w:bottom w:val="single" w:sz="4" w:space="0" w:color="000000"/>
              <w:right w:val="single" w:sz="4" w:space="0" w:color="000000"/>
            </w:tcBorders>
            <w:shd w:val="clear" w:color="auto" w:fill="auto"/>
            <w:vAlign w:val="center"/>
            <w:hideMark/>
          </w:tcPr>
          <w:p w14:paraId="62EDDE36" w14:textId="221A551E"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I </w:t>
            </w:r>
            <w:r w:rsidR="001C6DE3" w:rsidRPr="00B31292">
              <w:rPr>
                <w:rFonts w:ascii="Garamond" w:eastAsia="Times New Roman" w:hAnsi="Garamond" w:cs="Times New Roman"/>
                <w:color w:val="000000"/>
                <w:sz w:val="10"/>
                <w:szCs w:val="10"/>
              </w:rPr>
              <w:t>vazhdueshëm</w:t>
            </w:r>
          </w:p>
        </w:tc>
        <w:tc>
          <w:tcPr>
            <w:tcW w:w="222" w:type="pct"/>
            <w:tcBorders>
              <w:top w:val="nil"/>
              <w:left w:val="nil"/>
              <w:bottom w:val="single" w:sz="4" w:space="0" w:color="000000"/>
              <w:right w:val="single" w:sz="4" w:space="0" w:color="000000"/>
            </w:tcBorders>
            <w:shd w:val="clear" w:color="auto" w:fill="auto"/>
            <w:vAlign w:val="center"/>
            <w:hideMark/>
          </w:tcPr>
          <w:p w14:paraId="5A72A04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Mujor</w:t>
            </w:r>
          </w:p>
        </w:tc>
        <w:tc>
          <w:tcPr>
            <w:tcW w:w="486" w:type="pct"/>
            <w:tcBorders>
              <w:top w:val="nil"/>
              <w:left w:val="nil"/>
              <w:bottom w:val="single" w:sz="4" w:space="0" w:color="auto"/>
              <w:right w:val="single" w:sz="4" w:space="0" w:color="auto"/>
            </w:tcBorders>
            <w:shd w:val="clear" w:color="auto" w:fill="auto"/>
            <w:vAlign w:val="center"/>
            <w:hideMark/>
          </w:tcPr>
          <w:p w14:paraId="7A7C65E9" w14:textId="452AB6BB"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1. Prodhimi i </w:t>
            </w:r>
            <w:r w:rsidR="0012403A" w:rsidRPr="00B31292">
              <w:rPr>
                <w:rFonts w:ascii="Garamond" w:eastAsia="Times New Roman" w:hAnsi="Garamond" w:cs="Times New Roman"/>
                <w:color w:val="000000"/>
                <w:sz w:val="10"/>
                <w:szCs w:val="10"/>
              </w:rPr>
              <w:t>vezëve</w:t>
            </w:r>
            <w:r w:rsidRPr="00B31292">
              <w:rPr>
                <w:rFonts w:ascii="Garamond" w:eastAsia="Times New Roman" w:hAnsi="Garamond" w:cs="Times New Roman"/>
                <w:color w:val="000000"/>
                <w:sz w:val="10"/>
                <w:szCs w:val="10"/>
              </w:rPr>
              <w:t xml:space="preserve"> </w:t>
            </w:r>
            <w:r w:rsidR="0012403A" w:rsidRPr="00B31292">
              <w:rPr>
                <w:rFonts w:ascii="Garamond" w:eastAsia="Times New Roman" w:hAnsi="Garamond" w:cs="Times New Roman"/>
                <w:color w:val="000000"/>
                <w:sz w:val="10"/>
                <w:szCs w:val="10"/>
              </w:rPr>
              <w:t>për</w:t>
            </w:r>
            <w:r w:rsidRPr="00B31292">
              <w:rPr>
                <w:rFonts w:ascii="Garamond" w:eastAsia="Times New Roman" w:hAnsi="Garamond" w:cs="Times New Roman"/>
                <w:color w:val="000000"/>
                <w:sz w:val="10"/>
                <w:szCs w:val="10"/>
              </w:rPr>
              <w:t xml:space="preserve"> konsum </w:t>
            </w:r>
            <w:r w:rsidR="0012403A" w:rsidRPr="00B31292">
              <w:rPr>
                <w:rFonts w:ascii="Garamond" w:eastAsia="Times New Roman" w:hAnsi="Garamond" w:cs="Times New Roman"/>
                <w:color w:val="000000"/>
                <w:sz w:val="10"/>
                <w:szCs w:val="10"/>
              </w:rPr>
              <w:t>njerëzor</w:t>
            </w:r>
            <w:r w:rsidRPr="00B31292">
              <w:rPr>
                <w:rFonts w:ascii="Garamond" w:eastAsia="Times New Roman" w:hAnsi="Garamond" w:cs="Times New Roman"/>
                <w:color w:val="000000"/>
                <w:sz w:val="10"/>
                <w:szCs w:val="10"/>
              </w:rPr>
              <w:t xml:space="preserve"> (subjektet e prodhimit t</w:t>
            </w:r>
            <w:r w:rsidR="001240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w:t>
            </w:r>
            <w:r w:rsidR="0012403A" w:rsidRPr="00B31292">
              <w:rPr>
                <w:rFonts w:ascii="Garamond" w:eastAsia="Times New Roman" w:hAnsi="Garamond" w:cs="Times New Roman"/>
                <w:color w:val="000000"/>
                <w:sz w:val="10"/>
                <w:szCs w:val="10"/>
              </w:rPr>
              <w:t>vezëve</w:t>
            </w:r>
            <w:r w:rsidRPr="00B31292">
              <w:rPr>
                <w:rFonts w:ascii="Garamond" w:eastAsia="Times New Roman" w:hAnsi="Garamond" w:cs="Times New Roman"/>
                <w:color w:val="000000"/>
                <w:sz w:val="10"/>
                <w:szCs w:val="10"/>
              </w:rPr>
              <w:t>)</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 Struktura e çeljeve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 Numri i pulave pjellëse</w:t>
            </w:r>
            <w:r w:rsidR="00E1320B" w:rsidRPr="00B31292">
              <w:rPr>
                <w:rFonts w:ascii="Garamond" w:eastAsia="Times New Roman" w:hAnsi="Garamond" w:cs="Times New Roman"/>
                <w:color w:val="000000"/>
                <w:sz w:val="10"/>
                <w:szCs w:val="10"/>
              </w:rPr>
              <w:t>.</w:t>
            </w:r>
          </w:p>
        </w:tc>
        <w:tc>
          <w:tcPr>
            <w:tcW w:w="299" w:type="pct"/>
            <w:tcBorders>
              <w:top w:val="nil"/>
              <w:left w:val="nil"/>
              <w:bottom w:val="single" w:sz="4" w:space="0" w:color="000000"/>
              <w:right w:val="nil"/>
            </w:tcBorders>
            <w:shd w:val="clear" w:color="auto" w:fill="auto"/>
            <w:vAlign w:val="center"/>
            <w:hideMark/>
          </w:tcPr>
          <w:p w14:paraId="115EA7D7"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Instituti i Statistikave</w:t>
            </w:r>
          </w:p>
        </w:tc>
        <w:tc>
          <w:tcPr>
            <w:tcW w:w="224" w:type="pct"/>
            <w:tcBorders>
              <w:top w:val="nil"/>
              <w:left w:val="single" w:sz="4" w:space="0" w:color="auto"/>
              <w:bottom w:val="single" w:sz="4" w:space="0" w:color="auto"/>
              <w:right w:val="single" w:sz="4" w:space="0" w:color="auto"/>
            </w:tcBorders>
            <w:shd w:val="clear" w:color="auto" w:fill="auto"/>
            <w:vAlign w:val="center"/>
            <w:hideMark/>
          </w:tcPr>
          <w:p w14:paraId="775990E2" w14:textId="2894A2AB"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E1320B" w:rsidRPr="00B31292">
              <w:rPr>
                <w:rFonts w:ascii="Garamond" w:eastAsia="Times New Roman" w:hAnsi="Garamond" w:cs="Times New Roman"/>
                <w:color w:val="000000"/>
                <w:sz w:val="10"/>
                <w:szCs w:val="10"/>
              </w:rPr>
              <w:t>-i</w:t>
            </w:r>
          </w:p>
        </w:tc>
        <w:tc>
          <w:tcPr>
            <w:tcW w:w="244" w:type="pct"/>
            <w:tcBorders>
              <w:top w:val="nil"/>
              <w:left w:val="nil"/>
              <w:bottom w:val="single" w:sz="4" w:space="0" w:color="auto"/>
              <w:right w:val="single" w:sz="4" w:space="0" w:color="auto"/>
            </w:tcBorders>
            <w:shd w:val="clear" w:color="000000" w:fill="FFFFFF"/>
            <w:vAlign w:val="center"/>
            <w:hideMark/>
          </w:tcPr>
          <w:p w14:paraId="42182DA1"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M + 42D</w:t>
            </w:r>
          </w:p>
        </w:tc>
        <w:tc>
          <w:tcPr>
            <w:tcW w:w="220" w:type="pct"/>
            <w:tcBorders>
              <w:top w:val="nil"/>
              <w:left w:val="nil"/>
              <w:bottom w:val="single" w:sz="4" w:space="0" w:color="auto"/>
              <w:right w:val="single" w:sz="4" w:space="0" w:color="auto"/>
            </w:tcBorders>
            <w:shd w:val="clear" w:color="000000" w:fill="FFFFFF"/>
            <w:vAlign w:val="center"/>
            <w:hideMark/>
          </w:tcPr>
          <w:p w14:paraId="349B5953"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M + 44D</w:t>
            </w:r>
          </w:p>
        </w:tc>
        <w:tc>
          <w:tcPr>
            <w:tcW w:w="220" w:type="pct"/>
            <w:tcBorders>
              <w:top w:val="nil"/>
              <w:left w:val="nil"/>
              <w:bottom w:val="single" w:sz="4" w:space="0" w:color="auto"/>
              <w:right w:val="single" w:sz="4" w:space="0" w:color="auto"/>
            </w:tcBorders>
            <w:shd w:val="clear" w:color="000000" w:fill="FFFFFF"/>
            <w:vAlign w:val="center"/>
            <w:hideMark/>
          </w:tcPr>
          <w:p w14:paraId="46BE84D7"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346" w:type="pct"/>
            <w:tcBorders>
              <w:top w:val="nil"/>
              <w:left w:val="nil"/>
              <w:bottom w:val="single" w:sz="4" w:space="0" w:color="auto"/>
              <w:right w:val="single" w:sz="4" w:space="0" w:color="auto"/>
            </w:tcBorders>
            <w:shd w:val="clear" w:color="auto" w:fill="auto"/>
            <w:vAlign w:val="center"/>
            <w:hideMark/>
          </w:tcPr>
          <w:p w14:paraId="15FB1515" w14:textId="6568ED5A"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1. Vonesa dhe gabime të tjera në </w:t>
            </w:r>
            <w:r w:rsidR="0012403A" w:rsidRPr="00B31292">
              <w:rPr>
                <w:rFonts w:ascii="Garamond" w:eastAsia="Times New Roman" w:hAnsi="Garamond" w:cs="Times New Roman"/>
                <w:color w:val="000000"/>
                <w:sz w:val="10"/>
                <w:szCs w:val="10"/>
              </w:rPr>
              <w:t>procesin</w:t>
            </w:r>
            <w:r w:rsidRPr="00B31292">
              <w:rPr>
                <w:rFonts w:ascii="Garamond" w:eastAsia="Times New Roman" w:hAnsi="Garamond" w:cs="Times New Roman"/>
                <w:color w:val="000000"/>
                <w:sz w:val="10"/>
                <w:szCs w:val="10"/>
              </w:rPr>
              <w:t xml:space="preserve"> e </w:t>
            </w:r>
            <w:r w:rsidR="0012403A" w:rsidRPr="00B31292">
              <w:rPr>
                <w:rFonts w:ascii="Garamond" w:eastAsia="Times New Roman" w:hAnsi="Garamond" w:cs="Times New Roman"/>
                <w:color w:val="000000"/>
                <w:sz w:val="10"/>
                <w:szCs w:val="10"/>
              </w:rPr>
              <w:t>kontrollit</w:t>
            </w:r>
            <w:r w:rsidRPr="00B31292">
              <w:rPr>
                <w:rFonts w:ascii="Garamond" w:eastAsia="Times New Roman" w:hAnsi="Garamond" w:cs="Times New Roman"/>
                <w:color w:val="000000"/>
                <w:sz w:val="10"/>
                <w:szCs w:val="10"/>
              </w:rPr>
              <w:t xml:space="preserve"> dhe hedhjes së të dhënave për anketat mujore dhe vjetore të blegtorisë.</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 - 4</w:t>
            </w:r>
            <w:r w:rsidRPr="00B31292">
              <w:rPr>
                <w:rFonts w:ascii="Garamond" w:eastAsia="Times New Roman" w:hAnsi="Garamond" w:cs="Times New Roman"/>
                <w:color w:val="000000"/>
                <w:sz w:val="10"/>
                <w:szCs w:val="10"/>
              </w:rPr>
              <w:br/>
              <w:t xml:space="preserve">2. Problemeve me sistemin CAPI të mbledhjes së të dhënave, që riskojnë cilësinë e të dhënave si dhe vendos barrë mbi anketuesin për: Statistikat e </w:t>
            </w:r>
            <w:r w:rsidRPr="00B31292">
              <w:rPr>
                <w:rFonts w:ascii="Garamond" w:eastAsia="Times New Roman" w:hAnsi="Garamond" w:cs="Times New Roman"/>
                <w:color w:val="000000"/>
                <w:sz w:val="10"/>
                <w:szCs w:val="10"/>
              </w:rPr>
              <w:lastRenderedPageBreak/>
              <w:t>blegtorisë, mishit dhe vezëve të gjeneruara nga vrojtimi mujor i aktivitetit të thertoreve të shpendëve.</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-|- 4</w:t>
            </w:r>
          </w:p>
        </w:tc>
        <w:tc>
          <w:tcPr>
            <w:tcW w:w="273" w:type="pct"/>
            <w:tcBorders>
              <w:top w:val="nil"/>
              <w:left w:val="nil"/>
              <w:bottom w:val="single" w:sz="4" w:space="0" w:color="auto"/>
              <w:right w:val="single" w:sz="4" w:space="0" w:color="auto"/>
            </w:tcBorders>
            <w:shd w:val="clear" w:color="auto" w:fill="auto"/>
            <w:vAlign w:val="center"/>
            <w:hideMark/>
          </w:tcPr>
          <w:p w14:paraId="5C648C7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lastRenderedPageBreak/>
              <w:t>Buxhet shteti</w:t>
            </w:r>
          </w:p>
        </w:tc>
      </w:tr>
      <w:tr w:rsidR="000A2254" w:rsidRPr="00B31292" w14:paraId="116EF110" w14:textId="77777777" w:rsidTr="000A2254">
        <w:trPr>
          <w:trHeight w:val="20"/>
        </w:trPr>
        <w:tc>
          <w:tcPr>
            <w:tcW w:w="215" w:type="pct"/>
            <w:tcBorders>
              <w:top w:val="nil"/>
              <w:left w:val="nil"/>
              <w:bottom w:val="nil"/>
              <w:right w:val="nil"/>
            </w:tcBorders>
            <w:shd w:val="clear" w:color="000000" w:fill="FFFFFF"/>
            <w:vAlign w:val="bottom"/>
            <w:hideMark/>
          </w:tcPr>
          <w:p w14:paraId="3966B24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33D277C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2C4AF92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5344DC1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13BBCAB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265D04C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auto"/>
              <w:bottom w:val="single" w:sz="4" w:space="0" w:color="auto"/>
              <w:right w:val="single" w:sz="4" w:space="0" w:color="auto"/>
            </w:tcBorders>
            <w:shd w:val="clear" w:color="auto" w:fill="auto"/>
            <w:vAlign w:val="center"/>
            <w:hideMark/>
          </w:tcPr>
          <w:p w14:paraId="598D43D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3.1.2.b.5</w:t>
            </w:r>
          </w:p>
        </w:tc>
        <w:tc>
          <w:tcPr>
            <w:tcW w:w="281" w:type="pct"/>
            <w:tcBorders>
              <w:top w:val="nil"/>
              <w:left w:val="nil"/>
              <w:bottom w:val="nil"/>
              <w:right w:val="single" w:sz="4" w:space="0" w:color="auto"/>
            </w:tcBorders>
            <w:shd w:val="clear" w:color="auto" w:fill="auto"/>
            <w:vAlign w:val="center"/>
            <w:hideMark/>
          </w:tcPr>
          <w:p w14:paraId="1B71AC56" w14:textId="588F546B"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xml:space="preserve">Statistikat e </w:t>
            </w:r>
            <w:r w:rsidR="00E1320B" w:rsidRPr="00B31292">
              <w:rPr>
                <w:rFonts w:ascii="Garamond" w:eastAsia="Times New Roman" w:hAnsi="Garamond" w:cs="Times New Roman"/>
                <w:sz w:val="10"/>
                <w:szCs w:val="10"/>
              </w:rPr>
              <w:t xml:space="preserve">blegtorisë, mishit dhe vezëve </w:t>
            </w:r>
            <w:r w:rsidRPr="00B31292">
              <w:rPr>
                <w:rFonts w:ascii="Garamond" w:eastAsia="Times New Roman" w:hAnsi="Garamond" w:cs="Times New Roman"/>
                <w:sz w:val="10"/>
                <w:szCs w:val="10"/>
              </w:rPr>
              <w:t>nga</w:t>
            </w:r>
            <w:r w:rsidR="002E2911" w:rsidRPr="00B31292">
              <w:rPr>
                <w:rFonts w:ascii="Garamond" w:eastAsia="Times New Roman" w:hAnsi="Garamond" w:cs="Times New Roman"/>
                <w:sz w:val="10"/>
                <w:szCs w:val="10"/>
              </w:rPr>
              <w:t xml:space="preserve"> </w:t>
            </w:r>
            <w:r w:rsidRPr="00B31292">
              <w:rPr>
                <w:rFonts w:ascii="Garamond" w:eastAsia="Times New Roman" w:hAnsi="Garamond" w:cs="Times New Roman"/>
                <w:sz w:val="10"/>
                <w:szCs w:val="10"/>
              </w:rPr>
              <w:t>vrojtimi mujor i aktivitetit të pularive për prodhimin e vezëve (konsum njerëzor)</w:t>
            </w:r>
          </w:p>
        </w:tc>
        <w:tc>
          <w:tcPr>
            <w:tcW w:w="236" w:type="pct"/>
            <w:tcBorders>
              <w:top w:val="nil"/>
              <w:left w:val="nil"/>
              <w:bottom w:val="nil"/>
              <w:right w:val="single" w:sz="4" w:space="0" w:color="000000"/>
            </w:tcBorders>
            <w:shd w:val="clear" w:color="auto" w:fill="auto"/>
            <w:vAlign w:val="center"/>
            <w:hideMark/>
          </w:tcPr>
          <w:p w14:paraId="72ED2F6A"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Vrojtim</w:t>
            </w:r>
          </w:p>
        </w:tc>
        <w:tc>
          <w:tcPr>
            <w:tcW w:w="238" w:type="pct"/>
            <w:tcBorders>
              <w:top w:val="nil"/>
              <w:left w:val="nil"/>
              <w:bottom w:val="single" w:sz="4" w:space="0" w:color="auto"/>
              <w:right w:val="single" w:sz="4" w:space="0" w:color="auto"/>
            </w:tcBorders>
            <w:shd w:val="clear" w:color="auto" w:fill="auto"/>
            <w:noWrap/>
            <w:vAlign w:val="center"/>
            <w:hideMark/>
          </w:tcPr>
          <w:p w14:paraId="1040DCFD"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180" w:type="pct"/>
            <w:tcBorders>
              <w:top w:val="nil"/>
              <w:left w:val="nil"/>
              <w:bottom w:val="single" w:sz="4" w:space="0" w:color="auto"/>
              <w:right w:val="single" w:sz="4" w:space="0" w:color="auto"/>
            </w:tcBorders>
            <w:shd w:val="clear" w:color="auto" w:fill="auto"/>
            <w:noWrap/>
            <w:vAlign w:val="center"/>
            <w:hideMark/>
          </w:tcPr>
          <w:p w14:paraId="236A838B"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228" w:type="pct"/>
            <w:tcBorders>
              <w:top w:val="nil"/>
              <w:left w:val="nil"/>
              <w:bottom w:val="nil"/>
              <w:right w:val="single" w:sz="4" w:space="0" w:color="000000"/>
            </w:tcBorders>
            <w:shd w:val="clear" w:color="auto" w:fill="auto"/>
            <w:vAlign w:val="center"/>
            <w:hideMark/>
          </w:tcPr>
          <w:p w14:paraId="484536B9" w14:textId="208497EE"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I </w:t>
            </w:r>
            <w:r w:rsidR="001C6DE3" w:rsidRPr="00B31292">
              <w:rPr>
                <w:rFonts w:ascii="Garamond" w:eastAsia="Times New Roman" w:hAnsi="Garamond" w:cs="Times New Roman"/>
                <w:color w:val="000000"/>
                <w:sz w:val="10"/>
                <w:szCs w:val="10"/>
              </w:rPr>
              <w:t>vazhdueshëm</w:t>
            </w:r>
          </w:p>
        </w:tc>
        <w:tc>
          <w:tcPr>
            <w:tcW w:w="222" w:type="pct"/>
            <w:tcBorders>
              <w:top w:val="nil"/>
              <w:left w:val="nil"/>
              <w:bottom w:val="nil"/>
              <w:right w:val="single" w:sz="4" w:space="0" w:color="000000"/>
            </w:tcBorders>
            <w:shd w:val="clear" w:color="auto" w:fill="auto"/>
            <w:vAlign w:val="center"/>
            <w:hideMark/>
          </w:tcPr>
          <w:p w14:paraId="22513F2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Mujor</w:t>
            </w:r>
          </w:p>
        </w:tc>
        <w:tc>
          <w:tcPr>
            <w:tcW w:w="486" w:type="pct"/>
            <w:tcBorders>
              <w:top w:val="nil"/>
              <w:left w:val="nil"/>
              <w:bottom w:val="nil"/>
              <w:right w:val="single" w:sz="4" w:space="0" w:color="auto"/>
            </w:tcBorders>
            <w:shd w:val="clear" w:color="auto" w:fill="auto"/>
            <w:vAlign w:val="center"/>
            <w:hideMark/>
          </w:tcPr>
          <w:p w14:paraId="21EFD2B8" w14:textId="43CD8524"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Prodhimi i mishit t</w:t>
            </w:r>
            <w:r w:rsidR="001240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w:t>
            </w:r>
            <w:r w:rsidR="0012403A" w:rsidRPr="00B31292">
              <w:rPr>
                <w:rFonts w:ascii="Garamond" w:eastAsia="Times New Roman" w:hAnsi="Garamond" w:cs="Times New Roman"/>
                <w:color w:val="000000"/>
                <w:sz w:val="10"/>
                <w:szCs w:val="10"/>
              </w:rPr>
              <w:t>shpendëve</w:t>
            </w:r>
            <w:r w:rsidRPr="00B31292">
              <w:rPr>
                <w:rFonts w:ascii="Garamond" w:eastAsia="Times New Roman" w:hAnsi="Garamond" w:cs="Times New Roman"/>
                <w:color w:val="000000"/>
                <w:sz w:val="10"/>
                <w:szCs w:val="10"/>
              </w:rPr>
              <w:t xml:space="preserve"> nga thertoret</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2. Import - eksporti i </w:t>
            </w:r>
            <w:r w:rsidR="0012403A" w:rsidRPr="00B31292">
              <w:rPr>
                <w:rFonts w:ascii="Garamond" w:eastAsia="Times New Roman" w:hAnsi="Garamond" w:cs="Times New Roman"/>
                <w:color w:val="000000"/>
                <w:sz w:val="10"/>
                <w:szCs w:val="10"/>
              </w:rPr>
              <w:t>shpendëve</w:t>
            </w:r>
            <w:r w:rsidR="00E1320B" w:rsidRPr="00B31292">
              <w:rPr>
                <w:rFonts w:ascii="Garamond" w:eastAsia="Times New Roman" w:hAnsi="Garamond" w:cs="Times New Roman"/>
                <w:color w:val="000000"/>
                <w:sz w:val="10"/>
                <w:szCs w:val="10"/>
              </w:rPr>
              <w:t>.</w:t>
            </w:r>
          </w:p>
        </w:tc>
        <w:tc>
          <w:tcPr>
            <w:tcW w:w="299" w:type="pct"/>
            <w:tcBorders>
              <w:top w:val="nil"/>
              <w:left w:val="nil"/>
              <w:bottom w:val="nil"/>
              <w:right w:val="nil"/>
            </w:tcBorders>
            <w:shd w:val="clear" w:color="auto" w:fill="auto"/>
            <w:vAlign w:val="center"/>
            <w:hideMark/>
          </w:tcPr>
          <w:p w14:paraId="0873AEB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 Instituti i Statistikave</w:t>
            </w:r>
          </w:p>
        </w:tc>
        <w:tc>
          <w:tcPr>
            <w:tcW w:w="224" w:type="pct"/>
            <w:tcBorders>
              <w:top w:val="nil"/>
              <w:left w:val="single" w:sz="4" w:space="0" w:color="auto"/>
              <w:bottom w:val="nil"/>
              <w:right w:val="single" w:sz="4" w:space="0" w:color="auto"/>
            </w:tcBorders>
            <w:shd w:val="clear" w:color="auto" w:fill="auto"/>
            <w:vAlign w:val="center"/>
            <w:hideMark/>
          </w:tcPr>
          <w:p w14:paraId="590376F4" w14:textId="5B2AFE2B"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E1320B" w:rsidRPr="00B31292">
              <w:rPr>
                <w:rFonts w:ascii="Garamond" w:eastAsia="Times New Roman" w:hAnsi="Garamond" w:cs="Times New Roman"/>
                <w:color w:val="000000"/>
                <w:sz w:val="10"/>
                <w:szCs w:val="10"/>
              </w:rPr>
              <w:t>-i</w:t>
            </w:r>
          </w:p>
        </w:tc>
        <w:tc>
          <w:tcPr>
            <w:tcW w:w="244" w:type="pct"/>
            <w:tcBorders>
              <w:top w:val="nil"/>
              <w:left w:val="nil"/>
              <w:bottom w:val="single" w:sz="4" w:space="0" w:color="auto"/>
              <w:right w:val="single" w:sz="4" w:space="0" w:color="auto"/>
            </w:tcBorders>
            <w:shd w:val="clear" w:color="000000" w:fill="FFFFFF"/>
            <w:vAlign w:val="center"/>
            <w:hideMark/>
          </w:tcPr>
          <w:p w14:paraId="74F756DD"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M + 15D</w:t>
            </w:r>
          </w:p>
        </w:tc>
        <w:tc>
          <w:tcPr>
            <w:tcW w:w="220" w:type="pct"/>
            <w:tcBorders>
              <w:top w:val="nil"/>
              <w:left w:val="nil"/>
              <w:bottom w:val="single" w:sz="4" w:space="0" w:color="auto"/>
              <w:right w:val="single" w:sz="4" w:space="0" w:color="auto"/>
            </w:tcBorders>
            <w:shd w:val="clear" w:color="000000" w:fill="FFFFFF"/>
            <w:vAlign w:val="center"/>
            <w:hideMark/>
          </w:tcPr>
          <w:p w14:paraId="4FCC4F86"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M + 37D</w:t>
            </w:r>
          </w:p>
        </w:tc>
        <w:tc>
          <w:tcPr>
            <w:tcW w:w="220" w:type="pct"/>
            <w:tcBorders>
              <w:top w:val="nil"/>
              <w:left w:val="nil"/>
              <w:bottom w:val="nil"/>
              <w:right w:val="single" w:sz="4" w:space="0" w:color="auto"/>
            </w:tcBorders>
            <w:shd w:val="clear" w:color="000000" w:fill="FFFFFF"/>
            <w:vAlign w:val="center"/>
            <w:hideMark/>
          </w:tcPr>
          <w:p w14:paraId="6C13AF9A"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346" w:type="pct"/>
            <w:tcBorders>
              <w:top w:val="nil"/>
              <w:left w:val="nil"/>
              <w:bottom w:val="single" w:sz="4" w:space="0" w:color="auto"/>
              <w:right w:val="single" w:sz="4" w:space="0" w:color="auto"/>
            </w:tcBorders>
            <w:shd w:val="clear" w:color="auto" w:fill="auto"/>
            <w:vAlign w:val="center"/>
            <w:hideMark/>
          </w:tcPr>
          <w:p w14:paraId="4A44A4AD" w14:textId="3BD3D1E8"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Vonesa dhe gabime të tjera në procesin e kontrollit dhe hedhjes së të dhënave për anketat mujore dhe vjetore të blegtorisë -| - 4</w:t>
            </w:r>
            <w:r w:rsidRPr="00B31292">
              <w:rPr>
                <w:rFonts w:ascii="Garamond" w:eastAsia="Times New Roman" w:hAnsi="Garamond" w:cs="Times New Roman"/>
                <w:color w:val="000000"/>
                <w:sz w:val="10"/>
                <w:szCs w:val="10"/>
              </w:rPr>
              <w:br/>
              <w:t>2. Gabime të bëra nga stafi ekspert gjatë përpunimit dhe nxjerrjes së rezultateve duke sjell ndikim n</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cilësinë e produktit.</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-|- 4</w:t>
            </w:r>
            <w:r w:rsidRPr="00B31292">
              <w:rPr>
                <w:rFonts w:ascii="Garamond" w:eastAsia="Times New Roman" w:hAnsi="Garamond" w:cs="Times New Roman"/>
                <w:color w:val="000000"/>
                <w:sz w:val="10"/>
                <w:szCs w:val="10"/>
              </w:rPr>
              <w:br/>
              <w:t xml:space="preserve">3. Vonesa dhe gabime të tjera në </w:t>
            </w:r>
            <w:r w:rsidR="0012403A" w:rsidRPr="00B31292">
              <w:rPr>
                <w:rFonts w:ascii="Garamond" w:eastAsia="Times New Roman" w:hAnsi="Garamond" w:cs="Times New Roman"/>
                <w:color w:val="000000"/>
                <w:sz w:val="10"/>
                <w:szCs w:val="10"/>
              </w:rPr>
              <w:t>procesin</w:t>
            </w:r>
            <w:r w:rsidRPr="00B31292">
              <w:rPr>
                <w:rFonts w:ascii="Garamond" w:eastAsia="Times New Roman" w:hAnsi="Garamond" w:cs="Times New Roman"/>
                <w:color w:val="000000"/>
                <w:sz w:val="10"/>
                <w:szCs w:val="10"/>
              </w:rPr>
              <w:t xml:space="preserve"> e </w:t>
            </w:r>
            <w:r w:rsidR="0012403A" w:rsidRPr="00B31292">
              <w:rPr>
                <w:rFonts w:ascii="Garamond" w:eastAsia="Times New Roman" w:hAnsi="Garamond" w:cs="Times New Roman"/>
                <w:color w:val="000000"/>
                <w:sz w:val="10"/>
                <w:szCs w:val="10"/>
              </w:rPr>
              <w:t>kontrollit</w:t>
            </w:r>
            <w:r w:rsidRPr="00B31292">
              <w:rPr>
                <w:rFonts w:ascii="Garamond" w:eastAsia="Times New Roman" w:hAnsi="Garamond" w:cs="Times New Roman"/>
                <w:color w:val="000000"/>
                <w:sz w:val="10"/>
                <w:szCs w:val="10"/>
              </w:rPr>
              <w:t xml:space="preserve"> dhe hedhjes së të dhënave për anketat mujore dhe vjetore të blegtorisë</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 - 4</w:t>
            </w:r>
            <w:r w:rsidRPr="00B31292">
              <w:rPr>
                <w:rFonts w:ascii="Garamond" w:eastAsia="Times New Roman" w:hAnsi="Garamond" w:cs="Times New Roman"/>
                <w:color w:val="000000"/>
                <w:sz w:val="10"/>
                <w:szCs w:val="10"/>
              </w:rPr>
              <w:br/>
              <w:t>4. Gabime në hedhjen e të dhënave nga vrojtimet statistikore të sektorit. -| - 4</w:t>
            </w:r>
          </w:p>
        </w:tc>
        <w:tc>
          <w:tcPr>
            <w:tcW w:w="273" w:type="pct"/>
            <w:tcBorders>
              <w:top w:val="nil"/>
              <w:left w:val="nil"/>
              <w:bottom w:val="nil"/>
              <w:right w:val="single" w:sz="4" w:space="0" w:color="auto"/>
            </w:tcBorders>
            <w:shd w:val="clear" w:color="auto" w:fill="auto"/>
            <w:vAlign w:val="center"/>
            <w:hideMark/>
          </w:tcPr>
          <w:p w14:paraId="466E52E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Buxhet shteti</w:t>
            </w:r>
          </w:p>
        </w:tc>
      </w:tr>
      <w:tr w:rsidR="000A2254" w:rsidRPr="00B31292" w14:paraId="3B9F6463" w14:textId="77777777" w:rsidTr="000A2254">
        <w:trPr>
          <w:trHeight w:val="20"/>
        </w:trPr>
        <w:tc>
          <w:tcPr>
            <w:tcW w:w="215" w:type="pct"/>
            <w:tcBorders>
              <w:top w:val="nil"/>
              <w:left w:val="nil"/>
              <w:bottom w:val="nil"/>
              <w:right w:val="nil"/>
            </w:tcBorders>
            <w:shd w:val="clear" w:color="000000" w:fill="FFFFFF"/>
            <w:vAlign w:val="bottom"/>
            <w:hideMark/>
          </w:tcPr>
          <w:p w14:paraId="6822AC6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153DEBF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0391AA0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0633FBA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134AD35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389BADD7"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000000"/>
              <w:bottom w:val="single" w:sz="4" w:space="0" w:color="000000"/>
              <w:right w:val="nil"/>
            </w:tcBorders>
            <w:shd w:val="clear" w:color="000000" w:fill="F0F0F0"/>
            <w:vAlign w:val="center"/>
            <w:hideMark/>
          </w:tcPr>
          <w:p w14:paraId="4768F223"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3.1.2.c</w:t>
            </w:r>
          </w:p>
        </w:tc>
        <w:tc>
          <w:tcPr>
            <w:tcW w:w="3700" w:type="pct"/>
            <w:gridSpan w:val="14"/>
            <w:tcBorders>
              <w:top w:val="single" w:sz="4" w:space="0" w:color="auto"/>
              <w:left w:val="single" w:sz="4" w:space="0" w:color="auto"/>
              <w:bottom w:val="single" w:sz="4" w:space="0" w:color="auto"/>
              <w:right w:val="single" w:sz="4" w:space="0" w:color="auto"/>
            </w:tcBorders>
            <w:shd w:val="clear" w:color="000000" w:fill="F0F0F0"/>
            <w:vAlign w:val="center"/>
            <w:hideMark/>
          </w:tcPr>
          <w:p w14:paraId="201E0B2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Statistikat e qumështit dhe nënprodukteve të tij</w:t>
            </w:r>
          </w:p>
        </w:tc>
      </w:tr>
      <w:tr w:rsidR="000A2254" w:rsidRPr="00B31292" w14:paraId="4D676B5B" w14:textId="77777777" w:rsidTr="000A2254">
        <w:trPr>
          <w:trHeight w:val="20"/>
        </w:trPr>
        <w:tc>
          <w:tcPr>
            <w:tcW w:w="215" w:type="pct"/>
            <w:tcBorders>
              <w:top w:val="nil"/>
              <w:left w:val="nil"/>
              <w:bottom w:val="nil"/>
              <w:right w:val="nil"/>
            </w:tcBorders>
            <w:shd w:val="clear" w:color="000000" w:fill="FFFFFF"/>
            <w:vAlign w:val="bottom"/>
            <w:hideMark/>
          </w:tcPr>
          <w:p w14:paraId="6CDAF5C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27143FB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4EDC462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737B889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653363C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7F87337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auto"/>
              <w:bottom w:val="single" w:sz="4" w:space="0" w:color="auto"/>
              <w:right w:val="single" w:sz="4" w:space="0" w:color="auto"/>
            </w:tcBorders>
            <w:shd w:val="clear" w:color="auto" w:fill="auto"/>
            <w:vAlign w:val="center"/>
            <w:hideMark/>
          </w:tcPr>
          <w:p w14:paraId="00CF21B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3.1.2.c.1</w:t>
            </w:r>
          </w:p>
        </w:tc>
        <w:tc>
          <w:tcPr>
            <w:tcW w:w="281" w:type="pct"/>
            <w:tcBorders>
              <w:top w:val="nil"/>
              <w:left w:val="nil"/>
              <w:bottom w:val="single" w:sz="4" w:space="0" w:color="auto"/>
              <w:right w:val="single" w:sz="4" w:space="0" w:color="auto"/>
            </w:tcBorders>
            <w:shd w:val="clear" w:color="auto" w:fill="auto"/>
            <w:vAlign w:val="center"/>
            <w:hideMark/>
          </w:tcPr>
          <w:p w14:paraId="254D6B7C" w14:textId="0992DE9A"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xml:space="preserve">Statistikat e </w:t>
            </w:r>
            <w:r w:rsidR="00E1320B" w:rsidRPr="00B31292">
              <w:rPr>
                <w:rFonts w:ascii="Garamond" w:eastAsia="Times New Roman" w:hAnsi="Garamond" w:cs="Times New Roman"/>
                <w:sz w:val="10"/>
                <w:szCs w:val="10"/>
              </w:rPr>
              <w:t xml:space="preserve">qumështit dhe nënprodukteve të tij të vrojtimi vjetor </w:t>
            </w:r>
            <w:r w:rsidRPr="00B31292">
              <w:rPr>
                <w:rFonts w:ascii="Garamond" w:eastAsia="Times New Roman" w:hAnsi="Garamond" w:cs="Times New Roman"/>
                <w:sz w:val="10"/>
                <w:szCs w:val="10"/>
              </w:rPr>
              <w:t>në të gjitha fabrikat dhe baxhot që grumbullojnë dhe përpunojnë qumësht</w:t>
            </w:r>
          </w:p>
        </w:tc>
        <w:tc>
          <w:tcPr>
            <w:tcW w:w="236" w:type="pct"/>
            <w:tcBorders>
              <w:top w:val="nil"/>
              <w:left w:val="nil"/>
              <w:bottom w:val="single" w:sz="4" w:space="0" w:color="000000"/>
              <w:right w:val="single" w:sz="4" w:space="0" w:color="000000"/>
            </w:tcBorders>
            <w:shd w:val="clear" w:color="auto" w:fill="auto"/>
            <w:vAlign w:val="center"/>
            <w:hideMark/>
          </w:tcPr>
          <w:p w14:paraId="26212D25"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Vrojtim</w:t>
            </w:r>
          </w:p>
        </w:tc>
        <w:tc>
          <w:tcPr>
            <w:tcW w:w="238" w:type="pct"/>
            <w:tcBorders>
              <w:top w:val="nil"/>
              <w:left w:val="nil"/>
              <w:bottom w:val="single" w:sz="4" w:space="0" w:color="auto"/>
              <w:right w:val="single" w:sz="4" w:space="0" w:color="auto"/>
            </w:tcBorders>
            <w:shd w:val="clear" w:color="auto" w:fill="auto"/>
            <w:noWrap/>
            <w:vAlign w:val="center"/>
            <w:hideMark/>
          </w:tcPr>
          <w:p w14:paraId="61CDB327"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180" w:type="pct"/>
            <w:tcBorders>
              <w:top w:val="nil"/>
              <w:left w:val="nil"/>
              <w:bottom w:val="single" w:sz="4" w:space="0" w:color="auto"/>
              <w:right w:val="single" w:sz="4" w:space="0" w:color="auto"/>
            </w:tcBorders>
            <w:shd w:val="clear" w:color="auto" w:fill="auto"/>
            <w:noWrap/>
            <w:vAlign w:val="center"/>
            <w:hideMark/>
          </w:tcPr>
          <w:p w14:paraId="2B5EC509"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228" w:type="pct"/>
            <w:tcBorders>
              <w:top w:val="nil"/>
              <w:left w:val="nil"/>
              <w:bottom w:val="single" w:sz="4" w:space="0" w:color="auto"/>
              <w:right w:val="single" w:sz="4" w:space="0" w:color="auto"/>
            </w:tcBorders>
            <w:shd w:val="clear" w:color="auto" w:fill="auto"/>
            <w:vAlign w:val="center"/>
            <w:hideMark/>
          </w:tcPr>
          <w:p w14:paraId="6DB9AE9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tcBorders>
              <w:top w:val="nil"/>
              <w:left w:val="nil"/>
              <w:bottom w:val="single" w:sz="4" w:space="0" w:color="000000"/>
              <w:right w:val="single" w:sz="4" w:space="0" w:color="000000"/>
            </w:tcBorders>
            <w:shd w:val="clear" w:color="auto" w:fill="auto"/>
            <w:vAlign w:val="center"/>
            <w:hideMark/>
          </w:tcPr>
          <w:p w14:paraId="076C3CF7"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Vjetor</w:t>
            </w:r>
          </w:p>
        </w:tc>
        <w:tc>
          <w:tcPr>
            <w:tcW w:w="486" w:type="pct"/>
            <w:tcBorders>
              <w:top w:val="nil"/>
              <w:left w:val="nil"/>
              <w:bottom w:val="single" w:sz="4" w:space="0" w:color="auto"/>
              <w:right w:val="single" w:sz="4" w:space="0" w:color="auto"/>
            </w:tcBorders>
            <w:shd w:val="clear" w:color="auto" w:fill="auto"/>
            <w:vAlign w:val="center"/>
            <w:hideMark/>
          </w:tcPr>
          <w:p w14:paraId="5E6B7C50" w14:textId="749F49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Sasia e qumështit të grumbulluar</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 Nën produktet e qumështit</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 Përmbajtja mesatare e yndyrës dhe proteinave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4. Struktura e fabrikave/qendrave të grumbullimit</w:t>
            </w:r>
            <w:r w:rsidR="00E1320B" w:rsidRPr="00B31292">
              <w:rPr>
                <w:rFonts w:ascii="Garamond" w:eastAsia="Times New Roman" w:hAnsi="Garamond" w:cs="Times New Roman"/>
                <w:color w:val="000000"/>
                <w:sz w:val="10"/>
                <w:szCs w:val="10"/>
              </w:rPr>
              <w:t>.</w:t>
            </w:r>
          </w:p>
        </w:tc>
        <w:tc>
          <w:tcPr>
            <w:tcW w:w="299" w:type="pct"/>
            <w:tcBorders>
              <w:top w:val="nil"/>
              <w:left w:val="nil"/>
              <w:bottom w:val="single" w:sz="4" w:space="0" w:color="auto"/>
              <w:right w:val="single" w:sz="4" w:space="0" w:color="auto"/>
            </w:tcBorders>
            <w:shd w:val="clear" w:color="auto" w:fill="auto"/>
            <w:vAlign w:val="center"/>
            <w:hideMark/>
          </w:tcPr>
          <w:p w14:paraId="5C8CE5D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Instituti i Statistikave</w:t>
            </w:r>
          </w:p>
        </w:tc>
        <w:tc>
          <w:tcPr>
            <w:tcW w:w="224" w:type="pct"/>
            <w:tcBorders>
              <w:top w:val="nil"/>
              <w:left w:val="nil"/>
              <w:bottom w:val="single" w:sz="4" w:space="0" w:color="auto"/>
              <w:right w:val="single" w:sz="4" w:space="0" w:color="auto"/>
            </w:tcBorders>
            <w:shd w:val="clear" w:color="auto" w:fill="auto"/>
            <w:vAlign w:val="center"/>
            <w:hideMark/>
          </w:tcPr>
          <w:p w14:paraId="2459A48C" w14:textId="25AE367F"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E1320B" w:rsidRPr="00B31292">
              <w:rPr>
                <w:rFonts w:ascii="Garamond" w:eastAsia="Times New Roman" w:hAnsi="Garamond" w:cs="Times New Roman"/>
                <w:color w:val="000000"/>
                <w:sz w:val="10"/>
                <w:szCs w:val="10"/>
              </w:rPr>
              <w:t>-i</w:t>
            </w:r>
          </w:p>
        </w:tc>
        <w:tc>
          <w:tcPr>
            <w:tcW w:w="244" w:type="pct"/>
            <w:tcBorders>
              <w:top w:val="nil"/>
              <w:left w:val="nil"/>
              <w:bottom w:val="single" w:sz="4" w:space="0" w:color="auto"/>
              <w:right w:val="single" w:sz="4" w:space="0" w:color="auto"/>
            </w:tcBorders>
            <w:shd w:val="clear" w:color="000000" w:fill="FFFFFF"/>
            <w:vAlign w:val="center"/>
            <w:hideMark/>
          </w:tcPr>
          <w:p w14:paraId="1E0A60FC"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+ 61D</w:t>
            </w:r>
          </w:p>
        </w:tc>
        <w:tc>
          <w:tcPr>
            <w:tcW w:w="220" w:type="pct"/>
            <w:tcBorders>
              <w:top w:val="nil"/>
              <w:left w:val="nil"/>
              <w:bottom w:val="single" w:sz="4" w:space="0" w:color="auto"/>
              <w:right w:val="single" w:sz="4" w:space="0" w:color="auto"/>
            </w:tcBorders>
            <w:shd w:val="clear" w:color="000000" w:fill="FFFFFF"/>
            <w:vAlign w:val="center"/>
            <w:hideMark/>
          </w:tcPr>
          <w:p w14:paraId="0F375A06"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+ 182D</w:t>
            </w:r>
          </w:p>
        </w:tc>
        <w:tc>
          <w:tcPr>
            <w:tcW w:w="220" w:type="pct"/>
            <w:tcBorders>
              <w:top w:val="nil"/>
              <w:left w:val="nil"/>
              <w:bottom w:val="single" w:sz="4" w:space="0" w:color="auto"/>
              <w:right w:val="single" w:sz="4" w:space="0" w:color="auto"/>
            </w:tcBorders>
            <w:shd w:val="clear" w:color="000000" w:fill="FFFFFF"/>
            <w:vAlign w:val="center"/>
            <w:hideMark/>
          </w:tcPr>
          <w:p w14:paraId="59854DAD"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+ 190D</w:t>
            </w:r>
          </w:p>
        </w:tc>
        <w:tc>
          <w:tcPr>
            <w:tcW w:w="346" w:type="pct"/>
            <w:tcBorders>
              <w:top w:val="nil"/>
              <w:left w:val="nil"/>
              <w:bottom w:val="single" w:sz="4" w:space="0" w:color="auto"/>
              <w:right w:val="single" w:sz="4" w:space="0" w:color="auto"/>
            </w:tcBorders>
            <w:shd w:val="clear" w:color="auto" w:fill="auto"/>
            <w:vAlign w:val="center"/>
            <w:hideMark/>
          </w:tcPr>
          <w:p w14:paraId="6A01DA36" w14:textId="1AA279BC" w:rsidR="000A2254" w:rsidRPr="00B31292" w:rsidRDefault="0012403A" w:rsidP="0012403A">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1. </w:t>
            </w:r>
            <w:r w:rsidR="000A2254" w:rsidRPr="00B31292">
              <w:rPr>
                <w:rFonts w:ascii="Garamond" w:eastAsia="Times New Roman" w:hAnsi="Garamond" w:cs="Times New Roman"/>
                <w:color w:val="000000"/>
                <w:sz w:val="10"/>
                <w:szCs w:val="10"/>
              </w:rPr>
              <w:t>Gabime të bëra nga stafi ekspert gjatë përpunimit dhe nxjerrjes së rezultateve duke sjell ndikim n</w:t>
            </w:r>
            <w:r w:rsidR="00CD213A" w:rsidRPr="00B31292">
              <w:rPr>
                <w:rFonts w:ascii="Garamond" w:eastAsia="Times New Roman" w:hAnsi="Garamond" w:cs="Times New Roman"/>
                <w:color w:val="000000"/>
                <w:sz w:val="10"/>
                <w:szCs w:val="10"/>
              </w:rPr>
              <w:t>ë</w:t>
            </w:r>
            <w:r w:rsidR="000A2254" w:rsidRPr="00B31292">
              <w:rPr>
                <w:rFonts w:ascii="Garamond" w:eastAsia="Times New Roman" w:hAnsi="Garamond" w:cs="Times New Roman"/>
                <w:color w:val="000000"/>
                <w:sz w:val="10"/>
                <w:szCs w:val="10"/>
              </w:rPr>
              <w:t xml:space="preserve"> cilësinë e produktit.</w:t>
            </w:r>
            <w:r w:rsidR="002E2911" w:rsidRPr="00B31292">
              <w:rPr>
                <w:rFonts w:ascii="Garamond" w:eastAsia="Times New Roman" w:hAnsi="Garamond" w:cs="Times New Roman"/>
                <w:color w:val="000000"/>
                <w:sz w:val="10"/>
                <w:szCs w:val="10"/>
              </w:rPr>
              <w:t xml:space="preserve"> </w:t>
            </w:r>
            <w:r w:rsidR="000A2254" w:rsidRPr="00B31292">
              <w:rPr>
                <w:rFonts w:ascii="Garamond" w:eastAsia="Times New Roman" w:hAnsi="Garamond" w:cs="Times New Roman"/>
                <w:color w:val="000000"/>
                <w:sz w:val="10"/>
                <w:szCs w:val="10"/>
              </w:rPr>
              <w:t>-| - 4</w:t>
            </w:r>
            <w:r w:rsidR="000A2254" w:rsidRPr="00B31292">
              <w:rPr>
                <w:rFonts w:ascii="Garamond" w:eastAsia="Times New Roman" w:hAnsi="Garamond" w:cs="Times New Roman"/>
                <w:color w:val="000000"/>
                <w:sz w:val="10"/>
                <w:szCs w:val="10"/>
              </w:rPr>
              <w:br/>
              <w:t>2.</w:t>
            </w:r>
            <w:r w:rsidRPr="00B31292">
              <w:rPr>
                <w:rFonts w:ascii="Garamond" w:eastAsia="Times New Roman" w:hAnsi="Garamond" w:cs="Times New Roman"/>
                <w:color w:val="000000"/>
                <w:sz w:val="10"/>
                <w:szCs w:val="10"/>
              </w:rPr>
              <w:t xml:space="preserve"> </w:t>
            </w:r>
            <w:r w:rsidR="000A2254" w:rsidRPr="00B31292">
              <w:rPr>
                <w:rFonts w:ascii="Garamond" w:eastAsia="Times New Roman" w:hAnsi="Garamond" w:cs="Times New Roman"/>
                <w:color w:val="000000"/>
                <w:sz w:val="10"/>
                <w:szCs w:val="10"/>
              </w:rPr>
              <w:t xml:space="preserve">Vonesa dhe gabime të tjera në </w:t>
            </w:r>
            <w:r w:rsidRPr="00B31292">
              <w:rPr>
                <w:rFonts w:ascii="Garamond" w:eastAsia="Times New Roman" w:hAnsi="Garamond" w:cs="Times New Roman"/>
                <w:color w:val="000000"/>
                <w:sz w:val="10"/>
                <w:szCs w:val="10"/>
              </w:rPr>
              <w:t>procesin</w:t>
            </w:r>
            <w:r w:rsidR="000A2254" w:rsidRPr="00B31292">
              <w:rPr>
                <w:rFonts w:ascii="Garamond" w:eastAsia="Times New Roman" w:hAnsi="Garamond" w:cs="Times New Roman"/>
                <w:color w:val="000000"/>
                <w:sz w:val="10"/>
                <w:szCs w:val="10"/>
              </w:rPr>
              <w:t xml:space="preserve"> e kontrollit dhe hedhjes së të dhënave për anketat mujore dhe vjetore të blegtorisë.</w:t>
            </w:r>
            <w:r w:rsidR="002E2911" w:rsidRPr="00B31292">
              <w:rPr>
                <w:rFonts w:ascii="Garamond" w:eastAsia="Times New Roman" w:hAnsi="Garamond" w:cs="Times New Roman"/>
                <w:color w:val="000000"/>
                <w:sz w:val="10"/>
                <w:szCs w:val="10"/>
              </w:rPr>
              <w:t xml:space="preserve"> </w:t>
            </w:r>
            <w:r w:rsidR="000A2254" w:rsidRPr="00B31292">
              <w:rPr>
                <w:rFonts w:ascii="Garamond" w:eastAsia="Times New Roman" w:hAnsi="Garamond" w:cs="Times New Roman"/>
                <w:color w:val="000000"/>
                <w:sz w:val="10"/>
                <w:szCs w:val="10"/>
              </w:rPr>
              <w:t>-|-</w:t>
            </w:r>
            <w:r w:rsidR="002E2911" w:rsidRPr="00B31292">
              <w:rPr>
                <w:rFonts w:ascii="Garamond" w:eastAsia="Times New Roman" w:hAnsi="Garamond" w:cs="Times New Roman"/>
                <w:color w:val="000000"/>
                <w:sz w:val="10"/>
                <w:szCs w:val="10"/>
              </w:rPr>
              <w:t xml:space="preserve"> </w:t>
            </w:r>
            <w:r w:rsidR="000A2254" w:rsidRPr="00B31292">
              <w:rPr>
                <w:rFonts w:ascii="Garamond" w:eastAsia="Times New Roman" w:hAnsi="Garamond" w:cs="Times New Roman"/>
                <w:color w:val="000000"/>
                <w:sz w:val="10"/>
                <w:szCs w:val="10"/>
              </w:rPr>
              <w:t>4</w:t>
            </w:r>
            <w:r w:rsidR="000A2254" w:rsidRPr="00B31292">
              <w:rPr>
                <w:rFonts w:ascii="Garamond" w:eastAsia="Times New Roman" w:hAnsi="Garamond" w:cs="Times New Roman"/>
                <w:color w:val="000000"/>
                <w:sz w:val="10"/>
                <w:szCs w:val="10"/>
              </w:rPr>
              <w:br/>
              <w:t>3. Ardhja e pyetësorëve me vonesë në INSTAT lidhur me: Statistikat e qumështit dhe nënprodukteve të tij të gjeneruara nga vrojtimi vjetor dhe mujor në fabrikat dhe baxhot që grumbullojnë dhe përpunojnë qumësht (të gjithë llojet)</w:t>
            </w:r>
            <w:r w:rsidR="002E2911" w:rsidRPr="00B31292">
              <w:rPr>
                <w:rFonts w:ascii="Garamond" w:eastAsia="Times New Roman" w:hAnsi="Garamond" w:cs="Times New Roman"/>
                <w:color w:val="000000"/>
                <w:sz w:val="10"/>
                <w:szCs w:val="10"/>
              </w:rPr>
              <w:t xml:space="preserve"> </w:t>
            </w:r>
            <w:r w:rsidR="000A2254" w:rsidRPr="00B31292">
              <w:rPr>
                <w:rFonts w:ascii="Garamond" w:eastAsia="Times New Roman" w:hAnsi="Garamond" w:cs="Times New Roman"/>
                <w:color w:val="000000"/>
                <w:sz w:val="10"/>
                <w:szCs w:val="10"/>
              </w:rPr>
              <w:t xml:space="preserve">-|- 4 </w:t>
            </w:r>
            <w:r w:rsidR="000A2254" w:rsidRPr="00B31292">
              <w:rPr>
                <w:rFonts w:ascii="Garamond" w:eastAsia="Times New Roman" w:hAnsi="Garamond" w:cs="Times New Roman"/>
                <w:color w:val="000000"/>
                <w:sz w:val="10"/>
                <w:szCs w:val="10"/>
              </w:rPr>
              <w:br/>
              <w:t xml:space="preserve">4. Moskryerja e kontrolleve periodike në terren riskon cilësinë e të dhënave të mbledhura -|- 4 </w:t>
            </w:r>
            <w:r w:rsidR="000A2254" w:rsidRPr="00B31292">
              <w:rPr>
                <w:rFonts w:ascii="Garamond" w:eastAsia="Times New Roman" w:hAnsi="Garamond" w:cs="Times New Roman"/>
                <w:color w:val="000000"/>
                <w:sz w:val="10"/>
                <w:szCs w:val="10"/>
              </w:rPr>
              <w:br/>
            </w:r>
            <w:r w:rsidR="000A2254" w:rsidRPr="00B31292">
              <w:rPr>
                <w:rFonts w:ascii="Garamond" w:eastAsia="Times New Roman" w:hAnsi="Garamond" w:cs="Times New Roman"/>
                <w:color w:val="000000"/>
                <w:sz w:val="10"/>
                <w:szCs w:val="10"/>
              </w:rPr>
              <w:lastRenderedPageBreak/>
              <w:t xml:space="preserve">5. Mospajisja e aplikacioneve të mbledhjes së të dhënave me të gjitha funksionet e duhura -|- 4 </w:t>
            </w:r>
            <w:r w:rsidR="000A2254" w:rsidRPr="00B31292">
              <w:rPr>
                <w:rFonts w:ascii="Garamond" w:eastAsia="Times New Roman" w:hAnsi="Garamond" w:cs="Times New Roman"/>
                <w:color w:val="000000"/>
                <w:sz w:val="10"/>
                <w:szCs w:val="10"/>
              </w:rPr>
              <w:br/>
              <w:t>6. Gabime në hedhjen e të dhënave nga vrojtimet statistikore të sektorit -|- 4</w:t>
            </w:r>
          </w:p>
        </w:tc>
        <w:tc>
          <w:tcPr>
            <w:tcW w:w="273" w:type="pct"/>
            <w:tcBorders>
              <w:top w:val="nil"/>
              <w:left w:val="nil"/>
              <w:bottom w:val="single" w:sz="4" w:space="0" w:color="auto"/>
              <w:right w:val="single" w:sz="4" w:space="0" w:color="auto"/>
            </w:tcBorders>
            <w:shd w:val="clear" w:color="auto" w:fill="auto"/>
            <w:vAlign w:val="center"/>
            <w:hideMark/>
          </w:tcPr>
          <w:p w14:paraId="641D26D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lastRenderedPageBreak/>
              <w:t>Buxhet shteti</w:t>
            </w:r>
          </w:p>
        </w:tc>
      </w:tr>
      <w:tr w:rsidR="000A2254" w:rsidRPr="00B31292" w14:paraId="373E16D0" w14:textId="77777777" w:rsidTr="000A2254">
        <w:trPr>
          <w:trHeight w:val="20"/>
        </w:trPr>
        <w:tc>
          <w:tcPr>
            <w:tcW w:w="215" w:type="pct"/>
            <w:tcBorders>
              <w:top w:val="nil"/>
              <w:left w:val="nil"/>
              <w:bottom w:val="nil"/>
              <w:right w:val="nil"/>
            </w:tcBorders>
            <w:shd w:val="clear" w:color="000000" w:fill="FFFFFF"/>
            <w:vAlign w:val="bottom"/>
            <w:hideMark/>
          </w:tcPr>
          <w:p w14:paraId="138E61D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584B6E0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60C82FD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7ADF771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69E9559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378696B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auto"/>
              <w:bottom w:val="single" w:sz="4" w:space="0" w:color="auto"/>
              <w:right w:val="single" w:sz="4" w:space="0" w:color="auto"/>
            </w:tcBorders>
            <w:shd w:val="clear" w:color="auto" w:fill="auto"/>
            <w:vAlign w:val="center"/>
            <w:hideMark/>
          </w:tcPr>
          <w:p w14:paraId="414FEDA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3.1.2.c.2</w:t>
            </w:r>
          </w:p>
        </w:tc>
        <w:tc>
          <w:tcPr>
            <w:tcW w:w="281" w:type="pct"/>
            <w:tcBorders>
              <w:top w:val="nil"/>
              <w:left w:val="nil"/>
              <w:bottom w:val="single" w:sz="4" w:space="0" w:color="auto"/>
              <w:right w:val="single" w:sz="4" w:space="0" w:color="auto"/>
            </w:tcBorders>
            <w:shd w:val="clear" w:color="auto" w:fill="auto"/>
            <w:vAlign w:val="center"/>
            <w:hideMark/>
          </w:tcPr>
          <w:p w14:paraId="325CE1FB" w14:textId="319DB121"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xml:space="preserve">Statistikat e </w:t>
            </w:r>
            <w:r w:rsidR="00E1320B" w:rsidRPr="00B31292">
              <w:rPr>
                <w:rFonts w:ascii="Garamond" w:eastAsia="Times New Roman" w:hAnsi="Garamond" w:cs="Times New Roman"/>
                <w:sz w:val="10"/>
                <w:szCs w:val="10"/>
              </w:rPr>
              <w:t xml:space="preserve">qumështit dhe nënprodukteve të tij nga vrojtimi mujor në fabrikat </w:t>
            </w:r>
            <w:r w:rsidRPr="00B31292">
              <w:rPr>
                <w:rFonts w:ascii="Garamond" w:eastAsia="Times New Roman" w:hAnsi="Garamond" w:cs="Times New Roman"/>
                <w:sz w:val="10"/>
                <w:szCs w:val="10"/>
              </w:rPr>
              <w:t>që grumbullojnë dhe përpunojnë qumështin e lopës</w:t>
            </w:r>
          </w:p>
        </w:tc>
        <w:tc>
          <w:tcPr>
            <w:tcW w:w="236" w:type="pct"/>
            <w:tcBorders>
              <w:top w:val="nil"/>
              <w:left w:val="nil"/>
              <w:bottom w:val="single" w:sz="4" w:space="0" w:color="000000"/>
              <w:right w:val="single" w:sz="4" w:space="0" w:color="000000"/>
            </w:tcBorders>
            <w:shd w:val="clear" w:color="auto" w:fill="auto"/>
            <w:vAlign w:val="center"/>
            <w:hideMark/>
          </w:tcPr>
          <w:p w14:paraId="30562A82"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Vrojtim</w:t>
            </w:r>
          </w:p>
        </w:tc>
        <w:tc>
          <w:tcPr>
            <w:tcW w:w="238" w:type="pct"/>
            <w:tcBorders>
              <w:top w:val="nil"/>
              <w:left w:val="nil"/>
              <w:bottom w:val="single" w:sz="4" w:space="0" w:color="auto"/>
              <w:right w:val="single" w:sz="4" w:space="0" w:color="auto"/>
            </w:tcBorders>
            <w:shd w:val="clear" w:color="auto" w:fill="auto"/>
            <w:noWrap/>
            <w:vAlign w:val="center"/>
            <w:hideMark/>
          </w:tcPr>
          <w:p w14:paraId="74A98C46"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180" w:type="pct"/>
            <w:tcBorders>
              <w:top w:val="nil"/>
              <w:left w:val="nil"/>
              <w:bottom w:val="single" w:sz="4" w:space="0" w:color="auto"/>
              <w:right w:val="single" w:sz="4" w:space="0" w:color="auto"/>
            </w:tcBorders>
            <w:shd w:val="clear" w:color="auto" w:fill="auto"/>
            <w:noWrap/>
            <w:vAlign w:val="center"/>
            <w:hideMark/>
          </w:tcPr>
          <w:p w14:paraId="27774B79"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228" w:type="pct"/>
            <w:tcBorders>
              <w:top w:val="nil"/>
              <w:left w:val="nil"/>
              <w:bottom w:val="single" w:sz="4" w:space="0" w:color="auto"/>
              <w:right w:val="single" w:sz="4" w:space="0" w:color="auto"/>
            </w:tcBorders>
            <w:shd w:val="clear" w:color="auto" w:fill="auto"/>
            <w:vAlign w:val="center"/>
            <w:hideMark/>
          </w:tcPr>
          <w:p w14:paraId="2697261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tcBorders>
              <w:top w:val="nil"/>
              <w:left w:val="nil"/>
              <w:bottom w:val="single" w:sz="4" w:space="0" w:color="000000"/>
              <w:right w:val="single" w:sz="4" w:space="0" w:color="000000"/>
            </w:tcBorders>
            <w:shd w:val="clear" w:color="auto" w:fill="auto"/>
            <w:vAlign w:val="center"/>
            <w:hideMark/>
          </w:tcPr>
          <w:p w14:paraId="0F9E197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 Mujor</w:t>
            </w:r>
          </w:p>
        </w:tc>
        <w:tc>
          <w:tcPr>
            <w:tcW w:w="486" w:type="pct"/>
            <w:tcBorders>
              <w:top w:val="nil"/>
              <w:left w:val="nil"/>
              <w:bottom w:val="single" w:sz="4" w:space="0" w:color="auto"/>
              <w:right w:val="single" w:sz="4" w:space="0" w:color="auto"/>
            </w:tcBorders>
            <w:shd w:val="clear" w:color="auto" w:fill="auto"/>
            <w:vAlign w:val="center"/>
            <w:hideMark/>
          </w:tcPr>
          <w:p w14:paraId="3F442939" w14:textId="762EEAA2"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Grumbullimi dhe përpunimi i qumështit të lopës sipas % s</w:t>
            </w:r>
            <w:r w:rsidR="001240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yndyrës dhe proteinës.</w:t>
            </w:r>
            <w:r w:rsidRPr="00B31292">
              <w:rPr>
                <w:rFonts w:ascii="Garamond" w:eastAsia="Times New Roman" w:hAnsi="Garamond" w:cs="Times New Roman"/>
                <w:color w:val="000000"/>
                <w:sz w:val="10"/>
                <w:szCs w:val="10"/>
              </w:rPr>
              <w:br/>
              <w:t>2. Nënproduktet kryesore nga qumështi i lopës të prodhuar nga subjektet e përpunimit të qumështit</w:t>
            </w:r>
            <w:r w:rsidR="00E1320B" w:rsidRPr="00B31292">
              <w:rPr>
                <w:rFonts w:ascii="Garamond" w:eastAsia="Times New Roman" w:hAnsi="Garamond" w:cs="Times New Roman"/>
                <w:color w:val="000000"/>
                <w:sz w:val="10"/>
                <w:szCs w:val="10"/>
              </w:rPr>
              <w:t>.</w:t>
            </w:r>
          </w:p>
        </w:tc>
        <w:tc>
          <w:tcPr>
            <w:tcW w:w="299" w:type="pct"/>
            <w:tcBorders>
              <w:top w:val="nil"/>
              <w:left w:val="nil"/>
              <w:bottom w:val="single" w:sz="4" w:space="0" w:color="auto"/>
              <w:right w:val="single" w:sz="4" w:space="0" w:color="auto"/>
            </w:tcBorders>
            <w:shd w:val="clear" w:color="auto" w:fill="auto"/>
            <w:vAlign w:val="center"/>
            <w:hideMark/>
          </w:tcPr>
          <w:p w14:paraId="34EE499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Instituti i Statistikave</w:t>
            </w:r>
          </w:p>
        </w:tc>
        <w:tc>
          <w:tcPr>
            <w:tcW w:w="224" w:type="pct"/>
            <w:tcBorders>
              <w:top w:val="nil"/>
              <w:left w:val="nil"/>
              <w:bottom w:val="single" w:sz="4" w:space="0" w:color="auto"/>
              <w:right w:val="single" w:sz="4" w:space="0" w:color="auto"/>
            </w:tcBorders>
            <w:shd w:val="clear" w:color="auto" w:fill="auto"/>
            <w:vAlign w:val="center"/>
            <w:hideMark/>
          </w:tcPr>
          <w:p w14:paraId="348B3167" w14:textId="7F999F6C"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E1320B" w:rsidRPr="00B31292">
              <w:rPr>
                <w:rFonts w:ascii="Garamond" w:eastAsia="Times New Roman" w:hAnsi="Garamond" w:cs="Times New Roman"/>
                <w:color w:val="000000"/>
                <w:sz w:val="10"/>
                <w:szCs w:val="10"/>
              </w:rPr>
              <w:t>-i</w:t>
            </w:r>
          </w:p>
        </w:tc>
        <w:tc>
          <w:tcPr>
            <w:tcW w:w="244" w:type="pct"/>
            <w:tcBorders>
              <w:top w:val="nil"/>
              <w:left w:val="nil"/>
              <w:bottom w:val="single" w:sz="4" w:space="0" w:color="auto"/>
              <w:right w:val="single" w:sz="4" w:space="0" w:color="auto"/>
            </w:tcBorders>
            <w:shd w:val="clear" w:color="000000" w:fill="FFFFFF"/>
            <w:vAlign w:val="center"/>
            <w:hideMark/>
          </w:tcPr>
          <w:p w14:paraId="5AF311AF"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M + 15D</w:t>
            </w:r>
          </w:p>
        </w:tc>
        <w:tc>
          <w:tcPr>
            <w:tcW w:w="220" w:type="pct"/>
            <w:tcBorders>
              <w:top w:val="nil"/>
              <w:left w:val="nil"/>
              <w:bottom w:val="single" w:sz="4" w:space="0" w:color="auto"/>
              <w:right w:val="single" w:sz="4" w:space="0" w:color="auto"/>
            </w:tcBorders>
            <w:shd w:val="clear" w:color="000000" w:fill="FFFFFF"/>
            <w:vAlign w:val="center"/>
            <w:hideMark/>
          </w:tcPr>
          <w:p w14:paraId="39FA5B8A"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M + 43D</w:t>
            </w:r>
          </w:p>
        </w:tc>
        <w:tc>
          <w:tcPr>
            <w:tcW w:w="220" w:type="pct"/>
            <w:tcBorders>
              <w:top w:val="nil"/>
              <w:left w:val="nil"/>
              <w:bottom w:val="single" w:sz="4" w:space="0" w:color="auto"/>
              <w:right w:val="single" w:sz="4" w:space="0" w:color="auto"/>
            </w:tcBorders>
            <w:shd w:val="clear" w:color="000000" w:fill="FFFFFF"/>
            <w:noWrap/>
            <w:vAlign w:val="center"/>
            <w:hideMark/>
          </w:tcPr>
          <w:p w14:paraId="5496855D"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346" w:type="pct"/>
            <w:tcBorders>
              <w:top w:val="nil"/>
              <w:left w:val="nil"/>
              <w:bottom w:val="single" w:sz="4" w:space="0" w:color="auto"/>
              <w:right w:val="single" w:sz="4" w:space="0" w:color="auto"/>
            </w:tcBorders>
            <w:shd w:val="clear" w:color="auto" w:fill="auto"/>
            <w:vAlign w:val="center"/>
            <w:hideMark/>
          </w:tcPr>
          <w:p w14:paraId="2D871E86" w14:textId="105A16C5"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Problemet me sistemin CAPI të mbledhjes së të dhënave, riskon cilësinë e të dhënave si dhe vendos barrë mbi anketuesin për: Statistikat e qumështit dhe nënprodukteve të tij të gjeneruara nga vrojtimi mujor në fabrikat që grumbullojnë dhe përpunojnë qumështin e lopës..</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-|- 4</w:t>
            </w:r>
            <w:r w:rsidRPr="00B31292">
              <w:rPr>
                <w:rFonts w:ascii="Garamond" w:eastAsia="Times New Roman" w:hAnsi="Garamond" w:cs="Times New Roman"/>
                <w:color w:val="000000"/>
                <w:sz w:val="10"/>
                <w:szCs w:val="10"/>
              </w:rPr>
              <w:br/>
              <w:t>2. Gabime të bëra nga stafi ekspert gjatë përpunimit dhe nxjerrjes së rezultateve duke sjell ndikim n</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cilësinë e produktit.</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-|- 4</w:t>
            </w:r>
            <w:r w:rsidRPr="00B31292">
              <w:rPr>
                <w:rFonts w:ascii="Garamond" w:eastAsia="Times New Roman" w:hAnsi="Garamond" w:cs="Times New Roman"/>
                <w:color w:val="000000"/>
                <w:sz w:val="10"/>
                <w:szCs w:val="10"/>
              </w:rPr>
              <w:br/>
              <w:t>3. Ardhja e pyetësorëve me vonesë në INSTAT lidhur me: Statistikat e qumështit dhe nënprodukteve të tij të gjeneruara nga mujor në fabrikat dhe baxhot që grumbullojnë dhe përpunojnë qumësht (të gjithë llojet)</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 - 4</w:t>
            </w:r>
            <w:r w:rsidRPr="00B31292">
              <w:rPr>
                <w:rFonts w:ascii="Garamond" w:eastAsia="Times New Roman" w:hAnsi="Garamond" w:cs="Times New Roman"/>
                <w:color w:val="000000"/>
                <w:sz w:val="10"/>
                <w:szCs w:val="10"/>
              </w:rPr>
              <w:br/>
              <w:t>4. Moskryerja e kontrolleve periodike në terren riskon cilësinë e të dhënave të mbledhura.</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-|- 4</w:t>
            </w:r>
            <w:r w:rsidRPr="00B31292">
              <w:rPr>
                <w:rFonts w:ascii="Garamond" w:eastAsia="Times New Roman" w:hAnsi="Garamond" w:cs="Times New Roman"/>
                <w:color w:val="000000"/>
                <w:sz w:val="10"/>
                <w:szCs w:val="10"/>
              </w:rPr>
              <w:br/>
              <w:t>5. Mospajisja e aplikacioneve të mbledhjes së të dhënave me të gjitha funksionet e duhura.</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-|- 4</w:t>
            </w:r>
            <w:r w:rsidRPr="00B31292">
              <w:rPr>
                <w:rFonts w:ascii="Garamond" w:eastAsia="Times New Roman" w:hAnsi="Garamond" w:cs="Times New Roman"/>
                <w:color w:val="000000"/>
                <w:sz w:val="10"/>
                <w:szCs w:val="10"/>
              </w:rPr>
              <w:br/>
              <w:t>6. Gabime në hedhjen e të dhënave nga vrojtimet statistikore të sektorit.</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-|- 4</w:t>
            </w:r>
          </w:p>
        </w:tc>
        <w:tc>
          <w:tcPr>
            <w:tcW w:w="273" w:type="pct"/>
            <w:tcBorders>
              <w:top w:val="nil"/>
              <w:left w:val="nil"/>
              <w:bottom w:val="single" w:sz="4" w:space="0" w:color="auto"/>
              <w:right w:val="single" w:sz="4" w:space="0" w:color="auto"/>
            </w:tcBorders>
            <w:shd w:val="clear" w:color="auto" w:fill="auto"/>
            <w:vAlign w:val="center"/>
            <w:hideMark/>
          </w:tcPr>
          <w:p w14:paraId="33AAB71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Buxhet shteti</w:t>
            </w:r>
          </w:p>
        </w:tc>
      </w:tr>
      <w:tr w:rsidR="000A2254" w:rsidRPr="00B31292" w14:paraId="1220B77F" w14:textId="77777777" w:rsidTr="000A2254">
        <w:trPr>
          <w:trHeight w:val="20"/>
        </w:trPr>
        <w:tc>
          <w:tcPr>
            <w:tcW w:w="215" w:type="pct"/>
            <w:tcBorders>
              <w:top w:val="nil"/>
              <w:left w:val="nil"/>
              <w:bottom w:val="nil"/>
              <w:right w:val="nil"/>
            </w:tcBorders>
            <w:shd w:val="clear" w:color="000000" w:fill="FFFFFF"/>
            <w:vAlign w:val="bottom"/>
            <w:hideMark/>
          </w:tcPr>
          <w:p w14:paraId="63FE0B4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24032A8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2882B24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38FDA9E7"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766BDC87"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22F8308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auto"/>
              <w:bottom w:val="single" w:sz="4" w:space="0" w:color="auto"/>
              <w:right w:val="single" w:sz="4" w:space="0" w:color="auto"/>
            </w:tcBorders>
            <w:shd w:val="clear" w:color="auto" w:fill="auto"/>
            <w:vAlign w:val="center"/>
            <w:hideMark/>
          </w:tcPr>
          <w:p w14:paraId="266ADD9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3.1.2.c.3</w:t>
            </w:r>
          </w:p>
        </w:tc>
        <w:tc>
          <w:tcPr>
            <w:tcW w:w="281" w:type="pct"/>
            <w:tcBorders>
              <w:top w:val="nil"/>
              <w:left w:val="nil"/>
              <w:bottom w:val="nil"/>
              <w:right w:val="single" w:sz="4" w:space="0" w:color="auto"/>
            </w:tcBorders>
            <w:shd w:val="clear" w:color="auto" w:fill="auto"/>
            <w:vAlign w:val="center"/>
            <w:hideMark/>
          </w:tcPr>
          <w:p w14:paraId="6CC40AA6" w14:textId="73F76D74"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xml:space="preserve">Statistikat e </w:t>
            </w:r>
            <w:r w:rsidR="00E1320B" w:rsidRPr="00B31292">
              <w:rPr>
                <w:rFonts w:ascii="Garamond" w:eastAsia="Times New Roman" w:hAnsi="Garamond" w:cs="Times New Roman"/>
                <w:sz w:val="10"/>
                <w:szCs w:val="10"/>
              </w:rPr>
              <w:t xml:space="preserve">qumështit dhe nënprodukteve </w:t>
            </w:r>
            <w:r w:rsidRPr="00B31292">
              <w:rPr>
                <w:rFonts w:ascii="Garamond" w:eastAsia="Times New Roman" w:hAnsi="Garamond" w:cs="Times New Roman"/>
                <w:sz w:val="10"/>
                <w:szCs w:val="10"/>
              </w:rPr>
              <w:t>të tij</w:t>
            </w:r>
            <w:r w:rsidR="002E2911" w:rsidRPr="00B31292">
              <w:rPr>
                <w:rFonts w:ascii="Garamond" w:eastAsia="Times New Roman" w:hAnsi="Garamond" w:cs="Times New Roman"/>
                <w:sz w:val="10"/>
                <w:szCs w:val="10"/>
              </w:rPr>
              <w:t xml:space="preserve"> </w:t>
            </w:r>
            <w:r w:rsidRPr="00B31292">
              <w:rPr>
                <w:rFonts w:ascii="Garamond" w:eastAsia="Times New Roman" w:hAnsi="Garamond" w:cs="Times New Roman"/>
                <w:sz w:val="10"/>
                <w:szCs w:val="10"/>
              </w:rPr>
              <w:t>nga burimi administrativ</w:t>
            </w:r>
          </w:p>
        </w:tc>
        <w:tc>
          <w:tcPr>
            <w:tcW w:w="236" w:type="pct"/>
            <w:tcBorders>
              <w:top w:val="nil"/>
              <w:left w:val="nil"/>
              <w:bottom w:val="nil"/>
              <w:right w:val="single" w:sz="4" w:space="0" w:color="000000"/>
            </w:tcBorders>
            <w:shd w:val="clear" w:color="auto" w:fill="auto"/>
            <w:vAlign w:val="center"/>
            <w:hideMark/>
          </w:tcPr>
          <w:p w14:paraId="37D97ADD"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Burim administrativ</w:t>
            </w:r>
          </w:p>
        </w:tc>
        <w:tc>
          <w:tcPr>
            <w:tcW w:w="238" w:type="pct"/>
            <w:tcBorders>
              <w:top w:val="nil"/>
              <w:left w:val="nil"/>
              <w:bottom w:val="single" w:sz="4" w:space="0" w:color="auto"/>
              <w:right w:val="single" w:sz="4" w:space="0" w:color="auto"/>
            </w:tcBorders>
            <w:shd w:val="clear" w:color="auto" w:fill="auto"/>
            <w:noWrap/>
            <w:vAlign w:val="center"/>
            <w:hideMark/>
          </w:tcPr>
          <w:p w14:paraId="2D4B542B"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180" w:type="pct"/>
            <w:tcBorders>
              <w:top w:val="nil"/>
              <w:left w:val="nil"/>
              <w:bottom w:val="single" w:sz="4" w:space="0" w:color="auto"/>
              <w:right w:val="single" w:sz="4" w:space="0" w:color="auto"/>
            </w:tcBorders>
            <w:shd w:val="clear" w:color="auto" w:fill="auto"/>
            <w:noWrap/>
            <w:vAlign w:val="center"/>
            <w:hideMark/>
          </w:tcPr>
          <w:p w14:paraId="3DE8ADF8"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28" w:type="pct"/>
            <w:tcBorders>
              <w:top w:val="nil"/>
              <w:left w:val="nil"/>
              <w:bottom w:val="single" w:sz="4" w:space="0" w:color="auto"/>
              <w:right w:val="single" w:sz="4" w:space="0" w:color="auto"/>
            </w:tcBorders>
            <w:shd w:val="clear" w:color="auto" w:fill="auto"/>
            <w:vAlign w:val="center"/>
            <w:hideMark/>
          </w:tcPr>
          <w:p w14:paraId="2266CD5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tcBorders>
              <w:top w:val="nil"/>
              <w:left w:val="nil"/>
              <w:bottom w:val="nil"/>
              <w:right w:val="single" w:sz="4" w:space="0" w:color="000000"/>
            </w:tcBorders>
            <w:shd w:val="clear" w:color="auto" w:fill="auto"/>
            <w:vAlign w:val="center"/>
            <w:hideMark/>
          </w:tcPr>
          <w:p w14:paraId="5CE0A96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 Vjetor</w:t>
            </w:r>
          </w:p>
        </w:tc>
        <w:tc>
          <w:tcPr>
            <w:tcW w:w="486" w:type="pct"/>
            <w:tcBorders>
              <w:top w:val="nil"/>
              <w:left w:val="nil"/>
              <w:bottom w:val="nil"/>
              <w:right w:val="single" w:sz="4" w:space="0" w:color="auto"/>
            </w:tcBorders>
            <w:shd w:val="clear" w:color="auto" w:fill="auto"/>
            <w:vAlign w:val="center"/>
            <w:hideMark/>
          </w:tcPr>
          <w:p w14:paraId="31CF6E45" w14:textId="61F3E409"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Prodhimi i qumështit sipas llojit, qarkut dhe bashkisë</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 Rendimenti i prodhimit të qumështit sipas llojit n</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nivel qarku dhe bashkie</w:t>
            </w:r>
            <w:r w:rsidR="00E1320B" w:rsidRPr="00B31292">
              <w:rPr>
                <w:rFonts w:ascii="Garamond" w:eastAsia="Times New Roman" w:hAnsi="Garamond" w:cs="Times New Roman"/>
                <w:color w:val="000000"/>
                <w:sz w:val="10"/>
                <w:szCs w:val="10"/>
              </w:rPr>
              <w:t>.</w:t>
            </w:r>
          </w:p>
        </w:tc>
        <w:tc>
          <w:tcPr>
            <w:tcW w:w="299" w:type="pct"/>
            <w:tcBorders>
              <w:top w:val="nil"/>
              <w:left w:val="nil"/>
              <w:bottom w:val="nil"/>
              <w:right w:val="single" w:sz="4" w:space="0" w:color="auto"/>
            </w:tcBorders>
            <w:shd w:val="clear" w:color="auto" w:fill="auto"/>
            <w:vAlign w:val="center"/>
            <w:hideMark/>
          </w:tcPr>
          <w:p w14:paraId="7DC61A17"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Ministria e Bujqësisë dhe Zhvillimit Rural</w:t>
            </w:r>
          </w:p>
        </w:tc>
        <w:tc>
          <w:tcPr>
            <w:tcW w:w="224" w:type="pct"/>
            <w:tcBorders>
              <w:top w:val="nil"/>
              <w:left w:val="nil"/>
              <w:bottom w:val="nil"/>
              <w:right w:val="single" w:sz="4" w:space="0" w:color="auto"/>
            </w:tcBorders>
            <w:shd w:val="clear" w:color="auto" w:fill="auto"/>
            <w:vAlign w:val="center"/>
            <w:hideMark/>
          </w:tcPr>
          <w:p w14:paraId="33E3DA12" w14:textId="2227061C"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E1320B" w:rsidRPr="00B31292">
              <w:rPr>
                <w:rFonts w:ascii="Garamond" w:eastAsia="Times New Roman" w:hAnsi="Garamond" w:cs="Times New Roman"/>
                <w:color w:val="000000"/>
                <w:sz w:val="10"/>
                <w:szCs w:val="10"/>
              </w:rPr>
              <w:t>-i</w:t>
            </w:r>
          </w:p>
        </w:tc>
        <w:tc>
          <w:tcPr>
            <w:tcW w:w="244" w:type="pct"/>
            <w:tcBorders>
              <w:top w:val="nil"/>
              <w:left w:val="nil"/>
              <w:bottom w:val="single" w:sz="4" w:space="0" w:color="auto"/>
              <w:right w:val="single" w:sz="4" w:space="0" w:color="auto"/>
            </w:tcBorders>
            <w:shd w:val="clear" w:color="000000" w:fill="FFFFFF"/>
            <w:vAlign w:val="center"/>
            <w:hideMark/>
          </w:tcPr>
          <w:p w14:paraId="4731A5CD"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+ 113D</w:t>
            </w:r>
          </w:p>
        </w:tc>
        <w:tc>
          <w:tcPr>
            <w:tcW w:w="220" w:type="pct"/>
            <w:tcBorders>
              <w:top w:val="nil"/>
              <w:left w:val="nil"/>
              <w:bottom w:val="single" w:sz="4" w:space="0" w:color="auto"/>
              <w:right w:val="single" w:sz="4" w:space="0" w:color="auto"/>
            </w:tcBorders>
            <w:shd w:val="clear" w:color="000000" w:fill="FFFFFF"/>
            <w:vAlign w:val="center"/>
            <w:hideMark/>
          </w:tcPr>
          <w:p w14:paraId="56B28B54"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+ 169D</w:t>
            </w:r>
          </w:p>
        </w:tc>
        <w:tc>
          <w:tcPr>
            <w:tcW w:w="220" w:type="pct"/>
            <w:tcBorders>
              <w:top w:val="nil"/>
              <w:left w:val="nil"/>
              <w:bottom w:val="single" w:sz="4" w:space="0" w:color="auto"/>
              <w:right w:val="single" w:sz="4" w:space="0" w:color="auto"/>
            </w:tcBorders>
            <w:shd w:val="clear" w:color="000000" w:fill="FFFFFF"/>
            <w:vAlign w:val="center"/>
            <w:hideMark/>
          </w:tcPr>
          <w:p w14:paraId="1A97F7E6"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+ 176D</w:t>
            </w:r>
          </w:p>
        </w:tc>
        <w:tc>
          <w:tcPr>
            <w:tcW w:w="346" w:type="pct"/>
            <w:tcBorders>
              <w:top w:val="nil"/>
              <w:left w:val="nil"/>
              <w:bottom w:val="single" w:sz="4" w:space="0" w:color="auto"/>
              <w:right w:val="single" w:sz="4" w:space="0" w:color="auto"/>
            </w:tcBorders>
            <w:shd w:val="clear" w:color="auto" w:fill="auto"/>
            <w:vAlign w:val="center"/>
            <w:hideMark/>
          </w:tcPr>
          <w:p w14:paraId="530DF8FD" w14:textId="76C074B9"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1. Vonesa në procesin e grumbullimit të të dhënave nga burimet administrative lidhur me: Statistikat e </w:t>
            </w:r>
            <w:r w:rsidRPr="00B31292">
              <w:rPr>
                <w:rFonts w:ascii="Garamond" w:eastAsia="Times New Roman" w:hAnsi="Garamond" w:cs="Times New Roman"/>
                <w:color w:val="000000"/>
                <w:sz w:val="10"/>
                <w:szCs w:val="10"/>
              </w:rPr>
              <w:lastRenderedPageBreak/>
              <w:t>qumështit -| - 4</w:t>
            </w:r>
            <w:r w:rsidRPr="00B31292">
              <w:rPr>
                <w:rFonts w:ascii="Garamond" w:eastAsia="Times New Roman" w:hAnsi="Garamond" w:cs="Times New Roman"/>
                <w:color w:val="000000"/>
                <w:sz w:val="10"/>
                <w:szCs w:val="10"/>
              </w:rPr>
              <w:br/>
              <w:t>2. Mospërmbushja e</w:t>
            </w:r>
            <w:r w:rsidR="003E16E0" w:rsidRPr="00B31292">
              <w:rPr>
                <w:rFonts w:ascii="Garamond" w:eastAsia="Times New Roman" w:hAnsi="Garamond" w:cs="Times New Roman"/>
                <w:color w:val="000000"/>
                <w:sz w:val="10"/>
                <w:szCs w:val="10"/>
              </w:rPr>
              <w:t xml:space="preserve"> </w:t>
            </w:r>
            <w:r w:rsidR="00F667B8" w:rsidRPr="00B31292">
              <w:rPr>
                <w:rFonts w:ascii="Garamond" w:eastAsia="Times New Roman" w:hAnsi="Garamond" w:cs="Times New Roman"/>
                <w:color w:val="000000"/>
                <w:sz w:val="10"/>
                <w:szCs w:val="10"/>
              </w:rPr>
              <w:t>kritereve të cilësisë, si:</w:t>
            </w:r>
            <w:r w:rsidRPr="00B31292">
              <w:rPr>
                <w:rFonts w:ascii="Garamond" w:eastAsia="Times New Roman" w:hAnsi="Garamond" w:cs="Times New Roman"/>
                <w:color w:val="000000"/>
                <w:sz w:val="10"/>
                <w:szCs w:val="10"/>
              </w:rPr>
              <w:t xml:space="preserve"> saktësia, përpikmëria dhe krahasueshmëria, për të dhënat administrative lidhur me: Statistikat e qumështit -| - 4</w:t>
            </w:r>
            <w:r w:rsidRPr="00B31292">
              <w:rPr>
                <w:rFonts w:ascii="Garamond" w:eastAsia="Times New Roman" w:hAnsi="Garamond" w:cs="Times New Roman"/>
                <w:color w:val="000000"/>
                <w:sz w:val="10"/>
                <w:szCs w:val="10"/>
              </w:rPr>
              <w:br/>
              <w:t>3. Mos realizimi në kohë dhe me cilësi i treguesve të qumështit -|</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- 4</w:t>
            </w:r>
            <w:r w:rsidRPr="00B31292">
              <w:rPr>
                <w:rFonts w:ascii="Garamond" w:eastAsia="Times New Roman" w:hAnsi="Garamond" w:cs="Times New Roman"/>
                <w:color w:val="000000"/>
                <w:sz w:val="10"/>
                <w:szCs w:val="10"/>
              </w:rPr>
              <w:br/>
              <w:t>4. Mosrealizimit I aktiviteteve statistikore që janë detyrim i burimit administrativ lidhur me: Statistikat e qumështit gjeneruar nga burimi administrative -| - 4</w:t>
            </w:r>
            <w:r w:rsidRPr="00B31292">
              <w:rPr>
                <w:rFonts w:ascii="Garamond" w:eastAsia="Times New Roman" w:hAnsi="Garamond" w:cs="Times New Roman"/>
                <w:color w:val="000000"/>
                <w:sz w:val="10"/>
                <w:szCs w:val="10"/>
              </w:rPr>
              <w:br/>
              <w:t>5. Gabime të bëra nga stafi ekspert gjatë përpunimit të të dhënave. -| - 4</w:t>
            </w:r>
            <w:r w:rsidRPr="00B31292">
              <w:rPr>
                <w:rFonts w:ascii="Garamond" w:eastAsia="Times New Roman" w:hAnsi="Garamond" w:cs="Times New Roman"/>
                <w:color w:val="000000"/>
                <w:sz w:val="10"/>
                <w:szCs w:val="10"/>
              </w:rPr>
              <w:br/>
              <w:t xml:space="preserve">6. Lëvizja e stafit të sektorit me eksperiencë në prodhimin e statistikave të blegtorisë dhe peshkimit, e cila sjell si pasojë ndërprerje/ngadalësim të </w:t>
            </w:r>
            <w:r w:rsidR="0012403A" w:rsidRPr="00B31292">
              <w:rPr>
                <w:rFonts w:ascii="Garamond" w:eastAsia="Times New Roman" w:hAnsi="Garamond" w:cs="Times New Roman"/>
                <w:color w:val="000000"/>
                <w:sz w:val="10"/>
                <w:szCs w:val="10"/>
              </w:rPr>
              <w:t>proceseve</w:t>
            </w:r>
            <w:r w:rsidRPr="00B31292">
              <w:rPr>
                <w:rFonts w:ascii="Garamond" w:eastAsia="Times New Roman" w:hAnsi="Garamond" w:cs="Times New Roman"/>
                <w:color w:val="000000"/>
                <w:sz w:val="10"/>
                <w:szCs w:val="10"/>
              </w:rPr>
              <w:t xml:space="preserve"> të punës. -| - 4</w:t>
            </w:r>
            <w:r w:rsidRPr="00B31292">
              <w:rPr>
                <w:rFonts w:ascii="Garamond" w:eastAsia="Times New Roman" w:hAnsi="Garamond" w:cs="Times New Roman"/>
                <w:color w:val="000000"/>
                <w:sz w:val="10"/>
                <w:szCs w:val="10"/>
              </w:rPr>
              <w:br/>
              <w:t>7. Gabime në përllogaritjen e treguesve -|- 4</w:t>
            </w:r>
          </w:p>
        </w:tc>
        <w:tc>
          <w:tcPr>
            <w:tcW w:w="273" w:type="pct"/>
            <w:tcBorders>
              <w:top w:val="nil"/>
              <w:left w:val="nil"/>
              <w:bottom w:val="single" w:sz="4" w:space="0" w:color="auto"/>
              <w:right w:val="single" w:sz="4" w:space="0" w:color="auto"/>
            </w:tcBorders>
            <w:shd w:val="clear" w:color="auto" w:fill="auto"/>
            <w:vAlign w:val="center"/>
            <w:hideMark/>
          </w:tcPr>
          <w:p w14:paraId="5A15D1D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lastRenderedPageBreak/>
              <w:t>Buxhet shteti</w:t>
            </w:r>
          </w:p>
        </w:tc>
      </w:tr>
      <w:tr w:rsidR="000A2254" w:rsidRPr="00B31292" w14:paraId="12B7C7C7" w14:textId="77777777" w:rsidTr="000A2254">
        <w:trPr>
          <w:trHeight w:val="20"/>
        </w:trPr>
        <w:tc>
          <w:tcPr>
            <w:tcW w:w="215" w:type="pct"/>
            <w:tcBorders>
              <w:top w:val="nil"/>
              <w:left w:val="nil"/>
              <w:bottom w:val="nil"/>
              <w:right w:val="nil"/>
            </w:tcBorders>
            <w:shd w:val="clear" w:color="000000" w:fill="FFFFFF"/>
            <w:vAlign w:val="bottom"/>
            <w:hideMark/>
          </w:tcPr>
          <w:p w14:paraId="0C2C3D0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182F2B9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64A7E9B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18BEE61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6E8E699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68764A4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000000"/>
              <w:bottom w:val="single" w:sz="4" w:space="0" w:color="000000"/>
              <w:right w:val="nil"/>
            </w:tcBorders>
            <w:shd w:val="clear" w:color="000000" w:fill="F0F0F0"/>
            <w:vAlign w:val="center"/>
            <w:hideMark/>
          </w:tcPr>
          <w:p w14:paraId="1D0D7ADD"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3.1.2.d</w:t>
            </w:r>
          </w:p>
        </w:tc>
        <w:tc>
          <w:tcPr>
            <w:tcW w:w="3700" w:type="pct"/>
            <w:gridSpan w:val="14"/>
            <w:tcBorders>
              <w:top w:val="single" w:sz="4" w:space="0" w:color="auto"/>
              <w:left w:val="single" w:sz="4" w:space="0" w:color="auto"/>
              <w:bottom w:val="single" w:sz="4" w:space="0" w:color="auto"/>
              <w:right w:val="single" w:sz="4" w:space="0" w:color="auto"/>
            </w:tcBorders>
            <w:shd w:val="clear" w:color="000000" w:fill="F0F0F0"/>
            <w:vAlign w:val="center"/>
            <w:hideMark/>
          </w:tcPr>
          <w:p w14:paraId="292F32AC" w14:textId="10DCE7DE"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Statistikat </w:t>
            </w:r>
            <w:r w:rsidR="00E1320B" w:rsidRPr="00B31292">
              <w:rPr>
                <w:rFonts w:ascii="Garamond" w:eastAsia="Times New Roman" w:hAnsi="Garamond" w:cs="Times New Roman"/>
                <w:color w:val="000000"/>
                <w:sz w:val="10"/>
                <w:szCs w:val="10"/>
              </w:rPr>
              <w:t>strukturore të fermës</w:t>
            </w:r>
          </w:p>
        </w:tc>
      </w:tr>
      <w:tr w:rsidR="000A2254" w:rsidRPr="00B31292" w14:paraId="65BACA53" w14:textId="77777777" w:rsidTr="000A2254">
        <w:trPr>
          <w:trHeight w:val="20"/>
        </w:trPr>
        <w:tc>
          <w:tcPr>
            <w:tcW w:w="215" w:type="pct"/>
            <w:tcBorders>
              <w:top w:val="nil"/>
              <w:left w:val="nil"/>
              <w:bottom w:val="nil"/>
              <w:right w:val="nil"/>
            </w:tcBorders>
            <w:shd w:val="clear" w:color="000000" w:fill="FFFFFF"/>
            <w:vAlign w:val="bottom"/>
            <w:hideMark/>
          </w:tcPr>
          <w:p w14:paraId="2F77E83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26149EC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001B605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354B46E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23EC5507"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3C86C37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auto"/>
              <w:bottom w:val="single" w:sz="4" w:space="0" w:color="auto"/>
              <w:right w:val="single" w:sz="4" w:space="0" w:color="auto"/>
            </w:tcBorders>
            <w:shd w:val="clear" w:color="000000" w:fill="FFFFFF"/>
            <w:vAlign w:val="center"/>
            <w:hideMark/>
          </w:tcPr>
          <w:p w14:paraId="1906530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3.1.2.d.1</w:t>
            </w:r>
          </w:p>
        </w:tc>
        <w:tc>
          <w:tcPr>
            <w:tcW w:w="281" w:type="pct"/>
            <w:tcBorders>
              <w:top w:val="nil"/>
              <w:left w:val="nil"/>
              <w:bottom w:val="single" w:sz="4" w:space="0" w:color="auto"/>
              <w:right w:val="single" w:sz="4" w:space="0" w:color="auto"/>
            </w:tcBorders>
            <w:shd w:val="clear" w:color="000000" w:fill="FFFFFF"/>
            <w:vAlign w:val="center"/>
            <w:hideMark/>
          </w:tcPr>
          <w:p w14:paraId="22AAF082" w14:textId="7BEFC484"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xml:space="preserve">Censi i </w:t>
            </w:r>
            <w:r w:rsidR="00E1320B" w:rsidRPr="00B31292">
              <w:rPr>
                <w:rFonts w:ascii="Garamond" w:eastAsia="Times New Roman" w:hAnsi="Garamond" w:cs="Times New Roman"/>
                <w:sz w:val="10"/>
                <w:szCs w:val="10"/>
              </w:rPr>
              <w:t>b</w:t>
            </w:r>
            <w:r w:rsidRPr="00B31292">
              <w:rPr>
                <w:rFonts w:ascii="Garamond" w:eastAsia="Times New Roman" w:hAnsi="Garamond" w:cs="Times New Roman"/>
                <w:sz w:val="10"/>
                <w:szCs w:val="10"/>
              </w:rPr>
              <w:t>ujqësisë</w:t>
            </w:r>
          </w:p>
        </w:tc>
        <w:tc>
          <w:tcPr>
            <w:tcW w:w="236" w:type="pct"/>
            <w:tcBorders>
              <w:top w:val="nil"/>
              <w:left w:val="nil"/>
              <w:bottom w:val="single" w:sz="4" w:space="0" w:color="auto"/>
              <w:right w:val="single" w:sz="4" w:space="0" w:color="auto"/>
            </w:tcBorders>
            <w:shd w:val="clear" w:color="000000" w:fill="FFFFFF"/>
            <w:vAlign w:val="center"/>
            <w:hideMark/>
          </w:tcPr>
          <w:p w14:paraId="12D965F9"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Vrojtim</w:t>
            </w:r>
          </w:p>
        </w:tc>
        <w:tc>
          <w:tcPr>
            <w:tcW w:w="238" w:type="pct"/>
            <w:tcBorders>
              <w:top w:val="nil"/>
              <w:left w:val="nil"/>
              <w:bottom w:val="single" w:sz="4" w:space="0" w:color="auto"/>
              <w:right w:val="single" w:sz="4" w:space="0" w:color="auto"/>
            </w:tcBorders>
            <w:shd w:val="clear" w:color="000000" w:fill="FFFFFF"/>
            <w:noWrap/>
            <w:vAlign w:val="center"/>
            <w:hideMark/>
          </w:tcPr>
          <w:p w14:paraId="3929C485"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180" w:type="pct"/>
            <w:tcBorders>
              <w:top w:val="nil"/>
              <w:left w:val="nil"/>
              <w:bottom w:val="single" w:sz="4" w:space="0" w:color="auto"/>
              <w:right w:val="single" w:sz="4" w:space="0" w:color="auto"/>
            </w:tcBorders>
            <w:shd w:val="clear" w:color="000000" w:fill="FFFFFF"/>
            <w:noWrap/>
            <w:vAlign w:val="center"/>
            <w:hideMark/>
          </w:tcPr>
          <w:p w14:paraId="1264EB99"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228" w:type="pct"/>
            <w:tcBorders>
              <w:top w:val="nil"/>
              <w:left w:val="nil"/>
              <w:bottom w:val="single" w:sz="4" w:space="0" w:color="auto"/>
              <w:right w:val="single" w:sz="4" w:space="0" w:color="auto"/>
            </w:tcBorders>
            <w:shd w:val="clear" w:color="000000" w:fill="FFFFFF"/>
            <w:vAlign w:val="center"/>
            <w:hideMark/>
          </w:tcPr>
          <w:p w14:paraId="44AF18C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Pilot</w:t>
            </w:r>
          </w:p>
        </w:tc>
        <w:tc>
          <w:tcPr>
            <w:tcW w:w="222" w:type="pct"/>
            <w:tcBorders>
              <w:top w:val="nil"/>
              <w:left w:val="nil"/>
              <w:bottom w:val="single" w:sz="4" w:space="0" w:color="auto"/>
              <w:right w:val="single" w:sz="4" w:space="0" w:color="auto"/>
            </w:tcBorders>
            <w:shd w:val="clear" w:color="000000" w:fill="FFFFFF"/>
            <w:vAlign w:val="center"/>
            <w:hideMark/>
          </w:tcPr>
          <w:p w14:paraId="0C56A67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Çdo 10 vite </w:t>
            </w:r>
          </w:p>
        </w:tc>
        <w:tc>
          <w:tcPr>
            <w:tcW w:w="486" w:type="pct"/>
            <w:tcBorders>
              <w:top w:val="nil"/>
              <w:left w:val="nil"/>
              <w:bottom w:val="single" w:sz="4" w:space="0" w:color="auto"/>
              <w:right w:val="single" w:sz="4" w:space="0" w:color="auto"/>
            </w:tcBorders>
            <w:shd w:val="clear" w:color="000000" w:fill="FFFFFF"/>
            <w:vAlign w:val="center"/>
            <w:hideMark/>
          </w:tcPr>
          <w:p w14:paraId="733C2B9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99" w:type="pct"/>
            <w:tcBorders>
              <w:top w:val="nil"/>
              <w:left w:val="nil"/>
              <w:bottom w:val="single" w:sz="4" w:space="0" w:color="auto"/>
              <w:right w:val="single" w:sz="4" w:space="0" w:color="auto"/>
            </w:tcBorders>
            <w:shd w:val="clear" w:color="000000" w:fill="FFFFFF"/>
            <w:vAlign w:val="center"/>
            <w:hideMark/>
          </w:tcPr>
          <w:p w14:paraId="666056C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Instituti i Statistikave</w:t>
            </w:r>
          </w:p>
        </w:tc>
        <w:tc>
          <w:tcPr>
            <w:tcW w:w="224" w:type="pct"/>
            <w:tcBorders>
              <w:top w:val="nil"/>
              <w:left w:val="nil"/>
              <w:bottom w:val="single" w:sz="4" w:space="0" w:color="auto"/>
              <w:right w:val="single" w:sz="4" w:space="0" w:color="auto"/>
            </w:tcBorders>
            <w:shd w:val="clear" w:color="000000" w:fill="FFFFFF"/>
            <w:vAlign w:val="center"/>
            <w:hideMark/>
          </w:tcPr>
          <w:p w14:paraId="18EF03DD" w14:textId="673E4E84"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E1320B" w:rsidRPr="00B31292">
              <w:rPr>
                <w:rFonts w:ascii="Garamond" w:eastAsia="Times New Roman" w:hAnsi="Garamond" w:cs="Times New Roman"/>
                <w:color w:val="000000"/>
                <w:sz w:val="10"/>
                <w:szCs w:val="10"/>
              </w:rPr>
              <w:t>-i</w:t>
            </w:r>
          </w:p>
        </w:tc>
        <w:tc>
          <w:tcPr>
            <w:tcW w:w="244" w:type="pct"/>
            <w:tcBorders>
              <w:top w:val="nil"/>
              <w:left w:val="nil"/>
              <w:bottom w:val="single" w:sz="4" w:space="0" w:color="auto"/>
              <w:right w:val="single" w:sz="4" w:space="0" w:color="auto"/>
            </w:tcBorders>
            <w:shd w:val="clear" w:color="000000" w:fill="FFFFFF"/>
            <w:vAlign w:val="center"/>
            <w:hideMark/>
          </w:tcPr>
          <w:p w14:paraId="247405C3"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20" w:type="pct"/>
            <w:tcBorders>
              <w:top w:val="nil"/>
              <w:left w:val="nil"/>
              <w:bottom w:val="single" w:sz="4" w:space="0" w:color="auto"/>
              <w:right w:val="single" w:sz="4" w:space="0" w:color="auto"/>
            </w:tcBorders>
            <w:shd w:val="clear" w:color="000000" w:fill="FFFFFF"/>
            <w:vAlign w:val="center"/>
            <w:hideMark/>
          </w:tcPr>
          <w:p w14:paraId="120DC077"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349D58AB"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346" w:type="pct"/>
            <w:tcBorders>
              <w:top w:val="nil"/>
              <w:left w:val="nil"/>
              <w:bottom w:val="single" w:sz="4" w:space="0" w:color="auto"/>
              <w:right w:val="single" w:sz="4" w:space="0" w:color="auto"/>
            </w:tcBorders>
            <w:shd w:val="clear" w:color="000000" w:fill="FFFFFF"/>
            <w:vAlign w:val="center"/>
            <w:hideMark/>
          </w:tcPr>
          <w:p w14:paraId="135F5DE2"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73" w:type="pct"/>
            <w:tcBorders>
              <w:top w:val="nil"/>
              <w:left w:val="nil"/>
              <w:bottom w:val="single" w:sz="4" w:space="0" w:color="auto"/>
              <w:right w:val="single" w:sz="4" w:space="0" w:color="auto"/>
            </w:tcBorders>
            <w:shd w:val="clear" w:color="000000" w:fill="FFFFFF"/>
            <w:vAlign w:val="center"/>
            <w:hideMark/>
          </w:tcPr>
          <w:p w14:paraId="4CA15EB3" w14:textId="47085BF6"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Kombinuar (</w:t>
            </w:r>
            <w:r w:rsidR="00C23C70" w:rsidRPr="00B31292">
              <w:rPr>
                <w:rFonts w:ascii="Garamond" w:eastAsia="Times New Roman" w:hAnsi="Garamond" w:cs="Times New Roman"/>
                <w:color w:val="000000"/>
                <w:sz w:val="10"/>
                <w:szCs w:val="10"/>
              </w:rPr>
              <w:t>Buxhet shteti + donatorët</w:t>
            </w:r>
            <w:r w:rsidRPr="00B31292">
              <w:rPr>
                <w:rFonts w:ascii="Garamond" w:eastAsia="Times New Roman" w:hAnsi="Garamond" w:cs="Times New Roman"/>
                <w:color w:val="000000"/>
                <w:sz w:val="10"/>
                <w:szCs w:val="10"/>
              </w:rPr>
              <w:t>)</w:t>
            </w:r>
          </w:p>
        </w:tc>
      </w:tr>
      <w:tr w:rsidR="000A2254" w:rsidRPr="00B31292" w14:paraId="684D7173" w14:textId="77777777" w:rsidTr="000A2254">
        <w:trPr>
          <w:trHeight w:val="20"/>
        </w:trPr>
        <w:tc>
          <w:tcPr>
            <w:tcW w:w="215" w:type="pct"/>
            <w:tcBorders>
              <w:top w:val="nil"/>
              <w:left w:val="nil"/>
              <w:bottom w:val="nil"/>
              <w:right w:val="nil"/>
            </w:tcBorders>
            <w:shd w:val="clear" w:color="000000" w:fill="FFFFFF"/>
            <w:vAlign w:val="bottom"/>
            <w:hideMark/>
          </w:tcPr>
          <w:p w14:paraId="49F0AF1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3178DBA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048F12D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7FD1DFD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3186693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0C7E6E5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vMerge w:val="restart"/>
            <w:tcBorders>
              <w:top w:val="nil"/>
              <w:left w:val="single" w:sz="4" w:space="0" w:color="auto"/>
              <w:bottom w:val="nil"/>
              <w:right w:val="single" w:sz="4" w:space="0" w:color="auto"/>
            </w:tcBorders>
            <w:shd w:val="clear" w:color="000000" w:fill="FFFFFF"/>
            <w:vAlign w:val="center"/>
            <w:hideMark/>
          </w:tcPr>
          <w:p w14:paraId="695AFA6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Aktivitete në kuadër të Censit të Bujqësisë</w:t>
            </w:r>
          </w:p>
        </w:tc>
        <w:tc>
          <w:tcPr>
            <w:tcW w:w="281" w:type="pct"/>
            <w:tcBorders>
              <w:top w:val="nil"/>
              <w:left w:val="nil"/>
              <w:bottom w:val="single" w:sz="4" w:space="0" w:color="auto"/>
              <w:right w:val="single" w:sz="4" w:space="0" w:color="auto"/>
            </w:tcBorders>
            <w:shd w:val="clear" w:color="000000" w:fill="FFFFFF"/>
            <w:vAlign w:val="center"/>
            <w:hideMark/>
          </w:tcPr>
          <w:p w14:paraId="62445D16"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Rishikimi i strategjisë, planit të aktiviteteve dhe buxhetit;</w:t>
            </w:r>
          </w:p>
        </w:tc>
        <w:tc>
          <w:tcPr>
            <w:tcW w:w="236" w:type="pct"/>
            <w:tcBorders>
              <w:top w:val="nil"/>
              <w:left w:val="nil"/>
              <w:bottom w:val="single" w:sz="4" w:space="0" w:color="auto"/>
              <w:right w:val="single" w:sz="4" w:space="0" w:color="auto"/>
            </w:tcBorders>
            <w:shd w:val="clear" w:color="000000" w:fill="FFFFFF"/>
            <w:vAlign w:val="center"/>
            <w:hideMark/>
          </w:tcPr>
          <w:p w14:paraId="73B40CE0"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38" w:type="pct"/>
            <w:tcBorders>
              <w:top w:val="nil"/>
              <w:left w:val="nil"/>
              <w:bottom w:val="single" w:sz="4" w:space="0" w:color="auto"/>
              <w:right w:val="single" w:sz="4" w:space="0" w:color="auto"/>
            </w:tcBorders>
            <w:shd w:val="clear" w:color="000000" w:fill="FFFFFF"/>
            <w:noWrap/>
            <w:vAlign w:val="center"/>
            <w:hideMark/>
          </w:tcPr>
          <w:p w14:paraId="5D5EDF31"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180" w:type="pct"/>
            <w:tcBorders>
              <w:top w:val="nil"/>
              <w:left w:val="nil"/>
              <w:bottom w:val="single" w:sz="4" w:space="0" w:color="auto"/>
              <w:right w:val="single" w:sz="4" w:space="0" w:color="auto"/>
            </w:tcBorders>
            <w:shd w:val="clear" w:color="000000" w:fill="FFFFFF"/>
            <w:noWrap/>
            <w:vAlign w:val="center"/>
            <w:hideMark/>
          </w:tcPr>
          <w:p w14:paraId="1BA53158"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28" w:type="pct"/>
            <w:tcBorders>
              <w:top w:val="nil"/>
              <w:left w:val="nil"/>
              <w:bottom w:val="single" w:sz="4" w:space="0" w:color="auto"/>
              <w:right w:val="single" w:sz="4" w:space="0" w:color="auto"/>
            </w:tcBorders>
            <w:shd w:val="clear" w:color="000000" w:fill="FFFFFF"/>
            <w:vAlign w:val="center"/>
            <w:hideMark/>
          </w:tcPr>
          <w:p w14:paraId="2B62CEF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22" w:type="pct"/>
            <w:tcBorders>
              <w:top w:val="nil"/>
              <w:left w:val="nil"/>
              <w:bottom w:val="single" w:sz="4" w:space="0" w:color="auto"/>
              <w:right w:val="single" w:sz="4" w:space="0" w:color="auto"/>
            </w:tcBorders>
            <w:shd w:val="clear" w:color="000000" w:fill="FFFFFF"/>
            <w:vAlign w:val="center"/>
            <w:hideMark/>
          </w:tcPr>
          <w:p w14:paraId="08A9C27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486" w:type="pct"/>
            <w:tcBorders>
              <w:top w:val="nil"/>
              <w:left w:val="nil"/>
              <w:bottom w:val="single" w:sz="4" w:space="0" w:color="auto"/>
              <w:right w:val="single" w:sz="4" w:space="0" w:color="auto"/>
            </w:tcBorders>
            <w:shd w:val="clear" w:color="000000" w:fill="FFFFFF"/>
            <w:vAlign w:val="center"/>
            <w:hideMark/>
          </w:tcPr>
          <w:p w14:paraId="739599E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99" w:type="pct"/>
            <w:tcBorders>
              <w:top w:val="nil"/>
              <w:left w:val="nil"/>
              <w:bottom w:val="single" w:sz="4" w:space="0" w:color="auto"/>
              <w:right w:val="single" w:sz="4" w:space="0" w:color="auto"/>
            </w:tcBorders>
            <w:shd w:val="clear" w:color="000000" w:fill="FFFFFF"/>
            <w:vAlign w:val="center"/>
            <w:hideMark/>
          </w:tcPr>
          <w:p w14:paraId="4D3D405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24" w:type="pct"/>
            <w:tcBorders>
              <w:top w:val="nil"/>
              <w:left w:val="nil"/>
              <w:bottom w:val="single" w:sz="4" w:space="0" w:color="auto"/>
              <w:right w:val="single" w:sz="4" w:space="0" w:color="auto"/>
            </w:tcBorders>
            <w:shd w:val="clear" w:color="000000" w:fill="FFFFFF"/>
            <w:vAlign w:val="center"/>
            <w:hideMark/>
          </w:tcPr>
          <w:p w14:paraId="41DAA10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44" w:type="pct"/>
            <w:tcBorders>
              <w:top w:val="nil"/>
              <w:left w:val="nil"/>
              <w:bottom w:val="single" w:sz="4" w:space="0" w:color="auto"/>
              <w:right w:val="single" w:sz="4" w:space="0" w:color="auto"/>
            </w:tcBorders>
            <w:shd w:val="clear" w:color="000000" w:fill="FFFFFF"/>
            <w:vAlign w:val="center"/>
            <w:hideMark/>
          </w:tcPr>
          <w:p w14:paraId="7B604555"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20" w:type="pct"/>
            <w:tcBorders>
              <w:top w:val="nil"/>
              <w:left w:val="nil"/>
              <w:bottom w:val="single" w:sz="4" w:space="0" w:color="auto"/>
              <w:right w:val="single" w:sz="4" w:space="0" w:color="auto"/>
            </w:tcBorders>
            <w:shd w:val="clear" w:color="000000" w:fill="FFFFFF"/>
            <w:vAlign w:val="center"/>
            <w:hideMark/>
          </w:tcPr>
          <w:p w14:paraId="3750CC22"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31B410BD"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346" w:type="pct"/>
            <w:vMerge w:val="restart"/>
            <w:tcBorders>
              <w:top w:val="nil"/>
              <w:left w:val="single" w:sz="4" w:space="0" w:color="auto"/>
              <w:bottom w:val="nil"/>
              <w:right w:val="single" w:sz="4" w:space="0" w:color="auto"/>
            </w:tcBorders>
            <w:shd w:val="clear" w:color="000000" w:fill="FFFFFF"/>
            <w:vAlign w:val="center"/>
            <w:hideMark/>
          </w:tcPr>
          <w:p w14:paraId="63F2FB1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73" w:type="pct"/>
            <w:vMerge w:val="restart"/>
            <w:tcBorders>
              <w:top w:val="nil"/>
              <w:left w:val="single" w:sz="4" w:space="0" w:color="auto"/>
              <w:bottom w:val="nil"/>
              <w:right w:val="single" w:sz="4" w:space="0" w:color="auto"/>
            </w:tcBorders>
            <w:shd w:val="clear" w:color="000000" w:fill="FFFFFF"/>
            <w:vAlign w:val="center"/>
            <w:hideMark/>
          </w:tcPr>
          <w:p w14:paraId="7B96EEA0"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r>
      <w:tr w:rsidR="000A2254" w:rsidRPr="00B31292" w14:paraId="3B53BA12" w14:textId="77777777" w:rsidTr="000A2254">
        <w:trPr>
          <w:trHeight w:val="20"/>
        </w:trPr>
        <w:tc>
          <w:tcPr>
            <w:tcW w:w="215" w:type="pct"/>
            <w:tcBorders>
              <w:top w:val="nil"/>
              <w:left w:val="nil"/>
              <w:bottom w:val="nil"/>
              <w:right w:val="nil"/>
            </w:tcBorders>
            <w:shd w:val="clear" w:color="000000" w:fill="FFFFFF"/>
            <w:vAlign w:val="bottom"/>
            <w:hideMark/>
          </w:tcPr>
          <w:p w14:paraId="7E06366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4F61B6E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72B3943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6E49CDF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206F110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5FED68C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vMerge/>
            <w:tcBorders>
              <w:top w:val="nil"/>
              <w:left w:val="single" w:sz="4" w:space="0" w:color="auto"/>
              <w:bottom w:val="nil"/>
              <w:right w:val="single" w:sz="4" w:space="0" w:color="auto"/>
            </w:tcBorders>
            <w:vAlign w:val="center"/>
            <w:hideMark/>
          </w:tcPr>
          <w:p w14:paraId="31DA54D8"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81" w:type="pct"/>
            <w:tcBorders>
              <w:top w:val="nil"/>
              <w:left w:val="nil"/>
              <w:bottom w:val="single" w:sz="4" w:space="0" w:color="auto"/>
              <w:right w:val="single" w:sz="4" w:space="0" w:color="auto"/>
            </w:tcBorders>
            <w:shd w:val="clear" w:color="000000" w:fill="FFFFFF"/>
            <w:vAlign w:val="center"/>
            <w:hideMark/>
          </w:tcPr>
          <w:p w14:paraId="1FF5AA2D"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Finalizimi i pyetësorit;</w:t>
            </w:r>
          </w:p>
        </w:tc>
        <w:tc>
          <w:tcPr>
            <w:tcW w:w="236" w:type="pct"/>
            <w:tcBorders>
              <w:top w:val="nil"/>
              <w:left w:val="nil"/>
              <w:bottom w:val="single" w:sz="4" w:space="0" w:color="auto"/>
              <w:right w:val="single" w:sz="4" w:space="0" w:color="auto"/>
            </w:tcBorders>
            <w:shd w:val="clear" w:color="000000" w:fill="FFFFFF"/>
            <w:vAlign w:val="center"/>
            <w:hideMark/>
          </w:tcPr>
          <w:p w14:paraId="2E8E53AB"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38" w:type="pct"/>
            <w:tcBorders>
              <w:top w:val="nil"/>
              <w:left w:val="nil"/>
              <w:bottom w:val="single" w:sz="4" w:space="0" w:color="auto"/>
              <w:right w:val="single" w:sz="4" w:space="0" w:color="auto"/>
            </w:tcBorders>
            <w:shd w:val="clear" w:color="000000" w:fill="FFFFFF"/>
            <w:noWrap/>
            <w:vAlign w:val="center"/>
            <w:hideMark/>
          </w:tcPr>
          <w:p w14:paraId="252CA05D"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180" w:type="pct"/>
            <w:tcBorders>
              <w:top w:val="nil"/>
              <w:left w:val="nil"/>
              <w:bottom w:val="single" w:sz="4" w:space="0" w:color="auto"/>
              <w:right w:val="single" w:sz="4" w:space="0" w:color="auto"/>
            </w:tcBorders>
            <w:shd w:val="clear" w:color="000000" w:fill="FFFFFF"/>
            <w:noWrap/>
            <w:vAlign w:val="center"/>
            <w:hideMark/>
          </w:tcPr>
          <w:p w14:paraId="3C10D013"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28" w:type="pct"/>
            <w:tcBorders>
              <w:top w:val="nil"/>
              <w:left w:val="nil"/>
              <w:bottom w:val="single" w:sz="4" w:space="0" w:color="auto"/>
              <w:right w:val="single" w:sz="4" w:space="0" w:color="auto"/>
            </w:tcBorders>
            <w:shd w:val="clear" w:color="000000" w:fill="FFFFFF"/>
            <w:vAlign w:val="center"/>
            <w:hideMark/>
          </w:tcPr>
          <w:p w14:paraId="6C0B3CE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22" w:type="pct"/>
            <w:tcBorders>
              <w:top w:val="nil"/>
              <w:left w:val="nil"/>
              <w:bottom w:val="single" w:sz="4" w:space="0" w:color="auto"/>
              <w:right w:val="single" w:sz="4" w:space="0" w:color="auto"/>
            </w:tcBorders>
            <w:shd w:val="clear" w:color="000000" w:fill="FFFFFF"/>
            <w:vAlign w:val="center"/>
            <w:hideMark/>
          </w:tcPr>
          <w:p w14:paraId="062C0EC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486" w:type="pct"/>
            <w:tcBorders>
              <w:top w:val="nil"/>
              <w:left w:val="nil"/>
              <w:bottom w:val="single" w:sz="4" w:space="0" w:color="auto"/>
              <w:right w:val="single" w:sz="4" w:space="0" w:color="auto"/>
            </w:tcBorders>
            <w:shd w:val="clear" w:color="000000" w:fill="FFFFFF"/>
            <w:vAlign w:val="center"/>
            <w:hideMark/>
          </w:tcPr>
          <w:p w14:paraId="633FF69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99" w:type="pct"/>
            <w:tcBorders>
              <w:top w:val="nil"/>
              <w:left w:val="nil"/>
              <w:bottom w:val="single" w:sz="4" w:space="0" w:color="auto"/>
              <w:right w:val="single" w:sz="4" w:space="0" w:color="auto"/>
            </w:tcBorders>
            <w:shd w:val="clear" w:color="000000" w:fill="FFFFFF"/>
            <w:vAlign w:val="center"/>
            <w:hideMark/>
          </w:tcPr>
          <w:p w14:paraId="27E3897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24" w:type="pct"/>
            <w:tcBorders>
              <w:top w:val="nil"/>
              <w:left w:val="nil"/>
              <w:bottom w:val="single" w:sz="4" w:space="0" w:color="auto"/>
              <w:right w:val="single" w:sz="4" w:space="0" w:color="auto"/>
            </w:tcBorders>
            <w:shd w:val="clear" w:color="000000" w:fill="FFFFFF"/>
            <w:vAlign w:val="center"/>
            <w:hideMark/>
          </w:tcPr>
          <w:p w14:paraId="5F1E9F0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44" w:type="pct"/>
            <w:tcBorders>
              <w:top w:val="nil"/>
              <w:left w:val="nil"/>
              <w:bottom w:val="single" w:sz="4" w:space="0" w:color="auto"/>
              <w:right w:val="single" w:sz="4" w:space="0" w:color="auto"/>
            </w:tcBorders>
            <w:shd w:val="clear" w:color="000000" w:fill="FFFFFF"/>
            <w:vAlign w:val="center"/>
            <w:hideMark/>
          </w:tcPr>
          <w:p w14:paraId="34C7E434"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20" w:type="pct"/>
            <w:tcBorders>
              <w:top w:val="nil"/>
              <w:left w:val="nil"/>
              <w:bottom w:val="single" w:sz="4" w:space="0" w:color="auto"/>
              <w:right w:val="single" w:sz="4" w:space="0" w:color="auto"/>
            </w:tcBorders>
            <w:shd w:val="clear" w:color="000000" w:fill="FFFFFF"/>
            <w:vAlign w:val="center"/>
            <w:hideMark/>
          </w:tcPr>
          <w:p w14:paraId="738A60C0"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1EAE98FE"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346" w:type="pct"/>
            <w:vMerge/>
            <w:tcBorders>
              <w:top w:val="nil"/>
              <w:left w:val="single" w:sz="4" w:space="0" w:color="auto"/>
              <w:bottom w:val="nil"/>
              <w:right w:val="single" w:sz="4" w:space="0" w:color="auto"/>
            </w:tcBorders>
            <w:vAlign w:val="center"/>
            <w:hideMark/>
          </w:tcPr>
          <w:p w14:paraId="2B3009D6"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73" w:type="pct"/>
            <w:vMerge/>
            <w:tcBorders>
              <w:top w:val="nil"/>
              <w:left w:val="single" w:sz="4" w:space="0" w:color="auto"/>
              <w:bottom w:val="nil"/>
              <w:right w:val="single" w:sz="4" w:space="0" w:color="auto"/>
            </w:tcBorders>
            <w:vAlign w:val="center"/>
            <w:hideMark/>
          </w:tcPr>
          <w:p w14:paraId="6CF62E1B"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r>
      <w:tr w:rsidR="000A2254" w:rsidRPr="00B31292" w14:paraId="465665AA" w14:textId="77777777" w:rsidTr="000A2254">
        <w:trPr>
          <w:trHeight w:val="20"/>
        </w:trPr>
        <w:tc>
          <w:tcPr>
            <w:tcW w:w="215" w:type="pct"/>
            <w:tcBorders>
              <w:top w:val="nil"/>
              <w:left w:val="nil"/>
              <w:bottom w:val="nil"/>
              <w:right w:val="nil"/>
            </w:tcBorders>
            <w:shd w:val="clear" w:color="000000" w:fill="FFFFFF"/>
            <w:vAlign w:val="bottom"/>
            <w:hideMark/>
          </w:tcPr>
          <w:p w14:paraId="16160C8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66EC1FB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0B88920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11580B3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79B3E91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06011D1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vMerge/>
            <w:tcBorders>
              <w:top w:val="nil"/>
              <w:left w:val="single" w:sz="4" w:space="0" w:color="auto"/>
              <w:bottom w:val="nil"/>
              <w:right w:val="single" w:sz="4" w:space="0" w:color="auto"/>
            </w:tcBorders>
            <w:vAlign w:val="center"/>
            <w:hideMark/>
          </w:tcPr>
          <w:p w14:paraId="73C52AF4"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81" w:type="pct"/>
            <w:tcBorders>
              <w:top w:val="nil"/>
              <w:left w:val="nil"/>
              <w:bottom w:val="single" w:sz="4" w:space="0" w:color="auto"/>
              <w:right w:val="single" w:sz="4" w:space="0" w:color="auto"/>
            </w:tcBorders>
            <w:shd w:val="clear" w:color="000000" w:fill="FFFFFF"/>
            <w:vAlign w:val="center"/>
            <w:hideMark/>
          </w:tcPr>
          <w:p w14:paraId="6E0DD6A9" w14:textId="56351838"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color w:val="000000"/>
                <w:sz w:val="10"/>
                <w:szCs w:val="10"/>
              </w:rPr>
              <w:t xml:space="preserve"> </w:t>
            </w:r>
            <w:r w:rsidR="00E1320B" w:rsidRPr="00B31292">
              <w:rPr>
                <w:rFonts w:ascii="Garamond" w:eastAsia="Times New Roman" w:hAnsi="Garamond" w:cs="Times New Roman"/>
                <w:color w:val="000000"/>
                <w:sz w:val="10"/>
                <w:szCs w:val="10"/>
              </w:rPr>
              <w:t>f</w:t>
            </w:r>
            <w:r w:rsidRPr="00B31292">
              <w:rPr>
                <w:rFonts w:ascii="Garamond" w:eastAsia="Times New Roman" w:hAnsi="Garamond" w:cs="Times New Roman"/>
                <w:color w:val="000000"/>
                <w:sz w:val="10"/>
                <w:szCs w:val="10"/>
              </w:rPr>
              <w:t>inalizimi i kornizës metodologjike;</w:t>
            </w:r>
          </w:p>
        </w:tc>
        <w:tc>
          <w:tcPr>
            <w:tcW w:w="236" w:type="pct"/>
            <w:tcBorders>
              <w:top w:val="nil"/>
              <w:left w:val="nil"/>
              <w:bottom w:val="single" w:sz="4" w:space="0" w:color="auto"/>
              <w:right w:val="single" w:sz="4" w:space="0" w:color="auto"/>
            </w:tcBorders>
            <w:shd w:val="clear" w:color="000000" w:fill="FFFFFF"/>
            <w:vAlign w:val="center"/>
            <w:hideMark/>
          </w:tcPr>
          <w:p w14:paraId="23F113B2"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38" w:type="pct"/>
            <w:tcBorders>
              <w:top w:val="nil"/>
              <w:left w:val="nil"/>
              <w:bottom w:val="single" w:sz="4" w:space="0" w:color="auto"/>
              <w:right w:val="single" w:sz="4" w:space="0" w:color="auto"/>
            </w:tcBorders>
            <w:shd w:val="clear" w:color="000000" w:fill="FFFFFF"/>
            <w:noWrap/>
            <w:vAlign w:val="center"/>
            <w:hideMark/>
          </w:tcPr>
          <w:p w14:paraId="728D68B4"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180" w:type="pct"/>
            <w:tcBorders>
              <w:top w:val="nil"/>
              <w:left w:val="nil"/>
              <w:bottom w:val="single" w:sz="4" w:space="0" w:color="auto"/>
              <w:right w:val="single" w:sz="4" w:space="0" w:color="auto"/>
            </w:tcBorders>
            <w:shd w:val="clear" w:color="000000" w:fill="FFFFFF"/>
            <w:noWrap/>
            <w:vAlign w:val="center"/>
            <w:hideMark/>
          </w:tcPr>
          <w:p w14:paraId="35F6C7D0"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28" w:type="pct"/>
            <w:tcBorders>
              <w:top w:val="nil"/>
              <w:left w:val="nil"/>
              <w:bottom w:val="single" w:sz="4" w:space="0" w:color="auto"/>
              <w:right w:val="single" w:sz="4" w:space="0" w:color="auto"/>
            </w:tcBorders>
            <w:shd w:val="clear" w:color="000000" w:fill="FFFFFF"/>
            <w:vAlign w:val="center"/>
            <w:hideMark/>
          </w:tcPr>
          <w:p w14:paraId="575C4B4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22" w:type="pct"/>
            <w:tcBorders>
              <w:top w:val="nil"/>
              <w:left w:val="nil"/>
              <w:bottom w:val="single" w:sz="4" w:space="0" w:color="auto"/>
              <w:right w:val="single" w:sz="4" w:space="0" w:color="auto"/>
            </w:tcBorders>
            <w:shd w:val="clear" w:color="000000" w:fill="FFFFFF"/>
            <w:vAlign w:val="center"/>
            <w:hideMark/>
          </w:tcPr>
          <w:p w14:paraId="0AC1D9E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486" w:type="pct"/>
            <w:tcBorders>
              <w:top w:val="nil"/>
              <w:left w:val="nil"/>
              <w:bottom w:val="single" w:sz="4" w:space="0" w:color="auto"/>
              <w:right w:val="single" w:sz="4" w:space="0" w:color="auto"/>
            </w:tcBorders>
            <w:shd w:val="clear" w:color="000000" w:fill="FFFFFF"/>
            <w:vAlign w:val="center"/>
            <w:hideMark/>
          </w:tcPr>
          <w:p w14:paraId="49D0982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99" w:type="pct"/>
            <w:tcBorders>
              <w:top w:val="nil"/>
              <w:left w:val="nil"/>
              <w:bottom w:val="single" w:sz="4" w:space="0" w:color="auto"/>
              <w:right w:val="single" w:sz="4" w:space="0" w:color="auto"/>
            </w:tcBorders>
            <w:shd w:val="clear" w:color="000000" w:fill="FFFFFF"/>
            <w:vAlign w:val="center"/>
            <w:hideMark/>
          </w:tcPr>
          <w:p w14:paraId="626AF7D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24" w:type="pct"/>
            <w:tcBorders>
              <w:top w:val="nil"/>
              <w:left w:val="nil"/>
              <w:bottom w:val="single" w:sz="4" w:space="0" w:color="auto"/>
              <w:right w:val="single" w:sz="4" w:space="0" w:color="auto"/>
            </w:tcBorders>
            <w:shd w:val="clear" w:color="000000" w:fill="FFFFFF"/>
            <w:vAlign w:val="center"/>
            <w:hideMark/>
          </w:tcPr>
          <w:p w14:paraId="3CB22EB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44" w:type="pct"/>
            <w:tcBorders>
              <w:top w:val="nil"/>
              <w:left w:val="nil"/>
              <w:bottom w:val="single" w:sz="4" w:space="0" w:color="auto"/>
              <w:right w:val="single" w:sz="4" w:space="0" w:color="auto"/>
            </w:tcBorders>
            <w:shd w:val="clear" w:color="000000" w:fill="FFFFFF"/>
            <w:vAlign w:val="center"/>
            <w:hideMark/>
          </w:tcPr>
          <w:p w14:paraId="1AB642BA"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20" w:type="pct"/>
            <w:tcBorders>
              <w:top w:val="nil"/>
              <w:left w:val="nil"/>
              <w:bottom w:val="single" w:sz="4" w:space="0" w:color="auto"/>
              <w:right w:val="single" w:sz="4" w:space="0" w:color="auto"/>
            </w:tcBorders>
            <w:shd w:val="clear" w:color="000000" w:fill="FFFFFF"/>
            <w:vAlign w:val="center"/>
            <w:hideMark/>
          </w:tcPr>
          <w:p w14:paraId="5D2A87CD"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43A8A016"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346" w:type="pct"/>
            <w:vMerge/>
            <w:tcBorders>
              <w:top w:val="nil"/>
              <w:left w:val="single" w:sz="4" w:space="0" w:color="auto"/>
              <w:bottom w:val="nil"/>
              <w:right w:val="single" w:sz="4" w:space="0" w:color="auto"/>
            </w:tcBorders>
            <w:vAlign w:val="center"/>
            <w:hideMark/>
          </w:tcPr>
          <w:p w14:paraId="371232F3"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73" w:type="pct"/>
            <w:vMerge/>
            <w:tcBorders>
              <w:top w:val="nil"/>
              <w:left w:val="single" w:sz="4" w:space="0" w:color="auto"/>
              <w:bottom w:val="nil"/>
              <w:right w:val="single" w:sz="4" w:space="0" w:color="auto"/>
            </w:tcBorders>
            <w:vAlign w:val="center"/>
            <w:hideMark/>
          </w:tcPr>
          <w:p w14:paraId="50396EA4"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r>
      <w:tr w:rsidR="000A2254" w:rsidRPr="00B31292" w14:paraId="1CFE3033" w14:textId="77777777" w:rsidTr="000A2254">
        <w:trPr>
          <w:trHeight w:val="20"/>
        </w:trPr>
        <w:tc>
          <w:tcPr>
            <w:tcW w:w="215" w:type="pct"/>
            <w:tcBorders>
              <w:top w:val="nil"/>
              <w:left w:val="nil"/>
              <w:bottom w:val="nil"/>
              <w:right w:val="nil"/>
            </w:tcBorders>
            <w:shd w:val="clear" w:color="000000" w:fill="FFFFFF"/>
            <w:vAlign w:val="bottom"/>
            <w:hideMark/>
          </w:tcPr>
          <w:p w14:paraId="7B870DA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0724039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0BAB2AD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4097A2F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1454D42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155B828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vMerge/>
            <w:tcBorders>
              <w:top w:val="nil"/>
              <w:left w:val="single" w:sz="4" w:space="0" w:color="auto"/>
              <w:bottom w:val="nil"/>
              <w:right w:val="single" w:sz="4" w:space="0" w:color="auto"/>
            </w:tcBorders>
            <w:vAlign w:val="center"/>
            <w:hideMark/>
          </w:tcPr>
          <w:p w14:paraId="72AB753E"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81" w:type="pct"/>
            <w:tcBorders>
              <w:top w:val="nil"/>
              <w:left w:val="nil"/>
              <w:bottom w:val="single" w:sz="4" w:space="0" w:color="auto"/>
              <w:right w:val="single" w:sz="4" w:space="0" w:color="auto"/>
            </w:tcBorders>
            <w:shd w:val="clear" w:color="000000" w:fill="FFFFFF"/>
            <w:vAlign w:val="center"/>
            <w:hideMark/>
          </w:tcPr>
          <w:p w14:paraId="36BDC38F" w14:textId="59D0DA37" w:rsidR="000A2254" w:rsidRPr="00B31292" w:rsidRDefault="002E2911"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color w:val="000000"/>
                <w:sz w:val="10"/>
                <w:szCs w:val="10"/>
              </w:rPr>
              <w:t xml:space="preserve"> </w:t>
            </w:r>
            <w:r w:rsidR="000A2254" w:rsidRPr="00B31292">
              <w:rPr>
                <w:rFonts w:ascii="Garamond" w:eastAsia="Times New Roman" w:hAnsi="Garamond" w:cs="Times New Roman"/>
                <w:color w:val="000000"/>
                <w:sz w:val="10"/>
                <w:szCs w:val="10"/>
              </w:rPr>
              <w:t>Ngritja e sistemit të teknologjisë së informacionit (TI) për mbledhjen dhe analizimin e të dhënave.</w:t>
            </w:r>
          </w:p>
        </w:tc>
        <w:tc>
          <w:tcPr>
            <w:tcW w:w="236" w:type="pct"/>
            <w:tcBorders>
              <w:top w:val="nil"/>
              <w:left w:val="nil"/>
              <w:bottom w:val="single" w:sz="4" w:space="0" w:color="auto"/>
              <w:right w:val="single" w:sz="4" w:space="0" w:color="auto"/>
            </w:tcBorders>
            <w:shd w:val="clear" w:color="000000" w:fill="FFFFFF"/>
            <w:vAlign w:val="center"/>
            <w:hideMark/>
          </w:tcPr>
          <w:p w14:paraId="29041E7E"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38" w:type="pct"/>
            <w:tcBorders>
              <w:top w:val="nil"/>
              <w:left w:val="nil"/>
              <w:bottom w:val="single" w:sz="4" w:space="0" w:color="auto"/>
              <w:right w:val="single" w:sz="4" w:space="0" w:color="auto"/>
            </w:tcBorders>
            <w:shd w:val="clear" w:color="000000" w:fill="FFFFFF"/>
            <w:noWrap/>
            <w:vAlign w:val="center"/>
            <w:hideMark/>
          </w:tcPr>
          <w:p w14:paraId="1E127D93"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180" w:type="pct"/>
            <w:tcBorders>
              <w:top w:val="nil"/>
              <w:left w:val="nil"/>
              <w:bottom w:val="single" w:sz="4" w:space="0" w:color="auto"/>
              <w:right w:val="single" w:sz="4" w:space="0" w:color="auto"/>
            </w:tcBorders>
            <w:shd w:val="clear" w:color="000000" w:fill="FFFFFF"/>
            <w:noWrap/>
            <w:vAlign w:val="center"/>
            <w:hideMark/>
          </w:tcPr>
          <w:p w14:paraId="466833EA"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28" w:type="pct"/>
            <w:tcBorders>
              <w:top w:val="nil"/>
              <w:left w:val="nil"/>
              <w:bottom w:val="single" w:sz="4" w:space="0" w:color="auto"/>
              <w:right w:val="single" w:sz="4" w:space="0" w:color="auto"/>
            </w:tcBorders>
            <w:shd w:val="clear" w:color="000000" w:fill="FFFFFF"/>
            <w:vAlign w:val="center"/>
            <w:hideMark/>
          </w:tcPr>
          <w:p w14:paraId="269C64B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22" w:type="pct"/>
            <w:tcBorders>
              <w:top w:val="nil"/>
              <w:left w:val="nil"/>
              <w:bottom w:val="single" w:sz="4" w:space="0" w:color="auto"/>
              <w:right w:val="single" w:sz="4" w:space="0" w:color="auto"/>
            </w:tcBorders>
            <w:shd w:val="clear" w:color="000000" w:fill="FFFFFF"/>
            <w:vAlign w:val="center"/>
            <w:hideMark/>
          </w:tcPr>
          <w:p w14:paraId="58D15A2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486" w:type="pct"/>
            <w:tcBorders>
              <w:top w:val="nil"/>
              <w:left w:val="nil"/>
              <w:bottom w:val="single" w:sz="4" w:space="0" w:color="auto"/>
              <w:right w:val="single" w:sz="4" w:space="0" w:color="auto"/>
            </w:tcBorders>
            <w:shd w:val="clear" w:color="000000" w:fill="FFFFFF"/>
            <w:vAlign w:val="center"/>
            <w:hideMark/>
          </w:tcPr>
          <w:p w14:paraId="727BC26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99" w:type="pct"/>
            <w:tcBorders>
              <w:top w:val="nil"/>
              <w:left w:val="nil"/>
              <w:bottom w:val="single" w:sz="4" w:space="0" w:color="auto"/>
              <w:right w:val="single" w:sz="4" w:space="0" w:color="auto"/>
            </w:tcBorders>
            <w:shd w:val="clear" w:color="000000" w:fill="FFFFFF"/>
            <w:vAlign w:val="center"/>
            <w:hideMark/>
          </w:tcPr>
          <w:p w14:paraId="10DD295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24" w:type="pct"/>
            <w:tcBorders>
              <w:top w:val="nil"/>
              <w:left w:val="nil"/>
              <w:bottom w:val="single" w:sz="4" w:space="0" w:color="auto"/>
              <w:right w:val="single" w:sz="4" w:space="0" w:color="auto"/>
            </w:tcBorders>
            <w:shd w:val="clear" w:color="000000" w:fill="FFFFFF"/>
            <w:vAlign w:val="center"/>
            <w:hideMark/>
          </w:tcPr>
          <w:p w14:paraId="0F88565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44" w:type="pct"/>
            <w:tcBorders>
              <w:top w:val="nil"/>
              <w:left w:val="nil"/>
              <w:bottom w:val="single" w:sz="4" w:space="0" w:color="auto"/>
              <w:right w:val="single" w:sz="4" w:space="0" w:color="auto"/>
            </w:tcBorders>
            <w:shd w:val="clear" w:color="000000" w:fill="FFFFFF"/>
            <w:vAlign w:val="center"/>
            <w:hideMark/>
          </w:tcPr>
          <w:p w14:paraId="7C65DA24"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20" w:type="pct"/>
            <w:tcBorders>
              <w:top w:val="nil"/>
              <w:left w:val="nil"/>
              <w:bottom w:val="single" w:sz="4" w:space="0" w:color="auto"/>
              <w:right w:val="single" w:sz="4" w:space="0" w:color="auto"/>
            </w:tcBorders>
            <w:shd w:val="clear" w:color="000000" w:fill="FFFFFF"/>
            <w:vAlign w:val="center"/>
            <w:hideMark/>
          </w:tcPr>
          <w:p w14:paraId="6A6E854C"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20" w:type="pct"/>
            <w:tcBorders>
              <w:top w:val="nil"/>
              <w:left w:val="nil"/>
              <w:bottom w:val="single" w:sz="4" w:space="0" w:color="auto"/>
              <w:right w:val="single" w:sz="4" w:space="0" w:color="auto"/>
            </w:tcBorders>
            <w:shd w:val="clear" w:color="000000" w:fill="FFFFFF"/>
            <w:noWrap/>
            <w:vAlign w:val="center"/>
            <w:hideMark/>
          </w:tcPr>
          <w:p w14:paraId="2CFC95F1"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346" w:type="pct"/>
            <w:vMerge/>
            <w:tcBorders>
              <w:top w:val="nil"/>
              <w:left w:val="single" w:sz="4" w:space="0" w:color="auto"/>
              <w:bottom w:val="nil"/>
              <w:right w:val="single" w:sz="4" w:space="0" w:color="auto"/>
            </w:tcBorders>
            <w:vAlign w:val="center"/>
            <w:hideMark/>
          </w:tcPr>
          <w:p w14:paraId="71111684"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73" w:type="pct"/>
            <w:vMerge/>
            <w:tcBorders>
              <w:top w:val="nil"/>
              <w:left w:val="single" w:sz="4" w:space="0" w:color="auto"/>
              <w:bottom w:val="nil"/>
              <w:right w:val="single" w:sz="4" w:space="0" w:color="auto"/>
            </w:tcBorders>
            <w:vAlign w:val="center"/>
            <w:hideMark/>
          </w:tcPr>
          <w:p w14:paraId="3799A93C"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r>
      <w:tr w:rsidR="000A2254" w:rsidRPr="00B31292" w14:paraId="65E560A5" w14:textId="77777777" w:rsidTr="000A2254">
        <w:trPr>
          <w:trHeight w:val="20"/>
        </w:trPr>
        <w:tc>
          <w:tcPr>
            <w:tcW w:w="215" w:type="pct"/>
            <w:tcBorders>
              <w:top w:val="nil"/>
              <w:left w:val="nil"/>
              <w:bottom w:val="nil"/>
              <w:right w:val="nil"/>
            </w:tcBorders>
            <w:shd w:val="clear" w:color="000000" w:fill="FFFFFF"/>
            <w:vAlign w:val="bottom"/>
            <w:hideMark/>
          </w:tcPr>
          <w:p w14:paraId="5E8BE05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372AD60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0160C12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77DDBD8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10BC697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2725D61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000000"/>
              <w:bottom w:val="single" w:sz="4" w:space="0" w:color="000000"/>
              <w:right w:val="nil"/>
            </w:tcBorders>
            <w:shd w:val="clear" w:color="000000" w:fill="F0F0F0"/>
            <w:vAlign w:val="center"/>
            <w:hideMark/>
          </w:tcPr>
          <w:p w14:paraId="7191FE9F"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3.1.2.e</w:t>
            </w:r>
          </w:p>
        </w:tc>
        <w:tc>
          <w:tcPr>
            <w:tcW w:w="3700" w:type="pct"/>
            <w:gridSpan w:val="14"/>
            <w:tcBorders>
              <w:top w:val="nil"/>
              <w:left w:val="single" w:sz="4" w:space="0" w:color="auto"/>
              <w:bottom w:val="single" w:sz="4" w:space="0" w:color="auto"/>
              <w:right w:val="single" w:sz="4" w:space="0" w:color="auto"/>
            </w:tcBorders>
            <w:shd w:val="clear" w:color="000000" w:fill="F0F0F0"/>
            <w:vAlign w:val="center"/>
            <w:hideMark/>
          </w:tcPr>
          <w:p w14:paraId="08E21FA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Llogaritë ekonomike në bujqësi</w:t>
            </w:r>
          </w:p>
        </w:tc>
      </w:tr>
      <w:tr w:rsidR="000A2254" w:rsidRPr="00B31292" w14:paraId="0234A96E" w14:textId="77777777" w:rsidTr="000A2254">
        <w:trPr>
          <w:trHeight w:val="20"/>
        </w:trPr>
        <w:tc>
          <w:tcPr>
            <w:tcW w:w="215" w:type="pct"/>
            <w:tcBorders>
              <w:top w:val="nil"/>
              <w:left w:val="nil"/>
              <w:bottom w:val="nil"/>
              <w:right w:val="nil"/>
            </w:tcBorders>
            <w:shd w:val="clear" w:color="000000" w:fill="FFFFFF"/>
            <w:vAlign w:val="bottom"/>
            <w:hideMark/>
          </w:tcPr>
          <w:p w14:paraId="2BB99A5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0A63EEB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36CA229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039E16E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62E2900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28BB9DF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auto"/>
              <w:bottom w:val="single" w:sz="4" w:space="0" w:color="auto"/>
              <w:right w:val="single" w:sz="4" w:space="0" w:color="auto"/>
            </w:tcBorders>
            <w:shd w:val="clear" w:color="000000" w:fill="FFFFFF"/>
            <w:vAlign w:val="center"/>
            <w:hideMark/>
          </w:tcPr>
          <w:p w14:paraId="40A8665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3.1.2.e.1</w:t>
            </w:r>
          </w:p>
        </w:tc>
        <w:tc>
          <w:tcPr>
            <w:tcW w:w="281" w:type="pct"/>
            <w:tcBorders>
              <w:top w:val="nil"/>
              <w:left w:val="nil"/>
              <w:bottom w:val="single" w:sz="4" w:space="0" w:color="auto"/>
              <w:right w:val="single" w:sz="4" w:space="0" w:color="auto"/>
            </w:tcBorders>
            <w:shd w:val="clear" w:color="auto" w:fill="auto"/>
            <w:vAlign w:val="center"/>
            <w:hideMark/>
          </w:tcPr>
          <w:p w14:paraId="176A4437" w14:textId="46C181AC"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xml:space="preserve">Statistikat mbi </w:t>
            </w:r>
            <w:r w:rsidR="00E1320B" w:rsidRPr="00B31292">
              <w:rPr>
                <w:rFonts w:ascii="Garamond" w:eastAsia="Times New Roman" w:hAnsi="Garamond" w:cs="Times New Roman"/>
                <w:sz w:val="10"/>
                <w:szCs w:val="10"/>
              </w:rPr>
              <w:t>llogaritë ekonomike në bujqësi</w:t>
            </w:r>
          </w:p>
        </w:tc>
        <w:tc>
          <w:tcPr>
            <w:tcW w:w="236" w:type="pct"/>
            <w:tcBorders>
              <w:top w:val="nil"/>
              <w:left w:val="nil"/>
              <w:bottom w:val="single" w:sz="4" w:space="0" w:color="000000"/>
              <w:right w:val="single" w:sz="4" w:space="0" w:color="000000"/>
            </w:tcBorders>
            <w:shd w:val="clear" w:color="auto" w:fill="auto"/>
            <w:vAlign w:val="center"/>
            <w:hideMark/>
          </w:tcPr>
          <w:p w14:paraId="62C79F16"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Burim administrativ</w:t>
            </w:r>
          </w:p>
        </w:tc>
        <w:tc>
          <w:tcPr>
            <w:tcW w:w="238" w:type="pct"/>
            <w:tcBorders>
              <w:top w:val="nil"/>
              <w:left w:val="nil"/>
              <w:bottom w:val="single" w:sz="4" w:space="0" w:color="auto"/>
              <w:right w:val="single" w:sz="4" w:space="0" w:color="auto"/>
            </w:tcBorders>
            <w:shd w:val="clear" w:color="auto" w:fill="auto"/>
            <w:noWrap/>
            <w:vAlign w:val="center"/>
            <w:hideMark/>
          </w:tcPr>
          <w:p w14:paraId="1F2EF62C"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180" w:type="pct"/>
            <w:tcBorders>
              <w:top w:val="nil"/>
              <w:left w:val="nil"/>
              <w:bottom w:val="single" w:sz="4" w:space="0" w:color="auto"/>
              <w:right w:val="single" w:sz="4" w:space="0" w:color="auto"/>
            </w:tcBorders>
            <w:shd w:val="clear" w:color="auto" w:fill="auto"/>
            <w:noWrap/>
            <w:vAlign w:val="center"/>
            <w:hideMark/>
          </w:tcPr>
          <w:p w14:paraId="67A6AE07"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28" w:type="pct"/>
            <w:tcBorders>
              <w:top w:val="nil"/>
              <w:left w:val="nil"/>
              <w:bottom w:val="single" w:sz="4" w:space="0" w:color="auto"/>
              <w:right w:val="single" w:sz="4" w:space="0" w:color="auto"/>
            </w:tcBorders>
            <w:shd w:val="clear" w:color="auto" w:fill="auto"/>
            <w:vAlign w:val="center"/>
            <w:hideMark/>
          </w:tcPr>
          <w:p w14:paraId="006F3DA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tcBorders>
              <w:top w:val="nil"/>
              <w:left w:val="nil"/>
              <w:bottom w:val="single" w:sz="4" w:space="0" w:color="000000"/>
              <w:right w:val="nil"/>
            </w:tcBorders>
            <w:shd w:val="clear" w:color="auto" w:fill="auto"/>
            <w:vAlign w:val="center"/>
            <w:hideMark/>
          </w:tcPr>
          <w:p w14:paraId="469CF3D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Vjetor</w:t>
            </w:r>
          </w:p>
        </w:tc>
        <w:tc>
          <w:tcPr>
            <w:tcW w:w="486" w:type="pct"/>
            <w:tcBorders>
              <w:top w:val="nil"/>
              <w:left w:val="single" w:sz="4" w:space="0" w:color="auto"/>
              <w:bottom w:val="single" w:sz="4" w:space="0" w:color="auto"/>
              <w:right w:val="single" w:sz="4" w:space="0" w:color="auto"/>
            </w:tcBorders>
            <w:shd w:val="clear" w:color="000000" w:fill="FFFFFF"/>
            <w:vAlign w:val="center"/>
            <w:hideMark/>
          </w:tcPr>
          <w:p w14:paraId="0E43D747" w14:textId="164C9F24"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1. Llogaritë ekonomike në bujqësi - </w:t>
            </w:r>
            <w:r w:rsidR="00E1320B" w:rsidRPr="00B31292">
              <w:rPr>
                <w:rFonts w:ascii="Garamond" w:eastAsia="Times New Roman" w:hAnsi="Garamond" w:cs="Times New Roman"/>
                <w:color w:val="000000"/>
                <w:sz w:val="10"/>
                <w:szCs w:val="10"/>
              </w:rPr>
              <w:t xml:space="preserve">vlerësimet </w:t>
            </w:r>
            <w:r w:rsidRPr="00B31292">
              <w:rPr>
                <w:rFonts w:ascii="Garamond" w:eastAsia="Times New Roman" w:hAnsi="Garamond" w:cs="Times New Roman"/>
                <w:color w:val="000000"/>
                <w:sz w:val="10"/>
                <w:szCs w:val="10"/>
              </w:rPr>
              <w:t>e para</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 xml:space="preserve">2. Llogaritë ekonomike në bujqësi - </w:t>
            </w:r>
            <w:r w:rsidR="00E1320B" w:rsidRPr="00B31292">
              <w:rPr>
                <w:rFonts w:ascii="Garamond" w:eastAsia="Times New Roman" w:hAnsi="Garamond" w:cs="Times New Roman"/>
                <w:color w:val="000000"/>
                <w:sz w:val="10"/>
                <w:szCs w:val="10"/>
              </w:rPr>
              <w:t xml:space="preserve">vlerësimet </w:t>
            </w:r>
            <w:r w:rsidRPr="00B31292">
              <w:rPr>
                <w:rFonts w:ascii="Garamond" w:eastAsia="Times New Roman" w:hAnsi="Garamond" w:cs="Times New Roman"/>
                <w:color w:val="000000"/>
                <w:sz w:val="10"/>
                <w:szCs w:val="10"/>
              </w:rPr>
              <w:t>e dyta</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3. Llogaritë ekonomike në bujqësi - </w:t>
            </w:r>
            <w:r w:rsidR="00E1320B" w:rsidRPr="00B31292">
              <w:rPr>
                <w:rFonts w:ascii="Garamond" w:eastAsia="Times New Roman" w:hAnsi="Garamond" w:cs="Times New Roman"/>
                <w:color w:val="000000"/>
                <w:sz w:val="10"/>
                <w:szCs w:val="10"/>
              </w:rPr>
              <w:t xml:space="preserve">çmime </w:t>
            </w:r>
            <w:r w:rsidRPr="00B31292">
              <w:rPr>
                <w:rFonts w:ascii="Garamond" w:eastAsia="Times New Roman" w:hAnsi="Garamond" w:cs="Times New Roman"/>
                <w:color w:val="000000"/>
                <w:sz w:val="10"/>
                <w:szCs w:val="10"/>
              </w:rPr>
              <w:t>korrente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4. Llogaritë ekonomike në bujqësi - </w:t>
            </w:r>
            <w:r w:rsidR="00E1320B" w:rsidRPr="00B31292">
              <w:rPr>
                <w:rFonts w:ascii="Garamond" w:eastAsia="Times New Roman" w:hAnsi="Garamond" w:cs="Times New Roman"/>
                <w:color w:val="000000"/>
                <w:sz w:val="10"/>
                <w:szCs w:val="10"/>
              </w:rPr>
              <w:t xml:space="preserve">çmime </w:t>
            </w:r>
            <w:r w:rsidRPr="00B31292">
              <w:rPr>
                <w:rFonts w:ascii="Garamond" w:eastAsia="Times New Roman" w:hAnsi="Garamond" w:cs="Times New Roman"/>
                <w:color w:val="000000"/>
                <w:sz w:val="10"/>
                <w:szCs w:val="10"/>
              </w:rPr>
              <w:t>konstante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5. Llogaritë ekonomike në bujqësi</w:t>
            </w:r>
            <w:r w:rsidR="00E1320B"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 xml:space="preserve"> </w:t>
            </w:r>
            <w:r w:rsidR="00E1320B" w:rsidRPr="00B31292">
              <w:rPr>
                <w:rFonts w:ascii="Garamond" w:eastAsia="Times New Roman" w:hAnsi="Garamond" w:cs="Times New Roman"/>
                <w:color w:val="000000"/>
                <w:sz w:val="10"/>
                <w:szCs w:val="10"/>
              </w:rPr>
              <w:t>rajonale.</w:t>
            </w:r>
          </w:p>
        </w:tc>
        <w:tc>
          <w:tcPr>
            <w:tcW w:w="299" w:type="pct"/>
            <w:tcBorders>
              <w:top w:val="nil"/>
              <w:left w:val="nil"/>
              <w:bottom w:val="single" w:sz="4" w:space="0" w:color="auto"/>
              <w:right w:val="single" w:sz="4" w:space="0" w:color="auto"/>
            </w:tcBorders>
            <w:shd w:val="clear" w:color="auto" w:fill="auto"/>
            <w:vAlign w:val="center"/>
            <w:hideMark/>
          </w:tcPr>
          <w:p w14:paraId="5BA67F0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Ministria e Bujqësisë dhe Zhvillimit Rural</w:t>
            </w:r>
          </w:p>
        </w:tc>
        <w:tc>
          <w:tcPr>
            <w:tcW w:w="224" w:type="pct"/>
            <w:tcBorders>
              <w:top w:val="nil"/>
              <w:left w:val="nil"/>
              <w:bottom w:val="single" w:sz="4" w:space="0" w:color="auto"/>
              <w:right w:val="single" w:sz="4" w:space="0" w:color="auto"/>
            </w:tcBorders>
            <w:shd w:val="clear" w:color="auto" w:fill="auto"/>
            <w:vAlign w:val="center"/>
            <w:hideMark/>
          </w:tcPr>
          <w:p w14:paraId="1D633CC1" w14:textId="570D8AFA"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E1320B" w:rsidRPr="00B31292">
              <w:rPr>
                <w:rFonts w:ascii="Garamond" w:eastAsia="Times New Roman" w:hAnsi="Garamond" w:cs="Times New Roman"/>
                <w:color w:val="000000"/>
                <w:sz w:val="10"/>
                <w:szCs w:val="10"/>
              </w:rPr>
              <w:t>-i</w:t>
            </w:r>
          </w:p>
        </w:tc>
        <w:tc>
          <w:tcPr>
            <w:tcW w:w="244" w:type="pct"/>
            <w:tcBorders>
              <w:top w:val="nil"/>
              <w:left w:val="nil"/>
              <w:bottom w:val="single" w:sz="4" w:space="0" w:color="auto"/>
              <w:right w:val="single" w:sz="4" w:space="0" w:color="auto"/>
            </w:tcBorders>
            <w:shd w:val="clear" w:color="000000" w:fill="FFFFFF"/>
            <w:vAlign w:val="center"/>
            <w:hideMark/>
          </w:tcPr>
          <w:p w14:paraId="031E8777"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+ 365D</w:t>
            </w:r>
          </w:p>
        </w:tc>
        <w:tc>
          <w:tcPr>
            <w:tcW w:w="220" w:type="pct"/>
            <w:tcBorders>
              <w:top w:val="nil"/>
              <w:left w:val="nil"/>
              <w:bottom w:val="single" w:sz="4" w:space="0" w:color="auto"/>
              <w:right w:val="single" w:sz="4" w:space="0" w:color="auto"/>
            </w:tcBorders>
            <w:shd w:val="clear" w:color="000000" w:fill="FFFFFF"/>
            <w:vAlign w:val="center"/>
            <w:hideMark/>
          </w:tcPr>
          <w:p w14:paraId="453FA16B"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+ 68D</w:t>
            </w:r>
          </w:p>
        </w:tc>
        <w:tc>
          <w:tcPr>
            <w:tcW w:w="220" w:type="pct"/>
            <w:tcBorders>
              <w:top w:val="nil"/>
              <w:left w:val="nil"/>
              <w:bottom w:val="single" w:sz="4" w:space="0" w:color="auto"/>
              <w:right w:val="single" w:sz="4" w:space="0" w:color="auto"/>
            </w:tcBorders>
            <w:shd w:val="clear" w:color="000000" w:fill="FFFFFF"/>
            <w:vAlign w:val="center"/>
            <w:hideMark/>
          </w:tcPr>
          <w:p w14:paraId="352060C3"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+ 89D</w:t>
            </w:r>
          </w:p>
        </w:tc>
        <w:tc>
          <w:tcPr>
            <w:tcW w:w="346" w:type="pct"/>
            <w:tcBorders>
              <w:top w:val="nil"/>
              <w:left w:val="nil"/>
              <w:bottom w:val="single" w:sz="4" w:space="0" w:color="auto"/>
              <w:right w:val="single" w:sz="4" w:space="0" w:color="auto"/>
            </w:tcBorders>
            <w:shd w:val="clear" w:color="auto" w:fill="auto"/>
            <w:vAlign w:val="center"/>
            <w:hideMark/>
          </w:tcPr>
          <w:p w14:paraId="362CEFFB" w14:textId="747C3C82"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1. Mbledhja me vonesë dhe jo në cilësinë e duhur e të dhënave administrative për llogaritë ekonomike në bujqësi, çka mund të sjellë vonesa në llogaritjen dhe </w:t>
            </w:r>
            <w:r w:rsidRPr="00B31292">
              <w:rPr>
                <w:rFonts w:ascii="Garamond" w:eastAsia="Times New Roman" w:hAnsi="Garamond" w:cs="Times New Roman"/>
                <w:color w:val="000000"/>
                <w:sz w:val="10"/>
                <w:szCs w:val="10"/>
              </w:rPr>
              <w:lastRenderedPageBreak/>
              <w:t>shpërndarjen e statistikave të llogarive ekonomike në bujqësi -|- 7</w:t>
            </w:r>
            <w:r w:rsidRPr="00B31292">
              <w:rPr>
                <w:rFonts w:ascii="Garamond" w:eastAsia="Times New Roman" w:hAnsi="Garamond" w:cs="Times New Roman"/>
                <w:color w:val="000000"/>
                <w:sz w:val="10"/>
                <w:szCs w:val="10"/>
              </w:rPr>
              <w:br/>
              <w:t>2. Mungesa e kapaciteteve të përdorimit të programeve kompjuterike statistikore (SPSS, EXCEL, R etj</w:t>
            </w:r>
            <w:r w:rsidR="00F541D0"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për m</w:t>
            </w:r>
            <w:r w:rsidR="00F541D0" w:rsidRPr="00B31292">
              <w:rPr>
                <w:rFonts w:ascii="Garamond" w:eastAsia="Times New Roman" w:hAnsi="Garamond" w:cs="Times New Roman"/>
                <w:color w:val="000000"/>
                <w:sz w:val="10"/>
                <w:szCs w:val="10"/>
              </w:rPr>
              <w:t>e</w:t>
            </w:r>
            <w:r w:rsidRPr="00B31292">
              <w:rPr>
                <w:rFonts w:ascii="Garamond" w:eastAsia="Times New Roman" w:hAnsi="Garamond" w:cs="Times New Roman"/>
                <w:color w:val="000000"/>
                <w:sz w:val="10"/>
                <w:szCs w:val="10"/>
              </w:rPr>
              <w:t>naxhimin e të dhënave dhe prodhimin e rezultateve nga stafi i sektorit, çka sjell mangësi në përdorimin e regjistrave statistikor për prodhimin e treguesve -|- 5</w:t>
            </w:r>
            <w:r w:rsidRPr="00B31292">
              <w:rPr>
                <w:rFonts w:ascii="Garamond" w:eastAsia="Times New Roman" w:hAnsi="Garamond" w:cs="Times New Roman"/>
                <w:color w:val="000000"/>
                <w:sz w:val="10"/>
                <w:szCs w:val="10"/>
              </w:rPr>
              <w:br/>
              <w:t>3. Mungesa e trajnimeve të stafit të sektorit në fushat relevante, çka sjell një ambient pune jo motivues dhe rënie të kapaciteteve të stafit -|- 5</w:t>
            </w:r>
            <w:r w:rsidRPr="00B31292">
              <w:rPr>
                <w:rFonts w:ascii="Garamond" w:eastAsia="Times New Roman" w:hAnsi="Garamond" w:cs="Times New Roman"/>
                <w:color w:val="000000"/>
                <w:sz w:val="10"/>
                <w:szCs w:val="10"/>
              </w:rPr>
              <w:br/>
              <w:t>4. Mungesa memorandumeve të bashkëpunimit me institucionet furnizues me të dhëna, çka sjell vonesa dhe mangësi në prodhimin statistikor -|- 5</w:t>
            </w:r>
            <w:r w:rsidRPr="00B31292">
              <w:rPr>
                <w:rFonts w:ascii="Garamond" w:eastAsia="Times New Roman" w:hAnsi="Garamond" w:cs="Times New Roman"/>
                <w:color w:val="000000"/>
                <w:sz w:val="10"/>
                <w:szCs w:val="10"/>
              </w:rPr>
              <w:br/>
              <w:t>5. Mosrealizimi i publikimeve të reja që janë produkt i projekteve IPA, si rezultat i efektit të pandemisë, çka sjell dobësimin e rolit të INSTAT</w:t>
            </w:r>
            <w:r w:rsidR="00106FB4" w:rsidRPr="00B31292">
              <w:rPr>
                <w:rFonts w:ascii="Garamond" w:eastAsia="Times New Roman" w:hAnsi="Garamond" w:cs="Times New Roman"/>
                <w:color w:val="000000"/>
                <w:sz w:val="10"/>
                <w:szCs w:val="10"/>
              </w:rPr>
              <w:t>-it</w:t>
            </w:r>
            <w:r w:rsidRPr="00B31292">
              <w:rPr>
                <w:rFonts w:ascii="Garamond" w:eastAsia="Times New Roman" w:hAnsi="Garamond" w:cs="Times New Roman"/>
                <w:color w:val="000000"/>
                <w:sz w:val="10"/>
                <w:szCs w:val="10"/>
              </w:rPr>
              <w:t xml:space="preserve"> -|- 5</w:t>
            </w:r>
          </w:p>
        </w:tc>
        <w:tc>
          <w:tcPr>
            <w:tcW w:w="273" w:type="pct"/>
            <w:tcBorders>
              <w:top w:val="nil"/>
              <w:left w:val="nil"/>
              <w:bottom w:val="single" w:sz="4" w:space="0" w:color="auto"/>
              <w:right w:val="single" w:sz="4" w:space="0" w:color="auto"/>
            </w:tcBorders>
            <w:shd w:val="clear" w:color="auto" w:fill="auto"/>
            <w:vAlign w:val="center"/>
            <w:hideMark/>
          </w:tcPr>
          <w:p w14:paraId="74FF538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lastRenderedPageBreak/>
              <w:t>Buxhet shteti</w:t>
            </w:r>
          </w:p>
        </w:tc>
      </w:tr>
      <w:tr w:rsidR="000A2254" w:rsidRPr="00B31292" w14:paraId="25733AAB" w14:textId="77777777" w:rsidTr="000A2254">
        <w:trPr>
          <w:trHeight w:val="20"/>
        </w:trPr>
        <w:tc>
          <w:tcPr>
            <w:tcW w:w="215" w:type="pct"/>
            <w:tcBorders>
              <w:top w:val="nil"/>
              <w:left w:val="nil"/>
              <w:bottom w:val="nil"/>
              <w:right w:val="nil"/>
            </w:tcBorders>
            <w:shd w:val="clear" w:color="000000" w:fill="FFFFFF"/>
            <w:vAlign w:val="bottom"/>
            <w:hideMark/>
          </w:tcPr>
          <w:p w14:paraId="3954A1C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7ECF0757"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6759805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6F9DDE5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166709F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09F7283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auto"/>
              <w:bottom w:val="nil"/>
              <w:right w:val="single" w:sz="4" w:space="0" w:color="auto"/>
            </w:tcBorders>
            <w:shd w:val="clear" w:color="000000" w:fill="FFFFFF"/>
            <w:vAlign w:val="center"/>
            <w:hideMark/>
          </w:tcPr>
          <w:p w14:paraId="69CEC91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3.1.2.e.2</w:t>
            </w:r>
          </w:p>
        </w:tc>
        <w:tc>
          <w:tcPr>
            <w:tcW w:w="281" w:type="pct"/>
            <w:tcBorders>
              <w:top w:val="nil"/>
              <w:left w:val="nil"/>
              <w:bottom w:val="nil"/>
              <w:right w:val="single" w:sz="4" w:space="0" w:color="auto"/>
            </w:tcBorders>
            <w:shd w:val="clear" w:color="000000" w:fill="FFFFFF"/>
            <w:vAlign w:val="center"/>
            <w:hideMark/>
          </w:tcPr>
          <w:p w14:paraId="3D05E5B4" w14:textId="340F6126"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xml:space="preserve">Statistikat mbi </w:t>
            </w:r>
            <w:r w:rsidR="00E1320B" w:rsidRPr="00B31292">
              <w:rPr>
                <w:rFonts w:ascii="Garamond" w:eastAsia="Times New Roman" w:hAnsi="Garamond" w:cs="Times New Roman"/>
                <w:sz w:val="10"/>
                <w:szCs w:val="10"/>
              </w:rPr>
              <w:t>çmimet bujqësore</w:t>
            </w:r>
          </w:p>
        </w:tc>
        <w:tc>
          <w:tcPr>
            <w:tcW w:w="236" w:type="pct"/>
            <w:tcBorders>
              <w:top w:val="nil"/>
              <w:left w:val="nil"/>
              <w:bottom w:val="nil"/>
              <w:right w:val="single" w:sz="4" w:space="0" w:color="000000"/>
            </w:tcBorders>
            <w:shd w:val="clear" w:color="000000" w:fill="FFFFFF"/>
            <w:vAlign w:val="center"/>
            <w:hideMark/>
          </w:tcPr>
          <w:p w14:paraId="2649FC84"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Vrojtim</w:t>
            </w:r>
          </w:p>
        </w:tc>
        <w:tc>
          <w:tcPr>
            <w:tcW w:w="238" w:type="pct"/>
            <w:tcBorders>
              <w:top w:val="nil"/>
              <w:left w:val="nil"/>
              <w:bottom w:val="single" w:sz="4" w:space="0" w:color="auto"/>
              <w:right w:val="single" w:sz="4" w:space="0" w:color="auto"/>
            </w:tcBorders>
            <w:shd w:val="clear" w:color="000000" w:fill="FFFFFF"/>
            <w:noWrap/>
            <w:vAlign w:val="center"/>
            <w:hideMark/>
          </w:tcPr>
          <w:p w14:paraId="7F690A6C"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180" w:type="pct"/>
            <w:tcBorders>
              <w:top w:val="nil"/>
              <w:left w:val="nil"/>
              <w:bottom w:val="single" w:sz="4" w:space="0" w:color="auto"/>
              <w:right w:val="single" w:sz="4" w:space="0" w:color="auto"/>
            </w:tcBorders>
            <w:shd w:val="clear" w:color="000000" w:fill="FFFFFF"/>
            <w:noWrap/>
            <w:vAlign w:val="center"/>
            <w:hideMark/>
          </w:tcPr>
          <w:p w14:paraId="7BC1D375"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228" w:type="pct"/>
            <w:tcBorders>
              <w:top w:val="nil"/>
              <w:left w:val="nil"/>
              <w:bottom w:val="single" w:sz="4" w:space="0" w:color="auto"/>
              <w:right w:val="single" w:sz="4" w:space="0" w:color="auto"/>
            </w:tcBorders>
            <w:shd w:val="clear" w:color="000000" w:fill="FFFFFF"/>
            <w:vAlign w:val="center"/>
            <w:hideMark/>
          </w:tcPr>
          <w:p w14:paraId="55DA240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tcBorders>
              <w:top w:val="nil"/>
              <w:left w:val="nil"/>
              <w:bottom w:val="nil"/>
              <w:right w:val="single" w:sz="4" w:space="0" w:color="000000"/>
            </w:tcBorders>
            <w:shd w:val="clear" w:color="000000" w:fill="FFFFFF"/>
            <w:vAlign w:val="center"/>
            <w:hideMark/>
          </w:tcPr>
          <w:p w14:paraId="2CA498A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Mujor</w:t>
            </w:r>
          </w:p>
        </w:tc>
        <w:tc>
          <w:tcPr>
            <w:tcW w:w="486" w:type="pct"/>
            <w:tcBorders>
              <w:top w:val="nil"/>
              <w:left w:val="nil"/>
              <w:bottom w:val="nil"/>
              <w:right w:val="single" w:sz="4" w:space="0" w:color="auto"/>
            </w:tcBorders>
            <w:shd w:val="clear" w:color="000000" w:fill="FFFFFF"/>
            <w:vAlign w:val="center"/>
            <w:hideMark/>
          </w:tcPr>
          <w:p w14:paraId="4181FBEA" w14:textId="7BAA4C6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1. Çmimet e bujqësisë - </w:t>
            </w:r>
            <w:r w:rsidR="00E1320B" w:rsidRPr="00B31292">
              <w:rPr>
                <w:rFonts w:ascii="Garamond" w:eastAsia="Times New Roman" w:hAnsi="Garamond" w:cs="Times New Roman"/>
                <w:color w:val="000000"/>
                <w:sz w:val="10"/>
                <w:szCs w:val="10"/>
              </w:rPr>
              <w:t xml:space="preserve">indekset </w:t>
            </w:r>
            <w:r w:rsidRPr="00B31292">
              <w:rPr>
                <w:rFonts w:ascii="Garamond" w:eastAsia="Times New Roman" w:hAnsi="Garamond" w:cs="Times New Roman"/>
                <w:color w:val="000000"/>
                <w:sz w:val="10"/>
                <w:szCs w:val="10"/>
              </w:rPr>
              <w:t>vjetore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2. Çmimet e bujqësisë - </w:t>
            </w:r>
            <w:r w:rsidR="00E1320B" w:rsidRPr="00B31292">
              <w:rPr>
                <w:rFonts w:ascii="Garamond" w:eastAsia="Times New Roman" w:hAnsi="Garamond" w:cs="Times New Roman"/>
                <w:color w:val="000000"/>
                <w:sz w:val="10"/>
                <w:szCs w:val="10"/>
              </w:rPr>
              <w:t xml:space="preserve">indekset </w:t>
            </w:r>
            <w:r w:rsidRPr="00B31292">
              <w:rPr>
                <w:rFonts w:ascii="Garamond" w:eastAsia="Times New Roman" w:hAnsi="Garamond" w:cs="Times New Roman"/>
                <w:color w:val="000000"/>
                <w:sz w:val="10"/>
                <w:szCs w:val="10"/>
              </w:rPr>
              <w:t>tremujore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3. Çmimet e bujqësisë - </w:t>
            </w:r>
            <w:r w:rsidR="00E1320B" w:rsidRPr="00B31292">
              <w:rPr>
                <w:rFonts w:ascii="Garamond" w:eastAsia="Times New Roman" w:hAnsi="Garamond" w:cs="Times New Roman"/>
                <w:color w:val="000000"/>
                <w:sz w:val="10"/>
                <w:szCs w:val="10"/>
              </w:rPr>
              <w:t xml:space="preserve">çmimet </w:t>
            </w:r>
            <w:r w:rsidRPr="00B31292">
              <w:rPr>
                <w:rFonts w:ascii="Garamond" w:eastAsia="Times New Roman" w:hAnsi="Garamond" w:cs="Times New Roman"/>
                <w:color w:val="000000"/>
                <w:sz w:val="10"/>
                <w:szCs w:val="10"/>
              </w:rPr>
              <w:t>absolute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4. Çmimet dhe </w:t>
            </w:r>
            <w:r w:rsidR="00F541D0" w:rsidRPr="00B31292">
              <w:rPr>
                <w:rFonts w:ascii="Garamond" w:eastAsia="Times New Roman" w:hAnsi="Garamond" w:cs="Times New Roman"/>
                <w:color w:val="000000"/>
                <w:sz w:val="10"/>
                <w:szCs w:val="10"/>
              </w:rPr>
              <w:t>qiratë</w:t>
            </w:r>
            <w:r w:rsidRPr="00B31292">
              <w:rPr>
                <w:rFonts w:ascii="Garamond" w:eastAsia="Times New Roman" w:hAnsi="Garamond" w:cs="Times New Roman"/>
                <w:color w:val="000000"/>
                <w:sz w:val="10"/>
                <w:szCs w:val="10"/>
              </w:rPr>
              <w:t xml:space="preserve"> e tokës bujqësore</w:t>
            </w:r>
            <w:r w:rsidR="00E1320B" w:rsidRPr="00B31292">
              <w:rPr>
                <w:rFonts w:ascii="Garamond" w:eastAsia="Times New Roman" w:hAnsi="Garamond" w:cs="Times New Roman"/>
                <w:color w:val="000000"/>
                <w:sz w:val="10"/>
                <w:szCs w:val="10"/>
              </w:rPr>
              <w:t>.</w:t>
            </w:r>
          </w:p>
        </w:tc>
        <w:tc>
          <w:tcPr>
            <w:tcW w:w="299" w:type="pct"/>
            <w:tcBorders>
              <w:top w:val="nil"/>
              <w:left w:val="nil"/>
              <w:bottom w:val="nil"/>
              <w:right w:val="single" w:sz="4" w:space="0" w:color="auto"/>
            </w:tcBorders>
            <w:shd w:val="clear" w:color="000000" w:fill="FFFFFF"/>
            <w:vAlign w:val="center"/>
            <w:hideMark/>
          </w:tcPr>
          <w:p w14:paraId="32AA1C6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Instituti i Statistikave</w:t>
            </w:r>
          </w:p>
        </w:tc>
        <w:tc>
          <w:tcPr>
            <w:tcW w:w="224" w:type="pct"/>
            <w:tcBorders>
              <w:top w:val="nil"/>
              <w:left w:val="nil"/>
              <w:bottom w:val="nil"/>
              <w:right w:val="single" w:sz="4" w:space="0" w:color="auto"/>
            </w:tcBorders>
            <w:shd w:val="clear" w:color="000000" w:fill="FFFFFF"/>
            <w:vAlign w:val="center"/>
            <w:hideMark/>
          </w:tcPr>
          <w:p w14:paraId="4310271B" w14:textId="479F3CDE"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E1320B" w:rsidRPr="00B31292">
              <w:rPr>
                <w:rFonts w:ascii="Garamond" w:eastAsia="Times New Roman" w:hAnsi="Garamond" w:cs="Times New Roman"/>
                <w:color w:val="000000"/>
                <w:sz w:val="10"/>
                <w:szCs w:val="10"/>
              </w:rPr>
              <w:t>-i</w:t>
            </w:r>
          </w:p>
        </w:tc>
        <w:tc>
          <w:tcPr>
            <w:tcW w:w="244" w:type="pct"/>
            <w:tcBorders>
              <w:top w:val="nil"/>
              <w:left w:val="nil"/>
              <w:bottom w:val="single" w:sz="4" w:space="0" w:color="auto"/>
              <w:right w:val="single" w:sz="4" w:space="0" w:color="auto"/>
            </w:tcBorders>
            <w:shd w:val="clear" w:color="000000" w:fill="FFFFFF"/>
            <w:vAlign w:val="center"/>
            <w:hideMark/>
          </w:tcPr>
          <w:p w14:paraId="5DB91D89"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M + 3D</w:t>
            </w:r>
          </w:p>
        </w:tc>
        <w:tc>
          <w:tcPr>
            <w:tcW w:w="220" w:type="pct"/>
            <w:tcBorders>
              <w:top w:val="nil"/>
              <w:left w:val="nil"/>
              <w:bottom w:val="single" w:sz="4" w:space="0" w:color="auto"/>
              <w:right w:val="single" w:sz="4" w:space="0" w:color="auto"/>
            </w:tcBorders>
            <w:shd w:val="clear" w:color="000000" w:fill="FFFFFF"/>
            <w:vAlign w:val="center"/>
            <w:hideMark/>
          </w:tcPr>
          <w:p w14:paraId="21AEEBBC"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M + 28D</w:t>
            </w:r>
          </w:p>
        </w:tc>
        <w:tc>
          <w:tcPr>
            <w:tcW w:w="220" w:type="pct"/>
            <w:tcBorders>
              <w:top w:val="nil"/>
              <w:left w:val="nil"/>
              <w:bottom w:val="single" w:sz="4" w:space="0" w:color="auto"/>
              <w:right w:val="single" w:sz="4" w:space="0" w:color="auto"/>
            </w:tcBorders>
            <w:shd w:val="clear" w:color="000000" w:fill="FFFFFF"/>
            <w:vAlign w:val="center"/>
            <w:hideMark/>
          </w:tcPr>
          <w:p w14:paraId="4E965267"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M + 521D</w:t>
            </w:r>
          </w:p>
        </w:tc>
        <w:tc>
          <w:tcPr>
            <w:tcW w:w="346" w:type="pct"/>
            <w:tcBorders>
              <w:top w:val="nil"/>
              <w:left w:val="nil"/>
              <w:bottom w:val="single" w:sz="4" w:space="0" w:color="auto"/>
              <w:right w:val="single" w:sz="4" w:space="0" w:color="auto"/>
            </w:tcBorders>
            <w:shd w:val="clear" w:color="000000" w:fill="FFFFFF"/>
            <w:vAlign w:val="center"/>
            <w:hideMark/>
          </w:tcPr>
          <w:p w14:paraId="77E421B7" w14:textId="1E614623"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1. Mbledhja me vonesë dhe jo në cilësinë e duhur e të të dhënave duke sjellë vonesa në llogaritjen dhe shpërndarjen e statistikave lidhur me: Vrojtimin mujor të çmimeve të prodhimeve bujqësore, vrojtimin tremujor të çmimeve të inputeve bujqësore, </w:t>
            </w:r>
            <w:r w:rsidR="00F541D0" w:rsidRPr="00B31292">
              <w:rPr>
                <w:rFonts w:ascii="Garamond" w:eastAsia="Times New Roman" w:hAnsi="Garamond" w:cs="Times New Roman"/>
                <w:color w:val="000000"/>
                <w:sz w:val="10"/>
                <w:szCs w:val="10"/>
              </w:rPr>
              <w:t>vrojtimin</w:t>
            </w:r>
            <w:r w:rsidRPr="00B31292">
              <w:rPr>
                <w:rFonts w:ascii="Garamond" w:eastAsia="Times New Roman" w:hAnsi="Garamond" w:cs="Times New Roman"/>
                <w:color w:val="000000"/>
                <w:sz w:val="10"/>
                <w:szCs w:val="10"/>
              </w:rPr>
              <w:t xml:space="preserve"> tremujor të çmimeve të kafshëve për mbarështim,</w:t>
            </w:r>
            <w:r w:rsidR="00F541D0" w:rsidRPr="00B31292">
              <w:rPr>
                <w:rFonts w:ascii="Garamond" w:eastAsia="Times New Roman" w:hAnsi="Garamond" w:cs="Times New Roman"/>
                <w:color w:val="000000"/>
                <w:sz w:val="10"/>
                <w:szCs w:val="10"/>
              </w:rPr>
              <w:t xml:space="preserve"> llogaritë</w:t>
            </w:r>
            <w:r w:rsidRPr="00B31292">
              <w:rPr>
                <w:rFonts w:ascii="Garamond" w:eastAsia="Times New Roman" w:hAnsi="Garamond" w:cs="Times New Roman"/>
                <w:color w:val="000000"/>
                <w:sz w:val="10"/>
                <w:szCs w:val="10"/>
              </w:rPr>
              <w:t xml:space="preserve"> ekonomike në Bujqësi -|- 5</w:t>
            </w:r>
            <w:r w:rsidRPr="00B31292">
              <w:rPr>
                <w:rFonts w:ascii="Garamond" w:eastAsia="Times New Roman" w:hAnsi="Garamond" w:cs="Times New Roman"/>
                <w:color w:val="000000"/>
                <w:sz w:val="10"/>
                <w:szCs w:val="10"/>
              </w:rPr>
              <w:br/>
              <w:t>2. Gabime të bëra nga stafi ekspert gjatë përpunimit dhe nxjerrjes së rezultateve duke sjellë ndikim n</w:t>
            </w:r>
            <w:r w:rsidR="00CD213A" w:rsidRPr="00B31292">
              <w:rPr>
                <w:rFonts w:ascii="Garamond" w:eastAsia="Times New Roman" w:hAnsi="Garamond" w:cs="Times New Roman"/>
                <w:color w:val="000000"/>
                <w:sz w:val="10"/>
                <w:szCs w:val="10"/>
              </w:rPr>
              <w:t xml:space="preserve">ë </w:t>
            </w:r>
            <w:r w:rsidRPr="00B31292">
              <w:rPr>
                <w:rFonts w:ascii="Garamond" w:eastAsia="Times New Roman" w:hAnsi="Garamond" w:cs="Times New Roman"/>
                <w:color w:val="000000"/>
                <w:sz w:val="10"/>
                <w:szCs w:val="10"/>
              </w:rPr>
              <w:t>cilësinë e produktit statistikor -|- 5</w:t>
            </w:r>
            <w:r w:rsidRPr="00B31292">
              <w:rPr>
                <w:rFonts w:ascii="Garamond" w:eastAsia="Times New Roman" w:hAnsi="Garamond" w:cs="Times New Roman"/>
                <w:color w:val="000000"/>
                <w:sz w:val="10"/>
                <w:szCs w:val="10"/>
              </w:rPr>
              <w:br/>
            </w:r>
            <w:r w:rsidRPr="00B31292">
              <w:rPr>
                <w:rFonts w:ascii="Garamond" w:eastAsia="Times New Roman" w:hAnsi="Garamond" w:cs="Times New Roman"/>
                <w:color w:val="000000"/>
                <w:sz w:val="10"/>
                <w:szCs w:val="10"/>
              </w:rPr>
              <w:lastRenderedPageBreak/>
              <w:t>3. Mungesa e kapaciteteve të përdorimit të programeve kompjuterike statistikore (SPSS, EXCEL, R etj</w:t>
            </w:r>
            <w:r w:rsidR="0012403A"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0012403A" w:rsidRPr="00B31292">
              <w:rPr>
                <w:rFonts w:ascii="Garamond" w:eastAsia="Times New Roman" w:hAnsi="Garamond" w:cs="Times New Roman"/>
                <w:color w:val="000000"/>
                <w:sz w:val="10"/>
                <w:szCs w:val="10"/>
              </w:rPr>
              <w:t>për</w:t>
            </w:r>
            <w:r w:rsidRPr="00B31292">
              <w:rPr>
                <w:rFonts w:ascii="Garamond" w:eastAsia="Times New Roman" w:hAnsi="Garamond" w:cs="Times New Roman"/>
                <w:color w:val="000000"/>
                <w:sz w:val="10"/>
                <w:szCs w:val="10"/>
              </w:rPr>
              <w:t xml:space="preserve"> m</w:t>
            </w:r>
            <w:r w:rsidR="0012403A" w:rsidRPr="00B31292">
              <w:rPr>
                <w:rFonts w:ascii="Garamond" w:eastAsia="Times New Roman" w:hAnsi="Garamond" w:cs="Times New Roman"/>
                <w:color w:val="000000"/>
                <w:sz w:val="10"/>
                <w:szCs w:val="10"/>
              </w:rPr>
              <w:t>e</w:t>
            </w:r>
            <w:r w:rsidRPr="00B31292">
              <w:rPr>
                <w:rFonts w:ascii="Garamond" w:eastAsia="Times New Roman" w:hAnsi="Garamond" w:cs="Times New Roman"/>
                <w:color w:val="000000"/>
                <w:sz w:val="10"/>
                <w:szCs w:val="10"/>
              </w:rPr>
              <w:t>naxhimin e të dhënave dhe prodhimin e rezultateve nga stafi i sektorit, çka sjell mangësi në përdorimin e regjistrave statistikor për prodhimin e treguesve -|- 5</w:t>
            </w:r>
            <w:r w:rsidRPr="00B31292">
              <w:rPr>
                <w:rFonts w:ascii="Garamond" w:eastAsia="Times New Roman" w:hAnsi="Garamond" w:cs="Times New Roman"/>
                <w:color w:val="000000"/>
                <w:sz w:val="10"/>
                <w:szCs w:val="10"/>
              </w:rPr>
              <w:br/>
              <w:t>4. Mungesa e trajnimeve të stafit të sektorit në fushat relevante, çka sjell një ambient pune jo motivues dhe rënie të kapaciteteve të stafit -|- 5</w:t>
            </w:r>
            <w:r w:rsidRPr="00B31292">
              <w:rPr>
                <w:rFonts w:ascii="Garamond" w:eastAsia="Times New Roman" w:hAnsi="Garamond" w:cs="Times New Roman"/>
                <w:color w:val="000000"/>
                <w:sz w:val="10"/>
                <w:szCs w:val="10"/>
              </w:rPr>
              <w:br/>
              <w:t>5. Mungesa memorandumeve të bashkëpunimit me institucionet furnizues me të dhëna, çka sjell vonesa dhe mangësi në prodhimin statistikor -|- 5</w:t>
            </w:r>
            <w:r w:rsidRPr="00B31292">
              <w:rPr>
                <w:rFonts w:ascii="Garamond" w:eastAsia="Times New Roman" w:hAnsi="Garamond" w:cs="Times New Roman"/>
                <w:color w:val="000000"/>
                <w:sz w:val="10"/>
                <w:szCs w:val="10"/>
              </w:rPr>
              <w:br/>
              <w:t>6. Mosrealizimi i publikimeve të reja që janë produkt i projekteve IPA, si rezultat i efektit të pandemisë, çka sjell dobësimin e rolit të INSTAT</w:t>
            </w:r>
            <w:r w:rsidR="00106FB4" w:rsidRPr="00B31292">
              <w:rPr>
                <w:rFonts w:ascii="Garamond" w:eastAsia="Times New Roman" w:hAnsi="Garamond" w:cs="Times New Roman"/>
                <w:color w:val="000000"/>
                <w:sz w:val="10"/>
                <w:szCs w:val="10"/>
              </w:rPr>
              <w:t>-it</w:t>
            </w:r>
            <w:r w:rsidRPr="00B31292">
              <w:rPr>
                <w:rFonts w:ascii="Garamond" w:eastAsia="Times New Roman" w:hAnsi="Garamond" w:cs="Times New Roman"/>
                <w:color w:val="000000"/>
                <w:sz w:val="10"/>
                <w:szCs w:val="10"/>
              </w:rPr>
              <w:t xml:space="preserve"> -|- 5</w:t>
            </w:r>
          </w:p>
        </w:tc>
        <w:tc>
          <w:tcPr>
            <w:tcW w:w="273" w:type="pct"/>
            <w:tcBorders>
              <w:top w:val="nil"/>
              <w:left w:val="nil"/>
              <w:bottom w:val="single" w:sz="4" w:space="0" w:color="auto"/>
              <w:right w:val="single" w:sz="4" w:space="0" w:color="auto"/>
            </w:tcBorders>
            <w:shd w:val="clear" w:color="000000" w:fill="FFFFFF"/>
            <w:vAlign w:val="center"/>
            <w:hideMark/>
          </w:tcPr>
          <w:p w14:paraId="05EE63B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lastRenderedPageBreak/>
              <w:t>Buxhet shteti</w:t>
            </w:r>
          </w:p>
        </w:tc>
      </w:tr>
      <w:tr w:rsidR="000A2254" w:rsidRPr="00B31292" w14:paraId="6F05C094" w14:textId="77777777" w:rsidTr="000A2254">
        <w:trPr>
          <w:trHeight w:val="20"/>
        </w:trPr>
        <w:tc>
          <w:tcPr>
            <w:tcW w:w="215" w:type="pct"/>
            <w:tcBorders>
              <w:top w:val="nil"/>
              <w:left w:val="nil"/>
              <w:bottom w:val="nil"/>
              <w:right w:val="nil"/>
            </w:tcBorders>
            <w:shd w:val="clear" w:color="000000" w:fill="FFFFFF"/>
            <w:vAlign w:val="bottom"/>
            <w:hideMark/>
          </w:tcPr>
          <w:p w14:paraId="509E82E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6C105DA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4AE7024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1B4E3ED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single" w:sz="4" w:space="0" w:color="000000"/>
              <w:left w:val="single" w:sz="4" w:space="0" w:color="000000"/>
              <w:bottom w:val="single" w:sz="4" w:space="0" w:color="000000"/>
              <w:right w:val="nil"/>
            </w:tcBorders>
            <w:shd w:val="clear" w:color="000000" w:fill="F0F0F0"/>
            <w:vAlign w:val="center"/>
            <w:hideMark/>
          </w:tcPr>
          <w:p w14:paraId="23CEC0E3"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3.1.3</w:t>
            </w:r>
          </w:p>
        </w:tc>
        <w:tc>
          <w:tcPr>
            <w:tcW w:w="4082" w:type="pct"/>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4DCA901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Statistikat e peshkimit</w:t>
            </w:r>
          </w:p>
        </w:tc>
      </w:tr>
      <w:tr w:rsidR="000A2254" w:rsidRPr="00B31292" w14:paraId="158DA8FD" w14:textId="77777777" w:rsidTr="000A2254">
        <w:trPr>
          <w:trHeight w:val="20"/>
        </w:trPr>
        <w:tc>
          <w:tcPr>
            <w:tcW w:w="215" w:type="pct"/>
            <w:tcBorders>
              <w:top w:val="nil"/>
              <w:left w:val="nil"/>
              <w:bottom w:val="nil"/>
              <w:right w:val="nil"/>
            </w:tcBorders>
            <w:shd w:val="clear" w:color="000000" w:fill="FFFFFF"/>
            <w:vAlign w:val="bottom"/>
            <w:hideMark/>
          </w:tcPr>
          <w:p w14:paraId="4AB9D6E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5675BCA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7DD3F62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47968CE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75A790C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386A9BA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000000"/>
              <w:bottom w:val="single" w:sz="4" w:space="0" w:color="000000"/>
              <w:right w:val="single" w:sz="4" w:space="0" w:color="000000"/>
            </w:tcBorders>
            <w:shd w:val="clear" w:color="auto" w:fill="auto"/>
            <w:vAlign w:val="center"/>
            <w:hideMark/>
          </w:tcPr>
          <w:p w14:paraId="6CE242B0"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3.1.3.1</w:t>
            </w:r>
          </w:p>
        </w:tc>
        <w:tc>
          <w:tcPr>
            <w:tcW w:w="281" w:type="pct"/>
            <w:tcBorders>
              <w:top w:val="nil"/>
              <w:left w:val="nil"/>
              <w:bottom w:val="single" w:sz="4" w:space="0" w:color="000000"/>
              <w:right w:val="single" w:sz="4" w:space="0" w:color="000000"/>
            </w:tcBorders>
            <w:shd w:val="clear" w:color="auto" w:fill="auto"/>
            <w:vAlign w:val="center"/>
            <w:hideMark/>
          </w:tcPr>
          <w:p w14:paraId="3F253ECB"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xml:space="preserve">Statistikat e peshkimit </w:t>
            </w:r>
          </w:p>
        </w:tc>
        <w:tc>
          <w:tcPr>
            <w:tcW w:w="236" w:type="pct"/>
            <w:tcBorders>
              <w:top w:val="nil"/>
              <w:left w:val="nil"/>
              <w:bottom w:val="single" w:sz="4" w:space="0" w:color="000000"/>
              <w:right w:val="single" w:sz="4" w:space="0" w:color="000000"/>
            </w:tcBorders>
            <w:shd w:val="clear" w:color="auto" w:fill="auto"/>
            <w:vAlign w:val="center"/>
            <w:hideMark/>
          </w:tcPr>
          <w:p w14:paraId="12E6B81B"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Burim administrativ</w:t>
            </w:r>
          </w:p>
        </w:tc>
        <w:tc>
          <w:tcPr>
            <w:tcW w:w="238" w:type="pct"/>
            <w:tcBorders>
              <w:top w:val="nil"/>
              <w:left w:val="nil"/>
              <w:bottom w:val="single" w:sz="4" w:space="0" w:color="auto"/>
              <w:right w:val="single" w:sz="4" w:space="0" w:color="auto"/>
            </w:tcBorders>
            <w:shd w:val="clear" w:color="auto" w:fill="auto"/>
            <w:noWrap/>
            <w:vAlign w:val="center"/>
            <w:hideMark/>
          </w:tcPr>
          <w:p w14:paraId="3831ACCA"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180" w:type="pct"/>
            <w:tcBorders>
              <w:top w:val="nil"/>
              <w:left w:val="nil"/>
              <w:bottom w:val="single" w:sz="4" w:space="0" w:color="auto"/>
              <w:right w:val="single" w:sz="4" w:space="0" w:color="auto"/>
            </w:tcBorders>
            <w:shd w:val="clear" w:color="auto" w:fill="auto"/>
            <w:noWrap/>
            <w:vAlign w:val="center"/>
            <w:hideMark/>
          </w:tcPr>
          <w:p w14:paraId="64BE9813"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28" w:type="pct"/>
            <w:tcBorders>
              <w:top w:val="nil"/>
              <w:left w:val="nil"/>
              <w:bottom w:val="single" w:sz="4" w:space="0" w:color="auto"/>
              <w:right w:val="single" w:sz="4" w:space="0" w:color="auto"/>
            </w:tcBorders>
            <w:shd w:val="clear" w:color="auto" w:fill="auto"/>
            <w:vAlign w:val="center"/>
            <w:hideMark/>
          </w:tcPr>
          <w:p w14:paraId="7EDCF0C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tcBorders>
              <w:top w:val="nil"/>
              <w:left w:val="nil"/>
              <w:bottom w:val="single" w:sz="4" w:space="0" w:color="000000"/>
              <w:right w:val="nil"/>
            </w:tcBorders>
            <w:shd w:val="clear" w:color="auto" w:fill="auto"/>
            <w:vAlign w:val="center"/>
            <w:hideMark/>
          </w:tcPr>
          <w:p w14:paraId="7D0F2237"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Vjetor</w:t>
            </w:r>
          </w:p>
        </w:tc>
        <w:tc>
          <w:tcPr>
            <w:tcW w:w="486" w:type="pct"/>
            <w:tcBorders>
              <w:top w:val="nil"/>
              <w:left w:val="single" w:sz="4" w:space="0" w:color="auto"/>
              <w:bottom w:val="single" w:sz="4" w:space="0" w:color="auto"/>
              <w:right w:val="single" w:sz="4" w:space="0" w:color="auto"/>
            </w:tcBorders>
            <w:shd w:val="clear" w:color="auto" w:fill="auto"/>
            <w:vAlign w:val="center"/>
            <w:hideMark/>
          </w:tcPr>
          <w:p w14:paraId="48A0A346" w14:textId="2F1C7EF5"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1. </w:t>
            </w:r>
            <w:r w:rsidR="00F541D0" w:rsidRPr="00B31292">
              <w:rPr>
                <w:rFonts w:ascii="Garamond" w:eastAsia="Times New Roman" w:hAnsi="Garamond" w:cs="Times New Roman"/>
                <w:color w:val="000000"/>
                <w:sz w:val="10"/>
                <w:szCs w:val="10"/>
              </w:rPr>
              <w:t>Statistikat</w:t>
            </w:r>
            <w:r w:rsidRPr="00B31292">
              <w:rPr>
                <w:rFonts w:ascii="Garamond" w:eastAsia="Times New Roman" w:hAnsi="Garamond" w:cs="Times New Roman"/>
                <w:color w:val="000000"/>
                <w:sz w:val="10"/>
                <w:szCs w:val="10"/>
              </w:rPr>
              <w:t xml:space="preserve"> e </w:t>
            </w:r>
            <w:r w:rsidR="00F541D0" w:rsidRPr="00B31292">
              <w:rPr>
                <w:rFonts w:ascii="Garamond" w:eastAsia="Times New Roman" w:hAnsi="Garamond" w:cs="Times New Roman"/>
                <w:color w:val="000000"/>
                <w:sz w:val="10"/>
                <w:szCs w:val="10"/>
              </w:rPr>
              <w:t>zënies</w:t>
            </w:r>
            <w:r w:rsidRPr="00B31292">
              <w:rPr>
                <w:rFonts w:ascii="Garamond" w:eastAsia="Times New Roman" w:hAnsi="Garamond" w:cs="Times New Roman"/>
                <w:color w:val="000000"/>
                <w:sz w:val="10"/>
                <w:szCs w:val="10"/>
              </w:rPr>
              <w:t xml:space="preserve"> s</w:t>
            </w:r>
            <w:r w:rsidR="00F541D0"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peshkut sipas kategorive ujore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2. </w:t>
            </w:r>
            <w:r w:rsidR="00F541D0" w:rsidRPr="00B31292">
              <w:rPr>
                <w:rFonts w:ascii="Garamond" w:eastAsia="Times New Roman" w:hAnsi="Garamond" w:cs="Times New Roman"/>
                <w:color w:val="000000"/>
                <w:sz w:val="10"/>
                <w:szCs w:val="10"/>
              </w:rPr>
              <w:t>Statistikat</w:t>
            </w:r>
            <w:r w:rsidRPr="00B31292">
              <w:rPr>
                <w:rFonts w:ascii="Garamond" w:eastAsia="Times New Roman" w:hAnsi="Garamond" w:cs="Times New Roman"/>
                <w:color w:val="000000"/>
                <w:sz w:val="10"/>
                <w:szCs w:val="10"/>
              </w:rPr>
              <w:t xml:space="preserve"> e peshkimit sipas porteve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 Flota Detare sipas llojit t</w:t>
            </w:r>
            <w:r w:rsidR="00F541D0"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anijes</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4. Flota Detare sipas porteve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5. </w:t>
            </w:r>
            <w:r w:rsidR="00864BC6" w:rsidRPr="00B31292">
              <w:rPr>
                <w:rFonts w:ascii="Garamond" w:eastAsia="Times New Roman" w:hAnsi="Garamond" w:cs="Times New Roman"/>
                <w:color w:val="000000"/>
                <w:sz w:val="10"/>
                <w:szCs w:val="10"/>
              </w:rPr>
              <w:t>Zëniet</w:t>
            </w:r>
            <w:r w:rsidRPr="00B31292">
              <w:rPr>
                <w:rFonts w:ascii="Garamond" w:eastAsia="Times New Roman" w:hAnsi="Garamond" w:cs="Times New Roman"/>
                <w:color w:val="000000"/>
                <w:sz w:val="10"/>
                <w:szCs w:val="10"/>
              </w:rPr>
              <w:t xml:space="preserve"> sipas specieve n</w:t>
            </w:r>
            <w:r w:rsidR="00864BC6"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w:t>
            </w:r>
            <w:r w:rsidR="00864BC6" w:rsidRPr="00B31292">
              <w:rPr>
                <w:rFonts w:ascii="Garamond" w:eastAsia="Times New Roman" w:hAnsi="Garamond" w:cs="Times New Roman"/>
                <w:color w:val="000000"/>
                <w:sz w:val="10"/>
                <w:szCs w:val="10"/>
              </w:rPr>
              <w:t>kategorinë</w:t>
            </w:r>
            <w:r w:rsidRPr="00B31292">
              <w:rPr>
                <w:rFonts w:ascii="Garamond" w:eastAsia="Times New Roman" w:hAnsi="Garamond" w:cs="Times New Roman"/>
                <w:color w:val="000000"/>
                <w:sz w:val="10"/>
                <w:szCs w:val="10"/>
              </w:rPr>
              <w:t xml:space="preserve"> </w:t>
            </w:r>
            <w:r w:rsidR="00864BC6" w:rsidRPr="00B31292">
              <w:rPr>
                <w:rFonts w:ascii="Garamond" w:eastAsia="Times New Roman" w:hAnsi="Garamond" w:cs="Times New Roman"/>
                <w:color w:val="000000"/>
                <w:sz w:val="10"/>
                <w:szCs w:val="10"/>
              </w:rPr>
              <w:t>e ujërave</w:t>
            </w:r>
            <w:r w:rsidRPr="00B31292">
              <w:rPr>
                <w:rFonts w:ascii="Garamond" w:eastAsia="Times New Roman" w:hAnsi="Garamond" w:cs="Times New Roman"/>
                <w:color w:val="000000"/>
                <w:sz w:val="10"/>
                <w:szCs w:val="10"/>
              </w:rPr>
              <w:t xml:space="preserve"> </w:t>
            </w:r>
            <w:r w:rsidR="00864BC6" w:rsidRPr="00B31292">
              <w:rPr>
                <w:rFonts w:ascii="Garamond" w:eastAsia="Times New Roman" w:hAnsi="Garamond" w:cs="Times New Roman"/>
                <w:color w:val="000000"/>
                <w:sz w:val="10"/>
                <w:szCs w:val="10"/>
              </w:rPr>
              <w:t>të</w:t>
            </w:r>
            <w:r w:rsidRPr="00B31292">
              <w:rPr>
                <w:rFonts w:ascii="Garamond" w:eastAsia="Times New Roman" w:hAnsi="Garamond" w:cs="Times New Roman"/>
                <w:color w:val="000000"/>
                <w:sz w:val="10"/>
                <w:szCs w:val="10"/>
              </w:rPr>
              <w:t xml:space="preserve"> brendshme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6. </w:t>
            </w:r>
            <w:r w:rsidR="00864BC6" w:rsidRPr="00B31292">
              <w:rPr>
                <w:rFonts w:ascii="Garamond" w:eastAsia="Times New Roman" w:hAnsi="Garamond" w:cs="Times New Roman"/>
                <w:color w:val="000000"/>
                <w:sz w:val="10"/>
                <w:szCs w:val="10"/>
              </w:rPr>
              <w:t>Zëniet</w:t>
            </w:r>
            <w:r w:rsidRPr="00B31292">
              <w:rPr>
                <w:rFonts w:ascii="Garamond" w:eastAsia="Times New Roman" w:hAnsi="Garamond" w:cs="Times New Roman"/>
                <w:color w:val="000000"/>
                <w:sz w:val="10"/>
                <w:szCs w:val="10"/>
              </w:rPr>
              <w:t xml:space="preserve"> sipas specieve n</w:t>
            </w:r>
            <w:r w:rsidR="00F541D0"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w:t>
            </w:r>
            <w:r w:rsidR="00864BC6" w:rsidRPr="00B31292">
              <w:rPr>
                <w:rFonts w:ascii="Garamond" w:eastAsia="Times New Roman" w:hAnsi="Garamond" w:cs="Times New Roman"/>
                <w:color w:val="000000"/>
                <w:sz w:val="10"/>
                <w:szCs w:val="10"/>
              </w:rPr>
              <w:t>kategoritë</w:t>
            </w:r>
            <w:r w:rsidRPr="00B31292">
              <w:rPr>
                <w:rFonts w:ascii="Garamond" w:eastAsia="Times New Roman" w:hAnsi="Garamond" w:cs="Times New Roman"/>
                <w:color w:val="000000"/>
                <w:sz w:val="10"/>
                <w:szCs w:val="10"/>
              </w:rPr>
              <w:t xml:space="preserve"> detare, bregdetare dhe laguna</w:t>
            </w:r>
            <w:r w:rsidR="00E1320B" w:rsidRPr="00B31292">
              <w:rPr>
                <w:rFonts w:ascii="Garamond" w:eastAsia="Times New Roman" w:hAnsi="Garamond" w:cs="Times New Roman"/>
                <w:color w:val="000000"/>
                <w:sz w:val="10"/>
                <w:szCs w:val="10"/>
              </w:rPr>
              <w:t>.</w:t>
            </w:r>
          </w:p>
        </w:tc>
        <w:tc>
          <w:tcPr>
            <w:tcW w:w="299" w:type="pct"/>
            <w:tcBorders>
              <w:top w:val="nil"/>
              <w:left w:val="nil"/>
              <w:bottom w:val="single" w:sz="4" w:space="0" w:color="auto"/>
              <w:right w:val="single" w:sz="4" w:space="0" w:color="auto"/>
            </w:tcBorders>
            <w:shd w:val="clear" w:color="auto" w:fill="auto"/>
            <w:vAlign w:val="center"/>
            <w:hideMark/>
          </w:tcPr>
          <w:p w14:paraId="55A481A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Ministria e Bujqësisë dhe Zhvillimit Rural</w:t>
            </w:r>
          </w:p>
        </w:tc>
        <w:tc>
          <w:tcPr>
            <w:tcW w:w="224" w:type="pct"/>
            <w:tcBorders>
              <w:top w:val="nil"/>
              <w:left w:val="nil"/>
              <w:bottom w:val="single" w:sz="4" w:space="0" w:color="auto"/>
              <w:right w:val="single" w:sz="4" w:space="0" w:color="auto"/>
            </w:tcBorders>
            <w:shd w:val="clear" w:color="auto" w:fill="auto"/>
            <w:vAlign w:val="center"/>
            <w:hideMark/>
          </w:tcPr>
          <w:p w14:paraId="230FD478" w14:textId="609746C4"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E1320B" w:rsidRPr="00B31292">
              <w:rPr>
                <w:rFonts w:ascii="Garamond" w:eastAsia="Times New Roman" w:hAnsi="Garamond" w:cs="Times New Roman"/>
                <w:color w:val="000000"/>
                <w:sz w:val="10"/>
                <w:szCs w:val="10"/>
              </w:rPr>
              <w:t>-i</w:t>
            </w:r>
          </w:p>
        </w:tc>
        <w:tc>
          <w:tcPr>
            <w:tcW w:w="244" w:type="pct"/>
            <w:tcBorders>
              <w:top w:val="nil"/>
              <w:left w:val="nil"/>
              <w:bottom w:val="single" w:sz="4" w:space="0" w:color="auto"/>
              <w:right w:val="single" w:sz="4" w:space="0" w:color="auto"/>
            </w:tcBorders>
            <w:shd w:val="clear" w:color="000000" w:fill="FFFFFF"/>
            <w:vAlign w:val="center"/>
            <w:hideMark/>
          </w:tcPr>
          <w:p w14:paraId="3156B46B"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+ 97D</w:t>
            </w:r>
          </w:p>
        </w:tc>
        <w:tc>
          <w:tcPr>
            <w:tcW w:w="220" w:type="pct"/>
            <w:tcBorders>
              <w:top w:val="nil"/>
              <w:left w:val="nil"/>
              <w:bottom w:val="single" w:sz="4" w:space="0" w:color="auto"/>
              <w:right w:val="single" w:sz="4" w:space="0" w:color="auto"/>
            </w:tcBorders>
            <w:shd w:val="clear" w:color="000000" w:fill="FFFFFF"/>
            <w:vAlign w:val="center"/>
            <w:hideMark/>
          </w:tcPr>
          <w:p w14:paraId="665448E2"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+ 167D</w:t>
            </w:r>
          </w:p>
        </w:tc>
        <w:tc>
          <w:tcPr>
            <w:tcW w:w="220" w:type="pct"/>
            <w:tcBorders>
              <w:top w:val="nil"/>
              <w:left w:val="nil"/>
              <w:bottom w:val="single" w:sz="4" w:space="0" w:color="auto"/>
              <w:right w:val="single" w:sz="4" w:space="0" w:color="auto"/>
            </w:tcBorders>
            <w:shd w:val="clear" w:color="000000" w:fill="FFFFFF"/>
            <w:vAlign w:val="center"/>
            <w:hideMark/>
          </w:tcPr>
          <w:p w14:paraId="4A7CE20A"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+ 174D</w:t>
            </w:r>
          </w:p>
        </w:tc>
        <w:tc>
          <w:tcPr>
            <w:tcW w:w="346" w:type="pct"/>
            <w:tcBorders>
              <w:top w:val="nil"/>
              <w:left w:val="nil"/>
              <w:bottom w:val="single" w:sz="4" w:space="0" w:color="auto"/>
              <w:right w:val="single" w:sz="4" w:space="0" w:color="auto"/>
            </w:tcBorders>
            <w:shd w:val="clear" w:color="auto" w:fill="auto"/>
            <w:vAlign w:val="center"/>
            <w:hideMark/>
          </w:tcPr>
          <w:p w14:paraId="33F86E9A" w14:textId="629B7CC9"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Vonesa në procesin e grumbullimit të të dhënave nga burimet administrative lidhur me: Statistikat e peshkimit dhe akuakultur</w:t>
            </w:r>
            <w:r w:rsidR="00AB06F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s -|- 4</w:t>
            </w:r>
            <w:r w:rsidRPr="00B31292">
              <w:rPr>
                <w:rFonts w:ascii="Garamond" w:eastAsia="Times New Roman" w:hAnsi="Garamond" w:cs="Times New Roman"/>
                <w:color w:val="000000"/>
                <w:sz w:val="10"/>
                <w:szCs w:val="10"/>
              </w:rPr>
              <w:br/>
              <w:t>2. Mospërmbushja e</w:t>
            </w:r>
            <w:r w:rsidR="003E16E0" w:rsidRPr="00B31292">
              <w:rPr>
                <w:rFonts w:ascii="Garamond" w:eastAsia="Times New Roman" w:hAnsi="Garamond" w:cs="Times New Roman"/>
                <w:color w:val="000000"/>
                <w:sz w:val="10"/>
                <w:szCs w:val="10"/>
              </w:rPr>
              <w:t xml:space="preserve"> </w:t>
            </w:r>
            <w:r w:rsidR="00F667B8" w:rsidRPr="00B31292">
              <w:rPr>
                <w:rFonts w:ascii="Garamond" w:eastAsia="Times New Roman" w:hAnsi="Garamond" w:cs="Times New Roman"/>
                <w:color w:val="000000"/>
                <w:sz w:val="10"/>
                <w:szCs w:val="10"/>
              </w:rPr>
              <w:t>kritereve të cilësisë, si:</w:t>
            </w:r>
            <w:r w:rsidRPr="00B31292">
              <w:rPr>
                <w:rFonts w:ascii="Garamond" w:eastAsia="Times New Roman" w:hAnsi="Garamond" w:cs="Times New Roman"/>
                <w:color w:val="000000"/>
                <w:sz w:val="10"/>
                <w:szCs w:val="10"/>
              </w:rPr>
              <w:t xml:space="preserve"> saktësia, përpikmëria dhe krahasueshmëria, për të dhënat administrative lidhur me: Statistikat e peshkimit dhe akuakultur</w:t>
            </w:r>
            <w:r w:rsidR="00AB06F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s -|- 4</w:t>
            </w:r>
            <w:r w:rsidRPr="00B31292">
              <w:rPr>
                <w:rFonts w:ascii="Garamond" w:eastAsia="Times New Roman" w:hAnsi="Garamond" w:cs="Times New Roman"/>
                <w:color w:val="000000"/>
                <w:sz w:val="10"/>
                <w:szCs w:val="10"/>
              </w:rPr>
              <w:br/>
              <w:t>3. Risk i jashtëm për keqinterpretim të statistikave zyrtare të publikuara -|- 4</w:t>
            </w:r>
            <w:r w:rsidRPr="00B31292">
              <w:rPr>
                <w:rFonts w:ascii="Garamond" w:eastAsia="Times New Roman" w:hAnsi="Garamond" w:cs="Times New Roman"/>
                <w:color w:val="000000"/>
                <w:sz w:val="10"/>
                <w:szCs w:val="10"/>
              </w:rPr>
              <w:br/>
              <w:t xml:space="preserve">Risk i mos realizimit të aktiviteteve statistikore detyrim i burimit administrativ lidhur </w:t>
            </w:r>
            <w:r w:rsidRPr="00B31292">
              <w:rPr>
                <w:rFonts w:ascii="Garamond" w:eastAsia="Times New Roman" w:hAnsi="Garamond" w:cs="Times New Roman"/>
                <w:color w:val="000000"/>
                <w:sz w:val="10"/>
                <w:szCs w:val="10"/>
              </w:rPr>
              <w:lastRenderedPageBreak/>
              <w:t>me: Mbledhjen dhe përpunimin e të dhënave administrative për peshkimin dhe akuakulturën -|- 4</w:t>
            </w:r>
            <w:r w:rsidRPr="00B31292">
              <w:rPr>
                <w:rFonts w:ascii="Garamond" w:eastAsia="Times New Roman" w:hAnsi="Garamond" w:cs="Times New Roman"/>
                <w:color w:val="000000"/>
                <w:sz w:val="10"/>
                <w:szCs w:val="10"/>
              </w:rPr>
              <w:br/>
              <w:t>4. Gabime të bëra nga stafi ekspert gjatë përpunimit të të dhënave. -|- 4</w:t>
            </w:r>
            <w:r w:rsidRPr="00B31292">
              <w:rPr>
                <w:rFonts w:ascii="Garamond" w:eastAsia="Times New Roman" w:hAnsi="Garamond" w:cs="Times New Roman"/>
                <w:color w:val="000000"/>
                <w:sz w:val="10"/>
                <w:szCs w:val="10"/>
              </w:rPr>
              <w:br/>
              <w:t xml:space="preserve">Risk i brendshëm nga lëvizja e stafit të sektorit me eksperiencë në prodhimin e statistikave të blegtorisë dhe peshkimit, e cila sjell si pasojë ndërprerje/ngadalësim të </w:t>
            </w:r>
            <w:r w:rsidR="0012403A" w:rsidRPr="00B31292">
              <w:rPr>
                <w:rFonts w:ascii="Garamond" w:eastAsia="Times New Roman" w:hAnsi="Garamond" w:cs="Times New Roman"/>
                <w:color w:val="000000"/>
                <w:sz w:val="10"/>
                <w:szCs w:val="10"/>
              </w:rPr>
              <w:t>proceseve</w:t>
            </w:r>
            <w:r w:rsidRPr="00B31292">
              <w:rPr>
                <w:rFonts w:ascii="Garamond" w:eastAsia="Times New Roman" w:hAnsi="Garamond" w:cs="Times New Roman"/>
                <w:color w:val="000000"/>
                <w:sz w:val="10"/>
                <w:szCs w:val="10"/>
              </w:rPr>
              <w:t xml:space="preserve"> të punës -|- 4</w:t>
            </w:r>
          </w:p>
        </w:tc>
        <w:tc>
          <w:tcPr>
            <w:tcW w:w="273" w:type="pct"/>
            <w:tcBorders>
              <w:top w:val="nil"/>
              <w:left w:val="nil"/>
              <w:bottom w:val="single" w:sz="4" w:space="0" w:color="auto"/>
              <w:right w:val="single" w:sz="4" w:space="0" w:color="auto"/>
            </w:tcBorders>
            <w:shd w:val="clear" w:color="auto" w:fill="auto"/>
            <w:vAlign w:val="center"/>
            <w:hideMark/>
          </w:tcPr>
          <w:p w14:paraId="5CB7E30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lastRenderedPageBreak/>
              <w:t>Buxhet shteti</w:t>
            </w:r>
          </w:p>
        </w:tc>
      </w:tr>
      <w:tr w:rsidR="000A2254" w:rsidRPr="00B31292" w14:paraId="00464E2D" w14:textId="77777777" w:rsidTr="000A2254">
        <w:trPr>
          <w:trHeight w:val="20"/>
        </w:trPr>
        <w:tc>
          <w:tcPr>
            <w:tcW w:w="215" w:type="pct"/>
            <w:tcBorders>
              <w:top w:val="nil"/>
              <w:left w:val="nil"/>
              <w:bottom w:val="nil"/>
              <w:right w:val="nil"/>
            </w:tcBorders>
            <w:shd w:val="clear" w:color="000000" w:fill="FFFFFF"/>
            <w:vAlign w:val="bottom"/>
            <w:hideMark/>
          </w:tcPr>
          <w:p w14:paraId="7698A7C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5969947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4272BB4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468694C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3405E91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61CCC31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000000"/>
              <w:bottom w:val="nil"/>
              <w:right w:val="single" w:sz="4" w:space="0" w:color="000000"/>
            </w:tcBorders>
            <w:shd w:val="clear" w:color="auto" w:fill="auto"/>
            <w:vAlign w:val="center"/>
            <w:hideMark/>
          </w:tcPr>
          <w:p w14:paraId="07645299"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3.1.3.2</w:t>
            </w:r>
          </w:p>
        </w:tc>
        <w:tc>
          <w:tcPr>
            <w:tcW w:w="281" w:type="pct"/>
            <w:tcBorders>
              <w:top w:val="nil"/>
              <w:left w:val="nil"/>
              <w:bottom w:val="nil"/>
              <w:right w:val="single" w:sz="4" w:space="0" w:color="000000"/>
            </w:tcBorders>
            <w:shd w:val="clear" w:color="auto" w:fill="auto"/>
            <w:vAlign w:val="center"/>
            <w:hideMark/>
          </w:tcPr>
          <w:p w14:paraId="2EC16EE1"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xml:space="preserve">Statistikat e peshkimit dhe akuakulturës </w:t>
            </w:r>
          </w:p>
        </w:tc>
        <w:tc>
          <w:tcPr>
            <w:tcW w:w="236" w:type="pct"/>
            <w:tcBorders>
              <w:top w:val="nil"/>
              <w:left w:val="nil"/>
              <w:bottom w:val="nil"/>
              <w:right w:val="single" w:sz="4" w:space="0" w:color="000000"/>
            </w:tcBorders>
            <w:shd w:val="clear" w:color="auto" w:fill="auto"/>
            <w:vAlign w:val="center"/>
            <w:hideMark/>
          </w:tcPr>
          <w:p w14:paraId="4DC78986"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Burim administrativ</w:t>
            </w:r>
          </w:p>
        </w:tc>
        <w:tc>
          <w:tcPr>
            <w:tcW w:w="238" w:type="pct"/>
            <w:tcBorders>
              <w:top w:val="nil"/>
              <w:left w:val="nil"/>
              <w:bottom w:val="single" w:sz="4" w:space="0" w:color="auto"/>
              <w:right w:val="single" w:sz="4" w:space="0" w:color="auto"/>
            </w:tcBorders>
            <w:shd w:val="clear" w:color="auto" w:fill="auto"/>
            <w:noWrap/>
            <w:vAlign w:val="center"/>
            <w:hideMark/>
          </w:tcPr>
          <w:p w14:paraId="7AF3C712"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180" w:type="pct"/>
            <w:tcBorders>
              <w:top w:val="nil"/>
              <w:left w:val="nil"/>
              <w:bottom w:val="single" w:sz="4" w:space="0" w:color="auto"/>
              <w:right w:val="single" w:sz="4" w:space="0" w:color="auto"/>
            </w:tcBorders>
            <w:shd w:val="clear" w:color="auto" w:fill="auto"/>
            <w:noWrap/>
            <w:vAlign w:val="center"/>
            <w:hideMark/>
          </w:tcPr>
          <w:p w14:paraId="7529053B"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28" w:type="pct"/>
            <w:tcBorders>
              <w:top w:val="nil"/>
              <w:left w:val="nil"/>
              <w:bottom w:val="single" w:sz="4" w:space="0" w:color="auto"/>
              <w:right w:val="single" w:sz="4" w:space="0" w:color="auto"/>
            </w:tcBorders>
            <w:shd w:val="clear" w:color="auto" w:fill="auto"/>
            <w:vAlign w:val="center"/>
            <w:hideMark/>
          </w:tcPr>
          <w:p w14:paraId="41BAA6D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tcBorders>
              <w:top w:val="nil"/>
              <w:left w:val="nil"/>
              <w:bottom w:val="nil"/>
              <w:right w:val="nil"/>
            </w:tcBorders>
            <w:shd w:val="clear" w:color="auto" w:fill="auto"/>
            <w:vAlign w:val="center"/>
            <w:hideMark/>
          </w:tcPr>
          <w:p w14:paraId="309F4A1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Tremujor</w:t>
            </w:r>
          </w:p>
        </w:tc>
        <w:tc>
          <w:tcPr>
            <w:tcW w:w="486" w:type="pct"/>
            <w:tcBorders>
              <w:top w:val="nil"/>
              <w:left w:val="single" w:sz="4" w:space="0" w:color="auto"/>
              <w:bottom w:val="nil"/>
              <w:right w:val="single" w:sz="4" w:space="0" w:color="auto"/>
            </w:tcBorders>
            <w:shd w:val="clear" w:color="auto" w:fill="auto"/>
            <w:vAlign w:val="center"/>
            <w:hideMark/>
          </w:tcPr>
          <w:p w14:paraId="69E93E59" w14:textId="6A717AAC"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Zënie peshku sipas kategorive ujore dhe specieve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2. </w:t>
            </w:r>
            <w:r w:rsidR="00864BC6" w:rsidRPr="00B31292">
              <w:rPr>
                <w:rFonts w:ascii="Garamond" w:eastAsia="Times New Roman" w:hAnsi="Garamond" w:cs="Times New Roman"/>
                <w:color w:val="000000"/>
                <w:sz w:val="10"/>
                <w:szCs w:val="10"/>
              </w:rPr>
              <w:t>Statistikat</w:t>
            </w:r>
            <w:r w:rsidRPr="00B31292">
              <w:rPr>
                <w:rFonts w:ascii="Garamond" w:eastAsia="Times New Roman" w:hAnsi="Garamond" w:cs="Times New Roman"/>
                <w:color w:val="000000"/>
                <w:sz w:val="10"/>
                <w:szCs w:val="10"/>
              </w:rPr>
              <w:t xml:space="preserve"> e akuakultur</w:t>
            </w:r>
            <w:r w:rsidR="00864BC6"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s</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 Llogarit</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ekonomike n</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peshkim</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4. Prodhimi i rasateve</w:t>
            </w:r>
            <w:r w:rsidR="00E1320B" w:rsidRPr="00B31292">
              <w:rPr>
                <w:rFonts w:ascii="Garamond" w:eastAsia="Times New Roman" w:hAnsi="Garamond" w:cs="Times New Roman"/>
                <w:color w:val="000000"/>
                <w:sz w:val="10"/>
                <w:szCs w:val="10"/>
              </w:rPr>
              <w:t>.</w:t>
            </w:r>
          </w:p>
        </w:tc>
        <w:tc>
          <w:tcPr>
            <w:tcW w:w="299" w:type="pct"/>
            <w:tcBorders>
              <w:top w:val="nil"/>
              <w:left w:val="nil"/>
              <w:bottom w:val="nil"/>
              <w:right w:val="single" w:sz="4" w:space="0" w:color="auto"/>
            </w:tcBorders>
            <w:shd w:val="clear" w:color="auto" w:fill="auto"/>
            <w:vAlign w:val="center"/>
            <w:hideMark/>
          </w:tcPr>
          <w:p w14:paraId="3409C3C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Ministria e Bujqësisë dhe Zhvillimit Rural</w:t>
            </w:r>
          </w:p>
        </w:tc>
        <w:tc>
          <w:tcPr>
            <w:tcW w:w="224" w:type="pct"/>
            <w:tcBorders>
              <w:top w:val="nil"/>
              <w:left w:val="nil"/>
              <w:bottom w:val="nil"/>
              <w:right w:val="single" w:sz="4" w:space="0" w:color="auto"/>
            </w:tcBorders>
            <w:shd w:val="clear" w:color="auto" w:fill="auto"/>
            <w:vAlign w:val="center"/>
            <w:hideMark/>
          </w:tcPr>
          <w:p w14:paraId="75A9B01E" w14:textId="16B28D4E"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E1320B" w:rsidRPr="00B31292">
              <w:rPr>
                <w:rFonts w:ascii="Garamond" w:eastAsia="Times New Roman" w:hAnsi="Garamond" w:cs="Times New Roman"/>
                <w:color w:val="000000"/>
                <w:sz w:val="10"/>
                <w:szCs w:val="10"/>
              </w:rPr>
              <w:t>-i</w:t>
            </w:r>
          </w:p>
        </w:tc>
        <w:tc>
          <w:tcPr>
            <w:tcW w:w="244" w:type="pct"/>
            <w:tcBorders>
              <w:top w:val="nil"/>
              <w:left w:val="nil"/>
              <w:bottom w:val="nil"/>
              <w:right w:val="single" w:sz="4" w:space="0" w:color="auto"/>
            </w:tcBorders>
            <w:shd w:val="clear" w:color="000000" w:fill="FFFFFF"/>
            <w:vAlign w:val="center"/>
            <w:hideMark/>
          </w:tcPr>
          <w:p w14:paraId="09D65986"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T + 34D</w:t>
            </w:r>
          </w:p>
        </w:tc>
        <w:tc>
          <w:tcPr>
            <w:tcW w:w="220" w:type="pct"/>
            <w:tcBorders>
              <w:top w:val="nil"/>
              <w:left w:val="nil"/>
              <w:bottom w:val="nil"/>
              <w:right w:val="single" w:sz="4" w:space="0" w:color="auto"/>
            </w:tcBorders>
            <w:shd w:val="clear" w:color="000000" w:fill="FFFFFF"/>
            <w:vAlign w:val="center"/>
            <w:hideMark/>
          </w:tcPr>
          <w:p w14:paraId="7F352F6F"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T + 49D</w:t>
            </w:r>
          </w:p>
        </w:tc>
        <w:tc>
          <w:tcPr>
            <w:tcW w:w="220" w:type="pct"/>
            <w:tcBorders>
              <w:top w:val="nil"/>
              <w:left w:val="nil"/>
              <w:bottom w:val="nil"/>
              <w:right w:val="single" w:sz="4" w:space="0" w:color="auto"/>
            </w:tcBorders>
            <w:shd w:val="clear" w:color="000000" w:fill="FFFFFF"/>
            <w:vAlign w:val="center"/>
            <w:hideMark/>
          </w:tcPr>
          <w:p w14:paraId="3669B9A6"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T + 63D</w:t>
            </w:r>
          </w:p>
        </w:tc>
        <w:tc>
          <w:tcPr>
            <w:tcW w:w="346" w:type="pct"/>
            <w:tcBorders>
              <w:top w:val="nil"/>
              <w:left w:val="nil"/>
              <w:bottom w:val="nil"/>
              <w:right w:val="single" w:sz="4" w:space="0" w:color="auto"/>
            </w:tcBorders>
            <w:shd w:val="clear" w:color="auto" w:fill="auto"/>
            <w:vAlign w:val="center"/>
            <w:hideMark/>
          </w:tcPr>
          <w:p w14:paraId="1103E6C1" w14:textId="164B5150"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1. Vonesa në </w:t>
            </w:r>
            <w:r w:rsidR="00864BC6" w:rsidRPr="00B31292">
              <w:rPr>
                <w:rFonts w:ascii="Garamond" w:eastAsia="Times New Roman" w:hAnsi="Garamond" w:cs="Times New Roman"/>
                <w:color w:val="000000"/>
                <w:sz w:val="10"/>
                <w:szCs w:val="10"/>
              </w:rPr>
              <w:t>procesin</w:t>
            </w:r>
            <w:r w:rsidRPr="00B31292">
              <w:rPr>
                <w:rFonts w:ascii="Garamond" w:eastAsia="Times New Roman" w:hAnsi="Garamond" w:cs="Times New Roman"/>
                <w:color w:val="000000"/>
                <w:sz w:val="10"/>
                <w:szCs w:val="10"/>
              </w:rPr>
              <w:t xml:space="preserve"> e grumbullimit të të dhënave nga burimet administrative lidhur me: Statistikat e peshkimit dhe akuakultur</w:t>
            </w:r>
            <w:r w:rsidR="00AB06F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s -|- 4</w:t>
            </w:r>
            <w:r w:rsidRPr="00B31292">
              <w:rPr>
                <w:rFonts w:ascii="Garamond" w:eastAsia="Times New Roman" w:hAnsi="Garamond" w:cs="Times New Roman"/>
                <w:color w:val="000000"/>
                <w:sz w:val="10"/>
                <w:szCs w:val="10"/>
              </w:rPr>
              <w:br/>
              <w:t>2. Mospërmbushja e</w:t>
            </w:r>
            <w:r w:rsidR="003E16E0" w:rsidRPr="00B31292">
              <w:rPr>
                <w:rFonts w:ascii="Garamond" w:eastAsia="Times New Roman" w:hAnsi="Garamond" w:cs="Times New Roman"/>
                <w:color w:val="000000"/>
                <w:sz w:val="10"/>
                <w:szCs w:val="10"/>
              </w:rPr>
              <w:t xml:space="preserve"> </w:t>
            </w:r>
            <w:r w:rsidR="00F667B8" w:rsidRPr="00B31292">
              <w:rPr>
                <w:rFonts w:ascii="Garamond" w:eastAsia="Times New Roman" w:hAnsi="Garamond" w:cs="Times New Roman"/>
                <w:color w:val="000000"/>
                <w:sz w:val="10"/>
                <w:szCs w:val="10"/>
              </w:rPr>
              <w:t>kritereve të cilësisë, si:</w:t>
            </w:r>
            <w:r w:rsidRPr="00B31292">
              <w:rPr>
                <w:rFonts w:ascii="Garamond" w:eastAsia="Times New Roman" w:hAnsi="Garamond" w:cs="Times New Roman"/>
                <w:color w:val="000000"/>
                <w:sz w:val="10"/>
                <w:szCs w:val="10"/>
              </w:rPr>
              <w:t xml:space="preserve"> saktësia, përpikmëria dhe krahasueshmëria, për të dhënat administrative lidhur me: Statistikat e peshkimit dhe akuakultur</w:t>
            </w:r>
            <w:r w:rsidR="00864BC6"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s. -|- 4</w:t>
            </w:r>
            <w:r w:rsidRPr="00B31292">
              <w:rPr>
                <w:rFonts w:ascii="Garamond" w:eastAsia="Times New Roman" w:hAnsi="Garamond" w:cs="Times New Roman"/>
                <w:color w:val="000000"/>
                <w:sz w:val="10"/>
                <w:szCs w:val="10"/>
              </w:rPr>
              <w:br/>
              <w:t xml:space="preserve"> 3. Mosrealizimi i aktiviteteve statistikore që janë detyrim i burimit administrativ lidhur me: Mbledhjen dhe përpunimin e të dhënave administrative për peshkimin dhe akuakulturën. -|- 4</w:t>
            </w:r>
            <w:r w:rsidRPr="00B31292">
              <w:rPr>
                <w:rFonts w:ascii="Garamond" w:eastAsia="Times New Roman" w:hAnsi="Garamond" w:cs="Times New Roman"/>
                <w:color w:val="000000"/>
                <w:sz w:val="10"/>
                <w:szCs w:val="10"/>
              </w:rPr>
              <w:br/>
              <w:t>3. Mos realizimi në kohë dhe me cilësi i treguesve të Blegtorisë dhe Peshkimit. -|- 4</w:t>
            </w:r>
            <w:r w:rsidRPr="00B31292">
              <w:rPr>
                <w:rFonts w:ascii="Garamond" w:eastAsia="Times New Roman" w:hAnsi="Garamond" w:cs="Times New Roman"/>
                <w:color w:val="000000"/>
                <w:sz w:val="10"/>
                <w:szCs w:val="10"/>
              </w:rPr>
              <w:br/>
              <w:t>4.</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Keqinterpretim të statistikave zyrtare të publikuara. -|- 4</w:t>
            </w:r>
            <w:r w:rsidRPr="00B31292">
              <w:rPr>
                <w:rFonts w:ascii="Garamond" w:eastAsia="Times New Roman" w:hAnsi="Garamond" w:cs="Times New Roman"/>
                <w:color w:val="000000"/>
                <w:sz w:val="10"/>
                <w:szCs w:val="10"/>
              </w:rPr>
              <w:br/>
              <w:t>5. Gabime të bëra nga stafi ekspert gjatë përpunimit të të dhënave. -|- 4</w:t>
            </w:r>
            <w:r w:rsidRPr="00B31292">
              <w:rPr>
                <w:rFonts w:ascii="Garamond" w:eastAsia="Times New Roman" w:hAnsi="Garamond" w:cs="Times New Roman"/>
                <w:color w:val="000000"/>
                <w:sz w:val="10"/>
                <w:szCs w:val="10"/>
              </w:rPr>
              <w:br/>
              <w:t>6. Moszbatimi I memorandumeve të bashkëpunimit. -|- 4</w:t>
            </w:r>
            <w:r w:rsidRPr="00B31292">
              <w:rPr>
                <w:rFonts w:ascii="Garamond" w:eastAsia="Times New Roman" w:hAnsi="Garamond" w:cs="Times New Roman"/>
                <w:color w:val="000000"/>
                <w:sz w:val="10"/>
                <w:szCs w:val="10"/>
              </w:rPr>
              <w:br/>
              <w:t xml:space="preserve">7. Lëvizja e stafit të sektorit me eksperiencë në prodhimin e statistikave të blegtorisë dhe peshkimit, e cila sjell si pasojë </w:t>
            </w:r>
            <w:r w:rsidRPr="00B31292">
              <w:rPr>
                <w:rFonts w:ascii="Garamond" w:eastAsia="Times New Roman" w:hAnsi="Garamond" w:cs="Times New Roman"/>
                <w:color w:val="000000"/>
                <w:sz w:val="10"/>
                <w:szCs w:val="10"/>
              </w:rPr>
              <w:lastRenderedPageBreak/>
              <w:t xml:space="preserve">ndërprerje/ngadalësim të </w:t>
            </w:r>
            <w:r w:rsidR="0012403A" w:rsidRPr="00B31292">
              <w:rPr>
                <w:rFonts w:ascii="Garamond" w:eastAsia="Times New Roman" w:hAnsi="Garamond" w:cs="Times New Roman"/>
                <w:color w:val="000000"/>
                <w:sz w:val="10"/>
                <w:szCs w:val="10"/>
              </w:rPr>
              <w:t>proceseve</w:t>
            </w:r>
            <w:r w:rsidRPr="00B31292">
              <w:rPr>
                <w:rFonts w:ascii="Garamond" w:eastAsia="Times New Roman" w:hAnsi="Garamond" w:cs="Times New Roman"/>
                <w:color w:val="000000"/>
                <w:sz w:val="10"/>
                <w:szCs w:val="10"/>
              </w:rPr>
              <w:t xml:space="preserve"> të punës. -|- 4</w:t>
            </w:r>
            <w:r w:rsidRPr="00B31292">
              <w:rPr>
                <w:rFonts w:ascii="Garamond" w:eastAsia="Times New Roman" w:hAnsi="Garamond" w:cs="Times New Roman"/>
                <w:color w:val="000000"/>
                <w:sz w:val="10"/>
                <w:szCs w:val="10"/>
              </w:rPr>
              <w:br/>
              <w:t>8. Gabime në përllogaritjen e treguesve. -|- 4</w:t>
            </w:r>
          </w:p>
        </w:tc>
        <w:tc>
          <w:tcPr>
            <w:tcW w:w="273" w:type="pct"/>
            <w:tcBorders>
              <w:top w:val="nil"/>
              <w:left w:val="nil"/>
              <w:bottom w:val="nil"/>
              <w:right w:val="single" w:sz="4" w:space="0" w:color="auto"/>
            </w:tcBorders>
            <w:shd w:val="clear" w:color="auto" w:fill="auto"/>
            <w:vAlign w:val="center"/>
            <w:hideMark/>
          </w:tcPr>
          <w:p w14:paraId="5DB83E9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lastRenderedPageBreak/>
              <w:t>Buxhet shteti</w:t>
            </w:r>
          </w:p>
        </w:tc>
      </w:tr>
      <w:tr w:rsidR="000A2254" w:rsidRPr="00B31292" w14:paraId="7AD72357" w14:textId="77777777" w:rsidTr="000A2254">
        <w:trPr>
          <w:trHeight w:val="20"/>
        </w:trPr>
        <w:tc>
          <w:tcPr>
            <w:tcW w:w="215" w:type="pct"/>
            <w:tcBorders>
              <w:top w:val="nil"/>
              <w:left w:val="nil"/>
              <w:bottom w:val="nil"/>
              <w:right w:val="nil"/>
            </w:tcBorders>
            <w:shd w:val="clear" w:color="000000" w:fill="FFFFFF"/>
            <w:vAlign w:val="bottom"/>
            <w:hideMark/>
          </w:tcPr>
          <w:p w14:paraId="2431B89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2284359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45084F2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6AD048B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single" w:sz="4" w:space="0" w:color="000000"/>
              <w:left w:val="single" w:sz="4" w:space="0" w:color="000000"/>
              <w:bottom w:val="single" w:sz="4" w:space="0" w:color="000000"/>
              <w:right w:val="nil"/>
            </w:tcBorders>
            <w:shd w:val="clear" w:color="000000" w:fill="F0F0F0"/>
            <w:vAlign w:val="center"/>
            <w:hideMark/>
          </w:tcPr>
          <w:p w14:paraId="5382FA0F"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3.1.4</w:t>
            </w:r>
          </w:p>
        </w:tc>
        <w:tc>
          <w:tcPr>
            <w:tcW w:w="4082" w:type="pct"/>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62C00044" w14:textId="7A11C5C0"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Statistikat e</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prodhimeve organike në bujqësi</w:t>
            </w:r>
          </w:p>
        </w:tc>
      </w:tr>
      <w:tr w:rsidR="000A2254" w:rsidRPr="00B31292" w14:paraId="0AEC94B0" w14:textId="77777777" w:rsidTr="000A2254">
        <w:trPr>
          <w:trHeight w:val="20"/>
        </w:trPr>
        <w:tc>
          <w:tcPr>
            <w:tcW w:w="215" w:type="pct"/>
            <w:tcBorders>
              <w:top w:val="nil"/>
              <w:left w:val="nil"/>
              <w:bottom w:val="nil"/>
              <w:right w:val="nil"/>
            </w:tcBorders>
            <w:shd w:val="clear" w:color="000000" w:fill="FFFFFF"/>
            <w:vAlign w:val="bottom"/>
            <w:hideMark/>
          </w:tcPr>
          <w:p w14:paraId="2A73BD5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35345CE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34DC9B4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0E3EB83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172D9DE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4C104A5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000000"/>
              <w:bottom w:val="nil"/>
              <w:right w:val="single" w:sz="4" w:space="0" w:color="000000"/>
            </w:tcBorders>
            <w:shd w:val="clear" w:color="auto" w:fill="auto"/>
            <w:vAlign w:val="center"/>
            <w:hideMark/>
          </w:tcPr>
          <w:p w14:paraId="27FFC843"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3.1.4.1</w:t>
            </w:r>
          </w:p>
        </w:tc>
        <w:tc>
          <w:tcPr>
            <w:tcW w:w="281" w:type="pct"/>
            <w:tcBorders>
              <w:top w:val="nil"/>
              <w:left w:val="nil"/>
              <w:bottom w:val="nil"/>
              <w:right w:val="single" w:sz="4" w:space="0" w:color="000000"/>
            </w:tcBorders>
            <w:shd w:val="clear" w:color="auto" w:fill="auto"/>
            <w:vAlign w:val="center"/>
            <w:hideMark/>
          </w:tcPr>
          <w:p w14:paraId="1AB28D15" w14:textId="1F3432A0"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Statistikat e</w:t>
            </w:r>
            <w:r w:rsidR="002E2911" w:rsidRPr="00B31292">
              <w:rPr>
                <w:rFonts w:ascii="Garamond" w:eastAsia="Times New Roman" w:hAnsi="Garamond" w:cs="Times New Roman"/>
                <w:sz w:val="10"/>
                <w:szCs w:val="10"/>
              </w:rPr>
              <w:t xml:space="preserve"> </w:t>
            </w:r>
            <w:r w:rsidRPr="00B31292">
              <w:rPr>
                <w:rFonts w:ascii="Garamond" w:eastAsia="Times New Roman" w:hAnsi="Garamond" w:cs="Times New Roman"/>
                <w:sz w:val="10"/>
                <w:szCs w:val="10"/>
              </w:rPr>
              <w:t xml:space="preserve">prodhimeve organike në bujqësi </w:t>
            </w:r>
          </w:p>
        </w:tc>
        <w:tc>
          <w:tcPr>
            <w:tcW w:w="236" w:type="pct"/>
            <w:tcBorders>
              <w:top w:val="nil"/>
              <w:left w:val="nil"/>
              <w:bottom w:val="nil"/>
              <w:right w:val="single" w:sz="4" w:space="0" w:color="000000"/>
            </w:tcBorders>
            <w:shd w:val="clear" w:color="auto" w:fill="auto"/>
            <w:vAlign w:val="center"/>
            <w:hideMark/>
          </w:tcPr>
          <w:p w14:paraId="4EDB10D5"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Burim administrativ</w:t>
            </w:r>
          </w:p>
        </w:tc>
        <w:tc>
          <w:tcPr>
            <w:tcW w:w="238" w:type="pct"/>
            <w:tcBorders>
              <w:top w:val="nil"/>
              <w:left w:val="nil"/>
              <w:bottom w:val="single" w:sz="4" w:space="0" w:color="auto"/>
              <w:right w:val="single" w:sz="4" w:space="0" w:color="auto"/>
            </w:tcBorders>
            <w:shd w:val="clear" w:color="auto" w:fill="auto"/>
            <w:noWrap/>
            <w:vAlign w:val="center"/>
            <w:hideMark/>
          </w:tcPr>
          <w:p w14:paraId="452189AE"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180" w:type="pct"/>
            <w:tcBorders>
              <w:top w:val="nil"/>
              <w:left w:val="nil"/>
              <w:bottom w:val="single" w:sz="4" w:space="0" w:color="auto"/>
              <w:right w:val="single" w:sz="4" w:space="0" w:color="auto"/>
            </w:tcBorders>
            <w:shd w:val="clear" w:color="auto" w:fill="auto"/>
            <w:noWrap/>
            <w:vAlign w:val="center"/>
            <w:hideMark/>
          </w:tcPr>
          <w:p w14:paraId="32ABAAEF"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28" w:type="pct"/>
            <w:tcBorders>
              <w:top w:val="nil"/>
              <w:left w:val="nil"/>
              <w:bottom w:val="single" w:sz="4" w:space="0" w:color="auto"/>
              <w:right w:val="single" w:sz="4" w:space="0" w:color="auto"/>
            </w:tcBorders>
            <w:shd w:val="clear" w:color="auto" w:fill="auto"/>
            <w:vAlign w:val="center"/>
            <w:hideMark/>
          </w:tcPr>
          <w:p w14:paraId="7EC95AA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tcBorders>
              <w:top w:val="nil"/>
              <w:left w:val="nil"/>
              <w:bottom w:val="nil"/>
              <w:right w:val="single" w:sz="4" w:space="0" w:color="000000"/>
            </w:tcBorders>
            <w:shd w:val="clear" w:color="auto" w:fill="auto"/>
            <w:vAlign w:val="center"/>
            <w:hideMark/>
          </w:tcPr>
          <w:p w14:paraId="0DA8A67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Vjetor</w:t>
            </w:r>
          </w:p>
        </w:tc>
        <w:tc>
          <w:tcPr>
            <w:tcW w:w="486" w:type="pct"/>
            <w:tcBorders>
              <w:top w:val="nil"/>
              <w:left w:val="nil"/>
              <w:bottom w:val="nil"/>
              <w:right w:val="single" w:sz="4" w:space="0" w:color="auto"/>
            </w:tcBorders>
            <w:shd w:val="clear" w:color="auto" w:fill="auto"/>
            <w:vAlign w:val="center"/>
            <w:hideMark/>
          </w:tcPr>
          <w:p w14:paraId="1A071ABE" w14:textId="56BF6DEB"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1. Numri i </w:t>
            </w:r>
            <w:r w:rsidR="00E1320B" w:rsidRPr="00B31292">
              <w:rPr>
                <w:rFonts w:ascii="Garamond" w:eastAsia="Times New Roman" w:hAnsi="Garamond" w:cs="Times New Roman"/>
                <w:color w:val="000000"/>
                <w:sz w:val="10"/>
                <w:szCs w:val="10"/>
              </w:rPr>
              <w:t>f</w:t>
            </w:r>
            <w:r w:rsidRPr="00B31292">
              <w:rPr>
                <w:rFonts w:ascii="Garamond" w:eastAsia="Times New Roman" w:hAnsi="Garamond" w:cs="Times New Roman"/>
                <w:color w:val="000000"/>
                <w:sz w:val="10"/>
                <w:szCs w:val="10"/>
              </w:rPr>
              <w:t>ermave organike gjithsej</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2. Numri i </w:t>
            </w:r>
            <w:r w:rsidR="00E1320B" w:rsidRPr="00B31292">
              <w:rPr>
                <w:rFonts w:ascii="Garamond" w:eastAsia="Times New Roman" w:hAnsi="Garamond" w:cs="Times New Roman"/>
                <w:color w:val="000000"/>
                <w:sz w:val="10"/>
                <w:szCs w:val="10"/>
              </w:rPr>
              <w:t>f</w:t>
            </w:r>
            <w:r w:rsidRPr="00B31292">
              <w:rPr>
                <w:rFonts w:ascii="Garamond" w:eastAsia="Times New Roman" w:hAnsi="Garamond" w:cs="Times New Roman"/>
                <w:color w:val="000000"/>
                <w:sz w:val="10"/>
                <w:szCs w:val="10"/>
              </w:rPr>
              <w:t>ermave organike sipas aktivitetit</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3. </w:t>
            </w:r>
            <w:r w:rsidR="00864BC6" w:rsidRPr="00B31292">
              <w:rPr>
                <w:rFonts w:ascii="Garamond" w:eastAsia="Times New Roman" w:hAnsi="Garamond" w:cs="Times New Roman"/>
                <w:color w:val="000000"/>
                <w:sz w:val="10"/>
                <w:szCs w:val="10"/>
              </w:rPr>
              <w:t>Sipërfaqe</w:t>
            </w:r>
            <w:r w:rsidRPr="00B31292">
              <w:rPr>
                <w:rFonts w:ascii="Garamond" w:eastAsia="Times New Roman" w:hAnsi="Garamond" w:cs="Times New Roman"/>
                <w:color w:val="000000"/>
                <w:sz w:val="10"/>
                <w:szCs w:val="10"/>
              </w:rPr>
              <w:t xml:space="preserve"> e produkteve organike n</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proces </w:t>
            </w:r>
            <w:r w:rsidR="00864BC6" w:rsidRPr="00B31292">
              <w:rPr>
                <w:rFonts w:ascii="Garamond" w:eastAsia="Times New Roman" w:hAnsi="Garamond" w:cs="Times New Roman"/>
                <w:color w:val="000000"/>
                <w:sz w:val="10"/>
                <w:szCs w:val="10"/>
              </w:rPr>
              <w:t>certifikimi</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4. </w:t>
            </w:r>
            <w:r w:rsidR="00864BC6" w:rsidRPr="00B31292">
              <w:rPr>
                <w:rFonts w:ascii="Garamond" w:eastAsia="Times New Roman" w:hAnsi="Garamond" w:cs="Times New Roman"/>
                <w:color w:val="000000"/>
                <w:sz w:val="10"/>
                <w:szCs w:val="10"/>
              </w:rPr>
              <w:t>Sipërfaqe</w:t>
            </w:r>
            <w:r w:rsidRPr="00B31292">
              <w:rPr>
                <w:rFonts w:ascii="Garamond" w:eastAsia="Times New Roman" w:hAnsi="Garamond" w:cs="Times New Roman"/>
                <w:color w:val="000000"/>
                <w:sz w:val="10"/>
                <w:szCs w:val="10"/>
              </w:rPr>
              <w:t xml:space="preserve"> e produkteve organike </w:t>
            </w:r>
            <w:r w:rsidR="00E1320B" w:rsidRPr="00B31292">
              <w:rPr>
                <w:rFonts w:ascii="Garamond" w:eastAsia="Times New Roman" w:hAnsi="Garamond" w:cs="Times New Roman"/>
                <w:color w:val="000000"/>
                <w:sz w:val="10"/>
                <w:szCs w:val="10"/>
              </w:rPr>
              <w:t>të</w:t>
            </w:r>
            <w:r w:rsidRPr="00B31292">
              <w:rPr>
                <w:rFonts w:ascii="Garamond" w:eastAsia="Times New Roman" w:hAnsi="Garamond" w:cs="Times New Roman"/>
                <w:color w:val="000000"/>
                <w:sz w:val="10"/>
                <w:szCs w:val="10"/>
              </w:rPr>
              <w:t xml:space="preserve"> </w:t>
            </w:r>
            <w:r w:rsidR="00864BC6" w:rsidRPr="00B31292">
              <w:rPr>
                <w:rFonts w:ascii="Garamond" w:eastAsia="Times New Roman" w:hAnsi="Garamond" w:cs="Times New Roman"/>
                <w:color w:val="000000"/>
                <w:sz w:val="10"/>
                <w:szCs w:val="10"/>
              </w:rPr>
              <w:t>certifikuar</w:t>
            </w:r>
            <w:r w:rsidR="00E1320B" w:rsidRPr="00B31292">
              <w:rPr>
                <w:rFonts w:ascii="Garamond" w:eastAsia="Times New Roman" w:hAnsi="Garamond" w:cs="Times New Roman"/>
                <w:color w:val="000000"/>
                <w:sz w:val="10"/>
                <w:szCs w:val="10"/>
              </w:rPr>
              <w:t>a.</w:t>
            </w:r>
            <w:r w:rsidRPr="00B31292">
              <w:rPr>
                <w:rFonts w:ascii="Garamond" w:eastAsia="Times New Roman" w:hAnsi="Garamond" w:cs="Times New Roman"/>
                <w:color w:val="000000"/>
                <w:sz w:val="10"/>
                <w:szCs w:val="10"/>
              </w:rPr>
              <w:br/>
              <w:t>5. Prodhimi i produkteve organike n</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proces certifikimi</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6. Prodhimi i produkteve organike t</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w:t>
            </w:r>
            <w:r w:rsidR="00864BC6" w:rsidRPr="00B31292">
              <w:rPr>
                <w:rFonts w:ascii="Garamond" w:eastAsia="Times New Roman" w:hAnsi="Garamond" w:cs="Times New Roman"/>
                <w:color w:val="000000"/>
                <w:sz w:val="10"/>
                <w:szCs w:val="10"/>
              </w:rPr>
              <w:t>certifikuar</w:t>
            </w:r>
            <w:r w:rsidR="00CD213A" w:rsidRPr="00B31292">
              <w:rPr>
                <w:rFonts w:ascii="Garamond" w:eastAsia="Times New Roman" w:hAnsi="Garamond" w:cs="Times New Roman"/>
                <w:color w:val="000000"/>
                <w:sz w:val="10"/>
                <w:szCs w:val="10"/>
              </w:rPr>
              <w:t>a</w:t>
            </w:r>
            <w:r w:rsidRPr="00B31292">
              <w:rPr>
                <w:rFonts w:ascii="Garamond" w:eastAsia="Times New Roman" w:hAnsi="Garamond" w:cs="Times New Roman"/>
                <w:color w:val="000000"/>
                <w:sz w:val="10"/>
                <w:szCs w:val="10"/>
              </w:rPr>
              <w:t xml:space="preserve"> n</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serr</w:t>
            </w:r>
            <w:r w:rsidR="00CD213A" w:rsidRPr="00B31292">
              <w:rPr>
                <w:rFonts w:ascii="Garamond" w:eastAsia="Times New Roman" w:hAnsi="Garamond" w:cs="Times New Roman"/>
                <w:color w:val="000000"/>
                <w:sz w:val="10"/>
                <w:szCs w:val="10"/>
              </w:rPr>
              <w:t>ë</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7. </w:t>
            </w:r>
            <w:r w:rsidR="00864BC6" w:rsidRPr="00B31292">
              <w:rPr>
                <w:rFonts w:ascii="Garamond" w:eastAsia="Times New Roman" w:hAnsi="Garamond" w:cs="Times New Roman"/>
                <w:color w:val="000000"/>
                <w:sz w:val="10"/>
                <w:szCs w:val="10"/>
              </w:rPr>
              <w:t>Sipërfaqe</w:t>
            </w:r>
            <w:r w:rsidRPr="00B31292">
              <w:rPr>
                <w:rFonts w:ascii="Garamond" w:eastAsia="Times New Roman" w:hAnsi="Garamond" w:cs="Times New Roman"/>
                <w:color w:val="000000"/>
                <w:sz w:val="10"/>
                <w:szCs w:val="10"/>
              </w:rPr>
              <w:t xml:space="preserve"> e produkteve organike t</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egra</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8. Prodhimi i produkteve organike t</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egra</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9. Blegtoria organike, produktet me origjinë shtazore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10. Akuakultura organike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11. Produktet bio të përpunuara </w:t>
            </w:r>
            <w:r w:rsidR="0012403A" w:rsidRPr="00B31292">
              <w:rPr>
                <w:rFonts w:ascii="Garamond" w:eastAsia="Times New Roman" w:hAnsi="Garamond" w:cs="Times New Roman"/>
                <w:color w:val="000000"/>
                <w:sz w:val="10"/>
                <w:szCs w:val="10"/>
              </w:rPr>
              <w:t>bujqësore</w:t>
            </w:r>
            <w:r w:rsidRPr="00B31292">
              <w:rPr>
                <w:rFonts w:ascii="Garamond" w:eastAsia="Times New Roman" w:hAnsi="Garamond" w:cs="Times New Roman"/>
                <w:color w:val="000000"/>
                <w:sz w:val="10"/>
                <w:szCs w:val="10"/>
              </w:rPr>
              <w:t xml:space="preserve"> dhe blegtorale</w:t>
            </w:r>
            <w:r w:rsidR="00E1320B" w:rsidRPr="00B31292">
              <w:rPr>
                <w:rFonts w:ascii="Garamond" w:eastAsia="Times New Roman" w:hAnsi="Garamond" w:cs="Times New Roman"/>
                <w:color w:val="000000"/>
                <w:sz w:val="10"/>
                <w:szCs w:val="10"/>
              </w:rPr>
              <w:t>.</w:t>
            </w:r>
          </w:p>
        </w:tc>
        <w:tc>
          <w:tcPr>
            <w:tcW w:w="299" w:type="pct"/>
            <w:tcBorders>
              <w:top w:val="nil"/>
              <w:left w:val="nil"/>
              <w:bottom w:val="nil"/>
              <w:right w:val="nil"/>
            </w:tcBorders>
            <w:shd w:val="clear" w:color="auto" w:fill="auto"/>
            <w:vAlign w:val="center"/>
            <w:hideMark/>
          </w:tcPr>
          <w:p w14:paraId="1D99BA0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Ministria e Bujqësisë dhe Zhvillimit Rural</w:t>
            </w:r>
          </w:p>
        </w:tc>
        <w:tc>
          <w:tcPr>
            <w:tcW w:w="224" w:type="pct"/>
            <w:tcBorders>
              <w:top w:val="nil"/>
              <w:left w:val="single" w:sz="4" w:space="0" w:color="auto"/>
              <w:bottom w:val="single" w:sz="4" w:space="0" w:color="auto"/>
              <w:right w:val="single" w:sz="4" w:space="0" w:color="auto"/>
            </w:tcBorders>
            <w:shd w:val="clear" w:color="auto" w:fill="auto"/>
            <w:vAlign w:val="center"/>
            <w:hideMark/>
          </w:tcPr>
          <w:p w14:paraId="2D8156B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p>
        </w:tc>
        <w:tc>
          <w:tcPr>
            <w:tcW w:w="244" w:type="pct"/>
            <w:tcBorders>
              <w:top w:val="nil"/>
              <w:left w:val="nil"/>
              <w:bottom w:val="single" w:sz="4" w:space="0" w:color="auto"/>
              <w:right w:val="single" w:sz="4" w:space="0" w:color="auto"/>
            </w:tcBorders>
            <w:shd w:val="clear" w:color="000000" w:fill="FFFFFF"/>
            <w:vAlign w:val="center"/>
            <w:hideMark/>
          </w:tcPr>
          <w:p w14:paraId="55E84D3F"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+ 118D</w:t>
            </w:r>
          </w:p>
        </w:tc>
        <w:tc>
          <w:tcPr>
            <w:tcW w:w="220" w:type="pct"/>
            <w:tcBorders>
              <w:top w:val="nil"/>
              <w:left w:val="nil"/>
              <w:bottom w:val="single" w:sz="4" w:space="0" w:color="auto"/>
              <w:right w:val="single" w:sz="4" w:space="0" w:color="auto"/>
            </w:tcBorders>
            <w:shd w:val="clear" w:color="000000" w:fill="FFFFFF"/>
            <w:vAlign w:val="center"/>
            <w:hideMark/>
          </w:tcPr>
          <w:p w14:paraId="4BE84E84"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+ 160D</w:t>
            </w:r>
          </w:p>
        </w:tc>
        <w:tc>
          <w:tcPr>
            <w:tcW w:w="220" w:type="pct"/>
            <w:tcBorders>
              <w:top w:val="nil"/>
              <w:left w:val="nil"/>
              <w:bottom w:val="single" w:sz="4" w:space="0" w:color="auto"/>
              <w:right w:val="single" w:sz="4" w:space="0" w:color="auto"/>
            </w:tcBorders>
            <w:shd w:val="clear" w:color="000000" w:fill="FFFFFF"/>
            <w:vAlign w:val="center"/>
            <w:hideMark/>
          </w:tcPr>
          <w:p w14:paraId="2A18F59F"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+ 174D</w:t>
            </w:r>
          </w:p>
        </w:tc>
        <w:tc>
          <w:tcPr>
            <w:tcW w:w="346" w:type="pct"/>
            <w:tcBorders>
              <w:top w:val="nil"/>
              <w:left w:val="nil"/>
              <w:bottom w:val="single" w:sz="4" w:space="0" w:color="auto"/>
              <w:right w:val="single" w:sz="4" w:space="0" w:color="auto"/>
            </w:tcBorders>
            <w:shd w:val="clear" w:color="auto" w:fill="auto"/>
            <w:vAlign w:val="center"/>
            <w:hideMark/>
          </w:tcPr>
          <w:p w14:paraId="1A939C2C" w14:textId="7BB6454E"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Mospërmbushja e kritereve të cilësisë (saktësia, përpikmëria dhe krahasueshmëria) për të dhënat administrative mbi Tokën dhe prodhimin Bimor e cila sjell si pasojë mos prodhimin në kohë dhe cilësi të treguesve statistikore. -|- 4</w:t>
            </w:r>
            <w:r w:rsidRPr="00B31292">
              <w:rPr>
                <w:rFonts w:ascii="Garamond" w:eastAsia="Times New Roman" w:hAnsi="Garamond" w:cs="Times New Roman"/>
                <w:color w:val="000000"/>
                <w:sz w:val="10"/>
                <w:szCs w:val="10"/>
              </w:rPr>
              <w:br/>
              <w:t xml:space="preserve">2. Lëvizja/largimi i stafit të sektorit me eksperiencë në prodhimin e statistikave të </w:t>
            </w:r>
            <w:r w:rsidR="0012403A" w:rsidRPr="00B31292">
              <w:rPr>
                <w:rFonts w:ascii="Garamond" w:eastAsia="Times New Roman" w:hAnsi="Garamond" w:cs="Times New Roman"/>
                <w:color w:val="000000"/>
                <w:sz w:val="10"/>
                <w:szCs w:val="10"/>
              </w:rPr>
              <w:t>Bujqësisë</w:t>
            </w:r>
            <w:r w:rsidRPr="00B31292">
              <w:rPr>
                <w:rFonts w:ascii="Garamond" w:eastAsia="Times New Roman" w:hAnsi="Garamond" w:cs="Times New Roman"/>
                <w:color w:val="000000"/>
                <w:sz w:val="10"/>
                <w:szCs w:val="10"/>
              </w:rPr>
              <w:t>, e cila sjell si pasojë ndërprerje/ngadalësim të proceseve të punës -|- 9</w:t>
            </w:r>
          </w:p>
        </w:tc>
        <w:tc>
          <w:tcPr>
            <w:tcW w:w="273" w:type="pct"/>
            <w:tcBorders>
              <w:top w:val="nil"/>
              <w:left w:val="nil"/>
              <w:bottom w:val="single" w:sz="4" w:space="0" w:color="auto"/>
              <w:right w:val="single" w:sz="4" w:space="0" w:color="auto"/>
            </w:tcBorders>
            <w:shd w:val="clear" w:color="auto" w:fill="auto"/>
            <w:vAlign w:val="center"/>
            <w:hideMark/>
          </w:tcPr>
          <w:p w14:paraId="2BDAFB6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Buxhet shteti</w:t>
            </w:r>
          </w:p>
        </w:tc>
      </w:tr>
      <w:tr w:rsidR="000A2254" w:rsidRPr="00B31292" w14:paraId="20CD88FF" w14:textId="77777777" w:rsidTr="000A2254">
        <w:trPr>
          <w:trHeight w:val="20"/>
        </w:trPr>
        <w:tc>
          <w:tcPr>
            <w:tcW w:w="215" w:type="pct"/>
            <w:tcBorders>
              <w:top w:val="nil"/>
              <w:left w:val="nil"/>
              <w:bottom w:val="nil"/>
              <w:right w:val="nil"/>
            </w:tcBorders>
            <w:shd w:val="clear" w:color="000000" w:fill="FFFFFF"/>
            <w:vAlign w:val="bottom"/>
            <w:hideMark/>
          </w:tcPr>
          <w:p w14:paraId="3110E2B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6FD6DBA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20B5669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6A2D8F4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single" w:sz="4" w:space="0" w:color="000000"/>
              <w:left w:val="single" w:sz="4" w:space="0" w:color="000000"/>
              <w:bottom w:val="single" w:sz="4" w:space="0" w:color="000000"/>
              <w:right w:val="nil"/>
            </w:tcBorders>
            <w:shd w:val="clear" w:color="000000" w:fill="F0F0F0"/>
            <w:vAlign w:val="center"/>
            <w:hideMark/>
          </w:tcPr>
          <w:p w14:paraId="70DEDAF4"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3.1.5</w:t>
            </w:r>
          </w:p>
        </w:tc>
        <w:tc>
          <w:tcPr>
            <w:tcW w:w="4082" w:type="pct"/>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3082B10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Statistikat e agromjedisit</w:t>
            </w:r>
          </w:p>
        </w:tc>
      </w:tr>
      <w:tr w:rsidR="000A2254" w:rsidRPr="00B31292" w14:paraId="52A32A90" w14:textId="77777777" w:rsidTr="000A2254">
        <w:trPr>
          <w:trHeight w:val="20"/>
        </w:trPr>
        <w:tc>
          <w:tcPr>
            <w:tcW w:w="215" w:type="pct"/>
            <w:tcBorders>
              <w:top w:val="nil"/>
              <w:left w:val="nil"/>
              <w:bottom w:val="nil"/>
              <w:right w:val="nil"/>
            </w:tcBorders>
            <w:shd w:val="clear" w:color="000000" w:fill="FFFFFF"/>
            <w:vAlign w:val="bottom"/>
            <w:hideMark/>
          </w:tcPr>
          <w:p w14:paraId="080D6E5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064FA37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383E5F6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4BDF9A9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5C3B2D7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654CCD9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000000"/>
              <w:bottom w:val="nil"/>
              <w:right w:val="single" w:sz="4" w:space="0" w:color="000000"/>
            </w:tcBorders>
            <w:shd w:val="clear" w:color="auto" w:fill="auto"/>
            <w:vAlign w:val="center"/>
            <w:hideMark/>
          </w:tcPr>
          <w:p w14:paraId="4E77974F"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3.1.5.1</w:t>
            </w:r>
          </w:p>
        </w:tc>
        <w:tc>
          <w:tcPr>
            <w:tcW w:w="281" w:type="pct"/>
            <w:tcBorders>
              <w:top w:val="nil"/>
              <w:left w:val="nil"/>
              <w:bottom w:val="nil"/>
              <w:right w:val="single" w:sz="4" w:space="0" w:color="000000"/>
            </w:tcBorders>
            <w:shd w:val="clear" w:color="auto" w:fill="auto"/>
            <w:vAlign w:val="center"/>
            <w:hideMark/>
          </w:tcPr>
          <w:p w14:paraId="5CF484CB"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Statistikat e agromjedisit</w:t>
            </w:r>
          </w:p>
        </w:tc>
        <w:tc>
          <w:tcPr>
            <w:tcW w:w="236" w:type="pct"/>
            <w:tcBorders>
              <w:top w:val="nil"/>
              <w:left w:val="nil"/>
              <w:bottom w:val="nil"/>
              <w:right w:val="single" w:sz="4" w:space="0" w:color="000000"/>
            </w:tcBorders>
            <w:shd w:val="clear" w:color="auto" w:fill="auto"/>
            <w:vAlign w:val="center"/>
            <w:hideMark/>
          </w:tcPr>
          <w:p w14:paraId="2B974A72"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Burim administrativ</w:t>
            </w:r>
          </w:p>
        </w:tc>
        <w:tc>
          <w:tcPr>
            <w:tcW w:w="238" w:type="pct"/>
            <w:tcBorders>
              <w:top w:val="nil"/>
              <w:left w:val="nil"/>
              <w:bottom w:val="single" w:sz="4" w:space="0" w:color="auto"/>
              <w:right w:val="single" w:sz="4" w:space="0" w:color="auto"/>
            </w:tcBorders>
            <w:shd w:val="clear" w:color="auto" w:fill="auto"/>
            <w:noWrap/>
            <w:vAlign w:val="center"/>
            <w:hideMark/>
          </w:tcPr>
          <w:p w14:paraId="660FC410"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180" w:type="pct"/>
            <w:tcBorders>
              <w:top w:val="nil"/>
              <w:left w:val="nil"/>
              <w:bottom w:val="single" w:sz="4" w:space="0" w:color="auto"/>
              <w:right w:val="single" w:sz="4" w:space="0" w:color="auto"/>
            </w:tcBorders>
            <w:shd w:val="clear" w:color="auto" w:fill="auto"/>
            <w:noWrap/>
            <w:vAlign w:val="center"/>
            <w:hideMark/>
          </w:tcPr>
          <w:p w14:paraId="05E1930D"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28" w:type="pct"/>
            <w:tcBorders>
              <w:top w:val="nil"/>
              <w:left w:val="nil"/>
              <w:bottom w:val="single" w:sz="4" w:space="0" w:color="auto"/>
              <w:right w:val="single" w:sz="4" w:space="0" w:color="auto"/>
            </w:tcBorders>
            <w:shd w:val="clear" w:color="auto" w:fill="auto"/>
            <w:vAlign w:val="center"/>
            <w:hideMark/>
          </w:tcPr>
          <w:p w14:paraId="39D30927"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tcBorders>
              <w:top w:val="nil"/>
              <w:left w:val="nil"/>
              <w:bottom w:val="nil"/>
              <w:right w:val="single" w:sz="4" w:space="0" w:color="000000"/>
            </w:tcBorders>
            <w:shd w:val="clear" w:color="auto" w:fill="auto"/>
            <w:vAlign w:val="center"/>
            <w:hideMark/>
          </w:tcPr>
          <w:p w14:paraId="7012F62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Vjetor</w:t>
            </w:r>
          </w:p>
        </w:tc>
        <w:tc>
          <w:tcPr>
            <w:tcW w:w="486" w:type="pct"/>
            <w:tcBorders>
              <w:top w:val="nil"/>
              <w:left w:val="nil"/>
              <w:bottom w:val="nil"/>
              <w:right w:val="single" w:sz="4" w:space="0" w:color="auto"/>
            </w:tcBorders>
            <w:shd w:val="clear" w:color="auto" w:fill="auto"/>
            <w:vAlign w:val="center"/>
            <w:hideMark/>
          </w:tcPr>
          <w:p w14:paraId="227B3AD3" w14:textId="6AFF02EE"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1. </w:t>
            </w:r>
            <w:r w:rsidR="00864BC6" w:rsidRPr="00B31292">
              <w:rPr>
                <w:rFonts w:ascii="Garamond" w:eastAsia="Times New Roman" w:hAnsi="Garamond" w:cs="Times New Roman"/>
                <w:color w:val="000000"/>
                <w:sz w:val="10"/>
                <w:szCs w:val="10"/>
              </w:rPr>
              <w:t>Sipërfaqja</w:t>
            </w:r>
            <w:r w:rsidRPr="00B31292">
              <w:rPr>
                <w:rFonts w:ascii="Garamond" w:eastAsia="Times New Roman" w:hAnsi="Garamond" w:cs="Times New Roman"/>
                <w:color w:val="000000"/>
                <w:sz w:val="10"/>
                <w:szCs w:val="10"/>
              </w:rPr>
              <w:t xml:space="preserve"> e trajtuar me plehra</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 Sipërfaqja e trajtuar me pesticide sipas llojeve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 Sasia e plehrave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4. Sasia e pesticideve</w:t>
            </w:r>
            <w:r w:rsidR="00E1320B" w:rsidRPr="00B31292">
              <w:rPr>
                <w:rFonts w:ascii="Garamond" w:eastAsia="Times New Roman" w:hAnsi="Garamond" w:cs="Times New Roman"/>
                <w:color w:val="000000"/>
                <w:sz w:val="10"/>
                <w:szCs w:val="10"/>
              </w:rPr>
              <w:t>.</w:t>
            </w:r>
          </w:p>
        </w:tc>
        <w:tc>
          <w:tcPr>
            <w:tcW w:w="299" w:type="pct"/>
            <w:tcBorders>
              <w:top w:val="nil"/>
              <w:left w:val="nil"/>
              <w:bottom w:val="nil"/>
              <w:right w:val="nil"/>
            </w:tcBorders>
            <w:shd w:val="clear" w:color="auto" w:fill="auto"/>
            <w:vAlign w:val="center"/>
            <w:hideMark/>
          </w:tcPr>
          <w:p w14:paraId="6C8C6AB8" w14:textId="7B616A40"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Instituti i Statistikave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Ministria e Bujqësisë dhe Zhvillimit Rural</w:t>
            </w:r>
          </w:p>
        </w:tc>
        <w:tc>
          <w:tcPr>
            <w:tcW w:w="224" w:type="pct"/>
            <w:tcBorders>
              <w:top w:val="nil"/>
              <w:left w:val="single" w:sz="4" w:space="0" w:color="auto"/>
              <w:bottom w:val="single" w:sz="4" w:space="0" w:color="auto"/>
              <w:right w:val="single" w:sz="4" w:space="0" w:color="auto"/>
            </w:tcBorders>
            <w:shd w:val="clear" w:color="auto" w:fill="auto"/>
            <w:vAlign w:val="center"/>
            <w:hideMark/>
          </w:tcPr>
          <w:p w14:paraId="61E70C47" w14:textId="79F65D2C"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E1320B" w:rsidRPr="00B31292">
              <w:rPr>
                <w:rFonts w:ascii="Garamond" w:eastAsia="Times New Roman" w:hAnsi="Garamond" w:cs="Times New Roman"/>
                <w:color w:val="000000"/>
                <w:sz w:val="10"/>
                <w:szCs w:val="10"/>
              </w:rPr>
              <w:t>-i</w:t>
            </w:r>
          </w:p>
        </w:tc>
        <w:tc>
          <w:tcPr>
            <w:tcW w:w="244" w:type="pct"/>
            <w:tcBorders>
              <w:top w:val="nil"/>
              <w:left w:val="nil"/>
              <w:bottom w:val="single" w:sz="4" w:space="0" w:color="auto"/>
              <w:right w:val="single" w:sz="4" w:space="0" w:color="auto"/>
            </w:tcBorders>
            <w:shd w:val="clear" w:color="000000" w:fill="FFFFFF"/>
            <w:vAlign w:val="center"/>
            <w:hideMark/>
          </w:tcPr>
          <w:p w14:paraId="77CEEE4F"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+ 152D</w:t>
            </w:r>
          </w:p>
        </w:tc>
        <w:tc>
          <w:tcPr>
            <w:tcW w:w="220" w:type="pct"/>
            <w:tcBorders>
              <w:top w:val="nil"/>
              <w:left w:val="nil"/>
              <w:bottom w:val="single" w:sz="4" w:space="0" w:color="auto"/>
              <w:right w:val="single" w:sz="4" w:space="0" w:color="auto"/>
            </w:tcBorders>
            <w:shd w:val="clear" w:color="000000" w:fill="FFFFFF"/>
            <w:vAlign w:val="center"/>
            <w:hideMark/>
          </w:tcPr>
          <w:p w14:paraId="589949D4"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+ 292D</w:t>
            </w:r>
          </w:p>
        </w:tc>
        <w:tc>
          <w:tcPr>
            <w:tcW w:w="220" w:type="pct"/>
            <w:tcBorders>
              <w:top w:val="nil"/>
              <w:left w:val="nil"/>
              <w:bottom w:val="single" w:sz="4" w:space="0" w:color="auto"/>
              <w:right w:val="single" w:sz="4" w:space="0" w:color="auto"/>
            </w:tcBorders>
            <w:shd w:val="clear" w:color="000000" w:fill="FFFFFF"/>
            <w:vAlign w:val="center"/>
            <w:hideMark/>
          </w:tcPr>
          <w:p w14:paraId="0BB2310C"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+ 299D</w:t>
            </w:r>
          </w:p>
        </w:tc>
        <w:tc>
          <w:tcPr>
            <w:tcW w:w="346" w:type="pct"/>
            <w:tcBorders>
              <w:top w:val="nil"/>
              <w:left w:val="nil"/>
              <w:bottom w:val="single" w:sz="4" w:space="0" w:color="auto"/>
              <w:right w:val="single" w:sz="4" w:space="0" w:color="auto"/>
            </w:tcBorders>
            <w:shd w:val="clear" w:color="auto" w:fill="auto"/>
            <w:vAlign w:val="center"/>
            <w:hideMark/>
          </w:tcPr>
          <w:p w14:paraId="4E104378" w14:textId="14CC6A62"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1. Mosmarrja e të dhënave administrative </w:t>
            </w:r>
            <w:r w:rsidR="00864BC6" w:rsidRPr="00B31292">
              <w:rPr>
                <w:rFonts w:ascii="Garamond" w:eastAsia="Times New Roman" w:hAnsi="Garamond" w:cs="Times New Roman"/>
                <w:color w:val="000000"/>
                <w:sz w:val="10"/>
                <w:szCs w:val="10"/>
              </w:rPr>
              <w:t>për</w:t>
            </w:r>
            <w:r w:rsidRPr="00B31292">
              <w:rPr>
                <w:rFonts w:ascii="Garamond" w:eastAsia="Times New Roman" w:hAnsi="Garamond" w:cs="Times New Roman"/>
                <w:color w:val="000000"/>
                <w:sz w:val="10"/>
                <w:szCs w:val="10"/>
              </w:rPr>
              <w:t xml:space="preserve"> Agromjedisin nga Ministria e Bujqësisë dhe Zhvillimit Rural, mund të sjellë vonesa dhe pasaktësi në publikimin e </w:t>
            </w:r>
            <w:r w:rsidR="0012403A" w:rsidRPr="00B31292">
              <w:rPr>
                <w:rFonts w:ascii="Garamond" w:eastAsia="Times New Roman" w:hAnsi="Garamond" w:cs="Times New Roman"/>
                <w:color w:val="000000"/>
                <w:sz w:val="10"/>
                <w:szCs w:val="10"/>
              </w:rPr>
              <w:t>t</w:t>
            </w:r>
            <w:r w:rsidRPr="00B31292">
              <w:rPr>
                <w:rFonts w:ascii="Garamond" w:eastAsia="Times New Roman" w:hAnsi="Garamond" w:cs="Times New Roman"/>
                <w:color w:val="000000"/>
                <w:sz w:val="10"/>
                <w:szCs w:val="10"/>
              </w:rPr>
              <w:t>reguesve statistikorë -|- 4</w:t>
            </w:r>
          </w:p>
        </w:tc>
        <w:tc>
          <w:tcPr>
            <w:tcW w:w="273" w:type="pct"/>
            <w:tcBorders>
              <w:top w:val="nil"/>
              <w:left w:val="nil"/>
              <w:bottom w:val="single" w:sz="4" w:space="0" w:color="auto"/>
              <w:right w:val="single" w:sz="4" w:space="0" w:color="auto"/>
            </w:tcBorders>
            <w:shd w:val="clear" w:color="auto" w:fill="auto"/>
            <w:vAlign w:val="center"/>
            <w:hideMark/>
          </w:tcPr>
          <w:p w14:paraId="60F92F9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Buxhet shteti</w:t>
            </w:r>
          </w:p>
        </w:tc>
      </w:tr>
      <w:tr w:rsidR="000A2254" w:rsidRPr="00B31292" w14:paraId="53551592" w14:textId="77777777" w:rsidTr="000A2254">
        <w:trPr>
          <w:trHeight w:val="20"/>
        </w:trPr>
        <w:tc>
          <w:tcPr>
            <w:tcW w:w="215" w:type="pct"/>
            <w:tcBorders>
              <w:top w:val="nil"/>
              <w:left w:val="nil"/>
              <w:bottom w:val="nil"/>
              <w:right w:val="nil"/>
            </w:tcBorders>
            <w:shd w:val="clear" w:color="000000" w:fill="FFFFFF"/>
            <w:vAlign w:val="bottom"/>
            <w:hideMark/>
          </w:tcPr>
          <w:p w14:paraId="58A4C26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43C3FA4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single" w:sz="4" w:space="0" w:color="000000"/>
              <w:left w:val="single" w:sz="4" w:space="0" w:color="000000"/>
              <w:bottom w:val="single" w:sz="4" w:space="0" w:color="000000"/>
              <w:right w:val="nil"/>
            </w:tcBorders>
            <w:shd w:val="clear" w:color="000000" w:fill="F0F0F0"/>
            <w:vAlign w:val="center"/>
            <w:hideMark/>
          </w:tcPr>
          <w:p w14:paraId="506593D1"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3.2</w:t>
            </w:r>
          </w:p>
        </w:tc>
        <w:tc>
          <w:tcPr>
            <w:tcW w:w="4416" w:type="pct"/>
            <w:gridSpan w:val="18"/>
            <w:tcBorders>
              <w:top w:val="single" w:sz="4" w:space="0" w:color="auto"/>
              <w:left w:val="single" w:sz="4" w:space="0" w:color="auto"/>
              <w:bottom w:val="single" w:sz="4" w:space="0" w:color="auto"/>
              <w:right w:val="single" w:sz="4" w:space="0" w:color="auto"/>
            </w:tcBorders>
            <w:shd w:val="clear" w:color="000000" w:fill="F0F0F0"/>
            <w:vAlign w:val="center"/>
            <w:hideMark/>
          </w:tcPr>
          <w:p w14:paraId="63E495D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Energjia</w:t>
            </w:r>
          </w:p>
        </w:tc>
      </w:tr>
      <w:tr w:rsidR="000A2254" w:rsidRPr="00B31292" w14:paraId="40657BEB" w14:textId="77777777" w:rsidTr="000A2254">
        <w:trPr>
          <w:trHeight w:val="20"/>
        </w:trPr>
        <w:tc>
          <w:tcPr>
            <w:tcW w:w="215" w:type="pct"/>
            <w:tcBorders>
              <w:top w:val="nil"/>
              <w:left w:val="nil"/>
              <w:bottom w:val="nil"/>
              <w:right w:val="nil"/>
            </w:tcBorders>
            <w:shd w:val="clear" w:color="000000" w:fill="FFFFFF"/>
            <w:vAlign w:val="bottom"/>
            <w:hideMark/>
          </w:tcPr>
          <w:p w14:paraId="0229724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0B1211B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4F3F7AD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5158929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single" w:sz="4" w:space="0" w:color="000000"/>
              <w:bottom w:val="single" w:sz="4" w:space="0" w:color="000000"/>
              <w:right w:val="nil"/>
            </w:tcBorders>
            <w:shd w:val="clear" w:color="000000" w:fill="F0F0F0"/>
            <w:vAlign w:val="center"/>
            <w:hideMark/>
          </w:tcPr>
          <w:p w14:paraId="4DFD8001"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3.2.1</w:t>
            </w:r>
          </w:p>
        </w:tc>
        <w:tc>
          <w:tcPr>
            <w:tcW w:w="4082" w:type="pct"/>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11248095" w14:textId="4E2D4AFE"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Statistikat e </w:t>
            </w:r>
            <w:r w:rsidR="00E1320B" w:rsidRPr="00B31292">
              <w:rPr>
                <w:rFonts w:ascii="Garamond" w:eastAsia="Times New Roman" w:hAnsi="Garamond" w:cs="Times New Roman"/>
                <w:color w:val="000000"/>
                <w:sz w:val="10"/>
                <w:szCs w:val="10"/>
              </w:rPr>
              <w:t>e</w:t>
            </w:r>
            <w:r w:rsidRPr="00B31292">
              <w:rPr>
                <w:rFonts w:ascii="Garamond" w:eastAsia="Times New Roman" w:hAnsi="Garamond" w:cs="Times New Roman"/>
                <w:color w:val="000000"/>
                <w:sz w:val="10"/>
                <w:szCs w:val="10"/>
              </w:rPr>
              <w:t xml:space="preserve">nergjisë </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prodhimi </w:t>
            </w:r>
          </w:p>
        </w:tc>
      </w:tr>
      <w:tr w:rsidR="000A2254" w:rsidRPr="00B31292" w14:paraId="76E16E1B" w14:textId="77777777" w:rsidTr="000A2254">
        <w:trPr>
          <w:trHeight w:val="20"/>
        </w:trPr>
        <w:tc>
          <w:tcPr>
            <w:tcW w:w="215" w:type="pct"/>
            <w:tcBorders>
              <w:top w:val="nil"/>
              <w:left w:val="nil"/>
              <w:bottom w:val="nil"/>
              <w:right w:val="nil"/>
            </w:tcBorders>
            <w:shd w:val="clear" w:color="000000" w:fill="FFFFFF"/>
            <w:vAlign w:val="bottom"/>
            <w:hideMark/>
          </w:tcPr>
          <w:p w14:paraId="104FAB2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5B65EDA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705A19F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4BA423A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72F98E2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6ACFFE2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48562C28"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3.2.1.1</w:t>
            </w:r>
          </w:p>
        </w:tc>
        <w:tc>
          <w:tcPr>
            <w:tcW w:w="281"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2CE8DC77"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Statistikat e energjisë</w:t>
            </w:r>
          </w:p>
        </w:tc>
        <w:tc>
          <w:tcPr>
            <w:tcW w:w="236" w:type="pct"/>
            <w:vMerge w:val="restart"/>
            <w:tcBorders>
              <w:top w:val="nil"/>
              <w:left w:val="single" w:sz="4" w:space="0" w:color="000000"/>
              <w:bottom w:val="single" w:sz="4" w:space="0" w:color="000000"/>
              <w:right w:val="single" w:sz="4" w:space="0" w:color="auto"/>
            </w:tcBorders>
            <w:shd w:val="clear" w:color="auto" w:fill="auto"/>
            <w:vAlign w:val="center"/>
            <w:hideMark/>
          </w:tcPr>
          <w:p w14:paraId="7C5E8437"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Burim administrativ</w:t>
            </w:r>
          </w:p>
        </w:tc>
        <w:tc>
          <w:tcPr>
            <w:tcW w:w="23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1031AA8"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18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F226F6D"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28" w:type="pct"/>
            <w:vMerge w:val="restart"/>
            <w:tcBorders>
              <w:top w:val="nil"/>
              <w:left w:val="single" w:sz="4" w:space="0" w:color="auto"/>
              <w:bottom w:val="single" w:sz="4" w:space="0" w:color="000000"/>
              <w:right w:val="single" w:sz="4" w:space="0" w:color="auto"/>
            </w:tcBorders>
            <w:shd w:val="clear" w:color="auto" w:fill="auto"/>
            <w:vAlign w:val="center"/>
            <w:hideMark/>
          </w:tcPr>
          <w:p w14:paraId="6719A4F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vMerge w:val="restart"/>
            <w:tcBorders>
              <w:top w:val="nil"/>
              <w:left w:val="single" w:sz="4" w:space="0" w:color="auto"/>
              <w:bottom w:val="single" w:sz="4" w:space="0" w:color="000000"/>
              <w:right w:val="single" w:sz="4" w:space="0" w:color="auto"/>
            </w:tcBorders>
            <w:shd w:val="clear" w:color="auto" w:fill="auto"/>
            <w:vAlign w:val="center"/>
            <w:hideMark/>
          </w:tcPr>
          <w:p w14:paraId="5DDAF8B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Tremujor</w:t>
            </w:r>
          </w:p>
        </w:tc>
        <w:tc>
          <w:tcPr>
            <w:tcW w:w="486" w:type="pct"/>
            <w:tcBorders>
              <w:top w:val="nil"/>
              <w:left w:val="nil"/>
              <w:bottom w:val="nil"/>
              <w:right w:val="single" w:sz="4" w:space="0" w:color="auto"/>
            </w:tcBorders>
            <w:shd w:val="clear" w:color="auto" w:fill="auto"/>
            <w:hideMark/>
          </w:tcPr>
          <w:p w14:paraId="34855668" w14:textId="3E3F0023"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i/>
                <w:iCs/>
                <w:color w:val="000000"/>
                <w:sz w:val="10"/>
                <w:szCs w:val="10"/>
              </w:rPr>
              <w:t>I. Energji në dispozicion (Prodhimi neto vendas)</w:t>
            </w:r>
            <w:r w:rsidRPr="00B31292">
              <w:rPr>
                <w:rFonts w:ascii="Garamond" w:eastAsia="Times New Roman" w:hAnsi="Garamond" w:cs="Times New Roman"/>
                <w:color w:val="000000"/>
                <w:sz w:val="10"/>
                <w:szCs w:val="10"/>
              </w:rPr>
              <w:br/>
            </w:r>
            <w:r w:rsidRPr="00B31292">
              <w:rPr>
                <w:rFonts w:ascii="Garamond" w:eastAsia="Times New Roman" w:hAnsi="Garamond" w:cs="Times New Roman"/>
                <w:i/>
                <w:iCs/>
                <w:color w:val="000000"/>
                <w:sz w:val="10"/>
                <w:szCs w:val="10"/>
              </w:rPr>
              <w:t xml:space="preserve">a. </w:t>
            </w:r>
            <w:r w:rsidR="00E1320B" w:rsidRPr="00B31292">
              <w:rPr>
                <w:rFonts w:ascii="Garamond" w:eastAsia="Times New Roman" w:hAnsi="Garamond" w:cs="Times New Roman"/>
                <w:i/>
                <w:iCs/>
                <w:color w:val="000000"/>
                <w:sz w:val="10"/>
                <w:szCs w:val="10"/>
              </w:rPr>
              <w:t xml:space="preserve">energji elektrike </w:t>
            </w:r>
            <w:r w:rsidRPr="00B31292">
              <w:rPr>
                <w:rFonts w:ascii="Garamond" w:eastAsia="Times New Roman" w:hAnsi="Garamond" w:cs="Times New Roman"/>
                <w:color w:val="000000"/>
                <w:sz w:val="10"/>
                <w:szCs w:val="10"/>
              </w:rPr>
              <w:br/>
              <w:t xml:space="preserve">1. Termocentrale </w:t>
            </w:r>
            <w:r w:rsidRPr="00B31292">
              <w:rPr>
                <w:rFonts w:ascii="Garamond" w:eastAsia="Times New Roman" w:hAnsi="Garamond" w:cs="Times New Roman"/>
                <w:color w:val="000000"/>
                <w:sz w:val="10"/>
                <w:szCs w:val="10"/>
              </w:rPr>
              <w:br/>
              <w:t>2. Hidrocentrale</w:t>
            </w:r>
            <w:r w:rsidRPr="00B31292">
              <w:rPr>
                <w:rFonts w:ascii="Garamond" w:eastAsia="Times New Roman" w:hAnsi="Garamond" w:cs="Times New Roman"/>
                <w:color w:val="000000"/>
                <w:sz w:val="10"/>
                <w:szCs w:val="10"/>
              </w:rPr>
              <w:br/>
              <w:t>3. PV (</w:t>
            </w:r>
            <w:r w:rsidR="00E1320B" w:rsidRPr="00B31292">
              <w:rPr>
                <w:rFonts w:ascii="Garamond" w:eastAsia="Times New Roman" w:hAnsi="Garamond" w:cs="Times New Roman"/>
                <w:color w:val="000000"/>
                <w:sz w:val="10"/>
                <w:szCs w:val="10"/>
              </w:rPr>
              <w:t>parqe fotovoltaike</w:t>
            </w:r>
            <w:r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r>
            <w:r w:rsidRPr="00B31292">
              <w:rPr>
                <w:rFonts w:ascii="Garamond" w:eastAsia="Times New Roman" w:hAnsi="Garamond" w:cs="Times New Roman"/>
                <w:i/>
                <w:iCs/>
                <w:color w:val="000000"/>
                <w:sz w:val="10"/>
                <w:szCs w:val="10"/>
              </w:rPr>
              <w:t>b. Naft</w:t>
            </w:r>
            <w:r w:rsidR="00E1320B" w:rsidRPr="00B31292">
              <w:rPr>
                <w:rFonts w:ascii="Garamond" w:eastAsia="Times New Roman" w:hAnsi="Garamond" w:cs="Times New Roman"/>
                <w:i/>
                <w:iCs/>
                <w:color w:val="000000"/>
                <w:sz w:val="10"/>
                <w:szCs w:val="10"/>
              </w:rPr>
              <w:t>ë</w:t>
            </w:r>
            <w:r w:rsidRPr="00B31292">
              <w:rPr>
                <w:rFonts w:ascii="Garamond" w:eastAsia="Times New Roman" w:hAnsi="Garamond" w:cs="Times New Roman"/>
                <w:i/>
                <w:iCs/>
                <w:color w:val="000000"/>
                <w:sz w:val="10"/>
                <w:szCs w:val="10"/>
              </w:rPr>
              <w:t xml:space="preserve"> dhe </w:t>
            </w:r>
            <w:r w:rsidR="00864BC6" w:rsidRPr="00B31292">
              <w:rPr>
                <w:rFonts w:ascii="Garamond" w:eastAsia="Times New Roman" w:hAnsi="Garamond" w:cs="Times New Roman"/>
                <w:i/>
                <w:iCs/>
                <w:color w:val="000000"/>
                <w:sz w:val="10"/>
                <w:szCs w:val="10"/>
              </w:rPr>
              <w:t>Produktet</w:t>
            </w:r>
            <w:r w:rsidRPr="00B31292">
              <w:rPr>
                <w:rFonts w:ascii="Garamond" w:eastAsia="Times New Roman" w:hAnsi="Garamond" w:cs="Times New Roman"/>
                <w:i/>
                <w:iCs/>
                <w:color w:val="000000"/>
                <w:sz w:val="10"/>
                <w:szCs w:val="10"/>
              </w:rPr>
              <w:t xml:space="preserve"> e saj</w:t>
            </w:r>
            <w:r w:rsidRPr="00B31292">
              <w:rPr>
                <w:rFonts w:ascii="Garamond" w:eastAsia="Times New Roman" w:hAnsi="Garamond" w:cs="Times New Roman"/>
                <w:color w:val="000000"/>
                <w:sz w:val="10"/>
                <w:szCs w:val="10"/>
              </w:rPr>
              <w:br/>
              <w:t>4. Naft</w:t>
            </w:r>
            <w:r w:rsidR="00E1320B"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brut</w:t>
            </w:r>
            <w:r w:rsidR="00E1320B" w:rsidRPr="00B31292">
              <w:rPr>
                <w:rFonts w:ascii="Garamond" w:eastAsia="Times New Roman" w:hAnsi="Garamond" w:cs="Times New Roman"/>
                <w:color w:val="000000"/>
                <w:sz w:val="10"/>
                <w:szCs w:val="10"/>
              </w:rPr>
              <w:t>o.</w:t>
            </w:r>
            <w:r w:rsidRPr="00B31292">
              <w:rPr>
                <w:rFonts w:ascii="Garamond" w:eastAsia="Times New Roman" w:hAnsi="Garamond" w:cs="Times New Roman"/>
                <w:color w:val="000000"/>
                <w:sz w:val="10"/>
                <w:szCs w:val="10"/>
              </w:rPr>
              <w:br/>
              <w:t>5. Gaz Natyror</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r>
            <w:r w:rsidRPr="00B31292">
              <w:rPr>
                <w:rFonts w:ascii="Garamond" w:eastAsia="Times New Roman" w:hAnsi="Garamond" w:cs="Times New Roman"/>
                <w:i/>
                <w:iCs/>
                <w:color w:val="000000"/>
                <w:sz w:val="10"/>
                <w:szCs w:val="10"/>
              </w:rPr>
              <w:t>c. Qymyr</w:t>
            </w:r>
            <w:r w:rsidR="00E1320B" w:rsidRPr="00B31292">
              <w:rPr>
                <w:rFonts w:ascii="Garamond" w:eastAsia="Times New Roman" w:hAnsi="Garamond" w:cs="Times New Roman"/>
                <w:i/>
                <w:iCs/>
                <w:color w:val="000000"/>
                <w:sz w:val="10"/>
                <w:szCs w:val="10"/>
              </w:rPr>
              <w:t>.</w:t>
            </w:r>
            <w:r w:rsidRPr="00B31292">
              <w:rPr>
                <w:rFonts w:ascii="Garamond" w:eastAsia="Times New Roman" w:hAnsi="Garamond" w:cs="Times New Roman"/>
                <w:color w:val="000000"/>
                <w:sz w:val="10"/>
                <w:szCs w:val="10"/>
              </w:rPr>
              <w:br/>
              <w:t xml:space="preserve">6. </w:t>
            </w:r>
            <w:r w:rsidR="00106FB4" w:rsidRPr="00B31292">
              <w:rPr>
                <w:rFonts w:ascii="Garamond" w:eastAsia="Times New Roman" w:hAnsi="Garamond" w:cs="Times New Roman"/>
                <w:color w:val="000000"/>
                <w:sz w:val="10"/>
                <w:szCs w:val="10"/>
              </w:rPr>
              <w:t>Zhavorr</w:t>
            </w:r>
            <w:r w:rsidRPr="00B31292">
              <w:rPr>
                <w:rFonts w:ascii="Garamond" w:eastAsia="Times New Roman" w:hAnsi="Garamond" w:cs="Times New Roman"/>
                <w:color w:val="000000"/>
                <w:sz w:val="10"/>
                <w:szCs w:val="10"/>
              </w:rPr>
              <w:t xml:space="preserve"> </w:t>
            </w:r>
            <w:r w:rsidR="00E1320B" w:rsidRPr="00B31292">
              <w:rPr>
                <w:rFonts w:ascii="Garamond" w:eastAsia="Times New Roman" w:hAnsi="Garamond" w:cs="Times New Roman"/>
                <w:color w:val="000000"/>
                <w:sz w:val="10"/>
                <w:szCs w:val="10"/>
              </w:rPr>
              <w:t>b</w:t>
            </w:r>
            <w:r w:rsidRPr="00B31292">
              <w:rPr>
                <w:rFonts w:ascii="Garamond" w:eastAsia="Times New Roman" w:hAnsi="Garamond" w:cs="Times New Roman"/>
                <w:color w:val="000000"/>
                <w:sz w:val="10"/>
                <w:szCs w:val="10"/>
              </w:rPr>
              <w:t>ituminaz</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7. Qymyr </w:t>
            </w:r>
            <w:r w:rsidR="00E1320B" w:rsidRPr="00B31292">
              <w:rPr>
                <w:rFonts w:ascii="Garamond" w:eastAsia="Times New Roman" w:hAnsi="Garamond" w:cs="Times New Roman"/>
                <w:color w:val="000000"/>
                <w:sz w:val="10"/>
                <w:szCs w:val="10"/>
              </w:rPr>
              <w:t>g</w:t>
            </w:r>
            <w:r w:rsidRPr="00B31292">
              <w:rPr>
                <w:rFonts w:ascii="Garamond" w:eastAsia="Times New Roman" w:hAnsi="Garamond" w:cs="Times New Roman"/>
                <w:color w:val="000000"/>
                <w:sz w:val="10"/>
                <w:szCs w:val="10"/>
              </w:rPr>
              <w:t>uri</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r>
            <w:r w:rsidRPr="00B31292">
              <w:rPr>
                <w:rFonts w:ascii="Garamond" w:eastAsia="Times New Roman" w:hAnsi="Garamond" w:cs="Times New Roman"/>
                <w:i/>
                <w:iCs/>
                <w:color w:val="000000"/>
                <w:sz w:val="10"/>
                <w:szCs w:val="10"/>
              </w:rPr>
              <w:t>II.</w:t>
            </w:r>
            <w:r w:rsidR="002E2911" w:rsidRPr="00B31292">
              <w:rPr>
                <w:rFonts w:ascii="Garamond" w:eastAsia="Times New Roman" w:hAnsi="Garamond" w:cs="Times New Roman"/>
                <w:i/>
                <w:iCs/>
                <w:color w:val="000000"/>
                <w:sz w:val="10"/>
                <w:szCs w:val="10"/>
              </w:rPr>
              <w:t xml:space="preserve"> </w:t>
            </w:r>
            <w:r w:rsidRPr="00B31292">
              <w:rPr>
                <w:rFonts w:ascii="Garamond" w:eastAsia="Times New Roman" w:hAnsi="Garamond" w:cs="Times New Roman"/>
                <w:i/>
                <w:iCs/>
                <w:color w:val="000000"/>
                <w:sz w:val="10"/>
                <w:szCs w:val="10"/>
              </w:rPr>
              <w:t xml:space="preserve">Prodhim </w:t>
            </w:r>
            <w:r w:rsidRPr="00B31292">
              <w:rPr>
                <w:rFonts w:ascii="Garamond" w:eastAsia="Times New Roman" w:hAnsi="Garamond" w:cs="Times New Roman"/>
                <w:color w:val="000000"/>
                <w:sz w:val="10"/>
                <w:szCs w:val="10"/>
              </w:rPr>
              <w:br/>
            </w:r>
            <w:r w:rsidRPr="00B31292">
              <w:rPr>
                <w:rFonts w:ascii="Garamond" w:eastAsia="Times New Roman" w:hAnsi="Garamond" w:cs="Times New Roman"/>
                <w:i/>
                <w:iCs/>
                <w:color w:val="000000"/>
                <w:sz w:val="10"/>
                <w:szCs w:val="10"/>
              </w:rPr>
              <w:t xml:space="preserve"> </w:t>
            </w:r>
            <w:r w:rsidR="00E1320B" w:rsidRPr="00B31292">
              <w:rPr>
                <w:rFonts w:ascii="Garamond" w:eastAsia="Times New Roman" w:hAnsi="Garamond" w:cs="Times New Roman"/>
                <w:i/>
                <w:iCs/>
                <w:color w:val="000000"/>
                <w:sz w:val="10"/>
                <w:szCs w:val="10"/>
              </w:rPr>
              <w:t>prodhim (energji elektrike</w:t>
            </w:r>
            <w:r w:rsidRPr="00B31292">
              <w:rPr>
                <w:rFonts w:ascii="Garamond" w:eastAsia="Times New Roman" w:hAnsi="Garamond" w:cs="Times New Roman"/>
                <w:i/>
                <w:iCs/>
                <w:color w:val="000000"/>
                <w:sz w:val="10"/>
                <w:szCs w:val="10"/>
              </w:rPr>
              <w:t>)</w:t>
            </w:r>
            <w:r w:rsidR="00E1320B" w:rsidRPr="00B31292">
              <w:rPr>
                <w:rFonts w:ascii="Garamond" w:eastAsia="Times New Roman" w:hAnsi="Garamond" w:cs="Times New Roman"/>
                <w:i/>
                <w:iCs/>
                <w:color w:val="000000"/>
                <w:sz w:val="10"/>
                <w:szCs w:val="10"/>
              </w:rPr>
              <w:t>.</w:t>
            </w:r>
            <w:r w:rsidRPr="00B31292">
              <w:rPr>
                <w:rFonts w:ascii="Garamond" w:eastAsia="Times New Roman" w:hAnsi="Garamond" w:cs="Times New Roman"/>
                <w:color w:val="000000"/>
                <w:sz w:val="10"/>
                <w:szCs w:val="10"/>
              </w:rPr>
              <w:br/>
              <w:t>8. Prodhim bruto i hidrocentraleve publike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9. Prodhues të pavarur privatë dhe koncesionarë</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10. Të tjerë prodhues (energji të rinovueshme të tjera)</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11. Konsum dhe humbje vetjake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12. Importi bruto (energji në marrje)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13. Eksporti bruto (energji në dhënie)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14. Konsumi i energjisë elektrike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15. Humbjet në rrjet</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16. Humbjet dhe konsumi vetjak në transmetim</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r>
            <w:r w:rsidRPr="00B31292">
              <w:rPr>
                <w:rFonts w:ascii="Garamond" w:eastAsia="Times New Roman" w:hAnsi="Garamond" w:cs="Times New Roman"/>
                <w:color w:val="000000"/>
                <w:sz w:val="10"/>
                <w:szCs w:val="10"/>
              </w:rPr>
              <w:lastRenderedPageBreak/>
              <w:t>17. Humbjet në shpërndarje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r>
          </w:p>
        </w:tc>
        <w:tc>
          <w:tcPr>
            <w:tcW w:w="299" w:type="pct"/>
            <w:vMerge w:val="restart"/>
            <w:tcBorders>
              <w:top w:val="nil"/>
              <w:left w:val="single" w:sz="4" w:space="0" w:color="auto"/>
              <w:bottom w:val="single" w:sz="4" w:space="0" w:color="000000"/>
              <w:right w:val="single" w:sz="4" w:space="0" w:color="000000"/>
            </w:tcBorders>
            <w:shd w:val="clear" w:color="auto" w:fill="auto"/>
            <w:vAlign w:val="center"/>
            <w:hideMark/>
          </w:tcPr>
          <w:p w14:paraId="7A50B542" w14:textId="7F8E55DA"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lastRenderedPageBreak/>
              <w:t>Operatori i Sistemit të Transmetimit</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Korporata Elektroenergj</w:t>
            </w:r>
            <w:r w:rsidR="00106FB4" w:rsidRPr="00B31292">
              <w:rPr>
                <w:rFonts w:ascii="Garamond" w:eastAsia="Times New Roman" w:hAnsi="Garamond" w:cs="Times New Roman"/>
                <w:color w:val="000000"/>
                <w:sz w:val="10"/>
                <w:szCs w:val="10"/>
              </w:rPr>
              <w:t>e</w:t>
            </w:r>
            <w:r w:rsidRPr="00B31292">
              <w:rPr>
                <w:rFonts w:ascii="Garamond" w:eastAsia="Times New Roman" w:hAnsi="Garamond" w:cs="Times New Roman"/>
                <w:color w:val="000000"/>
                <w:sz w:val="10"/>
                <w:szCs w:val="10"/>
              </w:rPr>
              <w:t>tike Shqiptare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r>
            <w:r w:rsidR="0012403A" w:rsidRPr="00B31292">
              <w:rPr>
                <w:rFonts w:ascii="Garamond" w:eastAsia="Times New Roman" w:hAnsi="Garamond" w:cs="Times New Roman"/>
                <w:color w:val="000000"/>
                <w:sz w:val="10"/>
                <w:szCs w:val="10"/>
              </w:rPr>
              <w:t>Operatori</w:t>
            </w:r>
            <w:r w:rsidRPr="00B31292">
              <w:rPr>
                <w:rFonts w:ascii="Garamond" w:eastAsia="Times New Roman" w:hAnsi="Garamond" w:cs="Times New Roman"/>
                <w:color w:val="000000"/>
                <w:sz w:val="10"/>
                <w:szCs w:val="10"/>
              </w:rPr>
              <w:t xml:space="preserve"> i </w:t>
            </w:r>
            <w:r w:rsidR="0012403A" w:rsidRPr="00B31292">
              <w:rPr>
                <w:rFonts w:ascii="Garamond" w:eastAsia="Times New Roman" w:hAnsi="Garamond" w:cs="Times New Roman"/>
                <w:color w:val="000000"/>
                <w:sz w:val="10"/>
                <w:szCs w:val="10"/>
              </w:rPr>
              <w:t>Shpërndarjes</w:t>
            </w:r>
            <w:r w:rsidRPr="00B31292">
              <w:rPr>
                <w:rFonts w:ascii="Garamond" w:eastAsia="Times New Roman" w:hAnsi="Garamond" w:cs="Times New Roman"/>
                <w:color w:val="000000"/>
                <w:sz w:val="10"/>
                <w:szCs w:val="10"/>
              </w:rPr>
              <w:t xml:space="preserve"> së Energjisë (OSHEE)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Ministria e Infrastrukturës dhe Energjisë</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Agjencia Kombëtare e Burimeve Natyrore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Albpetrol sh.a</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Enti Rregullator i Energjisë</w:t>
            </w:r>
          </w:p>
        </w:tc>
        <w:tc>
          <w:tcPr>
            <w:tcW w:w="224" w:type="pct"/>
            <w:vMerge w:val="restart"/>
            <w:tcBorders>
              <w:top w:val="nil"/>
              <w:left w:val="single" w:sz="4" w:space="0" w:color="000000"/>
              <w:bottom w:val="single" w:sz="4" w:space="0" w:color="000000"/>
              <w:right w:val="single" w:sz="4" w:space="0" w:color="auto"/>
            </w:tcBorders>
            <w:shd w:val="clear" w:color="auto" w:fill="auto"/>
            <w:vAlign w:val="center"/>
            <w:hideMark/>
          </w:tcPr>
          <w:p w14:paraId="0546B13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Agjencia Kombëtare e Burimeve Natyrore </w:t>
            </w:r>
          </w:p>
        </w:tc>
        <w:tc>
          <w:tcPr>
            <w:tcW w:w="24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40A7291"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T + 54D</w:t>
            </w:r>
          </w:p>
        </w:tc>
        <w:tc>
          <w:tcPr>
            <w:tcW w:w="220"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FD9CC64"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T + 59D</w:t>
            </w:r>
          </w:p>
        </w:tc>
        <w:tc>
          <w:tcPr>
            <w:tcW w:w="220"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182D626"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T + 64D</w:t>
            </w:r>
          </w:p>
        </w:tc>
        <w:tc>
          <w:tcPr>
            <w:tcW w:w="346" w:type="pct"/>
            <w:vMerge w:val="restart"/>
            <w:tcBorders>
              <w:top w:val="nil"/>
              <w:left w:val="single" w:sz="4" w:space="0" w:color="auto"/>
              <w:bottom w:val="single" w:sz="4" w:space="0" w:color="000000"/>
              <w:right w:val="single" w:sz="4" w:space="0" w:color="auto"/>
            </w:tcBorders>
            <w:shd w:val="clear" w:color="auto" w:fill="auto"/>
            <w:vAlign w:val="center"/>
            <w:hideMark/>
          </w:tcPr>
          <w:p w14:paraId="135E1DAA" w14:textId="6A195C55"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Mosmarrja në kohë dhe ndryshimi i bazës ligjore të burimit administrativ, sjell si pasojë mos publikimin në kohë dhe me cilësi të rezultateve të treguesve statistikorë -|- 3</w:t>
            </w:r>
            <w:r w:rsidRPr="00B31292">
              <w:rPr>
                <w:rFonts w:ascii="Garamond" w:eastAsia="Times New Roman" w:hAnsi="Garamond" w:cs="Times New Roman"/>
                <w:color w:val="000000"/>
                <w:sz w:val="10"/>
                <w:szCs w:val="10"/>
              </w:rPr>
              <w:br/>
              <w:t>2. Moszbatimi në kohë i hapave dhe detyrave për kryerjen e procesit statistikor në vrojtimet vjetore, e cila sjell si pasojë mos publikimin në kohë të rezultateve të vrojtimit. -|- 4</w:t>
            </w:r>
            <w:r w:rsidRPr="00B31292">
              <w:rPr>
                <w:rFonts w:ascii="Garamond" w:eastAsia="Times New Roman" w:hAnsi="Garamond" w:cs="Times New Roman"/>
                <w:color w:val="000000"/>
                <w:sz w:val="10"/>
                <w:szCs w:val="10"/>
              </w:rPr>
              <w:br/>
              <w:t>3. Mospërmbushja e</w:t>
            </w:r>
            <w:r w:rsidR="003E16E0" w:rsidRPr="00B31292">
              <w:rPr>
                <w:rFonts w:ascii="Garamond" w:eastAsia="Times New Roman" w:hAnsi="Garamond" w:cs="Times New Roman"/>
                <w:color w:val="000000"/>
                <w:sz w:val="10"/>
                <w:szCs w:val="10"/>
              </w:rPr>
              <w:t xml:space="preserve"> </w:t>
            </w:r>
            <w:r w:rsidR="00F667B8" w:rsidRPr="00B31292">
              <w:rPr>
                <w:rFonts w:ascii="Garamond" w:eastAsia="Times New Roman" w:hAnsi="Garamond" w:cs="Times New Roman"/>
                <w:color w:val="000000"/>
                <w:sz w:val="10"/>
                <w:szCs w:val="10"/>
              </w:rPr>
              <w:t>kritereve të cilësisë, si:</w:t>
            </w:r>
            <w:r w:rsidRPr="00B31292">
              <w:rPr>
                <w:rFonts w:ascii="Garamond" w:eastAsia="Times New Roman" w:hAnsi="Garamond" w:cs="Times New Roman"/>
                <w:color w:val="000000"/>
                <w:sz w:val="10"/>
                <w:szCs w:val="10"/>
              </w:rPr>
              <w:t xml:space="preserve"> saktësia, përpikmëria dhe krahasueshmëria, për vrojtimet statistikore e cila sjell si pasojë mos shpërndarjen në kohë e në cilësi të </w:t>
            </w:r>
            <w:r w:rsidRPr="00B31292">
              <w:rPr>
                <w:rFonts w:ascii="Garamond" w:eastAsia="Times New Roman" w:hAnsi="Garamond" w:cs="Times New Roman"/>
                <w:color w:val="000000"/>
                <w:sz w:val="10"/>
                <w:szCs w:val="10"/>
              </w:rPr>
              <w:lastRenderedPageBreak/>
              <w:t>rezultateve të vrojtimit. -|- 5</w:t>
            </w:r>
            <w:r w:rsidRPr="00B31292">
              <w:rPr>
                <w:rFonts w:ascii="Garamond" w:eastAsia="Times New Roman" w:hAnsi="Garamond" w:cs="Times New Roman"/>
                <w:color w:val="000000"/>
                <w:sz w:val="10"/>
                <w:szCs w:val="10"/>
              </w:rPr>
              <w:br/>
              <w:t>4. Pezullimi/vonesa e mbledhjes, prodhimit dhe shpërndarjes të statistikave zyrtare nga fatkeqësitë natyrore / pandemi globale, e cila sjell si pasojë mos publikimin në kohë të rezultateve të vrojtimit. -|- 5</w:t>
            </w:r>
            <w:r w:rsidRPr="00B31292">
              <w:rPr>
                <w:rFonts w:ascii="Garamond" w:eastAsia="Times New Roman" w:hAnsi="Garamond" w:cs="Times New Roman"/>
                <w:color w:val="000000"/>
                <w:sz w:val="10"/>
                <w:szCs w:val="10"/>
              </w:rPr>
              <w:br/>
              <w:t>5. Mosevidentimi dhe realizimi i detyrave të përditshme të sektorit, e cila sjell si pasojë ngadalësim të proceseve të punës -|- 2</w:t>
            </w:r>
            <w:r w:rsidRPr="00B31292">
              <w:rPr>
                <w:rFonts w:ascii="Garamond" w:eastAsia="Times New Roman" w:hAnsi="Garamond" w:cs="Times New Roman"/>
                <w:color w:val="000000"/>
                <w:sz w:val="10"/>
                <w:szCs w:val="10"/>
              </w:rPr>
              <w:br/>
              <w:t xml:space="preserve">6. Moszbatimi në kohë i kalendarit të publikimeve statistikore dhe përditësimit të materialeve në </w:t>
            </w:r>
            <w:r w:rsidRPr="00B31292">
              <w:rPr>
                <w:rFonts w:ascii="Garamond" w:eastAsia="Times New Roman" w:hAnsi="Garamond" w:cs="Times New Roman"/>
                <w:i/>
                <w:iCs/>
                <w:color w:val="000000"/>
                <w:sz w:val="10"/>
                <w:szCs w:val="10"/>
              </w:rPr>
              <w:t>web</w:t>
            </w:r>
            <w:r w:rsidRPr="00B31292">
              <w:rPr>
                <w:rFonts w:ascii="Garamond" w:eastAsia="Times New Roman" w:hAnsi="Garamond" w:cs="Times New Roman"/>
                <w:color w:val="000000"/>
                <w:sz w:val="10"/>
                <w:szCs w:val="10"/>
              </w:rPr>
              <w:t xml:space="preserve">, e cila sjell si pasojë mungesën e informacionit për përdoruesit dhe </w:t>
            </w:r>
            <w:r w:rsidR="00864BC6" w:rsidRPr="00B31292">
              <w:rPr>
                <w:rFonts w:ascii="Garamond" w:eastAsia="Times New Roman" w:hAnsi="Garamond" w:cs="Times New Roman"/>
                <w:color w:val="000000"/>
                <w:sz w:val="10"/>
                <w:szCs w:val="10"/>
              </w:rPr>
              <w:t>cenimin</w:t>
            </w:r>
            <w:r w:rsidRPr="00B31292">
              <w:rPr>
                <w:rFonts w:ascii="Garamond" w:eastAsia="Times New Roman" w:hAnsi="Garamond" w:cs="Times New Roman"/>
                <w:color w:val="000000"/>
                <w:sz w:val="10"/>
                <w:szCs w:val="10"/>
              </w:rPr>
              <w:t xml:space="preserve"> e imazhit të INSTAT</w:t>
            </w:r>
            <w:r w:rsidR="00106FB4" w:rsidRPr="00B31292">
              <w:rPr>
                <w:rFonts w:ascii="Garamond" w:eastAsia="Times New Roman" w:hAnsi="Garamond" w:cs="Times New Roman"/>
                <w:color w:val="000000"/>
                <w:sz w:val="10"/>
                <w:szCs w:val="10"/>
              </w:rPr>
              <w:t>-it</w:t>
            </w:r>
            <w:r w:rsidRPr="00B31292">
              <w:rPr>
                <w:rFonts w:ascii="Garamond" w:eastAsia="Times New Roman" w:hAnsi="Garamond" w:cs="Times New Roman"/>
                <w:color w:val="000000"/>
                <w:sz w:val="10"/>
                <w:szCs w:val="10"/>
              </w:rPr>
              <w:t xml:space="preserve"> -|- 2</w:t>
            </w:r>
            <w:r w:rsidRPr="00B31292">
              <w:rPr>
                <w:rFonts w:ascii="Garamond" w:eastAsia="Times New Roman" w:hAnsi="Garamond" w:cs="Times New Roman"/>
                <w:color w:val="000000"/>
                <w:sz w:val="10"/>
                <w:szCs w:val="10"/>
              </w:rPr>
              <w:br/>
              <w:t>7. Gabime në përllogaritje e treguesve nga specialistët, e cila sjell si pasojë mos shpërndarja në cilësi të rezultateve të treguesve statistikorë -|- 2</w:t>
            </w:r>
            <w:r w:rsidRPr="00B31292">
              <w:rPr>
                <w:rFonts w:ascii="Garamond" w:eastAsia="Times New Roman" w:hAnsi="Garamond" w:cs="Times New Roman"/>
                <w:color w:val="000000"/>
                <w:sz w:val="10"/>
                <w:szCs w:val="10"/>
              </w:rPr>
              <w:br/>
              <w:t>8. Mosfunksionimi i metodave të reja të IT për mbledhjen e të dhënave në vrojtimet vjetore, e cila sjell si pasojë mos publikimin në kohë të rezultateve të vrojtimit -|- 7</w:t>
            </w:r>
            <w:r w:rsidRPr="00B31292">
              <w:rPr>
                <w:rFonts w:ascii="Garamond" w:eastAsia="Times New Roman" w:hAnsi="Garamond" w:cs="Times New Roman"/>
                <w:color w:val="000000"/>
                <w:sz w:val="10"/>
                <w:szCs w:val="10"/>
              </w:rPr>
              <w:br/>
              <w:t>9. Lëvizja e stafit me eksperiencë nga sektori, e cila sjell si pasojë ndërprerje/ngadalësim të proceseve të punës. -|- 6</w:t>
            </w:r>
            <w:r w:rsidRPr="00B31292">
              <w:rPr>
                <w:rFonts w:ascii="Garamond" w:eastAsia="Times New Roman" w:hAnsi="Garamond" w:cs="Times New Roman"/>
                <w:color w:val="000000"/>
                <w:sz w:val="10"/>
                <w:szCs w:val="10"/>
              </w:rPr>
              <w:br/>
              <w:t>10. Mosfunksionimi i metodave të automatizimit dhe mos pasja e suportit për automatizimin e proceseve t</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prodhimit statistikor, e cila sjell si pasojë ngadalësim të procesit të automatizimit -|- 7</w:t>
            </w:r>
            <w:r w:rsidRPr="00B31292">
              <w:rPr>
                <w:rFonts w:ascii="Garamond" w:eastAsia="Times New Roman" w:hAnsi="Garamond" w:cs="Times New Roman"/>
                <w:color w:val="000000"/>
                <w:sz w:val="10"/>
                <w:szCs w:val="10"/>
              </w:rPr>
              <w:br/>
              <w:t xml:space="preserve">11. Moszhvillimi i sistemeve të informacionit dhe </w:t>
            </w:r>
            <w:r w:rsidRPr="00B31292">
              <w:rPr>
                <w:rFonts w:ascii="Garamond" w:eastAsia="Times New Roman" w:hAnsi="Garamond" w:cs="Times New Roman"/>
                <w:i/>
                <w:iCs/>
                <w:color w:val="000000"/>
                <w:sz w:val="10"/>
                <w:szCs w:val="10"/>
              </w:rPr>
              <w:lastRenderedPageBreak/>
              <w:t>web-services</w:t>
            </w:r>
            <w:r w:rsidRPr="00B31292">
              <w:rPr>
                <w:rFonts w:ascii="Garamond" w:eastAsia="Times New Roman" w:hAnsi="Garamond" w:cs="Times New Roman"/>
                <w:color w:val="000000"/>
                <w:sz w:val="10"/>
                <w:szCs w:val="10"/>
              </w:rPr>
              <w:t xml:space="preserve">, e cila sjell si pasojë përdorimin e sistemeve aktuale dhe mospërmirësim të </w:t>
            </w:r>
            <w:r w:rsidRPr="00B31292">
              <w:rPr>
                <w:rFonts w:ascii="Garamond" w:eastAsia="Times New Roman" w:hAnsi="Garamond" w:cs="Times New Roman"/>
                <w:i/>
                <w:iCs/>
                <w:color w:val="000000"/>
                <w:sz w:val="10"/>
                <w:szCs w:val="10"/>
              </w:rPr>
              <w:t>response burden -|- 6</w:t>
            </w:r>
          </w:p>
        </w:tc>
        <w:tc>
          <w:tcPr>
            <w:tcW w:w="273" w:type="pct"/>
            <w:vMerge w:val="restart"/>
            <w:tcBorders>
              <w:top w:val="nil"/>
              <w:left w:val="single" w:sz="4" w:space="0" w:color="auto"/>
              <w:bottom w:val="single" w:sz="4" w:space="0" w:color="000000"/>
              <w:right w:val="single" w:sz="4" w:space="0" w:color="auto"/>
            </w:tcBorders>
            <w:shd w:val="clear" w:color="auto" w:fill="auto"/>
            <w:vAlign w:val="center"/>
            <w:hideMark/>
          </w:tcPr>
          <w:p w14:paraId="1CA4BC8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lastRenderedPageBreak/>
              <w:t>Buxhet shteti</w:t>
            </w:r>
          </w:p>
        </w:tc>
      </w:tr>
      <w:tr w:rsidR="000A2254" w:rsidRPr="00B31292" w14:paraId="5EEFFE8F" w14:textId="77777777" w:rsidTr="000A2254">
        <w:trPr>
          <w:trHeight w:val="20"/>
        </w:trPr>
        <w:tc>
          <w:tcPr>
            <w:tcW w:w="215" w:type="pct"/>
            <w:tcBorders>
              <w:top w:val="nil"/>
              <w:left w:val="nil"/>
              <w:bottom w:val="nil"/>
              <w:right w:val="nil"/>
            </w:tcBorders>
            <w:shd w:val="clear" w:color="000000" w:fill="FFFFFF"/>
            <w:vAlign w:val="bottom"/>
            <w:hideMark/>
          </w:tcPr>
          <w:p w14:paraId="4149E8F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4B7A7A2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34AC4B9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50DD70A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5A38378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39B6DCA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vMerge/>
            <w:tcBorders>
              <w:top w:val="nil"/>
              <w:left w:val="single" w:sz="4" w:space="0" w:color="000000"/>
              <w:bottom w:val="single" w:sz="4" w:space="0" w:color="000000"/>
              <w:right w:val="single" w:sz="4" w:space="0" w:color="000000"/>
            </w:tcBorders>
            <w:vAlign w:val="center"/>
            <w:hideMark/>
          </w:tcPr>
          <w:p w14:paraId="373AFB3C"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81" w:type="pct"/>
            <w:vMerge/>
            <w:tcBorders>
              <w:top w:val="nil"/>
              <w:left w:val="single" w:sz="4" w:space="0" w:color="000000"/>
              <w:bottom w:val="single" w:sz="4" w:space="0" w:color="000000"/>
              <w:right w:val="single" w:sz="4" w:space="0" w:color="000000"/>
            </w:tcBorders>
            <w:vAlign w:val="center"/>
            <w:hideMark/>
          </w:tcPr>
          <w:p w14:paraId="6CC4F21A" w14:textId="77777777" w:rsidR="000A2254" w:rsidRPr="00B31292" w:rsidRDefault="000A2254" w:rsidP="000A2254">
            <w:pPr>
              <w:spacing w:after="0" w:line="240" w:lineRule="auto"/>
              <w:rPr>
                <w:rFonts w:ascii="Garamond" w:eastAsia="Times New Roman" w:hAnsi="Garamond" w:cs="Times New Roman"/>
                <w:sz w:val="10"/>
                <w:szCs w:val="10"/>
              </w:rPr>
            </w:pPr>
          </w:p>
        </w:tc>
        <w:tc>
          <w:tcPr>
            <w:tcW w:w="236" w:type="pct"/>
            <w:vMerge/>
            <w:tcBorders>
              <w:top w:val="nil"/>
              <w:left w:val="single" w:sz="4" w:space="0" w:color="000000"/>
              <w:bottom w:val="single" w:sz="4" w:space="0" w:color="000000"/>
              <w:right w:val="single" w:sz="4" w:space="0" w:color="auto"/>
            </w:tcBorders>
            <w:vAlign w:val="center"/>
            <w:hideMark/>
          </w:tcPr>
          <w:p w14:paraId="5A88D052" w14:textId="77777777" w:rsidR="000A2254" w:rsidRPr="00B31292" w:rsidRDefault="000A2254" w:rsidP="000A2254">
            <w:pPr>
              <w:spacing w:after="0" w:line="240" w:lineRule="auto"/>
              <w:rPr>
                <w:rFonts w:ascii="Garamond" w:eastAsia="Times New Roman" w:hAnsi="Garamond" w:cs="Times New Roman"/>
                <w:sz w:val="10"/>
                <w:szCs w:val="10"/>
              </w:rPr>
            </w:pPr>
          </w:p>
        </w:tc>
        <w:tc>
          <w:tcPr>
            <w:tcW w:w="238" w:type="pct"/>
            <w:vMerge/>
            <w:tcBorders>
              <w:top w:val="nil"/>
              <w:left w:val="single" w:sz="4" w:space="0" w:color="auto"/>
              <w:bottom w:val="single" w:sz="4" w:space="0" w:color="000000"/>
              <w:right w:val="single" w:sz="4" w:space="0" w:color="auto"/>
            </w:tcBorders>
            <w:vAlign w:val="center"/>
            <w:hideMark/>
          </w:tcPr>
          <w:p w14:paraId="4DACC3D0" w14:textId="77777777" w:rsidR="000A2254" w:rsidRPr="00B31292" w:rsidRDefault="000A2254" w:rsidP="000A2254">
            <w:pPr>
              <w:spacing w:after="0" w:line="240" w:lineRule="auto"/>
              <w:rPr>
                <w:rFonts w:ascii="Garamond" w:eastAsia="Times New Roman" w:hAnsi="Garamond" w:cs="Times New Roman"/>
                <w:sz w:val="10"/>
                <w:szCs w:val="10"/>
              </w:rPr>
            </w:pPr>
          </w:p>
        </w:tc>
        <w:tc>
          <w:tcPr>
            <w:tcW w:w="180" w:type="pct"/>
            <w:vMerge/>
            <w:tcBorders>
              <w:top w:val="nil"/>
              <w:left w:val="single" w:sz="4" w:space="0" w:color="auto"/>
              <w:bottom w:val="single" w:sz="4" w:space="0" w:color="000000"/>
              <w:right w:val="single" w:sz="4" w:space="0" w:color="auto"/>
            </w:tcBorders>
            <w:vAlign w:val="center"/>
            <w:hideMark/>
          </w:tcPr>
          <w:p w14:paraId="77E0DD39" w14:textId="77777777" w:rsidR="000A2254" w:rsidRPr="00B31292" w:rsidRDefault="000A2254" w:rsidP="000A2254">
            <w:pPr>
              <w:spacing w:after="0" w:line="240" w:lineRule="auto"/>
              <w:rPr>
                <w:rFonts w:ascii="Garamond" w:eastAsia="Times New Roman" w:hAnsi="Garamond" w:cs="Times New Roman"/>
                <w:sz w:val="10"/>
                <w:szCs w:val="10"/>
              </w:rPr>
            </w:pPr>
          </w:p>
        </w:tc>
        <w:tc>
          <w:tcPr>
            <w:tcW w:w="228" w:type="pct"/>
            <w:vMerge/>
            <w:tcBorders>
              <w:top w:val="nil"/>
              <w:left w:val="single" w:sz="4" w:space="0" w:color="auto"/>
              <w:bottom w:val="single" w:sz="4" w:space="0" w:color="000000"/>
              <w:right w:val="single" w:sz="4" w:space="0" w:color="auto"/>
            </w:tcBorders>
            <w:vAlign w:val="center"/>
            <w:hideMark/>
          </w:tcPr>
          <w:p w14:paraId="0893CBAC"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22" w:type="pct"/>
            <w:vMerge/>
            <w:tcBorders>
              <w:top w:val="nil"/>
              <w:left w:val="single" w:sz="4" w:space="0" w:color="auto"/>
              <w:bottom w:val="single" w:sz="4" w:space="0" w:color="000000"/>
              <w:right w:val="single" w:sz="4" w:space="0" w:color="auto"/>
            </w:tcBorders>
            <w:vAlign w:val="center"/>
            <w:hideMark/>
          </w:tcPr>
          <w:p w14:paraId="28F9319E"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486" w:type="pct"/>
            <w:tcBorders>
              <w:top w:val="nil"/>
              <w:left w:val="nil"/>
              <w:bottom w:val="nil"/>
              <w:right w:val="single" w:sz="4" w:space="0" w:color="auto"/>
            </w:tcBorders>
            <w:shd w:val="clear" w:color="auto" w:fill="auto"/>
            <w:hideMark/>
          </w:tcPr>
          <w:p w14:paraId="7AF153B6" w14:textId="6273533D"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18. Humbjet teknike në shpërndarje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19. Humbjet joteknike në shpërndarje</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20. Përdorimi nga konsumatorët</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21. Familjarë</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22. Jo</w:t>
            </w:r>
            <w:r w:rsidR="00AB06FA" w:rsidRPr="00B31292">
              <w:rPr>
                <w:rFonts w:ascii="Garamond" w:eastAsia="Times New Roman" w:hAnsi="Garamond" w:cs="Times New Roman"/>
                <w:color w:val="000000"/>
                <w:sz w:val="10"/>
                <w:szCs w:val="10"/>
              </w:rPr>
              <w:t>f</w:t>
            </w:r>
            <w:r w:rsidRPr="00B31292">
              <w:rPr>
                <w:rFonts w:ascii="Garamond" w:eastAsia="Times New Roman" w:hAnsi="Garamond" w:cs="Times New Roman"/>
                <w:color w:val="000000"/>
                <w:sz w:val="10"/>
                <w:szCs w:val="10"/>
              </w:rPr>
              <w:t>amiljarë</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r>
            <w:r w:rsidR="00E1320B" w:rsidRPr="00B31292">
              <w:rPr>
                <w:rFonts w:ascii="Garamond" w:eastAsia="Times New Roman" w:hAnsi="Garamond" w:cs="Times New Roman"/>
                <w:color w:val="000000"/>
                <w:sz w:val="10"/>
                <w:szCs w:val="10"/>
              </w:rPr>
              <w:t>prodhim (naftë bruto</w:t>
            </w:r>
            <w:r w:rsidRPr="00B31292">
              <w:rPr>
                <w:rFonts w:ascii="Garamond" w:eastAsia="Times New Roman" w:hAnsi="Garamond" w:cs="Times New Roman"/>
                <w:color w:val="000000"/>
                <w:sz w:val="10"/>
                <w:szCs w:val="10"/>
              </w:rPr>
              <w:t>)</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23. Eksporti bruto</w:t>
            </w:r>
            <w:r w:rsidRPr="00B31292">
              <w:rPr>
                <w:rFonts w:ascii="Garamond" w:eastAsia="Times New Roman" w:hAnsi="Garamond" w:cs="Times New Roman"/>
                <w:color w:val="000000"/>
                <w:sz w:val="10"/>
                <w:szCs w:val="10"/>
              </w:rPr>
              <w:br/>
            </w:r>
            <w:r w:rsidR="00E1320B" w:rsidRPr="00B31292">
              <w:rPr>
                <w:rFonts w:ascii="Garamond" w:eastAsia="Times New Roman" w:hAnsi="Garamond" w:cs="Times New Roman"/>
                <w:color w:val="000000"/>
                <w:sz w:val="10"/>
                <w:szCs w:val="10"/>
              </w:rPr>
              <w:t>prodhim qymyri.</w:t>
            </w:r>
            <w:r w:rsidRPr="00B31292">
              <w:rPr>
                <w:rFonts w:ascii="Garamond" w:eastAsia="Times New Roman" w:hAnsi="Garamond" w:cs="Times New Roman"/>
                <w:color w:val="000000"/>
                <w:sz w:val="10"/>
                <w:szCs w:val="10"/>
              </w:rPr>
              <w:br/>
              <w:t xml:space="preserve">24. Konsumi </w:t>
            </w:r>
            <w:r w:rsidR="00864BC6" w:rsidRPr="00B31292">
              <w:rPr>
                <w:rFonts w:ascii="Garamond" w:eastAsia="Times New Roman" w:hAnsi="Garamond" w:cs="Times New Roman"/>
                <w:color w:val="000000"/>
                <w:sz w:val="10"/>
                <w:szCs w:val="10"/>
              </w:rPr>
              <w:t>i</w:t>
            </w:r>
            <w:r w:rsidRPr="00B31292">
              <w:rPr>
                <w:rFonts w:ascii="Garamond" w:eastAsia="Times New Roman" w:hAnsi="Garamond" w:cs="Times New Roman"/>
                <w:color w:val="000000"/>
                <w:sz w:val="10"/>
                <w:szCs w:val="10"/>
              </w:rPr>
              <w:t xml:space="preserve"> </w:t>
            </w:r>
            <w:r w:rsidR="00864BC6" w:rsidRPr="00B31292">
              <w:rPr>
                <w:rFonts w:ascii="Garamond" w:eastAsia="Times New Roman" w:hAnsi="Garamond" w:cs="Times New Roman"/>
                <w:color w:val="000000"/>
                <w:sz w:val="10"/>
                <w:szCs w:val="10"/>
              </w:rPr>
              <w:t>brendshëm</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25. Importi bruto</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26. Eksporti bruto</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p>
        </w:tc>
        <w:tc>
          <w:tcPr>
            <w:tcW w:w="299" w:type="pct"/>
            <w:vMerge/>
            <w:tcBorders>
              <w:top w:val="nil"/>
              <w:left w:val="single" w:sz="4" w:space="0" w:color="auto"/>
              <w:bottom w:val="single" w:sz="4" w:space="0" w:color="000000"/>
              <w:right w:val="single" w:sz="4" w:space="0" w:color="000000"/>
            </w:tcBorders>
            <w:vAlign w:val="center"/>
            <w:hideMark/>
          </w:tcPr>
          <w:p w14:paraId="17255ABD"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24" w:type="pct"/>
            <w:vMerge/>
            <w:tcBorders>
              <w:top w:val="nil"/>
              <w:left w:val="single" w:sz="4" w:space="0" w:color="000000"/>
              <w:bottom w:val="single" w:sz="4" w:space="0" w:color="000000"/>
              <w:right w:val="single" w:sz="4" w:space="0" w:color="auto"/>
            </w:tcBorders>
            <w:vAlign w:val="center"/>
            <w:hideMark/>
          </w:tcPr>
          <w:p w14:paraId="0F16D49D"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44" w:type="pct"/>
            <w:vMerge/>
            <w:tcBorders>
              <w:top w:val="nil"/>
              <w:left w:val="single" w:sz="4" w:space="0" w:color="auto"/>
              <w:bottom w:val="single" w:sz="4" w:space="0" w:color="000000"/>
              <w:right w:val="single" w:sz="4" w:space="0" w:color="auto"/>
            </w:tcBorders>
            <w:vAlign w:val="center"/>
            <w:hideMark/>
          </w:tcPr>
          <w:p w14:paraId="79E7373D"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20" w:type="pct"/>
            <w:vMerge/>
            <w:tcBorders>
              <w:top w:val="nil"/>
              <w:left w:val="single" w:sz="4" w:space="0" w:color="auto"/>
              <w:bottom w:val="single" w:sz="4" w:space="0" w:color="000000"/>
              <w:right w:val="single" w:sz="4" w:space="0" w:color="auto"/>
            </w:tcBorders>
            <w:vAlign w:val="center"/>
            <w:hideMark/>
          </w:tcPr>
          <w:p w14:paraId="363F25CF"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20" w:type="pct"/>
            <w:vMerge/>
            <w:tcBorders>
              <w:top w:val="nil"/>
              <w:left w:val="single" w:sz="4" w:space="0" w:color="auto"/>
              <w:bottom w:val="single" w:sz="4" w:space="0" w:color="000000"/>
              <w:right w:val="single" w:sz="4" w:space="0" w:color="auto"/>
            </w:tcBorders>
            <w:vAlign w:val="center"/>
            <w:hideMark/>
          </w:tcPr>
          <w:p w14:paraId="2F9A3969"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346" w:type="pct"/>
            <w:vMerge/>
            <w:tcBorders>
              <w:top w:val="nil"/>
              <w:left w:val="single" w:sz="4" w:space="0" w:color="auto"/>
              <w:bottom w:val="single" w:sz="4" w:space="0" w:color="000000"/>
              <w:right w:val="single" w:sz="4" w:space="0" w:color="auto"/>
            </w:tcBorders>
            <w:vAlign w:val="center"/>
            <w:hideMark/>
          </w:tcPr>
          <w:p w14:paraId="4A99485C"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73" w:type="pct"/>
            <w:vMerge/>
            <w:tcBorders>
              <w:top w:val="nil"/>
              <w:left w:val="single" w:sz="4" w:space="0" w:color="auto"/>
              <w:bottom w:val="single" w:sz="4" w:space="0" w:color="000000"/>
              <w:right w:val="single" w:sz="4" w:space="0" w:color="auto"/>
            </w:tcBorders>
            <w:vAlign w:val="center"/>
            <w:hideMark/>
          </w:tcPr>
          <w:p w14:paraId="7579DBBE"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r>
      <w:tr w:rsidR="000A2254" w:rsidRPr="00B31292" w14:paraId="11FA8008" w14:textId="77777777" w:rsidTr="000A2254">
        <w:trPr>
          <w:trHeight w:val="20"/>
        </w:trPr>
        <w:tc>
          <w:tcPr>
            <w:tcW w:w="215" w:type="pct"/>
            <w:tcBorders>
              <w:top w:val="nil"/>
              <w:left w:val="nil"/>
              <w:bottom w:val="nil"/>
              <w:right w:val="nil"/>
            </w:tcBorders>
            <w:shd w:val="clear" w:color="000000" w:fill="FFFFFF"/>
            <w:vAlign w:val="bottom"/>
            <w:hideMark/>
          </w:tcPr>
          <w:p w14:paraId="38059B9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4A2E384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6A311E5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796675D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6AC4228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016CA7E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000000"/>
              <w:bottom w:val="nil"/>
              <w:right w:val="single" w:sz="4" w:space="0" w:color="000000"/>
            </w:tcBorders>
            <w:shd w:val="clear" w:color="auto" w:fill="auto"/>
            <w:vAlign w:val="center"/>
            <w:hideMark/>
          </w:tcPr>
          <w:p w14:paraId="4070FD57"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3.2.1.2</w:t>
            </w:r>
          </w:p>
        </w:tc>
        <w:tc>
          <w:tcPr>
            <w:tcW w:w="281" w:type="pct"/>
            <w:tcBorders>
              <w:top w:val="nil"/>
              <w:left w:val="nil"/>
              <w:bottom w:val="nil"/>
              <w:right w:val="single" w:sz="4" w:space="0" w:color="000000"/>
            </w:tcBorders>
            <w:shd w:val="clear" w:color="auto" w:fill="auto"/>
            <w:vAlign w:val="center"/>
            <w:hideMark/>
          </w:tcPr>
          <w:p w14:paraId="49B3B897" w14:textId="40CBE801"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xml:space="preserve">Statistikat e </w:t>
            </w:r>
            <w:r w:rsidR="00E1320B" w:rsidRPr="00B31292">
              <w:rPr>
                <w:rFonts w:ascii="Garamond" w:eastAsia="Times New Roman" w:hAnsi="Garamond" w:cs="Times New Roman"/>
                <w:sz w:val="10"/>
                <w:szCs w:val="10"/>
              </w:rPr>
              <w:t>b</w:t>
            </w:r>
            <w:r w:rsidRPr="00B31292">
              <w:rPr>
                <w:rFonts w:ascii="Garamond" w:eastAsia="Times New Roman" w:hAnsi="Garamond" w:cs="Times New Roman"/>
                <w:sz w:val="10"/>
                <w:szCs w:val="10"/>
              </w:rPr>
              <w:t>ilancit të përgjithshëm të energjisë</w:t>
            </w:r>
          </w:p>
        </w:tc>
        <w:tc>
          <w:tcPr>
            <w:tcW w:w="236" w:type="pct"/>
            <w:tcBorders>
              <w:top w:val="nil"/>
              <w:left w:val="nil"/>
              <w:bottom w:val="nil"/>
              <w:right w:val="single" w:sz="4" w:space="0" w:color="000000"/>
            </w:tcBorders>
            <w:shd w:val="clear" w:color="auto" w:fill="auto"/>
            <w:vAlign w:val="center"/>
            <w:hideMark/>
          </w:tcPr>
          <w:p w14:paraId="0EBD50D3"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Burim administrativ</w:t>
            </w:r>
          </w:p>
        </w:tc>
        <w:tc>
          <w:tcPr>
            <w:tcW w:w="238" w:type="pct"/>
            <w:tcBorders>
              <w:top w:val="nil"/>
              <w:left w:val="nil"/>
              <w:bottom w:val="nil"/>
              <w:right w:val="single" w:sz="4" w:space="0" w:color="auto"/>
            </w:tcBorders>
            <w:shd w:val="clear" w:color="auto" w:fill="auto"/>
            <w:noWrap/>
            <w:vAlign w:val="center"/>
            <w:hideMark/>
          </w:tcPr>
          <w:p w14:paraId="0FD26B93"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180" w:type="pct"/>
            <w:tcBorders>
              <w:top w:val="nil"/>
              <w:left w:val="nil"/>
              <w:bottom w:val="nil"/>
              <w:right w:val="single" w:sz="4" w:space="0" w:color="auto"/>
            </w:tcBorders>
            <w:shd w:val="clear" w:color="auto" w:fill="auto"/>
            <w:noWrap/>
            <w:vAlign w:val="center"/>
            <w:hideMark/>
          </w:tcPr>
          <w:p w14:paraId="16758D5E"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28" w:type="pct"/>
            <w:tcBorders>
              <w:top w:val="nil"/>
              <w:left w:val="nil"/>
              <w:bottom w:val="nil"/>
              <w:right w:val="single" w:sz="4" w:space="0" w:color="auto"/>
            </w:tcBorders>
            <w:shd w:val="clear" w:color="auto" w:fill="auto"/>
            <w:vAlign w:val="center"/>
            <w:hideMark/>
          </w:tcPr>
          <w:p w14:paraId="36BD140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tcBorders>
              <w:top w:val="nil"/>
              <w:left w:val="nil"/>
              <w:bottom w:val="nil"/>
              <w:right w:val="single" w:sz="4" w:space="0" w:color="000000"/>
            </w:tcBorders>
            <w:shd w:val="clear" w:color="auto" w:fill="auto"/>
            <w:vAlign w:val="center"/>
            <w:hideMark/>
          </w:tcPr>
          <w:p w14:paraId="0EB567C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Vjetor</w:t>
            </w:r>
          </w:p>
        </w:tc>
        <w:tc>
          <w:tcPr>
            <w:tcW w:w="486" w:type="pct"/>
            <w:tcBorders>
              <w:top w:val="single" w:sz="4" w:space="0" w:color="auto"/>
              <w:left w:val="nil"/>
              <w:bottom w:val="nil"/>
              <w:right w:val="single" w:sz="4" w:space="0" w:color="auto"/>
            </w:tcBorders>
            <w:shd w:val="clear" w:color="000000" w:fill="FFFFFF"/>
            <w:vAlign w:val="center"/>
            <w:hideMark/>
          </w:tcPr>
          <w:p w14:paraId="605BB322" w14:textId="09CC0845"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Prodhimi i produkteve primare</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w:t>
            </w:r>
            <w:r w:rsidR="00864BC6"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Konsumi i brendshëm bruto</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 Import</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4. Eksport</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5. Konsumi në degën e energjisë</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6. Humbje në shpërndarje</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7. Disponibël për konsum final</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8. Konsumi final joenergjetik</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9. Konsumi </w:t>
            </w:r>
            <w:r w:rsidR="003D4004" w:rsidRPr="00B31292">
              <w:rPr>
                <w:rFonts w:ascii="Garamond" w:eastAsia="Times New Roman" w:hAnsi="Garamond" w:cs="Times New Roman"/>
                <w:color w:val="000000"/>
                <w:sz w:val="10"/>
                <w:szCs w:val="10"/>
              </w:rPr>
              <w:t>f</w:t>
            </w:r>
            <w:r w:rsidRPr="00B31292">
              <w:rPr>
                <w:rFonts w:ascii="Garamond" w:eastAsia="Times New Roman" w:hAnsi="Garamond" w:cs="Times New Roman"/>
                <w:color w:val="000000"/>
                <w:sz w:val="10"/>
                <w:szCs w:val="10"/>
              </w:rPr>
              <w:t xml:space="preserve">inal </w:t>
            </w:r>
            <w:r w:rsidR="00864BC6" w:rsidRPr="00B31292">
              <w:rPr>
                <w:rFonts w:ascii="Garamond" w:eastAsia="Times New Roman" w:hAnsi="Garamond" w:cs="Times New Roman"/>
                <w:color w:val="000000"/>
                <w:sz w:val="10"/>
                <w:szCs w:val="10"/>
              </w:rPr>
              <w:t>i</w:t>
            </w:r>
            <w:r w:rsidRPr="00B31292">
              <w:rPr>
                <w:rFonts w:ascii="Garamond" w:eastAsia="Times New Roman" w:hAnsi="Garamond" w:cs="Times New Roman"/>
                <w:color w:val="000000"/>
                <w:sz w:val="10"/>
                <w:szCs w:val="10"/>
              </w:rPr>
              <w:t xml:space="preserve"> </w:t>
            </w:r>
            <w:r w:rsidR="00864BC6" w:rsidRPr="00B31292">
              <w:rPr>
                <w:rFonts w:ascii="Garamond" w:eastAsia="Times New Roman" w:hAnsi="Garamond" w:cs="Times New Roman"/>
                <w:color w:val="000000"/>
                <w:sz w:val="10"/>
                <w:szCs w:val="10"/>
              </w:rPr>
              <w:t>Energjisë</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10. Konsumi final i energjisë p</w:t>
            </w:r>
            <w:r w:rsidR="003D4004"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r banor</w:t>
            </w:r>
            <w:r w:rsidR="003D4004"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br/>
              <w:t xml:space="preserve">11. Intensiteti i </w:t>
            </w:r>
            <w:r w:rsidR="00864BC6" w:rsidRPr="00B31292">
              <w:rPr>
                <w:rFonts w:ascii="Garamond" w:eastAsia="Times New Roman" w:hAnsi="Garamond" w:cs="Times New Roman"/>
                <w:color w:val="000000"/>
                <w:sz w:val="10"/>
                <w:szCs w:val="10"/>
              </w:rPr>
              <w:t>Energjisë</w:t>
            </w:r>
            <w:r w:rsidR="00E1320B"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12.</w:t>
            </w:r>
            <w:r w:rsidR="00864BC6"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 xml:space="preserve">Kontributi i burimeve të </w:t>
            </w:r>
            <w:r w:rsidR="00E1320B" w:rsidRPr="00B31292">
              <w:rPr>
                <w:rFonts w:ascii="Garamond" w:eastAsia="Times New Roman" w:hAnsi="Garamond" w:cs="Times New Roman"/>
                <w:color w:val="000000"/>
                <w:sz w:val="10"/>
                <w:szCs w:val="10"/>
              </w:rPr>
              <w:t>energjisë së rinovueshme në konsumin final.</w:t>
            </w:r>
          </w:p>
        </w:tc>
        <w:tc>
          <w:tcPr>
            <w:tcW w:w="299" w:type="pct"/>
            <w:tcBorders>
              <w:top w:val="nil"/>
              <w:left w:val="nil"/>
              <w:bottom w:val="nil"/>
              <w:right w:val="nil"/>
            </w:tcBorders>
            <w:shd w:val="clear" w:color="000000" w:fill="FFFFFF"/>
            <w:vAlign w:val="center"/>
            <w:hideMark/>
          </w:tcPr>
          <w:p w14:paraId="38F3F7C5" w14:textId="05DBF2A0"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Enti Rregullator i Energjisë, Operatori i Shpërndarjes së Energjisë Elektrike, Korporata </w:t>
            </w:r>
            <w:r w:rsidR="0077004D">
              <w:rPr>
                <w:rFonts w:ascii="Garamond" w:eastAsia="Times New Roman" w:hAnsi="Garamond" w:cs="Times New Roman"/>
                <w:color w:val="000000"/>
                <w:sz w:val="10"/>
                <w:szCs w:val="10"/>
              </w:rPr>
              <w:t>Elektroe</w:t>
            </w:r>
            <w:r w:rsidR="00864BC6" w:rsidRPr="00B31292">
              <w:rPr>
                <w:rFonts w:ascii="Garamond" w:eastAsia="Times New Roman" w:hAnsi="Garamond" w:cs="Times New Roman"/>
                <w:color w:val="000000"/>
                <w:sz w:val="10"/>
                <w:szCs w:val="10"/>
              </w:rPr>
              <w:t>nergjetike</w:t>
            </w:r>
            <w:r w:rsidRPr="00B31292">
              <w:rPr>
                <w:rFonts w:ascii="Garamond" w:eastAsia="Times New Roman" w:hAnsi="Garamond" w:cs="Times New Roman"/>
                <w:color w:val="000000"/>
                <w:sz w:val="10"/>
                <w:szCs w:val="10"/>
              </w:rPr>
              <w:t xml:space="preserve"> Shqiptare, Operatori i Sistemit të Transmetimit, </w:t>
            </w:r>
            <w:r w:rsidR="003D4004" w:rsidRPr="00B31292">
              <w:rPr>
                <w:rFonts w:ascii="Garamond" w:eastAsia="Times New Roman" w:hAnsi="Garamond" w:cs="Times New Roman"/>
                <w:color w:val="000000"/>
                <w:sz w:val="10"/>
                <w:szCs w:val="10"/>
              </w:rPr>
              <w:t>b</w:t>
            </w:r>
            <w:r w:rsidRPr="00B31292">
              <w:rPr>
                <w:rFonts w:ascii="Garamond" w:eastAsia="Times New Roman" w:hAnsi="Garamond" w:cs="Times New Roman"/>
                <w:color w:val="000000"/>
                <w:sz w:val="10"/>
                <w:szCs w:val="10"/>
              </w:rPr>
              <w:t>ashkitë, Drejtoria e Përgjithshme e Tatimeve, Drejtoria e Përgjithshme e Doganave, Ministria e infrastrukturës dhe Energjisë, Ministria e Turizmit dhe Mjedisit</w:t>
            </w:r>
            <w:r w:rsidR="00106FB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00106FB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Albpetrol</w:t>
            </w:r>
            <w:r w:rsidR="00106FB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sh.a</w:t>
            </w:r>
            <w:r w:rsidR="00106FB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00864BC6" w:rsidRPr="00B31292">
              <w:rPr>
                <w:rFonts w:ascii="Garamond" w:eastAsia="Times New Roman" w:hAnsi="Garamond" w:cs="Times New Roman"/>
                <w:color w:val="000000"/>
                <w:sz w:val="10"/>
                <w:szCs w:val="10"/>
              </w:rPr>
              <w:t>Inspektorati</w:t>
            </w:r>
            <w:r w:rsidRPr="00B31292">
              <w:rPr>
                <w:rFonts w:ascii="Garamond" w:eastAsia="Times New Roman" w:hAnsi="Garamond" w:cs="Times New Roman"/>
                <w:color w:val="000000"/>
                <w:sz w:val="10"/>
                <w:szCs w:val="10"/>
              </w:rPr>
              <w:t xml:space="preserve"> Shtetëror Teknik dhe Industrial</w:t>
            </w:r>
          </w:p>
        </w:tc>
        <w:tc>
          <w:tcPr>
            <w:tcW w:w="224" w:type="pct"/>
            <w:tcBorders>
              <w:top w:val="nil"/>
              <w:left w:val="single" w:sz="4" w:space="0" w:color="000000"/>
              <w:bottom w:val="nil"/>
              <w:right w:val="nil"/>
            </w:tcBorders>
            <w:shd w:val="clear" w:color="auto" w:fill="auto"/>
            <w:vAlign w:val="center"/>
            <w:hideMark/>
          </w:tcPr>
          <w:p w14:paraId="027500E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Agjencia Kombëtare e Burimeve Natyrore </w:t>
            </w:r>
          </w:p>
        </w:tc>
        <w:tc>
          <w:tcPr>
            <w:tcW w:w="244" w:type="pct"/>
            <w:tcBorders>
              <w:top w:val="nil"/>
              <w:left w:val="single" w:sz="4" w:space="0" w:color="auto"/>
              <w:bottom w:val="nil"/>
              <w:right w:val="single" w:sz="4" w:space="0" w:color="auto"/>
            </w:tcBorders>
            <w:shd w:val="clear" w:color="000000" w:fill="FFFFFF"/>
            <w:vAlign w:val="center"/>
            <w:hideMark/>
          </w:tcPr>
          <w:p w14:paraId="5DB1856C"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+ 229D</w:t>
            </w:r>
          </w:p>
        </w:tc>
        <w:tc>
          <w:tcPr>
            <w:tcW w:w="220" w:type="pct"/>
            <w:tcBorders>
              <w:top w:val="nil"/>
              <w:left w:val="nil"/>
              <w:bottom w:val="nil"/>
              <w:right w:val="single" w:sz="4" w:space="0" w:color="auto"/>
            </w:tcBorders>
            <w:shd w:val="clear" w:color="000000" w:fill="FFFFFF"/>
            <w:vAlign w:val="center"/>
            <w:hideMark/>
          </w:tcPr>
          <w:p w14:paraId="7E586DB4"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+ 264D</w:t>
            </w:r>
          </w:p>
        </w:tc>
        <w:tc>
          <w:tcPr>
            <w:tcW w:w="220" w:type="pct"/>
            <w:tcBorders>
              <w:top w:val="nil"/>
              <w:left w:val="nil"/>
              <w:bottom w:val="nil"/>
              <w:right w:val="single" w:sz="4" w:space="0" w:color="auto"/>
            </w:tcBorders>
            <w:shd w:val="clear" w:color="000000" w:fill="FFFFFF"/>
            <w:vAlign w:val="center"/>
            <w:hideMark/>
          </w:tcPr>
          <w:p w14:paraId="217591B2"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+ 274D</w:t>
            </w:r>
          </w:p>
        </w:tc>
        <w:tc>
          <w:tcPr>
            <w:tcW w:w="346" w:type="pct"/>
            <w:tcBorders>
              <w:top w:val="nil"/>
              <w:left w:val="nil"/>
              <w:bottom w:val="nil"/>
              <w:right w:val="single" w:sz="4" w:space="0" w:color="auto"/>
            </w:tcBorders>
            <w:shd w:val="clear" w:color="000000" w:fill="FFFFFF"/>
            <w:vAlign w:val="center"/>
            <w:hideMark/>
          </w:tcPr>
          <w:p w14:paraId="36632485" w14:textId="5685B3B4"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Moszbatimi në kohë i hapave dhe detyrave për kryerjen e procesit statistikor në vrojtimet vjetore, e cila sjell si pasojë mospublikimin në kohë të rezultateve të vrojtimit -|- 2</w:t>
            </w:r>
            <w:r w:rsidRPr="00B31292">
              <w:rPr>
                <w:rFonts w:ascii="Garamond" w:eastAsia="Times New Roman" w:hAnsi="Garamond" w:cs="Times New Roman"/>
                <w:color w:val="000000"/>
                <w:sz w:val="10"/>
                <w:szCs w:val="10"/>
              </w:rPr>
              <w:br/>
              <w:t>2. Mospërmbushja e</w:t>
            </w:r>
            <w:r w:rsidR="003E16E0" w:rsidRPr="00B31292">
              <w:rPr>
                <w:rFonts w:ascii="Garamond" w:eastAsia="Times New Roman" w:hAnsi="Garamond" w:cs="Times New Roman"/>
                <w:color w:val="000000"/>
                <w:sz w:val="10"/>
                <w:szCs w:val="10"/>
              </w:rPr>
              <w:t xml:space="preserve"> </w:t>
            </w:r>
            <w:r w:rsidR="00F667B8" w:rsidRPr="00B31292">
              <w:rPr>
                <w:rFonts w:ascii="Garamond" w:eastAsia="Times New Roman" w:hAnsi="Garamond" w:cs="Times New Roman"/>
                <w:color w:val="000000"/>
                <w:sz w:val="10"/>
                <w:szCs w:val="10"/>
              </w:rPr>
              <w:t>kritereve të cilësisë, si:</w:t>
            </w:r>
            <w:r w:rsidRPr="00B31292">
              <w:rPr>
                <w:rFonts w:ascii="Garamond" w:eastAsia="Times New Roman" w:hAnsi="Garamond" w:cs="Times New Roman"/>
                <w:color w:val="000000"/>
                <w:sz w:val="10"/>
                <w:szCs w:val="10"/>
              </w:rPr>
              <w:t xml:space="preserve"> saktësia, përpikmëria dhe krahasueshmëria, për vrojtimet statistikore e cila sjell si pasojë mosshpërndarjen në kohë e në cilësi të rezultateve të vrojtimit -|- 5</w:t>
            </w:r>
            <w:r w:rsidRPr="00B31292">
              <w:rPr>
                <w:rFonts w:ascii="Garamond" w:eastAsia="Times New Roman" w:hAnsi="Garamond" w:cs="Times New Roman"/>
                <w:color w:val="000000"/>
                <w:sz w:val="10"/>
                <w:szCs w:val="10"/>
              </w:rPr>
              <w:br/>
              <w:t>3. Pezullimi/vonesa e mbledhjes, prodhimit dhe shpërndarjes të statistikave zyrtare nga fatkeqësitë natyrore / pandemi globale, e cila sjell si pasojë mospublikimin në kohë të rezultateve të vrojtimit -|- 1</w:t>
            </w:r>
            <w:r w:rsidRPr="00B31292">
              <w:rPr>
                <w:rFonts w:ascii="Garamond" w:eastAsia="Times New Roman" w:hAnsi="Garamond" w:cs="Times New Roman"/>
                <w:color w:val="000000"/>
                <w:sz w:val="10"/>
                <w:szCs w:val="10"/>
              </w:rPr>
              <w:br/>
              <w:t>4. Mosmarrja në kohë dhe ndryshimi i bazës ligjore të burimit administrativ, sjell si pasojë mospublikimin në kohë të rezultateve të treguesve statistikorë -|- 2</w:t>
            </w:r>
            <w:r w:rsidRPr="00B31292">
              <w:rPr>
                <w:rFonts w:ascii="Garamond" w:eastAsia="Times New Roman" w:hAnsi="Garamond" w:cs="Times New Roman"/>
                <w:color w:val="000000"/>
                <w:sz w:val="10"/>
                <w:szCs w:val="10"/>
              </w:rPr>
              <w:br/>
              <w:t>5. Mosevidentimi dhe realizimi i detyrave të përditshme të sektorit, e cila sjell si pasojë ngadalësim të proceseve të punës -|- 2</w:t>
            </w:r>
            <w:r w:rsidRPr="00B31292">
              <w:rPr>
                <w:rFonts w:ascii="Garamond" w:eastAsia="Times New Roman" w:hAnsi="Garamond" w:cs="Times New Roman"/>
                <w:color w:val="000000"/>
                <w:sz w:val="10"/>
                <w:szCs w:val="10"/>
              </w:rPr>
              <w:br/>
              <w:t xml:space="preserve">6. Moszbatimi në kohë i kalendarit të publikimeve statistikore dhe përditësimit të materialeve në </w:t>
            </w:r>
            <w:r w:rsidRPr="00B31292">
              <w:rPr>
                <w:rFonts w:ascii="Garamond" w:eastAsia="Times New Roman" w:hAnsi="Garamond" w:cs="Times New Roman"/>
                <w:i/>
                <w:iCs/>
                <w:color w:val="000000"/>
                <w:sz w:val="10"/>
                <w:szCs w:val="10"/>
              </w:rPr>
              <w:t>web</w:t>
            </w:r>
            <w:r w:rsidRPr="00B31292">
              <w:rPr>
                <w:rFonts w:ascii="Garamond" w:eastAsia="Times New Roman" w:hAnsi="Garamond" w:cs="Times New Roman"/>
                <w:color w:val="000000"/>
                <w:sz w:val="10"/>
                <w:szCs w:val="10"/>
              </w:rPr>
              <w:t>, e cila sjell si pasojë mungesën e informacionit për përdoruesit dhe cënimin e imazhit të INSTAT</w:t>
            </w:r>
            <w:r w:rsidR="008340E6" w:rsidRPr="00B31292">
              <w:rPr>
                <w:rFonts w:ascii="Garamond" w:eastAsia="Times New Roman" w:hAnsi="Garamond" w:cs="Times New Roman"/>
                <w:color w:val="000000"/>
                <w:sz w:val="10"/>
                <w:szCs w:val="10"/>
              </w:rPr>
              <w:t>-it</w:t>
            </w:r>
            <w:r w:rsidRPr="00B31292">
              <w:rPr>
                <w:rFonts w:ascii="Garamond" w:eastAsia="Times New Roman" w:hAnsi="Garamond" w:cs="Times New Roman"/>
                <w:color w:val="000000"/>
                <w:sz w:val="10"/>
                <w:szCs w:val="10"/>
              </w:rPr>
              <w:t xml:space="preserve"> -|- 2</w:t>
            </w:r>
            <w:r w:rsidRPr="00B31292">
              <w:rPr>
                <w:rFonts w:ascii="Garamond" w:eastAsia="Times New Roman" w:hAnsi="Garamond" w:cs="Times New Roman"/>
                <w:color w:val="000000"/>
                <w:sz w:val="10"/>
                <w:szCs w:val="10"/>
              </w:rPr>
              <w:br/>
              <w:t xml:space="preserve">7. Gabime në përllogaritje e treguesve nga specialistët, e cila sjell si pasojë mosshpërndarjen </w:t>
            </w:r>
            <w:r w:rsidRPr="00B31292">
              <w:rPr>
                <w:rFonts w:ascii="Garamond" w:eastAsia="Times New Roman" w:hAnsi="Garamond" w:cs="Times New Roman"/>
                <w:color w:val="000000"/>
                <w:sz w:val="10"/>
                <w:szCs w:val="10"/>
              </w:rPr>
              <w:lastRenderedPageBreak/>
              <w:t>me cilësi të rezultateve të treguesve statistikorë. -|- 2</w:t>
            </w:r>
            <w:r w:rsidRPr="00B31292">
              <w:rPr>
                <w:rFonts w:ascii="Garamond" w:eastAsia="Times New Roman" w:hAnsi="Garamond" w:cs="Times New Roman"/>
                <w:color w:val="000000"/>
                <w:sz w:val="10"/>
                <w:szCs w:val="10"/>
              </w:rPr>
              <w:br/>
              <w:t>8. Mosmarrja në kohë dhe ndryshimi i bazës ligjore të burimit administrativ, që sjell si pasojë mospublikimin në kohë dhe me cilësi të rezultateve të treguesve statistikorë. -|- 2</w:t>
            </w:r>
            <w:r w:rsidRPr="00B31292">
              <w:rPr>
                <w:rFonts w:ascii="Garamond" w:eastAsia="Times New Roman" w:hAnsi="Garamond" w:cs="Times New Roman"/>
                <w:color w:val="000000"/>
                <w:sz w:val="10"/>
                <w:szCs w:val="10"/>
              </w:rPr>
              <w:br/>
              <w:t>9. Lëvizja e stafit me eksperiencë nga sektori, e cila sjell si pasojë ndërprerje/ngadalësim të proceseve të punës. -|- 5</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10. Buxheti i ulet për përgatitjen e bilancit të energjisë</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-|- 5</w:t>
            </w:r>
            <w:r w:rsidRPr="00B31292">
              <w:rPr>
                <w:rFonts w:ascii="Garamond" w:eastAsia="Times New Roman" w:hAnsi="Garamond" w:cs="Times New Roman"/>
                <w:color w:val="000000"/>
                <w:sz w:val="10"/>
                <w:szCs w:val="10"/>
              </w:rPr>
              <w:br/>
              <w:t>11. Staf i pamjaftueshëm për përgatitjen e bilancit të energjisë</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-|- 5</w:t>
            </w:r>
            <w:r w:rsidRPr="00B31292">
              <w:rPr>
                <w:rFonts w:ascii="Garamond" w:eastAsia="Times New Roman" w:hAnsi="Garamond" w:cs="Times New Roman"/>
                <w:color w:val="000000"/>
                <w:sz w:val="10"/>
                <w:szCs w:val="10"/>
              </w:rPr>
              <w:br/>
              <w:t>12. Kuadri jo i plotë i legjislacionit sekondar për sigurimin e të dhënave të energjisë në aktivitetet prodhuese private.</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-|- 5</w:t>
            </w:r>
          </w:p>
        </w:tc>
        <w:tc>
          <w:tcPr>
            <w:tcW w:w="273" w:type="pct"/>
            <w:tcBorders>
              <w:top w:val="nil"/>
              <w:left w:val="nil"/>
              <w:bottom w:val="nil"/>
              <w:right w:val="single" w:sz="4" w:space="0" w:color="auto"/>
            </w:tcBorders>
            <w:shd w:val="clear" w:color="auto" w:fill="auto"/>
            <w:vAlign w:val="center"/>
            <w:hideMark/>
          </w:tcPr>
          <w:p w14:paraId="147CC767"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lastRenderedPageBreak/>
              <w:t>Buxhet shteti</w:t>
            </w:r>
          </w:p>
        </w:tc>
      </w:tr>
      <w:tr w:rsidR="000A2254" w:rsidRPr="00B31292" w14:paraId="776C3F86" w14:textId="77777777" w:rsidTr="000A2254">
        <w:trPr>
          <w:trHeight w:val="20"/>
        </w:trPr>
        <w:tc>
          <w:tcPr>
            <w:tcW w:w="215" w:type="pct"/>
            <w:tcBorders>
              <w:top w:val="nil"/>
              <w:left w:val="nil"/>
              <w:bottom w:val="nil"/>
              <w:right w:val="nil"/>
            </w:tcBorders>
            <w:shd w:val="clear" w:color="000000" w:fill="FFFFFF"/>
            <w:vAlign w:val="bottom"/>
            <w:hideMark/>
          </w:tcPr>
          <w:p w14:paraId="520E5C9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0C02003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43CF1A2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7B2AC0F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32391D5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542878F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FB65395"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3.2.1.3</w:t>
            </w:r>
          </w:p>
        </w:tc>
        <w:tc>
          <w:tcPr>
            <w:tcW w:w="281" w:type="pct"/>
            <w:tcBorders>
              <w:top w:val="single" w:sz="4" w:space="0" w:color="auto"/>
              <w:left w:val="nil"/>
              <w:bottom w:val="single" w:sz="4" w:space="0" w:color="auto"/>
              <w:right w:val="single" w:sz="4" w:space="0" w:color="auto"/>
            </w:tcBorders>
            <w:shd w:val="clear" w:color="auto" w:fill="auto"/>
            <w:vAlign w:val="center"/>
            <w:hideMark/>
          </w:tcPr>
          <w:p w14:paraId="00B15486" w14:textId="29CF90F0"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xml:space="preserve">Statistikat e </w:t>
            </w:r>
            <w:r w:rsidR="003D4004" w:rsidRPr="00B31292">
              <w:rPr>
                <w:rFonts w:ascii="Garamond" w:eastAsia="Times New Roman" w:hAnsi="Garamond" w:cs="Times New Roman"/>
                <w:sz w:val="10"/>
                <w:szCs w:val="10"/>
              </w:rPr>
              <w:t>bilancit të energjisë elektrike</w:t>
            </w:r>
          </w:p>
        </w:tc>
        <w:tc>
          <w:tcPr>
            <w:tcW w:w="236" w:type="pct"/>
            <w:tcBorders>
              <w:top w:val="nil"/>
              <w:left w:val="nil"/>
              <w:bottom w:val="single" w:sz="4" w:space="0" w:color="000000"/>
              <w:right w:val="single" w:sz="4" w:space="0" w:color="000000"/>
            </w:tcBorders>
            <w:shd w:val="clear" w:color="auto" w:fill="auto"/>
            <w:vAlign w:val="center"/>
            <w:hideMark/>
          </w:tcPr>
          <w:p w14:paraId="2E04408B"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Burim administrativ</w:t>
            </w:r>
          </w:p>
        </w:tc>
        <w:tc>
          <w:tcPr>
            <w:tcW w:w="238" w:type="pct"/>
            <w:tcBorders>
              <w:top w:val="single" w:sz="4" w:space="0" w:color="auto"/>
              <w:left w:val="nil"/>
              <w:bottom w:val="single" w:sz="4" w:space="0" w:color="auto"/>
              <w:right w:val="single" w:sz="4" w:space="0" w:color="auto"/>
            </w:tcBorders>
            <w:shd w:val="clear" w:color="auto" w:fill="auto"/>
            <w:noWrap/>
            <w:vAlign w:val="center"/>
            <w:hideMark/>
          </w:tcPr>
          <w:p w14:paraId="742CE03F"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180" w:type="pct"/>
            <w:tcBorders>
              <w:top w:val="single" w:sz="4" w:space="0" w:color="auto"/>
              <w:left w:val="nil"/>
              <w:bottom w:val="single" w:sz="4" w:space="0" w:color="auto"/>
              <w:right w:val="single" w:sz="4" w:space="0" w:color="auto"/>
            </w:tcBorders>
            <w:shd w:val="clear" w:color="auto" w:fill="auto"/>
            <w:noWrap/>
            <w:vAlign w:val="center"/>
            <w:hideMark/>
          </w:tcPr>
          <w:p w14:paraId="78A3CEBA"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28" w:type="pct"/>
            <w:tcBorders>
              <w:top w:val="single" w:sz="4" w:space="0" w:color="auto"/>
              <w:left w:val="nil"/>
              <w:bottom w:val="single" w:sz="4" w:space="0" w:color="auto"/>
              <w:right w:val="single" w:sz="4" w:space="0" w:color="auto"/>
            </w:tcBorders>
            <w:shd w:val="clear" w:color="auto" w:fill="auto"/>
            <w:vAlign w:val="center"/>
            <w:hideMark/>
          </w:tcPr>
          <w:p w14:paraId="3F3EA52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tcBorders>
              <w:top w:val="nil"/>
              <w:left w:val="nil"/>
              <w:bottom w:val="single" w:sz="4" w:space="0" w:color="000000"/>
              <w:right w:val="single" w:sz="4" w:space="0" w:color="000000"/>
            </w:tcBorders>
            <w:shd w:val="clear" w:color="auto" w:fill="auto"/>
            <w:vAlign w:val="center"/>
            <w:hideMark/>
          </w:tcPr>
          <w:p w14:paraId="61521B6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Tremujor</w:t>
            </w:r>
          </w:p>
        </w:tc>
        <w:tc>
          <w:tcPr>
            <w:tcW w:w="486" w:type="pct"/>
            <w:tcBorders>
              <w:top w:val="nil"/>
              <w:left w:val="nil"/>
              <w:bottom w:val="nil"/>
              <w:right w:val="single" w:sz="4" w:space="0" w:color="auto"/>
            </w:tcBorders>
            <w:shd w:val="clear" w:color="auto" w:fill="auto"/>
            <w:vAlign w:val="center"/>
            <w:hideMark/>
          </w:tcPr>
          <w:p w14:paraId="25F17F7B" w14:textId="37DF7DD0"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Energji në dispozicion</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2. Prodhimi neto vendas</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3. Termocentrale</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4. Hidrocentrale</w:t>
            </w:r>
            <w:r w:rsidR="003D4004" w:rsidRPr="00B31292">
              <w:rPr>
                <w:rFonts w:ascii="Garamond" w:eastAsia="Times New Roman" w:hAnsi="Garamond" w:cs="Times New Roman"/>
                <w:color w:val="000000"/>
                <w:sz w:val="10"/>
                <w:szCs w:val="10"/>
              </w:rPr>
              <w:t>.</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5. Publike</w:t>
            </w:r>
            <w:r w:rsidR="003D4004" w:rsidRPr="00B31292">
              <w:rPr>
                <w:rFonts w:ascii="Garamond" w:eastAsia="Times New Roman" w:hAnsi="Garamond" w:cs="Times New Roman"/>
                <w:color w:val="000000"/>
                <w:sz w:val="10"/>
                <w:szCs w:val="10"/>
              </w:rPr>
              <w:t>.</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6. Prodhim bruto i hidrocentraleve publike</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7. Konsum dhe humbje vetjake</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8. Prodhues të pavarur privatë dhe koncesionarë</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9. Të tjerë prodhues (energji të rinovueshme të tjera)</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10. Importi bruto (energji në marrje)</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11.</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Eksporti bruto (energji në dhënie)</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12.</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Konsumi i energjisë elektrike</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13.</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Humbjet në rrjet</w:t>
            </w:r>
            <w:r w:rsidR="003D4004" w:rsidRPr="00B31292">
              <w:rPr>
                <w:rFonts w:ascii="Garamond" w:eastAsia="Times New Roman" w:hAnsi="Garamond" w:cs="Times New Roman"/>
                <w:color w:val="000000"/>
                <w:sz w:val="10"/>
                <w:szCs w:val="10"/>
              </w:rPr>
              <w:t>.</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14.</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Humbjet dhe konsumi vetjak në transmetim</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15.</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Humbjet në shpërndarje</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16.</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Humbjet teknike në shpërndarje</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17.</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Humbjet joteknike në shpërndarje</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18.</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Përdorimi nga konsumatorët</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19.</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Familjarë</w:t>
            </w:r>
            <w:r w:rsidR="003D4004" w:rsidRPr="00B31292">
              <w:rPr>
                <w:rFonts w:ascii="Garamond" w:eastAsia="Times New Roman" w:hAnsi="Garamond" w:cs="Times New Roman"/>
                <w:color w:val="000000"/>
                <w:sz w:val="10"/>
                <w:szCs w:val="10"/>
              </w:rPr>
              <w:t>.</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20.</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Jo</w:t>
            </w:r>
            <w:r w:rsidR="00AB06FA" w:rsidRPr="00B31292">
              <w:rPr>
                <w:rFonts w:ascii="Garamond" w:eastAsia="Times New Roman" w:hAnsi="Garamond" w:cs="Times New Roman"/>
                <w:color w:val="000000"/>
                <w:sz w:val="10"/>
                <w:szCs w:val="10"/>
              </w:rPr>
              <w:t>f</w:t>
            </w:r>
            <w:r w:rsidRPr="00B31292">
              <w:rPr>
                <w:rFonts w:ascii="Garamond" w:eastAsia="Times New Roman" w:hAnsi="Garamond" w:cs="Times New Roman"/>
                <w:color w:val="000000"/>
                <w:sz w:val="10"/>
                <w:szCs w:val="10"/>
              </w:rPr>
              <w:t>amiljarë</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p>
        </w:tc>
        <w:tc>
          <w:tcPr>
            <w:tcW w:w="299" w:type="pct"/>
            <w:tcBorders>
              <w:top w:val="nil"/>
              <w:left w:val="nil"/>
              <w:bottom w:val="single" w:sz="4" w:space="0" w:color="000000"/>
              <w:right w:val="nil"/>
            </w:tcBorders>
            <w:shd w:val="clear" w:color="auto" w:fill="auto"/>
            <w:vAlign w:val="center"/>
            <w:hideMark/>
          </w:tcPr>
          <w:p w14:paraId="3CB45558" w14:textId="164FD4F5"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Operatori i Sistemit të Transmetimit</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Korporata Elektroenergj</w:t>
            </w:r>
            <w:r w:rsidR="008340E6" w:rsidRPr="00B31292">
              <w:rPr>
                <w:rFonts w:ascii="Garamond" w:eastAsia="Times New Roman" w:hAnsi="Garamond" w:cs="Times New Roman"/>
                <w:color w:val="000000"/>
                <w:sz w:val="10"/>
                <w:szCs w:val="10"/>
              </w:rPr>
              <w:t>e</w:t>
            </w:r>
            <w:r w:rsidRPr="00B31292">
              <w:rPr>
                <w:rFonts w:ascii="Garamond" w:eastAsia="Times New Roman" w:hAnsi="Garamond" w:cs="Times New Roman"/>
                <w:color w:val="000000"/>
                <w:sz w:val="10"/>
                <w:szCs w:val="10"/>
              </w:rPr>
              <w:t>tike Shqiptare</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r>
            <w:r w:rsidR="00864BC6" w:rsidRPr="00B31292">
              <w:rPr>
                <w:rFonts w:ascii="Garamond" w:eastAsia="Times New Roman" w:hAnsi="Garamond" w:cs="Times New Roman"/>
                <w:color w:val="000000"/>
                <w:sz w:val="10"/>
                <w:szCs w:val="10"/>
              </w:rPr>
              <w:t>Operatori</w:t>
            </w:r>
            <w:r w:rsidRPr="00B31292">
              <w:rPr>
                <w:rFonts w:ascii="Garamond" w:eastAsia="Times New Roman" w:hAnsi="Garamond" w:cs="Times New Roman"/>
                <w:color w:val="000000"/>
                <w:sz w:val="10"/>
                <w:szCs w:val="10"/>
              </w:rPr>
              <w:t xml:space="preserve"> i </w:t>
            </w:r>
            <w:r w:rsidR="00864BC6" w:rsidRPr="00B31292">
              <w:rPr>
                <w:rFonts w:ascii="Garamond" w:eastAsia="Times New Roman" w:hAnsi="Garamond" w:cs="Times New Roman"/>
                <w:color w:val="000000"/>
                <w:sz w:val="10"/>
                <w:szCs w:val="10"/>
              </w:rPr>
              <w:t>Shpërndarjes</w:t>
            </w:r>
            <w:r w:rsidRPr="00B31292">
              <w:rPr>
                <w:rFonts w:ascii="Garamond" w:eastAsia="Times New Roman" w:hAnsi="Garamond" w:cs="Times New Roman"/>
                <w:color w:val="000000"/>
                <w:sz w:val="10"/>
                <w:szCs w:val="10"/>
              </w:rPr>
              <w:t xml:space="preserve"> së Energjisë (OSHEE)</w:t>
            </w:r>
          </w:p>
        </w:tc>
        <w:tc>
          <w:tcPr>
            <w:tcW w:w="22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D3AEBA1" w14:textId="3840C772"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3D4004" w:rsidRPr="00B31292">
              <w:rPr>
                <w:rFonts w:ascii="Garamond" w:eastAsia="Times New Roman" w:hAnsi="Garamond" w:cs="Times New Roman"/>
                <w:color w:val="000000"/>
                <w:sz w:val="10"/>
                <w:szCs w:val="10"/>
              </w:rPr>
              <w:t>-i</w:t>
            </w:r>
          </w:p>
        </w:tc>
        <w:tc>
          <w:tcPr>
            <w:tcW w:w="244" w:type="pct"/>
            <w:tcBorders>
              <w:top w:val="single" w:sz="4" w:space="0" w:color="auto"/>
              <w:left w:val="nil"/>
              <w:bottom w:val="single" w:sz="4" w:space="0" w:color="auto"/>
              <w:right w:val="single" w:sz="4" w:space="0" w:color="auto"/>
            </w:tcBorders>
            <w:shd w:val="clear" w:color="auto" w:fill="auto"/>
            <w:vAlign w:val="center"/>
            <w:hideMark/>
          </w:tcPr>
          <w:p w14:paraId="086E777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T + 52D</w:t>
            </w:r>
          </w:p>
        </w:tc>
        <w:tc>
          <w:tcPr>
            <w:tcW w:w="220" w:type="pct"/>
            <w:tcBorders>
              <w:top w:val="single" w:sz="4" w:space="0" w:color="auto"/>
              <w:left w:val="nil"/>
              <w:bottom w:val="single" w:sz="4" w:space="0" w:color="auto"/>
              <w:right w:val="single" w:sz="4" w:space="0" w:color="auto"/>
            </w:tcBorders>
            <w:shd w:val="clear" w:color="auto" w:fill="auto"/>
            <w:vAlign w:val="center"/>
            <w:hideMark/>
          </w:tcPr>
          <w:p w14:paraId="10E94947"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T + 53D</w:t>
            </w:r>
          </w:p>
        </w:tc>
        <w:tc>
          <w:tcPr>
            <w:tcW w:w="220" w:type="pct"/>
            <w:tcBorders>
              <w:top w:val="single" w:sz="4" w:space="0" w:color="auto"/>
              <w:left w:val="nil"/>
              <w:bottom w:val="single" w:sz="4" w:space="0" w:color="auto"/>
              <w:right w:val="single" w:sz="4" w:space="0" w:color="auto"/>
            </w:tcBorders>
            <w:shd w:val="clear" w:color="auto" w:fill="auto"/>
            <w:vAlign w:val="center"/>
            <w:hideMark/>
          </w:tcPr>
          <w:p w14:paraId="60ACDBB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T + 65D</w:t>
            </w:r>
          </w:p>
        </w:tc>
        <w:tc>
          <w:tcPr>
            <w:tcW w:w="346" w:type="pct"/>
            <w:tcBorders>
              <w:top w:val="single" w:sz="4" w:space="0" w:color="auto"/>
              <w:left w:val="nil"/>
              <w:bottom w:val="single" w:sz="4" w:space="0" w:color="auto"/>
              <w:right w:val="single" w:sz="4" w:space="0" w:color="auto"/>
            </w:tcBorders>
            <w:shd w:val="clear" w:color="auto" w:fill="auto"/>
            <w:vAlign w:val="center"/>
            <w:hideMark/>
          </w:tcPr>
          <w:p w14:paraId="6276F5A4" w14:textId="754763B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Moszbatimi në kohë i hapave dhe detyrave për kryerjen e procesit statistikor në vrojtimet vjetore, e cila sjell si pasojë mospublikimin në kohë të rezultateve të vrojtimit -|- 2</w:t>
            </w:r>
            <w:r w:rsidRPr="00B31292">
              <w:rPr>
                <w:rFonts w:ascii="Garamond" w:eastAsia="Times New Roman" w:hAnsi="Garamond" w:cs="Times New Roman"/>
                <w:color w:val="000000"/>
                <w:sz w:val="10"/>
                <w:szCs w:val="10"/>
              </w:rPr>
              <w:br/>
              <w:t>2. Mospërmbushja e</w:t>
            </w:r>
            <w:r w:rsidR="003E16E0" w:rsidRPr="00B31292">
              <w:rPr>
                <w:rFonts w:ascii="Garamond" w:eastAsia="Times New Roman" w:hAnsi="Garamond" w:cs="Times New Roman"/>
                <w:color w:val="000000"/>
                <w:sz w:val="10"/>
                <w:szCs w:val="10"/>
              </w:rPr>
              <w:t xml:space="preserve"> </w:t>
            </w:r>
            <w:r w:rsidR="00F667B8" w:rsidRPr="00B31292">
              <w:rPr>
                <w:rFonts w:ascii="Garamond" w:eastAsia="Times New Roman" w:hAnsi="Garamond" w:cs="Times New Roman"/>
                <w:color w:val="000000"/>
                <w:sz w:val="10"/>
                <w:szCs w:val="10"/>
              </w:rPr>
              <w:t>kritereve të cilësisë, si:</w:t>
            </w:r>
            <w:r w:rsidRPr="00B31292">
              <w:rPr>
                <w:rFonts w:ascii="Garamond" w:eastAsia="Times New Roman" w:hAnsi="Garamond" w:cs="Times New Roman"/>
                <w:color w:val="000000"/>
                <w:sz w:val="10"/>
                <w:szCs w:val="10"/>
              </w:rPr>
              <w:t xml:space="preserve"> saktësia, përpikmëria dhe krahasueshmëria, për vrojtimet statistikore e cila sjell si pasojë mosshpërndarjen në kohë e në cilësi të rezultateve të vrojtimit -|- 5</w:t>
            </w:r>
            <w:r w:rsidRPr="00B31292">
              <w:rPr>
                <w:rFonts w:ascii="Garamond" w:eastAsia="Times New Roman" w:hAnsi="Garamond" w:cs="Times New Roman"/>
                <w:color w:val="000000"/>
                <w:sz w:val="10"/>
                <w:szCs w:val="10"/>
              </w:rPr>
              <w:br/>
              <w:t>3. Pezullimi/vonesa e mbledhjes, prodhimit dhe shpërndarjes të statistikave zyrtare nga fatkeqësitë natyrore / pandemi globale, e cila sjell si pasojë mospublikimin në kohë të rezultateve të vrojtimit -|- 5</w:t>
            </w:r>
            <w:r w:rsidRPr="00B31292">
              <w:rPr>
                <w:rFonts w:ascii="Garamond" w:eastAsia="Times New Roman" w:hAnsi="Garamond" w:cs="Times New Roman"/>
                <w:color w:val="000000"/>
                <w:sz w:val="10"/>
                <w:szCs w:val="10"/>
              </w:rPr>
              <w:br/>
              <w:t xml:space="preserve">4. Mosmarrja në kohë dhe ndryshimi i bazës </w:t>
            </w:r>
            <w:r w:rsidRPr="00B31292">
              <w:rPr>
                <w:rFonts w:ascii="Garamond" w:eastAsia="Times New Roman" w:hAnsi="Garamond" w:cs="Times New Roman"/>
                <w:color w:val="000000"/>
                <w:sz w:val="10"/>
                <w:szCs w:val="10"/>
              </w:rPr>
              <w:lastRenderedPageBreak/>
              <w:t>ligjore të burimit administrativ, sjell si pasojë mospublikimin në kohë të rezultateve të treguesve statistikorë -|- 2</w:t>
            </w:r>
            <w:r w:rsidRPr="00B31292">
              <w:rPr>
                <w:rFonts w:ascii="Garamond" w:eastAsia="Times New Roman" w:hAnsi="Garamond" w:cs="Times New Roman"/>
                <w:color w:val="000000"/>
                <w:sz w:val="10"/>
                <w:szCs w:val="10"/>
              </w:rPr>
              <w:br/>
              <w:t>5. Mosevidentimi dhe realizimi i detyrave të përditshme të sektorit, e cila sjell si pasojë ngadalësim të proceseve të punës -|- 2</w:t>
            </w:r>
            <w:r w:rsidRPr="00B31292">
              <w:rPr>
                <w:rFonts w:ascii="Garamond" w:eastAsia="Times New Roman" w:hAnsi="Garamond" w:cs="Times New Roman"/>
                <w:color w:val="000000"/>
                <w:sz w:val="10"/>
                <w:szCs w:val="10"/>
              </w:rPr>
              <w:br/>
              <w:t xml:space="preserve">6. Moszbatimi në kohë i kalendarit të publikimeve statistikore dhe përditësimit të materialeve në </w:t>
            </w:r>
            <w:r w:rsidRPr="00B31292">
              <w:rPr>
                <w:rFonts w:ascii="Garamond" w:eastAsia="Times New Roman" w:hAnsi="Garamond" w:cs="Times New Roman"/>
                <w:i/>
                <w:iCs/>
                <w:color w:val="000000"/>
                <w:sz w:val="10"/>
                <w:szCs w:val="10"/>
              </w:rPr>
              <w:t>web</w:t>
            </w:r>
            <w:r w:rsidRPr="00B31292">
              <w:rPr>
                <w:rFonts w:ascii="Garamond" w:eastAsia="Times New Roman" w:hAnsi="Garamond" w:cs="Times New Roman"/>
                <w:color w:val="000000"/>
                <w:sz w:val="10"/>
                <w:szCs w:val="10"/>
              </w:rPr>
              <w:t xml:space="preserve">, e cila sjell si pasojë mungesën e informacionit për përdoruesit dhe </w:t>
            </w:r>
            <w:r w:rsidR="00864BC6" w:rsidRPr="00B31292">
              <w:rPr>
                <w:rFonts w:ascii="Garamond" w:eastAsia="Times New Roman" w:hAnsi="Garamond" w:cs="Times New Roman"/>
                <w:color w:val="000000"/>
                <w:sz w:val="10"/>
                <w:szCs w:val="10"/>
              </w:rPr>
              <w:t>cenimin</w:t>
            </w:r>
            <w:r w:rsidRPr="00B31292">
              <w:rPr>
                <w:rFonts w:ascii="Garamond" w:eastAsia="Times New Roman" w:hAnsi="Garamond" w:cs="Times New Roman"/>
                <w:color w:val="000000"/>
                <w:sz w:val="10"/>
                <w:szCs w:val="10"/>
              </w:rPr>
              <w:t xml:space="preserve"> e imazhit të INSTAT</w:t>
            </w:r>
            <w:r w:rsidR="008340E6" w:rsidRPr="00B31292">
              <w:rPr>
                <w:rFonts w:ascii="Garamond" w:eastAsia="Times New Roman" w:hAnsi="Garamond" w:cs="Times New Roman"/>
                <w:color w:val="000000"/>
                <w:sz w:val="10"/>
                <w:szCs w:val="10"/>
              </w:rPr>
              <w:t>-it</w:t>
            </w:r>
            <w:r w:rsidRPr="00B31292">
              <w:rPr>
                <w:rFonts w:ascii="Garamond" w:eastAsia="Times New Roman" w:hAnsi="Garamond" w:cs="Times New Roman"/>
                <w:color w:val="000000"/>
                <w:sz w:val="10"/>
                <w:szCs w:val="10"/>
              </w:rPr>
              <w:t xml:space="preserve"> -|- 2</w:t>
            </w:r>
            <w:r w:rsidRPr="00B31292">
              <w:rPr>
                <w:rFonts w:ascii="Garamond" w:eastAsia="Times New Roman" w:hAnsi="Garamond" w:cs="Times New Roman"/>
                <w:color w:val="000000"/>
                <w:sz w:val="10"/>
                <w:szCs w:val="10"/>
              </w:rPr>
              <w:br/>
              <w:t>7. Gabime në përllogaritje e treguesve nga specialistët, e cila sjell si pasojë mosshpërndarjen me cilësi të rezultateve të treguesve statistikorë. -|- 2</w:t>
            </w:r>
            <w:r w:rsidRPr="00B31292">
              <w:rPr>
                <w:rFonts w:ascii="Garamond" w:eastAsia="Times New Roman" w:hAnsi="Garamond" w:cs="Times New Roman"/>
                <w:color w:val="000000"/>
                <w:sz w:val="10"/>
                <w:szCs w:val="10"/>
              </w:rPr>
              <w:br/>
              <w:t>8. Mosmarrja në kohë dhe ndryshimi i bazës ligjore të burimit administrativ, që sjell si pasojë mospublikimin në kohë dhe me cilësi të rezultateve të treguesve statistikorë. -|- 2</w:t>
            </w:r>
            <w:r w:rsidRPr="00B31292">
              <w:rPr>
                <w:rFonts w:ascii="Garamond" w:eastAsia="Times New Roman" w:hAnsi="Garamond" w:cs="Times New Roman"/>
                <w:color w:val="000000"/>
                <w:sz w:val="10"/>
                <w:szCs w:val="10"/>
              </w:rPr>
              <w:br/>
              <w:t>9. Lëvizja e stafit me eksperiencë nga sektori, e cila sjell si pasojë ndërprerje/ngadalësim të proceseve të punës -|- 5</w:t>
            </w:r>
            <w:r w:rsidRPr="00B31292">
              <w:rPr>
                <w:rFonts w:ascii="Garamond" w:eastAsia="Times New Roman" w:hAnsi="Garamond" w:cs="Times New Roman"/>
                <w:color w:val="000000"/>
                <w:sz w:val="10"/>
                <w:szCs w:val="10"/>
              </w:rPr>
              <w:br/>
              <w:t>10. Mosfunksionimi i metodave të reja të IT për mbledhjen e të dhënave në vrojtimet vjetore, e cila sjell si pasojë mospublikimin në kohë të rezultateve të vrojtimit -|- 5</w:t>
            </w:r>
            <w:r w:rsidRPr="00B31292">
              <w:rPr>
                <w:rFonts w:ascii="Garamond" w:eastAsia="Times New Roman" w:hAnsi="Garamond" w:cs="Times New Roman"/>
                <w:color w:val="000000"/>
                <w:sz w:val="10"/>
                <w:szCs w:val="10"/>
              </w:rPr>
              <w:br/>
              <w:t>11. Mosfunksionimi i metodave të automatizimit dhe mos pasja e suportit për automatizimin e proceseve t</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prodhimit statistikor, e cila sjell si pasojë ngadalësim të procesit të </w:t>
            </w:r>
            <w:r w:rsidRPr="00B31292">
              <w:rPr>
                <w:rFonts w:ascii="Garamond" w:eastAsia="Times New Roman" w:hAnsi="Garamond" w:cs="Times New Roman"/>
                <w:color w:val="000000"/>
                <w:sz w:val="10"/>
                <w:szCs w:val="10"/>
              </w:rPr>
              <w:lastRenderedPageBreak/>
              <w:t>automatizimit -|- 5</w:t>
            </w:r>
            <w:r w:rsidRPr="00B31292">
              <w:rPr>
                <w:rFonts w:ascii="Garamond" w:eastAsia="Times New Roman" w:hAnsi="Garamond" w:cs="Times New Roman"/>
                <w:color w:val="000000"/>
                <w:sz w:val="10"/>
                <w:szCs w:val="10"/>
              </w:rPr>
              <w:br/>
              <w:t xml:space="preserve">12. Moszhvillimi i sistemeve të informacionit dhe </w:t>
            </w:r>
            <w:r w:rsidRPr="00B31292">
              <w:rPr>
                <w:rFonts w:ascii="Garamond" w:eastAsia="Times New Roman" w:hAnsi="Garamond" w:cs="Times New Roman"/>
                <w:i/>
                <w:iCs/>
                <w:color w:val="000000"/>
                <w:sz w:val="10"/>
                <w:szCs w:val="10"/>
              </w:rPr>
              <w:t>web-services</w:t>
            </w:r>
            <w:r w:rsidRPr="00B31292">
              <w:rPr>
                <w:rFonts w:ascii="Garamond" w:eastAsia="Times New Roman" w:hAnsi="Garamond" w:cs="Times New Roman"/>
                <w:color w:val="000000"/>
                <w:sz w:val="10"/>
                <w:szCs w:val="10"/>
              </w:rPr>
              <w:t xml:space="preserve">, e cila sjell si pasojë përdorimin e sistemeve aktuale dhe mospërmirësim të </w:t>
            </w:r>
            <w:r w:rsidRPr="00B31292">
              <w:rPr>
                <w:rFonts w:ascii="Garamond" w:eastAsia="Times New Roman" w:hAnsi="Garamond" w:cs="Times New Roman"/>
                <w:i/>
                <w:iCs/>
                <w:color w:val="000000"/>
                <w:sz w:val="10"/>
                <w:szCs w:val="10"/>
              </w:rPr>
              <w:t>response burden</w:t>
            </w:r>
            <w:r w:rsidRPr="00B31292">
              <w:rPr>
                <w:rFonts w:ascii="Garamond" w:eastAsia="Times New Roman" w:hAnsi="Garamond" w:cs="Times New Roman"/>
                <w:color w:val="000000"/>
                <w:sz w:val="10"/>
                <w:szCs w:val="10"/>
              </w:rPr>
              <w:t xml:space="preserve"> -|- 5</w:t>
            </w:r>
          </w:p>
        </w:tc>
        <w:tc>
          <w:tcPr>
            <w:tcW w:w="273" w:type="pct"/>
            <w:tcBorders>
              <w:top w:val="single" w:sz="4" w:space="0" w:color="auto"/>
              <w:left w:val="nil"/>
              <w:bottom w:val="single" w:sz="4" w:space="0" w:color="auto"/>
              <w:right w:val="single" w:sz="4" w:space="0" w:color="auto"/>
            </w:tcBorders>
            <w:shd w:val="clear" w:color="auto" w:fill="auto"/>
            <w:vAlign w:val="center"/>
            <w:hideMark/>
          </w:tcPr>
          <w:p w14:paraId="08BA8AD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lastRenderedPageBreak/>
              <w:t>Buxhet shteti</w:t>
            </w:r>
          </w:p>
        </w:tc>
      </w:tr>
      <w:tr w:rsidR="000A2254" w:rsidRPr="00B31292" w14:paraId="590E3B3C" w14:textId="77777777" w:rsidTr="000A2254">
        <w:trPr>
          <w:trHeight w:val="20"/>
        </w:trPr>
        <w:tc>
          <w:tcPr>
            <w:tcW w:w="215" w:type="pct"/>
            <w:tcBorders>
              <w:top w:val="nil"/>
              <w:left w:val="nil"/>
              <w:bottom w:val="nil"/>
              <w:right w:val="nil"/>
            </w:tcBorders>
            <w:shd w:val="clear" w:color="000000" w:fill="FFFFFF"/>
            <w:vAlign w:val="bottom"/>
            <w:hideMark/>
          </w:tcPr>
          <w:p w14:paraId="0ECE027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lastRenderedPageBreak/>
              <w:t> </w:t>
            </w:r>
          </w:p>
        </w:tc>
        <w:tc>
          <w:tcPr>
            <w:tcW w:w="215" w:type="pct"/>
            <w:tcBorders>
              <w:top w:val="nil"/>
              <w:left w:val="nil"/>
              <w:bottom w:val="nil"/>
              <w:right w:val="nil"/>
            </w:tcBorders>
            <w:shd w:val="clear" w:color="000000" w:fill="FFFFFF"/>
            <w:vAlign w:val="bottom"/>
            <w:hideMark/>
          </w:tcPr>
          <w:p w14:paraId="1040B88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single" w:sz="4" w:space="0" w:color="000000"/>
              <w:left w:val="single" w:sz="4" w:space="0" w:color="000000"/>
              <w:bottom w:val="single" w:sz="4" w:space="0" w:color="000000"/>
              <w:right w:val="nil"/>
            </w:tcBorders>
            <w:shd w:val="clear" w:color="000000" w:fill="F0F0F0"/>
            <w:vAlign w:val="center"/>
            <w:hideMark/>
          </w:tcPr>
          <w:p w14:paraId="1DF459E8"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3.3</w:t>
            </w:r>
          </w:p>
        </w:tc>
        <w:tc>
          <w:tcPr>
            <w:tcW w:w="4416" w:type="pct"/>
            <w:gridSpan w:val="18"/>
            <w:tcBorders>
              <w:top w:val="single" w:sz="4" w:space="0" w:color="auto"/>
              <w:left w:val="single" w:sz="4" w:space="0" w:color="auto"/>
              <w:bottom w:val="single" w:sz="4" w:space="0" w:color="auto"/>
              <w:right w:val="single" w:sz="4" w:space="0" w:color="auto"/>
            </w:tcBorders>
            <w:shd w:val="clear" w:color="000000" w:fill="F0F0F0"/>
            <w:vAlign w:val="center"/>
            <w:hideMark/>
          </w:tcPr>
          <w:p w14:paraId="4229CF9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Transporti</w:t>
            </w:r>
          </w:p>
        </w:tc>
      </w:tr>
      <w:tr w:rsidR="000A2254" w:rsidRPr="00B31292" w14:paraId="1A57369F" w14:textId="77777777" w:rsidTr="000A2254">
        <w:trPr>
          <w:trHeight w:val="20"/>
        </w:trPr>
        <w:tc>
          <w:tcPr>
            <w:tcW w:w="215" w:type="pct"/>
            <w:tcBorders>
              <w:top w:val="nil"/>
              <w:left w:val="nil"/>
              <w:bottom w:val="nil"/>
              <w:right w:val="nil"/>
            </w:tcBorders>
            <w:shd w:val="clear" w:color="000000" w:fill="FFFFFF"/>
            <w:vAlign w:val="bottom"/>
            <w:hideMark/>
          </w:tcPr>
          <w:p w14:paraId="1203430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222FB31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1AF67F1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7D76EB0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single" w:sz="4" w:space="0" w:color="000000"/>
              <w:bottom w:val="single" w:sz="4" w:space="0" w:color="000000"/>
              <w:right w:val="nil"/>
            </w:tcBorders>
            <w:shd w:val="clear" w:color="000000" w:fill="F0F0F0"/>
            <w:vAlign w:val="center"/>
            <w:hideMark/>
          </w:tcPr>
          <w:p w14:paraId="56242D0F"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3.3.1</w:t>
            </w:r>
          </w:p>
        </w:tc>
        <w:tc>
          <w:tcPr>
            <w:tcW w:w="4082" w:type="pct"/>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44E18279" w14:textId="3D688E9D"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Statistikat e </w:t>
            </w:r>
            <w:r w:rsidR="003D4004" w:rsidRPr="00B31292">
              <w:rPr>
                <w:rFonts w:ascii="Garamond" w:eastAsia="Times New Roman" w:hAnsi="Garamond" w:cs="Times New Roman"/>
                <w:color w:val="000000"/>
                <w:sz w:val="10"/>
                <w:szCs w:val="10"/>
              </w:rPr>
              <w:t>t</w:t>
            </w:r>
            <w:r w:rsidRPr="00B31292">
              <w:rPr>
                <w:rFonts w:ascii="Garamond" w:eastAsia="Times New Roman" w:hAnsi="Garamond" w:cs="Times New Roman"/>
                <w:color w:val="000000"/>
                <w:sz w:val="10"/>
                <w:szCs w:val="10"/>
              </w:rPr>
              <w:t>ransportit</w:t>
            </w:r>
          </w:p>
        </w:tc>
      </w:tr>
      <w:tr w:rsidR="000A2254" w:rsidRPr="00B31292" w14:paraId="001B25C4" w14:textId="77777777" w:rsidTr="000A2254">
        <w:trPr>
          <w:trHeight w:val="20"/>
        </w:trPr>
        <w:tc>
          <w:tcPr>
            <w:tcW w:w="215" w:type="pct"/>
            <w:tcBorders>
              <w:top w:val="nil"/>
              <w:left w:val="nil"/>
              <w:bottom w:val="nil"/>
              <w:right w:val="nil"/>
            </w:tcBorders>
            <w:shd w:val="clear" w:color="000000" w:fill="FFFFFF"/>
            <w:vAlign w:val="bottom"/>
            <w:hideMark/>
          </w:tcPr>
          <w:p w14:paraId="1ED7435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433FF2D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07541AD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40958F4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44A772D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66ED4AD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000000"/>
              <w:bottom w:val="single" w:sz="4" w:space="0" w:color="000000"/>
              <w:right w:val="single" w:sz="4" w:space="0" w:color="000000"/>
            </w:tcBorders>
            <w:shd w:val="clear" w:color="auto" w:fill="auto"/>
            <w:vAlign w:val="center"/>
            <w:hideMark/>
          </w:tcPr>
          <w:p w14:paraId="385DF94C"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3.3.1.1</w:t>
            </w:r>
          </w:p>
        </w:tc>
        <w:tc>
          <w:tcPr>
            <w:tcW w:w="281" w:type="pct"/>
            <w:tcBorders>
              <w:top w:val="nil"/>
              <w:left w:val="nil"/>
              <w:bottom w:val="single" w:sz="4" w:space="0" w:color="000000"/>
              <w:right w:val="single" w:sz="4" w:space="0" w:color="000000"/>
            </w:tcBorders>
            <w:shd w:val="clear" w:color="auto" w:fill="auto"/>
            <w:vAlign w:val="center"/>
            <w:hideMark/>
          </w:tcPr>
          <w:p w14:paraId="08319980" w14:textId="559981F8"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Statistikat e transportit</w:t>
            </w:r>
            <w:r w:rsidR="002E2911" w:rsidRPr="00B31292">
              <w:rPr>
                <w:rFonts w:ascii="Garamond" w:eastAsia="Times New Roman" w:hAnsi="Garamond" w:cs="Times New Roman"/>
                <w:sz w:val="10"/>
                <w:szCs w:val="10"/>
              </w:rPr>
              <w:t xml:space="preserve"> </w:t>
            </w:r>
            <w:r w:rsidRPr="00B31292">
              <w:rPr>
                <w:rFonts w:ascii="Garamond" w:eastAsia="Times New Roman" w:hAnsi="Garamond" w:cs="Times New Roman"/>
                <w:sz w:val="10"/>
                <w:szCs w:val="10"/>
              </w:rPr>
              <w:t>ajror, detar, ujor i brendshëm dhe hekurudhor të mallrave dhe pasagjerëve</w:t>
            </w:r>
          </w:p>
        </w:tc>
        <w:tc>
          <w:tcPr>
            <w:tcW w:w="236" w:type="pct"/>
            <w:tcBorders>
              <w:top w:val="nil"/>
              <w:left w:val="nil"/>
              <w:bottom w:val="single" w:sz="4" w:space="0" w:color="000000"/>
              <w:right w:val="single" w:sz="4" w:space="0" w:color="000000"/>
            </w:tcBorders>
            <w:shd w:val="clear" w:color="auto" w:fill="auto"/>
            <w:vAlign w:val="center"/>
            <w:hideMark/>
          </w:tcPr>
          <w:p w14:paraId="71DA8283"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Burim administrativ</w:t>
            </w:r>
          </w:p>
        </w:tc>
        <w:tc>
          <w:tcPr>
            <w:tcW w:w="238" w:type="pct"/>
            <w:tcBorders>
              <w:top w:val="nil"/>
              <w:left w:val="nil"/>
              <w:bottom w:val="single" w:sz="4" w:space="0" w:color="auto"/>
              <w:right w:val="single" w:sz="4" w:space="0" w:color="auto"/>
            </w:tcBorders>
            <w:shd w:val="clear" w:color="auto" w:fill="auto"/>
            <w:noWrap/>
            <w:vAlign w:val="center"/>
            <w:hideMark/>
          </w:tcPr>
          <w:p w14:paraId="66CDD293"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180" w:type="pct"/>
            <w:tcBorders>
              <w:top w:val="nil"/>
              <w:left w:val="nil"/>
              <w:bottom w:val="nil"/>
              <w:right w:val="single" w:sz="4" w:space="0" w:color="auto"/>
            </w:tcBorders>
            <w:shd w:val="clear" w:color="auto" w:fill="auto"/>
            <w:noWrap/>
            <w:vAlign w:val="center"/>
            <w:hideMark/>
          </w:tcPr>
          <w:p w14:paraId="01143C54"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28" w:type="pct"/>
            <w:tcBorders>
              <w:top w:val="nil"/>
              <w:left w:val="nil"/>
              <w:bottom w:val="single" w:sz="4" w:space="0" w:color="auto"/>
              <w:right w:val="single" w:sz="4" w:space="0" w:color="auto"/>
            </w:tcBorders>
            <w:shd w:val="clear" w:color="auto" w:fill="auto"/>
            <w:vAlign w:val="center"/>
            <w:hideMark/>
          </w:tcPr>
          <w:p w14:paraId="005B1DB7"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tcBorders>
              <w:top w:val="nil"/>
              <w:left w:val="nil"/>
              <w:bottom w:val="single" w:sz="4" w:space="0" w:color="000000"/>
              <w:right w:val="nil"/>
            </w:tcBorders>
            <w:shd w:val="clear" w:color="auto" w:fill="auto"/>
            <w:vAlign w:val="center"/>
            <w:hideMark/>
          </w:tcPr>
          <w:p w14:paraId="428F95A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Tremujor</w:t>
            </w:r>
          </w:p>
        </w:tc>
        <w:tc>
          <w:tcPr>
            <w:tcW w:w="486" w:type="pct"/>
            <w:tcBorders>
              <w:top w:val="nil"/>
              <w:left w:val="single" w:sz="4" w:space="0" w:color="auto"/>
              <w:bottom w:val="single" w:sz="4" w:space="0" w:color="auto"/>
              <w:right w:val="single" w:sz="4" w:space="0" w:color="auto"/>
            </w:tcBorders>
            <w:shd w:val="clear" w:color="auto" w:fill="auto"/>
            <w:vAlign w:val="center"/>
            <w:hideMark/>
          </w:tcPr>
          <w:p w14:paraId="196BFD8B" w14:textId="79A6CB82"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Gjatësia e rrjetit rrugor</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 Transporti hekurudhor i mallrave në ton</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 Transporti hekurudhor i mallrave në ton/km</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4. Transporti hekurudhor pasagjerëve në numër</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5. Transporti hekurudhor pasagjerëve në pasagjerë/km</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6. Aksidente në hekurudhë</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7. Numri i lokomotivave të transportit hekurudhor</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8. Numri i </w:t>
            </w:r>
            <w:r w:rsidR="003D4004" w:rsidRPr="00B31292">
              <w:rPr>
                <w:rFonts w:ascii="Garamond" w:eastAsia="Times New Roman" w:hAnsi="Garamond" w:cs="Times New Roman"/>
                <w:color w:val="000000"/>
                <w:sz w:val="10"/>
                <w:szCs w:val="10"/>
              </w:rPr>
              <w:t>v</w:t>
            </w:r>
            <w:r w:rsidR="00864BC6" w:rsidRPr="00B31292">
              <w:rPr>
                <w:rFonts w:ascii="Garamond" w:eastAsia="Times New Roman" w:hAnsi="Garamond" w:cs="Times New Roman"/>
                <w:color w:val="000000"/>
                <w:sz w:val="10"/>
                <w:szCs w:val="10"/>
              </w:rPr>
              <w:t>agonëve</w:t>
            </w:r>
            <w:r w:rsidRPr="00B31292">
              <w:rPr>
                <w:rFonts w:ascii="Garamond" w:eastAsia="Times New Roman" w:hAnsi="Garamond" w:cs="Times New Roman"/>
                <w:color w:val="000000"/>
                <w:sz w:val="10"/>
                <w:szCs w:val="10"/>
              </w:rPr>
              <w:t xml:space="preserve"> për pasagjerë të transportit hekurudhor</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9. Numri i </w:t>
            </w:r>
            <w:r w:rsidR="003D4004" w:rsidRPr="00B31292">
              <w:rPr>
                <w:rFonts w:ascii="Garamond" w:eastAsia="Times New Roman" w:hAnsi="Garamond" w:cs="Times New Roman"/>
                <w:color w:val="000000"/>
                <w:sz w:val="10"/>
                <w:szCs w:val="10"/>
              </w:rPr>
              <w:t>v</w:t>
            </w:r>
            <w:r w:rsidR="00864BC6" w:rsidRPr="00B31292">
              <w:rPr>
                <w:rFonts w:ascii="Garamond" w:eastAsia="Times New Roman" w:hAnsi="Garamond" w:cs="Times New Roman"/>
                <w:color w:val="000000"/>
                <w:sz w:val="10"/>
                <w:szCs w:val="10"/>
              </w:rPr>
              <w:t>agonëve</w:t>
            </w:r>
            <w:r w:rsidRPr="00B31292">
              <w:rPr>
                <w:rFonts w:ascii="Garamond" w:eastAsia="Times New Roman" w:hAnsi="Garamond" w:cs="Times New Roman"/>
                <w:color w:val="000000"/>
                <w:sz w:val="10"/>
                <w:szCs w:val="10"/>
              </w:rPr>
              <w:t xml:space="preserve"> të mallrave</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10. Gjatësia e linjës hekurudhore</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në shfrytëzim</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11. Volumi i mallrave nëpërmjet hekurudhës sipas NST 2007</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12. Volumi i mallrave nëpërmjet hekurudhës sipas destinacionit 3 (kombë</w:t>
            </w:r>
            <w:r w:rsidR="00864BC6" w:rsidRPr="00B31292">
              <w:rPr>
                <w:rFonts w:ascii="Garamond" w:eastAsia="Times New Roman" w:hAnsi="Garamond" w:cs="Times New Roman"/>
                <w:color w:val="000000"/>
                <w:sz w:val="10"/>
                <w:szCs w:val="10"/>
              </w:rPr>
              <w:t>ta</w:t>
            </w:r>
            <w:r w:rsidRPr="00B31292">
              <w:rPr>
                <w:rFonts w:ascii="Garamond" w:eastAsia="Times New Roman" w:hAnsi="Garamond" w:cs="Times New Roman"/>
                <w:color w:val="000000"/>
                <w:sz w:val="10"/>
                <w:szCs w:val="10"/>
              </w:rPr>
              <w:t>r/ndërkombëtar)</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13. Volumi i ngarkim-shkarkimit (sipas porteve detare)</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14. Numri i pasagjerëve sipas porteve detare</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(shqiptarë, t</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huaj</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dhe të mitur)</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15. Numri i porteve detare</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16. Volumin e mallrave për </w:t>
            </w:r>
            <w:r w:rsidR="003D4004" w:rsidRPr="00B31292">
              <w:rPr>
                <w:rFonts w:ascii="Garamond" w:eastAsia="Times New Roman" w:hAnsi="Garamond" w:cs="Times New Roman"/>
                <w:color w:val="000000"/>
                <w:sz w:val="10"/>
                <w:szCs w:val="10"/>
              </w:rPr>
              <w:t xml:space="preserve">transportin detar </w:t>
            </w:r>
            <w:r w:rsidRPr="00B31292">
              <w:rPr>
                <w:rFonts w:ascii="Garamond" w:eastAsia="Times New Roman" w:hAnsi="Garamond" w:cs="Times New Roman"/>
                <w:color w:val="000000"/>
                <w:sz w:val="10"/>
                <w:szCs w:val="10"/>
              </w:rPr>
              <w:t>sipas NST 2007</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17. Numri i shoqërive ajrore</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18. Numri i fluturime</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19. Numri i mbikalime</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20. Numri i pasagjerë (të hyrë, të dalë)</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21. Mallra (të hyrë, të dalë)</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22. Posta (të hyrë, të dalë).</w:t>
            </w:r>
          </w:p>
        </w:tc>
        <w:tc>
          <w:tcPr>
            <w:tcW w:w="299" w:type="pct"/>
            <w:tcBorders>
              <w:top w:val="nil"/>
              <w:left w:val="nil"/>
              <w:bottom w:val="single" w:sz="4" w:space="0" w:color="auto"/>
              <w:right w:val="single" w:sz="4" w:space="0" w:color="auto"/>
            </w:tcBorders>
            <w:shd w:val="clear" w:color="auto" w:fill="auto"/>
            <w:vAlign w:val="center"/>
            <w:hideMark/>
          </w:tcPr>
          <w:p w14:paraId="5EEA867A" w14:textId="15781773"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Ministria e Infrastrukturës dhe Energjisë</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Porti Detar Vlorë</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Porti detar Sarandë</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Porti detar Durrës</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Porti detar Shëngjin</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Hekurudha Shqiptare sh.a</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 xml:space="preserve">Aeroporti </w:t>
            </w:r>
            <w:r w:rsidR="00BA12C3"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Nënë Tereza</w:t>
            </w:r>
            <w:r w:rsidR="00BA12C3" w:rsidRPr="00B31292">
              <w:rPr>
                <w:rFonts w:ascii="Garamond" w:eastAsia="Times New Roman" w:hAnsi="Garamond" w:cs="Times New Roman"/>
                <w:color w:val="000000"/>
                <w:sz w:val="10"/>
                <w:szCs w:val="10"/>
              </w:rPr>
              <w:t>”</w:t>
            </w:r>
          </w:p>
        </w:tc>
        <w:tc>
          <w:tcPr>
            <w:tcW w:w="224" w:type="pct"/>
            <w:tcBorders>
              <w:top w:val="nil"/>
              <w:left w:val="nil"/>
              <w:bottom w:val="single" w:sz="4" w:space="0" w:color="auto"/>
              <w:right w:val="single" w:sz="4" w:space="0" w:color="auto"/>
            </w:tcBorders>
            <w:shd w:val="clear" w:color="auto" w:fill="auto"/>
            <w:vAlign w:val="center"/>
            <w:hideMark/>
          </w:tcPr>
          <w:p w14:paraId="6635CD03" w14:textId="287A4C5F"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3D4004" w:rsidRPr="00B31292">
              <w:rPr>
                <w:rFonts w:ascii="Garamond" w:eastAsia="Times New Roman" w:hAnsi="Garamond" w:cs="Times New Roman"/>
                <w:color w:val="000000"/>
                <w:sz w:val="10"/>
                <w:szCs w:val="10"/>
              </w:rPr>
              <w:t>-i</w:t>
            </w:r>
          </w:p>
        </w:tc>
        <w:tc>
          <w:tcPr>
            <w:tcW w:w="244" w:type="pct"/>
            <w:tcBorders>
              <w:top w:val="nil"/>
              <w:left w:val="nil"/>
              <w:bottom w:val="single" w:sz="4" w:space="0" w:color="auto"/>
              <w:right w:val="single" w:sz="4" w:space="0" w:color="auto"/>
            </w:tcBorders>
            <w:shd w:val="clear" w:color="000000" w:fill="FFFFFF"/>
            <w:vAlign w:val="center"/>
            <w:hideMark/>
          </w:tcPr>
          <w:p w14:paraId="3906CC00"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 T+ 22D</w:t>
            </w:r>
          </w:p>
        </w:tc>
        <w:tc>
          <w:tcPr>
            <w:tcW w:w="220" w:type="pct"/>
            <w:tcBorders>
              <w:top w:val="nil"/>
              <w:left w:val="nil"/>
              <w:bottom w:val="single" w:sz="4" w:space="0" w:color="auto"/>
              <w:right w:val="single" w:sz="4" w:space="0" w:color="auto"/>
            </w:tcBorders>
            <w:shd w:val="clear" w:color="000000" w:fill="FFFFFF"/>
            <w:vAlign w:val="center"/>
            <w:hideMark/>
          </w:tcPr>
          <w:p w14:paraId="54CCE2A8"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 + 26D</w:t>
            </w:r>
          </w:p>
        </w:tc>
        <w:tc>
          <w:tcPr>
            <w:tcW w:w="220" w:type="pct"/>
            <w:tcBorders>
              <w:top w:val="nil"/>
              <w:left w:val="nil"/>
              <w:bottom w:val="single" w:sz="4" w:space="0" w:color="auto"/>
              <w:right w:val="single" w:sz="4" w:space="0" w:color="auto"/>
            </w:tcBorders>
            <w:shd w:val="clear" w:color="000000" w:fill="FFFFFF"/>
            <w:vAlign w:val="center"/>
            <w:hideMark/>
          </w:tcPr>
          <w:p w14:paraId="53202BE2"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 + 30D</w:t>
            </w:r>
          </w:p>
        </w:tc>
        <w:tc>
          <w:tcPr>
            <w:tcW w:w="346" w:type="pct"/>
            <w:tcBorders>
              <w:top w:val="nil"/>
              <w:left w:val="nil"/>
              <w:bottom w:val="single" w:sz="4" w:space="0" w:color="auto"/>
              <w:right w:val="single" w:sz="4" w:space="0" w:color="auto"/>
            </w:tcBorders>
            <w:shd w:val="clear" w:color="auto" w:fill="auto"/>
            <w:vAlign w:val="center"/>
            <w:hideMark/>
          </w:tcPr>
          <w:p w14:paraId="144069AD" w14:textId="593DA4AE"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Informacion jo i plotë nga të dhënat administrative -|- 6</w:t>
            </w:r>
            <w:r w:rsidRPr="00B31292">
              <w:rPr>
                <w:rFonts w:ascii="Garamond" w:eastAsia="Times New Roman" w:hAnsi="Garamond" w:cs="Times New Roman"/>
                <w:color w:val="000000"/>
                <w:sz w:val="10"/>
                <w:szCs w:val="10"/>
              </w:rPr>
              <w:br/>
              <w:t>2. Vonesa në marrjen e të dhënave nga burimet administrative -|- 6</w:t>
            </w:r>
            <w:r w:rsidRPr="00B31292">
              <w:rPr>
                <w:rFonts w:ascii="Garamond" w:eastAsia="Times New Roman" w:hAnsi="Garamond" w:cs="Times New Roman"/>
                <w:color w:val="000000"/>
                <w:sz w:val="10"/>
                <w:szCs w:val="10"/>
              </w:rPr>
              <w:br/>
              <w:t>3. Ndryshimi i bazës ligjore të burimit administrativ -|- 6</w:t>
            </w:r>
            <w:r w:rsidRPr="00B31292">
              <w:rPr>
                <w:rFonts w:ascii="Garamond" w:eastAsia="Times New Roman" w:hAnsi="Garamond" w:cs="Times New Roman"/>
                <w:color w:val="000000"/>
                <w:sz w:val="10"/>
                <w:szCs w:val="10"/>
              </w:rPr>
              <w:br/>
              <w:t>4. Pezullimi/vonesa e mbledhjes, prodhimit dhe shpërndarjes të statistikave zyrtare nga fatkeqësitë natyrore / pandemi globale -|- 4</w:t>
            </w:r>
            <w:r w:rsidRPr="00B31292">
              <w:rPr>
                <w:rFonts w:ascii="Garamond" w:eastAsia="Times New Roman" w:hAnsi="Garamond" w:cs="Times New Roman"/>
                <w:color w:val="000000"/>
                <w:sz w:val="10"/>
                <w:szCs w:val="10"/>
              </w:rPr>
              <w:br/>
              <w:t>5. Mospërmbushja e</w:t>
            </w:r>
            <w:r w:rsidR="003E16E0" w:rsidRPr="00B31292">
              <w:rPr>
                <w:rFonts w:ascii="Garamond" w:eastAsia="Times New Roman" w:hAnsi="Garamond" w:cs="Times New Roman"/>
                <w:color w:val="000000"/>
                <w:sz w:val="10"/>
                <w:szCs w:val="10"/>
              </w:rPr>
              <w:t xml:space="preserve"> </w:t>
            </w:r>
            <w:r w:rsidR="00F667B8" w:rsidRPr="00B31292">
              <w:rPr>
                <w:rFonts w:ascii="Garamond" w:eastAsia="Times New Roman" w:hAnsi="Garamond" w:cs="Times New Roman"/>
                <w:color w:val="000000"/>
                <w:sz w:val="10"/>
                <w:szCs w:val="10"/>
              </w:rPr>
              <w:t>kritereve të cilësisë, si:</w:t>
            </w:r>
            <w:r w:rsidRPr="00B31292">
              <w:rPr>
                <w:rFonts w:ascii="Garamond" w:eastAsia="Times New Roman" w:hAnsi="Garamond" w:cs="Times New Roman"/>
                <w:color w:val="000000"/>
                <w:sz w:val="10"/>
                <w:szCs w:val="10"/>
              </w:rPr>
              <w:t xml:space="preserve"> saktësia, përpikmëria dhe krahasueshmëria, për vrojtimet statistikore -|- 3</w:t>
            </w:r>
            <w:r w:rsidRPr="00B31292">
              <w:rPr>
                <w:rFonts w:ascii="Garamond" w:eastAsia="Times New Roman" w:hAnsi="Garamond" w:cs="Times New Roman"/>
                <w:color w:val="000000"/>
                <w:sz w:val="10"/>
                <w:szCs w:val="10"/>
              </w:rPr>
              <w:br/>
              <w:t>6. Lëvizja e stafit me eksperiencë nga sektori që sjell ngadalësim të proceseve të punës</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-|- 3</w:t>
            </w:r>
          </w:p>
        </w:tc>
        <w:tc>
          <w:tcPr>
            <w:tcW w:w="273" w:type="pct"/>
            <w:tcBorders>
              <w:top w:val="nil"/>
              <w:left w:val="nil"/>
              <w:bottom w:val="single" w:sz="4" w:space="0" w:color="auto"/>
              <w:right w:val="single" w:sz="4" w:space="0" w:color="auto"/>
            </w:tcBorders>
            <w:shd w:val="clear" w:color="auto" w:fill="auto"/>
            <w:vAlign w:val="center"/>
            <w:hideMark/>
          </w:tcPr>
          <w:p w14:paraId="0622CCE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Buxhet shteti</w:t>
            </w:r>
          </w:p>
        </w:tc>
      </w:tr>
      <w:tr w:rsidR="000A2254" w:rsidRPr="00B31292" w14:paraId="53436BB4" w14:textId="77777777" w:rsidTr="000A2254">
        <w:trPr>
          <w:trHeight w:val="20"/>
        </w:trPr>
        <w:tc>
          <w:tcPr>
            <w:tcW w:w="215" w:type="pct"/>
            <w:tcBorders>
              <w:top w:val="nil"/>
              <w:left w:val="nil"/>
              <w:bottom w:val="nil"/>
              <w:right w:val="nil"/>
            </w:tcBorders>
            <w:shd w:val="clear" w:color="000000" w:fill="FFFFFF"/>
            <w:vAlign w:val="bottom"/>
            <w:hideMark/>
          </w:tcPr>
          <w:p w14:paraId="2C84890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738892B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5970D31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585FE39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71A9F7F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209A5A6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000000"/>
              <w:bottom w:val="nil"/>
              <w:right w:val="single" w:sz="4" w:space="0" w:color="000000"/>
            </w:tcBorders>
            <w:shd w:val="clear" w:color="auto" w:fill="auto"/>
            <w:vAlign w:val="center"/>
            <w:hideMark/>
          </w:tcPr>
          <w:p w14:paraId="5C8A1620"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3.3.1.2</w:t>
            </w:r>
          </w:p>
        </w:tc>
        <w:tc>
          <w:tcPr>
            <w:tcW w:w="281" w:type="pct"/>
            <w:tcBorders>
              <w:top w:val="nil"/>
              <w:left w:val="nil"/>
              <w:bottom w:val="nil"/>
              <w:right w:val="single" w:sz="4" w:space="0" w:color="000000"/>
            </w:tcBorders>
            <w:shd w:val="clear" w:color="auto" w:fill="auto"/>
            <w:vAlign w:val="center"/>
            <w:hideMark/>
          </w:tcPr>
          <w:p w14:paraId="387FB021" w14:textId="63E0C7EC"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Statistikat</w:t>
            </w:r>
            <w:r w:rsidR="002E2911" w:rsidRPr="00B31292">
              <w:rPr>
                <w:rFonts w:ascii="Garamond" w:eastAsia="Times New Roman" w:hAnsi="Garamond" w:cs="Times New Roman"/>
                <w:sz w:val="10"/>
                <w:szCs w:val="10"/>
              </w:rPr>
              <w:t xml:space="preserve"> </w:t>
            </w:r>
            <w:r w:rsidRPr="00B31292">
              <w:rPr>
                <w:rFonts w:ascii="Garamond" w:eastAsia="Times New Roman" w:hAnsi="Garamond" w:cs="Times New Roman"/>
                <w:sz w:val="10"/>
                <w:szCs w:val="10"/>
              </w:rPr>
              <w:t>mbi karakteristikat e</w:t>
            </w:r>
            <w:r w:rsidR="002E2911" w:rsidRPr="00B31292">
              <w:rPr>
                <w:rFonts w:ascii="Garamond" w:eastAsia="Times New Roman" w:hAnsi="Garamond" w:cs="Times New Roman"/>
                <w:sz w:val="10"/>
                <w:szCs w:val="10"/>
              </w:rPr>
              <w:t xml:space="preserve"> </w:t>
            </w:r>
            <w:r w:rsidRPr="00B31292">
              <w:rPr>
                <w:rFonts w:ascii="Garamond" w:eastAsia="Times New Roman" w:hAnsi="Garamond" w:cs="Times New Roman"/>
                <w:sz w:val="10"/>
                <w:szCs w:val="10"/>
              </w:rPr>
              <w:t>mjeteve të transportit rrugor</w:t>
            </w:r>
          </w:p>
        </w:tc>
        <w:tc>
          <w:tcPr>
            <w:tcW w:w="236" w:type="pct"/>
            <w:tcBorders>
              <w:top w:val="nil"/>
              <w:left w:val="nil"/>
              <w:bottom w:val="nil"/>
              <w:right w:val="single" w:sz="4" w:space="0" w:color="000000"/>
            </w:tcBorders>
            <w:shd w:val="clear" w:color="auto" w:fill="auto"/>
            <w:vAlign w:val="center"/>
            <w:hideMark/>
          </w:tcPr>
          <w:p w14:paraId="1594A80D"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Burim administrativ</w:t>
            </w:r>
          </w:p>
        </w:tc>
        <w:tc>
          <w:tcPr>
            <w:tcW w:w="238" w:type="pct"/>
            <w:tcBorders>
              <w:top w:val="nil"/>
              <w:left w:val="nil"/>
              <w:bottom w:val="single" w:sz="4" w:space="0" w:color="auto"/>
              <w:right w:val="single" w:sz="4" w:space="0" w:color="auto"/>
            </w:tcBorders>
            <w:shd w:val="clear" w:color="auto" w:fill="auto"/>
            <w:noWrap/>
            <w:vAlign w:val="center"/>
            <w:hideMark/>
          </w:tcPr>
          <w:p w14:paraId="02FFA7D5"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180" w:type="pct"/>
            <w:tcBorders>
              <w:top w:val="single" w:sz="4" w:space="0" w:color="auto"/>
              <w:left w:val="nil"/>
              <w:bottom w:val="single" w:sz="4" w:space="0" w:color="auto"/>
              <w:right w:val="single" w:sz="4" w:space="0" w:color="auto"/>
            </w:tcBorders>
            <w:shd w:val="clear" w:color="auto" w:fill="auto"/>
            <w:noWrap/>
            <w:vAlign w:val="center"/>
            <w:hideMark/>
          </w:tcPr>
          <w:p w14:paraId="24D65732"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28" w:type="pct"/>
            <w:tcBorders>
              <w:top w:val="nil"/>
              <w:left w:val="nil"/>
              <w:bottom w:val="single" w:sz="4" w:space="0" w:color="auto"/>
              <w:right w:val="single" w:sz="4" w:space="0" w:color="auto"/>
            </w:tcBorders>
            <w:shd w:val="clear" w:color="auto" w:fill="auto"/>
            <w:vAlign w:val="center"/>
            <w:hideMark/>
          </w:tcPr>
          <w:p w14:paraId="4DDBD13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tcBorders>
              <w:top w:val="nil"/>
              <w:left w:val="nil"/>
              <w:bottom w:val="nil"/>
              <w:right w:val="nil"/>
            </w:tcBorders>
            <w:shd w:val="clear" w:color="auto" w:fill="auto"/>
            <w:vAlign w:val="center"/>
            <w:hideMark/>
          </w:tcPr>
          <w:p w14:paraId="04F5F05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Vjetor</w:t>
            </w:r>
          </w:p>
        </w:tc>
        <w:tc>
          <w:tcPr>
            <w:tcW w:w="486" w:type="pct"/>
            <w:tcBorders>
              <w:top w:val="nil"/>
              <w:left w:val="single" w:sz="4" w:space="0" w:color="auto"/>
              <w:bottom w:val="nil"/>
              <w:right w:val="single" w:sz="4" w:space="0" w:color="auto"/>
            </w:tcBorders>
            <w:shd w:val="clear" w:color="000000" w:fill="FFFFFF"/>
            <w:vAlign w:val="center"/>
            <w:hideMark/>
          </w:tcPr>
          <w:p w14:paraId="6A130144" w14:textId="697D6534"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Mjete për pasagjerë</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 Mjeteve për mallra</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 Mjete të transportit rrugor sipas llojit të mjetit</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4. Mjete rrugore sipas rajoneve</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5. Autovetura sipas vitit të prodhimit</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6. Autovetura sipas lëndës djegëse</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7. Autovetura sipas fuqisë motorike</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8. Autovetura sipas kambios</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9. Autovetura sipas qarqeve.</w:t>
            </w:r>
          </w:p>
        </w:tc>
        <w:tc>
          <w:tcPr>
            <w:tcW w:w="299" w:type="pct"/>
            <w:tcBorders>
              <w:top w:val="nil"/>
              <w:left w:val="nil"/>
              <w:bottom w:val="nil"/>
              <w:right w:val="single" w:sz="4" w:space="0" w:color="auto"/>
            </w:tcBorders>
            <w:shd w:val="clear" w:color="auto" w:fill="auto"/>
            <w:vAlign w:val="center"/>
            <w:hideMark/>
          </w:tcPr>
          <w:p w14:paraId="7624739A" w14:textId="6D89935C"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Drejtoria e Përgjithshme e Shërbimit të Transportit Rrugor</w:t>
            </w:r>
            <w:r w:rsidR="003D4004"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(DPSHTRR)</w:t>
            </w:r>
          </w:p>
        </w:tc>
        <w:tc>
          <w:tcPr>
            <w:tcW w:w="224" w:type="pct"/>
            <w:tcBorders>
              <w:top w:val="nil"/>
              <w:left w:val="nil"/>
              <w:bottom w:val="nil"/>
              <w:right w:val="single" w:sz="4" w:space="0" w:color="auto"/>
            </w:tcBorders>
            <w:shd w:val="clear" w:color="auto" w:fill="auto"/>
            <w:vAlign w:val="center"/>
            <w:hideMark/>
          </w:tcPr>
          <w:p w14:paraId="6F73DC58" w14:textId="06A7E37E"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3D4004" w:rsidRPr="00B31292">
              <w:rPr>
                <w:rFonts w:ascii="Garamond" w:eastAsia="Times New Roman" w:hAnsi="Garamond" w:cs="Times New Roman"/>
                <w:color w:val="000000"/>
                <w:sz w:val="10"/>
                <w:szCs w:val="10"/>
              </w:rPr>
              <w:t>-i</w:t>
            </w:r>
          </w:p>
        </w:tc>
        <w:tc>
          <w:tcPr>
            <w:tcW w:w="244" w:type="pct"/>
            <w:tcBorders>
              <w:top w:val="nil"/>
              <w:left w:val="nil"/>
              <w:bottom w:val="single" w:sz="4" w:space="0" w:color="auto"/>
              <w:right w:val="single" w:sz="4" w:space="0" w:color="auto"/>
            </w:tcBorders>
            <w:shd w:val="clear" w:color="000000" w:fill="FFFFFF"/>
            <w:vAlign w:val="center"/>
            <w:hideMark/>
          </w:tcPr>
          <w:p w14:paraId="4AD9107B"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+ 103D</w:t>
            </w:r>
          </w:p>
        </w:tc>
        <w:tc>
          <w:tcPr>
            <w:tcW w:w="220" w:type="pct"/>
            <w:tcBorders>
              <w:top w:val="nil"/>
              <w:left w:val="nil"/>
              <w:bottom w:val="single" w:sz="4" w:space="0" w:color="auto"/>
              <w:right w:val="single" w:sz="4" w:space="0" w:color="auto"/>
            </w:tcBorders>
            <w:shd w:val="clear" w:color="000000" w:fill="FFFFFF"/>
            <w:vAlign w:val="center"/>
            <w:hideMark/>
          </w:tcPr>
          <w:p w14:paraId="045A29E9"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+ 166D</w:t>
            </w:r>
          </w:p>
        </w:tc>
        <w:tc>
          <w:tcPr>
            <w:tcW w:w="220" w:type="pct"/>
            <w:tcBorders>
              <w:top w:val="nil"/>
              <w:left w:val="nil"/>
              <w:bottom w:val="single" w:sz="4" w:space="0" w:color="auto"/>
              <w:right w:val="single" w:sz="4" w:space="0" w:color="auto"/>
            </w:tcBorders>
            <w:shd w:val="clear" w:color="000000" w:fill="FFFFFF"/>
            <w:vAlign w:val="center"/>
            <w:hideMark/>
          </w:tcPr>
          <w:p w14:paraId="1206805A"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+ 187D</w:t>
            </w:r>
          </w:p>
        </w:tc>
        <w:tc>
          <w:tcPr>
            <w:tcW w:w="346" w:type="pct"/>
            <w:tcBorders>
              <w:top w:val="nil"/>
              <w:left w:val="nil"/>
              <w:bottom w:val="single" w:sz="4" w:space="0" w:color="auto"/>
              <w:right w:val="single" w:sz="4" w:space="0" w:color="auto"/>
            </w:tcBorders>
            <w:shd w:val="clear" w:color="auto" w:fill="auto"/>
            <w:vAlign w:val="center"/>
            <w:hideMark/>
          </w:tcPr>
          <w:p w14:paraId="1E76B2B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Informacion jo i plotë nga të dhënat administrative -|- 5</w:t>
            </w:r>
            <w:r w:rsidRPr="00B31292">
              <w:rPr>
                <w:rFonts w:ascii="Garamond" w:eastAsia="Times New Roman" w:hAnsi="Garamond" w:cs="Times New Roman"/>
                <w:color w:val="000000"/>
                <w:sz w:val="10"/>
                <w:szCs w:val="10"/>
              </w:rPr>
              <w:br/>
              <w:t>2. Vonesa në marrjen e të dhënave nga burimet administrative -|- 5</w:t>
            </w:r>
            <w:r w:rsidRPr="00B31292">
              <w:rPr>
                <w:rFonts w:ascii="Garamond" w:eastAsia="Times New Roman" w:hAnsi="Garamond" w:cs="Times New Roman"/>
                <w:color w:val="000000"/>
                <w:sz w:val="10"/>
                <w:szCs w:val="10"/>
              </w:rPr>
              <w:br/>
              <w:t>3. Mungesa e stafit përgjegjës në agjencitë e tjera statistikore -|- 5</w:t>
            </w:r>
            <w:r w:rsidRPr="00B31292">
              <w:rPr>
                <w:rFonts w:ascii="Garamond" w:eastAsia="Times New Roman" w:hAnsi="Garamond" w:cs="Times New Roman"/>
                <w:color w:val="000000"/>
                <w:sz w:val="10"/>
                <w:szCs w:val="10"/>
              </w:rPr>
              <w:br/>
              <w:t>4. Lëvizja e stafit me eksperiencë nga sektori -|- 5</w:t>
            </w:r>
            <w:r w:rsidRPr="00B31292">
              <w:rPr>
                <w:rFonts w:ascii="Garamond" w:eastAsia="Times New Roman" w:hAnsi="Garamond" w:cs="Times New Roman"/>
                <w:color w:val="000000"/>
                <w:sz w:val="10"/>
                <w:szCs w:val="10"/>
              </w:rPr>
              <w:br/>
              <w:t>5. Mungesa e trajnimeve për stafin -|- 5</w:t>
            </w:r>
            <w:r w:rsidRPr="00B31292">
              <w:rPr>
                <w:rFonts w:ascii="Garamond" w:eastAsia="Times New Roman" w:hAnsi="Garamond" w:cs="Times New Roman"/>
                <w:color w:val="000000"/>
                <w:sz w:val="10"/>
                <w:szCs w:val="10"/>
              </w:rPr>
              <w:br/>
              <w:t>6. Ndryshimi i bazës ligjore të burimit administrativ -|- 5</w:t>
            </w:r>
          </w:p>
        </w:tc>
        <w:tc>
          <w:tcPr>
            <w:tcW w:w="273" w:type="pct"/>
            <w:tcBorders>
              <w:top w:val="nil"/>
              <w:left w:val="nil"/>
              <w:bottom w:val="single" w:sz="4" w:space="0" w:color="auto"/>
              <w:right w:val="single" w:sz="4" w:space="0" w:color="auto"/>
            </w:tcBorders>
            <w:shd w:val="clear" w:color="auto" w:fill="auto"/>
            <w:vAlign w:val="center"/>
            <w:hideMark/>
          </w:tcPr>
          <w:p w14:paraId="4AB3154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Buxhet shteti</w:t>
            </w:r>
          </w:p>
        </w:tc>
      </w:tr>
      <w:tr w:rsidR="000A2254" w:rsidRPr="00B31292" w14:paraId="48C1A253" w14:textId="77777777" w:rsidTr="000A2254">
        <w:trPr>
          <w:trHeight w:val="20"/>
        </w:trPr>
        <w:tc>
          <w:tcPr>
            <w:tcW w:w="215" w:type="pct"/>
            <w:tcBorders>
              <w:top w:val="nil"/>
              <w:left w:val="nil"/>
              <w:bottom w:val="nil"/>
              <w:right w:val="nil"/>
            </w:tcBorders>
            <w:shd w:val="clear" w:color="000000" w:fill="FFFFFF"/>
            <w:vAlign w:val="bottom"/>
            <w:hideMark/>
          </w:tcPr>
          <w:p w14:paraId="5C87B35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lastRenderedPageBreak/>
              <w:t> </w:t>
            </w:r>
          </w:p>
        </w:tc>
        <w:tc>
          <w:tcPr>
            <w:tcW w:w="215" w:type="pct"/>
            <w:tcBorders>
              <w:top w:val="nil"/>
              <w:left w:val="nil"/>
              <w:bottom w:val="nil"/>
              <w:right w:val="nil"/>
            </w:tcBorders>
            <w:shd w:val="clear" w:color="000000" w:fill="FFFFFF"/>
            <w:vAlign w:val="bottom"/>
            <w:hideMark/>
          </w:tcPr>
          <w:p w14:paraId="5CF8712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421A408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042B81C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single" w:sz="4" w:space="0" w:color="000000"/>
              <w:left w:val="single" w:sz="4" w:space="0" w:color="000000"/>
              <w:bottom w:val="single" w:sz="4" w:space="0" w:color="000000"/>
              <w:right w:val="nil"/>
            </w:tcBorders>
            <w:shd w:val="clear" w:color="000000" w:fill="F0F0F0"/>
            <w:vAlign w:val="center"/>
            <w:hideMark/>
          </w:tcPr>
          <w:p w14:paraId="141F2C67"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3.3.2</w:t>
            </w:r>
          </w:p>
        </w:tc>
        <w:tc>
          <w:tcPr>
            <w:tcW w:w="4082" w:type="pct"/>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0AF7353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Statistikat mbi sigurinë në rrugë</w:t>
            </w:r>
          </w:p>
        </w:tc>
      </w:tr>
      <w:tr w:rsidR="000A2254" w:rsidRPr="00B31292" w14:paraId="084D01E1" w14:textId="77777777" w:rsidTr="000A2254">
        <w:trPr>
          <w:trHeight w:val="20"/>
        </w:trPr>
        <w:tc>
          <w:tcPr>
            <w:tcW w:w="215" w:type="pct"/>
            <w:tcBorders>
              <w:top w:val="nil"/>
              <w:left w:val="nil"/>
              <w:bottom w:val="nil"/>
              <w:right w:val="nil"/>
            </w:tcBorders>
            <w:shd w:val="clear" w:color="000000" w:fill="FFFFFF"/>
            <w:vAlign w:val="bottom"/>
            <w:hideMark/>
          </w:tcPr>
          <w:p w14:paraId="477D231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26B81A8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7FDD5E9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6A839D2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562FCAA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027DAC4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000000"/>
              <w:bottom w:val="nil"/>
              <w:right w:val="single" w:sz="4" w:space="0" w:color="000000"/>
            </w:tcBorders>
            <w:shd w:val="clear" w:color="auto" w:fill="auto"/>
            <w:vAlign w:val="center"/>
            <w:hideMark/>
          </w:tcPr>
          <w:p w14:paraId="2A46EA33"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3.3.2.1</w:t>
            </w:r>
          </w:p>
        </w:tc>
        <w:tc>
          <w:tcPr>
            <w:tcW w:w="281" w:type="pct"/>
            <w:tcBorders>
              <w:top w:val="nil"/>
              <w:left w:val="nil"/>
              <w:bottom w:val="nil"/>
              <w:right w:val="single" w:sz="4" w:space="0" w:color="000000"/>
            </w:tcBorders>
            <w:shd w:val="clear" w:color="auto" w:fill="auto"/>
            <w:vAlign w:val="center"/>
            <w:hideMark/>
          </w:tcPr>
          <w:p w14:paraId="7D93682A" w14:textId="7F9920A2"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Statistikat e</w:t>
            </w:r>
            <w:r w:rsidR="002E2911" w:rsidRPr="00B31292">
              <w:rPr>
                <w:rFonts w:ascii="Garamond" w:eastAsia="Times New Roman" w:hAnsi="Garamond" w:cs="Times New Roman"/>
                <w:sz w:val="10"/>
                <w:szCs w:val="10"/>
              </w:rPr>
              <w:t xml:space="preserve"> </w:t>
            </w:r>
            <w:r w:rsidRPr="00B31292">
              <w:rPr>
                <w:rFonts w:ascii="Garamond" w:eastAsia="Times New Roman" w:hAnsi="Garamond" w:cs="Times New Roman"/>
                <w:sz w:val="10"/>
                <w:szCs w:val="10"/>
              </w:rPr>
              <w:t>sigurisë në transport</w:t>
            </w:r>
          </w:p>
        </w:tc>
        <w:tc>
          <w:tcPr>
            <w:tcW w:w="236" w:type="pct"/>
            <w:tcBorders>
              <w:top w:val="nil"/>
              <w:left w:val="nil"/>
              <w:bottom w:val="nil"/>
              <w:right w:val="single" w:sz="4" w:space="0" w:color="000000"/>
            </w:tcBorders>
            <w:shd w:val="clear" w:color="auto" w:fill="auto"/>
            <w:vAlign w:val="center"/>
            <w:hideMark/>
          </w:tcPr>
          <w:p w14:paraId="1B100899"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Burim administrativ</w:t>
            </w:r>
          </w:p>
        </w:tc>
        <w:tc>
          <w:tcPr>
            <w:tcW w:w="238" w:type="pct"/>
            <w:tcBorders>
              <w:top w:val="nil"/>
              <w:left w:val="nil"/>
              <w:bottom w:val="single" w:sz="4" w:space="0" w:color="auto"/>
              <w:right w:val="single" w:sz="4" w:space="0" w:color="auto"/>
            </w:tcBorders>
            <w:shd w:val="clear" w:color="auto" w:fill="auto"/>
            <w:noWrap/>
            <w:vAlign w:val="center"/>
            <w:hideMark/>
          </w:tcPr>
          <w:p w14:paraId="51269A71"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180" w:type="pct"/>
            <w:tcBorders>
              <w:top w:val="nil"/>
              <w:left w:val="nil"/>
              <w:bottom w:val="single" w:sz="4" w:space="0" w:color="auto"/>
              <w:right w:val="single" w:sz="4" w:space="0" w:color="auto"/>
            </w:tcBorders>
            <w:shd w:val="clear" w:color="auto" w:fill="auto"/>
            <w:noWrap/>
            <w:vAlign w:val="center"/>
            <w:hideMark/>
          </w:tcPr>
          <w:p w14:paraId="50FFB81E"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28" w:type="pct"/>
            <w:tcBorders>
              <w:top w:val="nil"/>
              <w:left w:val="nil"/>
              <w:bottom w:val="single" w:sz="4" w:space="0" w:color="auto"/>
              <w:right w:val="single" w:sz="4" w:space="0" w:color="auto"/>
            </w:tcBorders>
            <w:shd w:val="clear" w:color="auto" w:fill="auto"/>
            <w:vAlign w:val="center"/>
            <w:hideMark/>
          </w:tcPr>
          <w:p w14:paraId="7D47334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tcBorders>
              <w:top w:val="nil"/>
              <w:left w:val="nil"/>
              <w:bottom w:val="nil"/>
              <w:right w:val="nil"/>
            </w:tcBorders>
            <w:shd w:val="clear" w:color="auto" w:fill="auto"/>
            <w:vAlign w:val="center"/>
            <w:hideMark/>
          </w:tcPr>
          <w:p w14:paraId="2F874FF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Mujor</w:t>
            </w:r>
          </w:p>
        </w:tc>
        <w:tc>
          <w:tcPr>
            <w:tcW w:w="486" w:type="pct"/>
            <w:tcBorders>
              <w:top w:val="nil"/>
              <w:left w:val="single" w:sz="4" w:space="0" w:color="auto"/>
              <w:bottom w:val="nil"/>
              <w:right w:val="single" w:sz="4" w:space="0" w:color="auto"/>
            </w:tcBorders>
            <w:shd w:val="clear" w:color="000000" w:fill="FFFFFF"/>
            <w:vAlign w:val="center"/>
            <w:hideMark/>
          </w:tcPr>
          <w:p w14:paraId="75126A8C" w14:textId="54183430"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Numri i aksidenteve sipas ditëve të javës (ditë jave dhe ditë fundjave)</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 Numri i aksidenteve sipas rrugëve (autostradë, interurbane, urbane, lokale dhe të tjera)</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 Numri i aksidenteve sipas shkakut (sjellja e drejtuesit të mjetit dhe këmbësorëve)</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4. Numri i aksidenteve sipas gjeometrisë së rrugës</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5. Numri i personave të aksidentuar</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6. Numri i</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të vdekurve</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7. Numri i aksidenteve rrugore sipas moshës së drejtuesit</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8. Numri i të plagosurve</w:t>
            </w:r>
            <w:r w:rsidR="003D4004" w:rsidRPr="00B31292">
              <w:rPr>
                <w:rFonts w:ascii="Garamond" w:eastAsia="Times New Roman" w:hAnsi="Garamond" w:cs="Times New Roman"/>
                <w:color w:val="000000"/>
                <w:sz w:val="10"/>
                <w:szCs w:val="10"/>
              </w:rPr>
              <w:t>.</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9. Numri i aksidenteve sipas qarqeve</w:t>
            </w:r>
            <w:r w:rsidR="003D4004" w:rsidRPr="00B31292">
              <w:rPr>
                <w:rFonts w:ascii="Garamond" w:eastAsia="Times New Roman" w:hAnsi="Garamond" w:cs="Times New Roman"/>
                <w:color w:val="000000"/>
                <w:sz w:val="10"/>
                <w:szCs w:val="10"/>
              </w:rPr>
              <w:t>.</w:t>
            </w:r>
          </w:p>
        </w:tc>
        <w:tc>
          <w:tcPr>
            <w:tcW w:w="299" w:type="pct"/>
            <w:tcBorders>
              <w:top w:val="nil"/>
              <w:left w:val="nil"/>
              <w:bottom w:val="nil"/>
              <w:right w:val="single" w:sz="4" w:space="0" w:color="auto"/>
            </w:tcBorders>
            <w:shd w:val="clear" w:color="auto" w:fill="auto"/>
            <w:vAlign w:val="center"/>
            <w:hideMark/>
          </w:tcPr>
          <w:p w14:paraId="5E8E7E2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Drejtoria e Përgjithshme e Policisë</w:t>
            </w:r>
          </w:p>
        </w:tc>
        <w:tc>
          <w:tcPr>
            <w:tcW w:w="224" w:type="pct"/>
            <w:tcBorders>
              <w:top w:val="nil"/>
              <w:left w:val="nil"/>
              <w:bottom w:val="nil"/>
              <w:right w:val="single" w:sz="4" w:space="0" w:color="auto"/>
            </w:tcBorders>
            <w:shd w:val="clear" w:color="auto" w:fill="auto"/>
            <w:vAlign w:val="center"/>
            <w:hideMark/>
          </w:tcPr>
          <w:p w14:paraId="1B8BBEB2" w14:textId="1CAB455D"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3D4004" w:rsidRPr="00B31292">
              <w:rPr>
                <w:rFonts w:ascii="Garamond" w:eastAsia="Times New Roman" w:hAnsi="Garamond" w:cs="Times New Roman"/>
                <w:color w:val="000000"/>
                <w:sz w:val="10"/>
                <w:szCs w:val="10"/>
              </w:rPr>
              <w:t>-i</w:t>
            </w:r>
          </w:p>
        </w:tc>
        <w:tc>
          <w:tcPr>
            <w:tcW w:w="244" w:type="pct"/>
            <w:tcBorders>
              <w:top w:val="nil"/>
              <w:left w:val="nil"/>
              <w:bottom w:val="single" w:sz="4" w:space="0" w:color="auto"/>
              <w:right w:val="single" w:sz="4" w:space="0" w:color="auto"/>
            </w:tcBorders>
            <w:shd w:val="clear" w:color="000000" w:fill="FFFFFF"/>
            <w:vAlign w:val="center"/>
            <w:hideMark/>
          </w:tcPr>
          <w:p w14:paraId="5B1F8289"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M + 10D</w:t>
            </w:r>
          </w:p>
        </w:tc>
        <w:tc>
          <w:tcPr>
            <w:tcW w:w="220" w:type="pct"/>
            <w:tcBorders>
              <w:top w:val="nil"/>
              <w:left w:val="nil"/>
              <w:bottom w:val="single" w:sz="4" w:space="0" w:color="auto"/>
              <w:right w:val="single" w:sz="4" w:space="0" w:color="auto"/>
            </w:tcBorders>
            <w:shd w:val="clear" w:color="000000" w:fill="FFFFFF"/>
            <w:vAlign w:val="center"/>
            <w:hideMark/>
          </w:tcPr>
          <w:p w14:paraId="62DFB3BC"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M + 16D</w:t>
            </w:r>
          </w:p>
        </w:tc>
        <w:tc>
          <w:tcPr>
            <w:tcW w:w="220" w:type="pct"/>
            <w:tcBorders>
              <w:top w:val="nil"/>
              <w:left w:val="nil"/>
              <w:bottom w:val="single" w:sz="4" w:space="0" w:color="auto"/>
              <w:right w:val="single" w:sz="4" w:space="0" w:color="auto"/>
            </w:tcBorders>
            <w:shd w:val="clear" w:color="000000" w:fill="FFFFFF"/>
            <w:vAlign w:val="center"/>
            <w:hideMark/>
          </w:tcPr>
          <w:p w14:paraId="3AFF17B4"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M + 19D</w:t>
            </w:r>
          </w:p>
        </w:tc>
        <w:tc>
          <w:tcPr>
            <w:tcW w:w="346" w:type="pct"/>
            <w:tcBorders>
              <w:top w:val="nil"/>
              <w:left w:val="nil"/>
              <w:bottom w:val="single" w:sz="4" w:space="0" w:color="auto"/>
              <w:right w:val="single" w:sz="4" w:space="0" w:color="auto"/>
            </w:tcBorders>
            <w:shd w:val="clear" w:color="auto" w:fill="auto"/>
            <w:vAlign w:val="center"/>
            <w:hideMark/>
          </w:tcPr>
          <w:p w14:paraId="673D1726" w14:textId="2F4D9C39"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Lëvizja e stafit me eksperiencë nga sektori që sjell ngadalësim të proceseve të punës -|- 3</w:t>
            </w:r>
            <w:r w:rsidRPr="00B31292">
              <w:rPr>
                <w:rFonts w:ascii="Garamond" w:eastAsia="Times New Roman" w:hAnsi="Garamond" w:cs="Times New Roman"/>
                <w:color w:val="000000"/>
                <w:sz w:val="10"/>
                <w:szCs w:val="10"/>
              </w:rPr>
              <w:br/>
              <w:t>Informacion jo i plotë nga të dhënat administrative -|- 3</w:t>
            </w:r>
            <w:r w:rsidRPr="00B31292">
              <w:rPr>
                <w:rFonts w:ascii="Garamond" w:eastAsia="Times New Roman" w:hAnsi="Garamond" w:cs="Times New Roman"/>
                <w:color w:val="000000"/>
                <w:sz w:val="10"/>
                <w:szCs w:val="10"/>
              </w:rPr>
              <w:br/>
              <w:t>Mospërmbushja e</w:t>
            </w:r>
            <w:r w:rsidR="003E16E0" w:rsidRPr="00B31292">
              <w:rPr>
                <w:rFonts w:ascii="Garamond" w:eastAsia="Times New Roman" w:hAnsi="Garamond" w:cs="Times New Roman"/>
                <w:color w:val="000000"/>
                <w:sz w:val="10"/>
                <w:szCs w:val="10"/>
              </w:rPr>
              <w:t xml:space="preserve"> </w:t>
            </w:r>
            <w:r w:rsidR="00F667B8" w:rsidRPr="00B31292">
              <w:rPr>
                <w:rFonts w:ascii="Garamond" w:eastAsia="Times New Roman" w:hAnsi="Garamond" w:cs="Times New Roman"/>
                <w:color w:val="000000"/>
                <w:sz w:val="10"/>
                <w:szCs w:val="10"/>
              </w:rPr>
              <w:t>kritereve të cilësisë, si:</w:t>
            </w:r>
            <w:r w:rsidRPr="00B31292">
              <w:rPr>
                <w:rFonts w:ascii="Garamond" w:eastAsia="Times New Roman" w:hAnsi="Garamond" w:cs="Times New Roman"/>
                <w:color w:val="000000"/>
                <w:sz w:val="10"/>
                <w:szCs w:val="10"/>
              </w:rPr>
              <w:t xml:space="preserve"> saktësia, përpikmëria dhe krahasueshmëria, për vrojtimet statistikore -|- 3</w:t>
            </w:r>
            <w:r w:rsidRPr="00B31292">
              <w:rPr>
                <w:rFonts w:ascii="Garamond" w:eastAsia="Times New Roman" w:hAnsi="Garamond" w:cs="Times New Roman"/>
                <w:color w:val="000000"/>
                <w:sz w:val="10"/>
                <w:szCs w:val="10"/>
              </w:rPr>
              <w:br/>
              <w:t>Ndryshimi i bazës ligjore të burimit administrativ -|- 3</w:t>
            </w:r>
            <w:r w:rsidRPr="00B31292">
              <w:rPr>
                <w:rFonts w:ascii="Garamond" w:eastAsia="Times New Roman" w:hAnsi="Garamond" w:cs="Times New Roman"/>
                <w:color w:val="000000"/>
                <w:sz w:val="10"/>
                <w:szCs w:val="10"/>
              </w:rPr>
              <w:br/>
              <w:t>Lëvizja e stafit me eksperiencë nga sektori -|- 4</w:t>
            </w:r>
          </w:p>
        </w:tc>
        <w:tc>
          <w:tcPr>
            <w:tcW w:w="273" w:type="pct"/>
            <w:tcBorders>
              <w:top w:val="nil"/>
              <w:left w:val="nil"/>
              <w:bottom w:val="single" w:sz="4" w:space="0" w:color="auto"/>
              <w:right w:val="single" w:sz="4" w:space="0" w:color="auto"/>
            </w:tcBorders>
            <w:shd w:val="clear" w:color="auto" w:fill="auto"/>
            <w:vAlign w:val="center"/>
            <w:hideMark/>
          </w:tcPr>
          <w:p w14:paraId="2DAE06F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Buxhet shteti</w:t>
            </w:r>
          </w:p>
        </w:tc>
      </w:tr>
      <w:tr w:rsidR="000A2254" w:rsidRPr="00B31292" w14:paraId="74E2E0AB" w14:textId="77777777" w:rsidTr="000A2254">
        <w:trPr>
          <w:trHeight w:val="20"/>
        </w:trPr>
        <w:tc>
          <w:tcPr>
            <w:tcW w:w="215" w:type="pct"/>
            <w:tcBorders>
              <w:top w:val="nil"/>
              <w:left w:val="nil"/>
              <w:bottom w:val="nil"/>
              <w:right w:val="nil"/>
            </w:tcBorders>
            <w:shd w:val="clear" w:color="000000" w:fill="FFFFFF"/>
            <w:vAlign w:val="bottom"/>
            <w:hideMark/>
          </w:tcPr>
          <w:p w14:paraId="0D4DBC4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7A3DAC3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single" w:sz="4" w:space="0" w:color="000000"/>
              <w:left w:val="single" w:sz="4" w:space="0" w:color="000000"/>
              <w:bottom w:val="single" w:sz="4" w:space="0" w:color="000000"/>
              <w:right w:val="nil"/>
            </w:tcBorders>
            <w:shd w:val="clear" w:color="000000" w:fill="F0F0F0"/>
            <w:vAlign w:val="center"/>
            <w:hideMark/>
          </w:tcPr>
          <w:p w14:paraId="2B049672"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3.4</w:t>
            </w:r>
          </w:p>
        </w:tc>
        <w:tc>
          <w:tcPr>
            <w:tcW w:w="4416" w:type="pct"/>
            <w:gridSpan w:val="18"/>
            <w:tcBorders>
              <w:top w:val="single" w:sz="4" w:space="0" w:color="auto"/>
              <w:left w:val="single" w:sz="4" w:space="0" w:color="auto"/>
              <w:bottom w:val="single" w:sz="4" w:space="0" w:color="auto"/>
              <w:right w:val="single" w:sz="4" w:space="0" w:color="auto"/>
            </w:tcBorders>
            <w:shd w:val="clear" w:color="000000" w:fill="F0F0F0"/>
            <w:vAlign w:val="center"/>
            <w:hideMark/>
          </w:tcPr>
          <w:p w14:paraId="6A0C4C9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Turizmi</w:t>
            </w:r>
          </w:p>
        </w:tc>
      </w:tr>
      <w:tr w:rsidR="000A2254" w:rsidRPr="00B31292" w14:paraId="40D2355B" w14:textId="77777777" w:rsidTr="000A2254">
        <w:trPr>
          <w:trHeight w:val="20"/>
        </w:trPr>
        <w:tc>
          <w:tcPr>
            <w:tcW w:w="215" w:type="pct"/>
            <w:tcBorders>
              <w:top w:val="nil"/>
              <w:left w:val="nil"/>
              <w:bottom w:val="nil"/>
              <w:right w:val="nil"/>
            </w:tcBorders>
            <w:shd w:val="clear" w:color="000000" w:fill="FFFFFF"/>
            <w:vAlign w:val="bottom"/>
            <w:hideMark/>
          </w:tcPr>
          <w:p w14:paraId="3ED1F99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18608D8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4B22BAC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0E634CD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single" w:sz="4" w:space="0" w:color="000000"/>
              <w:bottom w:val="single" w:sz="4" w:space="0" w:color="000000"/>
              <w:right w:val="nil"/>
            </w:tcBorders>
            <w:shd w:val="clear" w:color="000000" w:fill="F0F0F0"/>
            <w:vAlign w:val="center"/>
            <w:hideMark/>
          </w:tcPr>
          <w:p w14:paraId="12889075"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3.4.1</w:t>
            </w:r>
          </w:p>
        </w:tc>
        <w:tc>
          <w:tcPr>
            <w:tcW w:w="4082" w:type="pct"/>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1C1A87A3" w14:textId="5847052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Statistikat e </w:t>
            </w:r>
            <w:r w:rsidR="003D4004" w:rsidRPr="00B31292">
              <w:rPr>
                <w:rFonts w:ascii="Garamond" w:eastAsia="Times New Roman" w:hAnsi="Garamond" w:cs="Times New Roman"/>
                <w:color w:val="000000"/>
                <w:sz w:val="10"/>
                <w:szCs w:val="10"/>
              </w:rPr>
              <w:t>t</w:t>
            </w:r>
            <w:r w:rsidRPr="00B31292">
              <w:rPr>
                <w:rFonts w:ascii="Garamond" w:eastAsia="Times New Roman" w:hAnsi="Garamond" w:cs="Times New Roman"/>
                <w:color w:val="000000"/>
                <w:sz w:val="10"/>
                <w:szCs w:val="10"/>
              </w:rPr>
              <w:t xml:space="preserve">urizmit </w:t>
            </w:r>
            <w:r w:rsidR="003D4004"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ana e ofertës</w:t>
            </w:r>
          </w:p>
        </w:tc>
      </w:tr>
      <w:tr w:rsidR="000A2254" w:rsidRPr="00B31292" w14:paraId="2A185825" w14:textId="77777777" w:rsidTr="000A2254">
        <w:trPr>
          <w:trHeight w:val="20"/>
        </w:trPr>
        <w:tc>
          <w:tcPr>
            <w:tcW w:w="215" w:type="pct"/>
            <w:tcBorders>
              <w:top w:val="nil"/>
              <w:left w:val="nil"/>
              <w:bottom w:val="nil"/>
              <w:right w:val="nil"/>
            </w:tcBorders>
            <w:shd w:val="clear" w:color="000000" w:fill="FFFFFF"/>
            <w:vAlign w:val="bottom"/>
            <w:hideMark/>
          </w:tcPr>
          <w:p w14:paraId="5B55C64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04A4E3B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44C1C837"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592AB7C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56DA1AC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0842F07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000000"/>
              <w:bottom w:val="nil"/>
              <w:right w:val="single" w:sz="4" w:space="0" w:color="000000"/>
            </w:tcBorders>
            <w:shd w:val="clear" w:color="auto" w:fill="auto"/>
            <w:vAlign w:val="center"/>
            <w:hideMark/>
          </w:tcPr>
          <w:p w14:paraId="0B0F8502"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3.4.1.1</w:t>
            </w:r>
          </w:p>
        </w:tc>
        <w:tc>
          <w:tcPr>
            <w:tcW w:w="281" w:type="pct"/>
            <w:tcBorders>
              <w:top w:val="nil"/>
              <w:left w:val="nil"/>
              <w:bottom w:val="nil"/>
              <w:right w:val="single" w:sz="4" w:space="0" w:color="000000"/>
            </w:tcBorders>
            <w:shd w:val="clear" w:color="auto" w:fill="auto"/>
            <w:vAlign w:val="center"/>
            <w:hideMark/>
          </w:tcPr>
          <w:p w14:paraId="6D6E62A8" w14:textId="011F6BCD"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xml:space="preserve">Statistikat e </w:t>
            </w:r>
            <w:r w:rsidR="003D4004" w:rsidRPr="00B31292">
              <w:rPr>
                <w:rFonts w:ascii="Garamond" w:eastAsia="Times New Roman" w:hAnsi="Garamond" w:cs="Times New Roman"/>
                <w:sz w:val="10"/>
                <w:szCs w:val="10"/>
              </w:rPr>
              <w:t>strukturave akomo</w:t>
            </w:r>
            <w:r w:rsidRPr="00B31292">
              <w:rPr>
                <w:rFonts w:ascii="Garamond" w:eastAsia="Times New Roman" w:hAnsi="Garamond" w:cs="Times New Roman"/>
                <w:sz w:val="10"/>
                <w:szCs w:val="10"/>
              </w:rPr>
              <w:t>duese</w:t>
            </w:r>
          </w:p>
        </w:tc>
        <w:tc>
          <w:tcPr>
            <w:tcW w:w="236" w:type="pct"/>
            <w:tcBorders>
              <w:top w:val="nil"/>
              <w:left w:val="nil"/>
              <w:bottom w:val="nil"/>
              <w:right w:val="single" w:sz="4" w:space="0" w:color="000000"/>
            </w:tcBorders>
            <w:shd w:val="clear" w:color="auto" w:fill="auto"/>
            <w:vAlign w:val="center"/>
            <w:hideMark/>
          </w:tcPr>
          <w:p w14:paraId="3ECBCB6E"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Vrojtim</w:t>
            </w:r>
          </w:p>
        </w:tc>
        <w:tc>
          <w:tcPr>
            <w:tcW w:w="238" w:type="pct"/>
            <w:tcBorders>
              <w:top w:val="nil"/>
              <w:left w:val="nil"/>
              <w:bottom w:val="single" w:sz="4" w:space="0" w:color="auto"/>
              <w:right w:val="single" w:sz="4" w:space="0" w:color="auto"/>
            </w:tcBorders>
            <w:shd w:val="clear" w:color="auto" w:fill="auto"/>
            <w:noWrap/>
            <w:vAlign w:val="center"/>
            <w:hideMark/>
          </w:tcPr>
          <w:p w14:paraId="2B48134E"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180" w:type="pct"/>
            <w:tcBorders>
              <w:top w:val="nil"/>
              <w:left w:val="nil"/>
              <w:bottom w:val="single" w:sz="4" w:space="0" w:color="auto"/>
              <w:right w:val="single" w:sz="4" w:space="0" w:color="auto"/>
            </w:tcBorders>
            <w:shd w:val="clear" w:color="auto" w:fill="auto"/>
            <w:noWrap/>
            <w:vAlign w:val="center"/>
            <w:hideMark/>
          </w:tcPr>
          <w:p w14:paraId="071950BC"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228" w:type="pct"/>
            <w:tcBorders>
              <w:top w:val="nil"/>
              <w:left w:val="nil"/>
              <w:bottom w:val="single" w:sz="4" w:space="0" w:color="auto"/>
              <w:right w:val="single" w:sz="4" w:space="0" w:color="auto"/>
            </w:tcBorders>
            <w:shd w:val="clear" w:color="auto" w:fill="auto"/>
            <w:vAlign w:val="center"/>
            <w:hideMark/>
          </w:tcPr>
          <w:p w14:paraId="713AF50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tcBorders>
              <w:top w:val="nil"/>
              <w:left w:val="nil"/>
              <w:bottom w:val="nil"/>
              <w:right w:val="single" w:sz="4" w:space="0" w:color="000000"/>
            </w:tcBorders>
            <w:shd w:val="clear" w:color="auto" w:fill="auto"/>
            <w:vAlign w:val="center"/>
            <w:hideMark/>
          </w:tcPr>
          <w:p w14:paraId="7DD6878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Mujor</w:t>
            </w:r>
          </w:p>
        </w:tc>
        <w:tc>
          <w:tcPr>
            <w:tcW w:w="486" w:type="pct"/>
            <w:tcBorders>
              <w:top w:val="nil"/>
              <w:left w:val="nil"/>
              <w:bottom w:val="nil"/>
              <w:right w:val="single" w:sz="4" w:space="0" w:color="auto"/>
            </w:tcBorders>
            <w:shd w:val="clear" w:color="000000" w:fill="FFFFFF"/>
            <w:vAlign w:val="center"/>
            <w:hideMark/>
          </w:tcPr>
          <w:p w14:paraId="2A1AF1AF" w14:textId="20217564"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1. Numri i </w:t>
            </w:r>
            <w:r w:rsidR="003D4004" w:rsidRPr="00B31292">
              <w:rPr>
                <w:rFonts w:ascii="Garamond" w:eastAsia="Times New Roman" w:hAnsi="Garamond" w:cs="Times New Roman"/>
                <w:color w:val="000000"/>
                <w:sz w:val="10"/>
                <w:szCs w:val="10"/>
              </w:rPr>
              <w:t>s</w:t>
            </w:r>
            <w:r w:rsidRPr="00B31292">
              <w:rPr>
                <w:rFonts w:ascii="Garamond" w:eastAsia="Times New Roman" w:hAnsi="Garamond" w:cs="Times New Roman"/>
                <w:color w:val="000000"/>
                <w:sz w:val="10"/>
                <w:szCs w:val="10"/>
              </w:rPr>
              <w:t>trukturave akomoduese dhe të ngjashme</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 Numri i dhomave</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 Numri i shtretërve</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Numri i vizitorëve rezident</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4. Numri i vizitorëve jorezident</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5. Numri i netë</w:t>
            </w:r>
            <w:r w:rsidR="008340E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qëndrime</w:t>
            </w:r>
            <w:r w:rsidR="00864BC6" w:rsidRPr="00B31292">
              <w:rPr>
                <w:rFonts w:ascii="Garamond" w:eastAsia="Times New Roman" w:hAnsi="Garamond" w:cs="Times New Roman"/>
                <w:color w:val="000000"/>
                <w:sz w:val="10"/>
                <w:szCs w:val="10"/>
              </w:rPr>
              <w:t>ve</w:t>
            </w:r>
            <w:r w:rsidRPr="00B31292">
              <w:rPr>
                <w:rFonts w:ascii="Garamond" w:eastAsia="Times New Roman" w:hAnsi="Garamond" w:cs="Times New Roman"/>
                <w:color w:val="000000"/>
                <w:sz w:val="10"/>
                <w:szCs w:val="10"/>
              </w:rPr>
              <w:t xml:space="preserve"> nga rezident</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6. Numri i netë</w:t>
            </w:r>
            <w:r w:rsidR="008340E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qëndrime</w:t>
            </w:r>
            <w:r w:rsidR="00864BC6" w:rsidRPr="00B31292">
              <w:rPr>
                <w:rFonts w:ascii="Garamond" w:eastAsia="Times New Roman" w:hAnsi="Garamond" w:cs="Times New Roman"/>
                <w:color w:val="000000"/>
                <w:sz w:val="10"/>
                <w:szCs w:val="10"/>
              </w:rPr>
              <w:t>ve</w:t>
            </w:r>
            <w:r w:rsidRPr="00B31292">
              <w:rPr>
                <w:rFonts w:ascii="Garamond" w:eastAsia="Times New Roman" w:hAnsi="Garamond" w:cs="Times New Roman"/>
                <w:color w:val="000000"/>
                <w:sz w:val="10"/>
                <w:szCs w:val="10"/>
              </w:rPr>
              <w:t xml:space="preserve"> nga jorezident</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7. Norma neto e shfrytëzimit të dhomave</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8. Norma neto e shfrytëzimit të shtretërve</w:t>
            </w:r>
            <w:r w:rsidR="003D4004" w:rsidRPr="00B31292">
              <w:rPr>
                <w:rFonts w:ascii="Garamond" w:eastAsia="Times New Roman" w:hAnsi="Garamond" w:cs="Times New Roman"/>
                <w:color w:val="000000"/>
                <w:sz w:val="10"/>
                <w:szCs w:val="10"/>
              </w:rPr>
              <w:t>.</w:t>
            </w:r>
          </w:p>
        </w:tc>
        <w:tc>
          <w:tcPr>
            <w:tcW w:w="299" w:type="pct"/>
            <w:tcBorders>
              <w:top w:val="nil"/>
              <w:left w:val="nil"/>
              <w:bottom w:val="nil"/>
              <w:right w:val="single" w:sz="4" w:space="0" w:color="auto"/>
            </w:tcBorders>
            <w:shd w:val="clear" w:color="auto" w:fill="auto"/>
            <w:vAlign w:val="center"/>
            <w:hideMark/>
          </w:tcPr>
          <w:p w14:paraId="66B688B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Instituti i Statistikave</w:t>
            </w:r>
          </w:p>
        </w:tc>
        <w:tc>
          <w:tcPr>
            <w:tcW w:w="224" w:type="pct"/>
            <w:tcBorders>
              <w:top w:val="nil"/>
              <w:left w:val="nil"/>
              <w:bottom w:val="nil"/>
              <w:right w:val="single" w:sz="4" w:space="0" w:color="auto"/>
            </w:tcBorders>
            <w:shd w:val="clear" w:color="auto" w:fill="auto"/>
            <w:vAlign w:val="center"/>
            <w:hideMark/>
          </w:tcPr>
          <w:p w14:paraId="03A87D0D" w14:textId="59BBE4DA"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3D4004" w:rsidRPr="00B31292">
              <w:rPr>
                <w:rFonts w:ascii="Garamond" w:eastAsia="Times New Roman" w:hAnsi="Garamond" w:cs="Times New Roman"/>
                <w:color w:val="000000"/>
                <w:sz w:val="10"/>
                <w:szCs w:val="10"/>
              </w:rPr>
              <w:t>-i</w:t>
            </w:r>
          </w:p>
        </w:tc>
        <w:tc>
          <w:tcPr>
            <w:tcW w:w="244" w:type="pct"/>
            <w:tcBorders>
              <w:top w:val="nil"/>
              <w:left w:val="nil"/>
              <w:bottom w:val="single" w:sz="4" w:space="0" w:color="auto"/>
              <w:right w:val="single" w:sz="4" w:space="0" w:color="auto"/>
            </w:tcBorders>
            <w:shd w:val="clear" w:color="000000" w:fill="FFFFFF"/>
            <w:vAlign w:val="center"/>
            <w:hideMark/>
          </w:tcPr>
          <w:p w14:paraId="71D20CA6"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M + 15D</w:t>
            </w:r>
          </w:p>
        </w:tc>
        <w:tc>
          <w:tcPr>
            <w:tcW w:w="220" w:type="pct"/>
            <w:tcBorders>
              <w:top w:val="nil"/>
              <w:left w:val="nil"/>
              <w:bottom w:val="single" w:sz="4" w:space="0" w:color="auto"/>
              <w:right w:val="single" w:sz="4" w:space="0" w:color="auto"/>
            </w:tcBorders>
            <w:shd w:val="clear" w:color="000000" w:fill="FFFFFF"/>
            <w:vAlign w:val="center"/>
            <w:hideMark/>
          </w:tcPr>
          <w:p w14:paraId="223C2D99"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M + 40D</w:t>
            </w:r>
          </w:p>
        </w:tc>
        <w:tc>
          <w:tcPr>
            <w:tcW w:w="220" w:type="pct"/>
            <w:tcBorders>
              <w:top w:val="nil"/>
              <w:left w:val="nil"/>
              <w:bottom w:val="single" w:sz="4" w:space="0" w:color="auto"/>
              <w:right w:val="single" w:sz="4" w:space="0" w:color="auto"/>
            </w:tcBorders>
            <w:shd w:val="clear" w:color="000000" w:fill="FFFFFF"/>
            <w:vAlign w:val="center"/>
            <w:hideMark/>
          </w:tcPr>
          <w:p w14:paraId="79AE12A2"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M + 42D</w:t>
            </w:r>
          </w:p>
        </w:tc>
        <w:tc>
          <w:tcPr>
            <w:tcW w:w="346" w:type="pct"/>
            <w:tcBorders>
              <w:top w:val="nil"/>
              <w:left w:val="nil"/>
              <w:bottom w:val="single" w:sz="4" w:space="0" w:color="auto"/>
              <w:right w:val="single" w:sz="4" w:space="0" w:color="auto"/>
            </w:tcBorders>
            <w:shd w:val="clear" w:color="auto" w:fill="auto"/>
            <w:vAlign w:val="center"/>
            <w:hideMark/>
          </w:tcPr>
          <w:p w14:paraId="260DB8B4" w14:textId="574E8EA3"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1. Moszbatimi në kohë i kalendarit të publikimeve statistikore dhe përditësimit të materialeve në </w:t>
            </w:r>
            <w:r w:rsidRPr="00B31292">
              <w:rPr>
                <w:rFonts w:ascii="Garamond" w:eastAsia="Times New Roman" w:hAnsi="Garamond" w:cs="Times New Roman"/>
                <w:i/>
                <w:iCs/>
                <w:color w:val="000000"/>
                <w:sz w:val="10"/>
                <w:szCs w:val="10"/>
              </w:rPr>
              <w:t>web</w:t>
            </w:r>
            <w:r w:rsidRPr="00B31292">
              <w:rPr>
                <w:rFonts w:ascii="Garamond" w:eastAsia="Times New Roman" w:hAnsi="Garamond" w:cs="Times New Roman"/>
                <w:color w:val="000000"/>
                <w:sz w:val="10"/>
                <w:szCs w:val="10"/>
              </w:rPr>
              <w:t xml:space="preserve">, e cila sjell si pasojë mungesën e informacionit për përdoruesit dhe </w:t>
            </w:r>
            <w:r w:rsidR="00864BC6" w:rsidRPr="00B31292">
              <w:rPr>
                <w:rFonts w:ascii="Garamond" w:eastAsia="Times New Roman" w:hAnsi="Garamond" w:cs="Times New Roman"/>
                <w:color w:val="000000"/>
                <w:sz w:val="10"/>
                <w:szCs w:val="10"/>
              </w:rPr>
              <w:t>cenimin</w:t>
            </w:r>
            <w:r w:rsidRPr="00B31292">
              <w:rPr>
                <w:rFonts w:ascii="Garamond" w:eastAsia="Times New Roman" w:hAnsi="Garamond" w:cs="Times New Roman"/>
                <w:color w:val="000000"/>
                <w:sz w:val="10"/>
                <w:szCs w:val="10"/>
              </w:rPr>
              <w:t xml:space="preserve"> e imazhit të INSTAT</w:t>
            </w:r>
            <w:r w:rsidR="003D4004" w:rsidRPr="00B31292">
              <w:rPr>
                <w:rFonts w:ascii="Garamond" w:eastAsia="Times New Roman" w:hAnsi="Garamond" w:cs="Times New Roman"/>
                <w:color w:val="000000"/>
                <w:sz w:val="10"/>
                <w:szCs w:val="10"/>
              </w:rPr>
              <w:t>-it</w:t>
            </w:r>
            <w:r w:rsidRPr="00B31292">
              <w:rPr>
                <w:rFonts w:ascii="Garamond" w:eastAsia="Times New Roman" w:hAnsi="Garamond" w:cs="Times New Roman"/>
                <w:color w:val="000000"/>
                <w:sz w:val="10"/>
                <w:szCs w:val="10"/>
              </w:rPr>
              <w:t>. -|- 3</w:t>
            </w:r>
            <w:r w:rsidRPr="00B31292">
              <w:rPr>
                <w:rFonts w:ascii="Garamond" w:eastAsia="Times New Roman" w:hAnsi="Garamond" w:cs="Times New Roman"/>
                <w:color w:val="000000"/>
                <w:sz w:val="10"/>
                <w:szCs w:val="10"/>
              </w:rPr>
              <w:br/>
              <w:t>2. Gabime në përllogaritje e treguesve, e cila sjell si pasojë mos shpërndarja në cilësi të rezultateve të treguesve statistikorë. -|- 2</w:t>
            </w:r>
            <w:r w:rsidRPr="00B31292">
              <w:rPr>
                <w:rFonts w:ascii="Garamond" w:eastAsia="Times New Roman" w:hAnsi="Garamond" w:cs="Times New Roman"/>
                <w:color w:val="000000"/>
                <w:sz w:val="10"/>
                <w:szCs w:val="10"/>
              </w:rPr>
              <w:br/>
              <w:t xml:space="preserve">3. Pezullimi/vonesa e mbledhjes, prodhimit dhe shpërndarjes </w:t>
            </w:r>
            <w:r w:rsidR="003D4004" w:rsidRPr="00B31292">
              <w:rPr>
                <w:rFonts w:ascii="Garamond" w:eastAsia="Times New Roman" w:hAnsi="Garamond" w:cs="Times New Roman"/>
                <w:color w:val="000000"/>
                <w:sz w:val="10"/>
                <w:szCs w:val="10"/>
              </w:rPr>
              <w:t>s</w:t>
            </w:r>
            <w:r w:rsidRPr="00B31292">
              <w:rPr>
                <w:rFonts w:ascii="Garamond" w:eastAsia="Times New Roman" w:hAnsi="Garamond" w:cs="Times New Roman"/>
                <w:color w:val="000000"/>
                <w:sz w:val="10"/>
                <w:szCs w:val="10"/>
              </w:rPr>
              <w:t>ë statistikave zyrtare nga fatkeqësitë natyrore/pandemi globale, e cila sjell si pasojë mospublikimin në kohë të rezultateve të vrojtimit. -|- 5</w:t>
            </w:r>
            <w:r w:rsidRPr="00B31292">
              <w:rPr>
                <w:rFonts w:ascii="Garamond" w:eastAsia="Times New Roman" w:hAnsi="Garamond" w:cs="Times New Roman"/>
                <w:color w:val="000000"/>
                <w:sz w:val="10"/>
                <w:szCs w:val="10"/>
              </w:rPr>
              <w:br/>
              <w:t>4. Mosevidentimi dhe realizimi i detyrave të përditshme të sektorit, e cila sjell si pasojë ngadalësim të proceseve të punës. -|- 4</w:t>
            </w:r>
            <w:r w:rsidRPr="00B31292">
              <w:rPr>
                <w:rFonts w:ascii="Garamond" w:eastAsia="Times New Roman" w:hAnsi="Garamond" w:cs="Times New Roman"/>
                <w:color w:val="000000"/>
                <w:sz w:val="10"/>
                <w:szCs w:val="10"/>
              </w:rPr>
              <w:br/>
              <w:t>5. Mosfunksionimi i metodave të reja të IT për mbledhjen e të dhënave në vrojtimet mujore, e cila sjell si pasojë mos publikimin në kohë të rezultateve të vrojtimit. -|- 4</w:t>
            </w:r>
            <w:r w:rsidRPr="00B31292">
              <w:rPr>
                <w:rFonts w:ascii="Garamond" w:eastAsia="Times New Roman" w:hAnsi="Garamond" w:cs="Times New Roman"/>
                <w:color w:val="000000"/>
                <w:sz w:val="10"/>
                <w:szCs w:val="10"/>
              </w:rPr>
              <w:br/>
              <w:t xml:space="preserve">6. Lëvizja e stafit </w:t>
            </w:r>
            <w:r w:rsidRPr="00B31292">
              <w:rPr>
                <w:rFonts w:ascii="Garamond" w:eastAsia="Times New Roman" w:hAnsi="Garamond" w:cs="Times New Roman"/>
                <w:color w:val="000000"/>
                <w:sz w:val="10"/>
                <w:szCs w:val="10"/>
              </w:rPr>
              <w:lastRenderedPageBreak/>
              <w:t>me eksperiencë nga sektori, e cila sjell si pasojë ndërprerje/ngadalësim të proceseve të punës. -|- 5</w:t>
            </w:r>
            <w:r w:rsidRPr="00B31292">
              <w:rPr>
                <w:rFonts w:ascii="Garamond" w:eastAsia="Times New Roman" w:hAnsi="Garamond" w:cs="Times New Roman"/>
                <w:color w:val="000000"/>
                <w:sz w:val="10"/>
                <w:szCs w:val="10"/>
              </w:rPr>
              <w:br/>
              <w:t>7. Mungesa e trajnimeve për stafin, e cila sjell si pasojë uljen e cilësisë dhe gabime në proceset e punës. -|- 4</w:t>
            </w:r>
            <w:r w:rsidRPr="00B31292">
              <w:rPr>
                <w:rFonts w:ascii="Garamond" w:eastAsia="Times New Roman" w:hAnsi="Garamond" w:cs="Times New Roman"/>
                <w:color w:val="000000"/>
                <w:sz w:val="10"/>
                <w:szCs w:val="10"/>
              </w:rPr>
              <w:br/>
              <w:t xml:space="preserve">9. Moszhvillimi i sistemeve të informacionit dhe </w:t>
            </w:r>
            <w:r w:rsidRPr="00B31292">
              <w:rPr>
                <w:rFonts w:ascii="Garamond" w:eastAsia="Times New Roman" w:hAnsi="Garamond" w:cs="Times New Roman"/>
                <w:i/>
                <w:iCs/>
                <w:color w:val="000000"/>
                <w:sz w:val="10"/>
                <w:szCs w:val="10"/>
              </w:rPr>
              <w:t>web-services</w:t>
            </w:r>
            <w:r w:rsidRPr="00B31292">
              <w:rPr>
                <w:rFonts w:ascii="Garamond" w:eastAsia="Times New Roman" w:hAnsi="Garamond" w:cs="Times New Roman"/>
                <w:color w:val="000000"/>
                <w:sz w:val="10"/>
                <w:szCs w:val="10"/>
              </w:rPr>
              <w:t>, e cila sjell si pasojë përdorimin e sistemeve aktuale dhe mospërmirësim të ngarkesës së ndërmarrjes. -|- 6</w:t>
            </w:r>
            <w:r w:rsidRPr="00B31292">
              <w:rPr>
                <w:rFonts w:ascii="Garamond" w:eastAsia="Times New Roman" w:hAnsi="Garamond" w:cs="Times New Roman"/>
                <w:color w:val="000000"/>
                <w:sz w:val="10"/>
                <w:szCs w:val="10"/>
              </w:rPr>
              <w:br/>
              <w:t>10. Mosfunksionimi i metodave dhe mospasja e suportit për automatizimin e proceseve t</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prodhimit statistikor, e cila sjell si pasojë ngadalësim</w:t>
            </w:r>
            <w:r w:rsidR="003D4004" w:rsidRPr="00B31292">
              <w:rPr>
                <w:rFonts w:ascii="Garamond" w:eastAsia="Times New Roman" w:hAnsi="Garamond" w:cs="Times New Roman"/>
                <w:color w:val="000000"/>
                <w:sz w:val="10"/>
                <w:szCs w:val="10"/>
              </w:rPr>
              <w:t>in</w:t>
            </w:r>
            <w:r w:rsidRPr="00B31292">
              <w:rPr>
                <w:rFonts w:ascii="Garamond" w:eastAsia="Times New Roman" w:hAnsi="Garamond" w:cs="Times New Roman"/>
                <w:color w:val="000000"/>
                <w:sz w:val="10"/>
                <w:szCs w:val="10"/>
              </w:rPr>
              <w:t xml:space="preserve"> e procesit të automatizimit. -|- 3</w:t>
            </w:r>
          </w:p>
        </w:tc>
        <w:tc>
          <w:tcPr>
            <w:tcW w:w="273" w:type="pct"/>
            <w:tcBorders>
              <w:top w:val="nil"/>
              <w:left w:val="nil"/>
              <w:bottom w:val="single" w:sz="4" w:space="0" w:color="auto"/>
              <w:right w:val="single" w:sz="4" w:space="0" w:color="auto"/>
            </w:tcBorders>
            <w:shd w:val="clear" w:color="auto" w:fill="auto"/>
            <w:vAlign w:val="center"/>
            <w:hideMark/>
          </w:tcPr>
          <w:p w14:paraId="7773A1E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lastRenderedPageBreak/>
              <w:t>Buxhet shteti</w:t>
            </w:r>
          </w:p>
        </w:tc>
      </w:tr>
      <w:tr w:rsidR="000A2254" w:rsidRPr="00B31292" w14:paraId="70749C28" w14:textId="77777777" w:rsidTr="000A2254">
        <w:trPr>
          <w:trHeight w:val="20"/>
        </w:trPr>
        <w:tc>
          <w:tcPr>
            <w:tcW w:w="215" w:type="pct"/>
            <w:tcBorders>
              <w:top w:val="nil"/>
              <w:left w:val="nil"/>
              <w:bottom w:val="nil"/>
              <w:right w:val="nil"/>
            </w:tcBorders>
            <w:shd w:val="clear" w:color="000000" w:fill="FFFFFF"/>
            <w:vAlign w:val="bottom"/>
            <w:hideMark/>
          </w:tcPr>
          <w:p w14:paraId="02FA42E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55E5925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632C58E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375B1DA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single" w:sz="4" w:space="0" w:color="000000"/>
              <w:left w:val="single" w:sz="4" w:space="0" w:color="000000"/>
              <w:bottom w:val="single" w:sz="4" w:space="0" w:color="000000"/>
              <w:right w:val="nil"/>
            </w:tcBorders>
            <w:shd w:val="clear" w:color="000000" w:fill="F0F0F0"/>
            <w:vAlign w:val="center"/>
            <w:hideMark/>
          </w:tcPr>
          <w:p w14:paraId="3D8CC4E4"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3.4.2</w:t>
            </w:r>
          </w:p>
        </w:tc>
        <w:tc>
          <w:tcPr>
            <w:tcW w:w="4082" w:type="pct"/>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5C6A2E07" w14:textId="6469E2DC"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Statistikat e </w:t>
            </w:r>
            <w:r w:rsidR="003D4004" w:rsidRPr="00B31292">
              <w:rPr>
                <w:rFonts w:ascii="Garamond" w:eastAsia="Times New Roman" w:hAnsi="Garamond" w:cs="Times New Roman"/>
                <w:color w:val="000000"/>
                <w:sz w:val="10"/>
                <w:szCs w:val="10"/>
              </w:rPr>
              <w:t>t</w:t>
            </w:r>
            <w:r w:rsidRPr="00B31292">
              <w:rPr>
                <w:rFonts w:ascii="Garamond" w:eastAsia="Times New Roman" w:hAnsi="Garamond" w:cs="Times New Roman"/>
                <w:color w:val="000000"/>
                <w:sz w:val="10"/>
                <w:szCs w:val="10"/>
              </w:rPr>
              <w:t xml:space="preserve">urizmit - ana e </w:t>
            </w:r>
            <w:r w:rsidR="003D4004" w:rsidRPr="00B31292">
              <w:rPr>
                <w:rFonts w:ascii="Garamond" w:eastAsia="Times New Roman" w:hAnsi="Garamond" w:cs="Times New Roman"/>
                <w:color w:val="000000"/>
                <w:sz w:val="10"/>
                <w:szCs w:val="10"/>
              </w:rPr>
              <w:t>kë</w:t>
            </w:r>
            <w:r w:rsidRPr="00B31292">
              <w:rPr>
                <w:rFonts w:ascii="Garamond" w:eastAsia="Times New Roman" w:hAnsi="Garamond" w:cs="Times New Roman"/>
                <w:color w:val="000000"/>
                <w:sz w:val="10"/>
                <w:szCs w:val="10"/>
              </w:rPr>
              <w:t>rke</w:t>
            </w:r>
            <w:r w:rsidR="003D4004" w:rsidRPr="00B31292">
              <w:rPr>
                <w:rFonts w:ascii="Garamond" w:eastAsia="Times New Roman" w:hAnsi="Garamond" w:cs="Times New Roman"/>
                <w:color w:val="000000"/>
                <w:sz w:val="10"/>
                <w:szCs w:val="10"/>
              </w:rPr>
              <w:t>së</w:t>
            </w:r>
            <w:r w:rsidRPr="00B31292">
              <w:rPr>
                <w:rFonts w:ascii="Garamond" w:eastAsia="Times New Roman" w:hAnsi="Garamond" w:cs="Times New Roman"/>
                <w:color w:val="000000"/>
                <w:sz w:val="10"/>
                <w:szCs w:val="10"/>
              </w:rPr>
              <w:t>s</w:t>
            </w:r>
          </w:p>
        </w:tc>
      </w:tr>
      <w:tr w:rsidR="000A2254" w:rsidRPr="00B31292" w14:paraId="30A17740" w14:textId="77777777" w:rsidTr="000A2254">
        <w:trPr>
          <w:trHeight w:val="20"/>
        </w:trPr>
        <w:tc>
          <w:tcPr>
            <w:tcW w:w="215" w:type="pct"/>
            <w:tcBorders>
              <w:top w:val="nil"/>
              <w:left w:val="nil"/>
              <w:bottom w:val="nil"/>
              <w:right w:val="nil"/>
            </w:tcBorders>
            <w:shd w:val="clear" w:color="000000" w:fill="FFFFFF"/>
            <w:vAlign w:val="bottom"/>
            <w:hideMark/>
          </w:tcPr>
          <w:p w14:paraId="44978DA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0522723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1584C8C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22174C7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72DE3B3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529284B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9FA7BA8"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3.4.2.1</w:t>
            </w:r>
          </w:p>
        </w:tc>
        <w:tc>
          <w:tcPr>
            <w:tcW w:w="281"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966BCB0" w14:textId="0C16B255"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xml:space="preserve">Vrojtimi i </w:t>
            </w:r>
            <w:r w:rsidR="003D4004" w:rsidRPr="00B31292">
              <w:rPr>
                <w:rFonts w:ascii="Garamond" w:eastAsia="Times New Roman" w:hAnsi="Garamond" w:cs="Times New Roman"/>
                <w:sz w:val="10"/>
                <w:szCs w:val="10"/>
              </w:rPr>
              <w:t>turizmit në familje</w:t>
            </w:r>
            <w:r w:rsidRPr="00B31292">
              <w:rPr>
                <w:rFonts w:ascii="Garamond" w:eastAsia="Times New Roman" w:hAnsi="Garamond" w:cs="Times New Roman"/>
                <w:sz w:val="10"/>
                <w:szCs w:val="10"/>
              </w:rPr>
              <w:t xml:space="preserve"> </w:t>
            </w:r>
            <w:r w:rsidR="00BA12C3" w:rsidRPr="00B31292">
              <w:rPr>
                <w:rFonts w:ascii="Garamond" w:eastAsia="Times New Roman" w:hAnsi="Garamond" w:cs="Times New Roman"/>
                <w:sz w:val="10"/>
                <w:szCs w:val="10"/>
              </w:rPr>
              <w:t>“</w:t>
            </w:r>
            <w:r w:rsidRPr="00B31292">
              <w:rPr>
                <w:rFonts w:ascii="Garamond" w:eastAsia="Times New Roman" w:hAnsi="Garamond" w:cs="Times New Roman"/>
                <w:sz w:val="10"/>
                <w:szCs w:val="10"/>
              </w:rPr>
              <w:t xml:space="preserve">Pushime dhe </w:t>
            </w:r>
            <w:r w:rsidR="003D4004" w:rsidRPr="00B31292">
              <w:rPr>
                <w:rFonts w:ascii="Garamond" w:eastAsia="Times New Roman" w:hAnsi="Garamond" w:cs="Times New Roman"/>
                <w:sz w:val="10"/>
                <w:szCs w:val="10"/>
              </w:rPr>
              <w:t>u</w:t>
            </w:r>
            <w:r w:rsidRPr="00B31292">
              <w:rPr>
                <w:rFonts w:ascii="Garamond" w:eastAsia="Times New Roman" w:hAnsi="Garamond" w:cs="Times New Roman"/>
                <w:sz w:val="10"/>
                <w:szCs w:val="10"/>
              </w:rPr>
              <w:t>dhëtime</w:t>
            </w:r>
            <w:r w:rsidR="00BA12C3" w:rsidRPr="00B31292">
              <w:rPr>
                <w:rFonts w:ascii="Garamond" w:eastAsia="Times New Roman" w:hAnsi="Garamond" w:cs="Times New Roman"/>
                <w:sz w:val="10"/>
                <w:szCs w:val="10"/>
              </w:rPr>
              <w:t>”</w:t>
            </w:r>
          </w:p>
        </w:tc>
        <w:tc>
          <w:tcPr>
            <w:tcW w:w="236"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56191E9"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Vrojtim</w:t>
            </w:r>
          </w:p>
        </w:tc>
        <w:tc>
          <w:tcPr>
            <w:tcW w:w="238"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B27A017"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180"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A35635A"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228"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D315B1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9809B0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Tremujor</w:t>
            </w:r>
          </w:p>
        </w:tc>
        <w:tc>
          <w:tcPr>
            <w:tcW w:w="486" w:type="pct"/>
            <w:tcBorders>
              <w:top w:val="nil"/>
              <w:left w:val="nil"/>
              <w:bottom w:val="nil"/>
              <w:right w:val="single" w:sz="4" w:space="0" w:color="auto"/>
            </w:tcBorders>
            <w:shd w:val="clear" w:color="000000" w:fill="FFFFFF"/>
            <w:hideMark/>
          </w:tcPr>
          <w:p w14:paraId="75C870B9" w14:textId="3EA1413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Numri i personave rezidentë mbi 15 vjeç që marrin pjesë në turizëm për qëllime personale sipas gjinisë dhe grup</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moshës</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 Numri i personave rezidentë mbi 15 vjeç që marrin pjesë në turizëm për qëllime personale, vetëm për udhëtimet brenda vendit sipas gjinisë dhe grup</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moshës</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 Numri i personave rezidentë mbi 15 vjeç që marrin pjesë në turizëm për qëllime personale, vetëm për udhëtimet jashtë vendit</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sipas gjinisë dhe grup</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moshës</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4. Numri i personave rezidentë mbi 15 vjeç që marrin pjesë në turizëm për qëllime personale, vetëm për udhëtimet e shkurtra/një ditore sipas gjinisë dhe grup</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moshës</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5. Numri i personave rezidentë mbi 15 vjeç që marrin pjesë në turizëm për qëllime personale, vetëm për udhëtimet sipas gjinisë dhe grup</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moshës</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6. Numri i personave rezidentë mbi 15 vjeç që marrin pjesë në turizëm për qëllime personale, vetëm për udhëtimet e gjata brenda vendit sipas gjinisë dhe grup</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moshës</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7. Numri i personave rezidentë mbi 15 vjeç që marrin pjesë në turizëm për qëllime personale, për </w:t>
            </w:r>
            <w:r w:rsidRPr="00B31292">
              <w:rPr>
                <w:rFonts w:ascii="Garamond" w:eastAsia="Times New Roman" w:hAnsi="Garamond" w:cs="Times New Roman"/>
                <w:color w:val="000000"/>
                <w:sz w:val="10"/>
                <w:szCs w:val="10"/>
              </w:rPr>
              <w:lastRenderedPageBreak/>
              <w:t>udhëtimet jashtë vendit, sipas gjinisë dhe grup</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moshës</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8. Numri i personave rezidente mbi 15 vjeç që marrin pjesë në turizëm për qëllime personale, vetëm për udhëtimet e gjata brenda dhe jashtë vendit sipas gjinisë dhe grup</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moshës</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9. Numri i udhëtimeve dhe shuma e netëve të qëndrimit sipas muajit të nisjes</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10. Shpërndarja e numrit të udhëtimeve sipas qëllimit</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11. Shpërndarja sipas qëllimit të udhëtimeve brenda dhe jashtë Shqipërisë</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12. Shpërndarja e udhëtimeve sipas kohëzgjatjes brenda dhe jashtë Shqipërisë</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13. Shpërndarja e udhëtimeve sipas qëllimit, kohëzgjatjes brenda dhe jashtë Shqipërisë</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14. Shpërndarja e udhëtimeve sipas grup-moshës brenda dhe</w:t>
            </w:r>
            <w:r w:rsidR="008340E6"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jashtë Shqipërisë</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15. Shpërndarja e udhëtimeve sipas gjinisë brenda dhe jashtë Shqipërisë</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16. Shpërndarja e udhëtimeve sipas grup-moshës dhe kohëzgjatjes</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17. Përqindja e udhëtimeve sipas destinacioneve më të frekuentuara në Shqipëri dhe jashtë sajë</w:t>
            </w:r>
            <w:r w:rsidR="003D4004" w:rsidRPr="00B31292">
              <w:rPr>
                <w:rFonts w:ascii="Garamond" w:eastAsia="Times New Roman" w:hAnsi="Garamond" w:cs="Times New Roman"/>
                <w:color w:val="000000"/>
                <w:sz w:val="10"/>
                <w:szCs w:val="10"/>
              </w:rPr>
              <w:t>.</w:t>
            </w:r>
          </w:p>
        </w:tc>
        <w:tc>
          <w:tcPr>
            <w:tcW w:w="29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5995BD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lastRenderedPageBreak/>
              <w:t>Instituti i Statistikave</w:t>
            </w:r>
          </w:p>
        </w:tc>
        <w:tc>
          <w:tcPr>
            <w:tcW w:w="22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7656A61" w14:textId="46B28C8D"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3D4004" w:rsidRPr="00B31292">
              <w:rPr>
                <w:rFonts w:ascii="Garamond" w:eastAsia="Times New Roman" w:hAnsi="Garamond" w:cs="Times New Roman"/>
                <w:color w:val="000000"/>
                <w:sz w:val="10"/>
                <w:szCs w:val="10"/>
              </w:rPr>
              <w:t>-i</w:t>
            </w:r>
          </w:p>
        </w:tc>
        <w:tc>
          <w:tcPr>
            <w:tcW w:w="24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8AEB6D8"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V+31 D</w:t>
            </w:r>
          </w:p>
        </w:tc>
        <w:tc>
          <w:tcPr>
            <w:tcW w:w="220"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1A971BB"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V+300D</w:t>
            </w:r>
          </w:p>
        </w:tc>
        <w:tc>
          <w:tcPr>
            <w:tcW w:w="220"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C7CF70A"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V+365D</w:t>
            </w:r>
          </w:p>
        </w:tc>
        <w:tc>
          <w:tcPr>
            <w:tcW w:w="346"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11E07E3" w14:textId="114A475F" w:rsidR="000A2254" w:rsidRPr="00B31292" w:rsidRDefault="00864BC6"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Përgatitja</w:t>
            </w:r>
            <w:r w:rsidR="000A2254" w:rsidRPr="00B31292">
              <w:rPr>
                <w:rFonts w:ascii="Garamond" w:eastAsia="Times New Roman" w:hAnsi="Garamond" w:cs="Times New Roman"/>
                <w:color w:val="000000"/>
                <w:sz w:val="10"/>
                <w:szCs w:val="10"/>
              </w:rPr>
              <w:t xml:space="preserve"> n</w:t>
            </w:r>
            <w:r w:rsidRPr="00B31292">
              <w:rPr>
                <w:rFonts w:ascii="Garamond" w:eastAsia="Times New Roman" w:hAnsi="Garamond" w:cs="Times New Roman"/>
                <w:color w:val="000000"/>
                <w:sz w:val="10"/>
                <w:szCs w:val="10"/>
              </w:rPr>
              <w:t>ë</w:t>
            </w:r>
            <w:r w:rsidR="000A2254" w:rsidRPr="00B31292">
              <w:rPr>
                <w:rFonts w:ascii="Garamond" w:eastAsia="Times New Roman" w:hAnsi="Garamond" w:cs="Times New Roman"/>
                <w:color w:val="000000"/>
                <w:sz w:val="10"/>
                <w:szCs w:val="10"/>
              </w:rPr>
              <w:t xml:space="preserve"> koh</w:t>
            </w:r>
            <w:r w:rsidRPr="00B31292">
              <w:rPr>
                <w:rFonts w:ascii="Garamond" w:eastAsia="Times New Roman" w:hAnsi="Garamond" w:cs="Times New Roman"/>
                <w:color w:val="000000"/>
                <w:sz w:val="10"/>
                <w:szCs w:val="10"/>
              </w:rPr>
              <w:t>ë</w:t>
            </w:r>
            <w:r w:rsidR="000A2254" w:rsidRPr="00B31292">
              <w:rPr>
                <w:rFonts w:ascii="Garamond" w:eastAsia="Times New Roman" w:hAnsi="Garamond" w:cs="Times New Roman"/>
                <w:color w:val="000000"/>
                <w:sz w:val="10"/>
                <w:szCs w:val="10"/>
              </w:rPr>
              <w:t xml:space="preserve"> e programit t</w:t>
            </w:r>
            <w:r w:rsidRPr="00B31292">
              <w:rPr>
                <w:rFonts w:ascii="Garamond" w:eastAsia="Times New Roman" w:hAnsi="Garamond" w:cs="Times New Roman"/>
                <w:color w:val="000000"/>
                <w:sz w:val="10"/>
                <w:szCs w:val="10"/>
              </w:rPr>
              <w:t>ë</w:t>
            </w:r>
            <w:r w:rsidR="000A2254" w:rsidRPr="00B31292">
              <w:rPr>
                <w:rFonts w:ascii="Garamond" w:eastAsia="Times New Roman" w:hAnsi="Garamond" w:cs="Times New Roman"/>
                <w:color w:val="000000"/>
                <w:sz w:val="10"/>
                <w:szCs w:val="10"/>
              </w:rPr>
              <w:t xml:space="preserve"> mbledhjes </w:t>
            </w:r>
            <w:r w:rsidR="002C1D56" w:rsidRPr="00B31292">
              <w:rPr>
                <w:rFonts w:ascii="Garamond" w:eastAsia="Times New Roman" w:hAnsi="Garamond" w:cs="Times New Roman"/>
                <w:color w:val="000000"/>
                <w:sz w:val="10"/>
                <w:szCs w:val="10"/>
              </w:rPr>
              <w:t>së të dhënave</w:t>
            </w:r>
            <w:r w:rsidR="000A2254"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për</w:t>
            </w:r>
            <w:r w:rsidR="000A2254" w:rsidRPr="00B31292">
              <w:rPr>
                <w:rFonts w:ascii="Garamond" w:eastAsia="Times New Roman" w:hAnsi="Garamond" w:cs="Times New Roman"/>
                <w:color w:val="000000"/>
                <w:sz w:val="10"/>
                <w:szCs w:val="10"/>
              </w:rPr>
              <w:t xml:space="preserve"> vitin referues -|- 3</w:t>
            </w:r>
          </w:p>
        </w:tc>
        <w:tc>
          <w:tcPr>
            <w:tcW w:w="273"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8214D5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Buxhet shteti</w:t>
            </w:r>
          </w:p>
        </w:tc>
      </w:tr>
      <w:tr w:rsidR="000A2254" w:rsidRPr="00B31292" w14:paraId="12A5013A" w14:textId="77777777" w:rsidTr="000A2254">
        <w:trPr>
          <w:trHeight w:val="20"/>
        </w:trPr>
        <w:tc>
          <w:tcPr>
            <w:tcW w:w="215" w:type="pct"/>
            <w:tcBorders>
              <w:top w:val="nil"/>
              <w:left w:val="nil"/>
              <w:bottom w:val="nil"/>
              <w:right w:val="nil"/>
            </w:tcBorders>
            <w:shd w:val="clear" w:color="000000" w:fill="FFFFFF"/>
            <w:vAlign w:val="bottom"/>
            <w:hideMark/>
          </w:tcPr>
          <w:p w14:paraId="3D68938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6FEFEA7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6201F9C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00D8CD9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1854FD5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0F86DAE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vMerge/>
            <w:tcBorders>
              <w:top w:val="nil"/>
              <w:left w:val="single" w:sz="4" w:space="0" w:color="auto"/>
              <w:bottom w:val="single" w:sz="4" w:space="0" w:color="000000"/>
              <w:right w:val="single" w:sz="4" w:space="0" w:color="auto"/>
            </w:tcBorders>
            <w:vAlign w:val="center"/>
            <w:hideMark/>
          </w:tcPr>
          <w:p w14:paraId="4387AF89"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81" w:type="pct"/>
            <w:vMerge/>
            <w:tcBorders>
              <w:top w:val="nil"/>
              <w:left w:val="single" w:sz="4" w:space="0" w:color="auto"/>
              <w:bottom w:val="single" w:sz="4" w:space="0" w:color="000000"/>
              <w:right w:val="single" w:sz="4" w:space="0" w:color="auto"/>
            </w:tcBorders>
            <w:vAlign w:val="center"/>
            <w:hideMark/>
          </w:tcPr>
          <w:p w14:paraId="4765E908" w14:textId="77777777" w:rsidR="000A2254" w:rsidRPr="00B31292" w:rsidRDefault="000A2254" w:rsidP="000A2254">
            <w:pPr>
              <w:spacing w:after="0" w:line="240" w:lineRule="auto"/>
              <w:rPr>
                <w:rFonts w:ascii="Garamond" w:eastAsia="Times New Roman" w:hAnsi="Garamond" w:cs="Times New Roman"/>
                <w:sz w:val="10"/>
                <w:szCs w:val="10"/>
              </w:rPr>
            </w:pPr>
          </w:p>
        </w:tc>
        <w:tc>
          <w:tcPr>
            <w:tcW w:w="236" w:type="pct"/>
            <w:vMerge/>
            <w:tcBorders>
              <w:top w:val="nil"/>
              <w:left w:val="single" w:sz="4" w:space="0" w:color="auto"/>
              <w:bottom w:val="single" w:sz="4" w:space="0" w:color="000000"/>
              <w:right w:val="single" w:sz="4" w:space="0" w:color="auto"/>
            </w:tcBorders>
            <w:vAlign w:val="center"/>
            <w:hideMark/>
          </w:tcPr>
          <w:p w14:paraId="2BA9BA5D" w14:textId="77777777" w:rsidR="000A2254" w:rsidRPr="00B31292" w:rsidRDefault="000A2254" w:rsidP="000A2254">
            <w:pPr>
              <w:spacing w:after="0" w:line="240" w:lineRule="auto"/>
              <w:rPr>
                <w:rFonts w:ascii="Garamond" w:eastAsia="Times New Roman" w:hAnsi="Garamond" w:cs="Times New Roman"/>
                <w:sz w:val="10"/>
                <w:szCs w:val="10"/>
              </w:rPr>
            </w:pPr>
          </w:p>
        </w:tc>
        <w:tc>
          <w:tcPr>
            <w:tcW w:w="238" w:type="pct"/>
            <w:vMerge/>
            <w:tcBorders>
              <w:top w:val="nil"/>
              <w:left w:val="single" w:sz="4" w:space="0" w:color="auto"/>
              <w:bottom w:val="single" w:sz="4" w:space="0" w:color="000000"/>
              <w:right w:val="single" w:sz="4" w:space="0" w:color="auto"/>
            </w:tcBorders>
            <w:vAlign w:val="center"/>
            <w:hideMark/>
          </w:tcPr>
          <w:p w14:paraId="295F4F30" w14:textId="77777777" w:rsidR="000A2254" w:rsidRPr="00B31292" w:rsidRDefault="000A2254" w:rsidP="000A2254">
            <w:pPr>
              <w:spacing w:after="0" w:line="240" w:lineRule="auto"/>
              <w:rPr>
                <w:rFonts w:ascii="Garamond" w:eastAsia="Times New Roman" w:hAnsi="Garamond" w:cs="Times New Roman"/>
                <w:sz w:val="10"/>
                <w:szCs w:val="10"/>
              </w:rPr>
            </w:pPr>
          </w:p>
        </w:tc>
        <w:tc>
          <w:tcPr>
            <w:tcW w:w="180" w:type="pct"/>
            <w:vMerge/>
            <w:tcBorders>
              <w:top w:val="nil"/>
              <w:left w:val="single" w:sz="4" w:space="0" w:color="auto"/>
              <w:bottom w:val="single" w:sz="4" w:space="0" w:color="000000"/>
              <w:right w:val="single" w:sz="4" w:space="0" w:color="auto"/>
            </w:tcBorders>
            <w:vAlign w:val="center"/>
            <w:hideMark/>
          </w:tcPr>
          <w:p w14:paraId="486DB044" w14:textId="77777777" w:rsidR="000A2254" w:rsidRPr="00B31292" w:rsidRDefault="000A2254" w:rsidP="000A2254">
            <w:pPr>
              <w:spacing w:after="0" w:line="240" w:lineRule="auto"/>
              <w:rPr>
                <w:rFonts w:ascii="Garamond" w:eastAsia="Times New Roman" w:hAnsi="Garamond" w:cs="Times New Roman"/>
                <w:sz w:val="10"/>
                <w:szCs w:val="10"/>
              </w:rPr>
            </w:pPr>
          </w:p>
        </w:tc>
        <w:tc>
          <w:tcPr>
            <w:tcW w:w="228" w:type="pct"/>
            <w:vMerge/>
            <w:tcBorders>
              <w:top w:val="nil"/>
              <w:left w:val="single" w:sz="4" w:space="0" w:color="auto"/>
              <w:bottom w:val="single" w:sz="4" w:space="0" w:color="000000"/>
              <w:right w:val="single" w:sz="4" w:space="0" w:color="auto"/>
            </w:tcBorders>
            <w:vAlign w:val="center"/>
            <w:hideMark/>
          </w:tcPr>
          <w:p w14:paraId="330FF3A6"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22" w:type="pct"/>
            <w:vMerge/>
            <w:tcBorders>
              <w:top w:val="nil"/>
              <w:left w:val="single" w:sz="4" w:space="0" w:color="auto"/>
              <w:bottom w:val="single" w:sz="4" w:space="0" w:color="000000"/>
              <w:right w:val="single" w:sz="4" w:space="0" w:color="auto"/>
            </w:tcBorders>
            <w:vAlign w:val="center"/>
            <w:hideMark/>
          </w:tcPr>
          <w:p w14:paraId="06030412"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486" w:type="pct"/>
            <w:tcBorders>
              <w:top w:val="nil"/>
              <w:left w:val="nil"/>
              <w:bottom w:val="nil"/>
              <w:right w:val="single" w:sz="4" w:space="0" w:color="auto"/>
            </w:tcBorders>
            <w:shd w:val="clear" w:color="000000" w:fill="FFFFFF"/>
            <w:hideMark/>
          </w:tcPr>
          <w:p w14:paraId="3CBFD512" w14:textId="453B18A3"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18. Përqindja e udhëtimeve sipas destinacioneve më të frekuentuara në Shqipëri dhe tremujorëve për </w:t>
            </w:r>
            <w:r w:rsidR="00BA12C3"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Pushime dhe kohë të lirë</w:t>
            </w:r>
            <w:r w:rsidR="00BA12C3" w:rsidRPr="00B31292">
              <w:rPr>
                <w:rFonts w:ascii="Garamond" w:eastAsia="Times New Roman" w:hAnsi="Garamond" w:cs="Times New Roman"/>
                <w:color w:val="000000"/>
                <w:sz w:val="10"/>
                <w:szCs w:val="10"/>
              </w:rPr>
              <w:t>”</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19. Shpërndarja udhëtimeve sipas llojit të akomodimit</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20. Shpërndarja e udhëtimeve brenda dhe jashtë Shqipërisë sipas llojit të akomodimit</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21. Shpërndarja udhëtimeve brenda dhe jashtë Shqipërisë sipas qëllimit dhe llojit të akomodimit</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22. Shpërndarja e udhëtimeve brenda Shqipërisë (sipas qarqeve) dhe llojit të akomodimit</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23. Shpërndarja udhëtimeve sipas mënyrës së transportit</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24. Format e rezervimit</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25. Shpërndarja e udhëtimeve një ditore (vajtje-ardhje) sipas tremujorëve dhe qëllimit</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26. Shpërndarja udhëtimeve brenda dhe jashtë Shqipërisë sipas vendit të origjinës</w:t>
            </w:r>
            <w:r w:rsidR="003D4004" w:rsidRPr="00B31292">
              <w:rPr>
                <w:rFonts w:ascii="Garamond" w:eastAsia="Times New Roman" w:hAnsi="Garamond" w:cs="Times New Roman"/>
                <w:color w:val="000000"/>
                <w:sz w:val="10"/>
                <w:szCs w:val="10"/>
              </w:rPr>
              <w:t>.</w:t>
            </w:r>
          </w:p>
        </w:tc>
        <w:tc>
          <w:tcPr>
            <w:tcW w:w="299" w:type="pct"/>
            <w:vMerge/>
            <w:tcBorders>
              <w:top w:val="nil"/>
              <w:left w:val="single" w:sz="4" w:space="0" w:color="auto"/>
              <w:bottom w:val="single" w:sz="4" w:space="0" w:color="000000"/>
              <w:right w:val="single" w:sz="4" w:space="0" w:color="auto"/>
            </w:tcBorders>
            <w:vAlign w:val="center"/>
            <w:hideMark/>
          </w:tcPr>
          <w:p w14:paraId="265DE5AA"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24" w:type="pct"/>
            <w:vMerge/>
            <w:tcBorders>
              <w:top w:val="nil"/>
              <w:left w:val="single" w:sz="4" w:space="0" w:color="auto"/>
              <w:bottom w:val="single" w:sz="4" w:space="0" w:color="000000"/>
              <w:right w:val="single" w:sz="4" w:space="0" w:color="auto"/>
            </w:tcBorders>
            <w:vAlign w:val="center"/>
            <w:hideMark/>
          </w:tcPr>
          <w:p w14:paraId="7B40613A"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44" w:type="pct"/>
            <w:vMerge/>
            <w:tcBorders>
              <w:top w:val="nil"/>
              <w:left w:val="single" w:sz="4" w:space="0" w:color="auto"/>
              <w:bottom w:val="single" w:sz="4" w:space="0" w:color="000000"/>
              <w:right w:val="single" w:sz="4" w:space="0" w:color="auto"/>
            </w:tcBorders>
            <w:vAlign w:val="center"/>
            <w:hideMark/>
          </w:tcPr>
          <w:p w14:paraId="6FDEF04B"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20" w:type="pct"/>
            <w:vMerge/>
            <w:tcBorders>
              <w:top w:val="nil"/>
              <w:left w:val="single" w:sz="4" w:space="0" w:color="auto"/>
              <w:bottom w:val="single" w:sz="4" w:space="0" w:color="000000"/>
              <w:right w:val="single" w:sz="4" w:space="0" w:color="auto"/>
            </w:tcBorders>
            <w:vAlign w:val="center"/>
            <w:hideMark/>
          </w:tcPr>
          <w:p w14:paraId="56B561C2"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20" w:type="pct"/>
            <w:vMerge/>
            <w:tcBorders>
              <w:top w:val="nil"/>
              <w:left w:val="single" w:sz="4" w:space="0" w:color="auto"/>
              <w:bottom w:val="single" w:sz="4" w:space="0" w:color="000000"/>
              <w:right w:val="single" w:sz="4" w:space="0" w:color="auto"/>
            </w:tcBorders>
            <w:vAlign w:val="center"/>
            <w:hideMark/>
          </w:tcPr>
          <w:p w14:paraId="07743AB4"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346" w:type="pct"/>
            <w:vMerge/>
            <w:tcBorders>
              <w:top w:val="nil"/>
              <w:left w:val="single" w:sz="4" w:space="0" w:color="auto"/>
              <w:bottom w:val="single" w:sz="4" w:space="0" w:color="000000"/>
              <w:right w:val="single" w:sz="4" w:space="0" w:color="auto"/>
            </w:tcBorders>
            <w:vAlign w:val="center"/>
            <w:hideMark/>
          </w:tcPr>
          <w:p w14:paraId="10FCBC19"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73" w:type="pct"/>
            <w:vMerge/>
            <w:tcBorders>
              <w:top w:val="nil"/>
              <w:left w:val="single" w:sz="4" w:space="0" w:color="auto"/>
              <w:bottom w:val="single" w:sz="4" w:space="0" w:color="000000"/>
              <w:right w:val="single" w:sz="4" w:space="0" w:color="auto"/>
            </w:tcBorders>
            <w:vAlign w:val="center"/>
            <w:hideMark/>
          </w:tcPr>
          <w:p w14:paraId="4AC8C11B"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r>
      <w:tr w:rsidR="000A2254" w:rsidRPr="00B31292" w14:paraId="2423A95B" w14:textId="77777777" w:rsidTr="000A2254">
        <w:trPr>
          <w:trHeight w:val="20"/>
        </w:trPr>
        <w:tc>
          <w:tcPr>
            <w:tcW w:w="215" w:type="pct"/>
            <w:tcBorders>
              <w:top w:val="nil"/>
              <w:left w:val="nil"/>
              <w:bottom w:val="nil"/>
              <w:right w:val="nil"/>
            </w:tcBorders>
            <w:shd w:val="clear" w:color="000000" w:fill="FFFFFF"/>
            <w:vAlign w:val="bottom"/>
            <w:hideMark/>
          </w:tcPr>
          <w:p w14:paraId="5F2CCE6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54F8534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55A004F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76EC463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single" w:sz="4" w:space="0" w:color="000000"/>
              <w:left w:val="single" w:sz="4" w:space="0" w:color="000000"/>
              <w:bottom w:val="single" w:sz="4" w:space="0" w:color="000000"/>
              <w:right w:val="nil"/>
            </w:tcBorders>
            <w:shd w:val="clear" w:color="000000" w:fill="F0F0F0"/>
            <w:vAlign w:val="center"/>
            <w:hideMark/>
          </w:tcPr>
          <w:p w14:paraId="614E5976"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3.4.3</w:t>
            </w:r>
          </w:p>
        </w:tc>
        <w:tc>
          <w:tcPr>
            <w:tcW w:w="4082" w:type="pct"/>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15CAE79A" w14:textId="1286C984"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Statistikat e </w:t>
            </w:r>
            <w:r w:rsidR="003D4004" w:rsidRPr="00B31292">
              <w:rPr>
                <w:rFonts w:ascii="Garamond" w:eastAsia="Times New Roman" w:hAnsi="Garamond" w:cs="Times New Roman"/>
                <w:color w:val="000000"/>
                <w:sz w:val="10"/>
                <w:szCs w:val="10"/>
              </w:rPr>
              <w:t>lëvizjes së shtetasve</w:t>
            </w:r>
          </w:p>
        </w:tc>
      </w:tr>
      <w:tr w:rsidR="000A2254" w:rsidRPr="00B31292" w14:paraId="64EFA5DB" w14:textId="77777777" w:rsidTr="000A2254">
        <w:trPr>
          <w:trHeight w:val="20"/>
        </w:trPr>
        <w:tc>
          <w:tcPr>
            <w:tcW w:w="215" w:type="pct"/>
            <w:tcBorders>
              <w:top w:val="nil"/>
              <w:left w:val="nil"/>
              <w:bottom w:val="nil"/>
              <w:right w:val="nil"/>
            </w:tcBorders>
            <w:shd w:val="clear" w:color="000000" w:fill="FFFFFF"/>
            <w:vAlign w:val="bottom"/>
            <w:hideMark/>
          </w:tcPr>
          <w:p w14:paraId="0724DA8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2BE152E7"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7E362F2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7FBCA13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0281D377"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499A21E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000000"/>
              <w:bottom w:val="nil"/>
              <w:right w:val="single" w:sz="4" w:space="0" w:color="000000"/>
            </w:tcBorders>
            <w:shd w:val="clear" w:color="auto" w:fill="auto"/>
            <w:vAlign w:val="center"/>
            <w:hideMark/>
          </w:tcPr>
          <w:p w14:paraId="39141C3A"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3.4.3.1</w:t>
            </w:r>
          </w:p>
        </w:tc>
        <w:tc>
          <w:tcPr>
            <w:tcW w:w="281" w:type="pct"/>
            <w:tcBorders>
              <w:top w:val="nil"/>
              <w:left w:val="nil"/>
              <w:bottom w:val="nil"/>
              <w:right w:val="single" w:sz="4" w:space="0" w:color="000000"/>
            </w:tcBorders>
            <w:shd w:val="clear" w:color="auto" w:fill="auto"/>
            <w:vAlign w:val="center"/>
            <w:hideMark/>
          </w:tcPr>
          <w:p w14:paraId="538B9E1B" w14:textId="6BFF45DE"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xml:space="preserve">Statistikat e </w:t>
            </w:r>
            <w:r w:rsidR="003D4004" w:rsidRPr="00B31292">
              <w:rPr>
                <w:rFonts w:ascii="Garamond" w:eastAsia="Times New Roman" w:hAnsi="Garamond" w:cs="Times New Roman"/>
                <w:sz w:val="10"/>
                <w:szCs w:val="10"/>
              </w:rPr>
              <w:t>lëvizjes së shtetasve</w:t>
            </w:r>
          </w:p>
        </w:tc>
        <w:tc>
          <w:tcPr>
            <w:tcW w:w="236" w:type="pct"/>
            <w:tcBorders>
              <w:top w:val="nil"/>
              <w:left w:val="nil"/>
              <w:bottom w:val="nil"/>
              <w:right w:val="single" w:sz="4" w:space="0" w:color="000000"/>
            </w:tcBorders>
            <w:shd w:val="clear" w:color="auto" w:fill="auto"/>
            <w:vAlign w:val="center"/>
            <w:hideMark/>
          </w:tcPr>
          <w:p w14:paraId="2E3D6520"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Burim administrativ</w:t>
            </w:r>
          </w:p>
        </w:tc>
        <w:tc>
          <w:tcPr>
            <w:tcW w:w="238" w:type="pct"/>
            <w:tcBorders>
              <w:top w:val="nil"/>
              <w:left w:val="nil"/>
              <w:bottom w:val="single" w:sz="4" w:space="0" w:color="auto"/>
              <w:right w:val="single" w:sz="4" w:space="0" w:color="auto"/>
            </w:tcBorders>
            <w:shd w:val="clear" w:color="auto" w:fill="auto"/>
            <w:noWrap/>
            <w:vAlign w:val="center"/>
            <w:hideMark/>
          </w:tcPr>
          <w:p w14:paraId="045D4502"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180" w:type="pct"/>
            <w:tcBorders>
              <w:top w:val="nil"/>
              <w:left w:val="nil"/>
              <w:bottom w:val="single" w:sz="4" w:space="0" w:color="auto"/>
              <w:right w:val="single" w:sz="4" w:space="0" w:color="auto"/>
            </w:tcBorders>
            <w:shd w:val="clear" w:color="auto" w:fill="auto"/>
            <w:noWrap/>
            <w:vAlign w:val="center"/>
            <w:hideMark/>
          </w:tcPr>
          <w:p w14:paraId="092D230A"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28" w:type="pct"/>
            <w:tcBorders>
              <w:top w:val="nil"/>
              <w:left w:val="nil"/>
              <w:bottom w:val="single" w:sz="4" w:space="0" w:color="auto"/>
              <w:right w:val="single" w:sz="4" w:space="0" w:color="auto"/>
            </w:tcBorders>
            <w:shd w:val="clear" w:color="auto" w:fill="auto"/>
            <w:vAlign w:val="center"/>
            <w:hideMark/>
          </w:tcPr>
          <w:p w14:paraId="23A5EAC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tcBorders>
              <w:top w:val="nil"/>
              <w:left w:val="nil"/>
              <w:bottom w:val="nil"/>
              <w:right w:val="single" w:sz="4" w:space="0" w:color="000000"/>
            </w:tcBorders>
            <w:shd w:val="clear" w:color="auto" w:fill="auto"/>
            <w:vAlign w:val="center"/>
            <w:hideMark/>
          </w:tcPr>
          <w:p w14:paraId="2F2CE4A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Mujor</w:t>
            </w:r>
          </w:p>
        </w:tc>
        <w:tc>
          <w:tcPr>
            <w:tcW w:w="486" w:type="pct"/>
            <w:tcBorders>
              <w:top w:val="nil"/>
              <w:left w:val="nil"/>
              <w:bottom w:val="nil"/>
              <w:right w:val="single" w:sz="4" w:space="0" w:color="auto"/>
            </w:tcBorders>
            <w:shd w:val="clear" w:color="auto" w:fill="auto"/>
            <w:vAlign w:val="center"/>
            <w:hideMark/>
          </w:tcPr>
          <w:p w14:paraId="684DC1DF" w14:textId="3B427223"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Hyrje shtetas total</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 Dalje shtetas total</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 Hyrje shtetas shqiptarë</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4. Dalje shtetas shqiptarë</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5. Hyrje shtetas të huaj</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6. Dalje shtetas të huaj</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7. Hyrjet e shtetasve të huaj sipas</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rajoneve</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8. Hyrjet e shtetasve të huaj sipas qëllimit</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9. Lëvizjet e </w:t>
            </w:r>
            <w:r w:rsidR="00DB4567" w:rsidRPr="00B31292">
              <w:rPr>
                <w:rFonts w:ascii="Garamond" w:eastAsia="Times New Roman" w:hAnsi="Garamond" w:cs="Times New Roman"/>
                <w:color w:val="000000"/>
                <w:sz w:val="10"/>
                <w:szCs w:val="10"/>
              </w:rPr>
              <w:t>shtetasve</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sipas mënyrës së udhëtimit</w:t>
            </w:r>
            <w:r w:rsidR="003D4004" w:rsidRPr="00B31292">
              <w:rPr>
                <w:rFonts w:ascii="Garamond" w:eastAsia="Times New Roman" w:hAnsi="Garamond" w:cs="Times New Roman"/>
                <w:color w:val="000000"/>
                <w:sz w:val="10"/>
                <w:szCs w:val="10"/>
              </w:rPr>
              <w:t>.</w:t>
            </w:r>
          </w:p>
        </w:tc>
        <w:tc>
          <w:tcPr>
            <w:tcW w:w="299" w:type="pct"/>
            <w:tcBorders>
              <w:top w:val="nil"/>
              <w:left w:val="nil"/>
              <w:bottom w:val="single" w:sz="4" w:space="0" w:color="auto"/>
              <w:right w:val="single" w:sz="4" w:space="0" w:color="auto"/>
            </w:tcBorders>
            <w:shd w:val="clear" w:color="auto" w:fill="auto"/>
            <w:vAlign w:val="center"/>
            <w:hideMark/>
          </w:tcPr>
          <w:p w14:paraId="0A137FFA" w14:textId="342449B4"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Drejtoria e Përgjithshme e Policisë</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Drejtoria për Kufirin dhe Migracionin</w:t>
            </w:r>
          </w:p>
        </w:tc>
        <w:tc>
          <w:tcPr>
            <w:tcW w:w="224" w:type="pct"/>
            <w:tcBorders>
              <w:top w:val="nil"/>
              <w:left w:val="nil"/>
              <w:bottom w:val="single" w:sz="4" w:space="0" w:color="auto"/>
              <w:right w:val="single" w:sz="4" w:space="0" w:color="auto"/>
            </w:tcBorders>
            <w:shd w:val="clear" w:color="auto" w:fill="auto"/>
            <w:vAlign w:val="center"/>
            <w:hideMark/>
          </w:tcPr>
          <w:p w14:paraId="292145E1" w14:textId="42724094"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3D4004" w:rsidRPr="00B31292">
              <w:rPr>
                <w:rFonts w:ascii="Garamond" w:eastAsia="Times New Roman" w:hAnsi="Garamond" w:cs="Times New Roman"/>
                <w:color w:val="000000"/>
                <w:sz w:val="10"/>
                <w:szCs w:val="10"/>
              </w:rPr>
              <w:t>-i</w:t>
            </w:r>
          </w:p>
        </w:tc>
        <w:tc>
          <w:tcPr>
            <w:tcW w:w="244" w:type="pct"/>
            <w:tcBorders>
              <w:top w:val="nil"/>
              <w:left w:val="nil"/>
              <w:bottom w:val="single" w:sz="4" w:space="0" w:color="auto"/>
              <w:right w:val="single" w:sz="4" w:space="0" w:color="auto"/>
            </w:tcBorders>
            <w:shd w:val="clear" w:color="000000" w:fill="FFFFFF"/>
            <w:vAlign w:val="center"/>
            <w:hideMark/>
          </w:tcPr>
          <w:p w14:paraId="7C829B15"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M + 15D</w:t>
            </w:r>
          </w:p>
        </w:tc>
        <w:tc>
          <w:tcPr>
            <w:tcW w:w="220" w:type="pct"/>
            <w:tcBorders>
              <w:top w:val="nil"/>
              <w:left w:val="nil"/>
              <w:bottom w:val="single" w:sz="4" w:space="0" w:color="auto"/>
              <w:right w:val="single" w:sz="4" w:space="0" w:color="auto"/>
            </w:tcBorders>
            <w:shd w:val="clear" w:color="000000" w:fill="FFFFFF"/>
            <w:vAlign w:val="center"/>
            <w:hideMark/>
          </w:tcPr>
          <w:p w14:paraId="3984665F"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M + 22D</w:t>
            </w:r>
          </w:p>
        </w:tc>
        <w:tc>
          <w:tcPr>
            <w:tcW w:w="220" w:type="pct"/>
            <w:tcBorders>
              <w:top w:val="nil"/>
              <w:left w:val="nil"/>
              <w:bottom w:val="single" w:sz="4" w:space="0" w:color="auto"/>
              <w:right w:val="single" w:sz="4" w:space="0" w:color="auto"/>
            </w:tcBorders>
            <w:shd w:val="clear" w:color="000000" w:fill="FFFFFF"/>
            <w:vAlign w:val="center"/>
            <w:hideMark/>
          </w:tcPr>
          <w:p w14:paraId="27581A2A"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M + 26D</w:t>
            </w:r>
          </w:p>
        </w:tc>
        <w:tc>
          <w:tcPr>
            <w:tcW w:w="346" w:type="pct"/>
            <w:tcBorders>
              <w:top w:val="nil"/>
              <w:left w:val="nil"/>
              <w:bottom w:val="single" w:sz="4" w:space="0" w:color="auto"/>
              <w:right w:val="single" w:sz="4" w:space="0" w:color="auto"/>
            </w:tcBorders>
            <w:shd w:val="clear" w:color="auto" w:fill="auto"/>
            <w:vAlign w:val="center"/>
            <w:hideMark/>
          </w:tcPr>
          <w:p w14:paraId="79F073F4" w14:textId="3186BC08"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Mosmarrja në kohë dhe ndryshimi i bazës ligjore të burimit administrativ, sjell si pasojë mos publikimin në kohë të rezultateve të treguesve statistikorë. -|- 7</w:t>
            </w:r>
            <w:r w:rsidRPr="00B31292">
              <w:rPr>
                <w:rFonts w:ascii="Garamond" w:eastAsia="Times New Roman" w:hAnsi="Garamond" w:cs="Times New Roman"/>
                <w:color w:val="000000"/>
                <w:sz w:val="10"/>
                <w:szCs w:val="10"/>
              </w:rPr>
              <w:br/>
              <w:t xml:space="preserve">2. Mos evidentimi dhe realizimi i detyrave të përditshme të </w:t>
            </w:r>
            <w:r w:rsidRPr="00B31292">
              <w:rPr>
                <w:rFonts w:ascii="Garamond" w:eastAsia="Times New Roman" w:hAnsi="Garamond" w:cs="Times New Roman"/>
                <w:color w:val="000000"/>
                <w:sz w:val="10"/>
                <w:szCs w:val="10"/>
              </w:rPr>
              <w:lastRenderedPageBreak/>
              <w:t>sektorit, e cila sjell si pasojë ngadalësim të proceseve të punës. -|- 3</w:t>
            </w:r>
            <w:r w:rsidRPr="00B31292">
              <w:rPr>
                <w:rFonts w:ascii="Garamond" w:eastAsia="Times New Roman" w:hAnsi="Garamond" w:cs="Times New Roman"/>
                <w:color w:val="000000"/>
                <w:sz w:val="10"/>
                <w:szCs w:val="10"/>
              </w:rPr>
              <w:br/>
              <w:t xml:space="preserve">3. Mos zbatimi në kohë i kalendarit të publikimeve statistikore dhe përditësimit të materialeve në </w:t>
            </w:r>
            <w:r w:rsidRPr="00B31292">
              <w:rPr>
                <w:rFonts w:ascii="Garamond" w:eastAsia="Times New Roman" w:hAnsi="Garamond" w:cs="Times New Roman"/>
                <w:i/>
                <w:iCs/>
                <w:color w:val="000000"/>
                <w:sz w:val="10"/>
                <w:szCs w:val="10"/>
              </w:rPr>
              <w:t>web</w:t>
            </w:r>
            <w:r w:rsidRPr="00B31292">
              <w:rPr>
                <w:rFonts w:ascii="Garamond" w:eastAsia="Times New Roman" w:hAnsi="Garamond" w:cs="Times New Roman"/>
                <w:color w:val="000000"/>
                <w:sz w:val="10"/>
                <w:szCs w:val="10"/>
              </w:rPr>
              <w:t xml:space="preserve">, e cila sjell si pasojë mungesën e informacionit për përdoruesit dhe </w:t>
            </w:r>
            <w:r w:rsidR="00DB4567" w:rsidRPr="00B31292">
              <w:rPr>
                <w:rFonts w:ascii="Garamond" w:eastAsia="Times New Roman" w:hAnsi="Garamond" w:cs="Times New Roman"/>
                <w:color w:val="000000"/>
                <w:sz w:val="10"/>
                <w:szCs w:val="10"/>
              </w:rPr>
              <w:t>cenimin</w:t>
            </w:r>
            <w:r w:rsidRPr="00B31292">
              <w:rPr>
                <w:rFonts w:ascii="Garamond" w:eastAsia="Times New Roman" w:hAnsi="Garamond" w:cs="Times New Roman"/>
                <w:color w:val="000000"/>
                <w:sz w:val="10"/>
                <w:szCs w:val="10"/>
              </w:rPr>
              <w:t xml:space="preserve"> e imazhit të INSTAT</w:t>
            </w:r>
            <w:r w:rsidR="008340E6" w:rsidRPr="00B31292">
              <w:rPr>
                <w:rFonts w:ascii="Garamond" w:eastAsia="Times New Roman" w:hAnsi="Garamond" w:cs="Times New Roman"/>
                <w:color w:val="000000"/>
                <w:sz w:val="10"/>
                <w:szCs w:val="10"/>
              </w:rPr>
              <w:t>-it</w:t>
            </w:r>
            <w:r w:rsidRPr="00B31292">
              <w:rPr>
                <w:rFonts w:ascii="Garamond" w:eastAsia="Times New Roman" w:hAnsi="Garamond" w:cs="Times New Roman"/>
                <w:color w:val="000000"/>
                <w:sz w:val="10"/>
                <w:szCs w:val="10"/>
              </w:rPr>
              <w:t>. -|- 3</w:t>
            </w:r>
            <w:r w:rsidRPr="00B31292">
              <w:rPr>
                <w:rFonts w:ascii="Garamond" w:eastAsia="Times New Roman" w:hAnsi="Garamond" w:cs="Times New Roman"/>
                <w:color w:val="000000"/>
                <w:sz w:val="10"/>
                <w:szCs w:val="10"/>
              </w:rPr>
              <w:br/>
              <w:t>4. Pezullimi/vonesa e mbledhjes, prodhimit dhe shpërndarjes të statistikave zyrtare nga fatkeqësitë natyrore / pandemi globale, e cila sjell si pasojë mos publikimin në kohë të rezultateve. -|- 5</w:t>
            </w:r>
            <w:r w:rsidRPr="00B31292">
              <w:rPr>
                <w:rFonts w:ascii="Garamond" w:eastAsia="Times New Roman" w:hAnsi="Garamond" w:cs="Times New Roman"/>
                <w:color w:val="000000"/>
                <w:sz w:val="10"/>
                <w:szCs w:val="10"/>
              </w:rPr>
              <w:br/>
              <w:t>5. Lëvizja e stafit me eksperiencë nga sektori, e cila sjell si pasojë ndërprerje/ngadalësim të proceseve të punës. -|- 4</w:t>
            </w:r>
          </w:p>
        </w:tc>
        <w:tc>
          <w:tcPr>
            <w:tcW w:w="273" w:type="pct"/>
            <w:tcBorders>
              <w:top w:val="nil"/>
              <w:left w:val="nil"/>
              <w:bottom w:val="single" w:sz="4" w:space="0" w:color="auto"/>
              <w:right w:val="single" w:sz="4" w:space="0" w:color="auto"/>
            </w:tcBorders>
            <w:shd w:val="clear" w:color="auto" w:fill="auto"/>
            <w:vAlign w:val="center"/>
            <w:hideMark/>
          </w:tcPr>
          <w:p w14:paraId="189D486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lastRenderedPageBreak/>
              <w:t>Buxhet shteti</w:t>
            </w:r>
          </w:p>
        </w:tc>
      </w:tr>
      <w:tr w:rsidR="000A2254" w:rsidRPr="00B31292" w14:paraId="6B7BBF6D" w14:textId="77777777" w:rsidTr="000A2254">
        <w:trPr>
          <w:trHeight w:val="20"/>
        </w:trPr>
        <w:tc>
          <w:tcPr>
            <w:tcW w:w="215" w:type="pct"/>
            <w:tcBorders>
              <w:top w:val="nil"/>
              <w:left w:val="nil"/>
              <w:bottom w:val="nil"/>
              <w:right w:val="nil"/>
            </w:tcBorders>
            <w:shd w:val="clear" w:color="000000" w:fill="FFFFFF"/>
            <w:vAlign w:val="bottom"/>
            <w:hideMark/>
          </w:tcPr>
          <w:p w14:paraId="58BAA7D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0BC692F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single" w:sz="4" w:space="0" w:color="000000"/>
              <w:left w:val="single" w:sz="4" w:space="0" w:color="000000"/>
              <w:bottom w:val="single" w:sz="4" w:space="0" w:color="000000"/>
              <w:right w:val="nil"/>
            </w:tcBorders>
            <w:shd w:val="clear" w:color="000000" w:fill="F0F0F0"/>
            <w:vAlign w:val="center"/>
            <w:hideMark/>
          </w:tcPr>
          <w:p w14:paraId="5BFFF03B"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3.5</w:t>
            </w:r>
          </w:p>
        </w:tc>
        <w:tc>
          <w:tcPr>
            <w:tcW w:w="4416" w:type="pct"/>
            <w:gridSpan w:val="18"/>
            <w:tcBorders>
              <w:top w:val="single" w:sz="4" w:space="0" w:color="auto"/>
              <w:left w:val="single" w:sz="4" w:space="0" w:color="auto"/>
              <w:bottom w:val="single" w:sz="4" w:space="0" w:color="auto"/>
              <w:right w:val="single" w:sz="4" w:space="0" w:color="auto"/>
            </w:tcBorders>
            <w:shd w:val="clear" w:color="000000" w:fill="F0F0F0"/>
            <w:vAlign w:val="center"/>
            <w:hideMark/>
          </w:tcPr>
          <w:p w14:paraId="04AFE89F" w14:textId="351440FE"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Tregtia e </w:t>
            </w:r>
            <w:r w:rsidR="003D4004" w:rsidRPr="00B31292">
              <w:rPr>
                <w:rFonts w:ascii="Garamond" w:eastAsia="Times New Roman" w:hAnsi="Garamond" w:cs="Times New Roman"/>
                <w:color w:val="000000"/>
                <w:sz w:val="10"/>
                <w:szCs w:val="10"/>
              </w:rPr>
              <w:t>j</w:t>
            </w:r>
            <w:r w:rsidRPr="00B31292">
              <w:rPr>
                <w:rFonts w:ascii="Garamond" w:eastAsia="Times New Roman" w:hAnsi="Garamond" w:cs="Times New Roman"/>
                <w:color w:val="000000"/>
                <w:sz w:val="10"/>
                <w:szCs w:val="10"/>
              </w:rPr>
              <w:t>ashtme</w:t>
            </w:r>
          </w:p>
        </w:tc>
      </w:tr>
      <w:tr w:rsidR="000A2254" w:rsidRPr="00B31292" w14:paraId="2E06BC9E" w14:textId="77777777" w:rsidTr="000A2254">
        <w:trPr>
          <w:trHeight w:val="20"/>
        </w:trPr>
        <w:tc>
          <w:tcPr>
            <w:tcW w:w="215" w:type="pct"/>
            <w:tcBorders>
              <w:top w:val="nil"/>
              <w:left w:val="nil"/>
              <w:bottom w:val="nil"/>
              <w:right w:val="nil"/>
            </w:tcBorders>
            <w:shd w:val="clear" w:color="000000" w:fill="FFFFFF"/>
            <w:vAlign w:val="bottom"/>
            <w:hideMark/>
          </w:tcPr>
          <w:p w14:paraId="056BA42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0D8405E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1CE3B4E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669EF187"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single" w:sz="4" w:space="0" w:color="000000"/>
              <w:bottom w:val="single" w:sz="4" w:space="0" w:color="000000"/>
              <w:right w:val="nil"/>
            </w:tcBorders>
            <w:shd w:val="clear" w:color="000000" w:fill="F0F0F0"/>
            <w:vAlign w:val="center"/>
            <w:hideMark/>
          </w:tcPr>
          <w:p w14:paraId="7AA4C76B"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3.5.1</w:t>
            </w:r>
          </w:p>
        </w:tc>
        <w:tc>
          <w:tcPr>
            <w:tcW w:w="4082" w:type="pct"/>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1E834BFC" w14:textId="5ABBF238"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Statistikat e </w:t>
            </w:r>
            <w:r w:rsidR="003D4004" w:rsidRPr="00B31292">
              <w:rPr>
                <w:rFonts w:ascii="Garamond" w:eastAsia="Times New Roman" w:hAnsi="Garamond" w:cs="Times New Roman"/>
                <w:color w:val="000000"/>
                <w:sz w:val="10"/>
                <w:szCs w:val="10"/>
              </w:rPr>
              <w:t xml:space="preserve">investimeve të huaja direkte dhe tregtisë ndërkombëtare të </w:t>
            </w:r>
            <w:r w:rsidRPr="00B31292">
              <w:rPr>
                <w:rFonts w:ascii="Garamond" w:eastAsia="Times New Roman" w:hAnsi="Garamond" w:cs="Times New Roman"/>
                <w:color w:val="000000"/>
                <w:sz w:val="10"/>
                <w:szCs w:val="10"/>
              </w:rPr>
              <w:t>shërbimeve</w:t>
            </w:r>
          </w:p>
        </w:tc>
      </w:tr>
      <w:tr w:rsidR="000A2254" w:rsidRPr="00B31292" w14:paraId="5D31F80C" w14:textId="77777777" w:rsidTr="000A2254">
        <w:trPr>
          <w:trHeight w:val="20"/>
        </w:trPr>
        <w:tc>
          <w:tcPr>
            <w:tcW w:w="215" w:type="pct"/>
            <w:tcBorders>
              <w:top w:val="nil"/>
              <w:left w:val="nil"/>
              <w:bottom w:val="nil"/>
              <w:right w:val="nil"/>
            </w:tcBorders>
            <w:shd w:val="clear" w:color="000000" w:fill="FFFFFF"/>
            <w:vAlign w:val="bottom"/>
            <w:hideMark/>
          </w:tcPr>
          <w:p w14:paraId="537ECA7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422A4BF7"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6BB10B8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02155C1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0879E06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46A29C4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auto"/>
              <w:bottom w:val="single" w:sz="4" w:space="0" w:color="auto"/>
              <w:right w:val="single" w:sz="4" w:space="0" w:color="auto"/>
            </w:tcBorders>
            <w:shd w:val="clear" w:color="auto" w:fill="auto"/>
            <w:vAlign w:val="center"/>
            <w:hideMark/>
          </w:tcPr>
          <w:p w14:paraId="6752E803"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3.5.1.1</w:t>
            </w:r>
          </w:p>
        </w:tc>
        <w:tc>
          <w:tcPr>
            <w:tcW w:w="281" w:type="pct"/>
            <w:tcBorders>
              <w:top w:val="nil"/>
              <w:left w:val="nil"/>
              <w:bottom w:val="single" w:sz="4" w:space="0" w:color="auto"/>
              <w:right w:val="single" w:sz="4" w:space="0" w:color="auto"/>
            </w:tcBorders>
            <w:shd w:val="clear" w:color="auto" w:fill="auto"/>
            <w:vAlign w:val="center"/>
            <w:hideMark/>
          </w:tcPr>
          <w:p w14:paraId="729BB8E4" w14:textId="45DA8BE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xml:space="preserve">Statistikat tremujore të fluksit dhe stokut të </w:t>
            </w:r>
            <w:r w:rsidR="003D4004" w:rsidRPr="00B31292">
              <w:rPr>
                <w:rFonts w:ascii="Garamond" w:eastAsia="Times New Roman" w:hAnsi="Garamond" w:cs="Times New Roman"/>
                <w:sz w:val="10"/>
                <w:szCs w:val="10"/>
              </w:rPr>
              <w:t>investimeve direkte</w:t>
            </w:r>
          </w:p>
        </w:tc>
        <w:tc>
          <w:tcPr>
            <w:tcW w:w="236" w:type="pct"/>
            <w:tcBorders>
              <w:top w:val="nil"/>
              <w:left w:val="nil"/>
              <w:bottom w:val="single" w:sz="4" w:space="0" w:color="auto"/>
              <w:right w:val="single" w:sz="4" w:space="0" w:color="auto"/>
            </w:tcBorders>
            <w:shd w:val="clear" w:color="auto" w:fill="auto"/>
            <w:vAlign w:val="center"/>
            <w:hideMark/>
          </w:tcPr>
          <w:p w14:paraId="5B11020E"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Kombinim i burimeve administrative dhe vrojtimeve</w:t>
            </w:r>
          </w:p>
        </w:tc>
        <w:tc>
          <w:tcPr>
            <w:tcW w:w="238" w:type="pct"/>
            <w:tcBorders>
              <w:top w:val="nil"/>
              <w:left w:val="nil"/>
              <w:bottom w:val="single" w:sz="4" w:space="0" w:color="auto"/>
              <w:right w:val="single" w:sz="4" w:space="0" w:color="auto"/>
            </w:tcBorders>
            <w:shd w:val="clear" w:color="auto" w:fill="auto"/>
            <w:noWrap/>
            <w:vAlign w:val="center"/>
            <w:hideMark/>
          </w:tcPr>
          <w:p w14:paraId="3688BD69"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80%</w:t>
            </w:r>
          </w:p>
        </w:tc>
        <w:tc>
          <w:tcPr>
            <w:tcW w:w="180" w:type="pct"/>
            <w:tcBorders>
              <w:top w:val="nil"/>
              <w:left w:val="nil"/>
              <w:bottom w:val="single" w:sz="4" w:space="0" w:color="auto"/>
              <w:right w:val="single" w:sz="4" w:space="0" w:color="auto"/>
            </w:tcBorders>
            <w:shd w:val="clear" w:color="auto" w:fill="auto"/>
            <w:noWrap/>
            <w:vAlign w:val="center"/>
            <w:hideMark/>
          </w:tcPr>
          <w:p w14:paraId="36D73552"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20%</w:t>
            </w:r>
          </w:p>
        </w:tc>
        <w:tc>
          <w:tcPr>
            <w:tcW w:w="228" w:type="pct"/>
            <w:tcBorders>
              <w:top w:val="nil"/>
              <w:left w:val="nil"/>
              <w:bottom w:val="single" w:sz="4" w:space="0" w:color="auto"/>
              <w:right w:val="single" w:sz="4" w:space="0" w:color="auto"/>
            </w:tcBorders>
            <w:shd w:val="clear" w:color="auto" w:fill="auto"/>
            <w:vAlign w:val="center"/>
            <w:hideMark/>
          </w:tcPr>
          <w:p w14:paraId="79254BE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tcBorders>
              <w:top w:val="nil"/>
              <w:left w:val="nil"/>
              <w:bottom w:val="single" w:sz="4" w:space="0" w:color="auto"/>
              <w:right w:val="single" w:sz="4" w:space="0" w:color="auto"/>
            </w:tcBorders>
            <w:shd w:val="clear" w:color="auto" w:fill="auto"/>
            <w:vAlign w:val="center"/>
            <w:hideMark/>
          </w:tcPr>
          <w:p w14:paraId="26DDB0D7"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Tremujor</w:t>
            </w:r>
          </w:p>
        </w:tc>
        <w:tc>
          <w:tcPr>
            <w:tcW w:w="486" w:type="pct"/>
            <w:tcBorders>
              <w:top w:val="nil"/>
              <w:left w:val="nil"/>
              <w:bottom w:val="single" w:sz="4" w:space="0" w:color="auto"/>
              <w:right w:val="single" w:sz="4" w:space="0" w:color="auto"/>
            </w:tcBorders>
            <w:shd w:val="clear" w:color="000000" w:fill="FFFFFF"/>
            <w:vAlign w:val="center"/>
            <w:hideMark/>
          </w:tcPr>
          <w:p w14:paraId="21D5EC5E" w14:textId="304A0839"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1. Statistikat e fluksit të </w:t>
            </w:r>
            <w:r w:rsidR="008340E6" w:rsidRPr="00B31292">
              <w:rPr>
                <w:rFonts w:ascii="Garamond" w:eastAsia="Times New Roman" w:hAnsi="Garamond" w:cs="Times New Roman"/>
                <w:color w:val="000000"/>
                <w:sz w:val="10"/>
                <w:szCs w:val="10"/>
              </w:rPr>
              <w:t xml:space="preserve">investimeve direkte </w:t>
            </w:r>
            <w:r w:rsidRPr="00B31292">
              <w:rPr>
                <w:rFonts w:ascii="Garamond" w:eastAsia="Times New Roman" w:hAnsi="Garamond" w:cs="Times New Roman"/>
                <w:color w:val="000000"/>
                <w:sz w:val="10"/>
                <w:szCs w:val="10"/>
              </w:rPr>
              <w:t>sipas shteteve</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2. Statistikat e fluksit të </w:t>
            </w:r>
            <w:r w:rsidR="008340E6" w:rsidRPr="00B31292">
              <w:rPr>
                <w:rFonts w:ascii="Garamond" w:eastAsia="Times New Roman" w:hAnsi="Garamond" w:cs="Times New Roman"/>
                <w:color w:val="000000"/>
                <w:sz w:val="10"/>
                <w:szCs w:val="10"/>
              </w:rPr>
              <w:t xml:space="preserve">investimeve direkte </w:t>
            </w:r>
            <w:r w:rsidRPr="00B31292">
              <w:rPr>
                <w:rFonts w:ascii="Garamond" w:eastAsia="Times New Roman" w:hAnsi="Garamond" w:cs="Times New Roman"/>
                <w:color w:val="000000"/>
                <w:sz w:val="10"/>
                <w:szCs w:val="10"/>
              </w:rPr>
              <w:t>sipas aktivitetit ekonomik</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3. Statistikat e pozicionit të </w:t>
            </w:r>
            <w:r w:rsidR="008340E6" w:rsidRPr="00B31292">
              <w:rPr>
                <w:rFonts w:ascii="Garamond" w:eastAsia="Times New Roman" w:hAnsi="Garamond" w:cs="Times New Roman"/>
                <w:color w:val="000000"/>
                <w:sz w:val="10"/>
                <w:szCs w:val="10"/>
              </w:rPr>
              <w:t xml:space="preserve">investimeve direkte </w:t>
            </w:r>
            <w:r w:rsidRPr="00B31292">
              <w:rPr>
                <w:rFonts w:ascii="Garamond" w:eastAsia="Times New Roman" w:hAnsi="Garamond" w:cs="Times New Roman"/>
                <w:color w:val="000000"/>
                <w:sz w:val="10"/>
                <w:szCs w:val="10"/>
              </w:rPr>
              <w:t>sipas shteteve</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4. Statistikat e pozicionit të </w:t>
            </w:r>
            <w:r w:rsidR="008340E6" w:rsidRPr="00B31292">
              <w:rPr>
                <w:rFonts w:ascii="Garamond" w:eastAsia="Times New Roman" w:hAnsi="Garamond" w:cs="Times New Roman"/>
                <w:color w:val="000000"/>
                <w:sz w:val="10"/>
                <w:szCs w:val="10"/>
              </w:rPr>
              <w:t xml:space="preserve">investimeve direkte </w:t>
            </w:r>
            <w:r w:rsidRPr="00B31292">
              <w:rPr>
                <w:rFonts w:ascii="Garamond" w:eastAsia="Times New Roman" w:hAnsi="Garamond" w:cs="Times New Roman"/>
                <w:color w:val="000000"/>
                <w:sz w:val="10"/>
                <w:szCs w:val="10"/>
              </w:rPr>
              <w:t>sipas aktivitetit ekonomik</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5. Statistikat e fluksit të </w:t>
            </w:r>
            <w:r w:rsidR="008340E6" w:rsidRPr="00B31292">
              <w:rPr>
                <w:rFonts w:ascii="Garamond" w:eastAsia="Times New Roman" w:hAnsi="Garamond" w:cs="Times New Roman"/>
                <w:color w:val="000000"/>
                <w:sz w:val="10"/>
                <w:szCs w:val="10"/>
              </w:rPr>
              <w:t xml:space="preserve">investimeve direkte </w:t>
            </w:r>
            <w:r w:rsidRPr="00B31292">
              <w:rPr>
                <w:rFonts w:ascii="Garamond" w:eastAsia="Times New Roman" w:hAnsi="Garamond" w:cs="Times New Roman"/>
                <w:color w:val="000000"/>
                <w:sz w:val="10"/>
                <w:szCs w:val="10"/>
              </w:rPr>
              <w:t>sipas shteteve dhe aktiviteteve</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6. Statistikat e pozicionit të </w:t>
            </w:r>
            <w:r w:rsidR="008340E6" w:rsidRPr="00B31292">
              <w:rPr>
                <w:rFonts w:ascii="Garamond" w:eastAsia="Times New Roman" w:hAnsi="Garamond" w:cs="Times New Roman"/>
                <w:color w:val="000000"/>
                <w:sz w:val="10"/>
                <w:szCs w:val="10"/>
              </w:rPr>
              <w:t xml:space="preserve">investimeve direkte </w:t>
            </w:r>
            <w:r w:rsidRPr="00B31292">
              <w:rPr>
                <w:rFonts w:ascii="Garamond" w:eastAsia="Times New Roman" w:hAnsi="Garamond" w:cs="Times New Roman"/>
                <w:color w:val="000000"/>
                <w:sz w:val="10"/>
                <w:szCs w:val="10"/>
              </w:rPr>
              <w:t>sipas shteteve dhe aktiviteteve</w:t>
            </w:r>
            <w:r w:rsidR="003D4004" w:rsidRPr="00B31292">
              <w:rPr>
                <w:rFonts w:ascii="Garamond" w:eastAsia="Times New Roman" w:hAnsi="Garamond" w:cs="Times New Roman"/>
                <w:color w:val="000000"/>
                <w:sz w:val="10"/>
                <w:szCs w:val="10"/>
              </w:rPr>
              <w:t>.</w:t>
            </w:r>
          </w:p>
        </w:tc>
        <w:tc>
          <w:tcPr>
            <w:tcW w:w="299" w:type="pct"/>
            <w:tcBorders>
              <w:top w:val="nil"/>
              <w:left w:val="nil"/>
              <w:bottom w:val="single" w:sz="4" w:space="0" w:color="auto"/>
              <w:right w:val="single" w:sz="4" w:space="0" w:color="auto"/>
            </w:tcBorders>
            <w:shd w:val="clear" w:color="auto" w:fill="auto"/>
            <w:vAlign w:val="center"/>
            <w:hideMark/>
          </w:tcPr>
          <w:p w14:paraId="26D997D5" w14:textId="4B888466"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Drejtoria e Përgjithshme e Tatimeve</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 xml:space="preserve">Autoriteti </w:t>
            </w:r>
            <w:r w:rsidR="003D4004" w:rsidRPr="00B31292">
              <w:rPr>
                <w:rFonts w:ascii="Garamond" w:eastAsia="Times New Roman" w:hAnsi="Garamond" w:cs="Times New Roman"/>
                <w:color w:val="000000"/>
                <w:sz w:val="10"/>
                <w:szCs w:val="10"/>
              </w:rPr>
              <w:t>i</w:t>
            </w:r>
            <w:r w:rsidRPr="00B31292">
              <w:rPr>
                <w:rFonts w:ascii="Garamond" w:eastAsia="Times New Roman" w:hAnsi="Garamond" w:cs="Times New Roman"/>
                <w:color w:val="000000"/>
                <w:sz w:val="10"/>
                <w:szCs w:val="10"/>
              </w:rPr>
              <w:t xml:space="preserve"> Kërkimit Shkencor dhe Inovacionit</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Agjencia Kombëtare e Burimeve Natyrore</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Qendra Kombëtare e</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Biznesit</w:t>
            </w:r>
          </w:p>
        </w:tc>
        <w:tc>
          <w:tcPr>
            <w:tcW w:w="224" w:type="pct"/>
            <w:tcBorders>
              <w:top w:val="nil"/>
              <w:left w:val="nil"/>
              <w:bottom w:val="single" w:sz="4" w:space="0" w:color="auto"/>
              <w:right w:val="single" w:sz="4" w:space="0" w:color="auto"/>
            </w:tcBorders>
            <w:shd w:val="clear" w:color="auto" w:fill="auto"/>
            <w:vAlign w:val="center"/>
            <w:hideMark/>
          </w:tcPr>
          <w:p w14:paraId="04A29D60" w14:textId="60E17A4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Banka e </w:t>
            </w:r>
            <w:r w:rsidR="00221A99" w:rsidRPr="00B31292">
              <w:rPr>
                <w:rFonts w:ascii="Garamond" w:eastAsia="Times New Roman" w:hAnsi="Garamond" w:cs="Times New Roman"/>
                <w:color w:val="000000"/>
                <w:sz w:val="10"/>
                <w:szCs w:val="10"/>
              </w:rPr>
              <w:t>Shqipërisë</w:t>
            </w:r>
          </w:p>
        </w:tc>
        <w:tc>
          <w:tcPr>
            <w:tcW w:w="244" w:type="pct"/>
            <w:tcBorders>
              <w:top w:val="nil"/>
              <w:left w:val="nil"/>
              <w:bottom w:val="single" w:sz="4" w:space="0" w:color="auto"/>
              <w:right w:val="single" w:sz="4" w:space="0" w:color="auto"/>
            </w:tcBorders>
            <w:shd w:val="clear" w:color="000000" w:fill="FFFFFF"/>
            <w:vAlign w:val="center"/>
            <w:hideMark/>
          </w:tcPr>
          <w:p w14:paraId="6D7C1AED"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T + 60D</w:t>
            </w:r>
          </w:p>
        </w:tc>
        <w:tc>
          <w:tcPr>
            <w:tcW w:w="220" w:type="pct"/>
            <w:tcBorders>
              <w:top w:val="nil"/>
              <w:left w:val="nil"/>
              <w:bottom w:val="single" w:sz="4" w:space="0" w:color="auto"/>
              <w:right w:val="single" w:sz="4" w:space="0" w:color="auto"/>
            </w:tcBorders>
            <w:shd w:val="clear" w:color="000000" w:fill="FFFFFF"/>
            <w:vAlign w:val="center"/>
            <w:hideMark/>
          </w:tcPr>
          <w:p w14:paraId="4D21F8FF"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T + 80D</w:t>
            </w:r>
          </w:p>
        </w:tc>
        <w:tc>
          <w:tcPr>
            <w:tcW w:w="220" w:type="pct"/>
            <w:tcBorders>
              <w:top w:val="nil"/>
              <w:left w:val="nil"/>
              <w:bottom w:val="single" w:sz="4" w:space="0" w:color="auto"/>
              <w:right w:val="single" w:sz="4" w:space="0" w:color="auto"/>
            </w:tcBorders>
            <w:shd w:val="clear" w:color="000000" w:fill="FFFFFF"/>
            <w:vAlign w:val="center"/>
            <w:hideMark/>
          </w:tcPr>
          <w:p w14:paraId="2B5A3511"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T + 85D</w:t>
            </w:r>
          </w:p>
        </w:tc>
        <w:tc>
          <w:tcPr>
            <w:tcW w:w="346" w:type="pct"/>
            <w:tcBorders>
              <w:top w:val="nil"/>
              <w:left w:val="nil"/>
              <w:bottom w:val="single" w:sz="4" w:space="0" w:color="auto"/>
              <w:right w:val="single" w:sz="4" w:space="0" w:color="auto"/>
            </w:tcBorders>
            <w:shd w:val="clear" w:color="auto" w:fill="auto"/>
            <w:vAlign w:val="center"/>
            <w:hideMark/>
          </w:tcPr>
          <w:p w14:paraId="3EB28C44" w14:textId="3D7BBEB4"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Vonesa e marrjes së të dhënave nga burimet administrative. -|- 2</w:t>
            </w:r>
            <w:r w:rsidRPr="00B31292">
              <w:rPr>
                <w:rFonts w:ascii="Garamond" w:eastAsia="Times New Roman" w:hAnsi="Garamond" w:cs="Times New Roman"/>
                <w:color w:val="000000"/>
                <w:sz w:val="10"/>
                <w:szCs w:val="10"/>
              </w:rPr>
              <w:br/>
              <w:t>2. Mosrespektimi i afateve të vrojtimit në terren. -|- 2</w:t>
            </w:r>
            <w:r w:rsidRPr="00B31292">
              <w:rPr>
                <w:rFonts w:ascii="Garamond" w:eastAsia="Times New Roman" w:hAnsi="Garamond" w:cs="Times New Roman"/>
                <w:color w:val="000000"/>
                <w:sz w:val="10"/>
                <w:szCs w:val="10"/>
              </w:rPr>
              <w:br/>
              <w:t>3. Informacion jo i plotë, i pa</w:t>
            </w:r>
            <w:r w:rsidR="00221A99" w:rsidRPr="00B31292">
              <w:rPr>
                <w:rFonts w:ascii="Garamond" w:eastAsia="Times New Roman" w:hAnsi="Garamond" w:cs="Times New Roman"/>
                <w:color w:val="000000"/>
                <w:sz w:val="10"/>
                <w:szCs w:val="10"/>
              </w:rPr>
              <w:t>standardizuar</w:t>
            </w:r>
            <w:r w:rsidRPr="00B31292">
              <w:rPr>
                <w:rFonts w:ascii="Garamond" w:eastAsia="Times New Roman" w:hAnsi="Garamond" w:cs="Times New Roman"/>
                <w:color w:val="000000"/>
                <w:sz w:val="10"/>
                <w:szCs w:val="10"/>
              </w:rPr>
              <w:t>, me gabime -|- 2</w:t>
            </w:r>
          </w:p>
        </w:tc>
        <w:tc>
          <w:tcPr>
            <w:tcW w:w="273" w:type="pct"/>
            <w:tcBorders>
              <w:top w:val="nil"/>
              <w:left w:val="nil"/>
              <w:bottom w:val="single" w:sz="4" w:space="0" w:color="auto"/>
              <w:right w:val="single" w:sz="4" w:space="0" w:color="auto"/>
            </w:tcBorders>
            <w:shd w:val="clear" w:color="auto" w:fill="auto"/>
            <w:vAlign w:val="center"/>
            <w:hideMark/>
          </w:tcPr>
          <w:p w14:paraId="62BBE44B" w14:textId="034A192E"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Buxheti i </w:t>
            </w:r>
            <w:r w:rsidR="00221A99" w:rsidRPr="00B31292">
              <w:rPr>
                <w:rFonts w:ascii="Garamond" w:eastAsia="Times New Roman" w:hAnsi="Garamond" w:cs="Times New Roman"/>
                <w:color w:val="000000"/>
                <w:sz w:val="10"/>
                <w:szCs w:val="10"/>
              </w:rPr>
              <w:t>Bankës</w:t>
            </w:r>
          </w:p>
        </w:tc>
      </w:tr>
      <w:tr w:rsidR="000A2254" w:rsidRPr="00B31292" w14:paraId="4A75C3A4" w14:textId="77777777" w:rsidTr="000A2254">
        <w:trPr>
          <w:trHeight w:val="20"/>
        </w:trPr>
        <w:tc>
          <w:tcPr>
            <w:tcW w:w="215" w:type="pct"/>
            <w:tcBorders>
              <w:top w:val="nil"/>
              <w:left w:val="nil"/>
              <w:bottom w:val="nil"/>
              <w:right w:val="nil"/>
            </w:tcBorders>
            <w:shd w:val="clear" w:color="000000" w:fill="FFFFFF"/>
            <w:vAlign w:val="bottom"/>
            <w:hideMark/>
          </w:tcPr>
          <w:p w14:paraId="6105C64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3594EE3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2D84361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441CA07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1945F73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2C28B81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000000"/>
              <w:bottom w:val="nil"/>
              <w:right w:val="single" w:sz="4" w:space="0" w:color="000000"/>
            </w:tcBorders>
            <w:shd w:val="clear" w:color="auto" w:fill="auto"/>
            <w:vAlign w:val="center"/>
            <w:hideMark/>
          </w:tcPr>
          <w:p w14:paraId="312C1BE9"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3.5.1.2</w:t>
            </w:r>
          </w:p>
        </w:tc>
        <w:tc>
          <w:tcPr>
            <w:tcW w:w="281" w:type="pct"/>
            <w:tcBorders>
              <w:top w:val="nil"/>
              <w:left w:val="nil"/>
              <w:bottom w:val="nil"/>
              <w:right w:val="single" w:sz="4" w:space="0" w:color="000000"/>
            </w:tcBorders>
            <w:shd w:val="clear" w:color="auto" w:fill="auto"/>
            <w:vAlign w:val="center"/>
            <w:hideMark/>
          </w:tcPr>
          <w:p w14:paraId="0437784A" w14:textId="0EDC22EB"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xml:space="preserve">Statistikat e </w:t>
            </w:r>
            <w:r w:rsidR="003D4004" w:rsidRPr="00B31292">
              <w:rPr>
                <w:rFonts w:ascii="Garamond" w:eastAsia="Times New Roman" w:hAnsi="Garamond" w:cs="Times New Roman"/>
                <w:sz w:val="10"/>
                <w:szCs w:val="10"/>
              </w:rPr>
              <w:t>t</w:t>
            </w:r>
            <w:r w:rsidRPr="00B31292">
              <w:rPr>
                <w:rFonts w:ascii="Garamond" w:eastAsia="Times New Roman" w:hAnsi="Garamond" w:cs="Times New Roman"/>
                <w:sz w:val="10"/>
                <w:szCs w:val="10"/>
              </w:rPr>
              <w:t>regtisë ndërkombëtare të shërbimeve</w:t>
            </w:r>
          </w:p>
        </w:tc>
        <w:tc>
          <w:tcPr>
            <w:tcW w:w="236" w:type="pct"/>
            <w:tcBorders>
              <w:top w:val="nil"/>
              <w:left w:val="nil"/>
              <w:bottom w:val="nil"/>
              <w:right w:val="single" w:sz="4" w:space="0" w:color="000000"/>
            </w:tcBorders>
            <w:shd w:val="clear" w:color="auto" w:fill="auto"/>
            <w:vAlign w:val="center"/>
            <w:hideMark/>
          </w:tcPr>
          <w:p w14:paraId="5F0E5CAA"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Kombinim i burimeve administrative dhe vrojtimeve</w:t>
            </w:r>
          </w:p>
        </w:tc>
        <w:tc>
          <w:tcPr>
            <w:tcW w:w="238" w:type="pct"/>
            <w:tcBorders>
              <w:top w:val="nil"/>
              <w:left w:val="nil"/>
              <w:bottom w:val="single" w:sz="4" w:space="0" w:color="auto"/>
              <w:right w:val="single" w:sz="4" w:space="0" w:color="auto"/>
            </w:tcBorders>
            <w:shd w:val="clear" w:color="auto" w:fill="auto"/>
            <w:noWrap/>
            <w:vAlign w:val="center"/>
            <w:hideMark/>
          </w:tcPr>
          <w:p w14:paraId="4505BEEC"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80%</w:t>
            </w:r>
          </w:p>
        </w:tc>
        <w:tc>
          <w:tcPr>
            <w:tcW w:w="180" w:type="pct"/>
            <w:tcBorders>
              <w:top w:val="nil"/>
              <w:left w:val="nil"/>
              <w:bottom w:val="single" w:sz="4" w:space="0" w:color="auto"/>
              <w:right w:val="single" w:sz="4" w:space="0" w:color="auto"/>
            </w:tcBorders>
            <w:shd w:val="clear" w:color="auto" w:fill="auto"/>
            <w:noWrap/>
            <w:vAlign w:val="center"/>
            <w:hideMark/>
          </w:tcPr>
          <w:p w14:paraId="087A436C"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20%</w:t>
            </w:r>
          </w:p>
        </w:tc>
        <w:tc>
          <w:tcPr>
            <w:tcW w:w="228" w:type="pct"/>
            <w:tcBorders>
              <w:top w:val="nil"/>
              <w:left w:val="nil"/>
              <w:bottom w:val="single" w:sz="4" w:space="0" w:color="auto"/>
              <w:right w:val="single" w:sz="4" w:space="0" w:color="auto"/>
            </w:tcBorders>
            <w:shd w:val="clear" w:color="auto" w:fill="auto"/>
            <w:vAlign w:val="center"/>
            <w:hideMark/>
          </w:tcPr>
          <w:p w14:paraId="557937F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tcBorders>
              <w:top w:val="nil"/>
              <w:left w:val="nil"/>
              <w:bottom w:val="nil"/>
              <w:right w:val="single" w:sz="4" w:space="0" w:color="000000"/>
            </w:tcBorders>
            <w:shd w:val="clear" w:color="auto" w:fill="auto"/>
            <w:vAlign w:val="center"/>
            <w:hideMark/>
          </w:tcPr>
          <w:p w14:paraId="2665AFC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Vjetor</w:t>
            </w:r>
          </w:p>
        </w:tc>
        <w:tc>
          <w:tcPr>
            <w:tcW w:w="486" w:type="pct"/>
            <w:tcBorders>
              <w:top w:val="nil"/>
              <w:left w:val="nil"/>
              <w:bottom w:val="nil"/>
              <w:right w:val="single" w:sz="4" w:space="0" w:color="auto"/>
            </w:tcBorders>
            <w:shd w:val="clear" w:color="000000" w:fill="FFFFFF"/>
            <w:vAlign w:val="center"/>
            <w:hideMark/>
          </w:tcPr>
          <w:p w14:paraId="2614B74A" w14:textId="23D1A2DF"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Tregtia ndërkombëtare e shërbimeve-eksport</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 Tregtia ndërkombëtare e shërbimeve-import</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 Shërbime për përpunim të inputeve fizike të zotëruara nga të tjerët import</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eksport</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4. Shërbime mirëmbajtje dhe riparimi import-eksport</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5. Transport import-eksport</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6. Udhëtime import-eksport</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7. Konstruksion import-eksport</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8. Shërbime sigurimi dhe të pensioneve import-eksport</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9. Shërbime financiare</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import-eksport</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10. Pagesa për përdorimin e pasurisë intelektuale import- eksport</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11. Shërbime telekomunikacioni, kompjuteri </w:t>
            </w:r>
            <w:r w:rsidRPr="00B31292">
              <w:rPr>
                <w:rFonts w:ascii="Garamond" w:eastAsia="Times New Roman" w:hAnsi="Garamond" w:cs="Times New Roman"/>
                <w:color w:val="000000"/>
                <w:sz w:val="10"/>
                <w:szCs w:val="10"/>
              </w:rPr>
              <w:lastRenderedPageBreak/>
              <w:t>dhe informacioni import-eksport</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12. Shërbime të tjera biznesi import-eksport</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13. Shërbime personale, kulturore dhe argëtimi import-eksport</w:t>
            </w:r>
            <w:r w:rsidR="003D4004" w:rsidRPr="00B31292">
              <w:rPr>
                <w:rFonts w:ascii="Garamond" w:eastAsia="Times New Roman" w:hAnsi="Garamond" w:cs="Times New Roman"/>
                <w:color w:val="000000"/>
                <w:sz w:val="10"/>
                <w:szCs w:val="10"/>
              </w:rPr>
              <w:t>.</w:t>
            </w:r>
          </w:p>
        </w:tc>
        <w:tc>
          <w:tcPr>
            <w:tcW w:w="299" w:type="pct"/>
            <w:tcBorders>
              <w:top w:val="nil"/>
              <w:left w:val="nil"/>
              <w:bottom w:val="nil"/>
              <w:right w:val="single" w:sz="4" w:space="0" w:color="auto"/>
            </w:tcBorders>
            <w:shd w:val="clear" w:color="auto" w:fill="auto"/>
            <w:vAlign w:val="center"/>
            <w:hideMark/>
          </w:tcPr>
          <w:p w14:paraId="03C8577F" w14:textId="7D4F7553"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lastRenderedPageBreak/>
              <w:t>Instituti i Statistikave</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Ministria e Financave dhe Ekonomisë</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Banka e Shqipërisë</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Drejtoria e Përgjithshme e Doganave</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Autoriteti i Mbikëqyrjes Financiare</w:t>
            </w:r>
          </w:p>
        </w:tc>
        <w:tc>
          <w:tcPr>
            <w:tcW w:w="224" w:type="pct"/>
            <w:tcBorders>
              <w:top w:val="nil"/>
              <w:left w:val="nil"/>
              <w:bottom w:val="nil"/>
              <w:right w:val="single" w:sz="4" w:space="0" w:color="auto"/>
            </w:tcBorders>
            <w:shd w:val="clear" w:color="auto" w:fill="auto"/>
            <w:vAlign w:val="center"/>
            <w:hideMark/>
          </w:tcPr>
          <w:p w14:paraId="37D14CCC" w14:textId="0010CC1A"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Banka e </w:t>
            </w:r>
            <w:r w:rsidR="00221A99" w:rsidRPr="00B31292">
              <w:rPr>
                <w:rFonts w:ascii="Garamond" w:eastAsia="Times New Roman" w:hAnsi="Garamond" w:cs="Times New Roman"/>
                <w:color w:val="000000"/>
                <w:sz w:val="10"/>
                <w:szCs w:val="10"/>
              </w:rPr>
              <w:t>Shqipërisë</w:t>
            </w:r>
          </w:p>
        </w:tc>
        <w:tc>
          <w:tcPr>
            <w:tcW w:w="244" w:type="pct"/>
            <w:tcBorders>
              <w:top w:val="nil"/>
              <w:left w:val="nil"/>
              <w:bottom w:val="nil"/>
              <w:right w:val="single" w:sz="4" w:space="0" w:color="auto"/>
            </w:tcBorders>
            <w:shd w:val="clear" w:color="000000" w:fill="FFFFFF"/>
            <w:vAlign w:val="center"/>
            <w:hideMark/>
          </w:tcPr>
          <w:p w14:paraId="737C07A5"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+ 243D</w:t>
            </w:r>
          </w:p>
        </w:tc>
        <w:tc>
          <w:tcPr>
            <w:tcW w:w="220" w:type="pct"/>
            <w:tcBorders>
              <w:top w:val="nil"/>
              <w:left w:val="nil"/>
              <w:bottom w:val="nil"/>
              <w:right w:val="single" w:sz="4" w:space="0" w:color="auto"/>
            </w:tcBorders>
            <w:shd w:val="clear" w:color="000000" w:fill="FFFFFF"/>
            <w:vAlign w:val="center"/>
            <w:hideMark/>
          </w:tcPr>
          <w:p w14:paraId="783E4777"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+ 263D</w:t>
            </w:r>
          </w:p>
        </w:tc>
        <w:tc>
          <w:tcPr>
            <w:tcW w:w="220" w:type="pct"/>
            <w:tcBorders>
              <w:top w:val="nil"/>
              <w:left w:val="nil"/>
              <w:bottom w:val="nil"/>
              <w:right w:val="single" w:sz="4" w:space="0" w:color="auto"/>
            </w:tcBorders>
            <w:shd w:val="clear" w:color="000000" w:fill="FFFFFF"/>
            <w:vAlign w:val="center"/>
            <w:hideMark/>
          </w:tcPr>
          <w:p w14:paraId="08488A42"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+ 273D</w:t>
            </w:r>
          </w:p>
        </w:tc>
        <w:tc>
          <w:tcPr>
            <w:tcW w:w="346" w:type="pct"/>
            <w:tcBorders>
              <w:top w:val="nil"/>
              <w:left w:val="nil"/>
              <w:bottom w:val="nil"/>
              <w:right w:val="single" w:sz="4" w:space="0" w:color="auto"/>
            </w:tcBorders>
            <w:shd w:val="clear" w:color="auto" w:fill="auto"/>
            <w:vAlign w:val="center"/>
            <w:hideMark/>
          </w:tcPr>
          <w:p w14:paraId="61ECBA5A" w14:textId="4F4FD209"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Vonesat nga burimet administrative -|- 2</w:t>
            </w:r>
            <w:r w:rsidRPr="00B31292">
              <w:rPr>
                <w:rFonts w:ascii="Garamond" w:eastAsia="Times New Roman" w:hAnsi="Garamond" w:cs="Times New Roman"/>
                <w:color w:val="000000"/>
                <w:sz w:val="10"/>
                <w:szCs w:val="10"/>
              </w:rPr>
              <w:br/>
              <w:t>2. Mosrespektimi i afateve të vrojtimit në terren -|- 2</w:t>
            </w:r>
            <w:r w:rsidRPr="00B31292">
              <w:rPr>
                <w:rFonts w:ascii="Garamond" w:eastAsia="Times New Roman" w:hAnsi="Garamond" w:cs="Times New Roman"/>
                <w:color w:val="000000"/>
                <w:sz w:val="10"/>
                <w:szCs w:val="10"/>
              </w:rPr>
              <w:br/>
              <w:t>3. Informacion jo i plotë, i pastandardizuar -|- 2</w:t>
            </w:r>
            <w:r w:rsidRPr="00B31292">
              <w:rPr>
                <w:rFonts w:ascii="Garamond" w:eastAsia="Times New Roman" w:hAnsi="Garamond" w:cs="Times New Roman"/>
                <w:color w:val="000000"/>
                <w:sz w:val="10"/>
                <w:szCs w:val="10"/>
              </w:rPr>
              <w:br/>
              <w:t>4. Gabime të bëra nga stafi ekspert gjatë përpunimit dhe nxjerrjes së rezultateve -|- 2</w:t>
            </w:r>
          </w:p>
        </w:tc>
        <w:tc>
          <w:tcPr>
            <w:tcW w:w="273" w:type="pct"/>
            <w:tcBorders>
              <w:top w:val="nil"/>
              <w:left w:val="nil"/>
              <w:bottom w:val="nil"/>
              <w:right w:val="single" w:sz="4" w:space="0" w:color="auto"/>
            </w:tcBorders>
            <w:shd w:val="clear" w:color="auto" w:fill="auto"/>
            <w:vAlign w:val="center"/>
            <w:hideMark/>
          </w:tcPr>
          <w:p w14:paraId="51B5E743" w14:textId="47AD3B69"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Buxheti i </w:t>
            </w:r>
            <w:r w:rsidR="00221A99" w:rsidRPr="00B31292">
              <w:rPr>
                <w:rFonts w:ascii="Garamond" w:eastAsia="Times New Roman" w:hAnsi="Garamond" w:cs="Times New Roman"/>
                <w:color w:val="000000"/>
                <w:sz w:val="10"/>
                <w:szCs w:val="10"/>
              </w:rPr>
              <w:t>Bankës</w:t>
            </w:r>
          </w:p>
        </w:tc>
      </w:tr>
      <w:tr w:rsidR="000A2254" w:rsidRPr="00B31292" w14:paraId="1E1B5806" w14:textId="77777777" w:rsidTr="000A2254">
        <w:trPr>
          <w:trHeight w:val="20"/>
        </w:trPr>
        <w:tc>
          <w:tcPr>
            <w:tcW w:w="215" w:type="pct"/>
            <w:tcBorders>
              <w:top w:val="nil"/>
              <w:left w:val="nil"/>
              <w:bottom w:val="nil"/>
              <w:right w:val="nil"/>
            </w:tcBorders>
            <w:shd w:val="clear" w:color="000000" w:fill="FFFFFF"/>
            <w:vAlign w:val="bottom"/>
            <w:hideMark/>
          </w:tcPr>
          <w:p w14:paraId="22DF3D4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693F7AD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4357F84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20DC666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single" w:sz="4" w:space="0" w:color="000000"/>
              <w:left w:val="single" w:sz="4" w:space="0" w:color="000000"/>
              <w:bottom w:val="single" w:sz="4" w:space="0" w:color="000000"/>
              <w:right w:val="nil"/>
            </w:tcBorders>
            <w:shd w:val="clear" w:color="000000" w:fill="F0F0F0"/>
            <w:vAlign w:val="center"/>
            <w:hideMark/>
          </w:tcPr>
          <w:p w14:paraId="42524B00"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3.5.2</w:t>
            </w:r>
          </w:p>
        </w:tc>
        <w:tc>
          <w:tcPr>
            <w:tcW w:w="4082" w:type="pct"/>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6A140BF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Statistikat e tregtisë së jashtme të mallrave</w:t>
            </w:r>
          </w:p>
        </w:tc>
      </w:tr>
      <w:tr w:rsidR="000A2254" w:rsidRPr="00B31292" w14:paraId="3F36D7A4" w14:textId="77777777" w:rsidTr="000A2254">
        <w:trPr>
          <w:trHeight w:val="20"/>
        </w:trPr>
        <w:tc>
          <w:tcPr>
            <w:tcW w:w="215" w:type="pct"/>
            <w:tcBorders>
              <w:top w:val="nil"/>
              <w:left w:val="nil"/>
              <w:bottom w:val="nil"/>
              <w:right w:val="nil"/>
            </w:tcBorders>
            <w:shd w:val="clear" w:color="000000" w:fill="FFFFFF"/>
            <w:vAlign w:val="bottom"/>
            <w:hideMark/>
          </w:tcPr>
          <w:p w14:paraId="1A0CA37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71E8CCE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0B0A63C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28A1E437"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65BCEA8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1B7ECB2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000000"/>
              <w:bottom w:val="single" w:sz="4" w:space="0" w:color="000000"/>
              <w:right w:val="single" w:sz="4" w:space="0" w:color="000000"/>
            </w:tcBorders>
            <w:shd w:val="clear" w:color="auto" w:fill="auto"/>
            <w:vAlign w:val="center"/>
            <w:hideMark/>
          </w:tcPr>
          <w:p w14:paraId="6A44B69D"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3.5.2.1</w:t>
            </w:r>
          </w:p>
        </w:tc>
        <w:tc>
          <w:tcPr>
            <w:tcW w:w="281" w:type="pct"/>
            <w:tcBorders>
              <w:top w:val="nil"/>
              <w:left w:val="nil"/>
              <w:bottom w:val="single" w:sz="4" w:space="0" w:color="000000"/>
              <w:right w:val="single" w:sz="4" w:space="0" w:color="000000"/>
            </w:tcBorders>
            <w:shd w:val="clear" w:color="auto" w:fill="auto"/>
            <w:vAlign w:val="center"/>
            <w:hideMark/>
          </w:tcPr>
          <w:p w14:paraId="691E9341" w14:textId="08A2B08A"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Statistika mbi</w:t>
            </w:r>
            <w:r w:rsidR="002E2911" w:rsidRPr="00B31292">
              <w:rPr>
                <w:rFonts w:ascii="Garamond" w:eastAsia="Times New Roman" w:hAnsi="Garamond" w:cs="Times New Roman"/>
                <w:sz w:val="10"/>
                <w:szCs w:val="10"/>
              </w:rPr>
              <w:t xml:space="preserve"> </w:t>
            </w:r>
            <w:r w:rsidRPr="00B31292">
              <w:rPr>
                <w:rFonts w:ascii="Garamond" w:eastAsia="Times New Roman" w:hAnsi="Garamond" w:cs="Times New Roman"/>
                <w:sz w:val="10"/>
                <w:szCs w:val="10"/>
              </w:rPr>
              <w:t>eksportet/importet e mallrave</w:t>
            </w:r>
          </w:p>
        </w:tc>
        <w:tc>
          <w:tcPr>
            <w:tcW w:w="236" w:type="pct"/>
            <w:tcBorders>
              <w:top w:val="nil"/>
              <w:left w:val="nil"/>
              <w:bottom w:val="single" w:sz="4" w:space="0" w:color="000000"/>
              <w:right w:val="single" w:sz="4" w:space="0" w:color="000000"/>
            </w:tcBorders>
            <w:shd w:val="clear" w:color="auto" w:fill="auto"/>
            <w:vAlign w:val="center"/>
            <w:hideMark/>
          </w:tcPr>
          <w:p w14:paraId="550405DF"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Burim administrativ</w:t>
            </w:r>
          </w:p>
        </w:tc>
        <w:tc>
          <w:tcPr>
            <w:tcW w:w="238" w:type="pct"/>
            <w:tcBorders>
              <w:top w:val="nil"/>
              <w:left w:val="nil"/>
              <w:bottom w:val="single" w:sz="4" w:space="0" w:color="auto"/>
              <w:right w:val="single" w:sz="4" w:space="0" w:color="auto"/>
            </w:tcBorders>
            <w:shd w:val="clear" w:color="auto" w:fill="auto"/>
            <w:noWrap/>
            <w:vAlign w:val="center"/>
            <w:hideMark/>
          </w:tcPr>
          <w:p w14:paraId="16620D03"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180" w:type="pct"/>
            <w:tcBorders>
              <w:top w:val="nil"/>
              <w:left w:val="nil"/>
              <w:bottom w:val="single" w:sz="4" w:space="0" w:color="auto"/>
              <w:right w:val="single" w:sz="8" w:space="0" w:color="auto"/>
            </w:tcBorders>
            <w:shd w:val="clear" w:color="auto" w:fill="auto"/>
            <w:vAlign w:val="center"/>
            <w:hideMark/>
          </w:tcPr>
          <w:p w14:paraId="4A99ED21"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28" w:type="pct"/>
            <w:tcBorders>
              <w:top w:val="nil"/>
              <w:left w:val="single" w:sz="4" w:space="0" w:color="auto"/>
              <w:bottom w:val="single" w:sz="4" w:space="0" w:color="auto"/>
              <w:right w:val="single" w:sz="4" w:space="0" w:color="auto"/>
            </w:tcBorders>
            <w:shd w:val="clear" w:color="auto" w:fill="auto"/>
            <w:vAlign w:val="center"/>
            <w:hideMark/>
          </w:tcPr>
          <w:p w14:paraId="0E2AD7F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tcBorders>
              <w:top w:val="nil"/>
              <w:left w:val="nil"/>
              <w:bottom w:val="single" w:sz="4" w:space="0" w:color="000000"/>
              <w:right w:val="single" w:sz="4" w:space="0" w:color="000000"/>
            </w:tcBorders>
            <w:shd w:val="clear" w:color="auto" w:fill="auto"/>
            <w:vAlign w:val="center"/>
            <w:hideMark/>
          </w:tcPr>
          <w:p w14:paraId="1CAB00E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Mujor</w:t>
            </w:r>
          </w:p>
        </w:tc>
        <w:tc>
          <w:tcPr>
            <w:tcW w:w="486" w:type="pct"/>
            <w:tcBorders>
              <w:top w:val="nil"/>
              <w:left w:val="nil"/>
              <w:bottom w:val="single" w:sz="4" w:space="0" w:color="auto"/>
              <w:right w:val="single" w:sz="4" w:space="0" w:color="auto"/>
            </w:tcBorders>
            <w:shd w:val="clear" w:color="000000" w:fill="FFFFFF"/>
            <w:vAlign w:val="center"/>
            <w:hideMark/>
          </w:tcPr>
          <w:p w14:paraId="674F9621" w14:textId="28BBE90D"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Eksportet e mallrave</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 Importet e mallrave</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 Bilanci tregtar i mallrave</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4. Volumi tregtar i mallrave</w:t>
            </w:r>
            <w:r w:rsidRPr="00B31292">
              <w:rPr>
                <w:rFonts w:ascii="Garamond" w:eastAsia="Times New Roman" w:hAnsi="Garamond" w:cs="Times New Roman"/>
                <w:color w:val="000000"/>
                <w:sz w:val="10"/>
                <w:szCs w:val="10"/>
              </w:rPr>
              <w:br/>
              <w:t>5. % e mbulimit (eksporte/importe)</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6. Eksportet/importet sipas vendeve partnere</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7. Eksportet/importet sipas grup mallrave</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8. Eksportet/importet sipas seksioneve t</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w:t>
            </w:r>
            <w:r w:rsidR="003D4004" w:rsidRPr="00B31292">
              <w:rPr>
                <w:rFonts w:ascii="Garamond" w:eastAsia="Times New Roman" w:hAnsi="Garamond" w:cs="Times New Roman"/>
                <w:color w:val="000000"/>
                <w:sz w:val="10"/>
                <w:szCs w:val="10"/>
              </w:rPr>
              <w:t xml:space="preserve">sistemit të harmonizuar të mallrave </w:t>
            </w:r>
            <w:r w:rsidRPr="00B31292">
              <w:rPr>
                <w:rFonts w:ascii="Garamond" w:eastAsia="Times New Roman" w:hAnsi="Garamond" w:cs="Times New Roman"/>
                <w:color w:val="000000"/>
                <w:sz w:val="10"/>
                <w:szCs w:val="10"/>
              </w:rPr>
              <w:t>(HS)</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9. Eksportet/importet sipas kapitujve kryesore t</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w:t>
            </w:r>
            <w:r w:rsidR="003D4004" w:rsidRPr="00B31292">
              <w:rPr>
                <w:rFonts w:ascii="Garamond" w:eastAsia="Times New Roman" w:hAnsi="Garamond" w:cs="Times New Roman"/>
                <w:color w:val="000000"/>
                <w:sz w:val="10"/>
                <w:szCs w:val="10"/>
              </w:rPr>
              <w:t>sistemit të harmonizuar të mal</w:t>
            </w:r>
            <w:r w:rsidRPr="00B31292">
              <w:rPr>
                <w:rFonts w:ascii="Garamond" w:eastAsia="Times New Roman" w:hAnsi="Garamond" w:cs="Times New Roman"/>
                <w:color w:val="000000"/>
                <w:sz w:val="10"/>
                <w:szCs w:val="10"/>
              </w:rPr>
              <w:t>lrave (HS)</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10. Eksportet/importet sipas grup</w:t>
            </w:r>
            <w:r w:rsidR="008340E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mallrave dhe partnerëve kryesorë tregtarë</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11. Volumi tregtar i mallrave sipas vendeve partnere</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12. Eksportet/importet sipas grup</w:t>
            </w:r>
            <w:r w:rsidR="008340E6"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vendeve (</w:t>
            </w:r>
            <w:r w:rsidR="003D4004" w:rsidRPr="00B31292">
              <w:rPr>
                <w:rFonts w:ascii="Garamond" w:eastAsia="Times New Roman" w:hAnsi="Garamond" w:cs="Times New Roman"/>
                <w:color w:val="000000"/>
                <w:sz w:val="10"/>
                <w:szCs w:val="10"/>
              </w:rPr>
              <w:t>e</w:t>
            </w:r>
            <w:r w:rsidRPr="00B31292">
              <w:rPr>
                <w:rFonts w:ascii="Garamond" w:eastAsia="Times New Roman" w:hAnsi="Garamond" w:cs="Times New Roman"/>
                <w:color w:val="000000"/>
                <w:sz w:val="10"/>
                <w:szCs w:val="10"/>
              </w:rPr>
              <w:t>uro zone, BE etj.)</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13. Eksportet/importet sipas mënyrës së transportit, </w:t>
            </w:r>
            <w:r w:rsidR="003D4004" w:rsidRPr="00B31292">
              <w:rPr>
                <w:rFonts w:ascii="Garamond" w:eastAsia="Times New Roman" w:hAnsi="Garamond" w:cs="Times New Roman"/>
                <w:color w:val="000000"/>
                <w:sz w:val="10"/>
                <w:szCs w:val="10"/>
              </w:rPr>
              <w:t>e</w:t>
            </w:r>
            <w:r w:rsidRPr="00B31292">
              <w:rPr>
                <w:rFonts w:ascii="Garamond" w:eastAsia="Times New Roman" w:hAnsi="Garamond" w:cs="Times New Roman"/>
                <w:color w:val="000000"/>
                <w:sz w:val="10"/>
                <w:szCs w:val="10"/>
              </w:rPr>
              <w:t xml:space="preserve">ksportet/importet e mallrave sipas Klasifikimit </w:t>
            </w:r>
            <w:r w:rsidR="00DB4567" w:rsidRPr="00B31292">
              <w:rPr>
                <w:rFonts w:ascii="Garamond" w:eastAsia="Times New Roman" w:hAnsi="Garamond" w:cs="Times New Roman"/>
                <w:color w:val="000000"/>
                <w:sz w:val="10"/>
                <w:szCs w:val="10"/>
              </w:rPr>
              <w:t>Standard</w:t>
            </w:r>
            <w:r w:rsidRPr="00B31292">
              <w:rPr>
                <w:rFonts w:ascii="Garamond" w:eastAsia="Times New Roman" w:hAnsi="Garamond" w:cs="Times New Roman"/>
                <w:color w:val="000000"/>
                <w:sz w:val="10"/>
                <w:szCs w:val="10"/>
              </w:rPr>
              <w:t xml:space="preserve"> të Tregtisë së Jashtme (SITC Rev.4).</w:t>
            </w:r>
          </w:p>
        </w:tc>
        <w:tc>
          <w:tcPr>
            <w:tcW w:w="299" w:type="pct"/>
            <w:tcBorders>
              <w:top w:val="nil"/>
              <w:left w:val="nil"/>
              <w:bottom w:val="single" w:sz="4" w:space="0" w:color="auto"/>
              <w:right w:val="single" w:sz="4" w:space="0" w:color="auto"/>
            </w:tcBorders>
            <w:shd w:val="clear" w:color="auto" w:fill="auto"/>
            <w:vAlign w:val="center"/>
            <w:hideMark/>
          </w:tcPr>
          <w:p w14:paraId="733F70D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Drejtoria e Përgjithshme e Doganave</w:t>
            </w:r>
          </w:p>
        </w:tc>
        <w:tc>
          <w:tcPr>
            <w:tcW w:w="224" w:type="pct"/>
            <w:tcBorders>
              <w:top w:val="nil"/>
              <w:left w:val="nil"/>
              <w:bottom w:val="single" w:sz="4" w:space="0" w:color="auto"/>
              <w:right w:val="single" w:sz="4" w:space="0" w:color="auto"/>
            </w:tcBorders>
            <w:shd w:val="clear" w:color="auto" w:fill="auto"/>
            <w:vAlign w:val="center"/>
            <w:hideMark/>
          </w:tcPr>
          <w:p w14:paraId="63D9B84F" w14:textId="408A600F"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3D4004" w:rsidRPr="00B31292">
              <w:rPr>
                <w:rFonts w:ascii="Garamond" w:eastAsia="Times New Roman" w:hAnsi="Garamond" w:cs="Times New Roman"/>
                <w:color w:val="000000"/>
                <w:sz w:val="10"/>
                <w:szCs w:val="10"/>
              </w:rPr>
              <w:t>-i</w:t>
            </w:r>
          </w:p>
        </w:tc>
        <w:tc>
          <w:tcPr>
            <w:tcW w:w="244" w:type="pct"/>
            <w:tcBorders>
              <w:top w:val="nil"/>
              <w:left w:val="nil"/>
              <w:bottom w:val="single" w:sz="4" w:space="0" w:color="auto"/>
              <w:right w:val="single" w:sz="4" w:space="0" w:color="auto"/>
            </w:tcBorders>
            <w:shd w:val="clear" w:color="000000" w:fill="FFFFFF"/>
            <w:vAlign w:val="center"/>
            <w:hideMark/>
          </w:tcPr>
          <w:p w14:paraId="32808970"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M + 10D</w:t>
            </w:r>
          </w:p>
        </w:tc>
        <w:tc>
          <w:tcPr>
            <w:tcW w:w="220" w:type="pct"/>
            <w:tcBorders>
              <w:top w:val="nil"/>
              <w:left w:val="nil"/>
              <w:bottom w:val="single" w:sz="4" w:space="0" w:color="auto"/>
              <w:right w:val="single" w:sz="4" w:space="0" w:color="auto"/>
            </w:tcBorders>
            <w:shd w:val="clear" w:color="000000" w:fill="FFFFFF"/>
            <w:vAlign w:val="center"/>
            <w:hideMark/>
          </w:tcPr>
          <w:p w14:paraId="08256642"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M + 15D</w:t>
            </w:r>
          </w:p>
        </w:tc>
        <w:tc>
          <w:tcPr>
            <w:tcW w:w="220" w:type="pct"/>
            <w:tcBorders>
              <w:top w:val="nil"/>
              <w:left w:val="nil"/>
              <w:bottom w:val="single" w:sz="4" w:space="0" w:color="auto"/>
              <w:right w:val="single" w:sz="4" w:space="0" w:color="auto"/>
            </w:tcBorders>
            <w:shd w:val="clear" w:color="000000" w:fill="FFFFFF"/>
            <w:vAlign w:val="center"/>
            <w:hideMark/>
          </w:tcPr>
          <w:p w14:paraId="1DD099EA"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M + 17D</w:t>
            </w:r>
          </w:p>
        </w:tc>
        <w:tc>
          <w:tcPr>
            <w:tcW w:w="346" w:type="pct"/>
            <w:tcBorders>
              <w:top w:val="nil"/>
              <w:left w:val="nil"/>
              <w:bottom w:val="single" w:sz="4" w:space="0" w:color="auto"/>
              <w:right w:val="single" w:sz="4" w:space="0" w:color="auto"/>
            </w:tcBorders>
            <w:shd w:val="clear" w:color="auto" w:fill="auto"/>
            <w:vAlign w:val="center"/>
            <w:hideMark/>
          </w:tcPr>
          <w:p w14:paraId="66AD78BA" w14:textId="280E9273"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Risku</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i lëvizjeve / largimit të stafit me eksperiencë duke sjellë pezullim/vonesa në prodhimin dhe shpërndarjen e statistikave zyrtare -|- 4</w:t>
            </w:r>
            <w:r w:rsidRPr="00B31292">
              <w:rPr>
                <w:rFonts w:ascii="Garamond" w:eastAsia="Times New Roman" w:hAnsi="Garamond" w:cs="Times New Roman"/>
                <w:color w:val="000000"/>
                <w:sz w:val="10"/>
                <w:szCs w:val="10"/>
              </w:rPr>
              <w:br/>
              <w:t>2. Risku</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 xml:space="preserve">i gabimeve gjatë kontrollit në nivel mikro të të dhënave si pasojë e kohës së shkurtër ndërmjet marrjes së bazave të të dhënave dhe afatit të publikimit duke </w:t>
            </w:r>
            <w:r w:rsidR="00864BC6" w:rsidRPr="00B31292">
              <w:rPr>
                <w:rFonts w:ascii="Garamond" w:eastAsia="Times New Roman" w:hAnsi="Garamond" w:cs="Times New Roman"/>
                <w:color w:val="000000"/>
                <w:sz w:val="10"/>
                <w:szCs w:val="10"/>
              </w:rPr>
              <w:t>cenuar</w:t>
            </w:r>
            <w:r w:rsidRPr="00B31292">
              <w:rPr>
                <w:rFonts w:ascii="Garamond" w:eastAsia="Times New Roman" w:hAnsi="Garamond" w:cs="Times New Roman"/>
                <w:color w:val="000000"/>
                <w:sz w:val="10"/>
                <w:szCs w:val="10"/>
              </w:rPr>
              <w:t xml:space="preserve"> prodhimin e </w:t>
            </w:r>
            <w:r w:rsidR="00864BC6" w:rsidRPr="00B31292">
              <w:rPr>
                <w:rFonts w:ascii="Garamond" w:eastAsia="Times New Roman" w:hAnsi="Garamond" w:cs="Times New Roman"/>
                <w:color w:val="000000"/>
                <w:sz w:val="10"/>
                <w:szCs w:val="10"/>
              </w:rPr>
              <w:t>treguesve</w:t>
            </w:r>
            <w:r w:rsidRPr="00B31292">
              <w:rPr>
                <w:rFonts w:ascii="Garamond" w:eastAsia="Times New Roman" w:hAnsi="Garamond" w:cs="Times New Roman"/>
                <w:color w:val="000000"/>
                <w:sz w:val="10"/>
                <w:szCs w:val="10"/>
              </w:rPr>
              <w:t xml:space="preserve"> statistikorë -|- 4</w:t>
            </w:r>
          </w:p>
        </w:tc>
        <w:tc>
          <w:tcPr>
            <w:tcW w:w="273" w:type="pct"/>
            <w:tcBorders>
              <w:top w:val="nil"/>
              <w:left w:val="nil"/>
              <w:bottom w:val="single" w:sz="4" w:space="0" w:color="auto"/>
              <w:right w:val="single" w:sz="4" w:space="0" w:color="auto"/>
            </w:tcBorders>
            <w:shd w:val="clear" w:color="auto" w:fill="auto"/>
            <w:vAlign w:val="center"/>
            <w:hideMark/>
          </w:tcPr>
          <w:p w14:paraId="27FD65C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Buxhet shteti</w:t>
            </w:r>
          </w:p>
        </w:tc>
      </w:tr>
      <w:tr w:rsidR="000A2254" w:rsidRPr="00B31292" w14:paraId="61F01784" w14:textId="77777777" w:rsidTr="000A2254">
        <w:trPr>
          <w:trHeight w:val="20"/>
        </w:trPr>
        <w:tc>
          <w:tcPr>
            <w:tcW w:w="215" w:type="pct"/>
            <w:tcBorders>
              <w:top w:val="nil"/>
              <w:left w:val="nil"/>
              <w:bottom w:val="nil"/>
              <w:right w:val="nil"/>
            </w:tcBorders>
            <w:shd w:val="clear" w:color="000000" w:fill="FFFFFF"/>
            <w:vAlign w:val="bottom"/>
            <w:hideMark/>
          </w:tcPr>
          <w:p w14:paraId="35FB7F9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0C5A11C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7669D8C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55AE85C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234E75A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1404BCD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000000"/>
              <w:bottom w:val="nil"/>
              <w:right w:val="single" w:sz="4" w:space="0" w:color="000000"/>
            </w:tcBorders>
            <w:shd w:val="clear" w:color="auto" w:fill="auto"/>
            <w:vAlign w:val="center"/>
            <w:hideMark/>
          </w:tcPr>
          <w:p w14:paraId="14CD8C41"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3.5.2.2</w:t>
            </w:r>
          </w:p>
        </w:tc>
        <w:tc>
          <w:tcPr>
            <w:tcW w:w="281" w:type="pct"/>
            <w:tcBorders>
              <w:top w:val="nil"/>
              <w:left w:val="nil"/>
              <w:bottom w:val="nil"/>
              <w:right w:val="single" w:sz="4" w:space="0" w:color="000000"/>
            </w:tcBorders>
            <w:shd w:val="clear" w:color="auto" w:fill="auto"/>
            <w:vAlign w:val="center"/>
            <w:hideMark/>
          </w:tcPr>
          <w:p w14:paraId="2C8A4EAA" w14:textId="0F090678"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Statistikat mbi</w:t>
            </w:r>
            <w:r w:rsidR="002E2911" w:rsidRPr="00B31292">
              <w:rPr>
                <w:rFonts w:ascii="Garamond" w:eastAsia="Times New Roman" w:hAnsi="Garamond" w:cs="Times New Roman"/>
                <w:sz w:val="10"/>
                <w:szCs w:val="10"/>
              </w:rPr>
              <w:t xml:space="preserve"> </w:t>
            </w:r>
            <w:r w:rsidRPr="00B31292">
              <w:rPr>
                <w:rFonts w:ascii="Garamond" w:eastAsia="Times New Roman" w:hAnsi="Garamond" w:cs="Times New Roman"/>
                <w:sz w:val="10"/>
                <w:szCs w:val="10"/>
              </w:rPr>
              <w:t>eksportet/importet e mallrave sipas karakteristikave të ndërmarrjeve</w:t>
            </w:r>
          </w:p>
        </w:tc>
        <w:tc>
          <w:tcPr>
            <w:tcW w:w="236" w:type="pct"/>
            <w:tcBorders>
              <w:top w:val="nil"/>
              <w:left w:val="nil"/>
              <w:bottom w:val="nil"/>
              <w:right w:val="single" w:sz="4" w:space="0" w:color="000000"/>
            </w:tcBorders>
            <w:shd w:val="clear" w:color="auto" w:fill="auto"/>
            <w:vAlign w:val="center"/>
            <w:hideMark/>
          </w:tcPr>
          <w:p w14:paraId="50F89A50"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Burim administrativ</w:t>
            </w:r>
          </w:p>
        </w:tc>
        <w:tc>
          <w:tcPr>
            <w:tcW w:w="238" w:type="pct"/>
            <w:tcBorders>
              <w:top w:val="nil"/>
              <w:left w:val="nil"/>
              <w:bottom w:val="single" w:sz="4" w:space="0" w:color="auto"/>
              <w:right w:val="single" w:sz="4" w:space="0" w:color="auto"/>
            </w:tcBorders>
            <w:shd w:val="clear" w:color="auto" w:fill="auto"/>
            <w:noWrap/>
            <w:vAlign w:val="center"/>
            <w:hideMark/>
          </w:tcPr>
          <w:p w14:paraId="6C44BEA2"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180" w:type="pct"/>
            <w:tcBorders>
              <w:top w:val="nil"/>
              <w:left w:val="nil"/>
              <w:bottom w:val="single" w:sz="4" w:space="0" w:color="auto"/>
              <w:right w:val="single" w:sz="8" w:space="0" w:color="auto"/>
            </w:tcBorders>
            <w:shd w:val="clear" w:color="auto" w:fill="auto"/>
            <w:vAlign w:val="center"/>
            <w:hideMark/>
          </w:tcPr>
          <w:p w14:paraId="2452494F"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28" w:type="pct"/>
            <w:tcBorders>
              <w:top w:val="nil"/>
              <w:left w:val="single" w:sz="4" w:space="0" w:color="auto"/>
              <w:bottom w:val="single" w:sz="4" w:space="0" w:color="auto"/>
              <w:right w:val="single" w:sz="4" w:space="0" w:color="auto"/>
            </w:tcBorders>
            <w:shd w:val="clear" w:color="auto" w:fill="auto"/>
            <w:vAlign w:val="center"/>
            <w:hideMark/>
          </w:tcPr>
          <w:p w14:paraId="03D32A4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tcBorders>
              <w:top w:val="nil"/>
              <w:left w:val="nil"/>
              <w:bottom w:val="nil"/>
              <w:right w:val="single" w:sz="4" w:space="0" w:color="000000"/>
            </w:tcBorders>
            <w:shd w:val="clear" w:color="auto" w:fill="auto"/>
            <w:vAlign w:val="center"/>
            <w:hideMark/>
          </w:tcPr>
          <w:p w14:paraId="570A943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 Vjetor</w:t>
            </w:r>
          </w:p>
        </w:tc>
        <w:tc>
          <w:tcPr>
            <w:tcW w:w="486" w:type="pct"/>
            <w:tcBorders>
              <w:top w:val="nil"/>
              <w:left w:val="nil"/>
              <w:bottom w:val="nil"/>
              <w:right w:val="single" w:sz="4" w:space="0" w:color="auto"/>
            </w:tcBorders>
            <w:shd w:val="clear" w:color="000000" w:fill="FFFFFF"/>
            <w:vAlign w:val="center"/>
            <w:hideMark/>
          </w:tcPr>
          <w:p w14:paraId="3B666884" w14:textId="62C46A3D" w:rsidR="003D400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1. Numri i </w:t>
            </w:r>
            <w:r w:rsidR="00864BC6" w:rsidRPr="00B31292">
              <w:rPr>
                <w:rFonts w:ascii="Garamond" w:eastAsia="Times New Roman" w:hAnsi="Garamond" w:cs="Times New Roman"/>
                <w:color w:val="000000"/>
                <w:sz w:val="10"/>
                <w:szCs w:val="10"/>
              </w:rPr>
              <w:t>ndërmarrjeve</w:t>
            </w:r>
            <w:r w:rsidRPr="00B31292">
              <w:rPr>
                <w:rFonts w:ascii="Garamond" w:eastAsia="Times New Roman" w:hAnsi="Garamond" w:cs="Times New Roman"/>
                <w:color w:val="000000"/>
                <w:sz w:val="10"/>
                <w:szCs w:val="10"/>
              </w:rPr>
              <w:t xml:space="preserve"> sipas aktivitetit ekonomik dhe numrit t</w:t>
            </w:r>
            <w:r w:rsidR="00864BC6"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t</w:t>
            </w:r>
            <w:r w:rsidR="00864BC6"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w:t>
            </w:r>
            <w:r w:rsidR="00864BC6" w:rsidRPr="00B31292">
              <w:rPr>
                <w:rFonts w:ascii="Garamond" w:eastAsia="Times New Roman" w:hAnsi="Garamond" w:cs="Times New Roman"/>
                <w:color w:val="000000"/>
                <w:sz w:val="10"/>
                <w:szCs w:val="10"/>
              </w:rPr>
              <w:t>punësuarve</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 Eksportet e mallrave sipas aktivitetit ekonomik dhe numrit t</w:t>
            </w:r>
            <w:r w:rsidR="00864BC6"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t</w:t>
            </w:r>
            <w:r w:rsidR="00864BC6"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w:t>
            </w:r>
            <w:r w:rsidR="00864BC6" w:rsidRPr="00B31292">
              <w:rPr>
                <w:rFonts w:ascii="Garamond" w:eastAsia="Times New Roman" w:hAnsi="Garamond" w:cs="Times New Roman"/>
                <w:color w:val="000000"/>
                <w:sz w:val="10"/>
                <w:szCs w:val="10"/>
              </w:rPr>
              <w:t>punësuarve</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 Importet e mallrave sipas aktivitetit ekonomik dhe numrit t</w:t>
            </w:r>
            <w:r w:rsidR="00864BC6"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t</w:t>
            </w:r>
            <w:r w:rsidR="00864BC6"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w:t>
            </w:r>
            <w:r w:rsidR="00864BC6" w:rsidRPr="00B31292">
              <w:rPr>
                <w:rFonts w:ascii="Garamond" w:eastAsia="Times New Roman" w:hAnsi="Garamond" w:cs="Times New Roman"/>
                <w:color w:val="000000"/>
                <w:sz w:val="10"/>
                <w:szCs w:val="10"/>
              </w:rPr>
              <w:t>punësuarve</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4. Numri i </w:t>
            </w:r>
            <w:r w:rsidR="00864BC6" w:rsidRPr="00B31292">
              <w:rPr>
                <w:rFonts w:ascii="Garamond" w:eastAsia="Times New Roman" w:hAnsi="Garamond" w:cs="Times New Roman"/>
                <w:color w:val="000000"/>
                <w:sz w:val="10"/>
                <w:szCs w:val="10"/>
              </w:rPr>
              <w:t>ndërmarrjeve</w:t>
            </w:r>
            <w:r w:rsidRPr="00B31292">
              <w:rPr>
                <w:rFonts w:ascii="Garamond" w:eastAsia="Times New Roman" w:hAnsi="Garamond" w:cs="Times New Roman"/>
                <w:color w:val="000000"/>
                <w:sz w:val="10"/>
                <w:szCs w:val="10"/>
              </w:rPr>
              <w:t xml:space="preserve"> sipas aktivitetit ekonomik dhe disa shteteve kryesore</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5. Eksportet e mallrave sipas aktivitetit ekonomik dhe disa shteteve kryesore</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6. Importet e mallrave sipas aktivitetit ekonomik dhe disa shteteve kryesore</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7. Eksportet e mallrave sipas aktivitetit ekonomik dhe produkteve kryesore</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8. Importet e mallrave sipas aktivitetit ekonomik dhe produkteve kryesore</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9. </w:t>
            </w:r>
            <w:r w:rsidR="00864BC6" w:rsidRPr="00B31292">
              <w:rPr>
                <w:rFonts w:ascii="Garamond" w:eastAsia="Times New Roman" w:hAnsi="Garamond" w:cs="Times New Roman"/>
                <w:color w:val="000000"/>
                <w:sz w:val="10"/>
                <w:szCs w:val="10"/>
              </w:rPr>
              <w:t>Përqendrimi</w:t>
            </w:r>
            <w:r w:rsidRPr="00B31292">
              <w:rPr>
                <w:rFonts w:ascii="Garamond" w:eastAsia="Times New Roman" w:hAnsi="Garamond" w:cs="Times New Roman"/>
                <w:color w:val="000000"/>
                <w:sz w:val="10"/>
                <w:szCs w:val="10"/>
              </w:rPr>
              <w:t xml:space="preserve"> i tregtisë së jashtme të mallrave sipas aktivitetit ekonomik</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10. Numri i ndërmarrjeve sipas numrit të vendeve partnere dhe aktivitetit ekonomik</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p>
          <w:p w14:paraId="4BE46CA0" w14:textId="5F41F79A"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11. Eksportet e mallrave sipas numrit të vendeve partnere dhe aktivitetit ekonomik</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12. Importet e mallrave sipas numrit të vendeve partnere dhe aktivitetit ekonomik</w:t>
            </w:r>
            <w:r w:rsidR="003D4004" w:rsidRPr="00B31292">
              <w:rPr>
                <w:rFonts w:ascii="Garamond" w:eastAsia="Times New Roman" w:hAnsi="Garamond" w:cs="Times New Roman"/>
                <w:color w:val="000000"/>
                <w:sz w:val="10"/>
                <w:szCs w:val="10"/>
              </w:rPr>
              <w:t>.</w:t>
            </w:r>
          </w:p>
        </w:tc>
        <w:tc>
          <w:tcPr>
            <w:tcW w:w="299" w:type="pct"/>
            <w:tcBorders>
              <w:top w:val="nil"/>
              <w:left w:val="nil"/>
              <w:bottom w:val="nil"/>
              <w:right w:val="single" w:sz="4" w:space="0" w:color="auto"/>
            </w:tcBorders>
            <w:shd w:val="clear" w:color="auto" w:fill="auto"/>
            <w:vAlign w:val="center"/>
            <w:hideMark/>
          </w:tcPr>
          <w:p w14:paraId="152818E2" w14:textId="00528C48"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Instituti i Statistikave</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Drejtoria e Përgjithshme e Doganave</w:t>
            </w:r>
          </w:p>
        </w:tc>
        <w:tc>
          <w:tcPr>
            <w:tcW w:w="224" w:type="pct"/>
            <w:tcBorders>
              <w:top w:val="nil"/>
              <w:left w:val="nil"/>
              <w:bottom w:val="nil"/>
              <w:right w:val="single" w:sz="4" w:space="0" w:color="auto"/>
            </w:tcBorders>
            <w:shd w:val="clear" w:color="auto" w:fill="auto"/>
            <w:vAlign w:val="center"/>
            <w:hideMark/>
          </w:tcPr>
          <w:p w14:paraId="3E4F5903" w14:textId="1220134B"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3D4004" w:rsidRPr="00B31292">
              <w:rPr>
                <w:rFonts w:ascii="Garamond" w:eastAsia="Times New Roman" w:hAnsi="Garamond" w:cs="Times New Roman"/>
                <w:color w:val="000000"/>
                <w:sz w:val="10"/>
                <w:szCs w:val="10"/>
              </w:rPr>
              <w:t>-i</w:t>
            </w:r>
          </w:p>
        </w:tc>
        <w:tc>
          <w:tcPr>
            <w:tcW w:w="244" w:type="pct"/>
            <w:tcBorders>
              <w:top w:val="nil"/>
              <w:left w:val="nil"/>
              <w:bottom w:val="single" w:sz="4" w:space="0" w:color="auto"/>
              <w:right w:val="single" w:sz="4" w:space="0" w:color="auto"/>
            </w:tcBorders>
            <w:shd w:val="clear" w:color="000000" w:fill="FFFFFF"/>
            <w:vAlign w:val="center"/>
            <w:hideMark/>
          </w:tcPr>
          <w:p w14:paraId="0516A9CD"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+ 824D</w:t>
            </w:r>
          </w:p>
        </w:tc>
        <w:tc>
          <w:tcPr>
            <w:tcW w:w="220" w:type="pct"/>
            <w:tcBorders>
              <w:top w:val="nil"/>
              <w:left w:val="nil"/>
              <w:bottom w:val="single" w:sz="4" w:space="0" w:color="auto"/>
              <w:right w:val="single" w:sz="4" w:space="0" w:color="auto"/>
            </w:tcBorders>
            <w:shd w:val="clear" w:color="000000" w:fill="FFFFFF"/>
            <w:vAlign w:val="center"/>
            <w:hideMark/>
          </w:tcPr>
          <w:p w14:paraId="517CCB8E"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+ 882D</w:t>
            </w:r>
          </w:p>
        </w:tc>
        <w:tc>
          <w:tcPr>
            <w:tcW w:w="220" w:type="pct"/>
            <w:tcBorders>
              <w:top w:val="nil"/>
              <w:left w:val="nil"/>
              <w:bottom w:val="single" w:sz="4" w:space="0" w:color="auto"/>
              <w:right w:val="single" w:sz="4" w:space="0" w:color="auto"/>
            </w:tcBorders>
            <w:shd w:val="clear" w:color="000000" w:fill="FFFFFF"/>
            <w:vAlign w:val="center"/>
            <w:hideMark/>
          </w:tcPr>
          <w:p w14:paraId="3B99D543"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+ 908D</w:t>
            </w:r>
          </w:p>
        </w:tc>
        <w:tc>
          <w:tcPr>
            <w:tcW w:w="346" w:type="pct"/>
            <w:tcBorders>
              <w:top w:val="nil"/>
              <w:left w:val="nil"/>
              <w:bottom w:val="single" w:sz="4" w:space="0" w:color="auto"/>
              <w:right w:val="single" w:sz="4" w:space="0" w:color="auto"/>
            </w:tcBorders>
            <w:shd w:val="clear" w:color="auto" w:fill="auto"/>
            <w:vAlign w:val="center"/>
            <w:hideMark/>
          </w:tcPr>
          <w:p w14:paraId="17973A8B" w14:textId="7861A2CA"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Risku</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i lëvizjeve /largimit të stafit me eksperiencë duke sjellë pezullim/vonesa në prodhimin dhe shpërndarjen e statistikave zyrtare - 4</w:t>
            </w:r>
            <w:r w:rsidRPr="00B31292">
              <w:rPr>
                <w:rFonts w:ascii="Garamond" w:eastAsia="Times New Roman" w:hAnsi="Garamond" w:cs="Times New Roman"/>
                <w:color w:val="000000"/>
                <w:sz w:val="10"/>
                <w:szCs w:val="10"/>
              </w:rPr>
              <w:br/>
              <w:t xml:space="preserve">2. Risku i gabimeve gjatë kontrollit në nivel mikro të të dhënave si pasojë e kohës së shkurtër ndërmjet marrjes së bazave të të dhënave dhe afatit të publikimit duke </w:t>
            </w:r>
            <w:r w:rsidR="00864BC6" w:rsidRPr="00B31292">
              <w:rPr>
                <w:rFonts w:ascii="Garamond" w:eastAsia="Times New Roman" w:hAnsi="Garamond" w:cs="Times New Roman"/>
                <w:color w:val="000000"/>
                <w:sz w:val="10"/>
                <w:szCs w:val="10"/>
              </w:rPr>
              <w:t>cenuar</w:t>
            </w:r>
            <w:r w:rsidRPr="00B31292">
              <w:rPr>
                <w:rFonts w:ascii="Garamond" w:eastAsia="Times New Roman" w:hAnsi="Garamond" w:cs="Times New Roman"/>
                <w:color w:val="000000"/>
                <w:sz w:val="10"/>
                <w:szCs w:val="10"/>
              </w:rPr>
              <w:t xml:space="preserve"> prodhimin e </w:t>
            </w:r>
            <w:r w:rsidR="00864BC6" w:rsidRPr="00B31292">
              <w:rPr>
                <w:rFonts w:ascii="Garamond" w:eastAsia="Times New Roman" w:hAnsi="Garamond" w:cs="Times New Roman"/>
                <w:color w:val="000000"/>
                <w:sz w:val="10"/>
                <w:szCs w:val="10"/>
              </w:rPr>
              <w:t>treguesve</w:t>
            </w:r>
            <w:r w:rsidRPr="00B31292">
              <w:rPr>
                <w:rFonts w:ascii="Garamond" w:eastAsia="Times New Roman" w:hAnsi="Garamond" w:cs="Times New Roman"/>
                <w:color w:val="000000"/>
                <w:sz w:val="10"/>
                <w:szCs w:val="10"/>
              </w:rPr>
              <w:t xml:space="preserve"> statistikorë - 4</w:t>
            </w:r>
          </w:p>
        </w:tc>
        <w:tc>
          <w:tcPr>
            <w:tcW w:w="273" w:type="pct"/>
            <w:tcBorders>
              <w:top w:val="nil"/>
              <w:left w:val="nil"/>
              <w:bottom w:val="single" w:sz="4" w:space="0" w:color="auto"/>
              <w:right w:val="single" w:sz="4" w:space="0" w:color="auto"/>
            </w:tcBorders>
            <w:shd w:val="clear" w:color="auto" w:fill="auto"/>
            <w:vAlign w:val="center"/>
            <w:hideMark/>
          </w:tcPr>
          <w:p w14:paraId="1FAD99C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Buxhet shteti</w:t>
            </w:r>
          </w:p>
        </w:tc>
      </w:tr>
      <w:tr w:rsidR="000A2254" w:rsidRPr="00B31292" w14:paraId="4A002119" w14:textId="77777777" w:rsidTr="000A2254">
        <w:trPr>
          <w:trHeight w:val="20"/>
        </w:trPr>
        <w:tc>
          <w:tcPr>
            <w:tcW w:w="215" w:type="pct"/>
            <w:tcBorders>
              <w:top w:val="nil"/>
              <w:left w:val="nil"/>
              <w:bottom w:val="nil"/>
              <w:right w:val="nil"/>
            </w:tcBorders>
            <w:shd w:val="clear" w:color="000000" w:fill="FFFFFF"/>
            <w:vAlign w:val="bottom"/>
            <w:hideMark/>
          </w:tcPr>
          <w:p w14:paraId="52C308B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1F31D4D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single" w:sz="4" w:space="0" w:color="000000"/>
              <w:left w:val="single" w:sz="4" w:space="0" w:color="000000"/>
              <w:bottom w:val="single" w:sz="4" w:space="0" w:color="000000"/>
              <w:right w:val="nil"/>
            </w:tcBorders>
            <w:shd w:val="clear" w:color="000000" w:fill="F0F0F0"/>
            <w:vAlign w:val="center"/>
            <w:hideMark/>
          </w:tcPr>
          <w:p w14:paraId="55BFABE0"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3.6</w:t>
            </w:r>
          </w:p>
        </w:tc>
        <w:tc>
          <w:tcPr>
            <w:tcW w:w="4416" w:type="pct"/>
            <w:gridSpan w:val="18"/>
            <w:tcBorders>
              <w:top w:val="single" w:sz="4" w:space="0" w:color="auto"/>
              <w:left w:val="single" w:sz="4" w:space="0" w:color="auto"/>
              <w:bottom w:val="single" w:sz="4" w:space="0" w:color="auto"/>
              <w:right w:val="single" w:sz="4" w:space="0" w:color="auto"/>
            </w:tcBorders>
            <w:shd w:val="clear" w:color="000000" w:fill="F0F0F0"/>
            <w:vAlign w:val="center"/>
            <w:hideMark/>
          </w:tcPr>
          <w:p w14:paraId="353193CE" w14:textId="7509496B"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Bilanci i </w:t>
            </w:r>
            <w:r w:rsidR="003D4004" w:rsidRPr="00B31292">
              <w:rPr>
                <w:rFonts w:ascii="Garamond" w:eastAsia="Times New Roman" w:hAnsi="Garamond" w:cs="Times New Roman"/>
                <w:color w:val="000000"/>
                <w:sz w:val="10"/>
                <w:szCs w:val="10"/>
              </w:rPr>
              <w:t>p</w:t>
            </w:r>
            <w:r w:rsidRPr="00B31292">
              <w:rPr>
                <w:rFonts w:ascii="Garamond" w:eastAsia="Times New Roman" w:hAnsi="Garamond" w:cs="Times New Roman"/>
                <w:color w:val="000000"/>
                <w:sz w:val="10"/>
                <w:szCs w:val="10"/>
              </w:rPr>
              <w:t>agesave</w:t>
            </w:r>
          </w:p>
        </w:tc>
      </w:tr>
      <w:tr w:rsidR="000A2254" w:rsidRPr="00B31292" w14:paraId="07E72D64" w14:textId="77777777" w:rsidTr="000A2254">
        <w:trPr>
          <w:trHeight w:val="20"/>
        </w:trPr>
        <w:tc>
          <w:tcPr>
            <w:tcW w:w="215" w:type="pct"/>
            <w:tcBorders>
              <w:top w:val="nil"/>
              <w:left w:val="nil"/>
              <w:bottom w:val="nil"/>
              <w:right w:val="nil"/>
            </w:tcBorders>
            <w:shd w:val="clear" w:color="000000" w:fill="FFFFFF"/>
            <w:vAlign w:val="bottom"/>
            <w:hideMark/>
          </w:tcPr>
          <w:p w14:paraId="02029F1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399D00A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572DF5D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193CD8F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single" w:sz="4" w:space="0" w:color="auto"/>
              <w:bottom w:val="single" w:sz="4" w:space="0" w:color="auto"/>
              <w:right w:val="single" w:sz="4" w:space="0" w:color="auto"/>
            </w:tcBorders>
            <w:shd w:val="clear" w:color="000000" w:fill="F0F0F0"/>
            <w:vAlign w:val="center"/>
            <w:hideMark/>
          </w:tcPr>
          <w:p w14:paraId="4E5BC3AF"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3.6.1</w:t>
            </w:r>
          </w:p>
        </w:tc>
        <w:tc>
          <w:tcPr>
            <w:tcW w:w="4082" w:type="pct"/>
            <w:gridSpan w:val="16"/>
            <w:tcBorders>
              <w:top w:val="single" w:sz="4" w:space="0" w:color="auto"/>
              <w:left w:val="nil"/>
              <w:bottom w:val="single" w:sz="4" w:space="0" w:color="auto"/>
              <w:right w:val="single" w:sz="4" w:space="0" w:color="auto"/>
            </w:tcBorders>
            <w:shd w:val="clear" w:color="000000" w:fill="F0F0F0"/>
            <w:vAlign w:val="center"/>
            <w:hideMark/>
          </w:tcPr>
          <w:p w14:paraId="316EEF82" w14:textId="52E791AD"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Statistikat e </w:t>
            </w:r>
            <w:r w:rsidR="003D4004" w:rsidRPr="00B31292">
              <w:rPr>
                <w:rFonts w:ascii="Garamond" w:eastAsia="Times New Roman" w:hAnsi="Garamond" w:cs="Times New Roman"/>
                <w:color w:val="000000"/>
                <w:sz w:val="10"/>
                <w:szCs w:val="10"/>
              </w:rPr>
              <w:t>bilancit të pagesave</w:t>
            </w:r>
          </w:p>
        </w:tc>
      </w:tr>
      <w:tr w:rsidR="000A2254" w:rsidRPr="00B31292" w14:paraId="43C609A8" w14:textId="77777777" w:rsidTr="000A2254">
        <w:trPr>
          <w:trHeight w:val="20"/>
        </w:trPr>
        <w:tc>
          <w:tcPr>
            <w:tcW w:w="215" w:type="pct"/>
            <w:tcBorders>
              <w:top w:val="nil"/>
              <w:left w:val="nil"/>
              <w:bottom w:val="nil"/>
              <w:right w:val="nil"/>
            </w:tcBorders>
            <w:shd w:val="clear" w:color="000000" w:fill="FFFFFF"/>
            <w:vAlign w:val="bottom"/>
            <w:hideMark/>
          </w:tcPr>
          <w:p w14:paraId="4AC4FCA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lastRenderedPageBreak/>
              <w:t> </w:t>
            </w:r>
          </w:p>
        </w:tc>
        <w:tc>
          <w:tcPr>
            <w:tcW w:w="215" w:type="pct"/>
            <w:tcBorders>
              <w:top w:val="nil"/>
              <w:left w:val="nil"/>
              <w:bottom w:val="nil"/>
              <w:right w:val="nil"/>
            </w:tcBorders>
            <w:shd w:val="clear" w:color="000000" w:fill="FFFFFF"/>
            <w:vAlign w:val="bottom"/>
            <w:hideMark/>
          </w:tcPr>
          <w:p w14:paraId="021DED7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512B8A5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0E6696C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10B32E1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44FC852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auto"/>
              <w:bottom w:val="single" w:sz="4" w:space="0" w:color="auto"/>
              <w:right w:val="single" w:sz="4" w:space="0" w:color="auto"/>
            </w:tcBorders>
            <w:shd w:val="clear" w:color="auto" w:fill="auto"/>
            <w:vAlign w:val="center"/>
            <w:hideMark/>
          </w:tcPr>
          <w:p w14:paraId="268DA7C7"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3.6.1.1</w:t>
            </w:r>
          </w:p>
        </w:tc>
        <w:tc>
          <w:tcPr>
            <w:tcW w:w="281" w:type="pct"/>
            <w:tcBorders>
              <w:top w:val="nil"/>
              <w:left w:val="nil"/>
              <w:bottom w:val="single" w:sz="4" w:space="0" w:color="auto"/>
              <w:right w:val="single" w:sz="4" w:space="0" w:color="auto"/>
            </w:tcBorders>
            <w:shd w:val="clear" w:color="auto" w:fill="auto"/>
            <w:vAlign w:val="center"/>
            <w:hideMark/>
          </w:tcPr>
          <w:p w14:paraId="236A3903"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Statistikat tremujore të Bilancit të Pagesave</w:t>
            </w:r>
          </w:p>
        </w:tc>
        <w:tc>
          <w:tcPr>
            <w:tcW w:w="236" w:type="pct"/>
            <w:tcBorders>
              <w:top w:val="nil"/>
              <w:left w:val="nil"/>
              <w:bottom w:val="single" w:sz="4" w:space="0" w:color="auto"/>
              <w:right w:val="single" w:sz="4" w:space="0" w:color="auto"/>
            </w:tcBorders>
            <w:shd w:val="clear" w:color="auto" w:fill="auto"/>
            <w:vAlign w:val="center"/>
            <w:hideMark/>
          </w:tcPr>
          <w:p w14:paraId="3D19F903"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Kombinim i burimeve administrative dhe vrojtimeve</w:t>
            </w:r>
          </w:p>
        </w:tc>
        <w:tc>
          <w:tcPr>
            <w:tcW w:w="238" w:type="pct"/>
            <w:tcBorders>
              <w:top w:val="nil"/>
              <w:left w:val="nil"/>
              <w:bottom w:val="single" w:sz="4" w:space="0" w:color="auto"/>
              <w:right w:val="single" w:sz="4" w:space="0" w:color="auto"/>
            </w:tcBorders>
            <w:shd w:val="clear" w:color="auto" w:fill="auto"/>
            <w:noWrap/>
            <w:vAlign w:val="center"/>
            <w:hideMark/>
          </w:tcPr>
          <w:p w14:paraId="2872C886"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80%</w:t>
            </w:r>
          </w:p>
        </w:tc>
        <w:tc>
          <w:tcPr>
            <w:tcW w:w="180" w:type="pct"/>
            <w:tcBorders>
              <w:top w:val="nil"/>
              <w:left w:val="nil"/>
              <w:bottom w:val="single" w:sz="4" w:space="0" w:color="auto"/>
              <w:right w:val="single" w:sz="4" w:space="0" w:color="auto"/>
            </w:tcBorders>
            <w:shd w:val="clear" w:color="auto" w:fill="auto"/>
            <w:noWrap/>
            <w:vAlign w:val="center"/>
            <w:hideMark/>
          </w:tcPr>
          <w:p w14:paraId="56838DC0"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20%</w:t>
            </w:r>
          </w:p>
        </w:tc>
        <w:tc>
          <w:tcPr>
            <w:tcW w:w="228" w:type="pct"/>
            <w:tcBorders>
              <w:top w:val="nil"/>
              <w:left w:val="nil"/>
              <w:bottom w:val="single" w:sz="4" w:space="0" w:color="auto"/>
              <w:right w:val="single" w:sz="4" w:space="0" w:color="auto"/>
            </w:tcBorders>
            <w:shd w:val="clear" w:color="auto" w:fill="auto"/>
            <w:vAlign w:val="center"/>
            <w:hideMark/>
          </w:tcPr>
          <w:p w14:paraId="0FE1ED1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tcBorders>
              <w:top w:val="nil"/>
              <w:left w:val="nil"/>
              <w:bottom w:val="single" w:sz="4" w:space="0" w:color="auto"/>
              <w:right w:val="single" w:sz="4" w:space="0" w:color="auto"/>
            </w:tcBorders>
            <w:shd w:val="clear" w:color="auto" w:fill="auto"/>
            <w:vAlign w:val="center"/>
            <w:hideMark/>
          </w:tcPr>
          <w:p w14:paraId="69528717"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Tremujor</w:t>
            </w:r>
          </w:p>
        </w:tc>
        <w:tc>
          <w:tcPr>
            <w:tcW w:w="486" w:type="pct"/>
            <w:tcBorders>
              <w:top w:val="nil"/>
              <w:left w:val="nil"/>
              <w:bottom w:val="single" w:sz="4" w:space="0" w:color="auto"/>
              <w:right w:val="single" w:sz="4" w:space="0" w:color="auto"/>
            </w:tcBorders>
            <w:shd w:val="clear" w:color="000000" w:fill="FFFFFF"/>
            <w:vAlign w:val="center"/>
            <w:hideMark/>
          </w:tcPr>
          <w:p w14:paraId="1E156C7A" w14:textId="049219F1"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1. Bilanci i </w:t>
            </w:r>
            <w:r w:rsidR="003D4004" w:rsidRPr="00B31292">
              <w:rPr>
                <w:rFonts w:ascii="Garamond" w:eastAsia="Times New Roman" w:hAnsi="Garamond" w:cs="Times New Roman"/>
                <w:color w:val="000000"/>
                <w:sz w:val="10"/>
                <w:szCs w:val="10"/>
              </w:rPr>
              <w:t>p</w:t>
            </w:r>
            <w:r w:rsidRPr="00B31292">
              <w:rPr>
                <w:rFonts w:ascii="Garamond" w:eastAsia="Times New Roman" w:hAnsi="Garamond" w:cs="Times New Roman"/>
                <w:color w:val="000000"/>
                <w:sz w:val="10"/>
                <w:szCs w:val="10"/>
              </w:rPr>
              <w:t>agesave tremujor</w:t>
            </w:r>
            <w:r w:rsidR="003D4004" w:rsidRPr="00B31292">
              <w:rPr>
                <w:rFonts w:ascii="Garamond" w:eastAsia="Times New Roman" w:hAnsi="Garamond" w:cs="Times New Roman"/>
                <w:color w:val="000000"/>
                <w:sz w:val="10"/>
                <w:szCs w:val="10"/>
              </w:rPr>
              <w:t>.</w:t>
            </w:r>
          </w:p>
        </w:tc>
        <w:tc>
          <w:tcPr>
            <w:tcW w:w="299" w:type="pct"/>
            <w:tcBorders>
              <w:top w:val="nil"/>
              <w:left w:val="nil"/>
              <w:bottom w:val="single" w:sz="4" w:space="0" w:color="auto"/>
              <w:right w:val="single" w:sz="4" w:space="0" w:color="auto"/>
            </w:tcBorders>
            <w:shd w:val="clear" w:color="auto" w:fill="auto"/>
            <w:vAlign w:val="center"/>
            <w:hideMark/>
          </w:tcPr>
          <w:p w14:paraId="36EF461C" w14:textId="5FF51170"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Instituti i Statistikave</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Ministria e Financave dhe Ekonomisë</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Banka e Shqipërisë</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Drejtoria e Përgjithshme e Tatimeve</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Drejtoria e Përgjithshme e Doganave</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Autoriteti i Mbikëqyrjes Financiare</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Autoriteti i Kërkimit Shkencor dhe Inovacionit</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Agjencia Kombëtare e Burimeve Natyrore</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Qendra Kombëtare e</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Biznesit</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Drejtoria për Kufirin dhe Migracionin</w:t>
            </w:r>
          </w:p>
        </w:tc>
        <w:tc>
          <w:tcPr>
            <w:tcW w:w="224" w:type="pct"/>
            <w:tcBorders>
              <w:top w:val="nil"/>
              <w:left w:val="nil"/>
              <w:bottom w:val="single" w:sz="4" w:space="0" w:color="auto"/>
              <w:right w:val="single" w:sz="4" w:space="0" w:color="auto"/>
            </w:tcBorders>
            <w:shd w:val="clear" w:color="auto" w:fill="auto"/>
            <w:vAlign w:val="center"/>
            <w:hideMark/>
          </w:tcPr>
          <w:p w14:paraId="14616615" w14:textId="0DE9FB0B"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Banka e </w:t>
            </w:r>
            <w:r w:rsidR="00221A99" w:rsidRPr="00B31292">
              <w:rPr>
                <w:rFonts w:ascii="Garamond" w:eastAsia="Times New Roman" w:hAnsi="Garamond" w:cs="Times New Roman"/>
                <w:color w:val="000000"/>
                <w:sz w:val="10"/>
                <w:szCs w:val="10"/>
              </w:rPr>
              <w:t>Shqipërisë</w:t>
            </w:r>
          </w:p>
        </w:tc>
        <w:tc>
          <w:tcPr>
            <w:tcW w:w="244" w:type="pct"/>
            <w:tcBorders>
              <w:top w:val="nil"/>
              <w:left w:val="nil"/>
              <w:bottom w:val="single" w:sz="4" w:space="0" w:color="auto"/>
              <w:right w:val="single" w:sz="4" w:space="0" w:color="auto"/>
            </w:tcBorders>
            <w:shd w:val="clear" w:color="000000" w:fill="FFFFFF"/>
            <w:vAlign w:val="center"/>
            <w:hideMark/>
          </w:tcPr>
          <w:p w14:paraId="7795F929"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T + 60D</w:t>
            </w:r>
          </w:p>
        </w:tc>
        <w:tc>
          <w:tcPr>
            <w:tcW w:w="220" w:type="pct"/>
            <w:tcBorders>
              <w:top w:val="nil"/>
              <w:left w:val="nil"/>
              <w:bottom w:val="single" w:sz="4" w:space="0" w:color="auto"/>
              <w:right w:val="single" w:sz="4" w:space="0" w:color="auto"/>
            </w:tcBorders>
            <w:shd w:val="clear" w:color="000000" w:fill="FFFFFF"/>
            <w:vAlign w:val="center"/>
            <w:hideMark/>
          </w:tcPr>
          <w:p w14:paraId="4F848950"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T + 80D</w:t>
            </w:r>
          </w:p>
        </w:tc>
        <w:tc>
          <w:tcPr>
            <w:tcW w:w="220" w:type="pct"/>
            <w:tcBorders>
              <w:top w:val="nil"/>
              <w:left w:val="nil"/>
              <w:bottom w:val="single" w:sz="4" w:space="0" w:color="auto"/>
              <w:right w:val="single" w:sz="4" w:space="0" w:color="auto"/>
            </w:tcBorders>
            <w:shd w:val="clear" w:color="000000" w:fill="FFFFFF"/>
            <w:vAlign w:val="center"/>
            <w:hideMark/>
          </w:tcPr>
          <w:p w14:paraId="2A949FCD"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T + 85D</w:t>
            </w:r>
          </w:p>
        </w:tc>
        <w:tc>
          <w:tcPr>
            <w:tcW w:w="346" w:type="pct"/>
            <w:tcBorders>
              <w:top w:val="nil"/>
              <w:left w:val="nil"/>
              <w:bottom w:val="single" w:sz="4" w:space="0" w:color="auto"/>
              <w:right w:val="single" w:sz="4" w:space="0" w:color="auto"/>
            </w:tcBorders>
            <w:shd w:val="clear" w:color="auto" w:fill="auto"/>
            <w:vAlign w:val="center"/>
            <w:hideMark/>
          </w:tcPr>
          <w:p w14:paraId="22C337DE" w14:textId="44398A85"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Vonesa e marrjes së të dhënave nga burimet administrative. -|- 2</w:t>
            </w:r>
            <w:r w:rsidRPr="00B31292">
              <w:rPr>
                <w:rFonts w:ascii="Garamond" w:eastAsia="Times New Roman" w:hAnsi="Garamond" w:cs="Times New Roman"/>
                <w:color w:val="000000"/>
                <w:sz w:val="10"/>
                <w:szCs w:val="10"/>
              </w:rPr>
              <w:br/>
              <w:t>2. Mosrespektimi i afateve të vrojtimit në terren -|- 2</w:t>
            </w:r>
            <w:r w:rsidRPr="00B31292">
              <w:rPr>
                <w:rFonts w:ascii="Garamond" w:eastAsia="Times New Roman" w:hAnsi="Garamond" w:cs="Times New Roman"/>
                <w:color w:val="000000"/>
                <w:sz w:val="10"/>
                <w:szCs w:val="10"/>
              </w:rPr>
              <w:br/>
              <w:t>3. Informacion jo i plotë, i pa</w:t>
            </w:r>
            <w:r w:rsidR="00221A99" w:rsidRPr="00B31292">
              <w:rPr>
                <w:rFonts w:ascii="Garamond" w:eastAsia="Times New Roman" w:hAnsi="Garamond" w:cs="Times New Roman"/>
                <w:color w:val="000000"/>
                <w:sz w:val="10"/>
                <w:szCs w:val="10"/>
              </w:rPr>
              <w:t>standardizuar</w:t>
            </w:r>
            <w:r w:rsidRPr="00B31292">
              <w:rPr>
                <w:rFonts w:ascii="Garamond" w:eastAsia="Times New Roman" w:hAnsi="Garamond" w:cs="Times New Roman"/>
                <w:color w:val="000000"/>
                <w:sz w:val="10"/>
                <w:szCs w:val="10"/>
              </w:rPr>
              <w:t>, me gabime -|- 2</w:t>
            </w:r>
          </w:p>
        </w:tc>
        <w:tc>
          <w:tcPr>
            <w:tcW w:w="273" w:type="pct"/>
            <w:tcBorders>
              <w:top w:val="nil"/>
              <w:left w:val="nil"/>
              <w:bottom w:val="single" w:sz="4" w:space="0" w:color="auto"/>
              <w:right w:val="single" w:sz="4" w:space="0" w:color="auto"/>
            </w:tcBorders>
            <w:shd w:val="clear" w:color="auto" w:fill="auto"/>
            <w:vAlign w:val="center"/>
            <w:hideMark/>
          </w:tcPr>
          <w:p w14:paraId="3643028F" w14:textId="60E0C4C3"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Buxheti i </w:t>
            </w:r>
            <w:r w:rsidR="00221A99" w:rsidRPr="00B31292">
              <w:rPr>
                <w:rFonts w:ascii="Garamond" w:eastAsia="Times New Roman" w:hAnsi="Garamond" w:cs="Times New Roman"/>
                <w:color w:val="000000"/>
                <w:sz w:val="10"/>
                <w:szCs w:val="10"/>
              </w:rPr>
              <w:t>Bankës</w:t>
            </w:r>
          </w:p>
        </w:tc>
      </w:tr>
      <w:tr w:rsidR="000A2254" w:rsidRPr="00B31292" w14:paraId="1C218E47" w14:textId="77777777" w:rsidTr="000A2254">
        <w:trPr>
          <w:trHeight w:val="20"/>
        </w:trPr>
        <w:tc>
          <w:tcPr>
            <w:tcW w:w="215" w:type="pct"/>
            <w:tcBorders>
              <w:top w:val="nil"/>
              <w:left w:val="nil"/>
              <w:bottom w:val="nil"/>
              <w:right w:val="nil"/>
            </w:tcBorders>
            <w:shd w:val="clear" w:color="000000" w:fill="FFFFFF"/>
            <w:vAlign w:val="bottom"/>
            <w:hideMark/>
          </w:tcPr>
          <w:p w14:paraId="1F6D467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3E3584F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263BF9D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65EC605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3839663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0D12253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auto"/>
              <w:bottom w:val="nil"/>
              <w:right w:val="single" w:sz="4" w:space="0" w:color="auto"/>
            </w:tcBorders>
            <w:shd w:val="clear" w:color="auto" w:fill="auto"/>
            <w:vAlign w:val="center"/>
            <w:hideMark/>
          </w:tcPr>
          <w:p w14:paraId="0C2995E8"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3.6.1.2</w:t>
            </w:r>
          </w:p>
        </w:tc>
        <w:tc>
          <w:tcPr>
            <w:tcW w:w="281" w:type="pct"/>
            <w:tcBorders>
              <w:top w:val="nil"/>
              <w:left w:val="nil"/>
              <w:bottom w:val="nil"/>
              <w:right w:val="single" w:sz="4" w:space="0" w:color="auto"/>
            </w:tcBorders>
            <w:shd w:val="clear" w:color="auto" w:fill="auto"/>
            <w:vAlign w:val="center"/>
            <w:hideMark/>
          </w:tcPr>
          <w:p w14:paraId="3268953D" w14:textId="4C3E7220"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xml:space="preserve">Statistikat mujore të </w:t>
            </w:r>
            <w:r w:rsidR="003D4004" w:rsidRPr="00B31292">
              <w:rPr>
                <w:rFonts w:ascii="Garamond" w:eastAsia="Times New Roman" w:hAnsi="Garamond" w:cs="Times New Roman"/>
                <w:sz w:val="10"/>
                <w:szCs w:val="10"/>
              </w:rPr>
              <w:t>bilancit të page</w:t>
            </w:r>
            <w:r w:rsidRPr="00B31292">
              <w:rPr>
                <w:rFonts w:ascii="Garamond" w:eastAsia="Times New Roman" w:hAnsi="Garamond" w:cs="Times New Roman"/>
                <w:sz w:val="10"/>
                <w:szCs w:val="10"/>
              </w:rPr>
              <w:t>save</w:t>
            </w:r>
          </w:p>
        </w:tc>
        <w:tc>
          <w:tcPr>
            <w:tcW w:w="236" w:type="pct"/>
            <w:tcBorders>
              <w:top w:val="nil"/>
              <w:left w:val="nil"/>
              <w:bottom w:val="nil"/>
              <w:right w:val="single" w:sz="4" w:space="0" w:color="auto"/>
            </w:tcBorders>
            <w:shd w:val="clear" w:color="auto" w:fill="auto"/>
            <w:vAlign w:val="center"/>
            <w:hideMark/>
          </w:tcPr>
          <w:p w14:paraId="71320239"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Kombinim i burimeve administrative dhe vrojtimeve</w:t>
            </w:r>
          </w:p>
        </w:tc>
        <w:tc>
          <w:tcPr>
            <w:tcW w:w="238" w:type="pct"/>
            <w:tcBorders>
              <w:top w:val="nil"/>
              <w:left w:val="nil"/>
              <w:bottom w:val="nil"/>
              <w:right w:val="single" w:sz="4" w:space="0" w:color="auto"/>
            </w:tcBorders>
            <w:shd w:val="clear" w:color="auto" w:fill="auto"/>
            <w:noWrap/>
            <w:vAlign w:val="center"/>
            <w:hideMark/>
          </w:tcPr>
          <w:p w14:paraId="268C4656"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80%</w:t>
            </w:r>
          </w:p>
        </w:tc>
        <w:tc>
          <w:tcPr>
            <w:tcW w:w="180" w:type="pct"/>
            <w:tcBorders>
              <w:top w:val="nil"/>
              <w:left w:val="nil"/>
              <w:bottom w:val="nil"/>
              <w:right w:val="single" w:sz="4" w:space="0" w:color="auto"/>
            </w:tcBorders>
            <w:shd w:val="clear" w:color="auto" w:fill="auto"/>
            <w:noWrap/>
            <w:vAlign w:val="center"/>
            <w:hideMark/>
          </w:tcPr>
          <w:p w14:paraId="6E730E02"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20%</w:t>
            </w:r>
          </w:p>
        </w:tc>
        <w:tc>
          <w:tcPr>
            <w:tcW w:w="228" w:type="pct"/>
            <w:tcBorders>
              <w:top w:val="nil"/>
              <w:left w:val="nil"/>
              <w:bottom w:val="nil"/>
              <w:right w:val="single" w:sz="4" w:space="0" w:color="auto"/>
            </w:tcBorders>
            <w:shd w:val="clear" w:color="auto" w:fill="auto"/>
            <w:vAlign w:val="center"/>
            <w:hideMark/>
          </w:tcPr>
          <w:p w14:paraId="4EED487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tcBorders>
              <w:top w:val="nil"/>
              <w:left w:val="nil"/>
              <w:bottom w:val="nil"/>
              <w:right w:val="single" w:sz="4" w:space="0" w:color="auto"/>
            </w:tcBorders>
            <w:shd w:val="clear" w:color="auto" w:fill="auto"/>
            <w:vAlign w:val="center"/>
            <w:hideMark/>
          </w:tcPr>
          <w:p w14:paraId="000263F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Mujor</w:t>
            </w:r>
          </w:p>
        </w:tc>
        <w:tc>
          <w:tcPr>
            <w:tcW w:w="486" w:type="pct"/>
            <w:tcBorders>
              <w:top w:val="nil"/>
              <w:left w:val="nil"/>
              <w:bottom w:val="nil"/>
              <w:right w:val="single" w:sz="4" w:space="0" w:color="auto"/>
            </w:tcBorders>
            <w:shd w:val="clear" w:color="000000" w:fill="FFFFFF"/>
            <w:vAlign w:val="center"/>
            <w:hideMark/>
          </w:tcPr>
          <w:p w14:paraId="76C0AC13" w14:textId="15F004F2"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1. Bilanci i </w:t>
            </w:r>
            <w:r w:rsidR="003D4004" w:rsidRPr="00B31292">
              <w:rPr>
                <w:rFonts w:ascii="Garamond" w:eastAsia="Times New Roman" w:hAnsi="Garamond" w:cs="Times New Roman"/>
                <w:color w:val="000000"/>
                <w:sz w:val="10"/>
                <w:szCs w:val="10"/>
              </w:rPr>
              <w:t>p</w:t>
            </w:r>
            <w:r w:rsidRPr="00B31292">
              <w:rPr>
                <w:rFonts w:ascii="Garamond" w:eastAsia="Times New Roman" w:hAnsi="Garamond" w:cs="Times New Roman"/>
                <w:color w:val="000000"/>
                <w:sz w:val="10"/>
                <w:szCs w:val="10"/>
              </w:rPr>
              <w:t>agesave mujor</w:t>
            </w:r>
            <w:r w:rsidR="003D4004" w:rsidRPr="00B31292">
              <w:rPr>
                <w:rFonts w:ascii="Garamond" w:eastAsia="Times New Roman" w:hAnsi="Garamond" w:cs="Times New Roman"/>
                <w:color w:val="000000"/>
                <w:sz w:val="10"/>
                <w:szCs w:val="10"/>
              </w:rPr>
              <w:t>.</w:t>
            </w:r>
          </w:p>
        </w:tc>
        <w:tc>
          <w:tcPr>
            <w:tcW w:w="299" w:type="pct"/>
            <w:tcBorders>
              <w:top w:val="nil"/>
              <w:left w:val="nil"/>
              <w:bottom w:val="nil"/>
              <w:right w:val="single" w:sz="4" w:space="0" w:color="auto"/>
            </w:tcBorders>
            <w:shd w:val="clear" w:color="auto" w:fill="auto"/>
            <w:vAlign w:val="center"/>
            <w:hideMark/>
          </w:tcPr>
          <w:p w14:paraId="58965674" w14:textId="14FA911C"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Instituti i Statistikave</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Ministria e Financave dhe Ekonomisë</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Banka e Shqipërisë</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Drejtoria e Përgjithshme e Tatimeve</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Drejtoria e Përgjithshme e Doganave</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Autoriteti i Mbikëqyrjes Financiare</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Autoriteti i Kërkimit Shkencor dhe Inovacionit</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Agjencia Kombëtare e Burimeve Natyrore</w:t>
            </w:r>
            <w:r w:rsidR="003D400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Qendra Kombëtare e</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 xml:space="preserve">Biznesit </w:t>
            </w:r>
          </w:p>
        </w:tc>
        <w:tc>
          <w:tcPr>
            <w:tcW w:w="224" w:type="pct"/>
            <w:tcBorders>
              <w:top w:val="nil"/>
              <w:left w:val="nil"/>
              <w:bottom w:val="nil"/>
              <w:right w:val="single" w:sz="4" w:space="0" w:color="auto"/>
            </w:tcBorders>
            <w:shd w:val="clear" w:color="auto" w:fill="auto"/>
            <w:vAlign w:val="center"/>
            <w:hideMark/>
          </w:tcPr>
          <w:p w14:paraId="1A7F8A04" w14:textId="68CD4D3C"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Banka e </w:t>
            </w:r>
            <w:r w:rsidR="00221A99" w:rsidRPr="00B31292">
              <w:rPr>
                <w:rFonts w:ascii="Garamond" w:eastAsia="Times New Roman" w:hAnsi="Garamond" w:cs="Times New Roman"/>
                <w:color w:val="000000"/>
                <w:sz w:val="10"/>
                <w:szCs w:val="10"/>
              </w:rPr>
              <w:t>Shqipërisë</w:t>
            </w:r>
          </w:p>
        </w:tc>
        <w:tc>
          <w:tcPr>
            <w:tcW w:w="244" w:type="pct"/>
            <w:tcBorders>
              <w:top w:val="nil"/>
              <w:left w:val="nil"/>
              <w:bottom w:val="nil"/>
              <w:right w:val="single" w:sz="4" w:space="0" w:color="auto"/>
            </w:tcBorders>
            <w:shd w:val="clear" w:color="000000" w:fill="FFFFFF"/>
            <w:vAlign w:val="center"/>
            <w:hideMark/>
          </w:tcPr>
          <w:p w14:paraId="29DE882E"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M + 46D</w:t>
            </w:r>
          </w:p>
        </w:tc>
        <w:tc>
          <w:tcPr>
            <w:tcW w:w="220" w:type="pct"/>
            <w:tcBorders>
              <w:top w:val="nil"/>
              <w:left w:val="nil"/>
              <w:bottom w:val="nil"/>
              <w:right w:val="single" w:sz="4" w:space="0" w:color="auto"/>
            </w:tcBorders>
            <w:shd w:val="clear" w:color="000000" w:fill="FFFFFF"/>
            <w:vAlign w:val="center"/>
            <w:hideMark/>
          </w:tcPr>
          <w:p w14:paraId="591B268C"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M + 51D</w:t>
            </w:r>
          </w:p>
        </w:tc>
        <w:tc>
          <w:tcPr>
            <w:tcW w:w="220" w:type="pct"/>
            <w:tcBorders>
              <w:top w:val="nil"/>
              <w:left w:val="nil"/>
              <w:bottom w:val="nil"/>
              <w:right w:val="single" w:sz="4" w:space="0" w:color="auto"/>
            </w:tcBorders>
            <w:shd w:val="clear" w:color="000000" w:fill="FFFFFF"/>
            <w:vAlign w:val="center"/>
            <w:hideMark/>
          </w:tcPr>
          <w:p w14:paraId="01A2C0E6"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M + 60D</w:t>
            </w:r>
          </w:p>
        </w:tc>
        <w:tc>
          <w:tcPr>
            <w:tcW w:w="346" w:type="pct"/>
            <w:tcBorders>
              <w:top w:val="nil"/>
              <w:left w:val="nil"/>
              <w:bottom w:val="nil"/>
              <w:right w:val="single" w:sz="4" w:space="0" w:color="auto"/>
            </w:tcBorders>
            <w:shd w:val="clear" w:color="auto" w:fill="auto"/>
            <w:vAlign w:val="center"/>
            <w:hideMark/>
          </w:tcPr>
          <w:p w14:paraId="5BCEEA94" w14:textId="6E83F5B1"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Vonesa e marrjes së të dhënave nga burimet administrative. -|- 2</w:t>
            </w:r>
            <w:r w:rsidRPr="00B31292">
              <w:rPr>
                <w:rFonts w:ascii="Garamond" w:eastAsia="Times New Roman" w:hAnsi="Garamond" w:cs="Times New Roman"/>
                <w:color w:val="000000"/>
                <w:sz w:val="10"/>
                <w:szCs w:val="10"/>
              </w:rPr>
              <w:br/>
              <w:t>2. Mosrespektimi i afateve të vrojtimit në terren -|- 2</w:t>
            </w:r>
            <w:r w:rsidRPr="00B31292">
              <w:rPr>
                <w:rFonts w:ascii="Garamond" w:eastAsia="Times New Roman" w:hAnsi="Garamond" w:cs="Times New Roman"/>
                <w:color w:val="000000"/>
                <w:sz w:val="10"/>
                <w:szCs w:val="10"/>
              </w:rPr>
              <w:br/>
              <w:t>3. Informacion jo i plotë, i pa</w:t>
            </w:r>
            <w:r w:rsidR="00221A99" w:rsidRPr="00B31292">
              <w:rPr>
                <w:rFonts w:ascii="Garamond" w:eastAsia="Times New Roman" w:hAnsi="Garamond" w:cs="Times New Roman"/>
                <w:color w:val="000000"/>
                <w:sz w:val="10"/>
                <w:szCs w:val="10"/>
              </w:rPr>
              <w:t>standardizuar</w:t>
            </w:r>
            <w:r w:rsidRPr="00B31292">
              <w:rPr>
                <w:rFonts w:ascii="Garamond" w:eastAsia="Times New Roman" w:hAnsi="Garamond" w:cs="Times New Roman"/>
                <w:color w:val="000000"/>
                <w:sz w:val="10"/>
                <w:szCs w:val="10"/>
              </w:rPr>
              <w:t>, me gabime -|- 2</w:t>
            </w:r>
          </w:p>
        </w:tc>
        <w:tc>
          <w:tcPr>
            <w:tcW w:w="273" w:type="pct"/>
            <w:tcBorders>
              <w:top w:val="nil"/>
              <w:left w:val="nil"/>
              <w:bottom w:val="nil"/>
              <w:right w:val="single" w:sz="4" w:space="0" w:color="auto"/>
            </w:tcBorders>
            <w:shd w:val="clear" w:color="auto" w:fill="auto"/>
            <w:vAlign w:val="center"/>
            <w:hideMark/>
          </w:tcPr>
          <w:p w14:paraId="2C0A245B" w14:textId="7A487954"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Buxheti i </w:t>
            </w:r>
            <w:r w:rsidR="00221A99" w:rsidRPr="00B31292">
              <w:rPr>
                <w:rFonts w:ascii="Garamond" w:eastAsia="Times New Roman" w:hAnsi="Garamond" w:cs="Times New Roman"/>
                <w:color w:val="000000"/>
                <w:sz w:val="10"/>
                <w:szCs w:val="10"/>
              </w:rPr>
              <w:t>Bankës</w:t>
            </w:r>
          </w:p>
        </w:tc>
      </w:tr>
      <w:tr w:rsidR="000A2254" w:rsidRPr="00B31292" w14:paraId="0A4365F8" w14:textId="77777777" w:rsidTr="000A2254">
        <w:trPr>
          <w:trHeight w:val="20"/>
        </w:trPr>
        <w:tc>
          <w:tcPr>
            <w:tcW w:w="215" w:type="pct"/>
            <w:tcBorders>
              <w:top w:val="nil"/>
              <w:left w:val="nil"/>
              <w:bottom w:val="nil"/>
              <w:right w:val="nil"/>
            </w:tcBorders>
            <w:shd w:val="clear" w:color="000000" w:fill="FFFFFF"/>
            <w:vAlign w:val="bottom"/>
            <w:hideMark/>
          </w:tcPr>
          <w:p w14:paraId="4E5BFDC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3A22A54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5E2BC8F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50CAB28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single" w:sz="4" w:space="0" w:color="000000"/>
              <w:left w:val="single" w:sz="4" w:space="0" w:color="000000"/>
              <w:bottom w:val="single" w:sz="4" w:space="0" w:color="000000"/>
              <w:right w:val="nil"/>
            </w:tcBorders>
            <w:shd w:val="clear" w:color="000000" w:fill="F0F0F0"/>
            <w:vAlign w:val="center"/>
            <w:hideMark/>
          </w:tcPr>
          <w:p w14:paraId="0B30DC36"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362</w:t>
            </w:r>
          </w:p>
        </w:tc>
        <w:tc>
          <w:tcPr>
            <w:tcW w:w="4082" w:type="pct"/>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6C7CC94C" w14:textId="1FD6F121"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Statistikat tremujore të </w:t>
            </w:r>
            <w:r w:rsidR="003D4004" w:rsidRPr="00B31292">
              <w:rPr>
                <w:rFonts w:ascii="Garamond" w:eastAsia="Times New Roman" w:hAnsi="Garamond" w:cs="Times New Roman"/>
                <w:color w:val="000000"/>
                <w:sz w:val="10"/>
                <w:szCs w:val="10"/>
              </w:rPr>
              <w:t>pozicionit të investimeve ndërkombëtare</w:t>
            </w:r>
          </w:p>
        </w:tc>
      </w:tr>
      <w:tr w:rsidR="000A2254" w:rsidRPr="00B31292" w14:paraId="53B28055" w14:textId="77777777" w:rsidTr="000A2254">
        <w:trPr>
          <w:trHeight w:val="20"/>
        </w:trPr>
        <w:tc>
          <w:tcPr>
            <w:tcW w:w="215" w:type="pct"/>
            <w:tcBorders>
              <w:top w:val="nil"/>
              <w:left w:val="nil"/>
              <w:bottom w:val="nil"/>
              <w:right w:val="nil"/>
            </w:tcBorders>
            <w:shd w:val="clear" w:color="000000" w:fill="FFFFFF"/>
            <w:vAlign w:val="bottom"/>
            <w:hideMark/>
          </w:tcPr>
          <w:p w14:paraId="56AB8A3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0DE29037"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47C349D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29F4E8B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338FA67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28F3019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auto"/>
              <w:bottom w:val="nil"/>
              <w:right w:val="single" w:sz="4" w:space="0" w:color="auto"/>
            </w:tcBorders>
            <w:shd w:val="clear" w:color="auto" w:fill="auto"/>
            <w:vAlign w:val="center"/>
            <w:hideMark/>
          </w:tcPr>
          <w:p w14:paraId="0D910B8C"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3.6.2.1</w:t>
            </w:r>
          </w:p>
        </w:tc>
        <w:tc>
          <w:tcPr>
            <w:tcW w:w="281" w:type="pct"/>
            <w:tcBorders>
              <w:top w:val="nil"/>
              <w:left w:val="nil"/>
              <w:bottom w:val="nil"/>
              <w:right w:val="single" w:sz="4" w:space="0" w:color="auto"/>
            </w:tcBorders>
            <w:shd w:val="clear" w:color="auto" w:fill="auto"/>
            <w:vAlign w:val="center"/>
            <w:hideMark/>
          </w:tcPr>
          <w:p w14:paraId="1074BFD8" w14:textId="0D8D92B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xml:space="preserve">Statistikat tremujore të </w:t>
            </w:r>
            <w:r w:rsidR="003D4004" w:rsidRPr="00B31292">
              <w:rPr>
                <w:rFonts w:ascii="Garamond" w:eastAsia="Times New Roman" w:hAnsi="Garamond" w:cs="Times New Roman"/>
                <w:sz w:val="10"/>
                <w:szCs w:val="10"/>
              </w:rPr>
              <w:t>pozicionit të investimeve ndërkombëtare</w:t>
            </w:r>
          </w:p>
        </w:tc>
        <w:tc>
          <w:tcPr>
            <w:tcW w:w="236" w:type="pct"/>
            <w:tcBorders>
              <w:top w:val="nil"/>
              <w:left w:val="nil"/>
              <w:bottom w:val="nil"/>
              <w:right w:val="single" w:sz="4" w:space="0" w:color="auto"/>
            </w:tcBorders>
            <w:shd w:val="clear" w:color="auto" w:fill="auto"/>
            <w:vAlign w:val="center"/>
            <w:hideMark/>
          </w:tcPr>
          <w:p w14:paraId="69F08DF8"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Kombinim i burimeve administrative dhe vrojtimeve</w:t>
            </w:r>
          </w:p>
        </w:tc>
        <w:tc>
          <w:tcPr>
            <w:tcW w:w="238" w:type="pct"/>
            <w:tcBorders>
              <w:top w:val="nil"/>
              <w:left w:val="nil"/>
              <w:bottom w:val="single" w:sz="4" w:space="0" w:color="auto"/>
              <w:right w:val="single" w:sz="4" w:space="0" w:color="auto"/>
            </w:tcBorders>
            <w:shd w:val="clear" w:color="auto" w:fill="auto"/>
            <w:noWrap/>
            <w:vAlign w:val="center"/>
            <w:hideMark/>
          </w:tcPr>
          <w:p w14:paraId="4C834E64"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80%</w:t>
            </w:r>
          </w:p>
        </w:tc>
        <w:tc>
          <w:tcPr>
            <w:tcW w:w="180" w:type="pct"/>
            <w:tcBorders>
              <w:top w:val="nil"/>
              <w:left w:val="nil"/>
              <w:bottom w:val="single" w:sz="4" w:space="0" w:color="auto"/>
              <w:right w:val="single" w:sz="4" w:space="0" w:color="auto"/>
            </w:tcBorders>
            <w:shd w:val="clear" w:color="auto" w:fill="auto"/>
            <w:noWrap/>
            <w:vAlign w:val="center"/>
            <w:hideMark/>
          </w:tcPr>
          <w:p w14:paraId="6463305C"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20%</w:t>
            </w:r>
          </w:p>
        </w:tc>
        <w:tc>
          <w:tcPr>
            <w:tcW w:w="228" w:type="pct"/>
            <w:tcBorders>
              <w:top w:val="nil"/>
              <w:left w:val="nil"/>
              <w:bottom w:val="single" w:sz="4" w:space="0" w:color="auto"/>
              <w:right w:val="single" w:sz="4" w:space="0" w:color="auto"/>
            </w:tcBorders>
            <w:shd w:val="clear" w:color="auto" w:fill="auto"/>
            <w:vAlign w:val="center"/>
            <w:hideMark/>
          </w:tcPr>
          <w:p w14:paraId="4C43380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tcBorders>
              <w:top w:val="nil"/>
              <w:left w:val="nil"/>
              <w:bottom w:val="single" w:sz="4" w:space="0" w:color="auto"/>
              <w:right w:val="single" w:sz="4" w:space="0" w:color="auto"/>
            </w:tcBorders>
            <w:shd w:val="clear" w:color="auto" w:fill="auto"/>
            <w:vAlign w:val="center"/>
            <w:hideMark/>
          </w:tcPr>
          <w:p w14:paraId="49CA238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Tremujor</w:t>
            </w:r>
          </w:p>
        </w:tc>
        <w:tc>
          <w:tcPr>
            <w:tcW w:w="486" w:type="pct"/>
            <w:tcBorders>
              <w:top w:val="nil"/>
              <w:left w:val="nil"/>
              <w:bottom w:val="single" w:sz="4" w:space="0" w:color="auto"/>
              <w:right w:val="single" w:sz="4" w:space="0" w:color="auto"/>
            </w:tcBorders>
            <w:shd w:val="clear" w:color="000000" w:fill="FFFFFF"/>
            <w:vAlign w:val="center"/>
            <w:hideMark/>
          </w:tcPr>
          <w:p w14:paraId="6AC13BC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Pozicioni i investimeve ndërkombëtare sipas kategorive funksionale/instrumenteve/sektorëve institucionalë dhe sipas maturitetit</w:t>
            </w:r>
          </w:p>
        </w:tc>
        <w:tc>
          <w:tcPr>
            <w:tcW w:w="299" w:type="pct"/>
            <w:tcBorders>
              <w:top w:val="nil"/>
              <w:left w:val="nil"/>
              <w:bottom w:val="single" w:sz="4" w:space="0" w:color="auto"/>
              <w:right w:val="single" w:sz="4" w:space="0" w:color="auto"/>
            </w:tcBorders>
            <w:shd w:val="clear" w:color="auto" w:fill="auto"/>
            <w:vAlign w:val="center"/>
            <w:hideMark/>
          </w:tcPr>
          <w:p w14:paraId="121FC77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Banka e Shqipërisë</w:t>
            </w:r>
          </w:p>
        </w:tc>
        <w:tc>
          <w:tcPr>
            <w:tcW w:w="224" w:type="pct"/>
            <w:tcBorders>
              <w:top w:val="nil"/>
              <w:left w:val="nil"/>
              <w:bottom w:val="single" w:sz="4" w:space="0" w:color="auto"/>
              <w:right w:val="single" w:sz="4" w:space="0" w:color="auto"/>
            </w:tcBorders>
            <w:shd w:val="clear" w:color="000000" w:fill="FFFFFF"/>
            <w:vAlign w:val="bottom"/>
            <w:hideMark/>
          </w:tcPr>
          <w:p w14:paraId="68340F92" w14:textId="22F66800"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 Instituti i Statistikave</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Ministria e Financave dhe Ekonomisë</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 xml:space="preserve"> Banka e Shqipërisë</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 Drejtoria e Përgjithshme e Tatimeve</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 xml:space="preserve">Autoriteti i Mbikëqyrjes </w:t>
            </w:r>
            <w:r w:rsidRPr="00B31292">
              <w:rPr>
                <w:rFonts w:ascii="Garamond" w:eastAsia="Times New Roman" w:hAnsi="Garamond" w:cs="Times New Roman"/>
                <w:color w:val="000000"/>
                <w:sz w:val="10"/>
                <w:szCs w:val="10"/>
              </w:rPr>
              <w:lastRenderedPageBreak/>
              <w:t>Financiare</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Agjencia Kombëtare e Burimeve Natyrore (AKBN)</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Qendra Kombëtare e</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Biznesit (QKB)</w:t>
            </w:r>
          </w:p>
        </w:tc>
        <w:tc>
          <w:tcPr>
            <w:tcW w:w="244" w:type="pct"/>
            <w:tcBorders>
              <w:top w:val="nil"/>
              <w:left w:val="nil"/>
              <w:bottom w:val="single" w:sz="4" w:space="0" w:color="auto"/>
              <w:right w:val="single" w:sz="4" w:space="0" w:color="auto"/>
            </w:tcBorders>
            <w:shd w:val="clear" w:color="000000" w:fill="FFFFFF"/>
            <w:vAlign w:val="center"/>
            <w:hideMark/>
          </w:tcPr>
          <w:p w14:paraId="30465118"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lastRenderedPageBreak/>
              <w:t>T + 60 D</w:t>
            </w:r>
          </w:p>
        </w:tc>
        <w:tc>
          <w:tcPr>
            <w:tcW w:w="220" w:type="pct"/>
            <w:tcBorders>
              <w:top w:val="nil"/>
              <w:left w:val="nil"/>
              <w:bottom w:val="single" w:sz="4" w:space="0" w:color="auto"/>
              <w:right w:val="single" w:sz="4" w:space="0" w:color="auto"/>
            </w:tcBorders>
            <w:shd w:val="clear" w:color="000000" w:fill="FFFFFF"/>
            <w:vAlign w:val="center"/>
            <w:hideMark/>
          </w:tcPr>
          <w:p w14:paraId="14A1E5A1"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T + 80 D</w:t>
            </w:r>
          </w:p>
        </w:tc>
        <w:tc>
          <w:tcPr>
            <w:tcW w:w="220" w:type="pct"/>
            <w:tcBorders>
              <w:top w:val="nil"/>
              <w:left w:val="nil"/>
              <w:bottom w:val="nil"/>
              <w:right w:val="single" w:sz="4" w:space="0" w:color="auto"/>
            </w:tcBorders>
            <w:shd w:val="clear" w:color="000000" w:fill="FFFFFF"/>
            <w:vAlign w:val="center"/>
            <w:hideMark/>
          </w:tcPr>
          <w:p w14:paraId="21F31826"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T+85 D</w:t>
            </w:r>
          </w:p>
        </w:tc>
        <w:tc>
          <w:tcPr>
            <w:tcW w:w="346" w:type="pct"/>
            <w:tcBorders>
              <w:top w:val="nil"/>
              <w:left w:val="nil"/>
              <w:bottom w:val="single" w:sz="4" w:space="0" w:color="auto"/>
              <w:right w:val="single" w:sz="4" w:space="0" w:color="auto"/>
            </w:tcBorders>
            <w:shd w:val="clear" w:color="auto" w:fill="auto"/>
            <w:vAlign w:val="center"/>
            <w:hideMark/>
          </w:tcPr>
          <w:p w14:paraId="05F2284C" w14:textId="6D4A96FC"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Vonesat e marrjes së të dhënave nga burimet administrative -|- 2</w:t>
            </w:r>
            <w:r w:rsidRPr="00B31292">
              <w:rPr>
                <w:rFonts w:ascii="Garamond" w:eastAsia="Times New Roman" w:hAnsi="Garamond" w:cs="Times New Roman"/>
                <w:color w:val="000000"/>
                <w:sz w:val="10"/>
                <w:szCs w:val="10"/>
              </w:rPr>
              <w:br/>
              <w:t>2. Mosrespektimi i afateve të raportimit direkt -|- 2</w:t>
            </w:r>
            <w:r w:rsidRPr="00B31292">
              <w:rPr>
                <w:rFonts w:ascii="Garamond" w:eastAsia="Times New Roman" w:hAnsi="Garamond" w:cs="Times New Roman"/>
                <w:color w:val="000000"/>
                <w:sz w:val="10"/>
                <w:szCs w:val="10"/>
              </w:rPr>
              <w:br/>
              <w:t xml:space="preserve">3. Informacion jo i plotë, i </w:t>
            </w:r>
            <w:r w:rsidR="008340E6" w:rsidRPr="00B31292">
              <w:rPr>
                <w:rFonts w:ascii="Garamond" w:eastAsia="Times New Roman" w:hAnsi="Garamond" w:cs="Times New Roman"/>
                <w:color w:val="000000"/>
                <w:sz w:val="10"/>
                <w:szCs w:val="10"/>
              </w:rPr>
              <w:t>pastandardizuar</w:t>
            </w:r>
            <w:r w:rsidRPr="00B31292">
              <w:rPr>
                <w:rFonts w:ascii="Garamond" w:eastAsia="Times New Roman" w:hAnsi="Garamond" w:cs="Times New Roman"/>
                <w:color w:val="000000"/>
                <w:sz w:val="10"/>
                <w:szCs w:val="10"/>
              </w:rPr>
              <w:t xml:space="preserve"> -|- 2</w:t>
            </w:r>
            <w:r w:rsidRPr="00B31292">
              <w:rPr>
                <w:rFonts w:ascii="Garamond" w:eastAsia="Times New Roman" w:hAnsi="Garamond" w:cs="Times New Roman"/>
                <w:color w:val="000000"/>
                <w:sz w:val="10"/>
                <w:szCs w:val="10"/>
              </w:rPr>
              <w:br/>
              <w:t>4. Gabime të bëra nga stafi ekspert gjatë përpunimit dhe nxjerrjes së rezultateve -|- 2</w:t>
            </w:r>
          </w:p>
        </w:tc>
        <w:tc>
          <w:tcPr>
            <w:tcW w:w="273" w:type="pct"/>
            <w:tcBorders>
              <w:top w:val="nil"/>
              <w:left w:val="nil"/>
              <w:bottom w:val="single" w:sz="4" w:space="0" w:color="auto"/>
              <w:right w:val="single" w:sz="4" w:space="0" w:color="auto"/>
            </w:tcBorders>
            <w:shd w:val="clear" w:color="auto" w:fill="auto"/>
            <w:vAlign w:val="center"/>
            <w:hideMark/>
          </w:tcPr>
          <w:p w14:paraId="3600B1D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Buxheti i Bankës</w:t>
            </w:r>
          </w:p>
        </w:tc>
      </w:tr>
      <w:tr w:rsidR="000A2254" w:rsidRPr="00B31292" w14:paraId="10D262DC" w14:textId="77777777" w:rsidTr="000A2254">
        <w:trPr>
          <w:trHeight w:val="20"/>
        </w:trPr>
        <w:tc>
          <w:tcPr>
            <w:tcW w:w="215" w:type="pct"/>
            <w:tcBorders>
              <w:top w:val="nil"/>
              <w:left w:val="nil"/>
              <w:bottom w:val="nil"/>
              <w:right w:val="nil"/>
            </w:tcBorders>
            <w:shd w:val="clear" w:color="000000" w:fill="FFFFFF"/>
            <w:vAlign w:val="bottom"/>
            <w:hideMark/>
          </w:tcPr>
          <w:p w14:paraId="01F21BD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4021D9B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6DAA5BE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3B94D1F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single" w:sz="4" w:space="0" w:color="000000"/>
              <w:left w:val="single" w:sz="4" w:space="0" w:color="000000"/>
              <w:bottom w:val="single" w:sz="4" w:space="0" w:color="000000"/>
              <w:right w:val="nil"/>
            </w:tcBorders>
            <w:shd w:val="clear" w:color="000000" w:fill="F0F0F0"/>
            <w:vAlign w:val="center"/>
            <w:hideMark/>
          </w:tcPr>
          <w:p w14:paraId="57489061"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3.6.3</w:t>
            </w:r>
          </w:p>
        </w:tc>
        <w:tc>
          <w:tcPr>
            <w:tcW w:w="4082" w:type="pct"/>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15D7BF4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Statistikat mujore të Rezervës Ndërkombëtare</w:t>
            </w:r>
          </w:p>
        </w:tc>
      </w:tr>
      <w:tr w:rsidR="000A2254" w:rsidRPr="00B31292" w14:paraId="37882DB6" w14:textId="77777777" w:rsidTr="000A2254">
        <w:trPr>
          <w:trHeight w:val="20"/>
        </w:trPr>
        <w:tc>
          <w:tcPr>
            <w:tcW w:w="215" w:type="pct"/>
            <w:tcBorders>
              <w:top w:val="nil"/>
              <w:left w:val="nil"/>
              <w:bottom w:val="nil"/>
              <w:right w:val="nil"/>
            </w:tcBorders>
            <w:shd w:val="clear" w:color="000000" w:fill="FFFFFF"/>
            <w:vAlign w:val="bottom"/>
            <w:hideMark/>
          </w:tcPr>
          <w:p w14:paraId="722757C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6A5E6C0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4363AF3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6246E82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5544884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412C74B7"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auto"/>
              <w:bottom w:val="single" w:sz="4" w:space="0" w:color="auto"/>
              <w:right w:val="single" w:sz="4" w:space="0" w:color="auto"/>
            </w:tcBorders>
            <w:shd w:val="clear" w:color="auto" w:fill="auto"/>
            <w:vAlign w:val="center"/>
            <w:hideMark/>
          </w:tcPr>
          <w:p w14:paraId="61866C6A"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3.6.3.1</w:t>
            </w:r>
          </w:p>
        </w:tc>
        <w:tc>
          <w:tcPr>
            <w:tcW w:w="281" w:type="pct"/>
            <w:tcBorders>
              <w:top w:val="nil"/>
              <w:left w:val="nil"/>
              <w:bottom w:val="single" w:sz="4" w:space="0" w:color="auto"/>
              <w:right w:val="single" w:sz="4" w:space="0" w:color="auto"/>
            </w:tcBorders>
            <w:shd w:val="clear" w:color="auto" w:fill="auto"/>
            <w:vAlign w:val="center"/>
            <w:hideMark/>
          </w:tcPr>
          <w:p w14:paraId="7CFA19D6"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Statistikat mujore të Rezervës Ndërkombëtare</w:t>
            </w:r>
          </w:p>
        </w:tc>
        <w:tc>
          <w:tcPr>
            <w:tcW w:w="236" w:type="pct"/>
            <w:tcBorders>
              <w:top w:val="nil"/>
              <w:left w:val="nil"/>
              <w:bottom w:val="single" w:sz="4" w:space="0" w:color="auto"/>
              <w:right w:val="single" w:sz="4" w:space="0" w:color="auto"/>
            </w:tcBorders>
            <w:shd w:val="clear" w:color="auto" w:fill="auto"/>
            <w:vAlign w:val="center"/>
            <w:hideMark/>
          </w:tcPr>
          <w:p w14:paraId="21BE2633"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Burim administrativ</w:t>
            </w:r>
          </w:p>
        </w:tc>
        <w:tc>
          <w:tcPr>
            <w:tcW w:w="238" w:type="pct"/>
            <w:tcBorders>
              <w:top w:val="nil"/>
              <w:left w:val="nil"/>
              <w:bottom w:val="single" w:sz="4" w:space="0" w:color="auto"/>
              <w:right w:val="single" w:sz="4" w:space="0" w:color="auto"/>
            </w:tcBorders>
            <w:shd w:val="clear" w:color="auto" w:fill="auto"/>
            <w:noWrap/>
            <w:vAlign w:val="center"/>
            <w:hideMark/>
          </w:tcPr>
          <w:p w14:paraId="16CC24F5"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180" w:type="pct"/>
            <w:tcBorders>
              <w:top w:val="nil"/>
              <w:left w:val="nil"/>
              <w:bottom w:val="single" w:sz="4" w:space="0" w:color="auto"/>
              <w:right w:val="single" w:sz="4" w:space="0" w:color="auto"/>
            </w:tcBorders>
            <w:shd w:val="clear" w:color="auto" w:fill="auto"/>
            <w:vAlign w:val="center"/>
            <w:hideMark/>
          </w:tcPr>
          <w:p w14:paraId="30B287D9"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28" w:type="pct"/>
            <w:tcBorders>
              <w:top w:val="nil"/>
              <w:left w:val="nil"/>
              <w:bottom w:val="single" w:sz="4" w:space="0" w:color="auto"/>
              <w:right w:val="single" w:sz="4" w:space="0" w:color="auto"/>
            </w:tcBorders>
            <w:shd w:val="clear" w:color="auto" w:fill="auto"/>
            <w:vAlign w:val="center"/>
            <w:hideMark/>
          </w:tcPr>
          <w:p w14:paraId="4C12563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tcBorders>
              <w:top w:val="nil"/>
              <w:left w:val="nil"/>
              <w:bottom w:val="single" w:sz="4" w:space="0" w:color="auto"/>
              <w:right w:val="single" w:sz="4" w:space="0" w:color="auto"/>
            </w:tcBorders>
            <w:shd w:val="clear" w:color="auto" w:fill="auto"/>
            <w:vAlign w:val="center"/>
            <w:hideMark/>
          </w:tcPr>
          <w:p w14:paraId="76815EC7"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Mujor</w:t>
            </w:r>
          </w:p>
        </w:tc>
        <w:tc>
          <w:tcPr>
            <w:tcW w:w="486" w:type="pct"/>
            <w:tcBorders>
              <w:top w:val="nil"/>
              <w:left w:val="nil"/>
              <w:bottom w:val="single" w:sz="4" w:space="0" w:color="auto"/>
              <w:right w:val="single" w:sz="4" w:space="0" w:color="auto"/>
            </w:tcBorders>
            <w:shd w:val="clear" w:color="000000" w:fill="FFFFFF"/>
            <w:vAlign w:val="center"/>
            <w:hideMark/>
          </w:tcPr>
          <w:p w14:paraId="5C1DF55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Rezerva ndërkombëtare</w:t>
            </w:r>
          </w:p>
        </w:tc>
        <w:tc>
          <w:tcPr>
            <w:tcW w:w="299" w:type="pct"/>
            <w:tcBorders>
              <w:top w:val="nil"/>
              <w:left w:val="nil"/>
              <w:bottom w:val="single" w:sz="4" w:space="0" w:color="auto"/>
              <w:right w:val="single" w:sz="4" w:space="0" w:color="auto"/>
            </w:tcBorders>
            <w:shd w:val="clear" w:color="auto" w:fill="auto"/>
            <w:vAlign w:val="center"/>
            <w:hideMark/>
          </w:tcPr>
          <w:p w14:paraId="045A3752" w14:textId="5470688D"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 Ministria e Financave dhe Ekonomisë</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 xml:space="preserve"> Banka e Shqipërisë</w:t>
            </w:r>
          </w:p>
        </w:tc>
        <w:tc>
          <w:tcPr>
            <w:tcW w:w="224" w:type="pct"/>
            <w:tcBorders>
              <w:top w:val="nil"/>
              <w:left w:val="nil"/>
              <w:bottom w:val="single" w:sz="4" w:space="0" w:color="auto"/>
              <w:right w:val="single" w:sz="4" w:space="0" w:color="auto"/>
            </w:tcBorders>
            <w:shd w:val="clear" w:color="auto" w:fill="auto"/>
            <w:vAlign w:val="center"/>
            <w:hideMark/>
          </w:tcPr>
          <w:p w14:paraId="1408EC0E" w14:textId="132FC94F"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Banka e </w:t>
            </w:r>
            <w:r w:rsidR="00221A99" w:rsidRPr="00B31292">
              <w:rPr>
                <w:rFonts w:ascii="Garamond" w:eastAsia="Times New Roman" w:hAnsi="Garamond" w:cs="Times New Roman"/>
                <w:color w:val="000000"/>
                <w:sz w:val="10"/>
                <w:szCs w:val="10"/>
              </w:rPr>
              <w:t>Shqipërisë</w:t>
            </w:r>
          </w:p>
        </w:tc>
        <w:tc>
          <w:tcPr>
            <w:tcW w:w="244" w:type="pct"/>
            <w:tcBorders>
              <w:top w:val="nil"/>
              <w:left w:val="nil"/>
              <w:bottom w:val="single" w:sz="4" w:space="0" w:color="auto"/>
              <w:right w:val="single" w:sz="4" w:space="0" w:color="auto"/>
            </w:tcBorders>
            <w:shd w:val="clear" w:color="000000" w:fill="FFFFFF"/>
            <w:vAlign w:val="center"/>
            <w:hideMark/>
          </w:tcPr>
          <w:p w14:paraId="35548F75"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M + 15D</w:t>
            </w:r>
          </w:p>
        </w:tc>
        <w:tc>
          <w:tcPr>
            <w:tcW w:w="220" w:type="pct"/>
            <w:tcBorders>
              <w:top w:val="nil"/>
              <w:left w:val="nil"/>
              <w:bottom w:val="single" w:sz="4" w:space="0" w:color="auto"/>
              <w:right w:val="single" w:sz="4" w:space="0" w:color="auto"/>
            </w:tcBorders>
            <w:shd w:val="clear" w:color="000000" w:fill="FFFFFF"/>
            <w:vAlign w:val="center"/>
            <w:hideMark/>
          </w:tcPr>
          <w:p w14:paraId="08104217"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M + 25D</w:t>
            </w:r>
          </w:p>
        </w:tc>
        <w:tc>
          <w:tcPr>
            <w:tcW w:w="220" w:type="pct"/>
            <w:tcBorders>
              <w:top w:val="nil"/>
              <w:left w:val="nil"/>
              <w:bottom w:val="single" w:sz="4" w:space="0" w:color="auto"/>
              <w:right w:val="single" w:sz="4" w:space="0" w:color="auto"/>
            </w:tcBorders>
            <w:shd w:val="clear" w:color="000000" w:fill="FFFFFF"/>
            <w:vAlign w:val="center"/>
            <w:hideMark/>
          </w:tcPr>
          <w:p w14:paraId="72C423E0"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M + 31D</w:t>
            </w:r>
          </w:p>
        </w:tc>
        <w:tc>
          <w:tcPr>
            <w:tcW w:w="346" w:type="pct"/>
            <w:tcBorders>
              <w:top w:val="nil"/>
              <w:left w:val="nil"/>
              <w:bottom w:val="single" w:sz="4" w:space="0" w:color="auto"/>
              <w:right w:val="single" w:sz="4" w:space="0" w:color="auto"/>
            </w:tcBorders>
            <w:shd w:val="clear" w:color="auto" w:fill="auto"/>
            <w:vAlign w:val="center"/>
            <w:hideMark/>
          </w:tcPr>
          <w:p w14:paraId="69A1391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Gabime të bëra nga stafi ekspert gjatë përpunimit dhe nxjerrjes së rezultateve -|- 2</w:t>
            </w:r>
            <w:r w:rsidRPr="00B31292">
              <w:rPr>
                <w:rFonts w:ascii="Garamond" w:eastAsia="Times New Roman" w:hAnsi="Garamond" w:cs="Times New Roman"/>
                <w:color w:val="000000"/>
                <w:sz w:val="10"/>
                <w:szCs w:val="10"/>
              </w:rPr>
              <w:br/>
              <w:t>2. Vonesa e marrjes së të dhënave nga burimet administrative -|- 1</w:t>
            </w:r>
          </w:p>
        </w:tc>
        <w:tc>
          <w:tcPr>
            <w:tcW w:w="273" w:type="pct"/>
            <w:tcBorders>
              <w:top w:val="nil"/>
              <w:left w:val="nil"/>
              <w:bottom w:val="single" w:sz="4" w:space="0" w:color="auto"/>
              <w:right w:val="single" w:sz="4" w:space="0" w:color="auto"/>
            </w:tcBorders>
            <w:shd w:val="clear" w:color="auto" w:fill="auto"/>
            <w:vAlign w:val="center"/>
            <w:hideMark/>
          </w:tcPr>
          <w:p w14:paraId="69172235" w14:textId="0C04F762"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Buxheti i </w:t>
            </w:r>
            <w:r w:rsidR="00221A99" w:rsidRPr="00B31292">
              <w:rPr>
                <w:rFonts w:ascii="Garamond" w:eastAsia="Times New Roman" w:hAnsi="Garamond" w:cs="Times New Roman"/>
                <w:color w:val="000000"/>
                <w:sz w:val="10"/>
                <w:szCs w:val="10"/>
              </w:rPr>
              <w:t>Bankës</w:t>
            </w:r>
          </w:p>
        </w:tc>
      </w:tr>
      <w:tr w:rsidR="000A2254" w:rsidRPr="00B31292" w14:paraId="64252250" w14:textId="77777777" w:rsidTr="000A2254">
        <w:trPr>
          <w:trHeight w:val="20"/>
        </w:trPr>
        <w:tc>
          <w:tcPr>
            <w:tcW w:w="215" w:type="pct"/>
            <w:tcBorders>
              <w:top w:val="nil"/>
              <w:left w:val="nil"/>
              <w:bottom w:val="nil"/>
              <w:right w:val="nil"/>
            </w:tcBorders>
            <w:shd w:val="clear" w:color="000000" w:fill="FFFFFF"/>
            <w:vAlign w:val="bottom"/>
            <w:hideMark/>
          </w:tcPr>
          <w:p w14:paraId="7E4E6C8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21A5F62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76E0BC6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26A7FEB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single" w:sz="4" w:space="0" w:color="000000"/>
              <w:left w:val="single" w:sz="4" w:space="0" w:color="000000"/>
              <w:bottom w:val="single" w:sz="4" w:space="0" w:color="000000"/>
              <w:right w:val="nil"/>
            </w:tcBorders>
            <w:shd w:val="clear" w:color="000000" w:fill="F0F0F0"/>
            <w:vAlign w:val="center"/>
            <w:hideMark/>
          </w:tcPr>
          <w:p w14:paraId="15E3FA9E"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3.6.4</w:t>
            </w:r>
          </w:p>
        </w:tc>
        <w:tc>
          <w:tcPr>
            <w:tcW w:w="4082" w:type="pct"/>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66123917"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Statistikat tremujore të Borxhit të Jashtëm</w:t>
            </w:r>
          </w:p>
        </w:tc>
      </w:tr>
      <w:tr w:rsidR="000A2254" w:rsidRPr="00B31292" w14:paraId="078AFF6B" w14:textId="77777777" w:rsidTr="000A2254">
        <w:trPr>
          <w:trHeight w:val="20"/>
        </w:trPr>
        <w:tc>
          <w:tcPr>
            <w:tcW w:w="215" w:type="pct"/>
            <w:tcBorders>
              <w:top w:val="nil"/>
              <w:left w:val="nil"/>
              <w:bottom w:val="nil"/>
              <w:right w:val="nil"/>
            </w:tcBorders>
            <w:shd w:val="clear" w:color="000000" w:fill="FFFFFF"/>
            <w:vAlign w:val="bottom"/>
            <w:hideMark/>
          </w:tcPr>
          <w:p w14:paraId="7FA233A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0CA53AC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39CDCB4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26FC1F7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3150B6D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0082DA9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auto"/>
              <w:bottom w:val="single" w:sz="4" w:space="0" w:color="auto"/>
              <w:right w:val="single" w:sz="4" w:space="0" w:color="auto"/>
            </w:tcBorders>
            <w:shd w:val="clear" w:color="auto" w:fill="auto"/>
            <w:vAlign w:val="center"/>
            <w:hideMark/>
          </w:tcPr>
          <w:p w14:paraId="37091BE4"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3.6.4.1</w:t>
            </w:r>
          </w:p>
        </w:tc>
        <w:tc>
          <w:tcPr>
            <w:tcW w:w="281" w:type="pct"/>
            <w:tcBorders>
              <w:top w:val="nil"/>
              <w:left w:val="nil"/>
              <w:bottom w:val="single" w:sz="4" w:space="0" w:color="auto"/>
              <w:right w:val="single" w:sz="4" w:space="0" w:color="auto"/>
            </w:tcBorders>
            <w:shd w:val="clear" w:color="auto" w:fill="auto"/>
            <w:vAlign w:val="center"/>
            <w:hideMark/>
          </w:tcPr>
          <w:p w14:paraId="737FBA6A"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Statistikat tremujore të Borxhit të Jashtëm</w:t>
            </w:r>
          </w:p>
        </w:tc>
        <w:tc>
          <w:tcPr>
            <w:tcW w:w="236" w:type="pct"/>
            <w:tcBorders>
              <w:top w:val="nil"/>
              <w:left w:val="nil"/>
              <w:bottom w:val="single" w:sz="4" w:space="0" w:color="auto"/>
              <w:right w:val="single" w:sz="4" w:space="0" w:color="auto"/>
            </w:tcBorders>
            <w:shd w:val="clear" w:color="auto" w:fill="auto"/>
            <w:vAlign w:val="center"/>
            <w:hideMark/>
          </w:tcPr>
          <w:p w14:paraId="061F6FD8"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Kombinim i burimeve administrative dhe vrojtimeve</w:t>
            </w:r>
          </w:p>
        </w:tc>
        <w:tc>
          <w:tcPr>
            <w:tcW w:w="238" w:type="pct"/>
            <w:tcBorders>
              <w:top w:val="nil"/>
              <w:left w:val="nil"/>
              <w:bottom w:val="single" w:sz="4" w:space="0" w:color="auto"/>
              <w:right w:val="single" w:sz="4" w:space="0" w:color="auto"/>
            </w:tcBorders>
            <w:shd w:val="clear" w:color="auto" w:fill="auto"/>
            <w:vAlign w:val="center"/>
            <w:hideMark/>
          </w:tcPr>
          <w:p w14:paraId="7F126457"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180" w:type="pct"/>
            <w:tcBorders>
              <w:top w:val="nil"/>
              <w:left w:val="nil"/>
              <w:bottom w:val="single" w:sz="4" w:space="0" w:color="auto"/>
              <w:right w:val="single" w:sz="4" w:space="0" w:color="auto"/>
            </w:tcBorders>
            <w:shd w:val="clear" w:color="auto" w:fill="auto"/>
            <w:vAlign w:val="center"/>
            <w:hideMark/>
          </w:tcPr>
          <w:p w14:paraId="7FA06A9E"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28" w:type="pct"/>
            <w:tcBorders>
              <w:top w:val="nil"/>
              <w:left w:val="nil"/>
              <w:bottom w:val="single" w:sz="4" w:space="0" w:color="auto"/>
              <w:right w:val="single" w:sz="4" w:space="0" w:color="auto"/>
            </w:tcBorders>
            <w:shd w:val="clear" w:color="auto" w:fill="auto"/>
            <w:vAlign w:val="center"/>
            <w:hideMark/>
          </w:tcPr>
          <w:p w14:paraId="482729E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tcBorders>
              <w:top w:val="nil"/>
              <w:left w:val="nil"/>
              <w:bottom w:val="single" w:sz="4" w:space="0" w:color="auto"/>
              <w:right w:val="single" w:sz="4" w:space="0" w:color="auto"/>
            </w:tcBorders>
            <w:shd w:val="clear" w:color="auto" w:fill="auto"/>
            <w:vAlign w:val="center"/>
            <w:hideMark/>
          </w:tcPr>
          <w:p w14:paraId="217F828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Tremujor</w:t>
            </w:r>
          </w:p>
        </w:tc>
        <w:tc>
          <w:tcPr>
            <w:tcW w:w="486" w:type="pct"/>
            <w:tcBorders>
              <w:top w:val="nil"/>
              <w:left w:val="nil"/>
              <w:bottom w:val="single" w:sz="4" w:space="0" w:color="auto"/>
              <w:right w:val="single" w:sz="4" w:space="0" w:color="auto"/>
            </w:tcBorders>
            <w:shd w:val="clear" w:color="000000" w:fill="FFFFFF"/>
            <w:vAlign w:val="center"/>
            <w:hideMark/>
          </w:tcPr>
          <w:p w14:paraId="33BF0EF8" w14:textId="1BBA4832"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 1. Borxhi i </w:t>
            </w:r>
            <w:r w:rsidR="002B0C41" w:rsidRPr="00B31292">
              <w:rPr>
                <w:rFonts w:ascii="Garamond" w:eastAsia="Times New Roman" w:hAnsi="Garamond" w:cs="Times New Roman"/>
                <w:color w:val="000000"/>
                <w:sz w:val="10"/>
                <w:szCs w:val="10"/>
              </w:rPr>
              <w:t>j</w:t>
            </w:r>
            <w:r w:rsidRPr="00B31292">
              <w:rPr>
                <w:rFonts w:ascii="Garamond" w:eastAsia="Times New Roman" w:hAnsi="Garamond" w:cs="Times New Roman"/>
                <w:color w:val="000000"/>
                <w:sz w:val="10"/>
                <w:szCs w:val="10"/>
              </w:rPr>
              <w:t>ashtëm</w:t>
            </w:r>
            <w:r w:rsidR="002B0C41" w:rsidRPr="00B31292">
              <w:rPr>
                <w:rFonts w:ascii="Garamond" w:eastAsia="Times New Roman" w:hAnsi="Garamond" w:cs="Times New Roman"/>
                <w:color w:val="000000"/>
                <w:sz w:val="10"/>
                <w:szCs w:val="10"/>
              </w:rPr>
              <w:t>.</w:t>
            </w:r>
          </w:p>
        </w:tc>
        <w:tc>
          <w:tcPr>
            <w:tcW w:w="299" w:type="pct"/>
            <w:tcBorders>
              <w:top w:val="nil"/>
              <w:left w:val="nil"/>
              <w:bottom w:val="single" w:sz="4" w:space="0" w:color="auto"/>
              <w:right w:val="single" w:sz="4" w:space="0" w:color="auto"/>
            </w:tcBorders>
            <w:shd w:val="clear" w:color="auto" w:fill="auto"/>
            <w:vAlign w:val="center"/>
            <w:hideMark/>
          </w:tcPr>
          <w:p w14:paraId="43AE1417" w14:textId="04E9672D"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Ministria e Financave dhe Ekonomisë</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Banka e Shqipërisë</w:t>
            </w:r>
          </w:p>
        </w:tc>
        <w:tc>
          <w:tcPr>
            <w:tcW w:w="224" w:type="pct"/>
            <w:tcBorders>
              <w:top w:val="nil"/>
              <w:left w:val="nil"/>
              <w:bottom w:val="single" w:sz="4" w:space="0" w:color="auto"/>
              <w:right w:val="single" w:sz="4" w:space="0" w:color="auto"/>
            </w:tcBorders>
            <w:shd w:val="clear" w:color="auto" w:fill="auto"/>
            <w:vAlign w:val="center"/>
            <w:hideMark/>
          </w:tcPr>
          <w:p w14:paraId="08458196" w14:textId="17F224C0"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Banka e </w:t>
            </w:r>
            <w:r w:rsidR="00221A99" w:rsidRPr="00B31292">
              <w:rPr>
                <w:rFonts w:ascii="Garamond" w:eastAsia="Times New Roman" w:hAnsi="Garamond" w:cs="Times New Roman"/>
                <w:color w:val="000000"/>
                <w:sz w:val="10"/>
                <w:szCs w:val="10"/>
              </w:rPr>
              <w:t>Shqipërisë</w:t>
            </w:r>
          </w:p>
        </w:tc>
        <w:tc>
          <w:tcPr>
            <w:tcW w:w="244" w:type="pct"/>
            <w:tcBorders>
              <w:top w:val="nil"/>
              <w:left w:val="nil"/>
              <w:bottom w:val="single" w:sz="4" w:space="0" w:color="auto"/>
              <w:right w:val="single" w:sz="4" w:space="0" w:color="auto"/>
            </w:tcBorders>
            <w:shd w:val="clear" w:color="000000" w:fill="FFFFFF"/>
            <w:vAlign w:val="center"/>
            <w:hideMark/>
          </w:tcPr>
          <w:p w14:paraId="6D89190D"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T + 60D</w:t>
            </w:r>
          </w:p>
        </w:tc>
        <w:tc>
          <w:tcPr>
            <w:tcW w:w="220" w:type="pct"/>
            <w:tcBorders>
              <w:top w:val="nil"/>
              <w:left w:val="nil"/>
              <w:bottom w:val="single" w:sz="4" w:space="0" w:color="auto"/>
              <w:right w:val="single" w:sz="4" w:space="0" w:color="auto"/>
            </w:tcBorders>
            <w:shd w:val="clear" w:color="000000" w:fill="FFFFFF"/>
            <w:vAlign w:val="center"/>
            <w:hideMark/>
          </w:tcPr>
          <w:p w14:paraId="3F930574"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T + 80D</w:t>
            </w:r>
          </w:p>
        </w:tc>
        <w:tc>
          <w:tcPr>
            <w:tcW w:w="220" w:type="pct"/>
            <w:tcBorders>
              <w:top w:val="nil"/>
              <w:left w:val="nil"/>
              <w:bottom w:val="single" w:sz="4" w:space="0" w:color="auto"/>
              <w:right w:val="single" w:sz="4" w:space="0" w:color="auto"/>
            </w:tcBorders>
            <w:shd w:val="clear" w:color="000000" w:fill="FFFFFF"/>
            <w:vAlign w:val="center"/>
            <w:hideMark/>
          </w:tcPr>
          <w:p w14:paraId="06450531"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T + 85D</w:t>
            </w:r>
          </w:p>
        </w:tc>
        <w:tc>
          <w:tcPr>
            <w:tcW w:w="346" w:type="pct"/>
            <w:tcBorders>
              <w:top w:val="nil"/>
              <w:left w:val="nil"/>
              <w:bottom w:val="single" w:sz="4" w:space="0" w:color="auto"/>
              <w:right w:val="single" w:sz="4" w:space="0" w:color="auto"/>
            </w:tcBorders>
            <w:shd w:val="clear" w:color="auto" w:fill="auto"/>
            <w:vAlign w:val="center"/>
            <w:hideMark/>
          </w:tcPr>
          <w:p w14:paraId="20E4D84F" w14:textId="57757E49"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Vonesa e marrjes së të dhënave nga burimet administrative. -|- 2</w:t>
            </w:r>
            <w:r w:rsidRPr="00B31292">
              <w:rPr>
                <w:rFonts w:ascii="Garamond" w:eastAsia="Times New Roman" w:hAnsi="Garamond" w:cs="Times New Roman"/>
                <w:color w:val="000000"/>
                <w:sz w:val="10"/>
                <w:szCs w:val="10"/>
              </w:rPr>
              <w:br/>
              <w:t>2. Informacion jo i plotë, i pa</w:t>
            </w:r>
            <w:r w:rsidR="00221A99" w:rsidRPr="00B31292">
              <w:rPr>
                <w:rFonts w:ascii="Garamond" w:eastAsia="Times New Roman" w:hAnsi="Garamond" w:cs="Times New Roman"/>
                <w:color w:val="000000"/>
                <w:sz w:val="10"/>
                <w:szCs w:val="10"/>
              </w:rPr>
              <w:t>standardizuar</w:t>
            </w:r>
            <w:r w:rsidRPr="00B31292">
              <w:rPr>
                <w:rFonts w:ascii="Garamond" w:eastAsia="Times New Roman" w:hAnsi="Garamond" w:cs="Times New Roman"/>
                <w:color w:val="000000"/>
                <w:sz w:val="10"/>
                <w:szCs w:val="10"/>
              </w:rPr>
              <w:t>, me gabime -|- 2</w:t>
            </w:r>
          </w:p>
        </w:tc>
        <w:tc>
          <w:tcPr>
            <w:tcW w:w="273" w:type="pct"/>
            <w:tcBorders>
              <w:top w:val="nil"/>
              <w:left w:val="nil"/>
              <w:bottom w:val="single" w:sz="4" w:space="0" w:color="auto"/>
              <w:right w:val="single" w:sz="4" w:space="0" w:color="auto"/>
            </w:tcBorders>
            <w:shd w:val="clear" w:color="auto" w:fill="auto"/>
            <w:vAlign w:val="center"/>
            <w:hideMark/>
          </w:tcPr>
          <w:p w14:paraId="064B0853" w14:textId="2AE3393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Buxheti i </w:t>
            </w:r>
            <w:r w:rsidR="00221A99" w:rsidRPr="00B31292">
              <w:rPr>
                <w:rFonts w:ascii="Garamond" w:eastAsia="Times New Roman" w:hAnsi="Garamond" w:cs="Times New Roman"/>
                <w:color w:val="000000"/>
                <w:sz w:val="10"/>
                <w:szCs w:val="10"/>
              </w:rPr>
              <w:t>Bankës</w:t>
            </w:r>
          </w:p>
        </w:tc>
      </w:tr>
      <w:tr w:rsidR="000A2254" w:rsidRPr="00B31292" w14:paraId="017E2F17" w14:textId="77777777" w:rsidTr="000A2254">
        <w:trPr>
          <w:trHeight w:val="20"/>
        </w:trPr>
        <w:tc>
          <w:tcPr>
            <w:tcW w:w="215" w:type="pct"/>
            <w:tcBorders>
              <w:top w:val="nil"/>
              <w:left w:val="nil"/>
              <w:bottom w:val="nil"/>
              <w:right w:val="nil"/>
            </w:tcBorders>
            <w:shd w:val="clear" w:color="000000" w:fill="FFFFFF"/>
            <w:vAlign w:val="bottom"/>
            <w:hideMark/>
          </w:tcPr>
          <w:p w14:paraId="7A75663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04E01F1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single" w:sz="4" w:space="0" w:color="000000"/>
              <w:left w:val="single" w:sz="4" w:space="0" w:color="000000"/>
              <w:bottom w:val="single" w:sz="4" w:space="0" w:color="000000"/>
              <w:right w:val="nil"/>
            </w:tcBorders>
            <w:shd w:val="clear" w:color="000000" w:fill="F0F0F0"/>
            <w:vAlign w:val="center"/>
            <w:hideMark/>
          </w:tcPr>
          <w:p w14:paraId="25162CD8"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3.7</w:t>
            </w:r>
          </w:p>
        </w:tc>
        <w:tc>
          <w:tcPr>
            <w:tcW w:w="4416" w:type="pct"/>
            <w:gridSpan w:val="18"/>
            <w:tcBorders>
              <w:top w:val="single" w:sz="4" w:space="0" w:color="auto"/>
              <w:left w:val="single" w:sz="4" w:space="0" w:color="auto"/>
              <w:bottom w:val="single" w:sz="4" w:space="0" w:color="auto"/>
              <w:right w:val="single" w:sz="4" w:space="0" w:color="auto"/>
            </w:tcBorders>
            <w:shd w:val="clear" w:color="000000" w:fill="F0F0F0"/>
            <w:vAlign w:val="center"/>
            <w:hideMark/>
          </w:tcPr>
          <w:p w14:paraId="5EC332B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Çmimet</w:t>
            </w:r>
          </w:p>
        </w:tc>
      </w:tr>
      <w:tr w:rsidR="000A2254" w:rsidRPr="00B31292" w14:paraId="657626AF" w14:textId="77777777" w:rsidTr="000A2254">
        <w:trPr>
          <w:trHeight w:val="20"/>
        </w:trPr>
        <w:tc>
          <w:tcPr>
            <w:tcW w:w="215" w:type="pct"/>
            <w:tcBorders>
              <w:top w:val="nil"/>
              <w:left w:val="nil"/>
              <w:bottom w:val="nil"/>
              <w:right w:val="nil"/>
            </w:tcBorders>
            <w:shd w:val="clear" w:color="000000" w:fill="FFFFFF"/>
            <w:vAlign w:val="bottom"/>
            <w:hideMark/>
          </w:tcPr>
          <w:p w14:paraId="60E1423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3CB564E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15EC2CE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2083B55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single" w:sz="4" w:space="0" w:color="000000"/>
              <w:bottom w:val="single" w:sz="4" w:space="0" w:color="000000"/>
              <w:right w:val="single" w:sz="4" w:space="0" w:color="000000"/>
            </w:tcBorders>
            <w:shd w:val="clear" w:color="000000" w:fill="F0F0F0"/>
            <w:vAlign w:val="center"/>
            <w:hideMark/>
          </w:tcPr>
          <w:p w14:paraId="77CFD9FC"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3.7.1</w:t>
            </w:r>
          </w:p>
        </w:tc>
        <w:tc>
          <w:tcPr>
            <w:tcW w:w="2554" w:type="pct"/>
            <w:gridSpan w:val="10"/>
            <w:tcBorders>
              <w:top w:val="nil"/>
              <w:left w:val="nil"/>
              <w:bottom w:val="single" w:sz="4" w:space="0" w:color="000000"/>
              <w:right w:val="single" w:sz="4" w:space="0" w:color="000000"/>
            </w:tcBorders>
            <w:shd w:val="clear" w:color="000000" w:fill="F0F0F0"/>
            <w:vAlign w:val="center"/>
            <w:hideMark/>
          </w:tcPr>
          <w:p w14:paraId="7BEA988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Statistikat e Çmimeve të Konsumit</w:t>
            </w:r>
          </w:p>
        </w:tc>
        <w:tc>
          <w:tcPr>
            <w:tcW w:w="1255" w:type="pct"/>
            <w:gridSpan w:val="5"/>
            <w:tcBorders>
              <w:top w:val="single" w:sz="4" w:space="0" w:color="auto"/>
              <w:left w:val="nil"/>
              <w:bottom w:val="single" w:sz="4" w:space="0" w:color="auto"/>
              <w:right w:val="single" w:sz="4" w:space="0" w:color="000000"/>
            </w:tcBorders>
            <w:shd w:val="clear" w:color="000000" w:fill="F0F0F0"/>
            <w:vAlign w:val="center"/>
            <w:hideMark/>
          </w:tcPr>
          <w:p w14:paraId="71EA2FC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73" w:type="pct"/>
            <w:tcBorders>
              <w:top w:val="nil"/>
              <w:left w:val="nil"/>
              <w:bottom w:val="nil"/>
              <w:right w:val="nil"/>
            </w:tcBorders>
            <w:shd w:val="clear" w:color="000000" w:fill="F0F0F0"/>
            <w:vAlign w:val="center"/>
            <w:hideMark/>
          </w:tcPr>
          <w:p w14:paraId="4038FE07"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r>
      <w:tr w:rsidR="000A2254" w:rsidRPr="00B31292" w14:paraId="27BE41B6" w14:textId="77777777" w:rsidTr="000A2254">
        <w:trPr>
          <w:trHeight w:val="20"/>
        </w:trPr>
        <w:tc>
          <w:tcPr>
            <w:tcW w:w="215" w:type="pct"/>
            <w:tcBorders>
              <w:top w:val="nil"/>
              <w:left w:val="nil"/>
              <w:bottom w:val="nil"/>
              <w:right w:val="nil"/>
            </w:tcBorders>
            <w:shd w:val="clear" w:color="000000" w:fill="FFFFFF"/>
            <w:vAlign w:val="bottom"/>
            <w:hideMark/>
          </w:tcPr>
          <w:p w14:paraId="00B7071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0898502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5646DA1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772A142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2454630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5467E06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000000"/>
              <w:bottom w:val="single" w:sz="4" w:space="0" w:color="000000"/>
              <w:right w:val="single" w:sz="4" w:space="0" w:color="000000"/>
            </w:tcBorders>
            <w:shd w:val="clear" w:color="auto" w:fill="auto"/>
            <w:vAlign w:val="center"/>
            <w:hideMark/>
          </w:tcPr>
          <w:p w14:paraId="3017C51A"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3.7.1.1</w:t>
            </w:r>
          </w:p>
        </w:tc>
        <w:tc>
          <w:tcPr>
            <w:tcW w:w="281" w:type="pct"/>
            <w:tcBorders>
              <w:top w:val="nil"/>
              <w:left w:val="nil"/>
              <w:bottom w:val="single" w:sz="4" w:space="0" w:color="000000"/>
              <w:right w:val="single" w:sz="4" w:space="0" w:color="000000"/>
            </w:tcBorders>
            <w:shd w:val="clear" w:color="auto" w:fill="auto"/>
            <w:vAlign w:val="center"/>
            <w:hideMark/>
          </w:tcPr>
          <w:p w14:paraId="1AF14473" w14:textId="316AB28E"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Indeksi</w:t>
            </w:r>
            <w:r w:rsidR="002E2911" w:rsidRPr="00B31292">
              <w:rPr>
                <w:rFonts w:ascii="Garamond" w:eastAsia="Times New Roman" w:hAnsi="Garamond" w:cs="Times New Roman"/>
                <w:sz w:val="10"/>
                <w:szCs w:val="10"/>
              </w:rPr>
              <w:t xml:space="preserve"> </w:t>
            </w:r>
            <w:r w:rsidRPr="00B31292">
              <w:rPr>
                <w:rFonts w:ascii="Garamond" w:eastAsia="Times New Roman" w:hAnsi="Garamond" w:cs="Times New Roman"/>
                <w:sz w:val="10"/>
                <w:szCs w:val="10"/>
              </w:rPr>
              <w:t>i Çmimeve të Konsumit</w:t>
            </w:r>
          </w:p>
        </w:tc>
        <w:tc>
          <w:tcPr>
            <w:tcW w:w="236" w:type="pct"/>
            <w:tcBorders>
              <w:top w:val="nil"/>
              <w:left w:val="nil"/>
              <w:bottom w:val="single" w:sz="4" w:space="0" w:color="000000"/>
              <w:right w:val="single" w:sz="4" w:space="0" w:color="000000"/>
            </w:tcBorders>
            <w:shd w:val="clear" w:color="auto" w:fill="auto"/>
            <w:vAlign w:val="center"/>
            <w:hideMark/>
          </w:tcPr>
          <w:p w14:paraId="34DBA6A0" w14:textId="5E7E5BE1"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Vrojtim (Anketa e Çmimeve t</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sz w:val="10"/>
                <w:szCs w:val="10"/>
              </w:rPr>
              <w:t xml:space="preserve"> Konsumit)</w:t>
            </w:r>
          </w:p>
        </w:tc>
        <w:tc>
          <w:tcPr>
            <w:tcW w:w="238" w:type="pct"/>
            <w:tcBorders>
              <w:top w:val="nil"/>
              <w:left w:val="nil"/>
              <w:bottom w:val="single" w:sz="4" w:space="0" w:color="auto"/>
              <w:right w:val="single" w:sz="4" w:space="0" w:color="auto"/>
            </w:tcBorders>
            <w:shd w:val="clear" w:color="auto" w:fill="auto"/>
            <w:vAlign w:val="center"/>
            <w:hideMark/>
          </w:tcPr>
          <w:p w14:paraId="69942077"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180" w:type="pct"/>
            <w:tcBorders>
              <w:top w:val="nil"/>
              <w:left w:val="nil"/>
              <w:bottom w:val="single" w:sz="4" w:space="0" w:color="auto"/>
              <w:right w:val="single" w:sz="4" w:space="0" w:color="auto"/>
            </w:tcBorders>
            <w:shd w:val="clear" w:color="auto" w:fill="auto"/>
            <w:noWrap/>
            <w:vAlign w:val="center"/>
            <w:hideMark/>
          </w:tcPr>
          <w:p w14:paraId="72AE54FC"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228" w:type="pct"/>
            <w:tcBorders>
              <w:top w:val="nil"/>
              <w:left w:val="nil"/>
              <w:bottom w:val="single" w:sz="4" w:space="0" w:color="auto"/>
              <w:right w:val="single" w:sz="4" w:space="0" w:color="auto"/>
            </w:tcBorders>
            <w:shd w:val="clear" w:color="auto" w:fill="auto"/>
            <w:vAlign w:val="center"/>
            <w:hideMark/>
          </w:tcPr>
          <w:p w14:paraId="24FF4CF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tcBorders>
              <w:top w:val="nil"/>
              <w:left w:val="nil"/>
              <w:bottom w:val="single" w:sz="4" w:space="0" w:color="000000"/>
              <w:right w:val="single" w:sz="4" w:space="0" w:color="000000"/>
            </w:tcBorders>
            <w:shd w:val="clear" w:color="auto" w:fill="auto"/>
            <w:vAlign w:val="center"/>
            <w:hideMark/>
          </w:tcPr>
          <w:p w14:paraId="7139997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Mujor</w:t>
            </w:r>
          </w:p>
        </w:tc>
        <w:tc>
          <w:tcPr>
            <w:tcW w:w="486" w:type="pct"/>
            <w:tcBorders>
              <w:top w:val="nil"/>
              <w:left w:val="nil"/>
              <w:bottom w:val="single" w:sz="4" w:space="0" w:color="auto"/>
              <w:right w:val="single" w:sz="4" w:space="0" w:color="auto"/>
            </w:tcBorders>
            <w:shd w:val="clear" w:color="000000" w:fill="FFFFFF"/>
            <w:vAlign w:val="center"/>
            <w:hideMark/>
          </w:tcPr>
          <w:p w14:paraId="49C076D7" w14:textId="16579BAC"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1. Indeksi mujor i çmimeve të </w:t>
            </w:r>
            <w:r w:rsidR="002B0C41" w:rsidRPr="00B31292">
              <w:rPr>
                <w:rFonts w:ascii="Garamond" w:eastAsia="Times New Roman" w:hAnsi="Garamond" w:cs="Times New Roman"/>
                <w:color w:val="000000"/>
                <w:sz w:val="10"/>
                <w:szCs w:val="10"/>
              </w:rPr>
              <w:t>konsumit.</w:t>
            </w:r>
            <w:r w:rsidRPr="00B31292">
              <w:rPr>
                <w:rFonts w:ascii="Garamond" w:eastAsia="Times New Roman" w:hAnsi="Garamond" w:cs="Times New Roman"/>
                <w:color w:val="000000"/>
                <w:sz w:val="10"/>
                <w:szCs w:val="10"/>
              </w:rPr>
              <w:br/>
              <w:t xml:space="preserve">2. Indeksi mesatar vjetor i çmimeve të </w:t>
            </w:r>
            <w:r w:rsidR="002B0C41" w:rsidRPr="00B31292">
              <w:rPr>
                <w:rFonts w:ascii="Garamond" w:eastAsia="Times New Roman" w:hAnsi="Garamond" w:cs="Times New Roman"/>
                <w:color w:val="000000"/>
                <w:sz w:val="10"/>
                <w:szCs w:val="10"/>
              </w:rPr>
              <w:t>konsumit.</w:t>
            </w:r>
            <w:r w:rsidRPr="00B31292">
              <w:rPr>
                <w:rFonts w:ascii="Garamond" w:eastAsia="Times New Roman" w:hAnsi="Garamond" w:cs="Times New Roman"/>
                <w:color w:val="000000"/>
                <w:sz w:val="10"/>
                <w:szCs w:val="10"/>
              </w:rPr>
              <w:br/>
              <w:t xml:space="preserve">3. Ndryshimi mujor i </w:t>
            </w:r>
            <w:r w:rsidR="002B0C41" w:rsidRPr="00B31292">
              <w:rPr>
                <w:rFonts w:ascii="Garamond" w:eastAsia="Times New Roman" w:hAnsi="Garamond" w:cs="Times New Roman"/>
                <w:color w:val="000000"/>
                <w:sz w:val="10"/>
                <w:szCs w:val="10"/>
              </w:rPr>
              <w:t xml:space="preserve">indeksit </w:t>
            </w:r>
            <w:r w:rsidRPr="00B31292">
              <w:rPr>
                <w:rFonts w:ascii="Garamond" w:eastAsia="Times New Roman" w:hAnsi="Garamond" w:cs="Times New Roman"/>
                <w:color w:val="000000"/>
                <w:sz w:val="10"/>
                <w:szCs w:val="10"/>
              </w:rPr>
              <w:t xml:space="preserve">të çmimeve të </w:t>
            </w:r>
            <w:r w:rsidR="002B0C41" w:rsidRPr="00B31292">
              <w:rPr>
                <w:rFonts w:ascii="Garamond" w:eastAsia="Times New Roman" w:hAnsi="Garamond" w:cs="Times New Roman"/>
                <w:color w:val="000000"/>
                <w:sz w:val="10"/>
                <w:szCs w:val="10"/>
              </w:rPr>
              <w:t>konsumit.</w:t>
            </w:r>
            <w:r w:rsidRPr="00B31292">
              <w:rPr>
                <w:rFonts w:ascii="Garamond" w:eastAsia="Times New Roman" w:hAnsi="Garamond" w:cs="Times New Roman"/>
                <w:color w:val="000000"/>
                <w:sz w:val="10"/>
                <w:szCs w:val="10"/>
              </w:rPr>
              <w:br/>
              <w:t xml:space="preserve">4. Ndryshimi vjetor i </w:t>
            </w:r>
            <w:r w:rsidR="002B0C41" w:rsidRPr="00B31292">
              <w:rPr>
                <w:rFonts w:ascii="Garamond" w:eastAsia="Times New Roman" w:hAnsi="Garamond" w:cs="Times New Roman"/>
                <w:color w:val="000000"/>
                <w:sz w:val="10"/>
                <w:szCs w:val="10"/>
              </w:rPr>
              <w:t xml:space="preserve">indeksit </w:t>
            </w:r>
            <w:r w:rsidRPr="00B31292">
              <w:rPr>
                <w:rFonts w:ascii="Garamond" w:eastAsia="Times New Roman" w:hAnsi="Garamond" w:cs="Times New Roman"/>
                <w:color w:val="000000"/>
                <w:sz w:val="10"/>
                <w:szCs w:val="10"/>
              </w:rPr>
              <w:t xml:space="preserve">të çmimeve të </w:t>
            </w:r>
            <w:r w:rsidR="002B0C41" w:rsidRPr="00B31292">
              <w:rPr>
                <w:rFonts w:ascii="Garamond" w:eastAsia="Times New Roman" w:hAnsi="Garamond" w:cs="Times New Roman"/>
                <w:color w:val="000000"/>
                <w:sz w:val="10"/>
                <w:szCs w:val="10"/>
              </w:rPr>
              <w:t>konsumit.</w:t>
            </w:r>
            <w:r w:rsidRPr="00B31292">
              <w:rPr>
                <w:rFonts w:ascii="Garamond" w:eastAsia="Times New Roman" w:hAnsi="Garamond" w:cs="Times New Roman"/>
                <w:color w:val="000000"/>
                <w:sz w:val="10"/>
                <w:szCs w:val="10"/>
              </w:rPr>
              <w:br/>
              <w:t>5. Ndryshimi mesatar vjetor</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i Indeksit të çmimeve të Konsumit</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6. </w:t>
            </w:r>
            <w:r w:rsidR="00221A99" w:rsidRPr="00B31292">
              <w:rPr>
                <w:rFonts w:ascii="Garamond" w:eastAsia="Times New Roman" w:hAnsi="Garamond" w:cs="Times New Roman"/>
                <w:color w:val="000000"/>
                <w:sz w:val="10"/>
                <w:szCs w:val="10"/>
              </w:rPr>
              <w:t>Koeficienti</w:t>
            </w:r>
            <w:r w:rsidRPr="00B31292">
              <w:rPr>
                <w:rFonts w:ascii="Garamond" w:eastAsia="Times New Roman" w:hAnsi="Garamond" w:cs="Times New Roman"/>
                <w:color w:val="000000"/>
                <w:sz w:val="10"/>
                <w:szCs w:val="10"/>
              </w:rPr>
              <w:t xml:space="preserve"> i rivlerësimit</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7. Çmimet mesatare të disa artikujve kryesorë të konsumit</w:t>
            </w:r>
            <w:r w:rsidR="002B0C41" w:rsidRPr="00B31292">
              <w:rPr>
                <w:rFonts w:ascii="Garamond" w:eastAsia="Times New Roman" w:hAnsi="Garamond" w:cs="Times New Roman"/>
                <w:color w:val="000000"/>
                <w:sz w:val="10"/>
                <w:szCs w:val="10"/>
              </w:rPr>
              <w:t>.</w:t>
            </w:r>
          </w:p>
        </w:tc>
        <w:tc>
          <w:tcPr>
            <w:tcW w:w="299" w:type="pct"/>
            <w:tcBorders>
              <w:top w:val="nil"/>
              <w:left w:val="nil"/>
              <w:bottom w:val="single" w:sz="4" w:space="0" w:color="000000"/>
              <w:right w:val="nil"/>
            </w:tcBorders>
            <w:shd w:val="clear" w:color="auto" w:fill="auto"/>
            <w:vAlign w:val="center"/>
            <w:hideMark/>
          </w:tcPr>
          <w:p w14:paraId="779BFA6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Instituti i Statistikave</w:t>
            </w:r>
          </w:p>
        </w:tc>
        <w:tc>
          <w:tcPr>
            <w:tcW w:w="224" w:type="pct"/>
            <w:tcBorders>
              <w:top w:val="nil"/>
              <w:left w:val="single" w:sz="4" w:space="0" w:color="auto"/>
              <w:bottom w:val="single" w:sz="4" w:space="0" w:color="auto"/>
              <w:right w:val="single" w:sz="4" w:space="0" w:color="auto"/>
            </w:tcBorders>
            <w:shd w:val="clear" w:color="auto" w:fill="auto"/>
            <w:vAlign w:val="center"/>
            <w:hideMark/>
          </w:tcPr>
          <w:p w14:paraId="35E3567B" w14:textId="0DB21C03"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2B0C41" w:rsidRPr="00B31292">
              <w:rPr>
                <w:rFonts w:ascii="Garamond" w:eastAsia="Times New Roman" w:hAnsi="Garamond" w:cs="Times New Roman"/>
                <w:color w:val="000000"/>
                <w:sz w:val="10"/>
                <w:szCs w:val="10"/>
              </w:rPr>
              <w:t>-i</w:t>
            </w:r>
          </w:p>
        </w:tc>
        <w:tc>
          <w:tcPr>
            <w:tcW w:w="244" w:type="pct"/>
            <w:tcBorders>
              <w:top w:val="nil"/>
              <w:left w:val="nil"/>
              <w:bottom w:val="single" w:sz="4" w:space="0" w:color="auto"/>
              <w:right w:val="single" w:sz="4" w:space="0" w:color="auto"/>
            </w:tcBorders>
            <w:shd w:val="clear" w:color="000000" w:fill="FFFFFF"/>
            <w:vAlign w:val="center"/>
            <w:hideMark/>
          </w:tcPr>
          <w:p w14:paraId="6D7984B9"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Dita e 24 e M</w:t>
            </w:r>
          </w:p>
        </w:tc>
        <w:tc>
          <w:tcPr>
            <w:tcW w:w="220" w:type="pct"/>
            <w:tcBorders>
              <w:top w:val="nil"/>
              <w:left w:val="nil"/>
              <w:bottom w:val="single" w:sz="4" w:space="0" w:color="auto"/>
              <w:right w:val="single" w:sz="4" w:space="0" w:color="auto"/>
            </w:tcBorders>
            <w:shd w:val="clear" w:color="000000" w:fill="FFFFFF"/>
            <w:vAlign w:val="center"/>
            <w:hideMark/>
          </w:tcPr>
          <w:p w14:paraId="69E59774"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M + 8D</w:t>
            </w:r>
          </w:p>
        </w:tc>
        <w:tc>
          <w:tcPr>
            <w:tcW w:w="220" w:type="pct"/>
            <w:tcBorders>
              <w:top w:val="nil"/>
              <w:left w:val="nil"/>
              <w:bottom w:val="single" w:sz="4" w:space="0" w:color="auto"/>
              <w:right w:val="single" w:sz="4" w:space="0" w:color="auto"/>
            </w:tcBorders>
            <w:shd w:val="clear" w:color="000000" w:fill="FFFFFF"/>
            <w:vAlign w:val="center"/>
            <w:hideMark/>
          </w:tcPr>
          <w:p w14:paraId="27F02CDC"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M + 12D</w:t>
            </w:r>
          </w:p>
        </w:tc>
        <w:tc>
          <w:tcPr>
            <w:tcW w:w="346" w:type="pct"/>
            <w:tcBorders>
              <w:top w:val="nil"/>
              <w:left w:val="nil"/>
              <w:bottom w:val="single" w:sz="4" w:space="0" w:color="auto"/>
              <w:right w:val="single" w:sz="4" w:space="0" w:color="auto"/>
            </w:tcBorders>
            <w:shd w:val="clear" w:color="auto" w:fill="auto"/>
            <w:vAlign w:val="center"/>
            <w:hideMark/>
          </w:tcPr>
          <w:p w14:paraId="43F5C718" w14:textId="52906E5F"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Mospërmbushja e</w:t>
            </w:r>
            <w:r w:rsidR="003E16E0" w:rsidRPr="00B31292">
              <w:rPr>
                <w:rFonts w:ascii="Garamond" w:eastAsia="Times New Roman" w:hAnsi="Garamond" w:cs="Times New Roman"/>
                <w:color w:val="000000"/>
                <w:sz w:val="10"/>
                <w:szCs w:val="10"/>
              </w:rPr>
              <w:t xml:space="preserve"> </w:t>
            </w:r>
            <w:r w:rsidR="00F667B8" w:rsidRPr="00B31292">
              <w:rPr>
                <w:rFonts w:ascii="Garamond" w:eastAsia="Times New Roman" w:hAnsi="Garamond" w:cs="Times New Roman"/>
                <w:color w:val="000000"/>
                <w:sz w:val="10"/>
                <w:szCs w:val="10"/>
              </w:rPr>
              <w:t>kritereve të cilësisë, si:</w:t>
            </w:r>
            <w:r w:rsidRPr="00B31292">
              <w:rPr>
                <w:rFonts w:ascii="Garamond" w:eastAsia="Times New Roman" w:hAnsi="Garamond" w:cs="Times New Roman"/>
                <w:color w:val="000000"/>
                <w:sz w:val="10"/>
                <w:szCs w:val="10"/>
              </w:rPr>
              <w:t xml:space="preserve"> saktësia, përpikmëria dhe krahasueshmëria, për të dhënat administrative -|- 1</w:t>
            </w:r>
            <w:r w:rsidRPr="00B31292">
              <w:rPr>
                <w:rFonts w:ascii="Garamond" w:eastAsia="Times New Roman" w:hAnsi="Garamond" w:cs="Times New Roman"/>
                <w:color w:val="000000"/>
                <w:sz w:val="10"/>
                <w:szCs w:val="10"/>
              </w:rPr>
              <w:br/>
              <w:t>2. Mospërmbushja e</w:t>
            </w:r>
            <w:r w:rsidR="003E16E0" w:rsidRPr="00B31292">
              <w:rPr>
                <w:rFonts w:ascii="Garamond" w:eastAsia="Times New Roman" w:hAnsi="Garamond" w:cs="Times New Roman"/>
                <w:color w:val="000000"/>
                <w:sz w:val="10"/>
                <w:szCs w:val="10"/>
              </w:rPr>
              <w:t xml:space="preserve"> </w:t>
            </w:r>
            <w:r w:rsidR="00F667B8" w:rsidRPr="00B31292">
              <w:rPr>
                <w:rFonts w:ascii="Garamond" w:eastAsia="Times New Roman" w:hAnsi="Garamond" w:cs="Times New Roman"/>
                <w:color w:val="000000"/>
                <w:sz w:val="10"/>
                <w:szCs w:val="10"/>
              </w:rPr>
              <w:t>kritereve të cilësisë, si:</w:t>
            </w:r>
            <w:r w:rsidRPr="00B31292">
              <w:rPr>
                <w:rFonts w:ascii="Garamond" w:eastAsia="Times New Roman" w:hAnsi="Garamond" w:cs="Times New Roman"/>
                <w:color w:val="000000"/>
                <w:sz w:val="10"/>
                <w:szCs w:val="10"/>
              </w:rPr>
              <w:t xml:space="preserve"> saktësia, përpikmëria dhe krahasueshmëria, për vrojtimet statistikore -|- 1</w:t>
            </w:r>
            <w:r w:rsidRPr="00B31292">
              <w:rPr>
                <w:rFonts w:ascii="Garamond" w:eastAsia="Times New Roman" w:hAnsi="Garamond" w:cs="Times New Roman"/>
                <w:color w:val="000000"/>
                <w:sz w:val="10"/>
                <w:szCs w:val="10"/>
              </w:rPr>
              <w:br/>
              <w:t xml:space="preserve">3. Pezullimi/vonesa e mbledhjes, prodhimit </w:t>
            </w:r>
            <w:r w:rsidR="00F667B8" w:rsidRPr="00B31292">
              <w:rPr>
                <w:rFonts w:ascii="Garamond" w:eastAsia="Times New Roman" w:hAnsi="Garamond" w:cs="Times New Roman"/>
                <w:color w:val="000000"/>
                <w:sz w:val="10"/>
                <w:szCs w:val="10"/>
              </w:rPr>
              <w:t>dhe shpërndarjes së statistikave zyrtare si pasojë e fatkeqësive natyrore/ pandemive globale</w:t>
            </w:r>
            <w:r w:rsidRPr="00B31292">
              <w:rPr>
                <w:rFonts w:ascii="Garamond" w:eastAsia="Times New Roman" w:hAnsi="Garamond" w:cs="Times New Roman"/>
                <w:color w:val="000000"/>
                <w:sz w:val="10"/>
                <w:szCs w:val="10"/>
              </w:rPr>
              <w:t xml:space="preserve"> -|- 1</w:t>
            </w:r>
          </w:p>
        </w:tc>
        <w:tc>
          <w:tcPr>
            <w:tcW w:w="273" w:type="pct"/>
            <w:tcBorders>
              <w:top w:val="single" w:sz="4" w:space="0" w:color="auto"/>
              <w:left w:val="nil"/>
              <w:bottom w:val="single" w:sz="4" w:space="0" w:color="auto"/>
              <w:right w:val="single" w:sz="4" w:space="0" w:color="auto"/>
            </w:tcBorders>
            <w:shd w:val="clear" w:color="auto" w:fill="auto"/>
            <w:vAlign w:val="center"/>
            <w:hideMark/>
          </w:tcPr>
          <w:p w14:paraId="46E3AF0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Buxhet shteti</w:t>
            </w:r>
          </w:p>
        </w:tc>
      </w:tr>
      <w:tr w:rsidR="000A2254" w:rsidRPr="00B31292" w14:paraId="4DB9BB4E" w14:textId="77777777" w:rsidTr="000A2254">
        <w:trPr>
          <w:trHeight w:val="20"/>
        </w:trPr>
        <w:tc>
          <w:tcPr>
            <w:tcW w:w="215" w:type="pct"/>
            <w:tcBorders>
              <w:top w:val="nil"/>
              <w:left w:val="nil"/>
              <w:bottom w:val="nil"/>
              <w:right w:val="nil"/>
            </w:tcBorders>
            <w:shd w:val="clear" w:color="000000" w:fill="FFFFFF"/>
            <w:vAlign w:val="bottom"/>
            <w:hideMark/>
          </w:tcPr>
          <w:p w14:paraId="48EBB65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15BFE00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7D0363D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061AC28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4BA61D3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3EBCD00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000000"/>
              <w:bottom w:val="single" w:sz="4" w:space="0" w:color="000000"/>
              <w:right w:val="single" w:sz="4" w:space="0" w:color="000000"/>
            </w:tcBorders>
            <w:shd w:val="clear" w:color="auto" w:fill="auto"/>
            <w:vAlign w:val="center"/>
            <w:hideMark/>
          </w:tcPr>
          <w:p w14:paraId="6C867E94"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3.7.1.2</w:t>
            </w:r>
          </w:p>
        </w:tc>
        <w:tc>
          <w:tcPr>
            <w:tcW w:w="281" w:type="pct"/>
            <w:tcBorders>
              <w:top w:val="nil"/>
              <w:left w:val="nil"/>
              <w:bottom w:val="single" w:sz="4" w:space="0" w:color="000000"/>
              <w:right w:val="single" w:sz="4" w:space="0" w:color="000000"/>
            </w:tcBorders>
            <w:shd w:val="clear" w:color="auto" w:fill="auto"/>
            <w:vAlign w:val="center"/>
            <w:hideMark/>
          </w:tcPr>
          <w:p w14:paraId="7EB2D744"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Indeksi i Harmonizuar i Çmimeve të Konsumit</w:t>
            </w:r>
          </w:p>
        </w:tc>
        <w:tc>
          <w:tcPr>
            <w:tcW w:w="236" w:type="pct"/>
            <w:tcBorders>
              <w:top w:val="nil"/>
              <w:left w:val="nil"/>
              <w:bottom w:val="single" w:sz="4" w:space="0" w:color="000000"/>
              <w:right w:val="single" w:sz="4" w:space="0" w:color="000000"/>
            </w:tcBorders>
            <w:shd w:val="clear" w:color="auto" w:fill="auto"/>
            <w:vAlign w:val="center"/>
            <w:hideMark/>
          </w:tcPr>
          <w:p w14:paraId="2DF9544D" w14:textId="46F4BD09"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Vrojtim (Anketa e Çmimeve t</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sz w:val="10"/>
                <w:szCs w:val="10"/>
              </w:rPr>
              <w:t xml:space="preserve"> Konsumit)</w:t>
            </w:r>
          </w:p>
        </w:tc>
        <w:tc>
          <w:tcPr>
            <w:tcW w:w="238" w:type="pct"/>
            <w:tcBorders>
              <w:top w:val="nil"/>
              <w:left w:val="nil"/>
              <w:bottom w:val="single" w:sz="4" w:space="0" w:color="auto"/>
              <w:right w:val="single" w:sz="4" w:space="0" w:color="auto"/>
            </w:tcBorders>
            <w:shd w:val="clear" w:color="auto" w:fill="auto"/>
            <w:vAlign w:val="center"/>
            <w:hideMark/>
          </w:tcPr>
          <w:p w14:paraId="5123C68B"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180" w:type="pct"/>
            <w:tcBorders>
              <w:top w:val="nil"/>
              <w:left w:val="nil"/>
              <w:bottom w:val="single" w:sz="4" w:space="0" w:color="auto"/>
              <w:right w:val="single" w:sz="4" w:space="0" w:color="auto"/>
            </w:tcBorders>
            <w:shd w:val="clear" w:color="auto" w:fill="auto"/>
            <w:noWrap/>
            <w:vAlign w:val="center"/>
            <w:hideMark/>
          </w:tcPr>
          <w:p w14:paraId="6484A1A7"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228" w:type="pct"/>
            <w:tcBorders>
              <w:top w:val="nil"/>
              <w:left w:val="nil"/>
              <w:bottom w:val="single" w:sz="4" w:space="0" w:color="auto"/>
              <w:right w:val="single" w:sz="4" w:space="0" w:color="auto"/>
            </w:tcBorders>
            <w:shd w:val="clear" w:color="auto" w:fill="auto"/>
            <w:vAlign w:val="center"/>
            <w:hideMark/>
          </w:tcPr>
          <w:p w14:paraId="4F3A77B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tcBorders>
              <w:top w:val="nil"/>
              <w:left w:val="nil"/>
              <w:bottom w:val="single" w:sz="4" w:space="0" w:color="000000"/>
              <w:right w:val="single" w:sz="4" w:space="0" w:color="000000"/>
            </w:tcBorders>
            <w:shd w:val="clear" w:color="auto" w:fill="auto"/>
            <w:vAlign w:val="center"/>
            <w:hideMark/>
          </w:tcPr>
          <w:p w14:paraId="111028A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Mujor</w:t>
            </w:r>
          </w:p>
        </w:tc>
        <w:tc>
          <w:tcPr>
            <w:tcW w:w="486" w:type="pct"/>
            <w:tcBorders>
              <w:top w:val="nil"/>
              <w:left w:val="nil"/>
              <w:bottom w:val="single" w:sz="4" w:space="0" w:color="auto"/>
              <w:right w:val="single" w:sz="4" w:space="0" w:color="auto"/>
            </w:tcBorders>
            <w:shd w:val="clear" w:color="000000" w:fill="FFFFFF"/>
            <w:vAlign w:val="center"/>
            <w:hideMark/>
          </w:tcPr>
          <w:p w14:paraId="33F3B7AD" w14:textId="466DE7EA"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Indeksi mujor i çmimeve të harmonizuar të konsumit</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 Indeksi mesatar vjetor i çmimeve të harmonizuar të konsumit</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3. Ndryshimi mujor i </w:t>
            </w:r>
            <w:r w:rsidR="002B0C41" w:rsidRPr="00B31292">
              <w:rPr>
                <w:rFonts w:ascii="Garamond" w:eastAsia="Times New Roman" w:hAnsi="Garamond" w:cs="Times New Roman"/>
                <w:color w:val="000000"/>
                <w:sz w:val="10"/>
                <w:szCs w:val="10"/>
              </w:rPr>
              <w:t>i</w:t>
            </w:r>
            <w:r w:rsidRPr="00B31292">
              <w:rPr>
                <w:rFonts w:ascii="Garamond" w:eastAsia="Times New Roman" w:hAnsi="Garamond" w:cs="Times New Roman"/>
                <w:color w:val="000000"/>
                <w:sz w:val="10"/>
                <w:szCs w:val="10"/>
              </w:rPr>
              <w:t>ndeksit të çmimeve</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të harmonizuar të konsumit</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4. Ndryshimi vjetor i </w:t>
            </w:r>
            <w:r w:rsidR="002B0C41" w:rsidRPr="00B31292">
              <w:rPr>
                <w:rFonts w:ascii="Garamond" w:eastAsia="Times New Roman" w:hAnsi="Garamond" w:cs="Times New Roman"/>
                <w:color w:val="000000"/>
                <w:sz w:val="10"/>
                <w:szCs w:val="10"/>
              </w:rPr>
              <w:t>i</w:t>
            </w:r>
            <w:r w:rsidRPr="00B31292">
              <w:rPr>
                <w:rFonts w:ascii="Garamond" w:eastAsia="Times New Roman" w:hAnsi="Garamond" w:cs="Times New Roman"/>
                <w:color w:val="000000"/>
                <w:sz w:val="10"/>
                <w:szCs w:val="10"/>
              </w:rPr>
              <w:t>ndeksit të çmimeve</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të harmonizuar të konsumit</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5. Ndryshimi mesatar vjetor</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i Indeksit të çmimeve të harmonizuar të konsumit</w:t>
            </w:r>
            <w:r w:rsidR="002B0C41" w:rsidRPr="00B31292">
              <w:rPr>
                <w:rFonts w:ascii="Garamond" w:eastAsia="Times New Roman" w:hAnsi="Garamond" w:cs="Times New Roman"/>
                <w:color w:val="000000"/>
                <w:sz w:val="10"/>
                <w:szCs w:val="10"/>
              </w:rPr>
              <w:t>.</w:t>
            </w:r>
          </w:p>
        </w:tc>
        <w:tc>
          <w:tcPr>
            <w:tcW w:w="299" w:type="pct"/>
            <w:tcBorders>
              <w:top w:val="nil"/>
              <w:left w:val="nil"/>
              <w:bottom w:val="single" w:sz="4" w:space="0" w:color="000000"/>
              <w:right w:val="nil"/>
            </w:tcBorders>
            <w:shd w:val="clear" w:color="auto" w:fill="auto"/>
            <w:vAlign w:val="center"/>
            <w:hideMark/>
          </w:tcPr>
          <w:p w14:paraId="27DA461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Instituti i Statistikave</w:t>
            </w:r>
          </w:p>
        </w:tc>
        <w:tc>
          <w:tcPr>
            <w:tcW w:w="224" w:type="pct"/>
            <w:tcBorders>
              <w:top w:val="nil"/>
              <w:left w:val="single" w:sz="4" w:space="0" w:color="auto"/>
              <w:bottom w:val="single" w:sz="4" w:space="0" w:color="auto"/>
              <w:right w:val="single" w:sz="4" w:space="0" w:color="auto"/>
            </w:tcBorders>
            <w:shd w:val="clear" w:color="auto" w:fill="auto"/>
            <w:vAlign w:val="center"/>
            <w:hideMark/>
          </w:tcPr>
          <w:p w14:paraId="7BC066FA" w14:textId="6376DCDC"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2B0C41" w:rsidRPr="00B31292">
              <w:rPr>
                <w:rFonts w:ascii="Garamond" w:eastAsia="Times New Roman" w:hAnsi="Garamond" w:cs="Times New Roman"/>
                <w:color w:val="000000"/>
                <w:sz w:val="10"/>
                <w:szCs w:val="10"/>
              </w:rPr>
              <w:t>-i</w:t>
            </w:r>
          </w:p>
        </w:tc>
        <w:tc>
          <w:tcPr>
            <w:tcW w:w="244" w:type="pct"/>
            <w:tcBorders>
              <w:top w:val="nil"/>
              <w:left w:val="nil"/>
              <w:bottom w:val="single" w:sz="4" w:space="0" w:color="auto"/>
              <w:right w:val="single" w:sz="4" w:space="0" w:color="auto"/>
            </w:tcBorders>
            <w:shd w:val="clear" w:color="000000" w:fill="FFFFFF"/>
            <w:vAlign w:val="center"/>
            <w:hideMark/>
          </w:tcPr>
          <w:p w14:paraId="1F3B779D" w14:textId="7C184E15"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Dita e 24</w:t>
            </w:r>
            <w:r w:rsidR="002B0C41" w:rsidRPr="00B31292">
              <w:rPr>
                <w:rFonts w:ascii="Garamond" w:eastAsia="Times New Roman" w:hAnsi="Garamond" w:cs="Times New Roman"/>
                <w:color w:val="000000"/>
                <w:sz w:val="10"/>
                <w:szCs w:val="10"/>
              </w:rPr>
              <w:t>-rt</w:t>
            </w:r>
            <w:r w:rsidRPr="00B31292">
              <w:rPr>
                <w:rFonts w:ascii="Garamond" w:eastAsia="Times New Roman" w:hAnsi="Garamond" w:cs="Times New Roman"/>
                <w:color w:val="000000"/>
                <w:sz w:val="10"/>
                <w:szCs w:val="10"/>
              </w:rPr>
              <w:t xml:space="preserve"> e M</w:t>
            </w:r>
          </w:p>
        </w:tc>
        <w:tc>
          <w:tcPr>
            <w:tcW w:w="220" w:type="pct"/>
            <w:tcBorders>
              <w:top w:val="nil"/>
              <w:left w:val="nil"/>
              <w:bottom w:val="single" w:sz="4" w:space="0" w:color="auto"/>
              <w:right w:val="single" w:sz="4" w:space="0" w:color="auto"/>
            </w:tcBorders>
            <w:shd w:val="clear" w:color="000000" w:fill="FFFFFF"/>
            <w:vAlign w:val="center"/>
            <w:hideMark/>
          </w:tcPr>
          <w:p w14:paraId="47688000"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M + 16D</w:t>
            </w:r>
          </w:p>
        </w:tc>
        <w:tc>
          <w:tcPr>
            <w:tcW w:w="220" w:type="pct"/>
            <w:tcBorders>
              <w:top w:val="nil"/>
              <w:left w:val="nil"/>
              <w:bottom w:val="single" w:sz="4" w:space="0" w:color="auto"/>
              <w:right w:val="single" w:sz="4" w:space="0" w:color="auto"/>
            </w:tcBorders>
            <w:shd w:val="clear" w:color="000000" w:fill="FFFFFF"/>
            <w:vAlign w:val="center"/>
            <w:hideMark/>
          </w:tcPr>
          <w:p w14:paraId="0F036229"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M + 21D</w:t>
            </w:r>
          </w:p>
        </w:tc>
        <w:tc>
          <w:tcPr>
            <w:tcW w:w="346" w:type="pct"/>
            <w:tcBorders>
              <w:top w:val="nil"/>
              <w:left w:val="nil"/>
              <w:bottom w:val="single" w:sz="4" w:space="0" w:color="auto"/>
              <w:right w:val="single" w:sz="4" w:space="0" w:color="auto"/>
            </w:tcBorders>
            <w:shd w:val="clear" w:color="auto" w:fill="auto"/>
            <w:vAlign w:val="center"/>
            <w:hideMark/>
          </w:tcPr>
          <w:p w14:paraId="0FD9706D" w14:textId="091BDA6A"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Mospërmbushja e</w:t>
            </w:r>
            <w:r w:rsidR="003E16E0" w:rsidRPr="00B31292">
              <w:rPr>
                <w:rFonts w:ascii="Garamond" w:eastAsia="Times New Roman" w:hAnsi="Garamond" w:cs="Times New Roman"/>
                <w:color w:val="000000"/>
                <w:sz w:val="10"/>
                <w:szCs w:val="10"/>
              </w:rPr>
              <w:t xml:space="preserve"> </w:t>
            </w:r>
            <w:r w:rsidR="00F667B8" w:rsidRPr="00B31292">
              <w:rPr>
                <w:rFonts w:ascii="Garamond" w:eastAsia="Times New Roman" w:hAnsi="Garamond" w:cs="Times New Roman"/>
                <w:color w:val="000000"/>
                <w:sz w:val="10"/>
                <w:szCs w:val="10"/>
              </w:rPr>
              <w:t>kritereve të cilësisë, si:</w:t>
            </w:r>
            <w:r w:rsidRPr="00B31292">
              <w:rPr>
                <w:rFonts w:ascii="Garamond" w:eastAsia="Times New Roman" w:hAnsi="Garamond" w:cs="Times New Roman"/>
                <w:color w:val="000000"/>
                <w:sz w:val="10"/>
                <w:szCs w:val="10"/>
              </w:rPr>
              <w:t xml:space="preserve"> saktësia, përpikmëria dhe krahasueshmëria, për të dhënat administrative -|- 1</w:t>
            </w:r>
            <w:r w:rsidRPr="00B31292">
              <w:rPr>
                <w:rFonts w:ascii="Garamond" w:eastAsia="Times New Roman" w:hAnsi="Garamond" w:cs="Times New Roman"/>
                <w:color w:val="000000"/>
                <w:sz w:val="10"/>
                <w:szCs w:val="10"/>
              </w:rPr>
              <w:br/>
              <w:t>2. Mospërmbushja e</w:t>
            </w:r>
            <w:r w:rsidR="003E16E0" w:rsidRPr="00B31292">
              <w:rPr>
                <w:rFonts w:ascii="Garamond" w:eastAsia="Times New Roman" w:hAnsi="Garamond" w:cs="Times New Roman"/>
                <w:color w:val="000000"/>
                <w:sz w:val="10"/>
                <w:szCs w:val="10"/>
              </w:rPr>
              <w:t xml:space="preserve"> </w:t>
            </w:r>
            <w:r w:rsidR="00F667B8" w:rsidRPr="00B31292">
              <w:rPr>
                <w:rFonts w:ascii="Garamond" w:eastAsia="Times New Roman" w:hAnsi="Garamond" w:cs="Times New Roman"/>
                <w:color w:val="000000"/>
                <w:sz w:val="10"/>
                <w:szCs w:val="10"/>
              </w:rPr>
              <w:t>kritereve të cilësisë, si:</w:t>
            </w:r>
            <w:r w:rsidRPr="00B31292">
              <w:rPr>
                <w:rFonts w:ascii="Garamond" w:eastAsia="Times New Roman" w:hAnsi="Garamond" w:cs="Times New Roman"/>
                <w:color w:val="000000"/>
                <w:sz w:val="10"/>
                <w:szCs w:val="10"/>
              </w:rPr>
              <w:t xml:space="preserve"> saktësia, përpikmëria dhe krahasueshmëria, për vrojtimet statistikore -|- 1</w:t>
            </w:r>
            <w:r w:rsidRPr="00B31292">
              <w:rPr>
                <w:rFonts w:ascii="Garamond" w:eastAsia="Times New Roman" w:hAnsi="Garamond" w:cs="Times New Roman"/>
                <w:color w:val="000000"/>
                <w:sz w:val="10"/>
                <w:szCs w:val="10"/>
              </w:rPr>
              <w:br/>
              <w:t xml:space="preserve">3. Pezullimi/vonesa e mbledhjes, prodhimit </w:t>
            </w:r>
            <w:r w:rsidR="00F667B8" w:rsidRPr="00B31292">
              <w:rPr>
                <w:rFonts w:ascii="Garamond" w:eastAsia="Times New Roman" w:hAnsi="Garamond" w:cs="Times New Roman"/>
                <w:color w:val="000000"/>
                <w:sz w:val="10"/>
                <w:szCs w:val="10"/>
              </w:rPr>
              <w:t xml:space="preserve">dhe </w:t>
            </w:r>
            <w:r w:rsidR="00F667B8" w:rsidRPr="00B31292">
              <w:rPr>
                <w:rFonts w:ascii="Garamond" w:eastAsia="Times New Roman" w:hAnsi="Garamond" w:cs="Times New Roman"/>
                <w:color w:val="000000"/>
                <w:sz w:val="10"/>
                <w:szCs w:val="10"/>
              </w:rPr>
              <w:lastRenderedPageBreak/>
              <w:t>shpërndarjes së statistikave zyrtare si pasojë e fatkeqësive natyrore/ pandemive globale</w:t>
            </w:r>
            <w:r w:rsidRPr="00B31292">
              <w:rPr>
                <w:rFonts w:ascii="Garamond" w:eastAsia="Times New Roman" w:hAnsi="Garamond" w:cs="Times New Roman"/>
                <w:color w:val="000000"/>
                <w:sz w:val="10"/>
                <w:szCs w:val="10"/>
              </w:rPr>
              <w:t xml:space="preserve"> -|- 1</w:t>
            </w:r>
          </w:p>
        </w:tc>
        <w:tc>
          <w:tcPr>
            <w:tcW w:w="273" w:type="pct"/>
            <w:tcBorders>
              <w:top w:val="nil"/>
              <w:left w:val="nil"/>
              <w:bottom w:val="single" w:sz="4" w:space="0" w:color="auto"/>
              <w:right w:val="single" w:sz="4" w:space="0" w:color="auto"/>
            </w:tcBorders>
            <w:shd w:val="clear" w:color="auto" w:fill="auto"/>
            <w:vAlign w:val="center"/>
            <w:hideMark/>
          </w:tcPr>
          <w:p w14:paraId="23BABB8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lastRenderedPageBreak/>
              <w:t>Buxhet shteti</w:t>
            </w:r>
          </w:p>
        </w:tc>
      </w:tr>
      <w:tr w:rsidR="000A2254" w:rsidRPr="00B31292" w14:paraId="4A102FB3" w14:textId="77777777" w:rsidTr="000A2254">
        <w:trPr>
          <w:trHeight w:val="20"/>
        </w:trPr>
        <w:tc>
          <w:tcPr>
            <w:tcW w:w="215" w:type="pct"/>
            <w:tcBorders>
              <w:top w:val="nil"/>
              <w:left w:val="nil"/>
              <w:bottom w:val="nil"/>
              <w:right w:val="nil"/>
            </w:tcBorders>
            <w:shd w:val="clear" w:color="000000" w:fill="FFFFFF"/>
            <w:vAlign w:val="bottom"/>
            <w:hideMark/>
          </w:tcPr>
          <w:p w14:paraId="69538A2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44E907A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3AD7CF6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043BDF8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07FA503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28E3836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000000"/>
              <w:bottom w:val="nil"/>
              <w:right w:val="single" w:sz="4" w:space="0" w:color="000000"/>
            </w:tcBorders>
            <w:shd w:val="clear" w:color="auto" w:fill="auto"/>
            <w:vAlign w:val="center"/>
            <w:hideMark/>
          </w:tcPr>
          <w:p w14:paraId="3B35D0B4"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3.7.1.3</w:t>
            </w:r>
          </w:p>
        </w:tc>
        <w:tc>
          <w:tcPr>
            <w:tcW w:w="281" w:type="pct"/>
            <w:tcBorders>
              <w:top w:val="nil"/>
              <w:left w:val="nil"/>
              <w:bottom w:val="nil"/>
              <w:right w:val="single" w:sz="4" w:space="0" w:color="000000"/>
            </w:tcBorders>
            <w:shd w:val="clear" w:color="auto" w:fill="auto"/>
            <w:vAlign w:val="center"/>
            <w:hideMark/>
          </w:tcPr>
          <w:p w14:paraId="1A9456A5"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Indeksi i Harmonizuar i Çmimeve të Konsumit (IHÇK) me taksa konstante</w:t>
            </w:r>
          </w:p>
        </w:tc>
        <w:tc>
          <w:tcPr>
            <w:tcW w:w="236" w:type="pct"/>
            <w:tcBorders>
              <w:top w:val="nil"/>
              <w:left w:val="nil"/>
              <w:bottom w:val="single" w:sz="4" w:space="0" w:color="000000"/>
              <w:right w:val="single" w:sz="4" w:space="0" w:color="000000"/>
            </w:tcBorders>
            <w:shd w:val="clear" w:color="auto" w:fill="auto"/>
            <w:vAlign w:val="center"/>
            <w:hideMark/>
          </w:tcPr>
          <w:p w14:paraId="47CCB5D5" w14:textId="75DE546C"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Vrojtim (Anketa e Çmimeve t</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sz w:val="10"/>
                <w:szCs w:val="10"/>
              </w:rPr>
              <w:t xml:space="preserve"> Konsumit)</w:t>
            </w:r>
          </w:p>
        </w:tc>
        <w:tc>
          <w:tcPr>
            <w:tcW w:w="238" w:type="pct"/>
            <w:tcBorders>
              <w:top w:val="nil"/>
              <w:left w:val="nil"/>
              <w:bottom w:val="single" w:sz="4" w:space="0" w:color="auto"/>
              <w:right w:val="single" w:sz="4" w:space="0" w:color="auto"/>
            </w:tcBorders>
            <w:shd w:val="clear" w:color="auto" w:fill="auto"/>
            <w:vAlign w:val="center"/>
            <w:hideMark/>
          </w:tcPr>
          <w:p w14:paraId="13688792"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180" w:type="pct"/>
            <w:tcBorders>
              <w:top w:val="nil"/>
              <w:left w:val="nil"/>
              <w:bottom w:val="single" w:sz="4" w:space="0" w:color="auto"/>
              <w:right w:val="single" w:sz="4" w:space="0" w:color="auto"/>
            </w:tcBorders>
            <w:shd w:val="clear" w:color="auto" w:fill="auto"/>
            <w:noWrap/>
            <w:vAlign w:val="center"/>
            <w:hideMark/>
          </w:tcPr>
          <w:p w14:paraId="2C25A1B0"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228" w:type="pct"/>
            <w:tcBorders>
              <w:top w:val="nil"/>
              <w:left w:val="nil"/>
              <w:bottom w:val="single" w:sz="4" w:space="0" w:color="auto"/>
              <w:right w:val="single" w:sz="4" w:space="0" w:color="auto"/>
            </w:tcBorders>
            <w:shd w:val="clear" w:color="auto" w:fill="auto"/>
            <w:vAlign w:val="center"/>
            <w:hideMark/>
          </w:tcPr>
          <w:p w14:paraId="3AB8B8E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tcBorders>
              <w:top w:val="nil"/>
              <w:left w:val="nil"/>
              <w:bottom w:val="nil"/>
              <w:right w:val="single" w:sz="4" w:space="0" w:color="000000"/>
            </w:tcBorders>
            <w:shd w:val="clear" w:color="auto" w:fill="auto"/>
            <w:vAlign w:val="center"/>
            <w:hideMark/>
          </w:tcPr>
          <w:p w14:paraId="5B993E5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Mujor</w:t>
            </w:r>
          </w:p>
        </w:tc>
        <w:tc>
          <w:tcPr>
            <w:tcW w:w="486" w:type="pct"/>
            <w:tcBorders>
              <w:top w:val="nil"/>
              <w:left w:val="nil"/>
              <w:bottom w:val="nil"/>
              <w:right w:val="single" w:sz="4" w:space="0" w:color="auto"/>
            </w:tcBorders>
            <w:shd w:val="clear" w:color="000000" w:fill="FFFFFF"/>
            <w:vAlign w:val="center"/>
            <w:hideMark/>
          </w:tcPr>
          <w:p w14:paraId="20F98F10" w14:textId="578A3983"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Indeksi mujor i çmimeve të harmonizuar të konsumit</w:t>
            </w:r>
            <w:r w:rsidR="002B0C4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 xml:space="preserve"> me taksa konstante</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 Indeksi mesatar vjetor i çmimeve të harmonizuar të konsumit me taksa konstante</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3. Ndryshimi mujor i </w:t>
            </w:r>
            <w:r w:rsidR="002B0C41" w:rsidRPr="00B31292">
              <w:rPr>
                <w:rFonts w:ascii="Garamond" w:eastAsia="Times New Roman" w:hAnsi="Garamond" w:cs="Times New Roman"/>
                <w:color w:val="000000"/>
                <w:sz w:val="10"/>
                <w:szCs w:val="10"/>
              </w:rPr>
              <w:t>i</w:t>
            </w:r>
            <w:r w:rsidRPr="00B31292">
              <w:rPr>
                <w:rFonts w:ascii="Garamond" w:eastAsia="Times New Roman" w:hAnsi="Garamond" w:cs="Times New Roman"/>
                <w:color w:val="000000"/>
                <w:sz w:val="10"/>
                <w:szCs w:val="10"/>
              </w:rPr>
              <w:t>ndeksit të çmimeve</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të harmonizuar të konsumit me taksa konstante</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4. Ndryshimi vjetor i </w:t>
            </w:r>
            <w:r w:rsidR="002B0C41" w:rsidRPr="00B31292">
              <w:rPr>
                <w:rFonts w:ascii="Garamond" w:eastAsia="Times New Roman" w:hAnsi="Garamond" w:cs="Times New Roman"/>
                <w:color w:val="000000"/>
                <w:sz w:val="10"/>
                <w:szCs w:val="10"/>
              </w:rPr>
              <w:t>i</w:t>
            </w:r>
            <w:r w:rsidRPr="00B31292">
              <w:rPr>
                <w:rFonts w:ascii="Garamond" w:eastAsia="Times New Roman" w:hAnsi="Garamond" w:cs="Times New Roman"/>
                <w:color w:val="000000"/>
                <w:sz w:val="10"/>
                <w:szCs w:val="10"/>
              </w:rPr>
              <w:t>ndeksit të çmimeve</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të harmonizuar të konsumit me taksa konstante</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5. Ndryshimi mesatar vjetor i </w:t>
            </w:r>
            <w:r w:rsidR="002B0C41" w:rsidRPr="00B31292">
              <w:rPr>
                <w:rFonts w:ascii="Garamond" w:eastAsia="Times New Roman" w:hAnsi="Garamond" w:cs="Times New Roman"/>
                <w:color w:val="000000"/>
                <w:sz w:val="10"/>
                <w:szCs w:val="10"/>
              </w:rPr>
              <w:t>i</w:t>
            </w:r>
            <w:r w:rsidRPr="00B31292">
              <w:rPr>
                <w:rFonts w:ascii="Garamond" w:eastAsia="Times New Roman" w:hAnsi="Garamond" w:cs="Times New Roman"/>
                <w:color w:val="000000"/>
                <w:sz w:val="10"/>
                <w:szCs w:val="10"/>
              </w:rPr>
              <w:t>ndeksit të çmimeve të harmonizuar të konsumit me taksa konstante</w:t>
            </w:r>
            <w:r w:rsidR="002B0C41" w:rsidRPr="00B31292">
              <w:rPr>
                <w:rFonts w:ascii="Garamond" w:eastAsia="Times New Roman" w:hAnsi="Garamond" w:cs="Times New Roman"/>
                <w:color w:val="000000"/>
                <w:sz w:val="10"/>
                <w:szCs w:val="10"/>
              </w:rPr>
              <w:t>.</w:t>
            </w:r>
          </w:p>
        </w:tc>
        <w:tc>
          <w:tcPr>
            <w:tcW w:w="299" w:type="pct"/>
            <w:tcBorders>
              <w:top w:val="nil"/>
              <w:left w:val="nil"/>
              <w:bottom w:val="nil"/>
              <w:right w:val="nil"/>
            </w:tcBorders>
            <w:shd w:val="clear" w:color="auto" w:fill="auto"/>
            <w:vAlign w:val="center"/>
            <w:hideMark/>
          </w:tcPr>
          <w:p w14:paraId="20F20B2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Instituti i Statistikave</w:t>
            </w:r>
          </w:p>
        </w:tc>
        <w:tc>
          <w:tcPr>
            <w:tcW w:w="224" w:type="pct"/>
            <w:tcBorders>
              <w:top w:val="nil"/>
              <w:left w:val="single" w:sz="4" w:space="0" w:color="auto"/>
              <w:bottom w:val="nil"/>
              <w:right w:val="single" w:sz="4" w:space="0" w:color="auto"/>
            </w:tcBorders>
            <w:shd w:val="clear" w:color="auto" w:fill="auto"/>
            <w:vAlign w:val="center"/>
            <w:hideMark/>
          </w:tcPr>
          <w:p w14:paraId="00A32680" w14:textId="6FAD5691"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2B0C41" w:rsidRPr="00B31292">
              <w:rPr>
                <w:rFonts w:ascii="Garamond" w:eastAsia="Times New Roman" w:hAnsi="Garamond" w:cs="Times New Roman"/>
                <w:color w:val="000000"/>
                <w:sz w:val="10"/>
                <w:szCs w:val="10"/>
              </w:rPr>
              <w:t>-i</w:t>
            </w:r>
          </w:p>
        </w:tc>
        <w:tc>
          <w:tcPr>
            <w:tcW w:w="244" w:type="pct"/>
            <w:tcBorders>
              <w:top w:val="nil"/>
              <w:left w:val="nil"/>
              <w:bottom w:val="single" w:sz="4" w:space="0" w:color="auto"/>
              <w:right w:val="single" w:sz="4" w:space="0" w:color="auto"/>
            </w:tcBorders>
            <w:shd w:val="clear" w:color="000000" w:fill="FFFFFF"/>
            <w:vAlign w:val="center"/>
            <w:hideMark/>
          </w:tcPr>
          <w:p w14:paraId="0E08A09E"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Dita e 24 e M</w:t>
            </w:r>
          </w:p>
        </w:tc>
        <w:tc>
          <w:tcPr>
            <w:tcW w:w="220" w:type="pct"/>
            <w:tcBorders>
              <w:top w:val="nil"/>
              <w:left w:val="nil"/>
              <w:bottom w:val="nil"/>
              <w:right w:val="single" w:sz="4" w:space="0" w:color="auto"/>
            </w:tcBorders>
            <w:shd w:val="clear" w:color="000000" w:fill="FFFFFF"/>
            <w:vAlign w:val="center"/>
            <w:hideMark/>
          </w:tcPr>
          <w:p w14:paraId="7C069600"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M + 16D</w:t>
            </w:r>
          </w:p>
        </w:tc>
        <w:tc>
          <w:tcPr>
            <w:tcW w:w="220" w:type="pct"/>
            <w:tcBorders>
              <w:top w:val="nil"/>
              <w:left w:val="nil"/>
              <w:bottom w:val="nil"/>
              <w:right w:val="single" w:sz="4" w:space="0" w:color="auto"/>
            </w:tcBorders>
            <w:shd w:val="clear" w:color="000000" w:fill="FFFFFF"/>
            <w:vAlign w:val="center"/>
            <w:hideMark/>
          </w:tcPr>
          <w:p w14:paraId="23B58A15"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M + 20D</w:t>
            </w:r>
          </w:p>
        </w:tc>
        <w:tc>
          <w:tcPr>
            <w:tcW w:w="346" w:type="pct"/>
            <w:tcBorders>
              <w:top w:val="nil"/>
              <w:left w:val="nil"/>
              <w:bottom w:val="nil"/>
              <w:right w:val="single" w:sz="4" w:space="0" w:color="auto"/>
            </w:tcBorders>
            <w:shd w:val="clear" w:color="auto" w:fill="auto"/>
            <w:vAlign w:val="center"/>
            <w:hideMark/>
          </w:tcPr>
          <w:p w14:paraId="067EFE1B" w14:textId="514B004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Mospërmbushja e</w:t>
            </w:r>
            <w:r w:rsidR="003E16E0" w:rsidRPr="00B31292">
              <w:rPr>
                <w:rFonts w:ascii="Garamond" w:eastAsia="Times New Roman" w:hAnsi="Garamond" w:cs="Times New Roman"/>
                <w:color w:val="000000"/>
                <w:sz w:val="10"/>
                <w:szCs w:val="10"/>
              </w:rPr>
              <w:t xml:space="preserve"> </w:t>
            </w:r>
            <w:r w:rsidR="00F667B8" w:rsidRPr="00B31292">
              <w:rPr>
                <w:rFonts w:ascii="Garamond" w:eastAsia="Times New Roman" w:hAnsi="Garamond" w:cs="Times New Roman"/>
                <w:color w:val="000000"/>
                <w:sz w:val="10"/>
                <w:szCs w:val="10"/>
              </w:rPr>
              <w:t>kritereve të cilësisë, si:</w:t>
            </w:r>
            <w:r w:rsidRPr="00B31292">
              <w:rPr>
                <w:rFonts w:ascii="Garamond" w:eastAsia="Times New Roman" w:hAnsi="Garamond" w:cs="Times New Roman"/>
                <w:color w:val="000000"/>
                <w:sz w:val="10"/>
                <w:szCs w:val="10"/>
              </w:rPr>
              <w:t xml:space="preserve"> saktësia, përpikmëria dhe krahasueshmëria, për të dhënat administrative -|- 1</w:t>
            </w:r>
            <w:r w:rsidRPr="00B31292">
              <w:rPr>
                <w:rFonts w:ascii="Garamond" w:eastAsia="Times New Roman" w:hAnsi="Garamond" w:cs="Times New Roman"/>
                <w:color w:val="000000"/>
                <w:sz w:val="10"/>
                <w:szCs w:val="10"/>
              </w:rPr>
              <w:br/>
              <w:t>2. Mospërmbushja e</w:t>
            </w:r>
            <w:r w:rsidR="003E16E0" w:rsidRPr="00B31292">
              <w:rPr>
                <w:rFonts w:ascii="Garamond" w:eastAsia="Times New Roman" w:hAnsi="Garamond" w:cs="Times New Roman"/>
                <w:color w:val="000000"/>
                <w:sz w:val="10"/>
                <w:szCs w:val="10"/>
              </w:rPr>
              <w:t xml:space="preserve"> </w:t>
            </w:r>
            <w:r w:rsidR="00F667B8" w:rsidRPr="00B31292">
              <w:rPr>
                <w:rFonts w:ascii="Garamond" w:eastAsia="Times New Roman" w:hAnsi="Garamond" w:cs="Times New Roman"/>
                <w:color w:val="000000"/>
                <w:sz w:val="10"/>
                <w:szCs w:val="10"/>
              </w:rPr>
              <w:t>kritereve të cilësisë, si:</w:t>
            </w:r>
            <w:r w:rsidRPr="00B31292">
              <w:rPr>
                <w:rFonts w:ascii="Garamond" w:eastAsia="Times New Roman" w:hAnsi="Garamond" w:cs="Times New Roman"/>
                <w:color w:val="000000"/>
                <w:sz w:val="10"/>
                <w:szCs w:val="10"/>
              </w:rPr>
              <w:t xml:space="preserve"> saktësia, përpikmëria dhe krahasueshmëria, për vrojtimet statistikore -|- 1</w:t>
            </w:r>
            <w:r w:rsidRPr="00B31292">
              <w:rPr>
                <w:rFonts w:ascii="Garamond" w:eastAsia="Times New Roman" w:hAnsi="Garamond" w:cs="Times New Roman"/>
                <w:color w:val="000000"/>
                <w:sz w:val="10"/>
                <w:szCs w:val="10"/>
              </w:rPr>
              <w:br/>
              <w:t xml:space="preserve">3. Pezullimi/vonesa e mbledhjes, prodhimit </w:t>
            </w:r>
            <w:r w:rsidR="00F667B8" w:rsidRPr="00B31292">
              <w:rPr>
                <w:rFonts w:ascii="Garamond" w:eastAsia="Times New Roman" w:hAnsi="Garamond" w:cs="Times New Roman"/>
                <w:color w:val="000000"/>
                <w:sz w:val="10"/>
                <w:szCs w:val="10"/>
              </w:rPr>
              <w:t>dhe shpërndarjes së statistikave zyrtare si pasojë e fatkeqësive natyrore/ pandemive globale</w:t>
            </w:r>
            <w:r w:rsidRPr="00B31292">
              <w:rPr>
                <w:rFonts w:ascii="Garamond" w:eastAsia="Times New Roman" w:hAnsi="Garamond" w:cs="Times New Roman"/>
                <w:color w:val="000000"/>
                <w:sz w:val="10"/>
                <w:szCs w:val="10"/>
              </w:rPr>
              <w:t xml:space="preserve"> -|- 1</w:t>
            </w:r>
          </w:p>
        </w:tc>
        <w:tc>
          <w:tcPr>
            <w:tcW w:w="273" w:type="pct"/>
            <w:tcBorders>
              <w:top w:val="nil"/>
              <w:left w:val="nil"/>
              <w:bottom w:val="nil"/>
              <w:right w:val="single" w:sz="4" w:space="0" w:color="auto"/>
            </w:tcBorders>
            <w:shd w:val="clear" w:color="auto" w:fill="auto"/>
            <w:vAlign w:val="center"/>
            <w:hideMark/>
          </w:tcPr>
          <w:p w14:paraId="50E7074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Buxhet shteti</w:t>
            </w:r>
          </w:p>
        </w:tc>
      </w:tr>
      <w:tr w:rsidR="000A2254" w:rsidRPr="00B31292" w14:paraId="693E55C4" w14:textId="77777777" w:rsidTr="000A2254">
        <w:trPr>
          <w:trHeight w:val="20"/>
        </w:trPr>
        <w:tc>
          <w:tcPr>
            <w:tcW w:w="215" w:type="pct"/>
            <w:tcBorders>
              <w:top w:val="nil"/>
              <w:left w:val="nil"/>
              <w:bottom w:val="nil"/>
              <w:right w:val="nil"/>
            </w:tcBorders>
            <w:shd w:val="clear" w:color="000000" w:fill="FFFFFF"/>
            <w:vAlign w:val="bottom"/>
            <w:hideMark/>
          </w:tcPr>
          <w:p w14:paraId="6A02C33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0708D38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78A6B54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2E84841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single" w:sz="4" w:space="0" w:color="000000"/>
              <w:left w:val="single" w:sz="4" w:space="0" w:color="000000"/>
              <w:bottom w:val="single" w:sz="4" w:space="0" w:color="000000"/>
              <w:right w:val="nil"/>
            </w:tcBorders>
            <w:shd w:val="clear" w:color="000000" w:fill="F0F0F0"/>
            <w:vAlign w:val="center"/>
            <w:hideMark/>
          </w:tcPr>
          <w:p w14:paraId="2CCB209F"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3.7.2</w:t>
            </w:r>
          </w:p>
        </w:tc>
        <w:tc>
          <w:tcPr>
            <w:tcW w:w="4082" w:type="pct"/>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07AF403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Indeksi i Nivelit të Çmimeve, PBB për frymë në MFB</w:t>
            </w:r>
          </w:p>
        </w:tc>
      </w:tr>
      <w:tr w:rsidR="000A2254" w:rsidRPr="00B31292" w14:paraId="0C251869" w14:textId="77777777" w:rsidTr="000A2254">
        <w:trPr>
          <w:trHeight w:val="20"/>
        </w:trPr>
        <w:tc>
          <w:tcPr>
            <w:tcW w:w="215" w:type="pct"/>
            <w:tcBorders>
              <w:top w:val="nil"/>
              <w:left w:val="nil"/>
              <w:bottom w:val="nil"/>
              <w:right w:val="nil"/>
            </w:tcBorders>
            <w:shd w:val="clear" w:color="000000" w:fill="FFFFFF"/>
            <w:vAlign w:val="bottom"/>
            <w:hideMark/>
          </w:tcPr>
          <w:p w14:paraId="176D225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50CBFB5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3C75086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70CF1C5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547E60A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0F4E27F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000000"/>
              <w:bottom w:val="nil"/>
              <w:right w:val="single" w:sz="4" w:space="0" w:color="000000"/>
            </w:tcBorders>
            <w:shd w:val="clear" w:color="auto" w:fill="auto"/>
            <w:vAlign w:val="center"/>
            <w:hideMark/>
          </w:tcPr>
          <w:p w14:paraId="445F9435"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3.7.2.1</w:t>
            </w:r>
          </w:p>
        </w:tc>
        <w:tc>
          <w:tcPr>
            <w:tcW w:w="281" w:type="pct"/>
            <w:tcBorders>
              <w:top w:val="nil"/>
              <w:left w:val="nil"/>
              <w:bottom w:val="nil"/>
              <w:right w:val="single" w:sz="4" w:space="0" w:color="000000"/>
            </w:tcBorders>
            <w:shd w:val="clear" w:color="auto" w:fill="auto"/>
            <w:vAlign w:val="center"/>
            <w:hideMark/>
          </w:tcPr>
          <w:p w14:paraId="21C5838E"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Vrojtimet e Matjes së Fuqisë Blerëse</w:t>
            </w:r>
          </w:p>
        </w:tc>
        <w:tc>
          <w:tcPr>
            <w:tcW w:w="236" w:type="pct"/>
            <w:tcBorders>
              <w:top w:val="nil"/>
              <w:left w:val="nil"/>
              <w:bottom w:val="single" w:sz="4" w:space="0" w:color="000000"/>
              <w:right w:val="single" w:sz="4" w:space="0" w:color="000000"/>
            </w:tcBorders>
            <w:shd w:val="clear" w:color="auto" w:fill="auto"/>
            <w:vAlign w:val="center"/>
            <w:hideMark/>
          </w:tcPr>
          <w:p w14:paraId="3154B14F"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Vrojtim</w:t>
            </w:r>
          </w:p>
        </w:tc>
        <w:tc>
          <w:tcPr>
            <w:tcW w:w="238" w:type="pct"/>
            <w:tcBorders>
              <w:top w:val="nil"/>
              <w:left w:val="nil"/>
              <w:bottom w:val="single" w:sz="4" w:space="0" w:color="auto"/>
              <w:right w:val="single" w:sz="4" w:space="0" w:color="auto"/>
            </w:tcBorders>
            <w:shd w:val="clear" w:color="auto" w:fill="auto"/>
            <w:vAlign w:val="center"/>
            <w:hideMark/>
          </w:tcPr>
          <w:p w14:paraId="1922EB8F"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180" w:type="pct"/>
            <w:tcBorders>
              <w:top w:val="nil"/>
              <w:left w:val="nil"/>
              <w:bottom w:val="single" w:sz="4" w:space="0" w:color="auto"/>
              <w:right w:val="single" w:sz="4" w:space="0" w:color="auto"/>
            </w:tcBorders>
            <w:shd w:val="clear" w:color="auto" w:fill="auto"/>
            <w:noWrap/>
            <w:vAlign w:val="center"/>
            <w:hideMark/>
          </w:tcPr>
          <w:p w14:paraId="6BB387D7"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228" w:type="pct"/>
            <w:tcBorders>
              <w:top w:val="nil"/>
              <w:left w:val="nil"/>
              <w:bottom w:val="single" w:sz="4" w:space="0" w:color="auto"/>
              <w:right w:val="single" w:sz="4" w:space="0" w:color="auto"/>
            </w:tcBorders>
            <w:shd w:val="clear" w:color="auto" w:fill="auto"/>
            <w:vAlign w:val="center"/>
            <w:hideMark/>
          </w:tcPr>
          <w:p w14:paraId="616F3A77"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tcBorders>
              <w:top w:val="nil"/>
              <w:left w:val="nil"/>
              <w:bottom w:val="nil"/>
              <w:right w:val="single" w:sz="4" w:space="0" w:color="000000"/>
            </w:tcBorders>
            <w:shd w:val="clear" w:color="auto" w:fill="auto"/>
            <w:vAlign w:val="center"/>
            <w:hideMark/>
          </w:tcPr>
          <w:p w14:paraId="0322CEB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Vjetor</w:t>
            </w:r>
          </w:p>
        </w:tc>
        <w:tc>
          <w:tcPr>
            <w:tcW w:w="486" w:type="pct"/>
            <w:tcBorders>
              <w:top w:val="nil"/>
              <w:left w:val="nil"/>
              <w:bottom w:val="nil"/>
              <w:right w:val="single" w:sz="4" w:space="0" w:color="auto"/>
            </w:tcBorders>
            <w:shd w:val="clear" w:color="000000" w:fill="FFFFFF"/>
            <w:vAlign w:val="center"/>
            <w:hideMark/>
          </w:tcPr>
          <w:p w14:paraId="6960C9AC" w14:textId="40C28EE6"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Indeksi i nivelit të çmimeve të konsumit</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2. Produkti i </w:t>
            </w:r>
            <w:r w:rsidR="002B0C41" w:rsidRPr="00B31292">
              <w:rPr>
                <w:rFonts w:ascii="Garamond" w:eastAsia="Times New Roman" w:hAnsi="Garamond" w:cs="Times New Roman"/>
                <w:color w:val="000000"/>
                <w:sz w:val="10"/>
                <w:szCs w:val="10"/>
              </w:rPr>
              <w:t>brendshëm bruto për frym</w:t>
            </w:r>
            <w:r w:rsidRPr="00B31292">
              <w:rPr>
                <w:rFonts w:ascii="Garamond" w:eastAsia="Times New Roman" w:hAnsi="Garamond" w:cs="Times New Roman"/>
                <w:color w:val="000000"/>
                <w:sz w:val="10"/>
                <w:szCs w:val="10"/>
              </w:rPr>
              <w:t>ë në PFB</w:t>
            </w:r>
            <w:r w:rsidR="002B0C41" w:rsidRPr="00B31292">
              <w:rPr>
                <w:rFonts w:ascii="Garamond" w:eastAsia="Times New Roman" w:hAnsi="Garamond" w:cs="Times New Roman"/>
                <w:color w:val="000000"/>
                <w:sz w:val="10"/>
                <w:szCs w:val="10"/>
              </w:rPr>
              <w:t>.</w:t>
            </w:r>
          </w:p>
        </w:tc>
        <w:tc>
          <w:tcPr>
            <w:tcW w:w="299" w:type="pct"/>
            <w:tcBorders>
              <w:top w:val="nil"/>
              <w:left w:val="nil"/>
              <w:bottom w:val="nil"/>
              <w:right w:val="single" w:sz="4" w:space="0" w:color="auto"/>
            </w:tcBorders>
            <w:shd w:val="clear" w:color="auto" w:fill="auto"/>
            <w:vAlign w:val="center"/>
            <w:hideMark/>
          </w:tcPr>
          <w:p w14:paraId="4125B61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Instituti i Statistikave</w:t>
            </w:r>
          </w:p>
        </w:tc>
        <w:tc>
          <w:tcPr>
            <w:tcW w:w="224" w:type="pct"/>
            <w:tcBorders>
              <w:top w:val="nil"/>
              <w:left w:val="nil"/>
              <w:bottom w:val="nil"/>
              <w:right w:val="single" w:sz="4" w:space="0" w:color="auto"/>
            </w:tcBorders>
            <w:shd w:val="clear" w:color="auto" w:fill="auto"/>
            <w:vAlign w:val="center"/>
            <w:hideMark/>
          </w:tcPr>
          <w:p w14:paraId="5EC82CDB" w14:textId="0B186D00"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2B0C41" w:rsidRPr="00B31292">
              <w:rPr>
                <w:rFonts w:ascii="Garamond" w:eastAsia="Times New Roman" w:hAnsi="Garamond" w:cs="Times New Roman"/>
                <w:color w:val="000000"/>
                <w:sz w:val="10"/>
                <w:szCs w:val="10"/>
              </w:rPr>
              <w:t>-i</w:t>
            </w:r>
          </w:p>
        </w:tc>
        <w:tc>
          <w:tcPr>
            <w:tcW w:w="244" w:type="pct"/>
            <w:tcBorders>
              <w:top w:val="nil"/>
              <w:left w:val="nil"/>
              <w:bottom w:val="nil"/>
              <w:right w:val="single" w:sz="4" w:space="0" w:color="auto"/>
            </w:tcBorders>
            <w:shd w:val="clear" w:color="000000" w:fill="FFFFFF"/>
            <w:vAlign w:val="center"/>
            <w:hideMark/>
          </w:tcPr>
          <w:p w14:paraId="406DC1D9"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Dita e 160 e V</w:t>
            </w:r>
          </w:p>
        </w:tc>
        <w:tc>
          <w:tcPr>
            <w:tcW w:w="220" w:type="pct"/>
            <w:tcBorders>
              <w:top w:val="nil"/>
              <w:left w:val="nil"/>
              <w:bottom w:val="nil"/>
              <w:right w:val="single" w:sz="4" w:space="0" w:color="auto"/>
            </w:tcBorders>
            <w:shd w:val="clear" w:color="000000" w:fill="FFFFFF"/>
            <w:vAlign w:val="center"/>
            <w:hideMark/>
          </w:tcPr>
          <w:p w14:paraId="4DB27813"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Dita e 330 e V</w:t>
            </w:r>
          </w:p>
        </w:tc>
        <w:tc>
          <w:tcPr>
            <w:tcW w:w="220" w:type="pct"/>
            <w:tcBorders>
              <w:top w:val="nil"/>
              <w:left w:val="nil"/>
              <w:bottom w:val="nil"/>
              <w:right w:val="single" w:sz="4" w:space="0" w:color="auto"/>
            </w:tcBorders>
            <w:shd w:val="clear" w:color="000000" w:fill="FFFFFF"/>
            <w:vAlign w:val="center"/>
            <w:hideMark/>
          </w:tcPr>
          <w:p w14:paraId="52B54D5D"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346" w:type="pct"/>
            <w:tcBorders>
              <w:top w:val="nil"/>
              <w:left w:val="nil"/>
              <w:bottom w:val="nil"/>
              <w:right w:val="single" w:sz="4" w:space="0" w:color="auto"/>
            </w:tcBorders>
            <w:shd w:val="clear" w:color="auto" w:fill="auto"/>
            <w:vAlign w:val="center"/>
            <w:hideMark/>
          </w:tcPr>
          <w:p w14:paraId="1065C82C" w14:textId="22B3FACD"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Mospërmbushja e</w:t>
            </w:r>
            <w:r w:rsidR="003E16E0" w:rsidRPr="00B31292">
              <w:rPr>
                <w:rFonts w:ascii="Garamond" w:eastAsia="Times New Roman" w:hAnsi="Garamond" w:cs="Times New Roman"/>
                <w:color w:val="000000"/>
                <w:sz w:val="10"/>
                <w:szCs w:val="10"/>
              </w:rPr>
              <w:t xml:space="preserve"> </w:t>
            </w:r>
            <w:r w:rsidR="00F667B8" w:rsidRPr="00B31292">
              <w:rPr>
                <w:rFonts w:ascii="Garamond" w:eastAsia="Times New Roman" w:hAnsi="Garamond" w:cs="Times New Roman"/>
                <w:color w:val="000000"/>
                <w:sz w:val="10"/>
                <w:szCs w:val="10"/>
              </w:rPr>
              <w:t>kritereve të cilësisë, si:</w:t>
            </w:r>
            <w:r w:rsidRPr="00B31292">
              <w:rPr>
                <w:rFonts w:ascii="Garamond" w:eastAsia="Times New Roman" w:hAnsi="Garamond" w:cs="Times New Roman"/>
                <w:color w:val="000000"/>
                <w:sz w:val="10"/>
                <w:szCs w:val="10"/>
              </w:rPr>
              <w:t xml:space="preserve"> saktësia, përpikmëria dhe krahasueshmëria, për vrojtimet statistikore -|- 1</w:t>
            </w:r>
            <w:r w:rsidRPr="00B31292">
              <w:rPr>
                <w:rFonts w:ascii="Garamond" w:eastAsia="Times New Roman" w:hAnsi="Garamond" w:cs="Times New Roman"/>
                <w:color w:val="000000"/>
                <w:sz w:val="10"/>
                <w:szCs w:val="10"/>
              </w:rPr>
              <w:br/>
              <w:t xml:space="preserve">2. Pezullimi/vonesa e mbledhjes, prodhimit </w:t>
            </w:r>
            <w:r w:rsidR="00F667B8" w:rsidRPr="00B31292">
              <w:rPr>
                <w:rFonts w:ascii="Garamond" w:eastAsia="Times New Roman" w:hAnsi="Garamond" w:cs="Times New Roman"/>
                <w:color w:val="000000"/>
                <w:sz w:val="10"/>
                <w:szCs w:val="10"/>
              </w:rPr>
              <w:t>dhe shpërndarjes së statistikave zyrtare si pasojë e fatkeqësive natyrore/ pandemive globale</w:t>
            </w:r>
            <w:r w:rsidRPr="00B31292">
              <w:rPr>
                <w:rFonts w:ascii="Garamond" w:eastAsia="Times New Roman" w:hAnsi="Garamond" w:cs="Times New Roman"/>
                <w:color w:val="000000"/>
                <w:sz w:val="10"/>
                <w:szCs w:val="10"/>
              </w:rPr>
              <w:t xml:space="preserve"> -|- 1</w:t>
            </w:r>
          </w:p>
        </w:tc>
        <w:tc>
          <w:tcPr>
            <w:tcW w:w="273" w:type="pct"/>
            <w:tcBorders>
              <w:top w:val="nil"/>
              <w:left w:val="nil"/>
              <w:bottom w:val="nil"/>
              <w:right w:val="single" w:sz="4" w:space="0" w:color="auto"/>
            </w:tcBorders>
            <w:shd w:val="clear" w:color="auto" w:fill="auto"/>
            <w:vAlign w:val="center"/>
            <w:hideMark/>
          </w:tcPr>
          <w:p w14:paraId="2BBCFC3A" w14:textId="669D676E" w:rsidR="000A2254" w:rsidRPr="00B31292" w:rsidRDefault="002C1D56"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Donatorët</w:t>
            </w:r>
          </w:p>
        </w:tc>
      </w:tr>
      <w:tr w:rsidR="000A2254" w:rsidRPr="00B31292" w14:paraId="2C37746B" w14:textId="77777777" w:rsidTr="000A2254">
        <w:trPr>
          <w:trHeight w:val="20"/>
        </w:trPr>
        <w:tc>
          <w:tcPr>
            <w:tcW w:w="215" w:type="pct"/>
            <w:tcBorders>
              <w:top w:val="nil"/>
              <w:left w:val="nil"/>
              <w:bottom w:val="nil"/>
              <w:right w:val="nil"/>
            </w:tcBorders>
            <w:shd w:val="clear" w:color="000000" w:fill="FFFFFF"/>
            <w:vAlign w:val="bottom"/>
            <w:hideMark/>
          </w:tcPr>
          <w:p w14:paraId="062637B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0334D4A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1CCDFA3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2504954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single" w:sz="4" w:space="0" w:color="000000"/>
              <w:left w:val="single" w:sz="4" w:space="0" w:color="000000"/>
              <w:bottom w:val="single" w:sz="4" w:space="0" w:color="000000"/>
              <w:right w:val="nil"/>
            </w:tcBorders>
            <w:shd w:val="clear" w:color="000000" w:fill="F0F0F0"/>
            <w:vAlign w:val="center"/>
            <w:hideMark/>
          </w:tcPr>
          <w:p w14:paraId="3BE097D8"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3.7.3</w:t>
            </w:r>
          </w:p>
        </w:tc>
        <w:tc>
          <w:tcPr>
            <w:tcW w:w="4082" w:type="pct"/>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322E106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Indeksi i Çmimeve të Banesave</w:t>
            </w:r>
          </w:p>
        </w:tc>
      </w:tr>
      <w:tr w:rsidR="000A2254" w:rsidRPr="00B31292" w14:paraId="55E631DA" w14:textId="77777777" w:rsidTr="000A2254">
        <w:trPr>
          <w:trHeight w:val="20"/>
        </w:trPr>
        <w:tc>
          <w:tcPr>
            <w:tcW w:w="215" w:type="pct"/>
            <w:tcBorders>
              <w:top w:val="nil"/>
              <w:left w:val="nil"/>
              <w:bottom w:val="nil"/>
              <w:right w:val="nil"/>
            </w:tcBorders>
            <w:shd w:val="clear" w:color="000000" w:fill="FFFFFF"/>
            <w:vAlign w:val="bottom"/>
            <w:hideMark/>
          </w:tcPr>
          <w:p w14:paraId="6679E72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6DA61C3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18960BC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4F4FA7C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3DE4D4F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0EC9CBE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000000"/>
              <w:bottom w:val="nil"/>
              <w:right w:val="nil"/>
            </w:tcBorders>
            <w:shd w:val="clear" w:color="auto" w:fill="auto"/>
            <w:vAlign w:val="center"/>
            <w:hideMark/>
          </w:tcPr>
          <w:p w14:paraId="6E9F8EFD"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3.7.3.1</w:t>
            </w:r>
          </w:p>
        </w:tc>
        <w:tc>
          <w:tcPr>
            <w:tcW w:w="281" w:type="pct"/>
            <w:tcBorders>
              <w:top w:val="nil"/>
              <w:left w:val="single" w:sz="4" w:space="0" w:color="auto"/>
              <w:bottom w:val="nil"/>
              <w:right w:val="single" w:sz="4" w:space="0" w:color="auto"/>
            </w:tcBorders>
            <w:shd w:val="clear" w:color="auto" w:fill="auto"/>
            <w:vAlign w:val="center"/>
            <w:hideMark/>
          </w:tcPr>
          <w:p w14:paraId="7A3D83B5"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Statistikat mbi Çmimet e Banesave (SÇB)</w:t>
            </w:r>
          </w:p>
        </w:tc>
        <w:tc>
          <w:tcPr>
            <w:tcW w:w="236" w:type="pct"/>
            <w:tcBorders>
              <w:top w:val="nil"/>
              <w:left w:val="nil"/>
              <w:bottom w:val="nil"/>
              <w:right w:val="single" w:sz="4" w:space="0" w:color="auto"/>
            </w:tcBorders>
            <w:shd w:val="clear" w:color="auto" w:fill="auto"/>
            <w:vAlign w:val="center"/>
            <w:hideMark/>
          </w:tcPr>
          <w:p w14:paraId="24F2A414"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Burim administrativ</w:t>
            </w:r>
          </w:p>
        </w:tc>
        <w:tc>
          <w:tcPr>
            <w:tcW w:w="238" w:type="pct"/>
            <w:tcBorders>
              <w:top w:val="nil"/>
              <w:left w:val="nil"/>
              <w:bottom w:val="nil"/>
              <w:right w:val="single" w:sz="4" w:space="0" w:color="auto"/>
            </w:tcBorders>
            <w:shd w:val="clear" w:color="auto" w:fill="auto"/>
            <w:noWrap/>
            <w:vAlign w:val="center"/>
            <w:hideMark/>
          </w:tcPr>
          <w:p w14:paraId="0B8D4758"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180" w:type="pct"/>
            <w:tcBorders>
              <w:top w:val="nil"/>
              <w:left w:val="nil"/>
              <w:bottom w:val="nil"/>
              <w:right w:val="single" w:sz="4" w:space="0" w:color="auto"/>
            </w:tcBorders>
            <w:shd w:val="clear" w:color="auto" w:fill="auto"/>
            <w:vAlign w:val="center"/>
            <w:hideMark/>
          </w:tcPr>
          <w:p w14:paraId="45F6B7A9"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28" w:type="pct"/>
            <w:tcBorders>
              <w:top w:val="nil"/>
              <w:left w:val="nil"/>
              <w:bottom w:val="nil"/>
              <w:right w:val="single" w:sz="4" w:space="0" w:color="auto"/>
            </w:tcBorders>
            <w:shd w:val="clear" w:color="auto" w:fill="auto"/>
            <w:vAlign w:val="center"/>
            <w:hideMark/>
          </w:tcPr>
          <w:p w14:paraId="24F0AD2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Studim</w:t>
            </w:r>
          </w:p>
        </w:tc>
        <w:tc>
          <w:tcPr>
            <w:tcW w:w="222" w:type="pct"/>
            <w:tcBorders>
              <w:top w:val="nil"/>
              <w:left w:val="nil"/>
              <w:bottom w:val="nil"/>
              <w:right w:val="single" w:sz="4" w:space="0" w:color="000000"/>
            </w:tcBorders>
            <w:shd w:val="clear" w:color="auto" w:fill="auto"/>
            <w:vAlign w:val="center"/>
            <w:hideMark/>
          </w:tcPr>
          <w:p w14:paraId="40308EE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Tremujor</w:t>
            </w:r>
          </w:p>
        </w:tc>
        <w:tc>
          <w:tcPr>
            <w:tcW w:w="486" w:type="pct"/>
            <w:tcBorders>
              <w:top w:val="nil"/>
              <w:left w:val="nil"/>
              <w:bottom w:val="nil"/>
              <w:right w:val="nil"/>
            </w:tcBorders>
            <w:shd w:val="clear" w:color="auto" w:fill="auto"/>
            <w:vAlign w:val="center"/>
            <w:hideMark/>
          </w:tcPr>
          <w:p w14:paraId="21E83CC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99" w:type="pct"/>
            <w:tcBorders>
              <w:top w:val="nil"/>
              <w:left w:val="single" w:sz="4" w:space="0" w:color="auto"/>
              <w:bottom w:val="nil"/>
              <w:right w:val="single" w:sz="4" w:space="0" w:color="auto"/>
            </w:tcBorders>
            <w:shd w:val="clear" w:color="auto" w:fill="auto"/>
            <w:vAlign w:val="center"/>
            <w:hideMark/>
          </w:tcPr>
          <w:p w14:paraId="65701227"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Agjencia Shtetërore e Kadastrës</w:t>
            </w:r>
          </w:p>
        </w:tc>
        <w:tc>
          <w:tcPr>
            <w:tcW w:w="224" w:type="pct"/>
            <w:tcBorders>
              <w:top w:val="nil"/>
              <w:left w:val="nil"/>
              <w:bottom w:val="nil"/>
              <w:right w:val="single" w:sz="4" w:space="0" w:color="auto"/>
            </w:tcBorders>
            <w:shd w:val="clear" w:color="auto" w:fill="auto"/>
            <w:vAlign w:val="center"/>
            <w:hideMark/>
          </w:tcPr>
          <w:p w14:paraId="1775520A" w14:textId="0957972F"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2B0C41" w:rsidRPr="00B31292">
              <w:rPr>
                <w:rFonts w:ascii="Garamond" w:eastAsia="Times New Roman" w:hAnsi="Garamond" w:cs="Times New Roman"/>
                <w:color w:val="000000"/>
                <w:sz w:val="10"/>
                <w:szCs w:val="10"/>
              </w:rPr>
              <w:t>-i</w:t>
            </w:r>
          </w:p>
        </w:tc>
        <w:tc>
          <w:tcPr>
            <w:tcW w:w="244" w:type="pct"/>
            <w:tcBorders>
              <w:top w:val="nil"/>
              <w:left w:val="nil"/>
              <w:bottom w:val="nil"/>
              <w:right w:val="single" w:sz="4" w:space="0" w:color="auto"/>
            </w:tcBorders>
            <w:shd w:val="clear" w:color="000000" w:fill="FFFFFF"/>
            <w:vAlign w:val="center"/>
            <w:hideMark/>
          </w:tcPr>
          <w:p w14:paraId="0AD90461"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T</w:t>
            </w:r>
          </w:p>
        </w:tc>
        <w:tc>
          <w:tcPr>
            <w:tcW w:w="220" w:type="pct"/>
            <w:tcBorders>
              <w:top w:val="nil"/>
              <w:left w:val="nil"/>
              <w:bottom w:val="nil"/>
              <w:right w:val="single" w:sz="4" w:space="0" w:color="auto"/>
            </w:tcBorders>
            <w:shd w:val="clear" w:color="000000" w:fill="FFFFFF"/>
            <w:vAlign w:val="center"/>
            <w:hideMark/>
          </w:tcPr>
          <w:p w14:paraId="4289C04D"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T</w:t>
            </w:r>
          </w:p>
        </w:tc>
        <w:tc>
          <w:tcPr>
            <w:tcW w:w="220" w:type="pct"/>
            <w:tcBorders>
              <w:top w:val="nil"/>
              <w:left w:val="nil"/>
              <w:bottom w:val="nil"/>
              <w:right w:val="single" w:sz="4" w:space="0" w:color="auto"/>
            </w:tcBorders>
            <w:shd w:val="clear" w:color="000000" w:fill="FFFFFF"/>
            <w:vAlign w:val="center"/>
            <w:hideMark/>
          </w:tcPr>
          <w:p w14:paraId="39A31341"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346" w:type="pct"/>
            <w:tcBorders>
              <w:top w:val="nil"/>
              <w:left w:val="nil"/>
              <w:bottom w:val="nil"/>
              <w:right w:val="single" w:sz="4" w:space="0" w:color="auto"/>
            </w:tcBorders>
            <w:shd w:val="clear" w:color="auto" w:fill="auto"/>
            <w:vAlign w:val="center"/>
            <w:hideMark/>
          </w:tcPr>
          <w:p w14:paraId="402670D1" w14:textId="29BAF692"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1. Pezullimi/vonesa e mbledhjes, prodhimit </w:t>
            </w:r>
            <w:r w:rsidR="00F667B8" w:rsidRPr="00B31292">
              <w:rPr>
                <w:rFonts w:ascii="Garamond" w:eastAsia="Times New Roman" w:hAnsi="Garamond" w:cs="Times New Roman"/>
                <w:color w:val="000000"/>
                <w:sz w:val="10"/>
                <w:szCs w:val="10"/>
              </w:rPr>
              <w:t>dhe shpërndarjes së statistikave zyrtare si pasojë e fatkeqësive natyrore/ pandemive globale</w:t>
            </w:r>
            <w:r w:rsidRPr="00B31292">
              <w:rPr>
                <w:rFonts w:ascii="Garamond" w:eastAsia="Times New Roman" w:hAnsi="Garamond" w:cs="Times New Roman"/>
                <w:color w:val="000000"/>
                <w:sz w:val="10"/>
                <w:szCs w:val="10"/>
              </w:rPr>
              <w:t xml:space="preserve"> -|- 9</w:t>
            </w:r>
          </w:p>
        </w:tc>
        <w:tc>
          <w:tcPr>
            <w:tcW w:w="273" w:type="pct"/>
            <w:tcBorders>
              <w:top w:val="nil"/>
              <w:left w:val="nil"/>
              <w:bottom w:val="nil"/>
              <w:right w:val="single" w:sz="4" w:space="0" w:color="auto"/>
            </w:tcBorders>
            <w:shd w:val="clear" w:color="auto" w:fill="auto"/>
            <w:vAlign w:val="center"/>
            <w:hideMark/>
          </w:tcPr>
          <w:p w14:paraId="1DC2D15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Buxhet shteti</w:t>
            </w:r>
          </w:p>
        </w:tc>
      </w:tr>
      <w:tr w:rsidR="000A2254" w:rsidRPr="00B31292" w14:paraId="5D3FD2CE" w14:textId="77777777" w:rsidTr="000A2254">
        <w:trPr>
          <w:trHeight w:val="20"/>
        </w:trPr>
        <w:tc>
          <w:tcPr>
            <w:tcW w:w="215" w:type="pct"/>
            <w:tcBorders>
              <w:top w:val="nil"/>
              <w:left w:val="nil"/>
              <w:bottom w:val="nil"/>
              <w:right w:val="nil"/>
            </w:tcBorders>
            <w:shd w:val="clear" w:color="000000" w:fill="FFFFFF"/>
            <w:vAlign w:val="bottom"/>
            <w:hideMark/>
          </w:tcPr>
          <w:p w14:paraId="7B134EF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2EC91A3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single" w:sz="4" w:space="0" w:color="000000"/>
              <w:left w:val="single" w:sz="4" w:space="0" w:color="000000"/>
              <w:bottom w:val="single" w:sz="4" w:space="0" w:color="000000"/>
              <w:right w:val="nil"/>
            </w:tcBorders>
            <w:shd w:val="clear" w:color="000000" w:fill="F0F0F0"/>
            <w:vAlign w:val="center"/>
            <w:hideMark/>
          </w:tcPr>
          <w:p w14:paraId="7400A57F"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3.8</w:t>
            </w:r>
          </w:p>
        </w:tc>
        <w:tc>
          <w:tcPr>
            <w:tcW w:w="4416" w:type="pct"/>
            <w:gridSpan w:val="18"/>
            <w:tcBorders>
              <w:top w:val="single" w:sz="4" w:space="0" w:color="auto"/>
              <w:left w:val="single" w:sz="4" w:space="0" w:color="auto"/>
              <w:bottom w:val="single" w:sz="4" w:space="0" w:color="auto"/>
              <w:right w:val="single" w:sz="4" w:space="0" w:color="auto"/>
            </w:tcBorders>
            <w:shd w:val="clear" w:color="000000" w:fill="F0F0F0"/>
            <w:vAlign w:val="center"/>
            <w:hideMark/>
          </w:tcPr>
          <w:p w14:paraId="57D9E55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Shkenca, Teknologjia dhe Inovacioni</w:t>
            </w:r>
          </w:p>
        </w:tc>
      </w:tr>
      <w:tr w:rsidR="000A2254" w:rsidRPr="00B31292" w14:paraId="71CA77B0" w14:textId="77777777" w:rsidTr="000A2254">
        <w:trPr>
          <w:trHeight w:val="20"/>
        </w:trPr>
        <w:tc>
          <w:tcPr>
            <w:tcW w:w="215" w:type="pct"/>
            <w:tcBorders>
              <w:top w:val="nil"/>
              <w:left w:val="nil"/>
              <w:bottom w:val="nil"/>
              <w:right w:val="nil"/>
            </w:tcBorders>
            <w:shd w:val="clear" w:color="000000" w:fill="FFFFFF"/>
            <w:vAlign w:val="bottom"/>
            <w:hideMark/>
          </w:tcPr>
          <w:p w14:paraId="74871C5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7E586C2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213A404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52C0C67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single" w:sz="4" w:space="0" w:color="000000"/>
              <w:bottom w:val="single" w:sz="4" w:space="0" w:color="000000"/>
              <w:right w:val="nil"/>
            </w:tcBorders>
            <w:shd w:val="clear" w:color="000000" w:fill="F0F0F0"/>
            <w:vAlign w:val="center"/>
            <w:hideMark/>
          </w:tcPr>
          <w:p w14:paraId="488AF243"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3.8.1</w:t>
            </w:r>
          </w:p>
        </w:tc>
        <w:tc>
          <w:tcPr>
            <w:tcW w:w="4082" w:type="pct"/>
            <w:gridSpan w:val="16"/>
            <w:tcBorders>
              <w:top w:val="nil"/>
              <w:left w:val="single" w:sz="4" w:space="0" w:color="auto"/>
              <w:bottom w:val="single" w:sz="4" w:space="0" w:color="auto"/>
              <w:right w:val="single" w:sz="4" w:space="0" w:color="auto"/>
            </w:tcBorders>
            <w:shd w:val="clear" w:color="000000" w:fill="F0F0F0"/>
            <w:vAlign w:val="center"/>
            <w:hideMark/>
          </w:tcPr>
          <w:p w14:paraId="157CDA2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Statistikat e shkencës </w:t>
            </w:r>
          </w:p>
        </w:tc>
      </w:tr>
      <w:tr w:rsidR="000A2254" w:rsidRPr="00B31292" w14:paraId="68D69F3D" w14:textId="77777777" w:rsidTr="000A2254">
        <w:trPr>
          <w:trHeight w:val="20"/>
        </w:trPr>
        <w:tc>
          <w:tcPr>
            <w:tcW w:w="215" w:type="pct"/>
            <w:tcBorders>
              <w:top w:val="nil"/>
              <w:left w:val="nil"/>
              <w:bottom w:val="nil"/>
              <w:right w:val="nil"/>
            </w:tcBorders>
            <w:shd w:val="clear" w:color="000000" w:fill="FFFFFF"/>
            <w:vAlign w:val="bottom"/>
            <w:hideMark/>
          </w:tcPr>
          <w:p w14:paraId="7F5E937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6A4D530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33769F3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68C7B86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50F95D8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0986847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000000"/>
              <w:bottom w:val="nil"/>
              <w:right w:val="single" w:sz="4" w:space="0" w:color="000000"/>
            </w:tcBorders>
            <w:shd w:val="clear" w:color="auto" w:fill="auto"/>
            <w:vAlign w:val="center"/>
            <w:hideMark/>
          </w:tcPr>
          <w:p w14:paraId="0893F949"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3.8.1.1</w:t>
            </w:r>
          </w:p>
        </w:tc>
        <w:tc>
          <w:tcPr>
            <w:tcW w:w="281" w:type="pct"/>
            <w:tcBorders>
              <w:top w:val="nil"/>
              <w:left w:val="nil"/>
              <w:bottom w:val="nil"/>
              <w:right w:val="single" w:sz="4" w:space="0" w:color="000000"/>
            </w:tcBorders>
            <w:shd w:val="clear" w:color="auto" w:fill="auto"/>
            <w:vAlign w:val="center"/>
            <w:hideMark/>
          </w:tcPr>
          <w:p w14:paraId="2FCF2044"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Statistikat e shkencës</w:t>
            </w:r>
          </w:p>
        </w:tc>
        <w:tc>
          <w:tcPr>
            <w:tcW w:w="236" w:type="pct"/>
            <w:tcBorders>
              <w:top w:val="nil"/>
              <w:left w:val="nil"/>
              <w:bottom w:val="nil"/>
              <w:right w:val="single" w:sz="4" w:space="0" w:color="000000"/>
            </w:tcBorders>
            <w:shd w:val="clear" w:color="auto" w:fill="auto"/>
            <w:vAlign w:val="center"/>
            <w:hideMark/>
          </w:tcPr>
          <w:p w14:paraId="381593C4"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Kombinim i burimeve administrative dhe vrojtimeve</w:t>
            </w:r>
          </w:p>
        </w:tc>
        <w:tc>
          <w:tcPr>
            <w:tcW w:w="238" w:type="pct"/>
            <w:tcBorders>
              <w:top w:val="nil"/>
              <w:left w:val="nil"/>
              <w:bottom w:val="single" w:sz="4" w:space="0" w:color="auto"/>
              <w:right w:val="single" w:sz="4" w:space="0" w:color="auto"/>
            </w:tcBorders>
            <w:shd w:val="clear" w:color="auto" w:fill="auto"/>
            <w:noWrap/>
            <w:vAlign w:val="center"/>
            <w:hideMark/>
          </w:tcPr>
          <w:p w14:paraId="2ED28F7C"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80%</w:t>
            </w:r>
          </w:p>
        </w:tc>
        <w:tc>
          <w:tcPr>
            <w:tcW w:w="180" w:type="pct"/>
            <w:tcBorders>
              <w:top w:val="nil"/>
              <w:left w:val="nil"/>
              <w:bottom w:val="single" w:sz="4" w:space="0" w:color="auto"/>
              <w:right w:val="single" w:sz="4" w:space="0" w:color="auto"/>
            </w:tcBorders>
            <w:shd w:val="clear" w:color="auto" w:fill="auto"/>
            <w:noWrap/>
            <w:vAlign w:val="center"/>
            <w:hideMark/>
          </w:tcPr>
          <w:p w14:paraId="5ED7543F"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20%</w:t>
            </w:r>
          </w:p>
        </w:tc>
        <w:tc>
          <w:tcPr>
            <w:tcW w:w="228" w:type="pct"/>
            <w:tcBorders>
              <w:top w:val="nil"/>
              <w:left w:val="nil"/>
              <w:bottom w:val="single" w:sz="4" w:space="0" w:color="auto"/>
              <w:right w:val="single" w:sz="4" w:space="0" w:color="auto"/>
            </w:tcBorders>
            <w:shd w:val="clear" w:color="auto" w:fill="auto"/>
            <w:vAlign w:val="center"/>
            <w:hideMark/>
          </w:tcPr>
          <w:p w14:paraId="05C7EAA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tcBorders>
              <w:top w:val="nil"/>
              <w:left w:val="nil"/>
              <w:bottom w:val="nil"/>
              <w:right w:val="single" w:sz="4" w:space="0" w:color="000000"/>
            </w:tcBorders>
            <w:shd w:val="clear" w:color="000000" w:fill="FFFFFF"/>
            <w:vAlign w:val="center"/>
            <w:hideMark/>
          </w:tcPr>
          <w:p w14:paraId="6182B700" w14:textId="1C23067C"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Vjetor -Statistikat GBARD</w:t>
            </w:r>
            <w:r w:rsidRPr="00B31292">
              <w:rPr>
                <w:rFonts w:ascii="Garamond" w:eastAsia="Times New Roman" w:hAnsi="Garamond" w:cs="Times New Roman"/>
                <w:sz w:val="10"/>
                <w:szCs w:val="10"/>
              </w:rPr>
              <w:br/>
              <w:t>Çdo 2 vite -</w:t>
            </w:r>
            <w:r w:rsidR="002B0C41" w:rsidRPr="00B31292">
              <w:rPr>
                <w:rFonts w:ascii="Garamond" w:eastAsia="Times New Roman" w:hAnsi="Garamond" w:cs="Times New Roman"/>
                <w:sz w:val="10"/>
                <w:szCs w:val="10"/>
              </w:rPr>
              <w:t xml:space="preserve"> </w:t>
            </w:r>
            <w:r w:rsidRPr="00B31292">
              <w:rPr>
                <w:rFonts w:ascii="Garamond" w:eastAsia="Times New Roman" w:hAnsi="Garamond" w:cs="Times New Roman"/>
                <w:sz w:val="10"/>
                <w:szCs w:val="10"/>
              </w:rPr>
              <w:t xml:space="preserve">Statistikat mbi </w:t>
            </w:r>
            <w:r w:rsidR="002B0C41" w:rsidRPr="00B31292">
              <w:rPr>
                <w:rFonts w:ascii="Garamond" w:eastAsia="Times New Roman" w:hAnsi="Garamond" w:cs="Times New Roman"/>
                <w:sz w:val="10"/>
                <w:szCs w:val="10"/>
              </w:rPr>
              <w:t xml:space="preserve">shpenzimet dhe personelin </w:t>
            </w:r>
          </w:p>
        </w:tc>
        <w:tc>
          <w:tcPr>
            <w:tcW w:w="486" w:type="pct"/>
            <w:tcBorders>
              <w:top w:val="nil"/>
              <w:left w:val="nil"/>
              <w:bottom w:val="nil"/>
              <w:right w:val="nil"/>
            </w:tcBorders>
            <w:shd w:val="clear" w:color="auto" w:fill="auto"/>
            <w:vAlign w:val="center"/>
            <w:hideMark/>
          </w:tcPr>
          <w:p w14:paraId="6EB37821" w14:textId="69855D85"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1. Personeli i angazhuar në </w:t>
            </w:r>
            <w:r w:rsidR="002B0C41" w:rsidRPr="00B31292">
              <w:rPr>
                <w:rFonts w:ascii="Garamond" w:eastAsia="Times New Roman" w:hAnsi="Garamond" w:cs="Times New Roman"/>
                <w:color w:val="000000"/>
                <w:sz w:val="10"/>
                <w:szCs w:val="10"/>
              </w:rPr>
              <w:t>kërkim-zhvillim.</w:t>
            </w:r>
            <w:r w:rsidRPr="00B31292">
              <w:rPr>
                <w:rFonts w:ascii="Garamond" w:eastAsia="Times New Roman" w:hAnsi="Garamond" w:cs="Times New Roman"/>
                <w:color w:val="000000"/>
                <w:sz w:val="10"/>
                <w:szCs w:val="10"/>
              </w:rPr>
              <w:br/>
              <w:t xml:space="preserve">2. Përqindja e shpenzimeve të </w:t>
            </w:r>
            <w:r w:rsidR="002B0C41" w:rsidRPr="00B31292">
              <w:rPr>
                <w:rFonts w:ascii="Garamond" w:eastAsia="Times New Roman" w:hAnsi="Garamond" w:cs="Times New Roman"/>
                <w:color w:val="000000"/>
                <w:sz w:val="10"/>
                <w:szCs w:val="10"/>
              </w:rPr>
              <w:t xml:space="preserve">kërkim-zhvillimit </w:t>
            </w:r>
            <w:r w:rsidRPr="00B31292">
              <w:rPr>
                <w:rFonts w:ascii="Garamond" w:eastAsia="Times New Roman" w:hAnsi="Garamond" w:cs="Times New Roman"/>
                <w:color w:val="000000"/>
                <w:sz w:val="10"/>
                <w:szCs w:val="10"/>
              </w:rPr>
              <w:t>ndaj GDP</w:t>
            </w:r>
            <w:r w:rsidR="002B0C41" w:rsidRPr="00B31292">
              <w:rPr>
                <w:rFonts w:ascii="Garamond" w:eastAsia="Times New Roman" w:hAnsi="Garamond" w:cs="Times New Roman"/>
                <w:color w:val="000000"/>
                <w:sz w:val="10"/>
                <w:szCs w:val="10"/>
              </w:rPr>
              <w:t>-së.</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3. Statistikat mbi GBARD</w:t>
            </w:r>
            <w:r w:rsidR="002B0C41" w:rsidRPr="00B31292">
              <w:rPr>
                <w:rFonts w:ascii="Garamond" w:eastAsia="Times New Roman" w:hAnsi="Garamond" w:cs="Times New Roman"/>
                <w:color w:val="000000"/>
                <w:sz w:val="10"/>
                <w:szCs w:val="10"/>
              </w:rPr>
              <w:t>.</w:t>
            </w:r>
          </w:p>
        </w:tc>
        <w:tc>
          <w:tcPr>
            <w:tcW w:w="299" w:type="pct"/>
            <w:tcBorders>
              <w:top w:val="nil"/>
              <w:left w:val="single" w:sz="4" w:space="0" w:color="auto"/>
              <w:bottom w:val="nil"/>
              <w:right w:val="single" w:sz="4" w:space="0" w:color="auto"/>
            </w:tcBorders>
            <w:shd w:val="clear" w:color="auto" w:fill="auto"/>
            <w:vAlign w:val="center"/>
            <w:hideMark/>
          </w:tcPr>
          <w:p w14:paraId="761470DD" w14:textId="4DFF4960"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Ministria e Financave dhe Ekonomisë</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Banka e Shqipërisë</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Ministria e Arsimit, Sportit dhe Rinisë</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Ministria e Bujqësisë dhe Zhvillimit Rural</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r>
            <w:r w:rsidRPr="00B31292">
              <w:rPr>
                <w:rFonts w:ascii="Garamond" w:eastAsia="Times New Roman" w:hAnsi="Garamond" w:cs="Times New Roman"/>
                <w:color w:val="000000"/>
                <w:sz w:val="10"/>
                <w:szCs w:val="10"/>
              </w:rPr>
              <w:lastRenderedPageBreak/>
              <w:t>Autoriteti i Kërkimit Shkencor dhe Inovacionit</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Instituti i Shëndetit Publik</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Shërbimi Gjeologjik Shqiptar</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Instituti i Gjeoshkencave</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Agjencia Kombëtare e Kërkimit Shkencor dhe Inovacionit</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Spitalet</w:t>
            </w:r>
            <w:r w:rsidRPr="00B31292">
              <w:rPr>
                <w:rFonts w:ascii="Garamond" w:eastAsia="Times New Roman" w:hAnsi="Garamond" w:cs="Times New Roman"/>
                <w:color w:val="000000"/>
                <w:sz w:val="10"/>
                <w:szCs w:val="10"/>
              </w:rPr>
              <w:br/>
              <w:t>Universitetet</w:t>
            </w:r>
          </w:p>
        </w:tc>
        <w:tc>
          <w:tcPr>
            <w:tcW w:w="224" w:type="pct"/>
            <w:tcBorders>
              <w:top w:val="nil"/>
              <w:left w:val="nil"/>
              <w:bottom w:val="nil"/>
              <w:right w:val="single" w:sz="4" w:space="0" w:color="auto"/>
            </w:tcBorders>
            <w:shd w:val="clear" w:color="auto" w:fill="auto"/>
            <w:vAlign w:val="center"/>
            <w:hideMark/>
          </w:tcPr>
          <w:p w14:paraId="093AB743" w14:textId="5DE9A6EF"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lastRenderedPageBreak/>
              <w:t>INSTAT</w:t>
            </w:r>
            <w:r w:rsidR="002B0C41" w:rsidRPr="00B31292">
              <w:rPr>
                <w:rFonts w:ascii="Garamond" w:eastAsia="Times New Roman" w:hAnsi="Garamond" w:cs="Times New Roman"/>
                <w:color w:val="000000"/>
                <w:sz w:val="10"/>
                <w:szCs w:val="10"/>
              </w:rPr>
              <w:t>-i</w:t>
            </w:r>
          </w:p>
        </w:tc>
        <w:tc>
          <w:tcPr>
            <w:tcW w:w="244" w:type="pct"/>
            <w:tcBorders>
              <w:top w:val="nil"/>
              <w:left w:val="nil"/>
              <w:bottom w:val="nil"/>
              <w:right w:val="single" w:sz="4" w:space="0" w:color="auto"/>
            </w:tcBorders>
            <w:shd w:val="clear" w:color="000000" w:fill="FFFFFF"/>
            <w:vAlign w:val="center"/>
            <w:hideMark/>
          </w:tcPr>
          <w:p w14:paraId="2C954B40"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 V + 125D</w:t>
            </w:r>
          </w:p>
        </w:tc>
        <w:tc>
          <w:tcPr>
            <w:tcW w:w="220" w:type="pct"/>
            <w:tcBorders>
              <w:top w:val="nil"/>
              <w:left w:val="nil"/>
              <w:bottom w:val="nil"/>
              <w:right w:val="single" w:sz="4" w:space="0" w:color="auto"/>
            </w:tcBorders>
            <w:shd w:val="clear" w:color="000000" w:fill="FFFFFF"/>
            <w:vAlign w:val="center"/>
            <w:hideMark/>
          </w:tcPr>
          <w:p w14:paraId="76749BC8" w14:textId="1A424F52" w:rsidR="000A2254" w:rsidRPr="00B31292" w:rsidRDefault="002E2911"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 </w:t>
            </w:r>
            <w:r w:rsidR="000A2254" w:rsidRPr="00B31292">
              <w:rPr>
                <w:rFonts w:ascii="Garamond" w:eastAsia="Times New Roman" w:hAnsi="Garamond" w:cs="Times New Roman"/>
                <w:color w:val="000000"/>
                <w:sz w:val="10"/>
                <w:szCs w:val="10"/>
              </w:rPr>
              <w:t>V+ 156D</w:t>
            </w:r>
          </w:p>
        </w:tc>
        <w:tc>
          <w:tcPr>
            <w:tcW w:w="220" w:type="pct"/>
            <w:tcBorders>
              <w:top w:val="nil"/>
              <w:left w:val="nil"/>
              <w:bottom w:val="nil"/>
              <w:right w:val="single" w:sz="4" w:space="0" w:color="auto"/>
            </w:tcBorders>
            <w:shd w:val="clear" w:color="000000" w:fill="FFFFFF"/>
            <w:noWrap/>
            <w:vAlign w:val="center"/>
            <w:hideMark/>
          </w:tcPr>
          <w:p w14:paraId="72893712"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346" w:type="pct"/>
            <w:tcBorders>
              <w:top w:val="nil"/>
              <w:left w:val="nil"/>
              <w:bottom w:val="single" w:sz="4" w:space="0" w:color="auto"/>
              <w:right w:val="single" w:sz="4" w:space="0" w:color="auto"/>
            </w:tcBorders>
            <w:shd w:val="clear" w:color="auto" w:fill="auto"/>
            <w:vAlign w:val="center"/>
            <w:hideMark/>
          </w:tcPr>
          <w:p w14:paraId="1512B1A4" w14:textId="130A8A50"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Mospublikimin në kohë i rezultateve të vrojtimit -|- 2</w:t>
            </w:r>
            <w:r w:rsidRPr="00B31292">
              <w:rPr>
                <w:rFonts w:ascii="Garamond" w:eastAsia="Times New Roman" w:hAnsi="Garamond" w:cs="Times New Roman"/>
                <w:color w:val="000000"/>
                <w:sz w:val="10"/>
                <w:szCs w:val="10"/>
              </w:rPr>
              <w:br/>
              <w:t>2. Mospërmbushja e</w:t>
            </w:r>
            <w:r w:rsidR="003E16E0" w:rsidRPr="00B31292">
              <w:rPr>
                <w:rFonts w:ascii="Garamond" w:eastAsia="Times New Roman" w:hAnsi="Garamond" w:cs="Times New Roman"/>
                <w:color w:val="000000"/>
                <w:sz w:val="10"/>
                <w:szCs w:val="10"/>
              </w:rPr>
              <w:t xml:space="preserve"> </w:t>
            </w:r>
            <w:r w:rsidR="00F667B8" w:rsidRPr="00B31292">
              <w:rPr>
                <w:rFonts w:ascii="Garamond" w:eastAsia="Times New Roman" w:hAnsi="Garamond" w:cs="Times New Roman"/>
                <w:color w:val="000000"/>
                <w:sz w:val="10"/>
                <w:szCs w:val="10"/>
              </w:rPr>
              <w:t>kritereve të cilësisë, si:</w:t>
            </w:r>
            <w:r w:rsidRPr="00B31292">
              <w:rPr>
                <w:rFonts w:ascii="Garamond" w:eastAsia="Times New Roman" w:hAnsi="Garamond" w:cs="Times New Roman"/>
                <w:color w:val="000000"/>
                <w:sz w:val="10"/>
                <w:szCs w:val="10"/>
              </w:rPr>
              <w:t xml:space="preserve"> saktësia, përpikmëria dhe krahasueshmëria, për Statistikat e Inovacionit</w:t>
            </w:r>
            <w:r w:rsidR="00DB4567" w:rsidRPr="00B31292">
              <w:rPr>
                <w:rFonts w:ascii="Garamond" w:eastAsia="Times New Roman" w:hAnsi="Garamond" w:cs="Times New Roman"/>
                <w:color w:val="000000"/>
                <w:sz w:val="10"/>
                <w:szCs w:val="10"/>
              </w:rPr>
              <w:t xml:space="preserve"> d</w:t>
            </w:r>
            <w:r w:rsidRPr="00B31292">
              <w:rPr>
                <w:rFonts w:ascii="Garamond" w:eastAsia="Times New Roman" w:hAnsi="Garamond" w:cs="Times New Roman"/>
                <w:color w:val="000000"/>
                <w:sz w:val="10"/>
                <w:szCs w:val="10"/>
              </w:rPr>
              <w:t>h</w:t>
            </w:r>
            <w:r w:rsidR="00DB4567" w:rsidRPr="00B31292">
              <w:rPr>
                <w:rFonts w:ascii="Garamond" w:eastAsia="Times New Roman" w:hAnsi="Garamond" w:cs="Times New Roman"/>
                <w:color w:val="000000"/>
                <w:sz w:val="10"/>
                <w:szCs w:val="10"/>
              </w:rPr>
              <w:t>e</w:t>
            </w:r>
            <w:r w:rsidRPr="00B31292">
              <w:rPr>
                <w:rFonts w:ascii="Garamond" w:eastAsia="Times New Roman" w:hAnsi="Garamond" w:cs="Times New Roman"/>
                <w:color w:val="000000"/>
                <w:sz w:val="10"/>
                <w:szCs w:val="10"/>
              </w:rPr>
              <w:t xml:space="preserve"> i rezultateve të vrojtimit. -|- 6</w:t>
            </w:r>
            <w:r w:rsidRPr="00B31292">
              <w:rPr>
                <w:rFonts w:ascii="Garamond" w:eastAsia="Times New Roman" w:hAnsi="Garamond" w:cs="Times New Roman"/>
                <w:color w:val="000000"/>
                <w:sz w:val="10"/>
                <w:szCs w:val="10"/>
              </w:rPr>
              <w:br/>
            </w:r>
            <w:r w:rsidRPr="00B31292">
              <w:rPr>
                <w:rFonts w:ascii="Garamond" w:eastAsia="Times New Roman" w:hAnsi="Garamond" w:cs="Times New Roman"/>
                <w:color w:val="000000"/>
                <w:sz w:val="10"/>
                <w:szCs w:val="10"/>
              </w:rPr>
              <w:lastRenderedPageBreak/>
              <w:t>3. Mosevidentimi dhe realizimi i detyrave të përditshme të specialistit përgjegjës të anketës -|- 1</w:t>
            </w:r>
            <w:r w:rsidRPr="00B31292">
              <w:rPr>
                <w:rFonts w:ascii="Garamond" w:eastAsia="Times New Roman" w:hAnsi="Garamond" w:cs="Times New Roman"/>
                <w:color w:val="000000"/>
                <w:sz w:val="10"/>
                <w:szCs w:val="10"/>
              </w:rPr>
              <w:br/>
              <w:t xml:space="preserve">4. Moszbatimi në kohë i kalendarit të publikimeve statistikore dhe përditësimit të materialeve në </w:t>
            </w:r>
            <w:r w:rsidRPr="00B31292">
              <w:rPr>
                <w:rFonts w:ascii="Garamond" w:eastAsia="Times New Roman" w:hAnsi="Garamond" w:cs="Times New Roman"/>
                <w:i/>
                <w:iCs/>
                <w:color w:val="000000"/>
                <w:sz w:val="10"/>
                <w:szCs w:val="10"/>
              </w:rPr>
              <w:t>web</w:t>
            </w:r>
            <w:r w:rsidRPr="00B31292">
              <w:rPr>
                <w:rFonts w:ascii="Garamond" w:eastAsia="Times New Roman" w:hAnsi="Garamond" w:cs="Times New Roman"/>
                <w:color w:val="000000"/>
                <w:sz w:val="10"/>
                <w:szCs w:val="10"/>
              </w:rPr>
              <w:t xml:space="preserve"> -|- 3</w:t>
            </w:r>
            <w:r w:rsidRPr="00B31292">
              <w:rPr>
                <w:rFonts w:ascii="Garamond" w:eastAsia="Times New Roman" w:hAnsi="Garamond" w:cs="Times New Roman"/>
                <w:color w:val="000000"/>
                <w:sz w:val="10"/>
                <w:szCs w:val="10"/>
              </w:rPr>
              <w:br/>
              <w:t>5. Gabime në përllogaritje e treguesve nga specialistët përgjegjës të anketës -|- 3</w:t>
            </w:r>
            <w:r w:rsidRPr="00B31292">
              <w:rPr>
                <w:rFonts w:ascii="Garamond" w:eastAsia="Times New Roman" w:hAnsi="Garamond" w:cs="Times New Roman"/>
                <w:color w:val="000000"/>
                <w:sz w:val="10"/>
                <w:szCs w:val="10"/>
              </w:rPr>
              <w:br/>
              <w:t>6. Lëvizja e stafit me eksperiencë nga sektori -|- 8</w:t>
            </w:r>
            <w:r w:rsidRPr="00B31292">
              <w:rPr>
                <w:rFonts w:ascii="Garamond" w:eastAsia="Times New Roman" w:hAnsi="Garamond" w:cs="Times New Roman"/>
                <w:color w:val="000000"/>
                <w:sz w:val="10"/>
                <w:szCs w:val="10"/>
              </w:rPr>
              <w:br/>
              <w:t>7. Mosfunksionimi i metodave të automatizimit dhe mospasja e suportit për automatizimin e proceseve t</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prodhimit statistikor -|- 6</w:t>
            </w:r>
            <w:r w:rsidRPr="00B31292">
              <w:rPr>
                <w:rFonts w:ascii="Garamond" w:eastAsia="Times New Roman" w:hAnsi="Garamond" w:cs="Times New Roman"/>
                <w:color w:val="000000"/>
                <w:sz w:val="10"/>
                <w:szCs w:val="10"/>
              </w:rPr>
              <w:br/>
              <w:t xml:space="preserve">8. Moszhvillimi i sistemeve të informacionit dhe </w:t>
            </w:r>
            <w:r w:rsidRPr="00B31292">
              <w:rPr>
                <w:rFonts w:ascii="Garamond" w:eastAsia="Times New Roman" w:hAnsi="Garamond" w:cs="Times New Roman"/>
                <w:i/>
                <w:iCs/>
                <w:color w:val="000000"/>
                <w:sz w:val="10"/>
                <w:szCs w:val="10"/>
              </w:rPr>
              <w:t>web-services</w:t>
            </w:r>
            <w:r w:rsidRPr="00B31292">
              <w:rPr>
                <w:rFonts w:ascii="Garamond" w:eastAsia="Times New Roman" w:hAnsi="Garamond" w:cs="Times New Roman"/>
                <w:color w:val="000000"/>
                <w:sz w:val="10"/>
                <w:szCs w:val="10"/>
              </w:rPr>
              <w:t>. -|- 6</w:t>
            </w:r>
          </w:p>
        </w:tc>
        <w:tc>
          <w:tcPr>
            <w:tcW w:w="273" w:type="pct"/>
            <w:tcBorders>
              <w:top w:val="nil"/>
              <w:left w:val="nil"/>
              <w:bottom w:val="single" w:sz="4" w:space="0" w:color="auto"/>
              <w:right w:val="single" w:sz="4" w:space="0" w:color="auto"/>
            </w:tcBorders>
            <w:shd w:val="clear" w:color="auto" w:fill="auto"/>
            <w:vAlign w:val="center"/>
            <w:hideMark/>
          </w:tcPr>
          <w:p w14:paraId="09359D0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lastRenderedPageBreak/>
              <w:t>Buxhet shteti</w:t>
            </w:r>
          </w:p>
        </w:tc>
      </w:tr>
      <w:tr w:rsidR="000A2254" w:rsidRPr="00B31292" w14:paraId="041268F9" w14:textId="77777777" w:rsidTr="000A2254">
        <w:trPr>
          <w:trHeight w:val="20"/>
        </w:trPr>
        <w:tc>
          <w:tcPr>
            <w:tcW w:w="215" w:type="pct"/>
            <w:tcBorders>
              <w:top w:val="nil"/>
              <w:left w:val="nil"/>
              <w:bottom w:val="nil"/>
              <w:right w:val="nil"/>
            </w:tcBorders>
            <w:shd w:val="clear" w:color="000000" w:fill="FFFFFF"/>
            <w:vAlign w:val="bottom"/>
            <w:hideMark/>
          </w:tcPr>
          <w:p w14:paraId="0CA7C4C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1B33A83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27C8C46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5C23AAB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single" w:sz="4" w:space="0" w:color="000000"/>
              <w:left w:val="single" w:sz="4" w:space="0" w:color="000000"/>
              <w:bottom w:val="single" w:sz="4" w:space="0" w:color="000000"/>
              <w:right w:val="nil"/>
            </w:tcBorders>
            <w:shd w:val="clear" w:color="000000" w:fill="F0F0F0"/>
            <w:vAlign w:val="center"/>
            <w:hideMark/>
          </w:tcPr>
          <w:p w14:paraId="5F59F025"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3.8.2</w:t>
            </w:r>
          </w:p>
        </w:tc>
        <w:tc>
          <w:tcPr>
            <w:tcW w:w="4082" w:type="pct"/>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185EB35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Statistikat e inovacionit</w:t>
            </w:r>
          </w:p>
        </w:tc>
      </w:tr>
      <w:tr w:rsidR="000A2254" w:rsidRPr="00B31292" w14:paraId="48B05EE5" w14:textId="77777777" w:rsidTr="000A2254">
        <w:trPr>
          <w:trHeight w:val="20"/>
        </w:trPr>
        <w:tc>
          <w:tcPr>
            <w:tcW w:w="215" w:type="pct"/>
            <w:tcBorders>
              <w:top w:val="nil"/>
              <w:left w:val="nil"/>
              <w:bottom w:val="nil"/>
              <w:right w:val="nil"/>
            </w:tcBorders>
            <w:shd w:val="clear" w:color="000000" w:fill="FFFFFF"/>
            <w:vAlign w:val="bottom"/>
            <w:hideMark/>
          </w:tcPr>
          <w:p w14:paraId="5151C88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4988075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028D817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09ABD62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20431A3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4951997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000000"/>
              <w:bottom w:val="nil"/>
              <w:right w:val="single" w:sz="4" w:space="0" w:color="000000"/>
            </w:tcBorders>
            <w:shd w:val="clear" w:color="000000" w:fill="FFFFFF"/>
            <w:vAlign w:val="center"/>
            <w:hideMark/>
          </w:tcPr>
          <w:p w14:paraId="5A7977F5"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3.8.2.1</w:t>
            </w:r>
          </w:p>
        </w:tc>
        <w:tc>
          <w:tcPr>
            <w:tcW w:w="281" w:type="pct"/>
            <w:tcBorders>
              <w:top w:val="nil"/>
              <w:left w:val="nil"/>
              <w:bottom w:val="nil"/>
              <w:right w:val="single" w:sz="4" w:space="0" w:color="000000"/>
            </w:tcBorders>
            <w:shd w:val="clear" w:color="auto" w:fill="auto"/>
            <w:vAlign w:val="center"/>
            <w:hideMark/>
          </w:tcPr>
          <w:p w14:paraId="00FBCE9F" w14:textId="45C194C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xml:space="preserve">Statistika mbi </w:t>
            </w:r>
            <w:r w:rsidR="002B0C41" w:rsidRPr="00B31292">
              <w:rPr>
                <w:rFonts w:ascii="Garamond" w:eastAsia="Times New Roman" w:hAnsi="Garamond" w:cs="Times New Roman"/>
                <w:sz w:val="10"/>
                <w:szCs w:val="10"/>
              </w:rPr>
              <w:t>inovacionin në ndërm</w:t>
            </w:r>
            <w:r w:rsidRPr="00B31292">
              <w:rPr>
                <w:rFonts w:ascii="Garamond" w:eastAsia="Times New Roman" w:hAnsi="Garamond" w:cs="Times New Roman"/>
                <w:sz w:val="10"/>
                <w:szCs w:val="10"/>
              </w:rPr>
              <w:t>arrje</w:t>
            </w:r>
          </w:p>
        </w:tc>
        <w:tc>
          <w:tcPr>
            <w:tcW w:w="236" w:type="pct"/>
            <w:tcBorders>
              <w:top w:val="nil"/>
              <w:left w:val="nil"/>
              <w:bottom w:val="nil"/>
              <w:right w:val="single" w:sz="4" w:space="0" w:color="000000"/>
            </w:tcBorders>
            <w:shd w:val="clear" w:color="auto" w:fill="auto"/>
            <w:vAlign w:val="center"/>
            <w:hideMark/>
          </w:tcPr>
          <w:p w14:paraId="57324A5B"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xml:space="preserve">Vrojtim </w:t>
            </w:r>
          </w:p>
        </w:tc>
        <w:tc>
          <w:tcPr>
            <w:tcW w:w="238" w:type="pct"/>
            <w:tcBorders>
              <w:top w:val="nil"/>
              <w:left w:val="nil"/>
              <w:bottom w:val="nil"/>
              <w:right w:val="single" w:sz="4" w:space="0" w:color="auto"/>
            </w:tcBorders>
            <w:shd w:val="clear" w:color="auto" w:fill="auto"/>
            <w:noWrap/>
            <w:vAlign w:val="center"/>
            <w:hideMark/>
          </w:tcPr>
          <w:p w14:paraId="3F5B5F6C"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180" w:type="pct"/>
            <w:tcBorders>
              <w:top w:val="nil"/>
              <w:left w:val="nil"/>
              <w:bottom w:val="nil"/>
              <w:right w:val="single" w:sz="4" w:space="0" w:color="auto"/>
            </w:tcBorders>
            <w:shd w:val="clear" w:color="auto" w:fill="auto"/>
            <w:noWrap/>
            <w:vAlign w:val="center"/>
            <w:hideMark/>
          </w:tcPr>
          <w:p w14:paraId="2F6899C9"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228" w:type="pct"/>
            <w:tcBorders>
              <w:top w:val="nil"/>
              <w:left w:val="nil"/>
              <w:bottom w:val="nil"/>
              <w:right w:val="single" w:sz="4" w:space="0" w:color="auto"/>
            </w:tcBorders>
            <w:shd w:val="clear" w:color="auto" w:fill="auto"/>
            <w:vAlign w:val="center"/>
            <w:hideMark/>
          </w:tcPr>
          <w:p w14:paraId="5AE08EE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tcBorders>
              <w:top w:val="nil"/>
              <w:left w:val="nil"/>
              <w:bottom w:val="nil"/>
              <w:right w:val="single" w:sz="4" w:space="0" w:color="000000"/>
            </w:tcBorders>
            <w:shd w:val="clear" w:color="000000" w:fill="FFFFFF"/>
            <w:vAlign w:val="center"/>
            <w:hideMark/>
          </w:tcPr>
          <w:p w14:paraId="73D740C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Çdo 2 vite</w:t>
            </w:r>
          </w:p>
        </w:tc>
        <w:tc>
          <w:tcPr>
            <w:tcW w:w="486" w:type="pct"/>
            <w:tcBorders>
              <w:top w:val="nil"/>
              <w:left w:val="nil"/>
              <w:bottom w:val="nil"/>
              <w:right w:val="nil"/>
            </w:tcBorders>
            <w:shd w:val="clear" w:color="000000" w:fill="FFFFFF"/>
            <w:vAlign w:val="center"/>
            <w:hideMark/>
          </w:tcPr>
          <w:p w14:paraId="23DD2514" w14:textId="4164E0B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1. Përqindja e ndërmarrjeve aktive në </w:t>
            </w:r>
            <w:r w:rsidR="002B0C41" w:rsidRPr="00B31292">
              <w:rPr>
                <w:rFonts w:ascii="Garamond" w:eastAsia="Times New Roman" w:hAnsi="Garamond" w:cs="Times New Roman"/>
                <w:color w:val="000000"/>
                <w:sz w:val="10"/>
                <w:szCs w:val="10"/>
              </w:rPr>
              <w:t>i</w:t>
            </w:r>
            <w:r w:rsidRPr="00B31292">
              <w:rPr>
                <w:rFonts w:ascii="Garamond" w:eastAsia="Times New Roman" w:hAnsi="Garamond" w:cs="Times New Roman"/>
                <w:color w:val="000000"/>
                <w:sz w:val="10"/>
                <w:szCs w:val="10"/>
              </w:rPr>
              <w:t>novacion</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2. Shitjet neto të ndërmarrjeve aktive në </w:t>
            </w:r>
            <w:r w:rsidR="002B0C41" w:rsidRPr="00B31292">
              <w:rPr>
                <w:rFonts w:ascii="Garamond" w:eastAsia="Times New Roman" w:hAnsi="Garamond" w:cs="Times New Roman"/>
                <w:color w:val="000000"/>
                <w:sz w:val="10"/>
                <w:szCs w:val="10"/>
              </w:rPr>
              <w:t>i</w:t>
            </w:r>
            <w:r w:rsidRPr="00B31292">
              <w:rPr>
                <w:rFonts w:ascii="Garamond" w:eastAsia="Times New Roman" w:hAnsi="Garamond" w:cs="Times New Roman"/>
                <w:color w:val="000000"/>
                <w:sz w:val="10"/>
                <w:szCs w:val="10"/>
              </w:rPr>
              <w:t>novacion</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3. Të punësuarit në ndërmarrjet aktive në </w:t>
            </w:r>
            <w:r w:rsidR="002B0C41" w:rsidRPr="00B31292">
              <w:rPr>
                <w:rFonts w:ascii="Garamond" w:eastAsia="Times New Roman" w:hAnsi="Garamond" w:cs="Times New Roman"/>
                <w:color w:val="000000"/>
                <w:sz w:val="10"/>
                <w:szCs w:val="10"/>
              </w:rPr>
              <w:t>i</w:t>
            </w:r>
            <w:r w:rsidRPr="00B31292">
              <w:rPr>
                <w:rFonts w:ascii="Garamond" w:eastAsia="Times New Roman" w:hAnsi="Garamond" w:cs="Times New Roman"/>
                <w:color w:val="000000"/>
                <w:sz w:val="10"/>
                <w:szCs w:val="10"/>
              </w:rPr>
              <w:t>novacion</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4. Përqindja e ndërmarrjeve që kanë të paktën një inovacion procesi biznesi</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5. Ndërmarrje që kanë inovacion produkti dhe inovacion procesi biznesi</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6. Ndërmarrje me të paktën një inovacion produkti që nuk ishte i ofruar më parë në treg</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7. Ndërmarrje aktive në inovacion që kanë bashkëpunuar</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8. Ndërmarrje që kanë blerë teknologji të re që nuk ishte përdorur më parë në ndërmarrje</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9. Ndërmarrje që morën mbështetje financiare nga autoritetet publike</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10. Ndërmarrje aktive në inovacion sipas madhësisë së ndërmarrjes</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11. Ndërmarrje joaktive në Inovacion sipas madhësisë së ndërmarrjes</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12. Ndërmarrje aktive në inovacion që kanë bashkëpunuar sipas madhësisë së ndërmarrjes</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13. Ndërmarrje që kanë të paktën një inovacion produkti sipas madhësisë së ndërmarrjes</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14. Ndërmarrje që kanë të paktën një inovacion procesi </w:t>
            </w:r>
            <w:r w:rsidRPr="00B31292">
              <w:rPr>
                <w:rFonts w:ascii="Garamond" w:eastAsia="Times New Roman" w:hAnsi="Garamond" w:cs="Times New Roman"/>
                <w:color w:val="000000"/>
                <w:sz w:val="10"/>
                <w:szCs w:val="10"/>
              </w:rPr>
              <w:lastRenderedPageBreak/>
              <w:t>biznesi sipas madhësisë së ndërmarrjes</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15. Përqindja e ndërmarrjeve aktive në Inovacion sipas sektorëve ekonomik</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16. Ndërmarrje joaktive në Inovacion sipas sektorëve ekonomik</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17. Ndërmarrje aktive në inovacion që kanë bashkëpunuar sipas sektorëve ekonomik</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18. Ndërmarrje që kanë të paktën një inovacion produkti sipas sektorëve ekonomik</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19. Ndërmarrje që kanë të paktën një inovacion procesi biznesi sipas sektorëve ekonomik</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20. Ndërmarrje që kanë vetëm inovacion produkti dhe procesi biznesi sipas sektorëve ekonomik</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21. Ndërmarrje me të paktën një inovacion produkti që ishte i ngjashëm ose identik me produkte në treg sipas sektorëve ekonomik</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22. Ndërmarrje me të paktën një inovacion produkti që nuk ishte i ofruar më parë në treg sipas sektorëve ekonomik</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23. Përqindja e ndërmarrjeve që kanë të paktën një inovacion produkti</w:t>
            </w:r>
            <w:r w:rsidR="002B0C41" w:rsidRPr="00B31292">
              <w:rPr>
                <w:rFonts w:ascii="Garamond" w:eastAsia="Times New Roman" w:hAnsi="Garamond" w:cs="Times New Roman"/>
                <w:color w:val="000000"/>
                <w:sz w:val="10"/>
                <w:szCs w:val="10"/>
              </w:rPr>
              <w:t>.</w:t>
            </w:r>
          </w:p>
        </w:tc>
        <w:tc>
          <w:tcPr>
            <w:tcW w:w="299" w:type="pct"/>
            <w:tcBorders>
              <w:top w:val="nil"/>
              <w:left w:val="single" w:sz="4" w:space="0" w:color="000000"/>
              <w:bottom w:val="nil"/>
              <w:right w:val="nil"/>
            </w:tcBorders>
            <w:shd w:val="clear" w:color="000000" w:fill="FFFFFF"/>
            <w:vAlign w:val="center"/>
            <w:hideMark/>
          </w:tcPr>
          <w:p w14:paraId="75E443C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lastRenderedPageBreak/>
              <w:t> </w:t>
            </w:r>
          </w:p>
        </w:tc>
        <w:tc>
          <w:tcPr>
            <w:tcW w:w="224" w:type="pct"/>
            <w:tcBorders>
              <w:top w:val="nil"/>
              <w:left w:val="single" w:sz="4" w:space="0" w:color="auto"/>
              <w:bottom w:val="nil"/>
              <w:right w:val="single" w:sz="4" w:space="0" w:color="auto"/>
            </w:tcBorders>
            <w:shd w:val="clear" w:color="000000" w:fill="FFFFFF"/>
            <w:vAlign w:val="center"/>
            <w:hideMark/>
          </w:tcPr>
          <w:p w14:paraId="510A4A58" w14:textId="3805A206"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2B0C41" w:rsidRPr="00B31292">
              <w:rPr>
                <w:rFonts w:ascii="Garamond" w:eastAsia="Times New Roman" w:hAnsi="Garamond" w:cs="Times New Roman"/>
                <w:color w:val="000000"/>
                <w:sz w:val="10"/>
                <w:szCs w:val="10"/>
              </w:rPr>
              <w:t>-i</w:t>
            </w:r>
          </w:p>
        </w:tc>
        <w:tc>
          <w:tcPr>
            <w:tcW w:w="244" w:type="pct"/>
            <w:tcBorders>
              <w:top w:val="nil"/>
              <w:left w:val="nil"/>
              <w:bottom w:val="single" w:sz="4" w:space="0" w:color="auto"/>
              <w:right w:val="single" w:sz="4" w:space="0" w:color="auto"/>
            </w:tcBorders>
            <w:shd w:val="clear" w:color="000000" w:fill="FFFFFF"/>
            <w:vAlign w:val="center"/>
            <w:hideMark/>
          </w:tcPr>
          <w:p w14:paraId="12D2EC69"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+ 4D</w:t>
            </w:r>
          </w:p>
        </w:tc>
        <w:tc>
          <w:tcPr>
            <w:tcW w:w="220" w:type="pct"/>
            <w:tcBorders>
              <w:top w:val="nil"/>
              <w:left w:val="nil"/>
              <w:bottom w:val="single" w:sz="4" w:space="0" w:color="auto"/>
              <w:right w:val="single" w:sz="4" w:space="0" w:color="auto"/>
            </w:tcBorders>
            <w:shd w:val="clear" w:color="000000" w:fill="FFFFFF"/>
            <w:vAlign w:val="center"/>
            <w:hideMark/>
          </w:tcPr>
          <w:p w14:paraId="40C434D6"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+ 159D</w:t>
            </w:r>
          </w:p>
        </w:tc>
        <w:tc>
          <w:tcPr>
            <w:tcW w:w="220" w:type="pct"/>
            <w:tcBorders>
              <w:top w:val="nil"/>
              <w:left w:val="nil"/>
              <w:bottom w:val="single" w:sz="4" w:space="0" w:color="auto"/>
              <w:right w:val="single" w:sz="4" w:space="0" w:color="auto"/>
            </w:tcBorders>
            <w:shd w:val="clear" w:color="000000" w:fill="FFFFFF"/>
            <w:vAlign w:val="center"/>
            <w:hideMark/>
          </w:tcPr>
          <w:p w14:paraId="422BD487"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+ 173D</w:t>
            </w:r>
          </w:p>
        </w:tc>
        <w:tc>
          <w:tcPr>
            <w:tcW w:w="346" w:type="pct"/>
            <w:tcBorders>
              <w:top w:val="nil"/>
              <w:left w:val="nil"/>
              <w:bottom w:val="single" w:sz="4" w:space="0" w:color="auto"/>
              <w:right w:val="single" w:sz="4" w:space="0" w:color="auto"/>
            </w:tcBorders>
            <w:shd w:val="clear" w:color="auto" w:fill="auto"/>
            <w:vAlign w:val="center"/>
            <w:hideMark/>
          </w:tcPr>
          <w:p w14:paraId="26851044" w14:textId="4D92D31E"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Mospërmbushja e</w:t>
            </w:r>
            <w:r w:rsidR="003E16E0" w:rsidRPr="00B31292">
              <w:rPr>
                <w:rFonts w:ascii="Garamond" w:eastAsia="Times New Roman" w:hAnsi="Garamond" w:cs="Times New Roman"/>
                <w:color w:val="000000"/>
                <w:sz w:val="10"/>
                <w:szCs w:val="10"/>
              </w:rPr>
              <w:t xml:space="preserve"> </w:t>
            </w:r>
            <w:r w:rsidR="00F667B8" w:rsidRPr="00B31292">
              <w:rPr>
                <w:rFonts w:ascii="Garamond" w:eastAsia="Times New Roman" w:hAnsi="Garamond" w:cs="Times New Roman"/>
                <w:color w:val="000000"/>
                <w:sz w:val="10"/>
                <w:szCs w:val="10"/>
              </w:rPr>
              <w:t>kritereve të cilësisë, si:</w:t>
            </w:r>
            <w:r w:rsidRPr="00B31292">
              <w:rPr>
                <w:rFonts w:ascii="Garamond" w:eastAsia="Times New Roman" w:hAnsi="Garamond" w:cs="Times New Roman"/>
                <w:color w:val="000000"/>
                <w:sz w:val="10"/>
                <w:szCs w:val="10"/>
              </w:rPr>
              <w:t xml:space="preserve"> saktësia, përpikmëria dhe krahasueshmëria, për vrojtimin e TIK</w:t>
            </w:r>
            <w:r w:rsidR="002B0C41" w:rsidRPr="00B31292">
              <w:rPr>
                <w:rFonts w:ascii="Garamond" w:eastAsia="Times New Roman" w:hAnsi="Garamond" w:cs="Times New Roman"/>
                <w:color w:val="000000"/>
                <w:sz w:val="10"/>
                <w:szCs w:val="10"/>
              </w:rPr>
              <w:t>-ut</w:t>
            </w:r>
            <w:r w:rsidRPr="00B31292">
              <w:rPr>
                <w:rFonts w:ascii="Garamond" w:eastAsia="Times New Roman" w:hAnsi="Garamond" w:cs="Times New Roman"/>
                <w:color w:val="000000"/>
                <w:sz w:val="10"/>
                <w:szCs w:val="10"/>
              </w:rPr>
              <w:t xml:space="preserve"> në </w:t>
            </w:r>
            <w:r w:rsidR="002B0C41" w:rsidRPr="00B31292">
              <w:rPr>
                <w:rFonts w:ascii="Garamond" w:eastAsia="Times New Roman" w:hAnsi="Garamond" w:cs="Times New Roman"/>
                <w:color w:val="000000"/>
                <w:sz w:val="10"/>
                <w:szCs w:val="10"/>
              </w:rPr>
              <w:t>n</w:t>
            </w:r>
            <w:r w:rsidRPr="00B31292">
              <w:rPr>
                <w:rFonts w:ascii="Garamond" w:eastAsia="Times New Roman" w:hAnsi="Garamond" w:cs="Times New Roman"/>
                <w:color w:val="000000"/>
                <w:sz w:val="10"/>
                <w:szCs w:val="10"/>
              </w:rPr>
              <w:t>dërmarrje -|- 6</w:t>
            </w:r>
            <w:r w:rsidRPr="00B31292">
              <w:rPr>
                <w:rFonts w:ascii="Garamond" w:eastAsia="Times New Roman" w:hAnsi="Garamond" w:cs="Times New Roman"/>
                <w:color w:val="000000"/>
                <w:sz w:val="10"/>
                <w:szCs w:val="10"/>
              </w:rPr>
              <w:br/>
              <w:t xml:space="preserve">2. Mosevidentimi dhe realizimi i detyrave të përditshme të </w:t>
            </w:r>
            <w:r w:rsidR="00DB4567" w:rsidRPr="00B31292">
              <w:rPr>
                <w:rFonts w:ascii="Garamond" w:eastAsia="Times New Roman" w:hAnsi="Garamond" w:cs="Times New Roman"/>
                <w:color w:val="000000"/>
                <w:sz w:val="10"/>
                <w:szCs w:val="10"/>
              </w:rPr>
              <w:t>specialistit</w:t>
            </w:r>
            <w:r w:rsidRPr="00B31292">
              <w:rPr>
                <w:rFonts w:ascii="Garamond" w:eastAsia="Times New Roman" w:hAnsi="Garamond" w:cs="Times New Roman"/>
                <w:color w:val="000000"/>
                <w:sz w:val="10"/>
                <w:szCs w:val="10"/>
              </w:rPr>
              <w:t xml:space="preserve"> përgjegjës -|- 5</w:t>
            </w:r>
            <w:r w:rsidRPr="00B31292">
              <w:rPr>
                <w:rFonts w:ascii="Garamond" w:eastAsia="Times New Roman" w:hAnsi="Garamond" w:cs="Times New Roman"/>
                <w:color w:val="000000"/>
                <w:sz w:val="10"/>
                <w:szCs w:val="10"/>
              </w:rPr>
              <w:br/>
              <w:t xml:space="preserve">3. Moszbatimi në kohë i kalendarit të publikimit dhe përditësimit të materialeve në </w:t>
            </w:r>
            <w:r w:rsidRPr="00B31292">
              <w:rPr>
                <w:rFonts w:ascii="Garamond" w:eastAsia="Times New Roman" w:hAnsi="Garamond" w:cs="Times New Roman"/>
                <w:i/>
                <w:iCs/>
                <w:color w:val="000000"/>
                <w:sz w:val="10"/>
                <w:szCs w:val="10"/>
              </w:rPr>
              <w:t>web</w:t>
            </w:r>
            <w:r w:rsidRPr="00B31292">
              <w:rPr>
                <w:rFonts w:ascii="Garamond" w:eastAsia="Times New Roman" w:hAnsi="Garamond" w:cs="Times New Roman"/>
                <w:color w:val="000000"/>
                <w:sz w:val="10"/>
                <w:szCs w:val="10"/>
              </w:rPr>
              <w:t xml:space="preserve"> -|- 4</w:t>
            </w:r>
            <w:r w:rsidRPr="00B31292">
              <w:rPr>
                <w:rFonts w:ascii="Garamond" w:eastAsia="Times New Roman" w:hAnsi="Garamond" w:cs="Times New Roman"/>
                <w:color w:val="000000"/>
                <w:sz w:val="10"/>
                <w:szCs w:val="10"/>
              </w:rPr>
              <w:br/>
              <w:t>4. Gabime në përllogaritje e treguesve nga specialistët -|- 4</w:t>
            </w:r>
            <w:r w:rsidRPr="00B31292">
              <w:rPr>
                <w:rFonts w:ascii="Garamond" w:eastAsia="Times New Roman" w:hAnsi="Garamond" w:cs="Times New Roman"/>
                <w:color w:val="000000"/>
                <w:sz w:val="10"/>
                <w:szCs w:val="10"/>
              </w:rPr>
              <w:br/>
              <w:t>5. Mosfunksionimi i metodave të reja të IT për mbledhjen e të dhënave të vrojtimit -|- 6</w:t>
            </w:r>
            <w:r w:rsidRPr="00B31292">
              <w:rPr>
                <w:rFonts w:ascii="Garamond" w:eastAsia="Times New Roman" w:hAnsi="Garamond" w:cs="Times New Roman"/>
                <w:color w:val="000000"/>
                <w:sz w:val="10"/>
                <w:szCs w:val="10"/>
              </w:rPr>
              <w:br/>
              <w:t>6. Lëvizja e stafit me eksperiencë nga sektori -|- 6</w:t>
            </w:r>
            <w:r w:rsidRPr="00B31292">
              <w:rPr>
                <w:rFonts w:ascii="Garamond" w:eastAsia="Times New Roman" w:hAnsi="Garamond" w:cs="Times New Roman"/>
                <w:color w:val="000000"/>
                <w:sz w:val="10"/>
                <w:szCs w:val="10"/>
              </w:rPr>
              <w:br/>
              <w:t>7. Mosfunksionimi i metodave të automatizimit dhe mos pasja e suportit për automatizimin e proceseve t</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prodhimit të statistikave -|- 6</w:t>
            </w:r>
            <w:r w:rsidRPr="00B31292">
              <w:rPr>
                <w:rFonts w:ascii="Garamond" w:eastAsia="Times New Roman" w:hAnsi="Garamond" w:cs="Times New Roman"/>
                <w:color w:val="000000"/>
                <w:sz w:val="10"/>
                <w:szCs w:val="10"/>
              </w:rPr>
              <w:br/>
            </w:r>
            <w:r w:rsidRPr="00B31292">
              <w:rPr>
                <w:rFonts w:ascii="Garamond" w:eastAsia="Times New Roman" w:hAnsi="Garamond" w:cs="Times New Roman"/>
                <w:color w:val="000000"/>
                <w:sz w:val="10"/>
                <w:szCs w:val="10"/>
              </w:rPr>
              <w:lastRenderedPageBreak/>
              <w:t xml:space="preserve">8. Moszhvillimi i sistemeve të informacionit dhe </w:t>
            </w:r>
            <w:r w:rsidRPr="00B31292">
              <w:rPr>
                <w:rFonts w:ascii="Garamond" w:eastAsia="Times New Roman" w:hAnsi="Garamond" w:cs="Times New Roman"/>
                <w:i/>
                <w:iCs/>
                <w:color w:val="000000"/>
                <w:sz w:val="10"/>
                <w:szCs w:val="10"/>
              </w:rPr>
              <w:t>web-services</w:t>
            </w:r>
            <w:r w:rsidRPr="00B31292">
              <w:rPr>
                <w:rFonts w:ascii="Garamond" w:eastAsia="Times New Roman" w:hAnsi="Garamond" w:cs="Times New Roman"/>
                <w:color w:val="000000"/>
                <w:sz w:val="10"/>
                <w:szCs w:val="10"/>
              </w:rPr>
              <w:t xml:space="preserve"> -|- 6</w:t>
            </w:r>
            <w:r w:rsidRPr="00B31292">
              <w:rPr>
                <w:rFonts w:ascii="Garamond" w:eastAsia="Times New Roman" w:hAnsi="Garamond" w:cs="Times New Roman"/>
                <w:color w:val="000000"/>
                <w:sz w:val="10"/>
                <w:szCs w:val="10"/>
              </w:rPr>
              <w:br/>
              <w:t>9. Mospublikimi në kohë i rezultateve të vrojtimit -|- 3</w:t>
            </w:r>
          </w:p>
        </w:tc>
        <w:tc>
          <w:tcPr>
            <w:tcW w:w="273" w:type="pct"/>
            <w:tcBorders>
              <w:top w:val="nil"/>
              <w:left w:val="nil"/>
              <w:bottom w:val="single" w:sz="4" w:space="0" w:color="auto"/>
              <w:right w:val="single" w:sz="4" w:space="0" w:color="auto"/>
            </w:tcBorders>
            <w:shd w:val="clear" w:color="auto" w:fill="auto"/>
            <w:vAlign w:val="center"/>
            <w:hideMark/>
          </w:tcPr>
          <w:p w14:paraId="59CDD6A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lastRenderedPageBreak/>
              <w:t>Buxhet shteti</w:t>
            </w:r>
          </w:p>
        </w:tc>
      </w:tr>
      <w:tr w:rsidR="000A2254" w:rsidRPr="00B31292" w14:paraId="755AD05A" w14:textId="77777777" w:rsidTr="000A2254">
        <w:trPr>
          <w:trHeight w:val="20"/>
        </w:trPr>
        <w:tc>
          <w:tcPr>
            <w:tcW w:w="215" w:type="pct"/>
            <w:tcBorders>
              <w:top w:val="nil"/>
              <w:left w:val="nil"/>
              <w:bottom w:val="nil"/>
              <w:right w:val="nil"/>
            </w:tcBorders>
            <w:shd w:val="clear" w:color="000000" w:fill="FFFFFF"/>
            <w:vAlign w:val="bottom"/>
            <w:hideMark/>
          </w:tcPr>
          <w:p w14:paraId="313540B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62FFCDC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0A85E7F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4E21C48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single" w:sz="4" w:space="0" w:color="000000"/>
              <w:left w:val="single" w:sz="4" w:space="0" w:color="000000"/>
              <w:bottom w:val="single" w:sz="4" w:space="0" w:color="000000"/>
              <w:right w:val="nil"/>
            </w:tcBorders>
            <w:shd w:val="clear" w:color="000000" w:fill="F0F0F0"/>
            <w:vAlign w:val="center"/>
            <w:hideMark/>
          </w:tcPr>
          <w:p w14:paraId="007E47CB"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3.8.3</w:t>
            </w:r>
          </w:p>
        </w:tc>
        <w:tc>
          <w:tcPr>
            <w:tcW w:w="4082" w:type="pct"/>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0794DFD0" w14:textId="55E5F9E1"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Statistikat e </w:t>
            </w:r>
            <w:r w:rsidR="002B0C41" w:rsidRPr="00B31292">
              <w:rPr>
                <w:rFonts w:ascii="Garamond" w:eastAsia="Times New Roman" w:hAnsi="Garamond" w:cs="Times New Roman"/>
                <w:color w:val="000000"/>
                <w:sz w:val="10"/>
                <w:szCs w:val="10"/>
              </w:rPr>
              <w:t>teknologjisë së informacionit dhe komunikimit</w:t>
            </w:r>
          </w:p>
        </w:tc>
      </w:tr>
      <w:tr w:rsidR="000A2254" w:rsidRPr="00B31292" w14:paraId="1CBEFC66" w14:textId="77777777" w:rsidTr="000A2254">
        <w:trPr>
          <w:trHeight w:val="20"/>
        </w:trPr>
        <w:tc>
          <w:tcPr>
            <w:tcW w:w="215" w:type="pct"/>
            <w:tcBorders>
              <w:top w:val="nil"/>
              <w:left w:val="nil"/>
              <w:bottom w:val="nil"/>
              <w:right w:val="nil"/>
            </w:tcBorders>
            <w:shd w:val="clear" w:color="000000" w:fill="FFFFFF"/>
            <w:vAlign w:val="bottom"/>
            <w:hideMark/>
          </w:tcPr>
          <w:p w14:paraId="37F81554"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15" w:type="pct"/>
            <w:tcBorders>
              <w:top w:val="nil"/>
              <w:left w:val="nil"/>
              <w:bottom w:val="nil"/>
              <w:right w:val="nil"/>
            </w:tcBorders>
            <w:shd w:val="clear" w:color="000000" w:fill="FFFFFF"/>
            <w:vAlign w:val="bottom"/>
            <w:hideMark/>
          </w:tcPr>
          <w:p w14:paraId="435706B7"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155" w:type="pct"/>
            <w:tcBorders>
              <w:top w:val="nil"/>
              <w:left w:val="nil"/>
              <w:bottom w:val="nil"/>
              <w:right w:val="nil"/>
            </w:tcBorders>
            <w:shd w:val="clear" w:color="000000" w:fill="FFFFFF"/>
            <w:vAlign w:val="bottom"/>
            <w:hideMark/>
          </w:tcPr>
          <w:p w14:paraId="7CA97417"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145" w:type="pct"/>
            <w:tcBorders>
              <w:top w:val="nil"/>
              <w:left w:val="nil"/>
              <w:bottom w:val="nil"/>
              <w:right w:val="nil"/>
            </w:tcBorders>
            <w:shd w:val="clear" w:color="000000" w:fill="FFFFFF"/>
            <w:vAlign w:val="bottom"/>
            <w:hideMark/>
          </w:tcPr>
          <w:p w14:paraId="0BD79FDA"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188" w:type="pct"/>
            <w:tcBorders>
              <w:top w:val="nil"/>
              <w:left w:val="nil"/>
              <w:bottom w:val="nil"/>
              <w:right w:val="nil"/>
            </w:tcBorders>
            <w:shd w:val="clear" w:color="000000" w:fill="FFFFFF"/>
            <w:vAlign w:val="bottom"/>
            <w:hideMark/>
          </w:tcPr>
          <w:p w14:paraId="6A1C2DA8"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184" w:type="pct"/>
            <w:tcBorders>
              <w:top w:val="nil"/>
              <w:left w:val="nil"/>
              <w:bottom w:val="nil"/>
              <w:right w:val="nil"/>
            </w:tcBorders>
            <w:shd w:val="clear" w:color="000000" w:fill="FFFFFF"/>
            <w:vAlign w:val="bottom"/>
            <w:hideMark/>
          </w:tcPr>
          <w:p w14:paraId="56108077"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199" w:type="pct"/>
            <w:tcBorders>
              <w:top w:val="nil"/>
              <w:left w:val="single" w:sz="4" w:space="0" w:color="000000"/>
              <w:bottom w:val="nil"/>
              <w:right w:val="single" w:sz="4" w:space="0" w:color="000000"/>
            </w:tcBorders>
            <w:shd w:val="clear" w:color="000000" w:fill="FFFFFF"/>
            <w:vAlign w:val="center"/>
            <w:hideMark/>
          </w:tcPr>
          <w:p w14:paraId="521D276D"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3.8.3.1</w:t>
            </w:r>
          </w:p>
        </w:tc>
        <w:tc>
          <w:tcPr>
            <w:tcW w:w="281" w:type="pct"/>
            <w:tcBorders>
              <w:top w:val="nil"/>
              <w:left w:val="nil"/>
              <w:bottom w:val="nil"/>
              <w:right w:val="single" w:sz="4" w:space="0" w:color="000000"/>
            </w:tcBorders>
            <w:shd w:val="clear" w:color="auto" w:fill="auto"/>
            <w:vAlign w:val="center"/>
            <w:hideMark/>
          </w:tcPr>
          <w:p w14:paraId="437E6467" w14:textId="549D8D88"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xml:space="preserve">Statistikat e </w:t>
            </w:r>
            <w:r w:rsidR="002B0C41" w:rsidRPr="00B31292">
              <w:rPr>
                <w:rFonts w:ascii="Garamond" w:eastAsia="Times New Roman" w:hAnsi="Garamond" w:cs="Times New Roman"/>
                <w:sz w:val="10"/>
                <w:szCs w:val="10"/>
              </w:rPr>
              <w:t>teknologjisë së informacionit dhe komunikimit në ndërmarrje</w:t>
            </w:r>
          </w:p>
        </w:tc>
        <w:tc>
          <w:tcPr>
            <w:tcW w:w="236" w:type="pct"/>
            <w:tcBorders>
              <w:top w:val="nil"/>
              <w:left w:val="nil"/>
              <w:bottom w:val="nil"/>
              <w:right w:val="single" w:sz="4" w:space="0" w:color="000000"/>
            </w:tcBorders>
            <w:shd w:val="clear" w:color="auto" w:fill="auto"/>
            <w:vAlign w:val="center"/>
            <w:hideMark/>
          </w:tcPr>
          <w:p w14:paraId="62DE9B28"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Vrojtim</w:t>
            </w:r>
          </w:p>
        </w:tc>
        <w:tc>
          <w:tcPr>
            <w:tcW w:w="238" w:type="pct"/>
            <w:tcBorders>
              <w:top w:val="nil"/>
              <w:left w:val="nil"/>
              <w:bottom w:val="single" w:sz="4" w:space="0" w:color="auto"/>
              <w:right w:val="single" w:sz="4" w:space="0" w:color="auto"/>
            </w:tcBorders>
            <w:shd w:val="clear" w:color="auto" w:fill="auto"/>
            <w:noWrap/>
            <w:vAlign w:val="center"/>
            <w:hideMark/>
          </w:tcPr>
          <w:p w14:paraId="10F34246"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180" w:type="pct"/>
            <w:tcBorders>
              <w:top w:val="nil"/>
              <w:left w:val="nil"/>
              <w:bottom w:val="single" w:sz="4" w:space="0" w:color="auto"/>
              <w:right w:val="single" w:sz="4" w:space="0" w:color="auto"/>
            </w:tcBorders>
            <w:shd w:val="clear" w:color="auto" w:fill="auto"/>
            <w:noWrap/>
            <w:vAlign w:val="center"/>
            <w:hideMark/>
          </w:tcPr>
          <w:p w14:paraId="5F422AC1"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228" w:type="pct"/>
            <w:tcBorders>
              <w:top w:val="nil"/>
              <w:left w:val="nil"/>
              <w:bottom w:val="single" w:sz="4" w:space="0" w:color="auto"/>
              <w:right w:val="single" w:sz="4" w:space="0" w:color="auto"/>
            </w:tcBorders>
            <w:shd w:val="clear" w:color="auto" w:fill="auto"/>
            <w:vAlign w:val="center"/>
            <w:hideMark/>
          </w:tcPr>
          <w:p w14:paraId="086F1837"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tcBorders>
              <w:top w:val="nil"/>
              <w:left w:val="nil"/>
              <w:bottom w:val="nil"/>
              <w:right w:val="single" w:sz="4" w:space="0" w:color="000000"/>
            </w:tcBorders>
            <w:shd w:val="clear" w:color="000000" w:fill="FFFFFF"/>
            <w:vAlign w:val="center"/>
            <w:hideMark/>
          </w:tcPr>
          <w:p w14:paraId="2900B140"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Vjetor</w:t>
            </w:r>
          </w:p>
        </w:tc>
        <w:tc>
          <w:tcPr>
            <w:tcW w:w="486" w:type="pct"/>
            <w:tcBorders>
              <w:top w:val="nil"/>
              <w:left w:val="nil"/>
              <w:bottom w:val="nil"/>
              <w:right w:val="single" w:sz="4" w:space="0" w:color="auto"/>
            </w:tcBorders>
            <w:shd w:val="clear" w:color="000000" w:fill="FFFFFF"/>
            <w:vAlign w:val="center"/>
            <w:hideMark/>
          </w:tcPr>
          <w:p w14:paraId="1A9CB1BA" w14:textId="0B6139D5"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br/>
              <w:t>1.. Ndërmarrje që kanë akses në internet</w:t>
            </w:r>
            <w:r w:rsidR="002B0C41"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 xml:space="preserve">2. Ndërmarrje që shesin produkte/shërbime </w:t>
            </w:r>
            <w:r w:rsidRPr="00B31292">
              <w:rPr>
                <w:rFonts w:ascii="Garamond" w:eastAsia="Times New Roman" w:hAnsi="Garamond" w:cs="Times New Roman"/>
                <w:i/>
                <w:iCs/>
                <w:sz w:val="10"/>
                <w:szCs w:val="10"/>
              </w:rPr>
              <w:t>online</w:t>
            </w:r>
            <w:r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 xml:space="preserve">3. Shpejtësia maksimale për shkarkim </w:t>
            </w:r>
            <w:r w:rsidR="00221A99" w:rsidRPr="00B31292">
              <w:rPr>
                <w:rFonts w:ascii="Garamond" w:eastAsia="Times New Roman" w:hAnsi="Garamond" w:cs="Times New Roman"/>
                <w:sz w:val="10"/>
                <w:szCs w:val="10"/>
              </w:rPr>
              <w:t>dokumentesh</w:t>
            </w:r>
            <w:r w:rsidRPr="00B31292">
              <w:rPr>
                <w:rFonts w:ascii="Garamond" w:eastAsia="Times New Roman" w:hAnsi="Garamond" w:cs="Times New Roman"/>
                <w:sz w:val="10"/>
                <w:szCs w:val="10"/>
              </w:rPr>
              <w:t xml:space="preserve"> e specifikuar në kontratën me ofruesin e shërbimit të internetit</w:t>
            </w:r>
            <w:r w:rsidR="002B0C41"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4. Përqindja e ndërmarrjeve që përdorin një nga llojet e medias sociale</w:t>
            </w:r>
            <w:r w:rsidR="002B0C41"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 xml:space="preserve">Përqindja e ndërmarrjeve që përdorin </w:t>
            </w:r>
            <w:r w:rsidRPr="00B31292">
              <w:rPr>
                <w:rFonts w:ascii="Garamond" w:eastAsia="Times New Roman" w:hAnsi="Garamond" w:cs="Times New Roman"/>
                <w:i/>
                <w:iCs/>
                <w:sz w:val="10"/>
                <w:szCs w:val="10"/>
              </w:rPr>
              <w:t>website</w:t>
            </w:r>
            <w:r w:rsidRPr="00B31292">
              <w:rPr>
                <w:rFonts w:ascii="Garamond" w:eastAsia="Times New Roman" w:hAnsi="Garamond" w:cs="Times New Roman"/>
                <w:sz w:val="10"/>
                <w:szCs w:val="10"/>
              </w:rPr>
              <w:t xml:space="preserve"> ose një </w:t>
            </w:r>
            <w:r w:rsidRPr="00B31292">
              <w:rPr>
                <w:rFonts w:ascii="Garamond" w:eastAsia="Times New Roman" w:hAnsi="Garamond" w:cs="Times New Roman"/>
                <w:i/>
                <w:iCs/>
                <w:sz w:val="10"/>
                <w:szCs w:val="10"/>
              </w:rPr>
              <w:t>homepage</w:t>
            </w:r>
            <w:r w:rsidR="002B0C41"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 xml:space="preserve">Përqindja e ndërmarrjeve që përdorin shërbimet </w:t>
            </w:r>
            <w:r w:rsidRPr="00B31292">
              <w:rPr>
                <w:rFonts w:ascii="Garamond" w:eastAsia="Times New Roman" w:hAnsi="Garamond" w:cs="Times New Roman"/>
                <w:i/>
                <w:iCs/>
                <w:sz w:val="10"/>
                <w:szCs w:val="10"/>
              </w:rPr>
              <w:t>cloud</w:t>
            </w:r>
            <w:r w:rsidR="002B0C41"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5. Përqindja e ndërmarrjeve që përdorin ndarjen automatike të informacionit brenda ndërmarrjes</w:t>
            </w:r>
            <w:r w:rsidR="002B0C41"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 xml:space="preserve">6. Përqindja e ndërmarrjeve që përdorin </w:t>
            </w:r>
            <w:r w:rsidRPr="00B31292">
              <w:rPr>
                <w:rFonts w:ascii="Garamond" w:eastAsia="Times New Roman" w:hAnsi="Garamond" w:cs="Times New Roman"/>
                <w:i/>
                <w:iCs/>
                <w:sz w:val="10"/>
                <w:szCs w:val="10"/>
              </w:rPr>
              <w:t>software</w:t>
            </w:r>
            <w:r w:rsidRPr="00B31292">
              <w:rPr>
                <w:rFonts w:ascii="Garamond" w:eastAsia="Times New Roman" w:hAnsi="Garamond" w:cs="Times New Roman"/>
                <w:sz w:val="10"/>
                <w:szCs w:val="10"/>
              </w:rPr>
              <w:t>-in për menaxhimin e marrëdhënieve me klientët (CRM)</w:t>
            </w:r>
            <w:r w:rsidR="002B0C41"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7. Përqindja e ndërmarrjeve që përdorin informacionin elektronik për zinxhirët e informacionit</w:t>
            </w:r>
            <w:r w:rsidR="002B0C41" w:rsidRPr="00B31292">
              <w:rPr>
                <w:rFonts w:ascii="Garamond" w:eastAsia="Times New Roman" w:hAnsi="Garamond" w:cs="Times New Roman"/>
                <w:sz w:val="10"/>
                <w:szCs w:val="10"/>
              </w:rPr>
              <w:t>.</w:t>
            </w:r>
            <w:r w:rsidRPr="00B31292">
              <w:rPr>
                <w:rFonts w:ascii="Garamond" w:eastAsia="Times New Roman" w:hAnsi="Garamond" w:cs="Times New Roman"/>
                <w:sz w:val="10"/>
                <w:szCs w:val="10"/>
              </w:rPr>
              <w:t xml:space="preserve"> </w:t>
            </w:r>
            <w:r w:rsidRPr="00B31292">
              <w:rPr>
                <w:rFonts w:ascii="Garamond" w:eastAsia="Times New Roman" w:hAnsi="Garamond" w:cs="Times New Roman"/>
                <w:sz w:val="10"/>
                <w:szCs w:val="10"/>
              </w:rPr>
              <w:br/>
              <w:t>8. Ndërmarrje që përdorin kompjuter sipas madhësisë së ndërmarrjes</w:t>
            </w:r>
            <w:r w:rsidR="002B0C41"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9. Punonjës që përdorin kompjuter në ndërmarrje sipas madhësisë së ndërmarrjes</w:t>
            </w:r>
            <w:r w:rsidR="002B0C41"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10. Ndërmarrje që kanë akses në internet sipas madhësisë së ndërmarrjes</w:t>
            </w:r>
            <w:r w:rsidR="002B0C41"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 xml:space="preserve">11. Ndërmarrje që shesin produkte/shërbime </w:t>
            </w:r>
            <w:r w:rsidRPr="00B31292">
              <w:rPr>
                <w:rFonts w:ascii="Garamond" w:eastAsia="Times New Roman" w:hAnsi="Garamond" w:cs="Times New Roman"/>
                <w:i/>
                <w:iCs/>
                <w:sz w:val="10"/>
                <w:szCs w:val="10"/>
              </w:rPr>
              <w:t>online</w:t>
            </w:r>
            <w:r w:rsidRPr="00B31292">
              <w:rPr>
                <w:rFonts w:ascii="Garamond" w:eastAsia="Times New Roman" w:hAnsi="Garamond" w:cs="Times New Roman"/>
                <w:sz w:val="10"/>
                <w:szCs w:val="10"/>
              </w:rPr>
              <w:t xml:space="preserve"> sipas madhësisë së </w:t>
            </w:r>
            <w:r w:rsidRPr="00B31292">
              <w:rPr>
                <w:rFonts w:ascii="Garamond" w:eastAsia="Times New Roman" w:hAnsi="Garamond" w:cs="Times New Roman"/>
                <w:sz w:val="10"/>
                <w:szCs w:val="10"/>
              </w:rPr>
              <w:lastRenderedPageBreak/>
              <w:t>ndërmarrjes</w:t>
            </w:r>
            <w:r w:rsidR="002B0C41"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12. Përqindja e ndërmarrjeve të cilat kanë specialist të fushës së TIK</w:t>
            </w:r>
            <w:r w:rsidR="002B0C41" w:rsidRPr="00B31292">
              <w:rPr>
                <w:rFonts w:ascii="Garamond" w:eastAsia="Times New Roman" w:hAnsi="Garamond" w:cs="Times New Roman"/>
                <w:color w:val="000000"/>
                <w:sz w:val="10"/>
                <w:szCs w:val="10"/>
              </w:rPr>
              <w:t>-ut.</w:t>
            </w:r>
            <w:r w:rsidRPr="00B31292">
              <w:rPr>
                <w:rFonts w:ascii="Garamond" w:eastAsia="Times New Roman" w:hAnsi="Garamond" w:cs="Times New Roman"/>
                <w:sz w:val="10"/>
                <w:szCs w:val="10"/>
              </w:rPr>
              <w:br/>
              <w:t>13. Përqindja e ndërmarrjeve që përdorin kompjuter sipas aktivitetit ekonomik</w:t>
            </w:r>
            <w:r w:rsidR="002B0C41"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14. Përqindja e punonjësve që përdorin kompjuter në ndërmarrje sipas aktivitetit ekonomik</w:t>
            </w:r>
            <w:r w:rsidR="002B0C41"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15. Përqindja e ndërmarrjeve që kanë akses në internet sipas aktivitetit ekonomik</w:t>
            </w:r>
            <w:r w:rsidR="002B0C41"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 xml:space="preserve">16. Përqindja e ndërmarrjeve që shesin produkte/shërbime </w:t>
            </w:r>
            <w:r w:rsidRPr="00B31292">
              <w:rPr>
                <w:rFonts w:ascii="Garamond" w:eastAsia="Times New Roman" w:hAnsi="Garamond" w:cs="Times New Roman"/>
                <w:i/>
                <w:iCs/>
                <w:sz w:val="10"/>
                <w:szCs w:val="10"/>
              </w:rPr>
              <w:t>online</w:t>
            </w:r>
            <w:r w:rsidRPr="00B31292">
              <w:rPr>
                <w:rFonts w:ascii="Garamond" w:eastAsia="Times New Roman" w:hAnsi="Garamond" w:cs="Times New Roman"/>
                <w:sz w:val="10"/>
                <w:szCs w:val="10"/>
              </w:rPr>
              <w:t xml:space="preserve"> sipas aktivitetit ekonomik.</w:t>
            </w:r>
            <w:r w:rsidRPr="00B31292">
              <w:rPr>
                <w:rFonts w:ascii="Garamond" w:eastAsia="Times New Roman" w:hAnsi="Garamond" w:cs="Times New Roman"/>
                <w:sz w:val="10"/>
                <w:szCs w:val="10"/>
              </w:rPr>
              <w:br/>
              <w:t>17. Përqindja e ndërmarrjeve të cilat kanë ndikim mjedisor</w:t>
            </w:r>
            <w:r w:rsidR="002B0C41" w:rsidRPr="00B31292">
              <w:rPr>
                <w:rFonts w:ascii="Garamond" w:eastAsia="Times New Roman" w:hAnsi="Garamond" w:cs="Times New Roman"/>
                <w:sz w:val="10"/>
                <w:szCs w:val="10"/>
              </w:rPr>
              <w:t>.</w:t>
            </w:r>
            <w:r w:rsidRPr="00B31292">
              <w:rPr>
                <w:rFonts w:ascii="Garamond" w:eastAsia="Times New Roman" w:hAnsi="Garamond" w:cs="Times New Roman"/>
                <w:sz w:val="10"/>
                <w:szCs w:val="10"/>
              </w:rPr>
              <w:br/>
              <w:t>18. Përqindja e ndërmarrjeve të cilat kanë përdorur teknologjinë AI në ndërmarrjet e tyre</w:t>
            </w:r>
            <w:r w:rsidR="002B0C41" w:rsidRPr="00B31292">
              <w:rPr>
                <w:rFonts w:ascii="Garamond" w:eastAsia="Times New Roman" w:hAnsi="Garamond" w:cs="Times New Roman"/>
                <w:sz w:val="10"/>
                <w:szCs w:val="10"/>
              </w:rPr>
              <w:t>.</w:t>
            </w:r>
          </w:p>
        </w:tc>
        <w:tc>
          <w:tcPr>
            <w:tcW w:w="299" w:type="pct"/>
            <w:tcBorders>
              <w:top w:val="nil"/>
              <w:left w:val="nil"/>
              <w:bottom w:val="nil"/>
              <w:right w:val="nil"/>
            </w:tcBorders>
            <w:shd w:val="clear" w:color="000000" w:fill="FFFFFF"/>
            <w:vAlign w:val="center"/>
            <w:hideMark/>
          </w:tcPr>
          <w:p w14:paraId="085AFF5F"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lastRenderedPageBreak/>
              <w:t> </w:t>
            </w:r>
          </w:p>
        </w:tc>
        <w:tc>
          <w:tcPr>
            <w:tcW w:w="224" w:type="pct"/>
            <w:tcBorders>
              <w:top w:val="nil"/>
              <w:left w:val="single" w:sz="4" w:space="0" w:color="auto"/>
              <w:bottom w:val="single" w:sz="4" w:space="0" w:color="auto"/>
              <w:right w:val="single" w:sz="4" w:space="0" w:color="auto"/>
            </w:tcBorders>
            <w:shd w:val="clear" w:color="000000" w:fill="FFFFFF"/>
            <w:vAlign w:val="center"/>
            <w:hideMark/>
          </w:tcPr>
          <w:p w14:paraId="260387FA" w14:textId="65D5AAB0"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INSTAT</w:t>
            </w:r>
            <w:r w:rsidR="002B0C41" w:rsidRPr="00B31292">
              <w:rPr>
                <w:rFonts w:ascii="Garamond" w:eastAsia="Times New Roman" w:hAnsi="Garamond" w:cs="Times New Roman"/>
                <w:sz w:val="10"/>
                <w:szCs w:val="10"/>
              </w:rPr>
              <w:t>-i</w:t>
            </w:r>
          </w:p>
        </w:tc>
        <w:tc>
          <w:tcPr>
            <w:tcW w:w="244" w:type="pct"/>
            <w:tcBorders>
              <w:top w:val="nil"/>
              <w:left w:val="nil"/>
              <w:bottom w:val="single" w:sz="4" w:space="0" w:color="auto"/>
              <w:right w:val="single" w:sz="4" w:space="0" w:color="auto"/>
            </w:tcBorders>
            <w:shd w:val="clear" w:color="000000" w:fill="FFFFFF"/>
            <w:vAlign w:val="center"/>
            <w:hideMark/>
          </w:tcPr>
          <w:p w14:paraId="70843897"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V + 93D</w:t>
            </w:r>
          </w:p>
        </w:tc>
        <w:tc>
          <w:tcPr>
            <w:tcW w:w="220" w:type="pct"/>
            <w:tcBorders>
              <w:top w:val="nil"/>
              <w:left w:val="nil"/>
              <w:bottom w:val="single" w:sz="4" w:space="0" w:color="auto"/>
              <w:right w:val="single" w:sz="4" w:space="0" w:color="auto"/>
            </w:tcBorders>
            <w:shd w:val="clear" w:color="000000" w:fill="FFFFFF"/>
            <w:vAlign w:val="center"/>
            <w:hideMark/>
          </w:tcPr>
          <w:p w14:paraId="1B7BF098"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V + -230D</w:t>
            </w:r>
          </w:p>
        </w:tc>
        <w:tc>
          <w:tcPr>
            <w:tcW w:w="220" w:type="pct"/>
            <w:tcBorders>
              <w:top w:val="nil"/>
              <w:left w:val="nil"/>
              <w:bottom w:val="single" w:sz="4" w:space="0" w:color="auto"/>
              <w:right w:val="single" w:sz="4" w:space="0" w:color="auto"/>
            </w:tcBorders>
            <w:shd w:val="clear" w:color="000000" w:fill="FFFFFF"/>
            <w:vAlign w:val="center"/>
            <w:hideMark/>
          </w:tcPr>
          <w:p w14:paraId="7CC9B4E2"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V + 260D</w:t>
            </w:r>
          </w:p>
        </w:tc>
        <w:tc>
          <w:tcPr>
            <w:tcW w:w="346" w:type="pct"/>
            <w:tcBorders>
              <w:top w:val="nil"/>
              <w:left w:val="nil"/>
              <w:bottom w:val="single" w:sz="4" w:space="0" w:color="auto"/>
              <w:right w:val="single" w:sz="4" w:space="0" w:color="auto"/>
            </w:tcBorders>
            <w:shd w:val="clear" w:color="000000" w:fill="FFFFFF"/>
            <w:vAlign w:val="center"/>
            <w:hideMark/>
          </w:tcPr>
          <w:p w14:paraId="612D2EBF" w14:textId="3CFC99B2"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1. Mospërmbushja e</w:t>
            </w:r>
            <w:r w:rsidR="003E16E0" w:rsidRPr="00B31292">
              <w:rPr>
                <w:rFonts w:ascii="Garamond" w:eastAsia="Times New Roman" w:hAnsi="Garamond" w:cs="Times New Roman"/>
                <w:sz w:val="10"/>
                <w:szCs w:val="10"/>
              </w:rPr>
              <w:t xml:space="preserve"> </w:t>
            </w:r>
            <w:r w:rsidR="00F667B8" w:rsidRPr="00B31292">
              <w:rPr>
                <w:rFonts w:ascii="Garamond" w:eastAsia="Times New Roman" w:hAnsi="Garamond" w:cs="Times New Roman"/>
                <w:sz w:val="10"/>
                <w:szCs w:val="10"/>
              </w:rPr>
              <w:t>kritereve të cilësisë, si:</w:t>
            </w:r>
            <w:r w:rsidRPr="00B31292">
              <w:rPr>
                <w:rFonts w:ascii="Garamond" w:eastAsia="Times New Roman" w:hAnsi="Garamond" w:cs="Times New Roman"/>
                <w:sz w:val="10"/>
                <w:szCs w:val="10"/>
              </w:rPr>
              <w:t xml:space="preserve"> saktësia, përpikmëria dhe krahasueshmëria, për vrojtimin e TIK në Ndërmarrje -|- 5</w:t>
            </w:r>
            <w:r w:rsidRPr="00B31292">
              <w:rPr>
                <w:rFonts w:ascii="Garamond" w:eastAsia="Times New Roman" w:hAnsi="Garamond" w:cs="Times New Roman"/>
                <w:sz w:val="10"/>
                <w:szCs w:val="10"/>
              </w:rPr>
              <w:br/>
              <w:t>2. Mosevidentimi dhe realizimi i detyrave të përditshme të specialistit përgjegjës -|- 2</w:t>
            </w:r>
            <w:r w:rsidRPr="00B31292">
              <w:rPr>
                <w:rFonts w:ascii="Garamond" w:eastAsia="Times New Roman" w:hAnsi="Garamond" w:cs="Times New Roman"/>
                <w:sz w:val="10"/>
                <w:szCs w:val="10"/>
              </w:rPr>
              <w:br/>
              <w:t xml:space="preserve">3. Moszbatimi në kohë i kalendarit të publikimit dhe përditësimit të materialeve në </w:t>
            </w:r>
            <w:r w:rsidRPr="00B31292">
              <w:rPr>
                <w:rFonts w:ascii="Garamond" w:eastAsia="Times New Roman" w:hAnsi="Garamond" w:cs="Times New Roman"/>
                <w:i/>
                <w:iCs/>
                <w:sz w:val="10"/>
                <w:szCs w:val="10"/>
              </w:rPr>
              <w:t>web</w:t>
            </w:r>
            <w:r w:rsidRPr="00B31292">
              <w:rPr>
                <w:rFonts w:ascii="Garamond" w:eastAsia="Times New Roman" w:hAnsi="Garamond" w:cs="Times New Roman"/>
                <w:sz w:val="10"/>
                <w:szCs w:val="10"/>
              </w:rPr>
              <w:t xml:space="preserve"> -|- 4</w:t>
            </w:r>
            <w:r w:rsidRPr="00B31292">
              <w:rPr>
                <w:rFonts w:ascii="Garamond" w:eastAsia="Times New Roman" w:hAnsi="Garamond" w:cs="Times New Roman"/>
                <w:sz w:val="10"/>
                <w:szCs w:val="10"/>
              </w:rPr>
              <w:br/>
              <w:t>4. Gabime në përllogaritje e treguesve nga specialistët -|- 4</w:t>
            </w:r>
            <w:r w:rsidRPr="00B31292">
              <w:rPr>
                <w:rFonts w:ascii="Garamond" w:eastAsia="Times New Roman" w:hAnsi="Garamond" w:cs="Times New Roman"/>
                <w:sz w:val="10"/>
                <w:szCs w:val="10"/>
              </w:rPr>
              <w:br/>
              <w:t>5. Mosfunksionimi i metodave të reja të IT për mbledhjen e të dhënave të vrojtimit -|- 6</w:t>
            </w:r>
            <w:r w:rsidRPr="00B31292">
              <w:rPr>
                <w:rFonts w:ascii="Garamond" w:eastAsia="Times New Roman" w:hAnsi="Garamond" w:cs="Times New Roman"/>
                <w:sz w:val="10"/>
                <w:szCs w:val="10"/>
              </w:rPr>
              <w:br/>
              <w:t>6. Lëvizja e stafit me eksperiencë nga sektori -|- 6</w:t>
            </w:r>
            <w:r w:rsidRPr="00B31292">
              <w:rPr>
                <w:rFonts w:ascii="Garamond" w:eastAsia="Times New Roman" w:hAnsi="Garamond" w:cs="Times New Roman"/>
                <w:sz w:val="10"/>
                <w:szCs w:val="10"/>
              </w:rPr>
              <w:br/>
              <w:t>7. Mosfunksionimi i metodave të automatizimit dhe mos pasja e suportit për automatizimin e proceseve t</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sz w:val="10"/>
                <w:szCs w:val="10"/>
              </w:rPr>
              <w:t xml:space="preserve"> prodhimit të statistikave -|- 6</w:t>
            </w:r>
            <w:r w:rsidRPr="00B31292">
              <w:rPr>
                <w:rFonts w:ascii="Garamond" w:eastAsia="Times New Roman" w:hAnsi="Garamond" w:cs="Times New Roman"/>
                <w:sz w:val="10"/>
                <w:szCs w:val="10"/>
              </w:rPr>
              <w:br/>
            </w:r>
            <w:r w:rsidRPr="00B31292">
              <w:rPr>
                <w:rFonts w:ascii="Garamond" w:eastAsia="Times New Roman" w:hAnsi="Garamond" w:cs="Times New Roman"/>
                <w:sz w:val="10"/>
                <w:szCs w:val="10"/>
              </w:rPr>
              <w:lastRenderedPageBreak/>
              <w:t xml:space="preserve">8. Moszhvillimi i sistemeve të informacionit dhe </w:t>
            </w:r>
            <w:r w:rsidRPr="00B31292">
              <w:rPr>
                <w:rFonts w:ascii="Garamond" w:eastAsia="Times New Roman" w:hAnsi="Garamond" w:cs="Times New Roman"/>
                <w:i/>
                <w:iCs/>
                <w:sz w:val="10"/>
                <w:szCs w:val="10"/>
              </w:rPr>
              <w:t>web-services</w:t>
            </w:r>
            <w:r w:rsidRPr="00B31292">
              <w:rPr>
                <w:rFonts w:ascii="Garamond" w:eastAsia="Times New Roman" w:hAnsi="Garamond" w:cs="Times New Roman"/>
                <w:sz w:val="10"/>
                <w:szCs w:val="10"/>
              </w:rPr>
              <w:t xml:space="preserve"> -|- 5</w:t>
            </w:r>
            <w:r w:rsidRPr="00B31292">
              <w:rPr>
                <w:rFonts w:ascii="Garamond" w:eastAsia="Times New Roman" w:hAnsi="Garamond" w:cs="Times New Roman"/>
                <w:sz w:val="10"/>
                <w:szCs w:val="10"/>
              </w:rPr>
              <w:br/>
              <w:t>9. Mospublikimi në kohë i rezultateve të vrojtimit -|- 3</w:t>
            </w:r>
          </w:p>
        </w:tc>
        <w:tc>
          <w:tcPr>
            <w:tcW w:w="273" w:type="pct"/>
            <w:tcBorders>
              <w:top w:val="nil"/>
              <w:left w:val="nil"/>
              <w:bottom w:val="single" w:sz="4" w:space="0" w:color="auto"/>
              <w:right w:val="single" w:sz="4" w:space="0" w:color="auto"/>
            </w:tcBorders>
            <w:shd w:val="clear" w:color="000000" w:fill="FFFFFF"/>
            <w:vAlign w:val="center"/>
            <w:hideMark/>
          </w:tcPr>
          <w:p w14:paraId="1D673DEA"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lastRenderedPageBreak/>
              <w:t>Buxhet shteti</w:t>
            </w:r>
          </w:p>
        </w:tc>
      </w:tr>
      <w:tr w:rsidR="000A2254" w:rsidRPr="00B31292" w14:paraId="13C01976" w14:textId="77777777" w:rsidTr="000A2254">
        <w:trPr>
          <w:trHeight w:val="20"/>
        </w:trPr>
        <w:tc>
          <w:tcPr>
            <w:tcW w:w="215" w:type="pct"/>
            <w:tcBorders>
              <w:top w:val="nil"/>
              <w:left w:val="nil"/>
              <w:bottom w:val="nil"/>
              <w:right w:val="nil"/>
            </w:tcBorders>
            <w:shd w:val="clear" w:color="000000" w:fill="FFFFFF"/>
            <w:vAlign w:val="bottom"/>
            <w:hideMark/>
          </w:tcPr>
          <w:p w14:paraId="65E585F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3151DF7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2CF7176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1E487F5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5E4AE32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79FA5817"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vMerge w:val="restart"/>
            <w:tcBorders>
              <w:top w:val="single" w:sz="4" w:space="0" w:color="auto"/>
              <w:left w:val="single" w:sz="4" w:space="0" w:color="auto"/>
              <w:bottom w:val="nil"/>
              <w:right w:val="single" w:sz="4" w:space="0" w:color="auto"/>
            </w:tcBorders>
            <w:shd w:val="clear" w:color="000000" w:fill="FFFFFF"/>
            <w:vAlign w:val="center"/>
            <w:hideMark/>
          </w:tcPr>
          <w:p w14:paraId="14125847"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3.8.3.2</w:t>
            </w:r>
          </w:p>
        </w:tc>
        <w:tc>
          <w:tcPr>
            <w:tcW w:w="281" w:type="pct"/>
            <w:vMerge w:val="restart"/>
            <w:tcBorders>
              <w:top w:val="single" w:sz="4" w:space="0" w:color="auto"/>
              <w:left w:val="single" w:sz="4" w:space="0" w:color="auto"/>
              <w:bottom w:val="nil"/>
              <w:right w:val="single" w:sz="4" w:space="0" w:color="auto"/>
            </w:tcBorders>
            <w:shd w:val="clear" w:color="000000" w:fill="FFFFFF"/>
            <w:vAlign w:val="center"/>
            <w:hideMark/>
          </w:tcPr>
          <w:p w14:paraId="1ED16141" w14:textId="2C0066DB"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xml:space="preserve">Statistikat nga </w:t>
            </w:r>
            <w:r w:rsidR="002B0C41" w:rsidRPr="00B31292">
              <w:rPr>
                <w:rFonts w:ascii="Garamond" w:eastAsia="Times New Roman" w:hAnsi="Garamond" w:cs="Times New Roman"/>
                <w:sz w:val="10"/>
                <w:szCs w:val="10"/>
              </w:rPr>
              <w:t xml:space="preserve">anketa </w:t>
            </w:r>
            <w:r w:rsidRPr="00B31292">
              <w:rPr>
                <w:rFonts w:ascii="Garamond" w:eastAsia="Times New Roman" w:hAnsi="Garamond" w:cs="Times New Roman"/>
                <w:sz w:val="10"/>
                <w:szCs w:val="10"/>
              </w:rPr>
              <w:t>e TIK</w:t>
            </w:r>
            <w:r w:rsidR="002B0C41" w:rsidRPr="00B31292">
              <w:rPr>
                <w:rFonts w:ascii="Garamond" w:eastAsia="Times New Roman" w:hAnsi="Garamond" w:cs="Times New Roman"/>
                <w:sz w:val="10"/>
                <w:szCs w:val="10"/>
              </w:rPr>
              <w:t>-ut</w:t>
            </w:r>
            <w:r w:rsidRPr="00B31292">
              <w:rPr>
                <w:rFonts w:ascii="Garamond" w:eastAsia="Times New Roman" w:hAnsi="Garamond" w:cs="Times New Roman"/>
                <w:sz w:val="10"/>
                <w:szCs w:val="10"/>
              </w:rPr>
              <w:t xml:space="preserve"> në </w:t>
            </w:r>
            <w:r w:rsidR="002B0C41" w:rsidRPr="00B31292">
              <w:rPr>
                <w:rFonts w:ascii="Garamond" w:eastAsia="Times New Roman" w:hAnsi="Garamond" w:cs="Times New Roman"/>
                <w:sz w:val="10"/>
                <w:szCs w:val="10"/>
              </w:rPr>
              <w:t>familje</w:t>
            </w:r>
          </w:p>
        </w:tc>
        <w:tc>
          <w:tcPr>
            <w:tcW w:w="236"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618CBCB3"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Vrojtim</w:t>
            </w:r>
          </w:p>
        </w:tc>
        <w:tc>
          <w:tcPr>
            <w:tcW w:w="238"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F3000CE"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180"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F9BE09D"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228"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A04B197"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611DBD6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Vjetor</w:t>
            </w:r>
          </w:p>
        </w:tc>
        <w:tc>
          <w:tcPr>
            <w:tcW w:w="486" w:type="pct"/>
            <w:tcBorders>
              <w:top w:val="nil"/>
              <w:left w:val="nil"/>
              <w:bottom w:val="nil"/>
              <w:right w:val="nil"/>
            </w:tcBorders>
            <w:shd w:val="clear" w:color="000000" w:fill="FFFFFF"/>
            <w:vAlign w:val="center"/>
            <w:hideMark/>
          </w:tcPr>
          <w:p w14:paraId="4CF8FB0E" w14:textId="4CF7CD5A"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Përqindja e N</w:t>
            </w:r>
            <w:r w:rsidR="008340E6" w:rsidRPr="00B31292">
              <w:rPr>
                <w:rFonts w:ascii="Garamond" w:eastAsia="Times New Roman" w:hAnsi="Garamond" w:cs="Times New Roman"/>
                <w:color w:val="000000"/>
                <w:sz w:val="10"/>
                <w:szCs w:val="10"/>
              </w:rPr>
              <w:t>j</w:t>
            </w:r>
            <w:r w:rsidRPr="00B31292">
              <w:rPr>
                <w:rFonts w:ascii="Garamond" w:eastAsia="Times New Roman" w:hAnsi="Garamond" w:cs="Times New Roman"/>
                <w:color w:val="000000"/>
                <w:sz w:val="10"/>
                <w:szCs w:val="10"/>
              </w:rPr>
              <w:t>EF</w:t>
            </w:r>
            <w:r w:rsidR="008340E6" w:rsidRPr="00B31292">
              <w:rPr>
                <w:rFonts w:ascii="Garamond" w:eastAsia="Times New Roman" w:hAnsi="Garamond" w:cs="Times New Roman"/>
                <w:color w:val="000000"/>
                <w:sz w:val="10"/>
                <w:szCs w:val="10"/>
              </w:rPr>
              <w:t>-ve</w:t>
            </w:r>
            <w:r w:rsidRPr="00B31292">
              <w:rPr>
                <w:rFonts w:ascii="Garamond" w:eastAsia="Times New Roman" w:hAnsi="Garamond" w:cs="Times New Roman"/>
                <w:color w:val="000000"/>
                <w:sz w:val="10"/>
                <w:szCs w:val="10"/>
              </w:rPr>
              <w:t xml:space="preserve"> që kanë akses interneti në shtëpi</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 Përqindja e N</w:t>
            </w:r>
            <w:r w:rsidR="008340E6" w:rsidRPr="00B31292">
              <w:rPr>
                <w:rFonts w:ascii="Garamond" w:eastAsia="Times New Roman" w:hAnsi="Garamond" w:cs="Times New Roman"/>
                <w:color w:val="000000"/>
                <w:sz w:val="10"/>
                <w:szCs w:val="10"/>
              </w:rPr>
              <w:t>j</w:t>
            </w:r>
            <w:r w:rsidRPr="00B31292">
              <w:rPr>
                <w:rFonts w:ascii="Garamond" w:eastAsia="Times New Roman" w:hAnsi="Garamond" w:cs="Times New Roman"/>
                <w:color w:val="000000"/>
                <w:sz w:val="10"/>
                <w:szCs w:val="10"/>
              </w:rPr>
              <w:t>EF</w:t>
            </w:r>
            <w:r w:rsidR="008340E6" w:rsidRPr="00B31292">
              <w:rPr>
                <w:rFonts w:ascii="Garamond" w:eastAsia="Times New Roman" w:hAnsi="Garamond" w:cs="Times New Roman"/>
                <w:color w:val="000000"/>
                <w:sz w:val="10"/>
                <w:szCs w:val="10"/>
              </w:rPr>
              <w:t>-ve</w:t>
            </w:r>
            <w:r w:rsidRPr="00B31292">
              <w:rPr>
                <w:rFonts w:ascii="Garamond" w:eastAsia="Times New Roman" w:hAnsi="Garamond" w:cs="Times New Roman"/>
                <w:color w:val="000000"/>
                <w:sz w:val="10"/>
                <w:szCs w:val="10"/>
              </w:rPr>
              <w:t xml:space="preserve"> që përdorin linjë interneti </w:t>
            </w:r>
            <w:r w:rsidRPr="00B31292">
              <w:rPr>
                <w:rFonts w:ascii="Garamond" w:eastAsia="Times New Roman" w:hAnsi="Garamond" w:cs="Times New Roman"/>
                <w:i/>
                <w:iCs/>
                <w:color w:val="000000"/>
                <w:sz w:val="10"/>
                <w:szCs w:val="10"/>
              </w:rPr>
              <w:t>broadband</w:t>
            </w:r>
            <w:r w:rsidR="002B0C41" w:rsidRPr="00B31292">
              <w:rPr>
                <w:rFonts w:ascii="Garamond" w:eastAsia="Times New Roman" w:hAnsi="Garamond" w:cs="Times New Roman"/>
                <w:i/>
                <w:iCs/>
                <w:color w:val="000000"/>
                <w:sz w:val="10"/>
                <w:szCs w:val="10"/>
              </w:rPr>
              <w:t>.</w:t>
            </w:r>
            <w:r w:rsidRPr="00B31292">
              <w:rPr>
                <w:rFonts w:ascii="Garamond" w:eastAsia="Times New Roman" w:hAnsi="Garamond" w:cs="Times New Roman"/>
                <w:color w:val="000000"/>
                <w:sz w:val="10"/>
                <w:szCs w:val="10"/>
              </w:rPr>
              <w:br/>
              <w:t>3. Përqindja e individëve që e përdorin rregullisht internetin: gjithsej</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4. Përqindja e individëve që e përdorin rregullisht internetin: meshkuj (si % e të gjithë meshkujve)</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5. Përqindja e individëve që e përdorin rregullisht internetin: femra (si % e të gjitha femrave)</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6. Përqindja e individëve që e përdorin rregullisht internetin: grup-mosha 16</w:t>
            </w:r>
            <w:r w:rsidR="00DB4567"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24 vjeç (si % e të gjithë individëve 16</w:t>
            </w:r>
            <w:r w:rsidR="00DB4567"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24 vjeç)</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7. Përqindja e individëve që e përdorin rregullisht internetin: grup-mosha 25</w:t>
            </w:r>
            <w:r w:rsidR="00DB4567"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34 vjeç (si % e të gjithë individëve 25</w:t>
            </w:r>
            <w:r w:rsidR="00DB4567"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34 vjeç)</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8. Përqindja e individëve që e përdorin rregullisht internetin: grup-mosha 35</w:t>
            </w:r>
            <w:r w:rsidR="00DB4567"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44 vjeç (si % e të gjithë individëve 35</w:t>
            </w:r>
            <w:r w:rsidR="00DB4567"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44 vjeç)</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9. Përqindja e individëve që e përdorin rregullisht internetin: grup-mosha 45</w:t>
            </w:r>
            <w:r w:rsidR="00DB4567"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54 vjeç (si % e të gjithë individëve 45</w:t>
            </w:r>
            <w:r w:rsidR="00DB4567"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54 vjeç)</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10. Përqindja e individëve që e përdorin rregullisht internetin: grup-mosha 55</w:t>
            </w:r>
            <w:r w:rsidR="00DB4567"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64 vjeç (si % e të gjithë individëve 55</w:t>
            </w:r>
            <w:r w:rsidR="00DB4567"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64 vjeç)</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11. Përqindja e individëve që e përdorin rregullisht internetin: grup-mosha 65</w:t>
            </w:r>
            <w:r w:rsidR="00DB4567"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74 vjeç (si % e të gjithë individëve 65</w:t>
            </w:r>
            <w:r w:rsidR="00DB4567"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74 vjeç)</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12. Përdorimi i </w:t>
            </w:r>
            <w:r w:rsidRPr="00B31292">
              <w:rPr>
                <w:rFonts w:ascii="Garamond" w:eastAsia="Times New Roman" w:hAnsi="Garamond" w:cs="Times New Roman"/>
                <w:i/>
                <w:iCs/>
                <w:color w:val="000000"/>
                <w:sz w:val="10"/>
                <w:szCs w:val="10"/>
              </w:rPr>
              <w:t>e-qeverisjes</w:t>
            </w:r>
            <w:r w:rsidRPr="00B31292">
              <w:rPr>
                <w:rFonts w:ascii="Garamond" w:eastAsia="Times New Roman" w:hAnsi="Garamond" w:cs="Times New Roman"/>
                <w:color w:val="000000"/>
                <w:sz w:val="10"/>
                <w:szCs w:val="10"/>
              </w:rPr>
              <w:t>: Përqindja e individëve që kanë dërguar elektronikisht formularë të plotësuar në 12 muajt e fundit</w:t>
            </w:r>
            <w:r w:rsidR="002B0C41" w:rsidRPr="00B31292">
              <w:rPr>
                <w:rFonts w:ascii="Garamond" w:eastAsia="Times New Roman" w:hAnsi="Garamond" w:cs="Times New Roman"/>
                <w:color w:val="000000"/>
                <w:sz w:val="10"/>
                <w:szCs w:val="10"/>
              </w:rPr>
              <w:t>.</w:t>
            </w:r>
          </w:p>
        </w:tc>
        <w:tc>
          <w:tcPr>
            <w:tcW w:w="299"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06C4169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Instituti i Statistikave</w:t>
            </w:r>
          </w:p>
        </w:tc>
        <w:tc>
          <w:tcPr>
            <w:tcW w:w="22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BA4464D" w14:textId="3448C901"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2B0C41" w:rsidRPr="00B31292">
              <w:rPr>
                <w:rFonts w:ascii="Garamond" w:eastAsia="Times New Roman" w:hAnsi="Garamond" w:cs="Times New Roman"/>
                <w:color w:val="000000"/>
                <w:sz w:val="10"/>
                <w:szCs w:val="10"/>
              </w:rPr>
              <w:t>-i</w:t>
            </w:r>
          </w:p>
        </w:tc>
        <w:tc>
          <w:tcPr>
            <w:tcW w:w="24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829B377"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w:t>
            </w:r>
          </w:p>
        </w:tc>
        <w:tc>
          <w:tcPr>
            <w:tcW w:w="220"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2D6BE9C"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+ 151D</w:t>
            </w:r>
          </w:p>
        </w:tc>
        <w:tc>
          <w:tcPr>
            <w:tcW w:w="220"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35B5379"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+ 164D</w:t>
            </w:r>
          </w:p>
        </w:tc>
        <w:tc>
          <w:tcPr>
            <w:tcW w:w="346"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19DF28B" w14:textId="2D9049B4" w:rsidR="000A2254" w:rsidRPr="00B31292" w:rsidRDefault="00DB4567"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Përgatitja</w:t>
            </w:r>
            <w:r w:rsidR="000A2254" w:rsidRPr="00B31292">
              <w:rPr>
                <w:rFonts w:ascii="Garamond" w:eastAsia="Times New Roman" w:hAnsi="Garamond" w:cs="Times New Roman"/>
                <w:color w:val="000000"/>
                <w:sz w:val="10"/>
                <w:szCs w:val="10"/>
              </w:rPr>
              <w:t xml:space="preserve"> n</w:t>
            </w:r>
            <w:r w:rsidRPr="00B31292">
              <w:rPr>
                <w:rFonts w:ascii="Garamond" w:eastAsia="Times New Roman" w:hAnsi="Garamond" w:cs="Times New Roman"/>
                <w:color w:val="000000"/>
                <w:sz w:val="10"/>
                <w:szCs w:val="10"/>
              </w:rPr>
              <w:t>ë</w:t>
            </w:r>
            <w:r w:rsidR="000A2254" w:rsidRPr="00B31292">
              <w:rPr>
                <w:rFonts w:ascii="Garamond" w:eastAsia="Times New Roman" w:hAnsi="Garamond" w:cs="Times New Roman"/>
                <w:color w:val="000000"/>
                <w:sz w:val="10"/>
                <w:szCs w:val="10"/>
              </w:rPr>
              <w:t xml:space="preserve"> koh</w:t>
            </w:r>
            <w:r w:rsidRPr="00B31292">
              <w:rPr>
                <w:rFonts w:ascii="Garamond" w:eastAsia="Times New Roman" w:hAnsi="Garamond" w:cs="Times New Roman"/>
                <w:color w:val="000000"/>
                <w:sz w:val="10"/>
                <w:szCs w:val="10"/>
              </w:rPr>
              <w:t>ë</w:t>
            </w:r>
            <w:r w:rsidR="000A2254" w:rsidRPr="00B31292">
              <w:rPr>
                <w:rFonts w:ascii="Garamond" w:eastAsia="Times New Roman" w:hAnsi="Garamond" w:cs="Times New Roman"/>
                <w:color w:val="000000"/>
                <w:sz w:val="10"/>
                <w:szCs w:val="10"/>
              </w:rPr>
              <w:t xml:space="preserve"> e programit t</w:t>
            </w:r>
            <w:r w:rsidRPr="00B31292">
              <w:rPr>
                <w:rFonts w:ascii="Garamond" w:eastAsia="Times New Roman" w:hAnsi="Garamond" w:cs="Times New Roman"/>
                <w:color w:val="000000"/>
                <w:sz w:val="10"/>
                <w:szCs w:val="10"/>
              </w:rPr>
              <w:t>ë</w:t>
            </w:r>
            <w:r w:rsidR="000A2254" w:rsidRPr="00B31292">
              <w:rPr>
                <w:rFonts w:ascii="Garamond" w:eastAsia="Times New Roman" w:hAnsi="Garamond" w:cs="Times New Roman"/>
                <w:color w:val="000000"/>
                <w:sz w:val="10"/>
                <w:szCs w:val="10"/>
              </w:rPr>
              <w:t xml:space="preserve"> mbledhjes </w:t>
            </w:r>
            <w:r w:rsidR="002C1D56" w:rsidRPr="00B31292">
              <w:rPr>
                <w:rFonts w:ascii="Garamond" w:eastAsia="Times New Roman" w:hAnsi="Garamond" w:cs="Times New Roman"/>
                <w:color w:val="000000"/>
                <w:sz w:val="10"/>
                <w:szCs w:val="10"/>
              </w:rPr>
              <w:t>së të dhënave</w:t>
            </w:r>
            <w:r w:rsidR="000A2254" w:rsidRPr="00B31292">
              <w:rPr>
                <w:rFonts w:ascii="Garamond" w:eastAsia="Times New Roman" w:hAnsi="Garamond" w:cs="Times New Roman"/>
                <w:color w:val="000000"/>
                <w:sz w:val="10"/>
                <w:szCs w:val="10"/>
              </w:rPr>
              <w:t xml:space="preserve"> p</w:t>
            </w:r>
            <w:r w:rsidRPr="00B31292">
              <w:rPr>
                <w:rFonts w:ascii="Garamond" w:eastAsia="Times New Roman" w:hAnsi="Garamond" w:cs="Times New Roman"/>
                <w:color w:val="000000"/>
                <w:sz w:val="10"/>
                <w:szCs w:val="10"/>
              </w:rPr>
              <w:t>ë</w:t>
            </w:r>
            <w:r w:rsidR="000A2254" w:rsidRPr="00B31292">
              <w:rPr>
                <w:rFonts w:ascii="Garamond" w:eastAsia="Times New Roman" w:hAnsi="Garamond" w:cs="Times New Roman"/>
                <w:color w:val="000000"/>
                <w:sz w:val="10"/>
                <w:szCs w:val="10"/>
              </w:rPr>
              <w:t>r vitin referues -|- 3</w:t>
            </w:r>
          </w:p>
        </w:tc>
        <w:tc>
          <w:tcPr>
            <w:tcW w:w="273" w:type="pct"/>
            <w:vMerge w:val="restart"/>
            <w:tcBorders>
              <w:top w:val="nil"/>
              <w:left w:val="single" w:sz="4" w:space="0" w:color="auto"/>
              <w:bottom w:val="nil"/>
              <w:right w:val="single" w:sz="4" w:space="0" w:color="auto"/>
            </w:tcBorders>
            <w:shd w:val="clear" w:color="000000" w:fill="FFFFFF"/>
            <w:vAlign w:val="center"/>
            <w:hideMark/>
          </w:tcPr>
          <w:p w14:paraId="136E911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Buxhet shteti</w:t>
            </w:r>
          </w:p>
        </w:tc>
      </w:tr>
      <w:tr w:rsidR="000A2254" w:rsidRPr="00B31292" w14:paraId="14A1C9FC" w14:textId="77777777" w:rsidTr="000A2254">
        <w:trPr>
          <w:trHeight w:val="20"/>
        </w:trPr>
        <w:tc>
          <w:tcPr>
            <w:tcW w:w="215" w:type="pct"/>
            <w:tcBorders>
              <w:top w:val="nil"/>
              <w:left w:val="nil"/>
              <w:bottom w:val="nil"/>
              <w:right w:val="nil"/>
            </w:tcBorders>
            <w:shd w:val="clear" w:color="000000" w:fill="FFFFFF"/>
            <w:vAlign w:val="bottom"/>
            <w:hideMark/>
          </w:tcPr>
          <w:p w14:paraId="4B9D870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7551019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3FB7AC1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0452CAD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773CB96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6FA184B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vMerge/>
            <w:tcBorders>
              <w:top w:val="single" w:sz="4" w:space="0" w:color="auto"/>
              <w:left w:val="single" w:sz="4" w:space="0" w:color="auto"/>
              <w:bottom w:val="nil"/>
              <w:right w:val="single" w:sz="4" w:space="0" w:color="auto"/>
            </w:tcBorders>
            <w:vAlign w:val="center"/>
            <w:hideMark/>
          </w:tcPr>
          <w:p w14:paraId="226CB09A"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81" w:type="pct"/>
            <w:vMerge/>
            <w:tcBorders>
              <w:top w:val="single" w:sz="4" w:space="0" w:color="auto"/>
              <w:left w:val="single" w:sz="4" w:space="0" w:color="auto"/>
              <w:bottom w:val="nil"/>
              <w:right w:val="single" w:sz="4" w:space="0" w:color="auto"/>
            </w:tcBorders>
            <w:vAlign w:val="center"/>
            <w:hideMark/>
          </w:tcPr>
          <w:p w14:paraId="3EBFDB3D" w14:textId="77777777" w:rsidR="000A2254" w:rsidRPr="00B31292" w:rsidRDefault="000A2254" w:rsidP="000A2254">
            <w:pPr>
              <w:spacing w:after="0" w:line="240" w:lineRule="auto"/>
              <w:rPr>
                <w:rFonts w:ascii="Garamond" w:eastAsia="Times New Roman" w:hAnsi="Garamond" w:cs="Times New Roman"/>
                <w:sz w:val="10"/>
                <w:szCs w:val="10"/>
              </w:rPr>
            </w:pPr>
          </w:p>
        </w:tc>
        <w:tc>
          <w:tcPr>
            <w:tcW w:w="236" w:type="pct"/>
            <w:vMerge/>
            <w:tcBorders>
              <w:top w:val="single" w:sz="4" w:space="0" w:color="auto"/>
              <w:left w:val="single" w:sz="4" w:space="0" w:color="auto"/>
              <w:bottom w:val="single" w:sz="4" w:space="0" w:color="000000"/>
              <w:right w:val="single" w:sz="4" w:space="0" w:color="auto"/>
            </w:tcBorders>
            <w:vAlign w:val="center"/>
            <w:hideMark/>
          </w:tcPr>
          <w:p w14:paraId="614A7E16" w14:textId="77777777" w:rsidR="000A2254" w:rsidRPr="00B31292" w:rsidRDefault="000A2254" w:rsidP="000A2254">
            <w:pPr>
              <w:spacing w:after="0" w:line="240" w:lineRule="auto"/>
              <w:rPr>
                <w:rFonts w:ascii="Garamond" w:eastAsia="Times New Roman" w:hAnsi="Garamond" w:cs="Times New Roman"/>
                <w:sz w:val="10"/>
                <w:szCs w:val="10"/>
              </w:rPr>
            </w:pPr>
          </w:p>
        </w:tc>
        <w:tc>
          <w:tcPr>
            <w:tcW w:w="238" w:type="pct"/>
            <w:vMerge/>
            <w:tcBorders>
              <w:top w:val="nil"/>
              <w:left w:val="single" w:sz="4" w:space="0" w:color="auto"/>
              <w:bottom w:val="single" w:sz="4" w:space="0" w:color="000000"/>
              <w:right w:val="single" w:sz="4" w:space="0" w:color="auto"/>
            </w:tcBorders>
            <w:vAlign w:val="center"/>
            <w:hideMark/>
          </w:tcPr>
          <w:p w14:paraId="01D40469" w14:textId="77777777" w:rsidR="000A2254" w:rsidRPr="00B31292" w:rsidRDefault="000A2254" w:rsidP="000A2254">
            <w:pPr>
              <w:spacing w:after="0" w:line="240" w:lineRule="auto"/>
              <w:rPr>
                <w:rFonts w:ascii="Garamond" w:eastAsia="Times New Roman" w:hAnsi="Garamond" w:cs="Times New Roman"/>
                <w:sz w:val="10"/>
                <w:szCs w:val="10"/>
              </w:rPr>
            </w:pPr>
          </w:p>
        </w:tc>
        <w:tc>
          <w:tcPr>
            <w:tcW w:w="180" w:type="pct"/>
            <w:vMerge/>
            <w:tcBorders>
              <w:top w:val="nil"/>
              <w:left w:val="single" w:sz="4" w:space="0" w:color="auto"/>
              <w:bottom w:val="single" w:sz="4" w:space="0" w:color="000000"/>
              <w:right w:val="single" w:sz="4" w:space="0" w:color="auto"/>
            </w:tcBorders>
            <w:vAlign w:val="center"/>
            <w:hideMark/>
          </w:tcPr>
          <w:p w14:paraId="3DB9F1A2" w14:textId="77777777" w:rsidR="000A2254" w:rsidRPr="00B31292" w:rsidRDefault="000A2254" w:rsidP="000A2254">
            <w:pPr>
              <w:spacing w:after="0" w:line="240" w:lineRule="auto"/>
              <w:rPr>
                <w:rFonts w:ascii="Garamond" w:eastAsia="Times New Roman" w:hAnsi="Garamond" w:cs="Times New Roman"/>
                <w:sz w:val="10"/>
                <w:szCs w:val="10"/>
              </w:rPr>
            </w:pPr>
          </w:p>
        </w:tc>
        <w:tc>
          <w:tcPr>
            <w:tcW w:w="228" w:type="pct"/>
            <w:vMerge/>
            <w:tcBorders>
              <w:top w:val="nil"/>
              <w:left w:val="single" w:sz="4" w:space="0" w:color="auto"/>
              <w:bottom w:val="single" w:sz="4" w:space="0" w:color="000000"/>
              <w:right w:val="single" w:sz="4" w:space="0" w:color="auto"/>
            </w:tcBorders>
            <w:vAlign w:val="center"/>
            <w:hideMark/>
          </w:tcPr>
          <w:p w14:paraId="2177A441"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22" w:type="pct"/>
            <w:vMerge/>
            <w:tcBorders>
              <w:top w:val="single" w:sz="4" w:space="0" w:color="auto"/>
              <w:left w:val="single" w:sz="4" w:space="0" w:color="auto"/>
              <w:bottom w:val="single" w:sz="4" w:space="0" w:color="000000"/>
              <w:right w:val="single" w:sz="4" w:space="0" w:color="auto"/>
            </w:tcBorders>
            <w:vAlign w:val="center"/>
            <w:hideMark/>
          </w:tcPr>
          <w:p w14:paraId="05E51846"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486" w:type="pct"/>
            <w:tcBorders>
              <w:top w:val="nil"/>
              <w:left w:val="nil"/>
              <w:bottom w:val="nil"/>
              <w:right w:val="nil"/>
            </w:tcBorders>
            <w:shd w:val="clear" w:color="000000" w:fill="FFFFFF"/>
            <w:vAlign w:val="center"/>
            <w:hideMark/>
          </w:tcPr>
          <w:p w14:paraId="40E0F3EC" w14:textId="03092AB3"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13. Përdorimi i </w:t>
            </w:r>
            <w:r w:rsidRPr="00B31292">
              <w:rPr>
                <w:rFonts w:ascii="Garamond" w:eastAsia="Times New Roman" w:hAnsi="Garamond" w:cs="Times New Roman"/>
                <w:i/>
                <w:iCs/>
                <w:color w:val="000000"/>
                <w:sz w:val="10"/>
                <w:szCs w:val="10"/>
              </w:rPr>
              <w:t>e-blerje</w:t>
            </w:r>
            <w:r w:rsidRPr="00B31292">
              <w:rPr>
                <w:rFonts w:ascii="Garamond" w:eastAsia="Times New Roman" w:hAnsi="Garamond" w:cs="Times New Roman"/>
                <w:color w:val="000000"/>
                <w:sz w:val="10"/>
                <w:szCs w:val="10"/>
              </w:rPr>
              <w:t xml:space="preserve"> (blerje </w:t>
            </w:r>
            <w:r w:rsidRPr="00B31292">
              <w:rPr>
                <w:rFonts w:ascii="Garamond" w:eastAsia="Times New Roman" w:hAnsi="Garamond" w:cs="Times New Roman"/>
                <w:i/>
                <w:iCs/>
                <w:color w:val="000000"/>
                <w:sz w:val="10"/>
                <w:szCs w:val="10"/>
              </w:rPr>
              <w:t>online</w:t>
            </w:r>
            <w:r w:rsidRPr="00B31292">
              <w:rPr>
                <w:rFonts w:ascii="Garamond" w:eastAsia="Times New Roman" w:hAnsi="Garamond" w:cs="Times New Roman"/>
                <w:color w:val="000000"/>
                <w:sz w:val="10"/>
                <w:szCs w:val="10"/>
              </w:rPr>
              <w:t>):</w:t>
            </w:r>
            <w:r w:rsidR="00CD213A"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 xml:space="preserve">Përqindja e individëve që kanë porositur </w:t>
            </w:r>
            <w:r w:rsidRPr="00B31292">
              <w:rPr>
                <w:rFonts w:ascii="Garamond" w:eastAsia="Times New Roman" w:hAnsi="Garamond" w:cs="Times New Roman"/>
                <w:i/>
                <w:iCs/>
                <w:color w:val="000000"/>
                <w:sz w:val="10"/>
                <w:szCs w:val="10"/>
              </w:rPr>
              <w:t>online</w:t>
            </w:r>
            <w:r w:rsidRPr="00B31292">
              <w:rPr>
                <w:rFonts w:ascii="Garamond" w:eastAsia="Times New Roman" w:hAnsi="Garamond" w:cs="Times New Roman"/>
                <w:color w:val="000000"/>
                <w:sz w:val="10"/>
                <w:szCs w:val="10"/>
              </w:rPr>
              <w:t xml:space="preserve"> të </w:t>
            </w:r>
            <w:r w:rsidRPr="00B31292">
              <w:rPr>
                <w:rFonts w:ascii="Garamond" w:eastAsia="Times New Roman" w:hAnsi="Garamond" w:cs="Times New Roman"/>
                <w:color w:val="000000"/>
                <w:sz w:val="10"/>
                <w:szCs w:val="10"/>
              </w:rPr>
              <w:lastRenderedPageBreak/>
              <w:t>mira materiale ose shërbime për përdorim personal nga interneti në 12 muajt e fundit</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14. Pajisjet kryesore të përdorura për të hyrë në internet</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15. Shpërndarja e individëve për blerjet </w:t>
            </w:r>
            <w:r w:rsidRPr="00B31292">
              <w:rPr>
                <w:rFonts w:ascii="Garamond" w:eastAsia="Times New Roman" w:hAnsi="Garamond" w:cs="Times New Roman"/>
                <w:i/>
                <w:iCs/>
                <w:color w:val="000000"/>
                <w:sz w:val="10"/>
                <w:szCs w:val="10"/>
              </w:rPr>
              <w:t>online</w:t>
            </w:r>
            <w:r w:rsidRPr="00B31292">
              <w:rPr>
                <w:rFonts w:ascii="Garamond" w:eastAsia="Times New Roman" w:hAnsi="Garamond" w:cs="Times New Roman"/>
                <w:color w:val="000000"/>
                <w:sz w:val="10"/>
                <w:szCs w:val="10"/>
              </w:rPr>
              <w:t xml:space="preserve"> sipas produkteve/shërbimeve</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16. Shpërndarja e individëve sipas aftësive të TIK</w:t>
            </w:r>
            <w:r w:rsidR="002B0C41" w:rsidRPr="00B31292">
              <w:rPr>
                <w:rFonts w:ascii="Garamond" w:eastAsia="Times New Roman" w:hAnsi="Garamond" w:cs="Times New Roman"/>
                <w:color w:val="000000"/>
                <w:sz w:val="10"/>
                <w:szCs w:val="10"/>
              </w:rPr>
              <w:t>-ut.</w:t>
            </w:r>
            <w:r w:rsidRPr="00B31292">
              <w:rPr>
                <w:rFonts w:ascii="Garamond" w:eastAsia="Times New Roman" w:hAnsi="Garamond" w:cs="Times New Roman"/>
                <w:color w:val="000000"/>
                <w:sz w:val="10"/>
                <w:szCs w:val="10"/>
              </w:rPr>
              <w:br/>
              <w:t>17. Shpërndarja e përdorimit të TIK</w:t>
            </w:r>
            <w:r w:rsidR="002B0C41" w:rsidRPr="00B31292">
              <w:rPr>
                <w:rFonts w:ascii="Garamond" w:eastAsia="Times New Roman" w:hAnsi="Garamond" w:cs="Times New Roman"/>
                <w:color w:val="000000"/>
                <w:sz w:val="10"/>
                <w:szCs w:val="10"/>
              </w:rPr>
              <w:t>-ut</w:t>
            </w:r>
            <w:r w:rsidRPr="00B31292">
              <w:rPr>
                <w:rFonts w:ascii="Garamond" w:eastAsia="Times New Roman" w:hAnsi="Garamond" w:cs="Times New Roman"/>
                <w:color w:val="000000"/>
                <w:sz w:val="10"/>
                <w:szCs w:val="10"/>
              </w:rPr>
              <w:t xml:space="preserve"> sipas grup</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moshës</w:t>
            </w:r>
            <w:r w:rsidRPr="00B31292">
              <w:rPr>
                <w:rFonts w:ascii="Garamond" w:eastAsia="Times New Roman" w:hAnsi="Garamond" w:cs="Times New Roman"/>
                <w:color w:val="000000"/>
                <w:sz w:val="10"/>
                <w:szCs w:val="10"/>
              </w:rPr>
              <w:br/>
              <w:t xml:space="preserve"> 18.</w:t>
            </w:r>
            <w:r w:rsidR="00CD213A"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Shpërndarja e shpeshtësisë së përdorimit të TIK</w:t>
            </w:r>
            <w:r w:rsidR="002B0C41" w:rsidRPr="00B31292">
              <w:rPr>
                <w:rFonts w:ascii="Garamond" w:eastAsia="Times New Roman" w:hAnsi="Garamond" w:cs="Times New Roman"/>
                <w:color w:val="000000"/>
                <w:sz w:val="10"/>
                <w:szCs w:val="10"/>
              </w:rPr>
              <w:t>-ut</w:t>
            </w:r>
            <w:r w:rsidRPr="00B31292">
              <w:rPr>
                <w:rFonts w:ascii="Garamond" w:eastAsia="Times New Roman" w:hAnsi="Garamond" w:cs="Times New Roman"/>
                <w:color w:val="000000"/>
                <w:sz w:val="10"/>
                <w:szCs w:val="10"/>
              </w:rPr>
              <w:t xml:space="preserve"> sipas grup</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moshave</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 19.</w:t>
            </w:r>
            <w:r w:rsidR="00CD213A"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Shpërndarja e individëve që kryejnë thirrje/video thirrje, sipas grup</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moshave</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20. Shpërndarja e përdorimit të TIK</w:t>
            </w:r>
            <w:r w:rsidR="002B0C41" w:rsidRPr="00B31292">
              <w:rPr>
                <w:rFonts w:ascii="Garamond" w:eastAsia="Times New Roman" w:hAnsi="Garamond" w:cs="Times New Roman"/>
                <w:color w:val="000000"/>
                <w:sz w:val="10"/>
                <w:szCs w:val="10"/>
              </w:rPr>
              <w:t>-ut</w:t>
            </w:r>
            <w:r w:rsidRPr="00B31292">
              <w:rPr>
                <w:rFonts w:ascii="Garamond" w:eastAsia="Times New Roman" w:hAnsi="Garamond" w:cs="Times New Roman"/>
                <w:color w:val="000000"/>
                <w:sz w:val="10"/>
                <w:szCs w:val="10"/>
              </w:rPr>
              <w:t xml:space="preserve"> sipas gjinisë</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21. Shpërndarja e shpeshtësisë</w:t>
            </w:r>
            <w:r w:rsidR="00CD213A"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së</w:t>
            </w:r>
            <w:r w:rsidR="00CD213A"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përdorimit të TIK</w:t>
            </w:r>
            <w:r w:rsidR="002B0C41" w:rsidRPr="00B31292">
              <w:rPr>
                <w:rFonts w:ascii="Garamond" w:eastAsia="Times New Roman" w:hAnsi="Garamond" w:cs="Times New Roman"/>
                <w:color w:val="000000"/>
                <w:sz w:val="10"/>
                <w:szCs w:val="10"/>
              </w:rPr>
              <w:t>-ut</w:t>
            </w:r>
            <w:r w:rsidRPr="00B31292">
              <w:rPr>
                <w:rFonts w:ascii="Garamond" w:eastAsia="Times New Roman" w:hAnsi="Garamond" w:cs="Times New Roman"/>
                <w:color w:val="000000"/>
                <w:sz w:val="10"/>
                <w:szCs w:val="10"/>
              </w:rPr>
              <w:t xml:space="preserve"> sipas gjinisë</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 22. Llojet e blerjeve </w:t>
            </w:r>
            <w:r w:rsidRPr="00B31292">
              <w:rPr>
                <w:rFonts w:ascii="Garamond" w:eastAsia="Times New Roman" w:hAnsi="Garamond" w:cs="Times New Roman"/>
                <w:i/>
                <w:iCs/>
                <w:color w:val="000000"/>
                <w:sz w:val="10"/>
                <w:szCs w:val="10"/>
              </w:rPr>
              <w:t>online</w:t>
            </w:r>
            <w:r w:rsidRPr="00B31292">
              <w:rPr>
                <w:rFonts w:ascii="Garamond" w:eastAsia="Times New Roman" w:hAnsi="Garamond" w:cs="Times New Roman"/>
                <w:color w:val="000000"/>
                <w:sz w:val="10"/>
                <w:szCs w:val="10"/>
              </w:rPr>
              <w:t xml:space="preserve"> sipas gjinisë</w:t>
            </w:r>
            <w:r w:rsidR="002B0C41" w:rsidRPr="00B31292">
              <w:rPr>
                <w:rFonts w:ascii="Garamond" w:eastAsia="Times New Roman" w:hAnsi="Garamond" w:cs="Times New Roman"/>
                <w:color w:val="000000"/>
                <w:sz w:val="10"/>
                <w:szCs w:val="10"/>
              </w:rPr>
              <w:t>.</w:t>
            </w:r>
          </w:p>
        </w:tc>
        <w:tc>
          <w:tcPr>
            <w:tcW w:w="299" w:type="pct"/>
            <w:vMerge/>
            <w:tcBorders>
              <w:top w:val="single" w:sz="4" w:space="0" w:color="auto"/>
              <w:left w:val="single" w:sz="4" w:space="0" w:color="auto"/>
              <w:bottom w:val="single" w:sz="4" w:space="0" w:color="000000"/>
              <w:right w:val="single" w:sz="4" w:space="0" w:color="auto"/>
            </w:tcBorders>
            <w:vAlign w:val="center"/>
            <w:hideMark/>
          </w:tcPr>
          <w:p w14:paraId="10FA6AF2"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24" w:type="pct"/>
            <w:vMerge/>
            <w:tcBorders>
              <w:top w:val="nil"/>
              <w:left w:val="single" w:sz="4" w:space="0" w:color="auto"/>
              <w:bottom w:val="single" w:sz="4" w:space="0" w:color="000000"/>
              <w:right w:val="single" w:sz="4" w:space="0" w:color="auto"/>
            </w:tcBorders>
            <w:vAlign w:val="center"/>
            <w:hideMark/>
          </w:tcPr>
          <w:p w14:paraId="71E580F4"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44" w:type="pct"/>
            <w:vMerge/>
            <w:tcBorders>
              <w:top w:val="nil"/>
              <w:left w:val="single" w:sz="4" w:space="0" w:color="auto"/>
              <w:bottom w:val="single" w:sz="4" w:space="0" w:color="000000"/>
              <w:right w:val="single" w:sz="4" w:space="0" w:color="auto"/>
            </w:tcBorders>
            <w:vAlign w:val="center"/>
            <w:hideMark/>
          </w:tcPr>
          <w:p w14:paraId="0C9115F1"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20" w:type="pct"/>
            <w:vMerge/>
            <w:tcBorders>
              <w:top w:val="nil"/>
              <w:left w:val="single" w:sz="4" w:space="0" w:color="auto"/>
              <w:bottom w:val="single" w:sz="4" w:space="0" w:color="000000"/>
              <w:right w:val="single" w:sz="4" w:space="0" w:color="auto"/>
            </w:tcBorders>
            <w:vAlign w:val="center"/>
            <w:hideMark/>
          </w:tcPr>
          <w:p w14:paraId="3503776C"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20" w:type="pct"/>
            <w:vMerge/>
            <w:tcBorders>
              <w:top w:val="nil"/>
              <w:left w:val="single" w:sz="4" w:space="0" w:color="auto"/>
              <w:bottom w:val="single" w:sz="4" w:space="0" w:color="000000"/>
              <w:right w:val="single" w:sz="4" w:space="0" w:color="auto"/>
            </w:tcBorders>
            <w:vAlign w:val="center"/>
            <w:hideMark/>
          </w:tcPr>
          <w:p w14:paraId="61093EE7"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346" w:type="pct"/>
            <w:vMerge/>
            <w:tcBorders>
              <w:top w:val="nil"/>
              <w:left w:val="single" w:sz="4" w:space="0" w:color="auto"/>
              <w:bottom w:val="single" w:sz="4" w:space="0" w:color="000000"/>
              <w:right w:val="single" w:sz="4" w:space="0" w:color="auto"/>
            </w:tcBorders>
            <w:vAlign w:val="center"/>
            <w:hideMark/>
          </w:tcPr>
          <w:p w14:paraId="3ABF0780"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c>
          <w:tcPr>
            <w:tcW w:w="273" w:type="pct"/>
            <w:vMerge/>
            <w:tcBorders>
              <w:top w:val="nil"/>
              <w:left w:val="single" w:sz="4" w:space="0" w:color="auto"/>
              <w:bottom w:val="nil"/>
              <w:right w:val="single" w:sz="4" w:space="0" w:color="auto"/>
            </w:tcBorders>
            <w:vAlign w:val="center"/>
            <w:hideMark/>
          </w:tcPr>
          <w:p w14:paraId="4D8F7C56" w14:textId="77777777" w:rsidR="000A2254" w:rsidRPr="00B31292" w:rsidRDefault="000A2254" w:rsidP="000A2254">
            <w:pPr>
              <w:spacing w:after="0" w:line="240" w:lineRule="auto"/>
              <w:rPr>
                <w:rFonts w:ascii="Garamond" w:eastAsia="Times New Roman" w:hAnsi="Garamond" w:cs="Times New Roman"/>
                <w:color w:val="000000"/>
                <w:sz w:val="10"/>
                <w:szCs w:val="10"/>
              </w:rPr>
            </w:pPr>
          </w:p>
        </w:tc>
      </w:tr>
      <w:tr w:rsidR="000A2254" w:rsidRPr="00B31292" w14:paraId="02515373" w14:textId="77777777" w:rsidTr="000A2254">
        <w:trPr>
          <w:trHeight w:val="20"/>
        </w:trPr>
        <w:tc>
          <w:tcPr>
            <w:tcW w:w="215" w:type="pct"/>
            <w:tcBorders>
              <w:top w:val="single" w:sz="4" w:space="0" w:color="000000"/>
              <w:left w:val="single" w:sz="4" w:space="0" w:color="000000"/>
              <w:bottom w:val="single" w:sz="4" w:space="0" w:color="000000"/>
              <w:right w:val="nil"/>
            </w:tcBorders>
            <w:shd w:val="clear" w:color="000000" w:fill="F0F0F0"/>
            <w:vAlign w:val="center"/>
            <w:hideMark/>
          </w:tcPr>
          <w:p w14:paraId="1DCE7AC0"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4</w:t>
            </w:r>
          </w:p>
        </w:tc>
        <w:tc>
          <w:tcPr>
            <w:tcW w:w="4785" w:type="pct"/>
            <w:gridSpan w:val="20"/>
            <w:tcBorders>
              <w:top w:val="single" w:sz="4" w:space="0" w:color="auto"/>
              <w:left w:val="single" w:sz="4" w:space="0" w:color="auto"/>
              <w:bottom w:val="single" w:sz="4" w:space="0" w:color="auto"/>
              <w:right w:val="single" w:sz="4" w:space="0" w:color="auto"/>
            </w:tcBorders>
            <w:shd w:val="clear" w:color="000000" w:fill="F0F0F0"/>
            <w:vAlign w:val="center"/>
            <w:hideMark/>
          </w:tcPr>
          <w:p w14:paraId="1547E60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Statistikat e Mjedisit dhe Multidomain</w:t>
            </w:r>
          </w:p>
        </w:tc>
      </w:tr>
      <w:tr w:rsidR="000A2254" w:rsidRPr="00B31292" w14:paraId="31C44363" w14:textId="77777777" w:rsidTr="000A2254">
        <w:trPr>
          <w:trHeight w:val="20"/>
        </w:trPr>
        <w:tc>
          <w:tcPr>
            <w:tcW w:w="215" w:type="pct"/>
            <w:tcBorders>
              <w:top w:val="nil"/>
              <w:left w:val="nil"/>
              <w:bottom w:val="nil"/>
              <w:right w:val="nil"/>
            </w:tcBorders>
            <w:shd w:val="clear" w:color="000000" w:fill="FFFFFF"/>
            <w:vAlign w:val="bottom"/>
            <w:hideMark/>
          </w:tcPr>
          <w:p w14:paraId="04FB044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2CDFAC5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single" w:sz="4" w:space="0" w:color="auto"/>
              <w:bottom w:val="single" w:sz="4" w:space="0" w:color="auto"/>
              <w:right w:val="single" w:sz="4" w:space="0" w:color="auto"/>
            </w:tcBorders>
            <w:shd w:val="clear" w:color="000000" w:fill="F0F0F0"/>
            <w:vAlign w:val="center"/>
            <w:hideMark/>
          </w:tcPr>
          <w:p w14:paraId="1BE2D425"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4.1</w:t>
            </w:r>
          </w:p>
        </w:tc>
        <w:tc>
          <w:tcPr>
            <w:tcW w:w="4416" w:type="pct"/>
            <w:gridSpan w:val="18"/>
            <w:tcBorders>
              <w:top w:val="single" w:sz="4" w:space="0" w:color="auto"/>
              <w:left w:val="nil"/>
              <w:bottom w:val="single" w:sz="4" w:space="0" w:color="auto"/>
              <w:right w:val="single" w:sz="4" w:space="0" w:color="auto"/>
            </w:tcBorders>
            <w:shd w:val="clear" w:color="000000" w:fill="F0F0F0"/>
            <w:vAlign w:val="center"/>
            <w:hideMark/>
          </w:tcPr>
          <w:p w14:paraId="67F15E87"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Mjedisi</w:t>
            </w:r>
          </w:p>
        </w:tc>
      </w:tr>
      <w:tr w:rsidR="000A2254" w:rsidRPr="00B31292" w14:paraId="65324ACB" w14:textId="77777777" w:rsidTr="000A2254">
        <w:trPr>
          <w:trHeight w:val="20"/>
        </w:trPr>
        <w:tc>
          <w:tcPr>
            <w:tcW w:w="215" w:type="pct"/>
            <w:tcBorders>
              <w:top w:val="nil"/>
              <w:left w:val="nil"/>
              <w:bottom w:val="nil"/>
              <w:right w:val="nil"/>
            </w:tcBorders>
            <w:shd w:val="clear" w:color="000000" w:fill="FFFFFF"/>
            <w:vAlign w:val="bottom"/>
            <w:hideMark/>
          </w:tcPr>
          <w:p w14:paraId="515A032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053704D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2AC1B5F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646EF3B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single" w:sz="4" w:space="0" w:color="auto"/>
              <w:bottom w:val="single" w:sz="4" w:space="0" w:color="auto"/>
              <w:right w:val="single" w:sz="4" w:space="0" w:color="auto"/>
            </w:tcBorders>
            <w:shd w:val="clear" w:color="000000" w:fill="F0F0F0"/>
            <w:vAlign w:val="center"/>
            <w:hideMark/>
          </w:tcPr>
          <w:p w14:paraId="0F8785CD"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4.1.1</w:t>
            </w:r>
          </w:p>
        </w:tc>
        <w:tc>
          <w:tcPr>
            <w:tcW w:w="4082" w:type="pct"/>
            <w:gridSpan w:val="16"/>
            <w:tcBorders>
              <w:top w:val="single" w:sz="4" w:space="0" w:color="auto"/>
              <w:left w:val="nil"/>
              <w:bottom w:val="single" w:sz="4" w:space="0" w:color="auto"/>
              <w:right w:val="single" w:sz="4" w:space="0" w:color="auto"/>
            </w:tcBorders>
            <w:shd w:val="clear" w:color="000000" w:fill="F0F0F0"/>
            <w:vAlign w:val="center"/>
            <w:hideMark/>
          </w:tcPr>
          <w:p w14:paraId="5D24BB4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Llogaritë Monetare Mjedisore</w:t>
            </w:r>
          </w:p>
        </w:tc>
      </w:tr>
      <w:tr w:rsidR="000A2254" w:rsidRPr="00B31292" w14:paraId="15F534B9" w14:textId="77777777" w:rsidTr="000A2254">
        <w:trPr>
          <w:trHeight w:val="20"/>
        </w:trPr>
        <w:tc>
          <w:tcPr>
            <w:tcW w:w="215" w:type="pct"/>
            <w:tcBorders>
              <w:top w:val="nil"/>
              <w:left w:val="nil"/>
              <w:bottom w:val="nil"/>
              <w:right w:val="nil"/>
            </w:tcBorders>
            <w:shd w:val="clear" w:color="000000" w:fill="FFFFFF"/>
            <w:vAlign w:val="bottom"/>
            <w:hideMark/>
          </w:tcPr>
          <w:p w14:paraId="556C351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333CDFE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4165D3F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7A81960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5865689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4569CE1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auto"/>
              <w:bottom w:val="single" w:sz="4" w:space="0" w:color="auto"/>
              <w:right w:val="single" w:sz="4" w:space="0" w:color="auto"/>
            </w:tcBorders>
            <w:shd w:val="clear" w:color="auto" w:fill="auto"/>
            <w:vAlign w:val="center"/>
            <w:hideMark/>
          </w:tcPr>
          <w:p w14:paraId="0714C192"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4.1.1.1</w:t>
            </w:r>
          </w:p>
        </w:tc>
        <w:tc>
          <w:tcPr>
            <w:tcW w:w="281" w:type="pct"/>
            <w:tcBorders>
              <w:top w:val="nil"/>
              <w:left w:val="nil"/>
              <w:bottom w:val="single" w:sz="4" w:space="0" w:color="auto"/>
              <w:right w:val="single" w:sz="4" w:space="0" w:color="auto"/>
            </w:tcBorders>
            <w:shd w:val="clear" w:color="auto" w:fill="auto"/>
            <w:vAlign w:val="center"/>
            <w:hideMark/>
          </w:tcPr>
          <w:p w14:paraId="4252B6C3" w14:textId="3CD846D5"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xml:space="preserve">Statistikat mbi </w:t>
            </w:r>
            <w:r w:rsidR="002B0C41" w:rsidRPr="00B31292">
              <w:rPr>
                <w:rFonts w:ascii="Garamond" w:eastAsia="Times New Roman" w:hAnsi="Garamond" w:cs="Times New Roman"/>
                <w:sz w:val="10"/>
                <w:szCs w:val="10"/>
              </w:rPr>
              <w:t>taksat mjedisore sipas industrive</w:t>
            </w:r>
          </w:p>
        </w:tc>
        <w:tc>
          <w:tcPr>
            <w:tcW w:w="236" w:type="pct"/>
            <w:tcBorders>
              <w:top w:val="nil"/>
              <w:left w:val="nil"/>
              <w:bottom w:val="single" w:sz="4" w:space="0" w:color="auto"/>
              <w:right w:val="single" w:sz="4" w:space="0" w:color="auto"/>
            </w:tcBorders>
            <w:shd w:val="clear" w:color="auto" w:fill="auto"/>
            <w:vAlign w:val="center"/>
            <w:hideMark/>
          </w:tcPr>
          <w:p w14:paraId="7A3A1D92"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Burim administrativ</w:t>
            </w:r>
          </w:p>
        </w:tc>
        <w:tc>
          <w:tcPr>
            <w:tcW w:w="238" w:type="pct"/>
            <w:tcBorders>
              <w:top w:val="nil"/>
              <w:left w:val="nil"/>
              <w:bottom w:val="single" w:sz="4" w:space="0" w:color="auto"/>
              <w:right w:val="single" w:sz="4" w:space="0" w:color="auto"/>
            </w:tcBorders>
            <w:shd w:val="clear" w:color="auto" w:fill="auto"/>
            <w:noWrap/>
            <w:vAlign w:val="center"/>
            <w:hideMark/>
          </w:tcPr>
          <w:p w14:paraId="228D55DD"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180" w:type="pct"/>
            <w:tcBorders>
              <w:top w:val="nil"/>
              <w:left w:val="nil"/>
              <w:bottom w:val="single" w:sz="4" w:space="0" w:color="auto"/>
              <w:right w:val="single" w:sz="4" w:space="0" w:color="auto"/>
            </w:tcBorders>
            <w:shd w:val="clear" w:color="auto" w:fill="auto"/>
            <w:noWrap/>
            <w:vAlign w:val="center"/>
            <w:hideMark/>
          </w:tcPr>
          <w:p w14:paraId="2323C173"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28" w:type="pct"/>
            <w:tcBorders>
              <w:top w:val="nil"/>
              <w:left w:val="nil"/>
              <w:bottom w:val="single" w:sz="4" w:space="0" w:color="auto"/>
              <w:right w:val="single" w:sz="4" w:space="0" w:color="auto"/>
            </w:tcBorders>
            <w:shd w:val="clear" w:color="auto" w:fill="auto"/>
            <w:vAlign w:val="center"/>
            <w:hideMark/>
          </w:tcPr>
          <w:p w14:paraId="2DC11B2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tcBorders>
              <w:top w:val="nil"/>
              <w:left w:val="nil"/>
              <w:bottom w:val="single" w:sz="4" w:space="0" w:color="auto"/>
              <w:right w:val="single" w:sz="4" w:space="0" w:color="auto"/>
            </w:tcBorders>
            <w:shd w:val="clear" w:color="auto" w:fill="auto"/>
            <w:vAlign w:val="center"/>
            <w:hideMark/>
          </w:tcPr>
          <w:p w14:paraId="643BF18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Vjetor</w:t>
            </w:r>
          </w:p>
        </w:tc>
        <w:tc>
          <w:tcPr>
            <w:tcW w:w="486" w:type="pct"/>
            <w:tcBorders>
              <w:top w:val="nil"/>
              <w:left w:val="nil"/>
              <w:bottom w:val="single" w:sz="4" w:space="0" w:color="auto"/>
              <w:right w:val="single" w:sz="4" w:space="0" w:color="auto"/>
            </w:tcBorders>
            <w:shd w:val="clear" w:color="auto" w:fill="auto"/>
            <w:vAlign w:val="center"/>
            <w:hideMark/>
          </w:tcPr>
          <w:p w14:paraId="6AAE7926" w14:textId="2B3A95F9"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1. Taksat </w:t>
            </w:r>
            <w:r w:rsidR="002B0C41" w:rsidRPr="00B31292">
              <w:rPr>
                <w:rFonts w:ascii="Garamond" w:eastAsia="Times New Roman" w:hAnsi="Garamond" w:cs="Times New Roman"/>
                <w:color w:val="000000"/>
                <w:sz w:val="10"/>
                <w:szCs w:val="10"/>
              </w:rPr>
              <w:t>m</w:t>
            </w:r>
            <w:r w:rsidRPr="00B31292">
              <w:rPr>
                <w:rFonts w:ascii="Garamond" w:eastAsia="Times New Roman" w:hAnsi="Garamond" w:cs="Times New Roman"/>
                <w:color w:val="000000"/>
                <w:sz w:val="10"/>
                <w:szCs w:val="10"/>
              </w:rPr>
              <w:t>jedisore të ndara sipas kategorive</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2. Taksat </w:t>
            </w:r>
            <w:r w:rsidR="002B0C41" w:rsidRPr="00B31292">
              <w:rPr>
                <w:rFonts w:ascii="Garamond" w:eastAsia="Times New Roman" w:hAnsi="Garamond" w:cs="Times New Roman"/>
                <w:color w:val="000000"/>
                <w:sz w:val="10"/>
                <w:szCs w:val="10"/>
              </w:rPr>
              <w:t>m</w:t>
            </w:r>
            <w:r w:rsidRPr="00B31292">
              <w:rPr>
                <w:rFonts w:ascii="Garamond" w:eastAsia="Times New Roman" w:hAnsi="Garamond" w:cs="Times New Roman"/>
                <w:color w:val="000000"/>
                <w:sz w:val="10"/>
                <w:szCs w:val="10"/>
              </w:rPr>
              <w:t>jedisore t</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ndara sipas industrive (Nace 64)</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 Taksat e mjedisit (te ardhurat sipas llojit t</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taksave q</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kan</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ndikim mbi mjedisin</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4. Klasifikimi sipas ESA 2010, shpenzimet totale t</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qeveris</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PBB me çmime kor</w:t>
            </w:r>
            <w:r w:rsidR="00CD213A" w:rsidRPr="00B31292">
              <w:rPr>
                <w:rFonts w:ascii="Garamond" w:eastAsia="Times New Roman" w:hAnsi="Garamond" w:cs="Times New Roman"/>
                <w:color w:val="000000"/>
                <w:sz w:val="10"/>
                <w:szCs w:val="10"/>
              </w:rPr>
              <w:t>r</w:t>
            </w:r>
            <w:r w:rsidRPr="00B31292">
              <w:rPr>
                <w:rFonts w:ascii="Garamond" w:eastAsia="Times New Roman" w:hAnsi="Garamond" w:cs="Times New Roman"/>
                <w:color w:val="000000"/>
                <w:sz w:val="10"/>
                <w:szCs w:val="10"/>
              </w:rPr>
              <w:t>ente)</w:t>
            </w:r>
            <w:r w:rsidR="002B0C41" w:rsidRPr="00B31292">
              <w:rPr>
                <w:rFonts w:ascii="Garamond" w:eastAsia="Times New Roman" w:hAnsi="Garamond" w:cs="Times New Roman"/>
                <w:color w:val="000000"/>
                <w:sz w:val="10"/>
                <w:szCs w:val="10"/>
              </w:rPr>
              <w:t>.</w:t>
            </w:r>
          </w:p>
        </w:tc>
        <w:tc>
          <w:tcPr>
            <w:tcW w:w="299" w:type="pct"/>
            <w:tcBorders>
              <w:top w:val="nil"/>
              <w:left w:val="nil"/>
              <w:bottom w:val="single" w:sz="4" w:space="0" w:color="auto"/>
              <w:right w:val="single" w:sz="4" w:space="0" w:color="auto"/>
            </w:tcBorders>
            <w:shd w:val="clear" w:color="auto" w:fill="auto"/>
            <w:vAlign w:val="center"/>
            <w:hideMark/>
          </w:tcPr>
          <w:p w14:paraId="426A993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Instituti i Statistikave</w:t>
            </w:r>
          </w:p>
        </w:tc>
        <w:tc>
          <w:tcPr>
            <w:tcW w:w="224" w:type="pct"/>
            <w:tcBorders>
              <w:top w:val="nil"/>
              <w:left w:val="nil"/>
              <w:bottom w:val="single" w:sz="4" w:space="0" w:color="auto"/>
              <w:right w:val="single" w:sz="4" w:space="0" w:color="auto"/>
            </w:tcBorders>
            <w:shd w:val="clear" w:color="auto" w:fill="auto"/>
            <w:vAlign w:val="center"/>
            <w:hideMark/>
          </w:tcPr>
          <w:p w14:paraId="0E84E133" w14:textId="49542261"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2B0C41" w:rsidRPr="00B31292">
              <w:rPr>
                <w:rFonts w:ascii="Garamond" w:eastAsia="Times New Roman" w:hAnsi="Garamond" w:cs="Times New Roman"/>
                <w:color w:val="000000"/>
                <w:sz w:val="10"/>
                <w:szCs w:val="10"/>
              </w:rPr>
              <w:t>-i</w:t>
            </w:r>
          </w:p>
        </w:tc>
        <w:tc>
          <w:tcPr>
            <w:tcW w:w="244" w:type="pct"/>
            <w:tcBorders>
              <w:top w:val="nil"/>
              <w:left w:val="nil"/>
              <w:bottom w:val="single" w:sz="4" w:space="0" w:color="auto"/>
              <w:right w:val="single" w:sz="4" w:space="0" w:color="auto"/>
            </w:tcBorders>
            <w:shd w:val="clear" w:color="000000" w:fill="FFFFFF"/>
            <w:vAlign w:val="center"/>
            <w:hideMark/>
          </w:tcPr>
          <w:p w14:paraId="1AC00B91"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+ 451D</w:t>
            </w:r>
          </w:p>
        </w:tc>
        <w:tc>
          <w:tcPr>
            <w:tcW w:w="220" w:type="pct"/>
            <w:tcBorders>
              <w:top w:val="nil"/>
              <w:left w:val="nil"/>
              <w:bottom w:val="single" w:sz="4" w:space="0" w:color="auto"/>
              <w:right w:val="single" w:sz="4" w:space="0" w:color="auto"/>
            </w:tcBorders>
            <w:shd w:val="clear" w:color="000000" w:fill="FFFFFF"/>
            <w:vAlign w:val="center"/>
            <w:hideMark/>
          </w:tcPr>
          <w:p w14:paraId="54886954"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+ 475D</w:t>
            </w:r>
          </w:p>
        </w:tc>
        <w:tc>
          <w:tcPr>
            <w:tcW w:w="220" w:type="pct"/>
            <w:tcBorders>
              <w:top w:val="nil"/>
              <w:left w:val="nil"/>
              <w:bottom w:val="single" w:sz="4" w:space="0" w:color="auto"/>
              <w:right w:val="single" w:sz="4" w:space="0" w:color="auto"/>
            </w:tcBorders>
            <w:shd w:val="clear" w:color="000000" w:fill="FFFFFF"/>
            <w:vAlign w:val="center"/>
            <w:hideMark/>
          </w:tcPr>
          <w:p w14:paraId="103DA970"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+ 482D</w:t>
            </w:r>
          </w:p>
        </w:tc>
        <w:tc>
          <w:tcPr>
            <w:tcW w:w="346" w:type="pct"/>
            <w:tcBorders>
              <w:top w:val="nil"/>
              <w:left w:val="nil"/>
              <w:bottom w:val="single" w:sz="4" w:space="0" w:color="auto"/>
              <w:right w:val="single" w:sz="4" w:space="0" w:color="auto"/>
            </w:tcBorders>
            <w:shd w:val="clear" w:color="auto" w:fill="auto"/>
            <w:vAlign w:val="center"/>
            <w:hideMark/>
          </w:tcPr>
          <w:p w14:paraId="2899F313" w14:textId="1760605D"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Pezullimi ose vonesa e mbledhjes, prodhimit dhe shpërndarjes të statistikave zyrtare si pasojë e Fatkeqësive -|- 5</w:t>
            </w:r>
            <w:r w:rsidRPr="00B31292">
              <w:rPr>
                <w:rFonts w:ascii="Garamond" w:eastAsia="Times New Roman" w:hAnsi="Garamond" w:cs="Times New Roman"/>
                <w:color w:val="000000"/>
                <w:sz w:val="10"/>
                <w:szCs w:val="10"/>
              </w:rPr>
              <w:br/>
              <w:t>2. Mbledhja me vonesë dhe jocilësore së të dhënave administrative për llogaritë monetare dhe fizike në mjedis, çka mund të sjellë vonesa në llogaritjen dhe shpërndarjen e statistikave të llogarive mjedisore -|- 5</w:t>
            </w:r>
            <w:r w:rsidRPr="00B31292">
              <w:rPr>
                <w:rFonts w:ascii="Garamond" w:eastAsia="Times New Roman" w:hAnsi="Garamond" w:cs="Times New Roman"/>
                <w:color w:val="000000"/>
                <w:sz w:val="10"/>
                <w:szCs w:val="10"/>
              </w:rPr>
              <w:br/>
              <w:t>3. Gabimet e bëra nga stafi ekspert gjatë përpunimit dhe nxjerrjes së rezultateve duke sjellë ndikim n</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cilësinë e produktit statistikor -|- 5</w:t>
            </w:r>
          </w:p>
        </w:tc>
        <w:tc>
          <w:tcPr>
            <w:tcW w:w="273" w:type="pct"/>
            <w:tcBorders>
              <w:top w:val="nil"/>
              <w:left w:val="nil"/>
              <w:bottom w:val="single" w:sz="4" w:space="0" w:color="auto"/>
              <w:right w:val="single" w:sz="4" w:space="0" w:color="auto"/>
            </w:tcBorders>
            <w:shd w:val="clear" w:color="auto" w:fill="auto"/>
            <w:vAlign w:val="center"/>
            <w:hideMark/>
          </w:tcPr>
          <w:p w14:paraId="350EDB0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Buxhet shteti</w:t>
            </w:r>
          </w:p>
        </w:tc>
      </w:tr>
      <w:tr w:rsidR="000A2254" w:rsidRPr="00B31292" w14:paraId="4CB5CA8B" w14:textId="77777777" w:rsidTr="000A2254">
        <w:trPr>
          <w:trHeight w:val="20"/>
        </w:trPr>
        <w:tc>
          <w:tcPr>
            <w:tcW w:w="215" w:type="pct"/>
            <w:tcBorders>
              <w:top w:val="nil"/>
              <w:left w:val="nil"/>
              <w:bottom w:val="nil"/>
              <w:right w:val="nil"/>
            </w:tcBorders>
            <w:shd w:val="clear" w:color="000000" w:fill="FFFFFF"/>
            <w:vAlign w:val="bottom"/>
            <w:hideMark/>
          </w:tcPr>
          <w:p w14:paraId="7AF451E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09F6192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4130B7A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05034A0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single" w:sz="4" w:space="0" w:color="000000"/>
              <w:left w:val="single" w:sz="4" w:space="0" w:color="000000"/>
              <w:bottom w:val="single" w:sz="4" w:space="0" w:color="000000"/>
              <w:right w:val="nil"/>
            </w:tcBorders>
            <w:shd w:val="clear" w:color="000000" w:fill="F0F0F0"/>
            <w:vAlign w:val="center"/>
            <w:hideMark/>
          </w:tcPr>
          <w:p w14:paraId="6A3AE040"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4.1.2</w:t>
            </w:r>
          </w:p>
        </w:tc>
        <w:tc>
          <w:tcPr>
            <w:tcW w:w="4082" w:type="pct"/>
            <w:gridSpan w:val="16"/>
            <w:tcBorders>
              <w:top w:val="single" w:sz="4" w:space="0" w:color="auto"/>
              <w:left w:val="single" w:sz="4" w:space="0" w:color="auto"/>
              <w:bottom w:val="single" w:sz="4" w:space="0" w:color="auto"/>
              <w:right w:val="single" w:sz="4" w:space="0" w:color="000000"/>
            </w:tcBorders>
            <w:shd w:val="clear" w:color="000000" w:fill="F0F0F0"/>
            <w:vAlign w:val="center"/>
            <w:hideMark/>
          </w:tcPr>
          <w:p w14:paraId="6FB9F9E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Llogarite Fizike Mjedisore</w:t>
            </w:r>
          </w:p>
        </w:tc>
      </w:tr>
      <w:tr w:rsidR="000A2254" w:rsidRPr="00B31292" w14:paraId="0C69526B" w14:textId="77777777" w:rsidTr="000A2254">
        <w:trPr>
          <w:trHeight w:val="20"/>
        </w:trPr>
        <w:tc>
          <w:tcPr>
            <w:tcW w:w="215" w:type="pct"/>
            <w:tcBorders>
              <w:top w:val="nil"/>
              <w:left w:val="nil"/>
              <w:bottom w:val="nil"/>
              <w:right w:val="nil"/>
            </w:tcBorders>
            <w:shd w:val="clear" w:color="000000" w:fill="FFFFFF"/>
            <w:vAlign w:val="bottom"/>
            <w:hideMark/>
          </w:tcPr>
          <w:p w14:paraId="7528216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1F96E76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7B392D9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5B97EB4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6E28E2F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3198337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000000"/>
              <w:bottom w:val="nil"/>
              <w:right w:val="single" w:sz="4" w:space="0" w:color="000000"/>
            </w:tcBorders>
            <w:shd w:val="clear" w:color="auto" w:fill="auto"/>
            <w:vAlign w:val="center"/>
            <w:hideMark/>
          </w:tcPr>
          <w:p w14:paraId="36FA2688"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4.1.2.1</w:t>
            </w:r>
          </w:p>
        </w:tc>
        <w:tc>
          <w:tcPr>
            <w:tcW w:w="281" w:type="pct"/>
            <w:tcBorders>
              <w:top w:val="nil"/>
              <w:left w:val="nil"/>
              <w:bottom w:val="nil"/>
              <w:right w:val="single" w:sz="4" w:space="0" w:color="000000"/>
            </w:tcBorders>
            <w:shd w:val="clear" w:color="auto" w:fill="auto"/>
            <w:vAlign w:val="center"/>
            <w:hideMark/>
          </w:tcPr>
          <w:p w14:paraId="35A4F6E4" w14:textId="3487BF4E"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xml:space="preserve">Llogaritë e </w:t>
            </w:r>
            <w:r w:rsidR="002B0C41" w:rsidRPr="00B31292">
              <w:rPr>
                <w:rFonts w:ascii="Garamond" w:eastAsia="Times New Roman" w:hAnsi="Garamond" w:cs="Times New Roman"/>
                <w:sz w:val="10"/>
                <w:szCs w:val="10"/>
              </w:rPr>
              <w:t>flukseve të materialeve mjedisore</w:t>
            </w:r>
          </w:p>
        </w:tc>
        <w:tc>
          <w:tcPr>
            <w:tcW w:w="236" w:type="pct"/>
            <w:tcBorders>
              <w:top w:val="nil"/>
              <w:left w:val="nil"/>
              <w:bottom w:val="nil"/>
              <w:right w:val="single" w:sz="4" w:space="0" w:color="000000"/>
            </w:tcBorders>
            <w:shd w:val="clear" w:color="auto" w:fill="auto"/>
            <w:vAlign w:val="center"/>
            <w:hideMark/>
          </w:tcPr>
          <w:p w14:paraId="14A0473F"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Burim administrativ</w:t>
            </w:r>
          </w:p>
        </w:tc>
        <w:tc>
          <w:tcPr>
            <w:tcW w:w="238" w:type="pct"/>
            <w:tcBorders>
              <w:top w:val="nil"/>
              <w:left w:val="nil"/>
              <w:bottom w:val="nil"/>
              <w:right w:val="single" w:sz="4" w:space="0" w:color="auto"/>
            </w:tcBorders>
            <w:shd w:val="clear" w:color="auto" w:fill="auto"/>
            <w:noWrap/>
            <w:vAlign w:val="center"/>
            <w:hideMark/>
          </w:tcPr>
          <w:p w14:paraId="63D9FB20"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180" w:type="pct"/>
            <w:tcBorders>
              <w:top w:val="nil"/>
              <w:left w:val="nil"/>
              <w:bottom w:val="nil"/>
              <w:right w:val="single" w:sz="4" w:space="0" w:color="auto"/>
            </w:tcBorders>
            <w:shd w:val="clear" w:color="auto" w:fill="auto"/>
            <w:noWrap/>
            <w:vAlign w:val="center"/>
            <w:hideMark/>
          </w:tcPr>
          <w:p w14:paraId="3C83E027"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28" w:type="pct"/>
            <w:tcBorders>
              <w:top w:val="nil"/>
              <w:left w:val="nil"/>
              <w:bottom w:val="nil"/>
              <w:right w:val="single" w:sz="4" w:space="0" w:color="auto"/>
            </w:tcBorders>
            <w:shd w:val="clear" w:color="auto" w:fill="auto"/>
            <w:vAlign w:val="center"/>
            <w:hideMark/>
          </w:tcPr>
          <w:p w14:paraId="2A3B16B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tcBorders>
              <w:top w:val="nil"/>
              <w:left w:val="nil"/>
              <w:bottom w:val="nil"/>
              <w:right w:val="nil"/>
            </w:tcBorders>
            <w:shd w:val="clear" w:color="auto" w:fill="auto"/>
            <w:vAlign w:val="center"/>
            <w:hideMark/>
          </w:tcPr>
          <w:p w14:paraId="37E3C04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Vjetor</w:t>
            </w:r>
          </w:p>
        </w:tc>
        <w:tc>
          <w:tcPr>
            <w:tcW w:w="486" w:type="pct"/>
            <w:tcBorders>
              <w:top w:val="nil"/>
              <w:left w:val="single" w:sz="4" w:space="0" w:color="auto"/>
              <w:bottom w:val="nil"/>
              <w:right w:val="single" w:sz="4" w:space="0" w:color="auto"/>
            </w:tcBorders>
            <w:shd w:val="clear" w:color="auto" w:fill="auto"/>
            <w:vAlign w:val="center"/>
            <w:hideMark/>
          </w:tcPr>
          <w:p w14:paraId="3753398F" w14:textId="64D4A86A"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1. </w:t>
            </w:r>
            <w:r w:rsidR="00CD213A" w:rsidRPr="00B31292">
              <w:rPr>
                <w:rFonts w:ascii="Garamond" w:eastAsia="Times New Roman" w:hAnsi="Garamond" w:cs="Times New Roman"/>
                <w:color w:val="000000"/>
                <w:sz w:val="10"/>
                <w:szCs w:val="10"/>
              </w:rPr>
              <w:t>Përdorimi</w:t>
            </w:r>
            <w:r w:rsidRPr="00B31292">
              <w:rPr>
                <w:rFonts w:ascii="Garamond" w:eastAsia="Times New Roman" w:hAnsi="Garamond" w:cs="Times New Roman"/>
                <w:color w:val="000000"/>
                <w:sz w:val="10"/>
                <w:szCs w:val="10"/>
              </w:rPr>
              <w:t xml:space="preserve"> i </w:t>
            </w:r>
            <w:r w:rsidR="00CD213A" w:rsidRPr="00B31292">
              <w:rPr>
                <w:rFonts w:ascii="Garamond" w:eastAsia="Times New Roman" w:hAnsi="Garamond" w:cs="Times New Roman"/>
                <w:color w:val="000000"/>
                <w:sz w:val="10"/>
                <w:szCs w:val="10"/>
              </w:rPr>
              <w:t>brendshëm</w:t>
            </w:r>
            <w:r w:rsidRPr="00B31292">
              <w:rPr>
                <w:rFonts w:ascii="Garamond" w:eastAsia="Times New Roman" w:hAnsi="Garamond" w:cs="Times New Roman"/>
                <w:color w:val="000000"/>
                <w:sz w:val="10"/>
                <w:szCs w:val="10"/>
              </w:rPr>
              <w:t xml:space="preserve"> i materialeve mjedisore n</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raport me </w:t>
            </w:r>
            <w:r w:rsidR="00CD213A" w:rsidRPr="00B31292">
              <w:rPr>
                <w:rFonts w:ascii="Garamond" w:eastAsia="Times New Roman" w:hAnsi="Garamond" w:cs="Times New Roman"/>
                <w:color w:val="000000"/>
                <w:sz w:val="10"/>
                <w:szCs w:val="10"/>
              </w:rPr>
              <w:t>popullsinë</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2. </w:t>
            </w:r>
            <w:r w:rsidR="00CD213A" w:rsidRPr="00B31292">
              <w:rPr>
                <w:rFonts w:ascii="Garamond" w:eastAsia="Times New Roman" w:hAnsi="Garamond" w:cs="Times New Roman"/>
                <w:color w:val="000000"/>
                <w:sz w:val="10"/>
                <w:szCs w:val="10"/>
              </w:rPr>
              <w:t xml:space="preserve">Përdorimi i brendshëm </w:t>
            </w:r>
            <w:r w:rsidRPr="00B31292">
              <w:rPr>
                <w:rFonts w:ascii="Garamond" w:eastAsia="Times New Roman" w:hAnsi="Garamond" w:cs="Times New Roman"/>
                <w:color w:val="000000"/>
                <w:sz w:val="10"/>
                <w:szCs w:val="10"/>
              </w:rPr>
              <w:t>i materialeve mjedisore</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3. </w:t>
            </w:r>
            <w:r w:rsidR="00CD213A" w:rsidRPr="00B31292">
              <w:rPr>
                <w:rFonts w:ascii="Garamond" w:eastAsia="Times New Roman" w:hAnsi="Garamond" w:cs="Times New Roman"/>
                <w:color w:val="000000"/>
                <w:sz w:val="10"/>
                <w:szCs w:val="10"/>
              </w:rPr>
              <w:t>Varësia</w:t>
            </w:r>
            <w:r w:rsidRPr="00B31292">
              <w:rPr>
                <w:rFonts w:ascii="Garamond" w:eastAsia="Times New Roman" w:hAnsi="Garamond" w:cs="Times New Roman"/>
                <w:color w:val="000000"/>
                <w:sz w:val="10"/>
                <w:szCs w:val="10"/>
              </w:rPr>
              <w:t xml:space="preserve"> nga importi i</w:t>
            </w:r>
            <w:r w:rsidR="00CD213A"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materialeve</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4. Bilanci fizik tregtar</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5. Eksportet e materialeve mjedisore</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6. Importet e materialeve mjedisore</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7. Burimet e brendshme natyrore</w:t>
            </w:r>
            <w:r w:rsidR="002B0C41" w:rsidRPr="00B31292">
              <w:rPr>
                <w:rFonts w:ascii="Garamond" w:eastAsia="Times New Roman" w:hAnsi="Garamond" w:cs="Times New Roman"/>
                <w:color w:val="000000"/>
                <w:sz w:val="10"/>
                <w:szCs w:val="10"/>
              </w:rPr>
              <w:t>.</w:t>
            </w:r>
          </w:p>
        </w:tc>
        <w:tc>
          <w:tcPr>
            <w:tcW w:w="299" w:type="pct"/>
            <w:tcBorders>
              <w:top w:val="nil"/>
              <w:left w:val="nil"/>
              <w:bottom w:val="nil"/>
              <w:right w:val="single" w:sz="4" w:space="0" w:color="auto"/>
            </w:tcBorders>
            <w:shd w:val="clear" w:color="auto" w:fill="auto"/>
            <w:vAlign w:val="center"/>
            <w:hideMark/>
          </w:tcPr>
          <w:p w14:paraId="0ED3E26B" w14:textId="4D4DC984"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Instituti i Statistikave</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 xml:space="preserve">Agjencia Kombëtare e Burimeve Natyrore </w:t>
            </w:r>
          </w:p>
        </w:tc>
        <w:tc>
          <w:tcPr>
            <w:tcW w:w="224" w:type="pct"/>
            <w:tcBorders>
              <w:top w:val="nil"/>
              <w:left w:val="nil"/>
              <w:bottom w:val="nil"/>
              <w:right w:val="single" w:sz="4" w:space="0" w:color="auto"/>
            </w:tcBorders>
            <w:shd w:val="clear" w:color="auto" w:fill="auto"/>
            <w:vAlign w:val="center"/>
            <w:hideMark/>
          </w:tcPr>
          <w:p w14:paraId="71A1D093" w14:textId="663AF635"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2B0C41" w:rsidRPr="00B31292">
              <w:rPr>
                <w:rFonts w:ascii="Garamond" w:eastAsia="Times New Roman" w:hAnsi="Garamond" w:cs="Times New Roman"/>
                <w:color w:val="000000"/>
                <w:sz w:val="10"/>
                <w:szCs w:val="10"/>
              </w:rPr>
              <w:t>-i</w:t>
            </w:r>
          </w:p>
        </w:tc>
        <w:tc>
          <w:tcPr>
            <w:tcW w:w="244" w:type="pct"/>
            <w:tcBorders>
              <w:top w:val="nil"/>
              <w:left w:val="nil"/>
              <w:bottom w:val="single" w:sz="4" w:space="0" w:color="auto"/>
              <w:right w:val="single" w:sz="4" w:space="0" w:color="auto"/>
            </w:tcBorders>
            <w:shd w:val="clear" w:color="000000" w:fill="FFFFFF"/>
            <w:vAlign w:val="center"/>
            <w:hideMark/>
          </w:tcPr>
          <w:p w14:paraId="67CB8FF6"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+ 436D</w:t>
            </w:r>
          </w:p>
        </w:tc>
        <w:tc>
          <w:tcPr>
            <w:tcW w:w="220" w:type="pct"/>
            <w:tcBorders>
              <w:top w:val="nil"/>
              <w:left w:val="nil"/>
              <w:bottom w:val="single" w:sz="4" w:space="0" w:color="auto"/>
              <w:right w:val="single" w:sz="4" w:space="0" w:color="auto"/>
            </w:tcBorders>
            <w:shd w:val="clear" w:color="000000" w:fill="FFFFFF"/>
            <w:vAlign w:val="center"/>
            <w:hideMark/>
          </w:tcPr>
          <w:p w14:paraId="075EB440"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+ 473D</w:t>
            </w:r>
          </w:p>
        </w:tc>
        <w:tc>
          <w:tcPr>
            <w:tcW w:w="220" w:type="pct"/>
            <w:tcBorders>
              <w:top w:val="nil"/>
              <w:left w:val="nil"/>
              <w:bottom w:val="single" w:sz="4" w:space="0" w:color="auto"/>
              <w:right w:val="single" w:sz="4" w:space="0" w:color="auto"/>
            </w:tcBorders>
            <w:shd w:val="clear" w:color="000000" w:fill="FFFFFF"/>
            <w:vAlign w:val="center"/>
            <w:hideMark/>
          </w:tcPr>
          <w:p w14:paraId="5735B398"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+ 480D</w:t>
            </w:r>
          </w:p>
        </w:tc>
        <w:tc>
          <w:tcPr>
            <w:tcW w:w="346" w:type="pct"/>
            <w:tcBorders>
              <w:top w:val="nil"/>
              <w:left w:val="nil"/>
              <w:bottom w:val="single" w:sz="4" w:space="0" w:color="auto"/>
              <w:right w:val="single" w:sz="4" w:space="0" w:color="auto"/>
            </w:tcBorders>
            <w:shd w:val="clear" w:color="auto" w:fill="auto"/>
            <w:vAlign w:val="center"/>
            <w:hideMark/>
          </w:tcPr>
          <w:p w14:paraId="4237BED6" w14:textId="5FCB76D1"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1. Pezullimi/vonesa e mbledhjes, prodhimit dhe shpërndarjes të statistikave zyrtare si pasojë e </w:t>
            </w:r>
            <w:r w:rsidR="002B0C41" w:rsidRPr="00B31292">
              <w:rPr>
                <w:rFonts w:ascii="Garamond" w:eastAsia="Times New Roman" w:hAnsi="Garamond" w:cs="Times New Roman"/>
                <w:color w:val="000000"/>
                <w:sz w:val="10"/>
                <w:szCs w:val="10"/>
              </w:rPr>
              <w:t>f</w:t>
            </w:r>
            <w:r w:rsidRPr="00B31292">
              <w:rPr>
                <w:rFonts w:ascii="Garamond" w:eastAsia="Times New Roman" w:hAnsi="Garamond" w:cs="Times New Roman"/>
                <w:color w:val="000000"/>
                <w:sz w:val="10"/>
                <w:szCs w:val="10"/>
              </w:rPr>
              <w:t>atkeqësive -|- 5</w:t>
            </w:r>
            <w:r w:rsidRPr="00B31292">
              <w:rPr>
                <w:rFonts w:ascii="Garamond" w:eastAsia="Times New Roman" w:hAnsi="Garamond" w:cs="Times New Roman"/>
                <w:color w:val="000000"/>
                <w:sz w:val="10"/>
                <w:szCs w:val="10"/>
              </w:rPr>
              <w:br/>
              <w:t>2. Gabimet e bëra nga stafi ekspert gjatë përpunimit dhe nxjerrjes së rezultateve duke sjellë ndikim n</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cilësinë e produktit statistikor -|- 5</w:t>
            </w:r>
            <w:r w:rsidRPr="00B31292">
              <w:rPr>
                <w:rFonts w:ascii="Garamond" w:eastAsia="Times New Roman" w:hAnsi="Garamond" w:cs="Times New Roman"/>
                <w:color w:val="000000"/>
                <w:sz w:val="10"/>
                <w:szCs w:val="10"/>
              </w:rPr>
              <w:br/>
              <w:t xml:space="preserve">3. Mbledhja me vonesë dhe </w:t>
            </w:r>
            <w:r w:rsidRPr="00B31292">
              <w:rPr>
                <w:rFonts w:ascii="Garamond" w:eastAsia="Times New Roman" w:hAnsi="Garamond" w:cs="Times New Roman"/>
                <w:color w:val="000000"/>
                <w:sz w:val="10"/>
                <w:szCs w:val="10"/>
              </w:rPr>
              <w:lastRenderedPageBreak/>
              <w:t>jocilësore së të dhënave administrative për llogaritë monetare dhe fizike në mjedis, çka mund të sjellë vonesa në llogaritjen dhe shpërndarjen e statistikave të llogarive mjedisore -|- 5</w:t>
            </w:r>
          </w:p>
        </w:tc>
        <w:tc>
          <w:tcPr>
            <w:tcW w:w="273" w:type="pct"/>
            <w:tcBorders>
              <w:top w:val="nil"/>
              <w:left w:val="nil"/>
              <w:bottom w:val="single" w:sz="4" w:space="0" w:color="auto"/>
              <w:right w:val="single" w:sz="4" w:space="0" w:color="auto"/>
            </w:tcBorders>
            <w:shd w:val="clear" w:color="auto" w:fill="auto"/>
            <w:vAlign w:val="center"/>
            <w:hideMark/>
          </w:tcPr>
          <w:p w14:paraId="6FA0F1C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lastRenderedPageBreak/>
              <w:t>Buxhet shteti</w:t>
            </w:r>
          </w:p>
        </w:tc>
      </w:tr>
      <w:tr w:rsidR="000A2254" w:rsidRPr="00B31292" w14:paraId="7620638A" w14:textId="77777777" w:rsidTr="000A2254">
        <w:trPr>
          <w:trHeight w:val="20"/>
        </w:trPr>
        <w:tc>
          <w:tcPr>
            <w:tcW w:w="215" w:type="pct"/>
            <w:tcBorders>
              <w:top w:val="nil"/>
              <w:left w:val="nil"/>
              <w:bottom w:val="nil"/>
              <w:right w:val="nil"/>
            </w:tcBorders>
            <w:shd w:val="clear" w:color="000000" w:fill="FFFFFF"/>
            <w:vAlign w:val="bottom"/>
            <w:hideMark/>
          </w:tcPr>
          <w:p w14:paraId="3F8B799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64C52BF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7B356C5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4B8A20D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0D1BC7C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7DCC030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69DB077"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4.1.2.2</w:t>
            </w:r>
          </w:p>
        </w:tc>
        <w:tc>
          <w:tcPr>
            <w:tcW w:w="281" w:type="pct"/>
            <w:tcBorders>
              <w:top w:val="single" w:sz="4" w:space="0" w:color="auto"/>
              <w:left w:val="nil"/>
              <w:bottom w:val="single" w:sz="4" w:space="0" w:color="auto"/>
              <w:right w:val="single" w:sz="4" w:space="0" w:color="auto"/>
            </w:tcBorders>
            <w:shd w:val="clear" w:color="000000" w:fill="FFFFFF"/>
            <w:vAlign w:val="center"/>
            <w:hideMark/>
          </w:tcPr>
          <w:p w14:paraId="3A877543" w14:textId="3A5C74BD"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xml:space="preserve">Llogaritë e </w:t>
            </w:r>
            <w:r w:rsidR="002B0C41" w:rsidRPr="00B31292">
              <w:rPr>
                <w:rFonts w:ascii="Garamond" w:eastAsia="Times New Roman" w:hAnsi="Garamond" w:cs="Times New Roman"/>
                <w:sz w:val="10"/>
                <w:szCs w:val="10"/>
              </w:rPr>
              <w:t>emetimeve në ajër</w:t>
            </w:r>
          </w:p>
        </w:tc>
        <w:tc>
          <w:tcPr>
            <w:tcW w:w="236" w:type="pct"/>
            <w:tcBorders>
              <w:top w:val="single" w:sz="4" w:space="0" w:color="auto"/>
              <w:left w:val="nil"/>
              <w:bottom w:val="single" w:sz="4" w:space="0" w:color="auto"/>
              <w:right w:val="single" w:sz="4" w:space="0" w:color="auto"/>
            </w:tcBorders>
            <w:shd w:val="clear" w:color="000000" w:fill="FFFFFF"/>
            <w:vAlign w:val="center"/>
            <w:hideMark/>
          </w:tcPr>
          <w:p w14:paraId="79AA4F5F"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Burim administrativ</w:t>
            </w:r>
          </w:p>
        </w:tc>
        <w:tc>
          <w:tcPr>
            <w:tcW w:w="238" w:type="pct"/>
            <w:tcBorders>
              <w:top w:val="single" w:sz="4" w:space="0" w:color="auto"/>
              <w:left w:val="nil"/>
              <w:bottom w:val="nil"/>
              <w:right w:val="single" w:sz="4" w:space="0" w:color="auto"/>
            </w:tcBorders>
            <w:shd w:val="clear" w:color="000000" w:fill="FFFFFF"/>
            <w:noWrap/>
            <w:vAlign w:val="center"/>
            <w:hideMark/>
          </w:tcPr>
          <w:p w14:paraId="15B3ED05"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180" w:type="pct"/>
            <w:tcBorders>
              <w:top w:val="single" w:sz="4" w:space="0" w:color="auto"/>
              <w:left w:val="nil"/>
              <w:bottom w:val="single" w:sz="4" w:space="0" w:color="auto"/>
              <w:right w:val="single" w:sz="4" w:space="0" w:color="auto"/>
            </w:tcBorders>
            <w:shd w:val="clear" w:color="000000" w:fill="FFFFFF"/>
            <w:noWrap/>
            <w:vAlign w:val="center"/>
            <w:hideMark/>
          </w:tcPr>
          <w:p w14:paraId="329895E2"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28" w:type="pct"/>
            <w:tcBorders>
              <w:top w:val="single" w:sz="4" w:space="0" w:color="auto"/>
              <w:left w:val="nil"/>
              <w:bottom w:val="nil"/>
              <w:right w:val="single" w:sz="4" w:space="0" w:color="auto"/>
            </w:tcBorders>
            <w:shd w:val="clear" w:color="000000" w:fill="FFFFFF"/>
            <w:vAlign w:val="center"/>
            <w:hideMark/>
          </w:tcPr>
          <w:p w14:paraId="22BADA5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tcBorders>
              <w:top w:val="single" w:sz="4" w:space="0" w:color="auto"/>
              <w:left w:val="nil"/>
              <w:bottom w:val="single" w:sz="4" w:space="0" w:color="auto"/>
              <w:right w:val="single" w:sz="4" w:space="0" w:color="auto"/>
            </w:tcBorders>
            <w:shd w:val="clear" w:color="000000" w:fill="FFFFFF"/>
            <w:vAlign w:val="center"/>
            <w:hideMark/>
          </w:tcPr>
          <w:p w14:paraId="755804C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Vjetor</w:t>
            </w:r>
          </w:p>
        </w:tc>
        <w:tc>
          <w:tcPr>
            <w:tcW w:w="486" w:type="pct"/>
            <w:tcBorders>
              <w:top w:val="single" w:sz="4" w:space="0" w:color="auto"/>
              <w:left w:val="nil"/>
              <w:bottom w:val="nil"/>
              <w:right w:val="single" w:sz="4" w:space="0" w:color="auto"/>
            </w:tcBorders>
            <w:shd w:val="clear" w:color="auto" w:fill="auto"/>
            <w:vAlign w:val="center"/>
            <w:hideMark/>
          </w:tcPr>
          <w:p w14:paraId="4CBBAB05" w14:textId="657D3F96" w:rsidR="000A2254" w:rsidRPr="00B31292" w:rsidRDefault="00CD213A" w:rsidP="00CD213A">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1. </w:t>
            </w:r>
            <w:r w:rsidR="000A2254" w:rsidRPr="00B31292">
              <w:rPr>
                <w:rFonts w:ascii="Garamond" w:eastAsia="Times New Roman" w:hAnsi="Garamond" w:cs="Times New Roman"/>
                <w:color w:val="000000"/>
                <w:sz w:val="10"/>
                <w:szCs w:val="10"/>
              </w:rPr>
              <w:t xml:space="preserve">Emetimet në </w:t>
            </w:r>
            <w:r w:rsidR="002B0C41" w:rsidRPr="00B31292">
              <w:rPr>
                <w:rFonts w:ascii="Garamond" w:eastAsia="Times New Roman" w:hAnsi="Garamond" w:cs="Times New Roman"/>
                <w:color w:val="000000"/>
                <w:sz w:val="10"/>
                <w:szCs w:val="10"/>
              </w:rPr>
              <w:t xml:space="preserve">ajër </w:t>
            </w:r>
            <w:r w:rsidR="000A2254" w:rsidRPr="00B31292">
              <w:rPr>
                <w:rFonts w:ascii="Garamond" w:eastAsia="Times New Roman" w:hAnsi="Garamond" w:cs="Times New Roman"/>
                <w:color w:val="000000"/>
                <w:sz w:val="10"/>
                <w:szCs w:val="10"/>
              </w:rPr>
              <w:t>sipas industrive</w:t>
            </w:r>
            <w:r w:rsidR="002B0C41" w:rsidRPr="00B31292">
              <w:rPr>
                <w:rFonts w:ascii="Garamond" w:eastAsia="Times New Roman" w:hAnsi="Garamond" w:cs="Times New Roman"/>
                <w:color w:val="000000"/>
                <w:sz w:val="10"/>
                <w:szCs w:val="10"/>
              </w:rPr>
              <w:t>.</w:t>
            </w:r>
            <w:r w:rsidR="002E2911" w:rsidRPr="00B31292">
              <w:rPr>
                <w:rFonts w:ascii="Garamond" w:eastAsia="Times New Roman" w:hAnsi="Garamond" w:cs="Times New Roman"/>
                <w:color w:val="000000"/>
                <w:sz w:val="10"/>
                <w:szCs w:val="10"/>
              </w:rPr>
              <w:t xml:space="preserve"> </w:t>
            </w:r>
            <w:r w:rsidR="000A2254" w:rsidRPr="00B31292">
              <w:rPr>
                <w:rFonts w:ascii="Garamond" w:eastAsia="Times New Roman" w:hAnsi="Garamond" w:cs="Times New Roman"/>
                <w:color w:val="000000"/>
                <w:sz w:val="10"/>
                <w:szCs w:val="10"/>
              </w:rPr>
              <w:br/>
              <w:t>2.</w:t>
            </w:r>
            <w:r w:rsidRPr="00B31292">
              <w:rPr>
                <w:rFonts w:ascii="Garamond" w:eastAsia="Times New Roman" w:hAnsi="Garamond" w:cs="Times New Roman"/>
                <w:color w:val="000000"/>
                <w:sz w:val="10"/>
                <w:szCs w:val="10"/>
              </w:rPr>
              <w:t xml:space="preserve"> </w:t>
            </w:r>
            <w:r w:rsidR="000A2254" w:rsidRPr="00B31292">
              <w:rPr>
                <w:rFonts w:ascii="Garamond" w:eastAsia="Times New Roman" w:hAnsi="Garamond" w:cs="Times New Roman"/>
                <w:color w:val="000000"/>
                <w:sz w:val="10"/>
                <w:szCs w:val="10"/>
              </w:rPr>
              <w:t xml:space="preserve">Emetimet në </w:t>
            </w:r>
            <w:r w:rsidR="002B0C41" w:rsidRPr="00B31292">
              <w:rPr>
                <w:rFonts w:ascii="Garamond" w:eastAsia="Times New Roman" w:hAnsi="Garamond" w:cs="Times New Roman"/>
                <w:color w:val="000000"/>
                <w:sz w:val="10"/>
                <w:szCs w:val="10"/>
              </w:rPr>
              <w:t xml:space="preserve">ajër </w:t>
            </w:r>
            <w:r w:rsidR="000A2254" w:rsidRPr="00B31292">
              <w:rPr>
                <w:rFonts w:ascii="Garamond" w:eastAsia="Times New Roman" w:hAnsi="Garamond" w:cs="Times New Roman"/>
                <w:color w:val="000000"/>
                <w:sz w:val="10"/>
                <w:szCs w:val="10"/>
              </w:rPr>
              <w:t xml:space="preserve">sipas </w:t>
            </w:r>
            <w:r w:rsidR="002B0C41" w:rsidRPr="00B31292">
              <w:rPr>
                <w:rFonts w:ascii="Garamond" w:eastAsia="Times New Roman" w:hAnsi="Garamond" w:cs="Times New Roman"/>
                <w:color w:val="000000"/>
                <w:sz w:val="10"/>
                <w:szCs w:val="10"/>
              </w:rPr>
              <w:t>njësive ekonomike familj</w:t>
            </w:r>
            <w:r w:rsidR="000A2254" w:rsidRPr="00B31292">
              <w:rPr>
                <w:rFonts w:ascii="Garamond" w:eastAsia="Times New Roman" w:hAnsi="Garamond" w:cs="Times New Roman"/>
                <w:color w:val="000000"/>
                <w:sz w:val="10"/>
                <w:szCs w:val="10"/>
              </w:rPr>
              <w:t>are</w:t>
            </w:r>
            <w:r w:rsidR="002B0C41" w:rsidRPr="00B31292">
              <w:rPr>
                <w:rFonts w:ascii="Garamond" w:eastAsia="Times New Roman" w:hAnsi="Garamond" w:cs="Times New Roman"/>
                <w:color w:val="000000"/>
                <w:sz w:val="10"/>
                <w:szCs w:val="10"/>
              </w:rPr>
              <w:t>.</w:t>
            </w:r>
            <w:r w:rsidR="000A2254" w:rsidRPr="00B31292">
              <w:rPr>
                <w:rFonts w:ascii="Garamond" w:eastAsia="Times New Roman" w:hAnsi="Garamond" w:cs="Times New Roman"/>
                <w:color w:val="000000"/>
                <w:sz w:val="10"/>
                <w:szCs w:val="10"/>
              </w:rPr>
              <w:t xml:space="preserve"> </w:t>
            </w:r>
          </w:p>
        </w:tc>
        <w:tc>
          <w:tcPr>
            <w:tcW w:w="299" w:type="pct"/>
            <w:tcBorders>
              <w:top w:val="single" w:sz="4" w:space="0" w:color="auto"/>
              <w:left w:val="nil"/>
              <w:bottom w:val="single" w:sz="4" w:space="0" w:color="auto"/>
              <w:right w:val="single" w:sz="4" w:space="0" w:color="auto"/>
            </w:tcBorders>
            <w:shd w:val="clear" w:color="000000" w:fill="FFFFFF"/>
            <w:vAlign w:val="center"/>
            <w:hideMark/>
          </w:tcPr>
          <w:p w14:paraId="569CB42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Instituti i Statistikave</w:t>
            </w:r>
          </w:p>
        </w:tc>
        <w:tc>
          <w:tcPr>
            <w:tcW w:w="224" w:type="pct"/>
            <w:tcBorders>
              <w:top w:val="single" w:sz="4" w:space="0" w:color="auto"/>
              <w:left w:val="nil"/>
              <w:bottom w:val="nil"/>
              <w:right w:val="single" w:sz="4" w:space="0" w:color="auto"/>
            </w:tcBorders>
            <w:shd w:val="clear" w:color="000000" w:fill="FFFFFF"/>
            <w:vAlign w:val="center"/>
            <w:hideMark/>
          </w:tcPr>
          <w:p w14:paraId="54B85E76" w14:textId="5DD8E2B2"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2B0C41" w:rsidRPr="00B31292">
              <w:rPr>
                <w:rFonts w:ascii="Garamond" w:eastAsia="Times New Roman" w:hAnsi="Garamond" w:cs="Times New Roman"/>
                <w:color w:val="000000"/>
                <w:sz w:val="10"/>
                <w:szCs w:val="10"/>
              </w:rPr>
              <w:t>-i</w:t>
            </w:r>
          </w:p>
        </w:tc>
        <w:tc>
          <w:tcPr>
            <w:tcW w:w="244" w:type="pct"/>
            <w:tcBorders>
              <w:top w:val="nil"/>
              <w:left w:val="nil"/>
              <w:bottom w:val="nil"/>
              <w:right w:val="single" w:sz="4" w:space="0" w:color="auto"/>
            </w:tcBorders>
            <w:shd w:val="clear" w:color="000000" w:fill="FFFFFF"/>
            <w:vAlign w:val="center"/>
            <w:hideMark/>
          </w:tcPr>
          <w:p w14:paraId="400CBF57"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+ 436D</w:t>
            </w:r>
          </w:p>
        </w:tc>
        <w:tc>
          <w:tcPr>
            <w:tcW w:w="220" w:type="pct"/>
            <w:tcBorders>
              <w:top w:val="nil"/>
              <w:left w:val="nil"/>
              <w:bottom w:val="nil"/>
              <w:right w:val="single" w:sz="4" w:space="0" w:color="auto"/>
            </w:tcBorders>
            <w:shd w:val="clear" w:color="000000" w:fill="FFFFFF"/>
            <w:vAlign w:val="center"/>
            <w:hideMark/>
          </w:tcPr>
          <w:p w14:paraId="44154AB7"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+ 473D</w:t>
            </w:r>
          </w:p>
        </w:tc>
        <w:tc>
          <w:tcPr>
            <w:tcW w:w="220" w:type="pct"/>
            <w:tcBorders>
              <w:top w:val="nil"/>
              <w:left w:val="nil"/>
              <w:bottom w:val="single" w:sz="4" w:space="0" w:color="auto"/>
              <w:right w:val="single" w:sz="4" w:space="0" w:color="auto"/>
            </w:tcBorders>
            <w:shd w:val="clear" w:color="000000" w:fill="FFFFFF"/>
            <w:vAlign w:val="center"/>
            <w:hideMark/>
          </w:tcPr>
          <w:p w14:paraId="7FE02DB6"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346" w:type="pct"/>
            <w:tcBorders>
              <w:top w:val="nil"/>
              <w:left w:val="nil"/>
              <w:bottom w:val="single" w:sz="4" w:space="0" w:color="auto"/>
              <w:right w:val="single" w:sz="4" w:space="0" w:color="auto"/>
            </w:tcBorders>
            <w:shd w:val="clear" w:color="000000" w:fill="FFFFFF"/>
            <w:vAlign w:val="center"/>
            <w:hideMark/>
          </w:tcPr>
          <w:p w14:paraId="56469A26" w14:textId="44355302"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1. Pezullimi ose vonesa e mbledhjes, prodhimit dhe shpërndarjes të statistikave zyrtare si pasojë e </w:t>
            </w:r>
            <w:r w:rsidR="002B0C41" w:rsidRPr="00B31292">
              <w:rPr>
                <w:rFonts w:ascii="Garamond" w:eastAsia="Times New Roman" w:hAnsi="Garamond" w:cs="Times New Roman"/>
                <w:color w:val="000000"/>
                <w:sz w:val="10"/>
                <w:szCs w:val="10"/>
              </w:rPr>
              <w:t>f</w:t>
            </w:r>
            <w:r w:rsidRPr="00B31292">
              <w:rPr>
                <w:rFonts w:ascii="Garamond" w:eastAsia="Times New Roman" w:hAnsi="Garamond" w:cs="Times New Roman"/>
                <w:color w:val="000000"/>
                <w:sz w:val="10"/>
                <w:szCs w:val="10"/>
              </w:rPr>
              <w:t>atkeqësive -|- 5</w:t>
            </w:r>
            <w:r w:rsidRPr="00B31292">
              <w:rPr>
                <w:rFonts w:ascii="Garamond" w:eastAsia="Times New Roman" w:hAnsi="Garamond" w:cs="Times New Roman"/>
                <w:color w:val="000000"/>
                <w:sz w:val="10"/>
                <w:szCs w:val="10"/>
              </w:rPr>
              <w:br/>
              <w:t>2. Mbledhja me vonesë dhe jocilësore së të dhënave administrative për llogaritë monetare dhe fizike në mjedis, çka mund të sjellë vonesa në llogaritjen dhe shpërndarjen e statistikave të llogarive mjedisore -|- 5</w:t>
            </w:r>
            <w:r w:rsidRPr="00B31292">
              <w:rPr>
                <w:rFonts w:ascii="Garamond" w:eastAsia="Times New Roman" w:hAnsi="Garamond" w:cs="Times New Roman"/>
                <w:color w:val="000000"/>
                <w:sz w:val="10"/>
                <w:szCs w:val="10"/>
              </w:rPr>
              <w:br/>
              <w:t>3. Gabimet e bëra nga stafi ekspert gjatë përpunimit dhe nxjerrjes së rezultateve duke sjellë ndikim n</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cilësinë e produktit statistikor -|- 5</w:t>
            </w:r>
          </w:p>
        </w:tc>
        <w:tc>
          <w:tcPr>
            <w:tcW w:w="273" w:type="pct"/>
            <w:tcBorders>
              <w:top w:val="nil"/>
              <w:left w:val="nil"/>
              <w:bottom w:val="single" w:sz="4" w:space="0" w:color="auto"/>
              <w:right w:val="single" w:sz="4" w:space="0" w:color="auto"/>
            </w:tcBorders>
            <w:shd w:val="clear" w:color="000000" w:fill="FFFFFF"/>
            <w:vAlign w:val="center"/>
            <w:hideMark/>
          </w:tcPr>
          <w:p w14:paraId="6D94878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Buxhet shteti</w:t>
            </w:r>
          </w:p>
        </w:tc>
      </w:tr>
      <w:tr w:rsidR="000A2254" w:rsidRPr="00B31292" w14:paraId="2F49E07D" w14:textId="77777777" w:rsidTr="000A2254">
        <w:trPr>
          <w:trHeight w:val="20"/>
        </w:trPr>
        <w:tc>
          <w:tcPr>
            <w:tcW w:w="215" w:type="pct"/>
            <w:tcBorders>
              <w:top w:val="nil"/>
              <w:left w:val="nil"/>
              <w:bottom w:val="nil"/>
              <w:right w:val="nil"/>
            </w:tcBorders>
            <w:shd w:val="clear" w:color="000000" w:fill="FFFFFF"/>
            <w:vAlign w:val="bottom"/>
            <w:hideMark/>
          </w:tcPr>
          <w:p w14:paraId="53979E2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7A9AB267"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1BBB05C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70D8FCD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4F69306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1173C1E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auto"/>
              <w:bottom w:val="single" w:sz="4" w:space="0" w:color="auto"/>
              <w:right w:val="single" w:sz="4" w:space="0" w:color="auto"/>
            </w:tcBorders>
            <w:shd w:val="clear" w:color="000000" w:fill="FFFFFF"/>
            <w:vAlign w:val="center"/>
            <w:hideMark/>
          </w:tcPr>
          <w:p w14:paraId="20E2A1DF"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4.1.2.3</w:t>
            </w:r>
          </w:p>
        </w:tc>
        <w:tc>
          <w:tcPr>
            <w:tcW w:w="281" w:type="pct"/>
            <w:tcBorders>
              <w:top w:val="nil"/>
              <w:left w:val="nil"/>
              <w:bottom w:val="single" w:sz="4" w:space="0" w:color="auto"/>
              <w:right w:val="single" w:sz="4" w:space="0" w:color="auto"/>
            </w:tcBorders>
            <w:shd w:val="clear" w:color="000000" w:fill="FFFFFF"/>
            <w:vAlign w:val="center"/>
            <w:hideMark/>
          </w:tcPr>
          <w:p w14:paraId="3168B185" w14:textId="0CC8952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xml:space="preserve">Llogaritë e </w:t>
            </w:r>
            <w:r w:rsidR="002B0C41" w:rsidRPr="00B31292">
              <w:rPr>
                <w:rFonts w:ascii="Garamond" w:eastAsia="Times New Roman" w:hAnsi="Garamond" w:cs="Times New Roman"/>
                <w:sz w:val="10"/>
                <w:szCs w:val="10"/>
              </w:rPr>
              <w:t>flukseve fizike të energjisë</w:t>
            </w:r>
          </w:p>
        </w:tc>
        <w:tc>
          <w:tcPr>
            <w:tcW w:w="236" w:type="pct"/>
            <w:tcBorders>
              <w:top w:val="nil"/>
              <w:left w:val="nil"/>
              <w:bottom w:val="single" w:sz="4" w:space="0" w:color="auto"/>
              <w:right w:val="single" w:sz="4" w:space="0" w:color="auto"/>
            </w:tcBorders>
            <w:shd w:val="clear" w:color="000000" w:fill="FFFFFF"/>
            <w:vAlign w:val="center"/>
            <w:hideMark/>
          </w:tcPr>
          <w:p w14:paraId="186EF610"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Burim administrativ</w:t>
            </w:r>
          </w:p>
        </w:tc>
        <w:tc>
          <w:tcPr>
            <w:tcW w:w="238" w:type="pct"/>
            <w:tcBorders>
              <w:top w:val="single" w:sz="4" w:space="0" w:color="auto"/>
              <w:left w:val="nil"/>
              <w:bottom w:val="nil"/>
              <w:right w:val="single" w:sz="4" w:space="0" w:color="auto"/>
            </w:tcBorders>
            <w:shd w:val="clear" w:color="000000" w:fill="FFFFFF"/>
            <w:noWrap/>
            <w:vAlign w:val="center"/>
            <w:hideMark/>
          </w:tcPr>
          <w:p w14:paraId="73E286DF"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180" w:type="pct"/>
            <w:tcBorders>
              <w:top w:val="nil"/>
              <w:left w:val="nil"/>
              <w:bottom w:val="single" w:sz="4" w:space="0" w:color="auto"/>
              <w:right w:val="single" w:sz="4" w:space="0" w:color="auto"/>
            </w:tcBorders>
            <w:shd w:val="clear" w:color="000000" w:fill="FFFFFF"/>
            <w:noWrap/>
            <w:vAlign w:val="center"/>
            <w:hideMark/>
          </w:tcPr>
          <w:p w14:paraId="545D08A7"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28" w:type="pct"/>
            <w:tcBorders>
              <w:top w:val="single" w:sz="4" w:space="0" w:color="auto"/>
              <w:left w:val="nil"/>
              <w:bottom w:val="nil"/>
              <w:right w:val="single" w:sz="4" w:space="0" w:color="auto"/>
            </w:tcBorders>
            <w:shd w:val="clear" w:color="000000" w:fill="FFFFFF"/>
            <w:vAlign w:val="center"/>
            <w:hideMark/>
          </w:tcPr>
          <w:p w14:paraId="1021E16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tcBorders>
              <w:top w:val="nil"/>
              <w:left w:val="nil"/>
              <w:bottom w:val="single" w:sz="4" w:space="0" w:color="auto"/>
              <w:right w:val="single" w:sz="4" w:space="0" w:color="auto"/>
            </w:tcBorders>
            <w:shd w:val="clear" w:color="000000" w:fill="FFFFFF"/>
            <w:vAlign w:val="center"/>
            <w:hideMark/>
          </w:tcPr>
          <w:p w14:paraId="7ED049F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Vjetor</w:t>
            </w:r>
          </w:p>
        </w:tc>
        <w:tc>
          <w:tcPr>
            <w:tcW w:w="486" w:type="pct"/>
            <w:tcBorders>
              <w:top w:val="single" w:sz="4" w:space="0" w:color="auto"/>
              <w:left w:val="nil"/>
              <w:bottom w:val="nil"/>
              <w:right w:val="single" w:sz="4" w:space="0" w:color="auto"/>
            </w:tcBorders>
            <w:shd w:val="clear" w:color="auto" w:fill="auto"/>
            <w:vAlign w:val="center"/>
            <w:hideMark/>
          </w:tcPr>
          <w:p w14:paraId="17B248A6" w14:textId="6B6B59D1"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1. Inputet e </w:t>
            </w:r>
            <w:r w:rsidR="002B0C41" w:rsidRPr="00B31292">
              <w:rPr>
                <w:rFonts w:ascii="Garamond" w:eastAsia="Times New Roman" w:hAnsi="Garamond" w:cs="Times New Roman"/>
                <w:color w:val="000000"/>
                <w:sz w:val="10"/>
                <w:szCs w:val="10"/>
              </w:rPr>
              <w:t xml:space="preserve">energjisë </w:t>
            </w:r>
            <w:r w:rsidRPr="00B31292">
              <w:rPr>
                <w:rFonts w:ascii="Garamond" w:eastAsia="Times New Roman" w:hAnsi="Garamond" w:cs="Times New Roman"/>
                <w:color w:val="000000"/>
                <w:sz w:val="10"/>
                <w:szCs w:val="10"/>
              </w:rPr>
              <w:t>Natyrore</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 xml:space="preserve">2. Produktet e </w:t>
            </w:r>
            <w:r w:rsidR="002B0C41" w:rsidRPr="00B31292">
              <w:rPr>
                <w:rFonts w:ascii="Garamond" w:eastAsia="Times New Roman" w:hAnsi="Garamond" w:cs="Times New Roman"/>
                <w:color w:val="000000"/>
                <w:sz w:val="10"/>
                <w:szCs w:val="10"/>
              </w:rPr>
              <w:t>energjisë.</w:t>
            </w:r>
            <w:r w:rsidRPr="00B31292">
              <w:rPr>
                <w:rFonts w:ascii="Garamond" w:eastAsia="Times New Roman" w:hAnsi="Garamond" w:cs="Times New Roman"/>
                <w:color w:val="000000"/>
                <w:sz w:val="10"/>
                <w:szCs w:val="10"/>
              </w:rPr>
              <w:br/>
              <w:t xml:space="preserve">3. Mbetjet e </w:t>
            </w:r>
            <w:r w:rsidR="002B0C41" w:rsidRPr="00B31292">
              <w:rPr>
                <w:rFonts w:ascii="Garamond" w:eastAsia="Times New Roman" w:hAnsi="Garamond" w:cs="Times New Roman"/>
                <w:color w:val="000000"/>
                <w:sz w:val="10"/>
                <w:szCs w:val="10"/>
              </w:rPr>
              <w:t>energjisë.</w:t>
            </w:r>
          </w:p>
        </w:tc>
        <w:tc>
          <w:tcPr>
            <w:tcW w:w="299" w:type="pct"/>
            <w:tcBorders>
              <w:top w:val="nil"/>
              <w:left w:val="nil"/>
              <w:bottom w:val="single" w:sz="4" w:space="0" w:color="auto"/>
              <w:right w:val="single" w:sz="4" w:space="0" w:color="auto"/>
            </w:tcBorders>
            <w:shd w:val="clear" w:color="000000" w:fill="FFFFFF"/>
            <w:vAlign w:val="center"/>
            <w:hideMark/>
          </w:tcPr>
          <w:p w14:paraId="2D99B98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Instituti i Statistikave</w:t>
            </w:r>
          </w:p>
        </w:tc>
        <w:tc>
          <w:tcPr>
            <w:tcW w:w="224" w:type="pct"/>
            <w:tcBorders>
              <w:top w:val="single" w:sz="4" w:space="0" w:color="auto"/>
              <w:left w:val="nil"/>
              <w:bottom w:val="single" w:sz="4" w:space="0" w:color="auto"/>
              <w:right w:val="single" w:sz="4" w:space="0" w:color="auto"/>
            </w:tcBorders>
            <w:shd w:val="clear" w:color="000000" w:fill="FFFFFF"/>
            <w:vAlign w:val="center"/>
            <w:hideMark/>
          </w:tcPr>
          <w:p w14:paraId="7D6F7D34" w14:textId="79CBC116"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2B0C41" w:rsidRPr="00B31292">
              <w:rPr>
                <w:rFonts w:ascii="Garamond" w:eastAsia="Times New Roman" w:hAnsi="Garamond" w:cs="Times New Roman"/>
                <w:color w:val="000000"/>
                <w:sz w:val="10"/>
                <w:szCs w:val="10"/>
              </w:rPr>
              <w:t>-i</w:t>
            </w:r>
          </w:p>
        </w:tc>
        <w:tc>
          <w:tcPr>
            <w:tcW w:w="244" w:type="pct"/>
            <w:tcBorders>
              <w:top w:val="single" w:sz="4" w:space="0" w:color="auto"/>
              <w:left w:val="nil"/>
              <w:bottom w:val="nil"/>
              <w:right w:val="single" w:sz="4" w:space="0" w:color="auto"/>
            </w:tcBorders>
            <w:shd w:val="clear" w:color="000000" w:fill="FFFFFF"/>
            <w:vAlign w:val="center"/>
            <w:hideMark/>
          </w:tcPr>
          <w:p w14:paraId="39233C30"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+ 436D</w:t>
            </w:r>
          </w:p>
        </w:tc>
        <w:tc>
          <w:tcPr>
            <w:tcW w:w="220" w:type="pct"/>
            <w:tcBorders>
              <w:top w:val="single" w:sz="4" w:space="0" w:color="auto"/>
              <w:left w:val="nil"/>
              <w:bottom w:val="nil"/>
              <w:right w:val="single" w:sz="4" w:space="0" w:color="auto"/>
            </w:tcBorders>
            <w:shd w:val="clear" w:color="000000" w:fill="FFFFFF"/>
            <w:vAlign w:val="center"/>
            <w:hideMark/>
          </w:tcPr>
          <w:p w14:paraId="17C8C080"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+ 473D</w:t>
            </w:r>
          </w:p>
        </w:tc>
        <w:tc>
          <w:tcPr>
            <w:tcW w:w="220" w:type="pct"/>
            <w:tcBorders>
              <w:top w:val="nil"/>
              <w:left w:val="nil"/>
              <w:bottom w:val="single" w:sz="4" w:space="0" w:color="auto"/>
              <w:right w:val="single" w:sz="4" w:space="0" w:color="auto"/>
            </w:tcBorders>
            <w:shd w:val="clear" w:color="000000" w:fill="FFFFFF"/>
            <w:vAlign w:val="center"/>
            <w:hideMark/>
          </w:tcPr>
          <w:p w14:paraId="0B8DB7C9"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346" w:type="pct"/>
            <w:tcBorders>
              <w:top w:val="nil"/>
              <w:left w:val="nil"/>
              <w:bottom w:val="single" w:sz="4" w:space="0" w:color="auto"/>
              <w:right w:val="single" w:sz="4" w:space="0" w:color="auto"/>
            </w:tcBorders>
            <w:shd w:val="clear" w:color="000000" w:fill="FFFFFF"/>
            <w:vAlign w:val="center"/>
            <w:hideMark/>
          </w:tcPr>
          <w:p w14:paraId="56D03FDB" w14:textId="37DFC270"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Pezullimi ose vonesa e mbledhjes, prodhimit dhe shpërndarjes të statistikave zyrtare si pasojë e Fatkeqësive -|- 5</w:t>
            </w:r>
            <w:r w:rsidRPr="00B31292">
              <w:rPr>
                <w:rFonts w:ascii="Garamond" w:eastAsia="Times New Roman" w:hAnsi="Garamond" w:cs="Times New Roman"/>
                <w:color w:val="000000"/>
                <w:sz w:val="10"/>
                <w:szCs w:val="10"/>
              </w:rPr>
              <w:br/>
              <w:t>2. Mbledhja me vonesë dhe jocilësore së të dhënave administrative për llogaritë monetare dhe fizike në mjedis, çka mund të sjellë vonesa në llogaritjen dhe shpërndarjen e statistikave të llogarive mjedisore -|- 5</w:t>
            </w:r>
            <w:r w:rsidRPr="00B31292">
              <w:rPr>
                <w:rFonts w:ascii="Garamond" w:eastAsia="Times New Roman" w:hAnsi="Garamond" w:cs="Times New Roman"/>
                <w:color w:val="000000"/>
                <w:sz w:val="10"/>
                <w:szCs w:val="10"/>
              </w:rPr>
              <w:br/>
              <w:t>3. Gabimet e bëra nga stafi ekspert gjatë përpunimit dhe nxjerrjes së rezultateve duke sjellë ndikim n</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cilësinë e produktit statistikor -|- 5</w:t>
            </w:r>
          </w:p>
        </w:tc>
        <w:tc>
          <w:tcPr>
            <w:tcW w:w="273" w:type="pct"/>
            <w:tcBorders>
              <w:top w:val="nil"/>
              <w:left w:val="nil"/>
              <w:bottom w:val="single" w:sz="4" w:space="0" w:color="auto"/>
              <w:right w:val="single" w:sz="4" w:space="0" w:color="auto"/>
            </w:tcBorders>
            <w:shd w:val="clear" w:color="000000" w:fill="FFFFFF"/>
            <w:vAlign w:val="center"/>
            <w:hideMark/>
          </w:tcPr>
          <w:p w14:paraId="0E2EAA5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Buxhet shteti</w:t>
            </w:r>
          </w:p>
        </w:tc>
      </w:tr>
      <w:tr w:rsidR="000A2254" w:rsidRPr="00B31292" w14:paraId="7C49353C" w14:textId="77777777" w:rsidTr="000A2254">
        <w:trPr>
          <w:trHeight w:val="20"/>
        </w:trPr>
        <w:tc>
          <w:tcPr>
            <w:tcW w:w="215" w:type="pct"/>
            <w:tcBorders>
              <w:top w:val="nil"/>
              <w:left w:val="nil"/>
              <w:bottom w:val="nil"/>
              <w:right w:val="nil"/>
            </w:tcBorders>
            <w:shd w:val="clear" w:color="000000" w:fill="FFFFFF"/>
            <w:vAlign w:val="bottom"/>
            <w:hideMark/>
          </w:tcPr>
          <w:p w14:paraId="4035F22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70988F3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27BB669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5B5C2D8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single" w:sz="4" w:space="0" w:color="000000"/>
              <w:left w:val="single" w:sz="4" w:space="0" w:color="000000"/>
              <w:bottom w:val="single" w:sz="4" w:space="0" w:color="000000"/>
              <w:right w:val="nil"/>
            </w:tcBorders>
            <w:shd w:val="clear" w:color="000000" w:fill="F0F0F0"/>
            <w:vAlign w:val="center"/>
            <w:hideMark/>
          </w:tcPr>
          <w:p w14:paraId="7A4BC9D1"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4.1.3</w:t>
            </w:r>
          </w:p>
        </w:tc>
        <w:tc>
          <w:tcPr>
            <w:tcW w:w="4082" w:type="pct"/>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488A4A17"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Statistikat mbi menaxhimin e mbetjeve dhe substancave të rrezikshme</w:t>
            </w:r>
          </w:p>
        </w:tc>
      </w:tr>
      <w:tr w:rsidR="000A2254" w:rsidRPr="00B31292" w14:paraId="6B79BBDE" w14:textId="77777777" w:rsidTr="000A2254">
        <w:trPr>
          <w:trHeight w:val="20"/>
        </w:trPr>
        <w:tc>
          <w:tcPr>
            <w:tcW w:w="215" w:type="pct"/>
            <w:tcBorders>
              <w:top w:val="nil"/>
              <w:left w:val="nil"/>
              <w:bottom w:val="nil"/>
              <w:right w:val="nil"/>
            </w:tcBorders>
            <w:shd w:val="clear" w:color="000000" w:fill="FFFFFF"/>
            <w:vAlign w:val="bottom"/>
            <w:hideMark/>
          </w:tcPr>
          <w:p w14:paraId="1F8C39A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618D9DD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10EDA5A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07F8383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5891027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4E19B9A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000000"/>
              <w:bottom w:val="single" w:sz="4" w:space="0" w:color="000000"/>
              <w:right w:val="single" w:sz="4" w:space="0" w:color="000000"/>
            </w:tcBorders>
            <w:shd w:val="clear" w:color="auto" w:fill="auto"/>
            <w:vAlign w:val="center"/>
            <w:hideMark/>
          </w:tcPr>
          <w:p w14:paraId="4BF3E447"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4.1.3.1</w:t>
            </w:r>
          </w:p>
        </w:tc>
        <w:tc>
          <w:tcPr>
            <w:tcW w:w="281" w:type="pct"/>
            <w:tcBorders>
              <w:top w:val="nil"/>
              <w:left w:val="nil"/>
              <w:bottom w:val="single" w:sz="4" w:space="0" w:color="000000"/>
              <w:right w:val="single" w:sz="4" w:space="0" w:color="000000"/>
            </w:tcBorders>
            <w:shd w:val="clear" w:color="auto" w:fill="auto"/>
            <w:vAlign w:val="center"/>
            <w:hideMark/>
          </w:tcPr>
          <w:p w14:paraId="668962DD"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xml:space="preserve">Statistikat mbi menaxhimin të mbetjeve të ngurta urbane </w:t>
            </w:r>
          </w:p>
        </w:tc>
        <w:tc>
          <w:tcPr>
            <w:tcW w:w="236" w:type="pct"/>
            <w:tcBorders>
              <w:top w:val="nil"/>
              <w:left w:val="nil"/>
              <w:bottom w:val="single" w:sz="4" w:space="0" w:color="000000"/>
              <w:right w:val="single" w:sz="4" w:space="0" w:color="000000"/>
            </w:tcBorders>
            <w:shd w:val="clear" w:color="auto" w:fill="auto"/>
            <w:vAlign w:val="center"/>
            <w:hideMark/>
          </w:tcPr>
          <w:p w14:paraId="3FA2A7C7"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Burim administrativ</w:t>
            </w:r>
          </w:p>
        </w:tc>
        <w:tc>
          <w:tcPr>
            <w:tcW w:w="238" w:type="pct"/>
            <w:tcBorders>
              <w:top w:val="nil"/>
              <w:left w:val="nil"/>
              <w:bottom w:val="single" w:sz="4" w:space="0" w:color="auto"/>
              <w:right w:val="single" w:sz="4" w:space="0" w:color="auto"/>
            </w:tcBorders>
            <w:shd w:val="clear" w:color="auto" w:fill="auto"/>
            <w:noWrap/>
            <w:vAlign w:val="center"/>
            <w:hideMark/>
          </w:tcPr>
          <w:p w14:paraId="5E0B61EC"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180" w:type="pct"/>
            <w:tcBorders>
              <w:top w:val="nil"/>
              <w:left w:val="nil"/>
              <w:bottom w:val="single" w:sz="4" w:space="0" w:color="auto"/>
              <w:right w:val="single" w:sz="4" w:space="0" w:color="auto"/>
            </w:tcBorders>
            <w:shd w:val="clear" w:color="auto" w:fill="auto"/>
            <w:noWrap/>
            <w:vAlign w:val="center"/>
            <w:hideMark/>
          </w:tcPr>
          <w:p w14:paraId="75B87266"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28" w:type="pct"/>
            <w:tcBorders>
              <w:top w:val="nil"/>
              <w:left w:val="nil"/>
              <w:bottom w:val="single" w:sz="4" w:space="0" w:color="auto"/>
              <w:right w:val="single" w:sz="4" w:space="0" w:color="auto"/>
            </w:tcBorders>
            <w:shd w:val="clear" w:color="auto" w:fill="auto"/>
            <w:vAlign w:val="center"/>
            <w:hideMark/>
          </w:tcPr>
          <w:p w14:paraId="4009A0D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tcBorders>
              <w:top w:val="nil"/>
              <w:left w:val="nil"/>
              <w:bottom w:val="single" w:sz="4" w:space="0" w:color="000000"/>
              <w:right w:val="nil"/>
            </w:tcBorders>
            <w:shd w:val="clear" w:color="auto" w:fill="auto"/>
            <w:vAlign w:val="center"/>
            <w:hideMark/>
          </w:tcPr>
          <w:p w14:paraId="4C6B9C8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Vjetor</w:t>
            </w:r>
          </w:p>
        </w:tc>
        <w:tc>
          <w:tcPr>
            <w:tcW w:w="486" w:type="pct"/>
            <w:tcBorders>
              <w:top w:val="nil"/>
              <w:left w:val="single" w:sz="4" w:space="0" w:color="auto"/>
              <w:bottom w:val="single" w:sz="4" w:space="0" w:color="auto"/>
              <w:right w:val="single" w:sz="4" w:space="0" w:color="auto"/>
            </w:tcBorders>
            <w:shd w:val="clear" w:color="auto" w:fill="auto"/>
            <w:vAlign w:val="center"/>
            <w:hideMark/>
          </w:tcPr>
          <w:p w14:paraId="57612476" w14:textId="7C7A19A9"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Gjenerimi i mbetjeve sipas burimeve kryesore gjeneruese (NACE)</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2. Trajtimi i mbetjeve sipas </w:t>
            </w:r>
            <w:r w:rsidR="00CD213A" w:rsidRPr="00B31292">
              <w:rPr>
                <w:rFonts w:ascii="Garamond" w:eastAsia="Times New Roman" w:hAnsi="Garamond" w:cs="Times New Roman"/>
                <w:color w:val="000000"/>
                <w:sz w:val="10"/>
                <w:szCs w:val="10"/>
              </w:rPr>
              <w:t>mënyrave</w:t>
            </w:r>
            <w:r w:rsidRPr="00B31292">
              <w:rPr>
                <w:rFonts w:ascii="Garamond" w:eastAsia="Times New Roman" w:hAnsi="Garamond" w:cs="Times New Roman"/>
                <w:color w:val="000000"/>
                <w:sz w:val="10"/>
                <w:szCs w:val="10"/>
              </w:rPr>
              <w:t xml:space="preserve"> baz</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t</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trajtimit</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r>
            <w:r w:rsidRPr="00B31292">
              <w:rPr>
                <w:rFonts w:ascii="Garamond" w:eastAsia="Times New Roman" w:hAnsi="Garamond" w:cs="Times New Roman"/>
                <w:color w:val="000000"/>
                <w:sz w:val="10"/>
                <w:szCs w:val="10"/>
              </w:rPr>
              <w:lastRenderedPageBreak/>
              <w:t xml:space="preserve">3. </w:t>
            </w:r>
            <w:r w:rsidR="00CD213A" w:rsidRPr="00B31292">
              <w:rPr>
                <w:rFonts w:ascii="Garamond" w:eastAsia="Times New Roman" w:hAnsi="Garamond" w:cs="Times New Roman"/>
                <w:color w:val="000000"/>
                <w:sz w:val="10"/>
                <w:szCs w:val="10"/>
              </w:rPr>
              <w:t>Përbërja</w:t>
            </w:r>
            <w:r w:rsidRPr="00B31292">
              <w:rPr>
                <w:rFonts w:ascii="Garamond" w:eastAsia="Times New Roman" w:hAnsi="Garamond" w:cs="Times New Roman"/>
                <w:color w:val="000000"/>
                <w:sz w:val="10"/>
                <w:szCs w:val="10"/>
              </w:rPr>
              <w:t xml:space="preserve"> merceologjike e mbetjeve t</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ngurta urbane</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4. Stacionet kryesore </w:t>
            </w:r>
            <w:r w:rsidR="00CD213A" w:rsidRPr="00B31292">
              <w:rPr>
                <w:rFonts w:ascii="Garamond" w:eastAsia="Times New Roman" w:hAnsi="Garamond" w:cs="Times New Roman"/>
                <w:color w:val="000000"/>
                <w:sz w:val="10"/>
                <w:szCs w:val="10"/>
              </w:rPr>
              <w:t>për</w:t>
            </w:r>
            <w:r w:rsidRPr="00B31292">
              <w:rPr>
                <w:rFonts w:ascii="Garamond" w:eastAsia="Times New Roman" w:hAnsi="Garamond" w:cs="Times New Roman"/>
                <w:color w:val="000000"/>
                <w:sz w:val="10"/>
                <w:szCs w:val="10"/>
              </w:rPr>
              <w:t xml:space="preserve"> mbledhjen dhe </w:t>
            </w:r>
            <w:r w:rsidR="00CD213A" w:rsidRPr="00B31292">
              <w:rPr>
                <w:rFonts w:ascii="Garamond" w:eastAsia="Times New Roman" w:hAnsi="Garamond" w:cs="Times New Roman"/>
                <w:color w:val="000000"/>
                <w:sz w:val="10"/>
                <w:szCs w:val="10"/>
              </w:rPr>
              <w:t>përpunimin</w:t>
            </w:r>
            <w:r w:rsidRPr="00B31292">
              <w:rPr>
                <w:rFonts w:ascii="Garamond" w:eastAsia="Times New Roman" w:hAnsi="Garamond" w:cs="Times New Roman"/>
                <w:color w:val="000000"/>
                <w:sz w:val="10"/>
                <w:szCs w:val="10"/>
              </w:rPr>
              <w:t xml:space="preserve"> e mbetjeve t</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ngurta urbane</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5. Raport </w:t>
            </w:r>
            <w:r w:rsidR="002B0C41" w:rsidRPr="00B31292">
              <w:rPr>
                <w:rFonts w:ascii="Garamond" w:eastAsia="Times New Roman" w:hAnsi="Garamond" w:cs="Times New Roman"/>
                <w:color w:val="000000"/>
                <w:sz w:val="10"/>
                <w:szCs w:val="10"/>
              </w:rPr>
              <w:t>c</w:t>
            </w:r>
            <w:r w:rsidR="00CD213A" w:rsidRPr="00B31292">
              <w:rPr>
                <w:rFonts w:ascii="Garamond" w:eastAsia="Times New Roman" w:hAnsi="Garamond" w:cs="Times New Roman"/>
                <w:color w:val="000000"/>
                <w:sz w:val="10"/>
                <w:szCs w:val="10"/>
              </w:rPr>
              <w:t>ilësie</w:t>
            </w:r>
            <w:r w:rsidRPr="00B31292">
              <w:rPr>
                <w:rFonts w:ascii="Garamond" w:eastAsia="Times New Roman" w:hAnsi="Garamond" w:cs="Times New Roman"/>
                <w:color w:val="000000"/>
                <w:sz w:val="10"/>
                <w:szCs w:val="10"/>
              </w:rPr>
              <w:t xml:space="preserve"> mbi menaxhimin e mbetjeve t</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ngurta</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urbane n</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w:t>
            </w:r>
            <w:r w:rsidR="00CD213A" w:rsidRPr="00B31292">
              <w:rPr>
                <w:rFonts w:ascii="Garamond" w:eastAsia="Times New Roman" w:hAnsi="Garamond" w:cs="Times New Roman"/>
                <w:color w:val="000000"/>
                <w:sz w:val="10"/>
                <w:szCs w:val="10"/>
              </w:rPr>
              <w:t>Shqipëri</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6. Mbetjet inerte n</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w:t>
            </w:r>
            <w:r w:rsidR="00CD213A" w:rsidRPr="00B31292">
              <w:rPr>
                <w:rFonts w:ascii="Garamond" w:eastAsia="Times New Roman" w:hAnsi="Garamond" w:cs="Times New Roman"/>
                <w:color w:val="000000"/>
                <w:sz w:val="10"/>
                <w:szCs w:val="10"/>
              </w:rPr>
              <w:t>përbërje</w:t>
            </w:r>
            <w:r w:rsidRPr="00B31292">
              <w:rPr>
                <w:rFonts w:ascii="Garamond" w:eastAsia="Times New Roman" w:hAnsi="Garamond" w:cs="Times New Roman"/>
                <w:color w:val="000000"/>
                <w:sz w:val="10"/>
                <w:szCs w:val="10"/>
              </w:rPr>
              <w:t xml:space="preserve"> t</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mbetjeve urbane</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7. Mbetje t</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rrezikshme n</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w:t>
            </w:r>
            <w:r w:rsidR="00CD213A" w:rsidRPr="00B31292">
              <w:rPr>
                <w:rFonts w:ascii="Garamond" w:eastAsia="Times New Roman" w:hAnsi="Garamond" w:cs="Times New Roman"/>
                <w:color w:val="000000"/>
                <w:sz w:val="10"/>
                <w:szCs w:val="10"/>
              </w:rPr>
              <w:t>përbërje</w:t>
            </w:r>
            <w:r w:rsidRPr="00B31292">
              <w:rPr>
                <w:rFonts w:ascii="Garamond" w:eastAsia="Times New Roman" w:hAnsi="Garamond" w:cs="Times New Roman"/>
                <w:color w:val="000000"/>
                <w:sz w:val="10"/>
                <w:szCs w:val="10"/>
              </w:rPr>
              <w:t xml:space="preserve"> t</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mbetjeve urbane</w:t>
            </w:r>
            <w:r w:rsidRPr="00B31292">
              <w:rPr>
                <w:rFonts w:ascii="Garamond" w:eastAsia="Times New Roman" w:hAnsi="Garamond" w:cs="Times New Roman"/>
                <w:color w:val="000000"/>
                <w:sz w:val="10"/>
                <w:szCs w:val="10"/>
              </w:rPr>
              <w:br/>
              <w:t xml:space="preserve">Import - </w:t>
            </w:r>
            <w:r w:rsidR="002B0C41" w:rsidRPr="00B31292">
              <w:rPr>
                <w:rFonts w:ascii="Garamond" w:eastAsia="Times New Roman" w:hAnsi="Garamond" w:cs="Times New Roman"/>
                <w:color w:val="000000"/>
                <w:sz w:val="10"/>
                <w:szCs w:val="10"/>
              </w:rPr>
              <w:t>e</w:t>
            </w:r>
            <w:r w:rsidR="00CD213A" w:rsidRPr="00B31292">
              <w:rPr>
                <w:rFonts w:ascii="Garamond" w:eastAsia="Times New Roman" w:hAnsi="Garamond" w:cs="Times New Roman"/>
                <w:color w:val="000000"/>
                <w:sz w:val="10"/>
                <w:szCs w:val="10"/>
              </w:rPr>
              <w:t>ks</w:t>
            </w:r>
            <w:r w:rsidRPr="00B31292">
              <w:rPr>
                <w:rFonts w:ascii="Garamond" w:eastAsia="Times New Roman" w:hAnsi="Garamond" w:cs="Times New Roman"/>
                <w:color w:val="000000"/>
                <w:sz w:val="10"/>
                <w:szCs w:val="10"/>
              </w:rPr>
              <w:t>port i mbetjeve</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8. Gjenerimi </w:t>
            </w:r>
            <w:r w:rsidR="00CD213A" w:rsidRPr="00B31292">
              <w:rPr>
                <w:rFonts w:ascii="Garamond" w:eastAsia="Times New Roman" w:hAnsi="Garamond" w:cs="Times New Roman"/>
                <w:color w:val="000000"/>
                <w:sz w:val="10"/>
                <w:szCs w:val="10"/>
              </w:rPr>
              <w:t>i</w:t>
            </w:r>
            <w:r w:rsidRPr="00B31292">
              <w:rPr>
                <w:rFonts w:ascii="Garamond" w:eastAsia="Times New Roman" w:hAnsi="Garamond" w:cs="Times New Roman"/>
                <w:color w:val="000000"/>
                <w:sz w:val="10"/>
                <w:szCs w:val="10"/>
              </w:rPr>
              <w:t xml:space="preserve"> mbetjeve urbane raportuar</w:t>
            </w:r>
            <w:r w:rsidR="002E2911" w:rsidRPr="00B31292">
              <w:rPr>
                <w:rFonts w:ascii="Garamond" w:eastAsia="Times New Roman" w:hAnsi="Garamond" w:cs="Times New Roman"/>
                <w:color w:val="000000"/>
                <w:sz w:val="10"/>
                <w:szCs w:val="10"/>
              </w:rPr>
              <w:t xml:space="preserve"> </w:t>
            </w:r>
            <w:r w:rsidR="00CD213A" w:rsidRPr="00B31292">
              <w:rPr>
                <w:rFonts w:ascii="Garamond" w:eastAsia="Times New Roman" w:hAnsi="Garamond" w:cs="Times New Roman"/>
                <w:color w:val="000000"/>
                <w:sz w:val="10"/>
                <w:szCs w:val="10"/>
              </w:rPr>
              <w:t>për</w:t>
            </w:r>
            <w:r w:rsidRPr="00B31292">
              <w:rPr>
                <w:rFonts w:ascii="Garamond" w:eastAsia="Times New Roman" w:hAnsi="Garamond" w:cs="Times New Roman"/>
                <w:color w:val="000000"/>
                <w:sz w:val="10"/>
                <w:szCs w:val="10"/>
              </w:rPr>
              <w:t xml:space="preserve"> banor rezident</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9. Mbetje t</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ricikluara nga mbetjet urbane</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10. Mbetje t</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trajtuara ndar</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sipas </w:t>
            </w:r>
            <w:r w:rsidR="00CD213A" w:rsidRPr="00B31292">
              <w:rPr>
                <w:rFonts w:ascii="Garamond" w:eastAsia="Times New Roman" w:hAnsi="Garamond" w:cs="Times New Roman"/>
                <w:color w:val="000000"/>
                <w:sz w:val="10"/>
                <w:szCs w:val="10"/>
              </w:rPr>
              <w:t>mënyrave</w:t>
            </w:r>
            <w:r w:rsidRPr="00B31292">
              <w:rPr>
                <w:rFonts w:ascii="Garamond" w:eastAsia="Times New Roman" w:hAnsi="Garamond" w:cs="Times New Roman"/>
                <w:color w:val="000000"/>
                <w:sz w:val="10"/>
                <w:szCs w:val="10"/>
              </w:rPr>
              <w:t xml:space="preserve"> standarde t</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trajtimit</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11. Mbetje t</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patrajtuara nga mbetjet urbane totale t</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generuara</w:t>
            </w:r>
            <w:r w:rsidR="00CD213A"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n</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w:t>
            </w:r>
            <w:r w:rsidR="00CD213A" w:rsidRPr="00B31292">
              <w:rPr>
                <w:rFonts w:ascii="Garamond" w:eastAsia="Times New Roman" w:hAnsi="Garamond" w:cs="Times New Roman"/>
                <w:color w:val="000000"/>
                <w:sz w:val="10"/>
                <w:szCs w:val="10"/>
              </w:rPr>
              <w:t>Shqipëri</w:t>
            </w:r>
            <w:r w:rsidR="002B0C41" w:rsidRPr="00B31292">
              <w:rPr>
                <w:rFonts w:ascii="Garamond" w:eastAsia="Times New Roman" w:hAnsi="Garamond" w:cs="Times New Roman"/>
                <w:color w:val="000000"/>
                <w:sz w:val="10"/>
                <w:szCs w:val="10"/>
              </w:rPr>
              <w:t>.</w:t>
            </w:r>
          </w:p>
        </w:tc>
        <w:tc>
          <w:tcPr>
            <w:tcW w:w="299" w:type="pct"/>
            <w:tcBorders>
              <w:top w:val="nil"/>
              <w:left w:val="nil"/>
              <w:bottom w:val="single" w:sz="4" w:space="0" w:color="auto"/>
              <w:right w:val="single" w:sz="4" w:space="0" w:color="auto"/>
            </w:tcBorders>
            <w:shd w:val="clear" w:color="auto" w:fill="auto"/>
            <w:vAlign w:val="center"/>
            <w:hideMark/>
          </w:tcPr>
          <w:p w14:paraId="44C0A3E6" w14:textId="6A8D347E"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lastRenderedPageBreak/>
              <w:t>Ministria e Turizmit dhe Mjedisit</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 xml:space="preserve">Agjencia Kombëtare e </w:t>
            </w:r>
            <w:r w:rsidRPr="00B31292">
              <w:rPr>
                <w:rFonts w:ascii="Garamond" w:eastAsia="Times New Roman" w:hAnsi="Garamond" w:cs="Times New Roman"/>
                <w:color w:val="000000"/>
                <w:sz w:val="10"/>
                <w:szCs w:val="10"/>
              </w:rPr>
              <w:lastRenderedPageBreak/>
              <w:t xml:space="preserve">Mjedisit </w:t>
            </w:r>
            <w:r w:rsidRPr="00B31292">
              <w:rPr>
                <w:rFonts w:ascii="Garamond" w:eastAsia="Times New Roman" w:hAnsi="Garamond" w:cs="Times New Roman"/>
                <w:color w:val="000000"/>
                <w:sz w:val="10"/>
                <w:szCs w:val="10"/>
              </w:rPr>
              <w:br/>
              <w:t>Bashkitë</w:t>
            </w:r>
          </w:p>
        </w:tc>
        <w:tc>
          <w:tcPr>
            <w:tcW w:w="224" w:type="pct"/>
            <w:tcBorders>
              <w:top w:val="nil"/>
              <w:left w:val="nil"/>
              <w:bottom w:val="single" w:sz="4" w:space="0" w:color="auto"/>
              <w:right w:val="single" w:sz="4" w:space="0" w:color="auto"/>
            </w:tcBorders>
            <w:shd w:val="clear" w:color="auto" w:fill="auto"/>
            <w:vAlign w:val="center"/>
            <w:hideMark/>
          </w:tcPr>
          <w:p w14:paraId="2D5C910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lastRenderedPageBreak/>
              <w:t>INSTAT</w:t>
            </w:r>
          </w:p>
        </w:tc>
        <w:tc>
          <w:tcPr>
            <w:tcW w:w="244" w:type="pct"/>
            <w:tcBorders>
              <w:top w:val="nil"/>
              <w:left w:val="nil"/>
              <w:bottom w:val="single" w:sz="4" w:space="0" w:color="auto"/>
              <w:right w:val="single" w:sz="4" w:space="0" w:color="auto"/>
            </w:tcBorders>
            <w:shd w:val="clear" w:color="000000" w:fill="FFFFFF"/>
            <w:vAlign w:val="center"/>
            <w:hideMark/>
          </w:tcPr>
          <w:p w14:paraId="5333ED7D"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+ 155D</w:t>
            </w:r>
          </w:p>
        </w:tc>
        <w:tc>
          <w:tcPr>
            <w:tcW w:w="220" w:type="pct"/>
            <w:tcBorders>
              <w:top w:val="nil"/>
              <w:left w:val="nil"/>
              <w:bottom w:val="single" w:sz="4" w:space="0" w:color="auto"/>
              <w:right w:val="single" w:sz="4" w:space="0" w:color="auto"/>
            </w:tcBorders>
            <w:shd w:val="clear" w:color="000000" w:fill="FFFFFF"/>
            <w:vAlign w:val="center"/>
            <w:hideMark/>
          </w:tcPr>
          <w:p w14:paraId="0A2AC69B"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+ 253D</w:t>
            </w:r>
          </w:p>
        </w:tc>
        <w:tc>
          <w:tcPr>
            <w:tcW w:w="220" w:type="pct"/>
            <w:tcBorders>
              <w:top w:val="nil"/>
              <w:left w:val="nil"/>
              <w:bottom w:val="single" w:sz="4" w:space="0" w:color="auto"/>
              <w:right w:val="single" w:sz="4" w:space="0" w:color="auto"/>
            </w:tcBorders>
            <w:shd w:val="clear" w:color="000000" w:fill="FFFFFF"/>
            <w:vAlign w:val="center"/>
            <w:hideMark/>
          </w:tcPr>
          <w:p w14:paraId="2611D4E5"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+ 267D</w:t>
            </w:r>
          </w:p>
        </w:tc>
        <w:tc>
          <w:tcPr>
            <w:tcW w:w="346" w:type="pct"/>
            <w:tcBorders>
              <w:top w:val="nil"/>
              <w:left w:val="nil"/>
              <w:bottom w:val="single" w:sz="4" w:space="0" w:color="auto"/>
              <w:right w:val="single" w:sz="4" w:space="0" w:color="auto"/>
            </w:tcBorders>
            <w:shd w:val="clear" w:color="auto" w:fill="auto"/>
            <w:vAlign w:val="center"/>
            <w:hideMark/>
          </w:tcPr>
          <w:p w14:paraId="15210B98" w14:textId="49CEF7D2"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1. Mosrealizimi i vrojtimit </w:t>
            </w:r>
            <w:r w:rsidR="002B0C41" w:rsidRPr="00B31292">
              <w:rPr>
                <w:rFonts w:ascii="Garamond" w:eastAsia="Times New Roman" w:hAnsi="Garamond" w:cs="Times New Roman"/>
                <w:color w:val="000000"/>
                <w:sz w:val="10"/>
                <w:szCs w:val="10"/>
              </w:rPr>
              <w:t xml:space="preserve">vjetor i mbetjeve urbane </w:t>
            </w:r>
            <w:r w:rsidRPr="00B31292">
              <w:rPr>
                <w:rFonts w:ascii="Garamond" w:eastAsia="Times New Roman" w:hAnsi="Garamond" w:cs="Times New Roman"/>
                <w:color w:val="000000"/>
                <w:sz w:val="10"/>
                <w:szCs w:val="10"/>
              </w:rPr>
              <w:t>sipas objektivave</w:t>
            </w:r>
            <w:r w:rsidR="002B0C41"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duke sjellë </w:t>
            </w:r>
            <w:r w:rsidRPr="00B31292">
              <w:rPr>
                <w:rFonts w:ascii="Garamond" w:eastAsia="Times New Roman" w:hAnsi="Garamond" w:cs="Times New Roman"/>
                <w:color w:val="000000"/>
                <w:sz w:val="10"/>
                <w:szCs w:val="10"/>
              </w:rPr>
              <w:lastRenderedPageBreak/>
              <w:t>mospublikimin e statistikave mbi menaxhimin e mbetjeve dhe moshartimin e raporteve periodike të kërkuara nga Eurostat -|- 4</w:t>
            </w:r>
          </w:p>
        </w:tc>
        <w:tc>
          <w:tcPr>
            <w:tcW w:w="273" w:type="pct"/>
            <w:tcBorders>
              <w:top w:val="nil"/>
              <w:left w:val="nil"/>
              <w:bottom w:val="single" w:sz="4" w:space="0" w:color="auto"/>
              <w:right w:val="single" w:sz="4" w:space="0" w:color="auto"/>
            </w:tcBorders>
            <w:shd w:val="clear" w:color="auto" w:fill="auto"/>
            <w:vAlign w:val="center"/>
            <w:hideMark/>
          </w:tcPr>
          <w:p w14:paraId="2FC674C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lastRenderedPageBreak/>
              <w:t>Buxhet shteti</w:t>
            </w:r>
          </w:p>
        </w:tc>
      </w:tr>
      <w:tr w:rsidR="000A2254" w:rsidRPr="00B31292" w14:paraId="4DE081B2" w14:textId="77777777" w:rsidTr="000A2254">
        <w:trPr>
          <w:trHeight w:val="20"/>
        </w:trPr>
        <w:tc>
          <w:tcPr>
            <w:tcW w:w="215" w:type="pct"/>
            <w:tcBorders>
              <w:top w:val="nil"/>
              <w:left w:val="nil"/>
              <w:bottom w:val="nil"/>
              <w:right w:val="nil"/>
            </w:tcBorders>
            <w:shd w:val="clear" w:color="000000" w:fill="FFFFFF"/>
            <w:vAlign w:val="bottom"/>
            <w:hideMark/>
          </w:tcPr>
          <w:p w14:paraId="382936D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2029FEC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061FA08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065E80D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single" w:sz="4" w:space="0" w:color="000000"/>
              <w:left w:val="single" w:sz="4" w:space="0" w:color="000000"/>
              <w:bottom w:val="single" w:sz="4" w:space="0" w:color="000000"/>
              <w:right w:val="nil"/>
            </w:tcBorders>
            <w:shd w:val="clear" w:color="000000" w:fill="F0F0F0"/>
            <w:vAlign w:val="center"/>
            <w:hideMark/>
          </w:tcPr>
          <w:p w14:paraId="728250A2"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4.1.4</w:t>
            </w:r>
          </w:p>
        </w:tc>
        <w:tc>
          <w:tcPr>
            <w:tcW w:w="4082" w:type="pct"/>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0C5C597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Statistikat e ujit</w:t>
            </w:r>
          </w:p>
        </w:tc>
      </w:tr>
      <w:tr w:rsidR="000A2254" w:rsidRPr="00B31292" w14:paraId="483EF4CF" w14:textId="77777777" w:rsidTr="000A2254">
        <w:trPr>
          <w:trHeight w:val="20"/>
        </w:trPr>
        <w:tc>
          <w:tcPr>
            <w:tcW w:w="215" w:type="pct"/>
            <w:tcBorders>
              <w:top w:val="nil"/>
              <w:left w:val="nil"/>
              <w:bottom w:val="nil"/>
              <w:right w:val="nil"/>
            </w:tcBorders>
            <w:shd w:val="clear" w:color="000000" w:fill="FFFFFF"/>
            <w:vAlign w:val="bottom"/>
            <w:hideMark/>
          </w:tcPr>
          <w:p w14:paraId="38DC593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78584F4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6EE53F2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6BB40957"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74D7308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7E6DE13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000000"/>
              <w:bottom w:val="nil"/>
              <w:right w:val="single" w:sz="4" w:space="0" w:color="000000"/>
            </w:tcBorders>
            <w:shd w:val="clear" w:color="auto" w:fill="auto"/>
            <w:vAlign w:val="center"/>
            <w:hideMark/>
          </w:tcPr>
          <w:p w14:paraId="58650485"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4.1.4.1</w:t>
            </w:r>
          </w:p>
        </w:tc>
        <w:tc>
          <w:tcPr>
            <w:tcW w:w="281" w:type="pct"/>
            <w:tcBorders>
              <w:top w:val="nil"/>
              <w:left w:val="nil"/>
              <w:bottom w:val="nil"/>
              <w:right w:val="single" w:sz="4" w:space="0" w:color="000000"/>
            </w:tcBorders>
            <w:shd w:val="clear" w:color="auto" w:fill="auto"/>
            <w:vAlign w:val="center"/>
            <w:hideMark/>
          </w:tcPr>
          <w:p w14:paraId="366B3590"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Statistikat e ujit-administrative</w:t>
            </w:r>
          </w:p>
        </w:tc>
        <w:tc>
          <w:tcPr>
            <w:tcW w:w="236" w:type="pct"/>
            <w:tcBorders>
              <w:top w:val="nil"/>
              <w:left w:val="nil"/>
              <w:bottom w:val="nil"/>
              <w:right w:val="single" w:sz="4" w:space="0" w:color="000000"/>
            </w:tcBorders>
            <w:shd w:val="clear" w:color="auto" w:fill="auto"/>
            <w:vAlign w:val="center"/>
            <w:hideMark/>
          </w:tcPr>
          <w:p w14:paraId="49F2A795"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Burim administrativ</w:t>
            </w:r>
          </w:p>
        </w:tc>
        <w:tc>
          <w:tcPr>
            <w:tcW w:w="238" w:type="pct"/>
            <w:tcBorders>
              <w:top w:val="nil"/>
              <w:left w:val="nil"/>
              <w:bottom w:val="nil"/>
              <w:right w:val="single" w:sz="4" w:space="0" w:color="auto"/>
            </w:tcBorders>
            <w:shd w:val="clear" w:color="auto" w:fill="auto"/>
            <w:noWrap/>
            <w:vAlign w:val="center"/>
            <w:hideMark/>
          </w:tcPr>
          <w:p w14:paraId="7D13E9E6"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180" w:type="pct"/>
            <w:tcBorders>
              <w:top w:val="nil"/>
              <w:left w:val="nil"/>
              <w:bottom w:val="nil"/>
              <w:right w:val="single" w:sz="4" w:space="0" w:color="auto"/>
            </w:tcBorders>
            <w:shd w:val="clear" w:color="auto" w:fill="auto"/>
            <w:noWrap/>
            <w:vAlign w:val="center"/>
            <w:hideMark/>
          </w:tcPr>
          <w:p w14:paraId="0001168B"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28" w:type="pct"/>
            <w:tcBorders>
              <w:top w:val="nil"/>
              <w:left w:val="nil"/>
              <w:bottom w:val="nil"/>
              <w:right w:val="single" w:sz="4" w:space="0" w:color="auto"/>
            </w:tcBorders>
            <w:shd w:val="clear" w:color="auto" w:fill="auto"/>
            <w:vAlign w:val="center"/>
            <w:hideMark/>
          </w:tcPr>
          <w:p w14:paraId="44CA7AE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tcBorders>
              <w:top w:val="nil"/>
              <w:left w:val="nil"/>
              <w:bottom w:val="nil"/>
              <w:right w:val="single" w:sz="4" w:space="0" w:color="000000"/>
            </w:tcBorders>
            <w:shd w:val="clear" w:color="auto" w:fill="auto"/>
            <w:vAlign w:val="center"/>
            <w:hideMark/>
          </w:tcPr>
          <w:p w14:paraId="26D9064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Vjetor</w:t>
            </w:r>
          </w:p>
        </w:tc>
        <w:tc>
          <w:tcPr>
            <w:tcW w:w="486" w:type="pct"/>
            <w:tcBorders>
              <w:top w:val="nil"/>
              <w:left w:val="nil"/>
              <w:bottom w:val="nil"/>
              <w:right w:val="single" w:sz="4" w:space="0" w:color="auto"/>
            </w:tcBorders>
            <w:shd w:val="clear" w:color="auto" w:fill="auto"/>
            <w:vAlign w:val="center"/>
            <w:hideMark/>
          </w:tcPr>
          <w:p w14:paraId="6ED2686B" w14:textId="3B285DF6"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Cilësia e ujërave larës në plazhet detare të Shqipërisë</w:t>
            </w:r>
            <w:r w:rsidR="006A7C4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2. Statistikat mbi furnizimin e popullsisë me ujë dhe menaxhimi i </w:t>
            </w:r>
            <w:r w:rsidR="002C1D56" w:rsidRPr="00B31292">
              <w:rPr>
                <w:rFonts w:ascii="Garamond" w:eastAsia="Times New Roman" w:hAnsi="Garamond" w:cs="Times New Roman"/>
                <w:color w:val="000000"/>
                <w:sz w:val="10"/>
                <w:szCs w:val="10"/>
              </w:rPr>
              <w:t>ujërave</w:t>
            </w:r>
            <w:r w:rsidRPr="00B31292">
              <w:rPr>
                <w:rFonts w:ascii="Garamond" w:eastAsia="Times New Roman" w:hAnsi="Garamond" w:cs="Times New Roman"/>
                <w:color w:val="000000"/>
                <w:sz w:val="10"/>
                <w:szCs w:val="10"/>
              </w:rPr>
              <w:t xml:space="preserve"> të ndotura</w:t>
            </w:r>
            <w:r w:rsidR="006A7C4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3. Statistikat mbi cilësitë fiziko kimike të </w:t>
            </w:r>
            <w:r w:rsidR="002C1D56" w:rsidRPr="00B31292">
              <w:rPr>
                <w:rFonts w:ascii="Garamond" w:eastAsia="Times New Roman" w:hAnsi="Garamond" w:cs="Times New Roman"/>
                <w:color w:val="000000"/>
                <w:sz w:val="10"/>
                <w:szCs w:val="10"/>
              </w:rPr>
              <w:t>ujërave</w:t>
            </w:r>
            <w:r w:rsidRPr="00B31292">
              <w:rPr>
                <w:rFonts w:ascii="Garamond" w:eastAsia="Times New Roman" w:hAnsi="Garamond" w:cs="Times New Roman"/>
                <w:color w:val="000000"/>
                <w:sz w:val="10"/>
                <w:szCs w:val="10"/>
              </w:rPr>
              <w:t xml:space="preserve"> në lumenj dhe liqene natyrale</w:t>
            </w:r>
            <w:r w:rsidR="006A7C4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4. Portata e ujërave të brendshëm sipas burimeve natyrore</w:t>
            </w:r>
            <w:r w:rsidR="006A7C4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5. Statistikat të pjesshme nga bilanci i përgjithshëm i </w:t>
            </w:r>
            <w:r w:rsidR="002C1D56" w:rsidRPr="00B31292">
              <w:rPr>
                <w:rFonts w:ascii="Garamond" w:eastAsia="Times New Roman" w:hAnsi="Garamond" w:cs="Times New Roman"/>
                <w:color w:val="000000"/>
                <w:sz w:val="10"/>
                <w:szCs w:val="10"/>
              </w:rPr>
              <w:t>ujërave</w:t>
            </w:r>
            <w:r w:rsidRPr="00B31292">
              <w:rPr>
                <w:rFonts w:ascii="Garamond" w:eastAsia="Times New Roman" w:hAnsi="Garamond" w:cs="Times New Roman"/>
                <w:color w:val="000000"/>
                <w:sz w:val="10"/>
                <w:szCs w:val="10"/>
              </w:rPr>
              <w:t xml:space="preserve"> në </w:t>
            </w:r>
            <w:r w:rsidR="002C1D56" w:rsidRPr="00B31292">
              <w:rPr>
                <w:rFonts w:ascii="Garamond" w:eastAsia="Times New Roman" w:hAnsi="Garamond" w:cs="Times New Roman"/>
                <w:color w:val="000000"/>
                <w:sz w:val="10"/>
                <w:szCs w:val="10"/>
              </w:rPr>
              <w:t>Republikën</w:t>
            </w:r>
            <w:r w:rsidRPr="00B31292">
              <w:rPr>
                <w:rFonts w:ascii="Garamond" w:eastAsia="Times New Roman" w:hAnsi="Garamond" w:cs="Times New Roman"/>
                <w:color w:val="000000"/>
                <w:sz w:val="10"/>
                <w:szCs w:val="10"/>
              </w:rPr>
              <w:t xml:space="preserve"> e Shqipërisë</w:t>
            </w:r>
            <w:r w:rsidR="006A7C4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6. Statistika mbi </w:t>
            </w:r>
            <w:r w:rsidR="006A7C44" w:rsidRPr="00B31292">
              <w:rPr>
                <w:rFonts w:ascii="Garamond" w:eastAsia="Times New Roman" w:hAnsi="Garamond" w:cs="Times New Roman"/>
                <w:color w:val="000000"/>
                <w:sz w:val="10"/>
                <w:szCs w:val="10"/>
              </w:rPr>
              <w:t>r</w:t>
            </w:r>
            <w:r w:rsidRPr="00B31292">
              <w:rPr>
                <w:rFonts w:ascii="Garamond" w:eastAsia="Times New Roman" w:hAnsi="Garamond" w:cs="Times New Roman"/>
                <w:color w:val="000000"/>
                <w:sz w:val="10"/>
                <w:szCs w:val="10"/>
              </w:rPr>
              <w:t xml:space="preserve">ajonet e </w:t>
            </w:r>
            <w:r w:rsidR="002C1D56" w:rsidRPr="00B31292">
              <w:rPr>
                <w:rFonts w:ascii="Garamond" w:eastAsia="Times New Roman" w:hAnsi="Garamond" w:cs="Times New Roman"/>
                <w:color w:val="000000"/>
                <w:sz w:val="10"/>
                <w:szCs w:val="10"/>
              </w:rPr>
              <w:t>baseneve</w:t>
            </w:r>
            <w:r w:rsidRPr="00B31292">
              <w:rPr>
                <w:rFonts w:ascii="Garamond" w:eastAsia="Times New Roman" w:hAnsi="Garamond" w:cs="Times New Roman"/>
                <w:color w:val="000000"/>
                <w:sz w:val="10"/>
                <w:szCs w:val="10"/>
              </w:rPr>
              <w:t xml:space="preserve"> të </w:t>
            </w:r>
            <w:r w:rsidR="002C1D56" w:rsidRPr="00B31292">
              <w:rPr>
                <w:rFonts w:ascii="Garamond" w:eastAsia="Times New Roman" w:hAnsi="Garamond" w:cs="Times New Roman"/>
                <w:color w:val="000000"/>
                <w:sz w:val="10"/>
                <w:szCs w:val="10"/>
              </w:rPr>
              <w:t>lumenjve</w:t>
            </w:r>
            <w:r w:rsidRPr="00B31292">
              <w:rPr>
                <w:rFonts w:ascii="Garamond" w:eastAsia="Times New Roman" w:hAnsi="Garamond" w:cs="Times New Roman"/>
                <w:color w:val="000000"/>
                <w:sz w:val="10"/>
                <w:szCs w:val="10"/>
              </w:rPr>
              <w:t>, RBD</w:t>
            </w:r>
            <w:r w:rsidR="006A7C4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7. </w:t>
            </w:r>
            <w:r w:rsidR="002C1D56" w:rsidRPr="00B31292">
              <w:rPr>
                <w:rFonts w:ascii="Garamond" w:eastAsia="Times New Roman" w:hAnsi="Garamond" w:cs="Times New Roman"/>
                <w:color w:val="000000"/>
                <w:sz w:val="10"/>
                <w:szCs w:val="10"/>
              </w:rPr>
              <w:t>Reshjet</w:t>
            </w:r>
            <w:r w:rsidRPr="00B31292">
              <w:rPr>
                <w:rFonts w:ascii="Garamond" w:eastAsia="Times New Roman" w:hAnsi="Garamond" w:cs="Times New Roman"/>
                <w:color w:val="000000"/>
                <w:sz w:val="10"/>
                <w:szCs w:val="10"/>
              </w:rPr>
              <w:t xml:space="preserve"> mesatare vjetore në Shqipëri</w:t>
            </w:r>
            <w:r w:rsidR="006A7C4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8. Përdorimi i ujërave nga burimet sipërfaqësore</w:t>
            </w:r>
            <w:r w:rsidR="006A7C4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9. Përdorimi i ujërave nga rezervat nëntok</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sore, aquiferet</w:t>
            </w:r>
            <w:r w:rsidR="006A7C4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10. Hyrje dalja e ujërave </w:t>
            </w:r>
            <w:r w:rsidR="002C1D56" w:rsidRPr="00B31292">
              <w:rPr>
                <w:rFonts w:ascii="Garamond" w:eastAsia="Times New Roman" w:hAnsi="Garamond" w:cs="Times New Roman"/>
                <w:color w:val="000000"/>
                <w:sz w:val="10"/>
                <w:szCs w:val="10"/>
              </w:rPr>
              <w:t>sipërfaqësore</w:t>
            </w:r>
            <w:r w:rsidRPr="00B31292">
              <w:rPr>
                <w:rFonts w:ascii="Garamond" w:eastAsia="Times New Roman" w:hAnsi="Garamond" w:cs="Times New Roman"/>
                <w:color w:val="000000"/>
                <w:sz w:val="10"/>
                <w:szCs w:val="10"/>
              </w:rPr>
              <w:t xml:space="preserve"> me vendet</w:t>
            </w:r>
            <w:r w:rsidR="006A7C4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ndërkufitare me Shqipërinë</w:t>
            </w:r>
            <w:r w:rsidRPr="00B31292">
              <w:rPr>
                <w:rFonts w:ascii="Garamond" w:eastAsia="Times New Roman" w:hAnsi="Garamond" w:cs="Times New Roman"/>
                <w:color w:val="000000"/>
                <w:sz w:val="10"/>
                <w:szCs w:val="10"/>
              </w:rPr>
              <w:br/>
              <w:t xml:space="preserve">11. </w:t>
            </w:r>
            <w:r w:rsidR="002C1D56" w:rsidRPr="00B31292">
              <w:rPr>
                <w:rFonts w:ascii="Garamond" w:eastAsia="Times New Roman" w:hAnsi="Garamond" w:cs="Times New Roman"/>
                <w:color w:val="000000"/>
                <w:sz w:val="10"/>
                <w:szCs w:val="10"/>
              </w:rPr>
              <w:t>Përdorimi</w:t>
            </w:r>
            <w:r w:rsidRPr="00B31292">
              <w:rPr>
                <w:rFonts w:ascii="Garamond" w:eastAsia="Times New Roman" w:hAnsi="Garamond" w:cs="Times New Roman"/>
                <w:color w:val="000000"/>
                <w:sz w:val="10"/>
                <w:szCs w:val="10"/>
              </w:rPr>
              <w:t xml:space="preserve"> i uj</w:t>
            </w:r>
            <w:r w:rsidR="002C1D56"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rave sipas </w:t>
            </w:r>
            <w:r w:rsidR="002C1D56" w:rsidRPr="00B31292">
              <w:rPr>
                <w:rFonts w:ascii="Garamond" w:eastAsia="Times New Roman" w:hAnsi="Garamond" w:cs="Times New Roman"/>
                <w:color w:val="000000"/>
                <w:sz w:val="10"/>
                <w:szCs w:val="10"/>
              </w:rPr>
              <w:t>degëve</w:t>
            </w:r>
            <w:r w:rsidRPr="00B31292">
              <w:rPr>
                <w:rFonts w:ascii="Garamond" w:eastAsia="Times New Roman" w:hAnsi="Garamond" w:cs="Times New Roman"/>
                <w:color w:val="000000"/>
                <w:sz w:val="10"/>
                <w:szCs w:val="10"/>
              </w:rPr>
              <w:t xml:space="preserve"> kryesore t</w:t>
            </w:r>
            <w:r w:rsidR="002C1D56"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w:t>
            </w:r>
            <w:r w:rsidR="002C1D56" w:rsidRPr="00B31292">
              <w:rPr>
                <w:rFonts w:ascii="Garamond" w:eastAsia="Times New Roman" w:hAnsi="Garamond" w:cs="Times New Roman"/>
                <w:color w:val="000000"/>
                <w:sz w:val="10"/>
                <w:szCs w:val="10"/>
              </w:rPr>
              <w:t>ekonomisë</w:t>
            </w:r>
            <w:r w:rsidRPr="00B31292">
              <w:rPr>
                <w:rFonts w:ascii="Garamond" w:eastAsia="Times New Roman" w:hAnsi="Garamond" w:cs="Times New Roman"/>
                <w:color w:val="000000"/>
                <w:sz w:val="10"/>
                <w:szCs w:val="10"/>
              </w:rPr>
              <w:t>,</w:t>
            </w:r>
            <w:r w:rsidR="006A7C44"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Nace - Rev2</w:t>
            </w:r>
            <w:r w:rsidR="006A7C4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12. Trajtimi i ujërave të </w:t>
            </w:r>
            <w:r w:rsidR="002C1D56" w:rsidRPr="00B31292">
              <w:rPr>
                <w:rFonts w:ascii="Garamond" w:eastAsia="Times New Roman" w:hAnsi="Garamond" w:cs="Times New Roman"/>
                <w:color w:val="000000"/>
                <w:sz w:val="10"/>
                <w:szCs w:val="10"/>
              </w:rPr>
              <w:t>përdorura</w:t>
            </w:r>
            <w:r w:rsidRPr="00B31292">
              <w:rPr>
                <w:rFonts w:ascii="Garamond" w:eastAsia="Times New Roman" w:hAnsi="Garamond" w:cs="Times New Roman"/>
                <w:color w:val="000000"/>
                <w:sz w:val="10"/>
                <w:szCs w:val="10"/>
              </w:rPr>
              <w:t xml:space="preserve"> dhe shkarkimi i tyre</w:t>
            </w:r>
            <w:r w:rsidR="006A7C4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13. Mbetjet nga trajtimi i ujërave të ndotura dhe trajtimi i </w:t>
            </w:r>
            <w:r w:rsidR="002C1D56" w:rsidRPr="00B31292">
              <w:rPr>
                <w:rFonts w:ascii="Garamond" w:eastAsia="Times New Roman" w:hAnsi="Garamond" w:cs="Times New Roman"/>
                <w:color w:val="000000"/>
                <w:sz w:val="10"/>
                <w:szCs w:val="10"/>
              </w:rPr>
              <w:t>llumrave</w:t>
            </w:r>
            <w:r w:rsidR="006A7C4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14. Prurjet mesatare vjetore të ujit sipas baseneve lumore</w:t>
            </w:r>
            <w:r w:rsidR="006A7C4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15. Sipërfaqet efektive dhe reale të baseneve kryesore ujëmbledhëse të brendshme dhe ndërkufitare</w:t>
            </w:r>
            <w:r w:rsidR="006A7C4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16. Shkarkimet e ujërave në dete sipas baseneve lumore</w:t>
            </w:r>
            <w:r w:rsidR="006A7C44" w:rsidRPr="00B31292">
              <w:rPr>
                <w:rFonts w:ascii="Garamond" w:eastAsia="Times New Roman" w:hAnsi="Garamond" w:cs="Times New Roman"/>
                <w:color w:val="000000"/>
                <w:sz w:val="10"/>
                <w:szCs w:val="10"/>
              </w:rPr>
              <w:t>.</w:t>
            </w:r>
          </w:p>
        </w:tc>
        <w:tc>
          <w:tcPr>
            <w:tcW w:w="299" w:type="pct"/>
            <w:tcBorders>
              <w:top w:val="nil"/>
              <w:left w:val="nil"/>
              <w:bottom w:val="nil"/>
              <w:right w:val="single" w:sz="4" w:space="0" w:color="auto"/>
            </w:tcBorders>
            <w:shd w:val="clear" w:color="auto" w:fill="auto"/>
            <w:vAlign w:val="center"/>
            <w:hideMark/>
          </w:tcPr>
          <w:p w14:paraId="18FCCB88" w14:textId="6614471F"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Ministria e Turizmit dhe Mjedisit</w:t>
            </w:r>
            <w:r w:rsidR="006A7C4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Agjencia Kombëtare e Burimeve Natyrore</w:t>
            </w:r>
            <w:r w:rsidR="006A7C44" w:rsidRPr="00B31292">
              <w:rPr>
                <w:rFonts w:ascii="Garamond" w:eastAsia="Times New Roman" w:hAnsi="Garamond" w:cs="Times New Roman"/>
                <w:color w:val="000000"/>
                <w:sz w:val="10"/>
                <w:szCs w:val="10"/>
              </w:rPr>
              <w:t>,</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Shërbimi Gjeologjik Shqiptar</w:t>
            </w:r>
            <w:r w:rsidR="006A7C4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Agjencia Kombëtare e Mjedisit</w:t>
            </w:r>
            <w:r w:rsidR="006A7C4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Instituti i Gjeoshkencave</w:t>
            </w:r>
            <w:r w:rsidR="006A7C4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Ujësjellës</w:t>
            </w:r>
            <w:r w:rsidR="006A7C4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Kanalizime Tiranë</w:t>
            </w:r>
          </w:p>
        </w:tc>
        <w:tc>
          <w:tcPr>
            <w:tcW w:w="224" w:type="pct"/>
            <w:tcBorders>
              <w:top w:val="nil"/>
              <w:left w:val="nil"/>
              <w:bottom w:val="nil"/>
              <w:right w:val="single" w:sz="4" w:space="0" w:color="auto"/>
            </w:tcBorders>
            <w:shd w:val="clear" w:color="auto" w:fill="auto"/>
            <w:vAlign w:val="center"/>
            <w:hideMark/>
          </w:tcPr>
          <w:p w14:paraId="3518E138" w14:textId="26597709"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6A7C44" w:rsidRPr="00B31292">
              <w:rPr>
                <w:rFonts w:ascii="Garamond" w:eastAsia="Times New Roman" w:hAnsi="Garamond" w:cs="Times New Roman"/>
                <w:color w:val="000000"/>
                <w:sz w:val="10"/>
                <w:szCs w:val="10"/>
              </w:rPr>
              <w:t>-i</w:t>
            </w:r>
          </w:p>
        </w:tc>
        <w:tc>
          <w:tcPr>
            <w:tcW w:w="244" w:type="pct"/>
            <w:tcBorders>
              <w:top w:val="nil"/>
              <w:left w:val="nil"/>
              <w:bottom w:val="nil"/>
              <w:right w:val="single" w:sz="4" w:space="0" w:color="auto"/>
            </w:tcBorders>
            <w:shd w:val="clear" w:color="000000" w:fill="FFFFFF"/>
            <w:vAlign w:val="center"/>
            <w:hideMark/>
          </w:tcPr>
          <w:p w14:paraId="1684FFC2"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+ 125D</w:t>
            </w:r>
          </w:p>
        </w:tc>
        <w:tc>
          <w:tcPr>
            <w:tcW w:w="220" w:type="pct"/>
            <w:tcBorders>
              <w:top w:val="nil"/>
              <w:left w:val="nil"/>
              <w:bottom w:val="nil"/>
              <w:right w:val="single" w:sz="4" w:space="0" w:color="auto"/>
            </w:tcBorders>
            <w:shd w:val="clear" w:color="000000" w:fill="FFFFFF"/>
            <w:vAlign w:val="center"/>
            <w:hideMark/>
          </w:tcPr>
          <w:p w14:paraId="075463DC"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+ 291D</w:t>
            </w:r>
          </w:p>
        </w:tc>
        <w:tc>
          <w:tcPr>
            <w:tcW w:w="220" w:type="pct"/>
            <w:tcBorders>
              <w:top w:val="nil"/>
              <w:left w:val="nil"/>
              <w:bottom w:val="nil"/>
              <w:right w:val="single" w:sz="4" w:space="0" w:color="auto"/>
            </w:tcBorders>
            <w:shd w:val="clear" w:color="000000" w:fill="FFFFFF"/>
            <w:vAlign w:val="center"/>
            <w:hideMark/>
          </w:tcPr>
          <w:p w14:paraId="4B87B31B"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+ 300D</w:t>
            </w:r>
          </w:p>
        </w:tc>
        <w:tc>
          <w:tcPr>
            <w:tcW w:w="346" w:type="pct"/>
            <w:tcBorders>
              <w:top w:val="nil"/>
              <w:left w:val="nil"/>
              <w:bottom w:val="nil"/>
              <w:right w:val="single" w:sz="4" w:space="0" w:color="auto"/>
            </w:tcBorders>
            <w:shd w:val="clear" w:color="auto" w:fill="auto"/>
            <w:vAlign w:val="center"/>
            <w:hideMark/>
          </w:tcPr>
          <w:p w14:paraId="2FEEF7E3" w14:textId="44352160"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1. Mosarritja e realizimit të aktivitetit të </w:t>
            </w:r>
            <w:r w:rsidR="006A7C44" w:rsidRPr="00B31292">
              <w:rPr>
                <w:rFonts w:ascii="Garamond" w:eastAsia="Times New Roman" w:hAnsi="Garamond" w:cs="Times New Roman"/>
                <w:color w:val="000000"/>
                <w:sz w:val="10"/>
                <w:szCs w:val="10"/>
              </w:rPr>
              <w:t>s</w:t>
            </w:r>
            <w:r w:rsidRPr="00B31292">
              <w:rPr>
                <w:rFonts w:ascii="Garamond" w:eastAsia="Times New Roman" w:hAnsi="Garamond" w:cs="Times New Roman"/>
                <w:color w:val="000000"/>
                <w:sz w:val="10"/>
                <w:szCs w:val="10"/>
              </w:rPr>
              <w:t xml:space="preserve">tatistikave të ujit, dhe e rritjes së indikatorëve sipas objektivave </w:t>
            </w:r>
            <w:r w:rsidR="00CD213A" w:rsidRPr="00B31292">
              <w:rPr>
                <w:rFonts w:ascii="Garamond" w:eastAsia="Times New Roman" w:hAnsi="Garamond" w:cs="Times New Roman"/>
                <w:color w:val="000000"/>
                <w:sz w:val="10"/>
                <w:szCs w:val="10"/>
              </w:rPr>
              <w:t>për</w:t>
            </w:r>
            <w:r w:rsidRPr="00B31292">
              <w:rPr>
                <w:rFonts w:ascii="Garamond" w:eastAsia="Times New Roman" w:hAnsi="Garamond" w:cs="Times New Roman"/>
                <w:color w:val="000000"/>
                <w:sz w:val="10"/>
                <w:szCs w:val="10"/>
              </w:rPr>
              <w:t xml:space="preserve"> pasoj</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duke sjellë pamundësinë e hartimit t</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bilancit të përgjithshëm vjetor mbi ujërat në territorin e </w:t>
            </w:r>
            <w:r w:rsidR="00CD213A" w:rsidRPr="00B31292">
              <w:rPr>
                <w:rFonts w:ascii="Garamond" w:eastAsia="Times New Roman" w:hAnsi="Garamond" w:cs="Times New Roman"/>
                <w:color w:val="000000"/>
                <w:sz w:val="10"/>
                <w:szCs w:val="10"/>
              </w:rPr>
              <w:t>Shqipërisë</w:t>
            </w:r>
            <w:r w:rsidRPr="00B31292">
              <w:rPr>
                <w:rFonts w:ascii="Garamond" w:eastAsia="Times New Roman" w:hAnsi="Garamond" w:cs="Times New Roman"/>
                <w:color w:val="000000"/>
                <w:sz w:val="10"/>
                <w:szCs w:val="10"/>
              </w:rPr>
              <w:t xml:space="preserve">, si dhe për rrjedhojë </w:t>
            </w:r>
            <w:r w:rsidR="00CD213A" w:rsidRPr="00B31292">
              <w:rPr>
                <w:rFonts w:ascii="Garamond" w:eastAsia="Times New Roman" w:hAnsi="Garamond" w:cs="Times New Roman"/>
                <w:color w:val="000000"/>
                <w:sz w:val="10"/>
                <w:szCs w:val="10"/>
              </w:rPr>
              <w:t>mungesën</w:t>
            </w:r>
            <w:r w:rsidRPr="00B31292">
              <w:rPr>
                <w:rFonts w:ascii="Garamond" w:eastAsia="Times New Roman" w:hAnsi="Garamond" w:cs="Times New Roman"/>
                <w:color w:val="000000"/>
                <w:sz w:val="10"/>
                <w:szCs w:val="10"/>
              </w:rPr>
              <w:t xml:space="preserve"> e kontributit t</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w:t>
            </w:r>
            <w:r w:rsidR="00CD213A" w:rsidRPr="00B31292">
              <w:rPr>
                <w:rFonts w:ascii="Garamond" w:eastAsia="Times New Roman" w:hAnsi="Garamond" w:cs="Times New Roman"/>
                <w:color w:val="000000"/>
                <w:sz w:val="10"/>
                <w:szCs w:val="10"/>
              </w:rPr>
              <w:t>Shqipërisë</w:t>
            </w:r>
            <w:r w:rsidRPr="00B31292">
              <w:rPr>
                <w:rFonts w:ascii="Garamond" w:eastAsia="Times New Roman" w:hAnsi="Garamond" w:cs="Times New Roman"/>
                <w:color w:val="000000"/>
                <w:sz w:val="10"/>
                <w:szCs w:val="10"/>
              </w:rPr>
              <w:t xml:space="preserve"> në hartimin e bilancit global t</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ujërave nga Eurostat -|- 4</w:t>
            </w:r>
            <w:r w:rsidRPr="00B31292">
              <w:rPr>
                <w:rFonts w:ascii="Garamond" w:eastAsia="Times New Roman" w:hAnsi="Garamond" w:cs="Times New Roman"/>
                <w:color w:val="000000"/>
                <w:sz w:val="10"/>
                <w:szCs w:val="10"/>
              </w:rPr>
              <w:br/>
              <w:t xml:space="preserve">2. Avari/dëmtime /shkëputje në </w:t>
            </w:r>
            <w:r w:rsidR="00CD213A" w:rsidRPr="00B31292">
              <w:rPr>
                <w:rFonts w:ascii="Garamond" w:eastAsia="Times New Roman" w:hAnsi="Garamond" w:cs="Times New Roman"/>
                <w:color w:val="000000"/>
                <w:sz w:val="10"/>
                <w:szCs w:val="10"/>
              </w:rPr>
              <w:t>infrastrukturën</w:t>
            </w:r>
            <w:r w:rsidRPr="00B31292">
              <w:rPr>
                <w:rFonts w:ascii="Garamond" w:eastAsia="Times New Roman" w:hAnsi="Garamond" w:cs="Times New Roman"/>
                <w:color w:val="000000"/>
                <w:sz w:val="10"/>
                <w:szCs w:val="10"/>
              </w:rPr>
              <w:t xml:space="preserve"> e IT servera duke sjellë pezullim/vonesa të mbledhjes prodhimit dhe shpërndarjes të statistikave zyrtare -|- 4</w:t>
            </w:r>
          </w:p>
        </w:tc>
        <w:tc>
          <w:tcPr>
            <w:tcW w:w="273" w:type="pct"/>
            <w:tcBorders>
              <w:top w:val="nil"/>
              <w:left w:val="nil"/>
              <w:bottom w:val="nil"/>
              <w:right w:val="single" w:sz="4" w:space="0" w:color="auto"/>
            </w:tcBorders>
            <w:shd w:val="clear" w:color="auto" w:fill="auto"/>
            <w:vAlign w:val="center"/>
            <w:hideMark/>
          </w:tcPr>
          <w:p w14:paraId="7DA89A9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Buxhet shteti</w:t>
            </w:r>
          </w:p>
        </w:tc>
      </w:tr>
      <w:tr w:rsidR="000A2254" w:rsidRPr="00B31292" w14:paraId="3A357697" w14:textId="77777777" w:rsidTr="000A2254">
        <w:trPr>
          <w:trHeight w:val="20"/>
        </w:trPr>
        <w:tc>
          <w:tcPr>
            <w:tcW w:w="215" w:type="pct"/>
            <w:tcBorders>
              <w:top w:val="nil"/>
              <w:left w:val="nil"/>
              <w:bottom w:val="nil"/>
              <w:right w:val="nil"/>
            </w:tcBorders>
            <w:shd w:val="clear" w:color="000000" w:fill="FFFFFF"/>
            <w:vAlign w:val="bottom"/>
            <w:hideMark/>
          </w:tcPr>
          <w:p w14:paraId="3242895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3D9B5D7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0C5C908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5621EBD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6E60FAD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1984916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DCB015A"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4.1.4.2</w:t>
            </w:r>
          </w:p>
        </w:tc>
        <w:tc>
          <w:tcPr>
            <w:tcW w:w="281" w:type="pct"/>
            <w:tcBorders>
              <w:top w:val="single" w:sz="4" w:space="0" w:color="auto"/>
              <w:left w:val="nil"/>
              <w:bottom w:val="single" w:sz="4" w:space="0" w:color="auto"/>
              <w:right w:val="single" w:sz="4" w:space="0" w:color="auto"/>
            </w:tcBorders>
            <w:shd w:val="clear" w:color="000000" w:fill="FFFFFF"/>
            <w:vAlign w:val="center"/>
            <w:hideMark/>
          </w:tcPr>
          <w:p w14:paraId="3FFF8082" w14:textId="4CB3587D"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br/>
              <w:t xml:space="preserve">Vrojtimi i përdorimit të ujit në </w:t>
            </w:r>
            <w:r w:rsidR="006A7C44" w:rsidRPr="00B31292">
              <w:rPr>
                <w:rFonts w:ascii="Garamond" w:eastAsia="Times New Roman" w:hAnsi="Garamond" w:cs="Times New Roman"/>
                <w:sz w:val="10"/>
                <w:szCs w:val="10"/>
              </w:rPr>
              <w:t>i</w:t>
            </w:r>
            <w:r w:rsidRPr="00B31292">
              <w:rPr>
                <w:rFonts w:ascii="Garamond" w:eastAsia="Times New Roman" w:hAnsi="Garamond" w:cs="Times New Roman"/>
                <w:sz w:val="10"/>
                <w:szCs w:val="10"/>
              </w:rPr>
              <w:t>ndustri</w:t>
            </w:r>
          </w:p>
        </w:tc>
        <w:tc>
          <w:tcPr>
            <w:tcW w:w="236" w:type="pct"/>
            <w:tcBorders>
              <w:top w:val="single" w:sz="4" w:space="0" w:color="auto"/>
              <w:left w:val="nil"/>
              <w:bottom w:val="single" w:sz="4" w:space="0" w:color="auto"/>
              <w:right w:val="single" w:sz="4" w:space="0" w:color="auto"/>
            </w:tcBorders>
            <w:shd w:val="clear" w:color="000000" w:fill="FFFFFF"/>
            <w:vAlign w:val="center"/>
            <w:hideMark/>
          </w:tcPr>
          <w:p w14:paraId="47F1D883"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Vrojtim</w:t>
            </w:r>
          </w:p>
        </w:tc>
        <w:tc>
          <w:tcPr>
            <w:tcW w:w="238" w:type="pct"/>
            <w:tcBorders>
              <w:top w:val="single" w:sz="4" w:space="0" w:color="auto"/>
              <w:left w:val="nil"/>
              <w:bottom w:val="single" w:sz="4" w:space="0" w:color="auto"/>
              <w:right w:val="single" w:sz="4" w:space="0" w:color="auto"/>
            </w:tcBorders>
            <w:shd w:val="clear" w:color="000000" w:fill="FFFFFF"/>
            <w:noWrap/>
            <w:vAlign w:val="center"/>
            <w:hideMark/>
          </w:tcPr>
          <w:p w14:paraId="240BF8E7"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180" w:type="pct"/>
            <w:tcBorders>
              <w:top w:val="single" w:sz="4" w:space="0" w:color="auto"/>
              <w:left w:val="nil"/>
              <w:bottom w:val="nil"/>
              <w:right w:val="single" w:sz="4" w:space="0" w:color="auto"/>
            </w:tcBorders>
            <w:shd w:val="clear" w:color="000000" w:fill="FFFFFF"/>
            <w:noWrap/>
            <w:vAlign w:val="center"/>
            <w:hideMark/>
          </w:tcPr>
          <w:p w14:paraId="7A586B30"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228" w:type="pct"/>
            <w:tcBorders>
              <w:top w:val="single" w:sz="4" w:space="0" w:color="auto"/>
              <w:left w:val="nil"/>
              <w:bottom w:val="nil"/>
              <w:right w:val="single" w:sz="4" w:space="0" w:color="auto"/>
            </w:tcBorders>
            <w:shd w:val="clear" w:color="000000" w:fill="FFFFFF"/>
            <w:vAlign w:val="center"/>
            <w:hideMark/>
          </w:tcPr>
          <w:p w14:paraId="2D15164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tcBorders>
              <w:top w:val="single" w:sz="4" w:space="0" w:color="auto"/>
              <w:left w:val="nil"/>
              <w:bottom w:val="single" w:sz="4" w:space="0" w:color="auto"/>
              <w:right w:val="single" w:sz="4" w:space="0" w:color="auto"/>
            </w:tcBorders>
            <w:shd w:val="clear" w:color="000000" w:fill="FFFFFF"/>
            <w:vAlign w:val="center"/>
            <w:hideMark/>
          </w:tcPr>
          <w:p w14:paraId="1D03CBB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Çdo 2 vite</w:t>
            </w:r>
          </w:p>
        </w:tc>
        <w:tc>
          <w:tcPr>
            <w:tcW w:w="486" w:type="pct"/>
            <w:tcBorders>
              <w:top w:val="single" w:sz="4" w:space="0" w:color="auto"/>
              <w:left w:val="nil"/>
              <w:bottom w:val="single" w:sz="4" w:space="0" w:color="auto"/>
              <w:right w:val="single" w:sz="4" w:space="0" w:color="auto"/>
            </w:tcBorders>
            <w:shd w:val="clear" w:color="000000" w:fill="FFFFFF"/>
            <w:vAlign w:val="center"/>
            <w:hideMark/>
          </w:tcPr>
          <w:p w14:paraId="35AA772E" w14:textId="7654B411"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Furnizimi me ujë sipas NACE</w:t>
            </w:r>
            <w:r w:rsidR="006A7C4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 xml:space="preserve">2. Përdorimi </w:t>
            </w:r>
            <w:r w:rsidR="00CD213A" w:rsidRPr="00B31292">
              <w:rPr>
                <w:rFonts w:ascii="Garamond" w:eastAsia="Times New Roman" w:hAnsi="Garamond" w:cs="Times New Roman"/>
                <w:color w:val="000000"/>
                <w:sz w:val="10"/>
                <w:szCs w:val="10"/>
              </w:rPr>
              <w:t>i</w:t>
            </w:r>
            <w:r w:rsidRPr="00B31292">
              <w:rPr>
                <w:rFonts w:ascii="Garamond" w:eastAsia="Times New Roman" w:hAnsi="Garamond" w:cs="Times New Roman"/>
                <w:color w:val="000000"/>
                <w:sz w:val="10"/>
                <w:szCs w:val="10"/>
              </w:rPr>
              <w:t xml:space="preserve"> ujit sipas NACE</w:t>
            </w:r>
            <w:r w:rsidR="006A7C4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3. Shkarkimi ujërave të</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përdorura</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sipas NACE</w:t>
            </w:r>
            <w:r w:rsidR="006A7C4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p>
        </w:tc>
        <w:tc>
          <w:tcPr>
            <w:tcW w:w="299" w:type="pct"/>
            <w:tcBorders>
              <w:top w:val="single" w:sz="4" w:space="0" w:color="auto"/>
              <w:left w:val="nil"/>
              <w:bottom w:val="single" w:sz="4" w:space="0" w:color="auto"/>
              <w:right w:val="single" w:sz="4" w:space="0" w:color="auto"/>
            </w:tcBorders>
            <w:shd w:val="clear" w:color="000000" w:fill="FFFFFF"/>
            <w:vAlign w:val="center"/>
            <w:hideMark/>
          </w:tcPr>
          <w:p w14:paraId="67AB01C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p>
        </w:tc>
        <w:tc>
          <w:tcPr>
            <w:tcW w:w="224" w:type="pct"/>
            <w:tcBorders>
              <w:top w:val="single" w:sz="4" w:space="0" w:color="auto"/>
              <w:left w:val="nil"/>
              <w:bottom w:val="single" w:sz="4" w:space="0" w:color="auto"/>
              <w:right w:val="single" w:sz="4" w:space="0" w:color="auto"/>
            </w:tcBorders>
            <w:shd w:val="clear" w:color="000000" w:fill="FFFFFF"/>
            <w:vAlign w:val="center"/>
            <w:hideMark/>
          </w:tcPr>
          <w:p w14:paraId="267099AC" w14:textId="7B0E5512"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6A7C44" w:rsidRPr="00B31292">
              <w:rPr>
                <w:rFonts w:ascii="Garamond" w:eastAsia="Times New Roman" w:hAnsi="Garamond" w:cs="Times New Roman"/>
                <w:color w:val="000000"/>
                <w:sz w:val="10"/>
                <w:szCs w:val="10"/>
              </w:rPr>
              <w:t>-i</w:t>
            </w:r>
          </w:p>
        </w:tc>
        <w:tc>
          <w:tcPr>
            <w:tcW w:w="244" w:type="pct"/>
            <w:tcBorders>
              <w:top w:val="single" w:sz="4" w:space="0" w:color="auto"/>
              <w:left w:val="nil"/>
              <w:bottom w:val="single" w:sz="4" w:space="0" w:color="auto"/>
              <w:right w:val="single" w:sz="4" w:space="0" w:color="auto"/>
            </w:tcBorders>
            <w:shd w:val="clear" w:color="000000" w:fill="FFFFFF"/>
            <w:vAlign w:val="center"/>
            <w:hideMark/>
          </w:tcPr>
          <w:p w14:paraId="48C4158E"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+ 216 D</w:t>
            </w:r>
          </w:p>
        </w:tc>
        <w:tc>
          <w:tcPr>
            <w:tcW w:w="220" w:type="pct"/>
            <w:tcBorders>
              <w:top w:val="single" w:sz="4" w:space="0" w:color="auto"/>
              <w:left w:val="nil"/>
              <w:bottom w:val="single" w:sz="4" w:space="0" w:color="auto"/>
              <w:right w:val="single" w:sz="4" w:space="0" w:color="auto"/>
            </w:tcBorders>
            <w:shd w:val="clear" w:color="000000" w:fill="FFFFFF"/>
            <w:vAlign w:val="center"/>
            <w:hideMark/>
          </w:tcPr>
          <w:p w14:paraId="257BB9A9"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+ 326 D</w:t>
            </w:r>
          </w:p>
        </w:tc>
        <w:tc>
          <w:tcPr>
            <w:tcW w:w="220" w:type="pct"/>
            <w:tcBorders>
              <w:top w:val="single" w:sz="4" w:space="0" w:color="auto"/>
              <w:left w:val="nil"/>
              <w:bottom w:val="single" w:sz="4" w:space="0" w:color="auto"/>
              <w:right w:val="single" w:sz="4" w:space="0" w:color="auto"/>
            </w:tcBorders>
            <w:shd w:val="clear" w:color="000000" w:fill="FFFFFF"/>
            <w:vAlign w:val="center"/>
            <w:hideMark/>
          </w:tcPr>
          <w:p w14:paraId="168E5067"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Nuk publikohen</w:t>
            </w:r>
          </w:p>
        </w:tc>
        <w:tc>
          <w:tcPr>
            <w:tcW w:w="346" w:type="pct"/>
            <w:tcBorders>
              <w:top w:val="single" w:sz="4" w:space="0" w:color="auto"/>
              <w:left w:val="nil"/>
              <w:bottom w:val="single" w:sz="4" w:space="0" w:color="auto"/>
              <w:right w:val="single" w:sz="4" w:space="0" w:color="auto"/>
            </w:tcBorders>
            <w:shd w:val="clear" w:color="000000" w:fill="FFFFFF"/>
            <w:vAlign w:val="center"/>
            <w:hideMark/>
          </w:tcPr>
          <w:p w14:paraId="6CAF483F" w14:textId="4B9F5AD2"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Ardhja e pyetësorëve me vonesë në INSTAT -| - 4</w:t>
            </w:r>
            <w:r w:rsidRPr="00B31292">
              <w:rPr>
                <w:rFonts w:ascii="Garamond" w:eastAsia="Times New Roman" w:hAnsi="Garamond" w:cs="Times New Roman"/>
                <w:color w:val="000000"/>
                <w:sz w:val="10"/>
                <w:szCs w:val="10"/>
              </w:rPr>
              <w:br/>
              <w:t xml:space="preserve">2. Vonesa dhe gabime të tjera në </w:t>
            </w:r>
            <w:r w:rsidR="00CD213A" w:rsidRPr="00B31292">
              <w:rPr>
                <w:rFonts w:ascii="Garamond" w:eastAsia="Times New Roman" w:hAnsi="Garamond" w:cs="Times New Roman"/>
                <w:color w:val="000000"/>
                <w:sz w:val="10"/>
                <w:szCs w:val="10"/>
              </w:rPr>
              <w:t>procesin</w:t>
            </w:r>
            <w:r w:rsidRPr="00B31292">
              <w:rPr>
                <w:rFonts w:ascii="Garamond" w:eastAsia="Times New Roman" w:hAnsi="Garamond" w:cs="Times New Roman"/>
                <w:color w:val="000000"/>
                <w:sz w:val="10"/>
                <w:szCs w:val="10"/>
              </w:rPr>
              <w:t xml:space="preserve"> e </w:t>
            </w:r>
            <w:r w:rsidR="00CD213A" w:rsidRPr="00B31292">
              <w:rPr>
                <w:rFonts w:ascii="Garamond" w:eastAsia="Times New Roman" w:hAnsi="Garamond" w:cs="Times New Roman"/>
                <w:color w:val="000000"/>
                <w:sz w:val="10"/>
                <w:szCs w:val="10"/>
              </w:rPr>
              <w:t>kontrollit</w:t>
            </w:r>
            <w:r w:rsidRPr="00B31292">
              <w:rPr>
                <w:rFonts w:ascii="Garamond" w:eastAsia="Times New Roman" w:hAnsi="Garamond" w:cs="Times New Roman"/>
                <w:color w:val="000000"/>
                <w:sz w:val="10"/>
                <w:szCs w:val="10"/>
              </w:rPr>
              <w:t xml:space="preserve"> dhe hedhjes së të </w:t>
            </w:r>
            <w:r w:rsidRPr="00B31292">
              <w:rPr>
                <w:rFonts w:ascii="Garamond" w:eastAsia="Times New Roman" w:hAnsi="Garamond" w:cs="Times New Roman"/>
                <w:color w:val="000000"/>
                <w:sz w:val="10"/>
                <w:szCs w:val="10"/>
              </w:rPr>
              <w:lastRenderedPageBreak/>
              <w:t>dhënave -|- 4</w:t>
            </w:r>
            <w:r w:rsidRPr="00B31292">
              <w:rPr>
                <w:rFonts w:ascii="Garamond" w:eastAsia="Times New Roman" w:hAnsi="Garamond" w:cs="Times New Roman"/>
                <w:color w:val="000000"/>
                <w:sz w:val="10"/>
                <w:szCs w:val="10"/>
              </w:rPr>
              <w:br/>
              <w:t xml:space="preserve">3. Mospërmbushja e kritereve të cilësisë (saktësia, përpikmëria dhe krahasueshmëria) në vrojtimin e përdorimit të lëndës drusore në </w:t>
            </w:r>
            <w:r w:rsidR="006A7C44" w:rsidRPr="00B31292">
              <w:rPr>
                <w:rFonts w:ascii="Garamond" w:eastAsia="Times New Roman" w:hAnsi="Garamond" w:cs="Times New Roman"/>
                <w:color w:val="000000"/>
                <w:sz w:val="10"/>
                <w:szCs w:val="10"/>
              </w:rPr>
              <w:t>i</w:t>
            </w:r>
            <w:r w:rsidRPr="00B31292">
              <w:rPr>
                <w:rFonts w:ascii="Garamond" w:eastAsia="Times New Roman" w:hAnsi="Garamond" w:cs="Times New Roman"/>
                <w:color w:val="000000"/>
                <w:sz w:val="10"/>
                <w:szCs w:val="10"/>
              </w:rPr>
              <w:t>ndustri, e cila sjell si pasojë mosshpërndarjen në kohë dhe me cilësi të rezultateve të vrojtimit -|- 5</w:t>
            </w:r>
            <w:r w:rsidRPr="00B31292">
              <w:rPr>
                <w:rFonts w:ascii="Garamond" w:eastAsia="Times New Roman" w:hAnsi="Garamond" w:cs="Times New Roman"/>
                <w:color w:val="000000"/>
                <w:sz w:val="10"/>
                <w:szCs w:val="10"/>
              </w:rPr>
              <w:br/>
              <w:t xml:space="preserve">4. Avari/dëmtime /shkëputje në </w:t>
            </w:r>
            <w:r w:rsidR="00CD213A" w:rsidRPr="00B31292">
              <w:rPr>
                <w:rFonts w:ascii="Garamond" w:eastAsia="Times New Roman" w:hAnsi="Garamond" w:cs="Times New Roman"/>
                <w:color w:val="000000"/>
                <w:sz w:val="10"/>
                <w:szCs w:val="10"/>
              </w:rPr>
              <w:t>infrastrukturën</w:t>
            </w:r>
            <w:r w:rsidRPr="00B31292">
              <w:rPr>
                <w:rFonts w:ascii="Garamond" w:eastAsia="Times New Roman" w:hAnsi="Garamond" w:cs="Times New Roman"/>
                <w:color w:val="000000"/>
                <w:sz w:val="10"/>
                <w:szCs w:val="10"/>
              </w:rPr>
              <w:t xml:space="preserve"> e IT servera duke sjellë pezullim/vonesa të mbledhjes prodhimit dhe shpërndarjes të statistikave zyrtare -|- 4</w:t>
            </w:r>
          </w:p>
        </w:tc>
        <w:tc>
          <w:tcPr>
            <w:tcW w:w="273" w:type="pct"/>
            <w:tcBorders>
              <w:top w:val="nil"/>
              <w:left w:val="nil"/>
              <w:bottom w:val="nil"/>
              <w:right w:val="single" w:sz="4" w:space="0" w:color="auto"/>
            </w:tcBorders>
            <w:shd w:val="clear" w:color="000000" w:fill="FFFFFF"/>
            <w:vAlign w:val="center"/>
            <w:hideMark/>
          </w:tcPr>
          <w:p w14:paraId="1B73880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lastRenderedPageBreak/>
              <w:t>Buxhet shteti</w:t>
            </w:r>
          </w:p>
        </w:tc>
      </w:tr>
      <w:tr w:rsidR="000A2254" w:rsidRPr="00B31292" w14:paraId="4381E0CC" w14:textId="77777777" w:rsidTr="000A2254">
        <w:trPr>
          <w:trHeight w:val="20"/>
        </w:trPr>
        <w:tc>
          <w:tcPr>
            <w:tcW w:w="215" w:type="pct"/>
            <w:tcBorders>
              <w:top w:val="nil"/>
              <w:left w:val="nil"/>
              <w:bottom w:val="nil"/>
              <w:right w:val="nil"/>
            </w:tcBorders>
            <w:shd w:val="clear" w:color="000000" w:fill="FFFFFF"/>
            <w:vAlign w:val="bottom"/>
            <w:hideMark/>
          </w:tcPr>
          <w:p w14:paraId="30134BBC"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6F4D2CB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7EB90B8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1BFCD40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single" w:sz="4" w:space="0" w:color="000000"/>
              <w:left w:val="single" w:sz="4" w:space="0" w:color="000000"/>
              <w:bottom w:val="single" w:sz="4" w:space="0" w:color="000000"/>
              <w:right w:val="nil"/>
            </w:tcBorders>
            <w:shd w:val="clear" w:color="000000" w:fill="F0F0F0"/>
            <w:vAlign w:val="center"/>
            <w:hideMark/>
          </w:tcPr>
          <w:p w14:paraId="4D5DCB42"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4.1.5</w:t>
            </w:r>
          </w:p>
        </w:tc>
        <w:tc>
          <w:tcPr>
            <w:tcW w:w="4082" w:type="pct"/>
            <w:gridSpan w:val="16"/>
            <w:tcBorders>
              <w:top w:val="single" w:sz="4" w:space="0" w:color="auto"/>
              <w:left w:val="single" w:sz="4" w:space="0" w:color="auto"/>
              <w:bottom w:val="single" w:sz="4" w:space="0" w:color="auto"/>
              <w:right w:val="single" w:sz="4" w:space="0" w:color="000000"/>
            </w:tcBorders>
            <w:shd w:val="clear" w:color="000000" w:fill="F0F0F0"/>
            <w:vAlign w:val="center"/>
            <w:hideMark/>
          </w:tcPr>
          <w:p w14:paraId="224B72DA" w14:textId="05C93168"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Statistikat e </w:t>
            </w:r>
            <w:r w:rsidR="006A7C44" w:rsidRPr="00B31292">
              <w:rPr>
                <w:rFonts w:ascii="Garamond" w:eastAsia="Times New Roman" w:hAnsi="Garamond" w:cs="Times New Roman"/>
                <w:color w:val="000000"/>
                <w:sz w:val="10"/>
                <w:szCs w:val="10"/>
              </w:rPr>
              <w:t>q</w:t>
            </w:r>
            <w:r w:rsidRPr="00B31292">
              <w:rPr>
                <w:rFonts w:ascii="Garamond" w:eastAsia="Times New Roman" w:hAnsi="Garamond" w:cs="Times New Roman"/>
                <w:color w:val="000000"/>
                <w:sz w:val="10"/>
                <w:szCs w:val="10"/>
              </w:rPr>
              <w:t>ytetit</w:t>
            </w:r>
          </w:p>
        </w:tc>
      </w:tr>
      <w:tr w:rsidR="000A2254" w:rsidRPr="00B31292" w14:paraId="5881F971" w14:textId="77777777" w:rsidTr="000A2254">
        <w:trPr>
          <w:trHeight w:val="20"/>
        </w:trPr>
        <w:tc>
          <w:tcPr>
            <w:tcW w:w="215" w:type="pct"/>
            <w:tcBorders>
              <w:top w:val="nil"/>
              <w:left w:val="nil"/>
              <w:bottom w:val="nil"/>
              <w:right w:val="nil"/>
            </w:tcBorders>
            <w:shd w:val="clear" w:color="000000" w:fill="FFFFFF"/>
            <w:vAlign w:val="bottom"/>
            <w:hideMark/>
          </w:tcPr>
          <w:p w14:paraId="6899D68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70C748B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283D684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56D53C1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4D6EF3D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348DE68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000000"/>
              <w:bottom w:val="nil"/>
              <w:right w:val="single" w:sz="4" w:space="0" w:color="000000"/>
            </w:tcBorders>
            <w:shd w:val="clear" w:color="auto" w:fill="auto"/>
            <w:vAlign w:val="center"/>
            <w:hideMark/>
          </w:tcPr>
          <w:p w14:paraId="42D2D929"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4.1.5.1</w:t>
            </w:r>
          </w:p>
        </w:tc>
        <w:tc>
          <w:tcPr>
            <w:tcW w:w="281" w:type="pct"/>
            <w:tcBorders>
              <w:top w:val="nil"/>
              <w:left w:val="nil"/>
              <w:bottom w:val="nil"/>
              <w:right w:val="single" w:sz="4" w:space="0" w:color="000000"/>
            </w:tcBorders>
            <w:shd w:val="clear" w:color="auto" w:fill="auto"/>
            <w:vAlign w:val="center"/>
            <w:hideMark/>
          </w:tcPr>
          <w:p w14:paraId="2DE1D23D"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Statistikat mbi cilësinë e ajrit, zhurmat dhe mbi automjetet sipas vjetërsisë në përdorim</w:t>
            </w:r>
          </w:p>
        </w:tc>
        <w:tc>
          <w:tcPr>
            <w:tcW w:w="236" w:type="pct"/>
            <w:tcBorders>
              <w:top w:val="nil"/>
              <w:left w:val="nil"/>
              <w:bottom w:val="nil"/>
              <w:right w:val="single" w:sz="4" w:space="0" w:color="000000"/>
            </w:tcBorders>
            <w:shd w:val="clear" w:color="auto" w:fill="auto"/>
            <w:vAlign w:val="center"/>
            <w:hideMark/>
          </w:tcPr>
          <w:p w14:paraId="4B4B278E"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Burim administrativ</w:t>
            </w:r>
          </w:p>
        </w:tc>
        <w:tc>
          <w:tcPr>
            <w:tcW w:w="238" w:type="pct"/>
            <w:tcBorders>
              <w:top w:val="nil"/>
              <w:left w:val="nil"/>
              <w:bottom w:val="single" w:sz="4" w:space="0" w:color="auto"/>
              <w:right w:val="single" w:sz="4" w:space="0" w:color="auto"/>
            </w:tcBorders>
            <w:shd w:val="clear" w:color="auto" w:fill="auto"/>
            <w:noWrap/>
            <w:vAlign w:val="center"/>
            <w:hideMark/>
          </w:tcPr>
          <w:p w14:paraId="1D3951AC"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180" w:type="pct"/>
            <w:tcBorders>
              <w:top w:val="nil"/>
              <w:left w:val="nil"/>
              <w:bottom w:val="single" w:sz="4" w:space="0" w:color="auto"/>
              <w:right w:val="single" w:sz="4" w:space="0" w:color="auto"/>
            </w:tcBorders>
            <w:shd w:val="clear" w:color="auto" w:fill="auto"/>
            <w:noWrap/>
            <w:vAlign w:val="center"/>
            <w:hideMark/>
          </w:tcPr>
          <w:p w14:paraId="3AFEFA38"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28" w:type="pct"/>
            <w:tcBorders>
              <w:top w:val="nil"/>
              <w:left w:val="nil"/>
              <w:bottom w:val="single" w:sz="4" w:space="0" w:color="auto"/>
              <w:right w:val="single" w:sz="4" w:space="0" w:color="auto"/>
            </w:tcBorders>
            <w:shd w:val="clear" w:color="auto" w:fill="auto"/>
            <w:vAlign w:val="center"/>
            <w:hideMark/>
          </w:tcPr>
          <w:p w14:paraId="62D1FBC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tcBorders>
              <w:top w:val="nil"/>
              <w:left w:val="nil"/>
              <w:bottom w:val="nil"/>
              <w:right w:val="nil"/>
            </w:tcBorders>
            <w:shd w:val="clear" w:color="auto" w:fill="auto"/>
            <w:vAlign w:val="center"/>
            <w:hideMark/>
          </w:tcPr>
          <w:p w14:paraId="2CB5CFED"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Vjetor</w:t>
            </w:r>
          </w:p>
        </w:tc>
        <w:tc>
          <w:tcPr>
            <w:tcW w:w="486" w:type="pct"/>
            <w:tcBorders>
              <w:top w:val="nil"/>
              <w:left w:val="single" w:sz="4" w:space="0" w:color="auto"/>
              <w:bottom w:val="nil"/>
              <w:right w:val="single" w:sz="4" w:space="0" w:color="auto"/>
            </w:tcBorders>
            <w:shd w:val="clear" w:color="auto" w:fill="auto"/>
            <w:vAlign w:val="center"/>
            <w:hideMark/>
          </w:tcPr>
          <w:p w14:paraId="55F67284" w14:textId="22A92655"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Cilësia e ajrit në qytetet kryesore të Shqipërisë</w:t>
            </w:r>
            <w:r w:rsidR="006A7C4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2. Niveli i ndotjes akustike në </w:t>
            </w:r>
            <w:r w:rsidR="002C1D56" w:rsidRPr="00B31292">
              <w:rPr>
                <w:rFonts w:ascii="Garamond" w:eastAsia="Times New Roman" w:hAnsi="Garamond" w:cs="Times New Roman"/>
                <w:color w:val="000000"/>
                <w:sz w:val="10"/>
                <w:szCs w:val="10"/>
              </w:rPr>
              <w:t>ambientet</w:t>
            </w:r>
            <w:r w:rsidRPr="00B31292">
              <w:rPr>
                <w:rFonts w:ascii="Garamond" w:eastAsia="Times New Roman" w:hAnsi="Garamond" w:cs="Times New Roman"/>
                <w:color w:val="000000"/>
                <w:sz w:val="10"/>
                <w:szCs w:val="10"/>
              </w:rPr>
              <w:t xml:space="preserve"> publike sipas kohës dhe intensitetit të zhurmave</w:t>
            </w:r>
            <w:r w:rsidR="006A7C4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 Statistikat mbi mjetet e transportit rrugor sipas vjetërsisë në përdorim</w:t>
            </w:r>
            <w:r w:rsidR="006A7C4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4. Automjetet rrugore në përdorim sipas burimeve energjetike që përdorin</w:t>
            </w:r>
            <w:r w:rsidR="006A7C44" w:rsidRPr="00B31292">
              <w:rPr>
                <w:rFonts w:ascii="Garamond" w:eastAsia="Times New Roman" w:hAnsi="Garamond" w:cs="Times New Roman"/>
                <w:color w:val="000000"/>
                <w:sz w:val="10"/>
                <w:szCs w:val="10"/>
              </w:rPr>
              <w:t>.</w:t>
            </w:r>
          </w:p>
        </w:tc>
        <w:tc>
          <w:tcPr>
            <w:tcW w:w="299" w:type="pct"/>
            <w:tcBorders>
              <w:top w:val="nil"/>
              <w:left w:val="nil"/>
              <w:bottom w:val="nil"/>
              <w:right w:val="single" w:sz="4" w:space="0" w:color="auto"/>
            </w:tcBorders>
            <w:shd w:val="clear" w:color="auto" w:fill="auto"/>
            <w:vAlign w:val="center"/>
            <w:hideMark/>
          </w:tcPr>
          <w:p w14:paraId="6A940D5D" w14:textId="2D7E679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Ministria e Infrastrukturës dhe Energjisë</w:t>
            </w:r>
            <w:r w:rsidR="006A7C4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Ministria e Turizmit dhe Mjedisit</w:t>
            </w:r>
            <w:r w:rsidR="006A7C4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Agjencia Kombëtare e Mjedisit</w:t>
            </w:r>
          </w:p>
        </w:tc>
        <w:tc>
          <w:tcPr>
            <w:tcW w:w="224" w:type="pct"/>
            <w:tcBorders>
              <w:top w:val="nil"/>
              <w:left w:val="nil"/>
              <w:bottom w:val="nil"/>
              <w:right w:val="single" w:sz="4" w:space="0" w:color="auto"/>
            </w:tcBorders>
            <w:shd w:val="clear" w:color="auto" w:fill="auto"/>
            <w:vAlign w:val="center"/>
            <w:hideMark/>
          </w:tcPr>
          <w:p w14:paraId="4CD199B4" w14:textId="1EF4E964"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6A7C44" w:rsidRPr="00B31292">
              <w:rPr>
                <w:rFonts w:ascii="Garamond" w:eastAsia="Times New Roman" w:hAnsi="Garamond" w:cs="Times New Roman"/>
                <w:color w:val="000000"/>
                <w:sz w:val="10"/>
                <w:szCs w:val="10"/>
              </w:rPr>
              <w:t>-i</w:t>
            </w:r>
          </w:p>
        </w:tc>
        <w:tc>
          <w:tcPr>
            <w:tcW w:w="244" w:type="pct"/>
            <w:tcBorders>
              <w:top w:val="nil"/>
              <w:left w:val="nil"/>
              <w:bottom w:val="single" w:sz="4" w:space="0" w:color="auto"/>
              <w:right w:val="single" w:sz="4" w:space="0" w:color="auto"/>
            </w:tcBorders>
            <w:shd w:val="clear" w:color="000000" w:fill="FFFFFF"/>
            <w:vAlign w:val="center"/>
            <w:hideMark/>
          </w:tcPr>
          <w:p w14:paraId="20025DF7"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+ 152D</w:t>
            </w:r>
          </w:p>
        </w:tc>
        <w:tc>
          <w:tcPr>
            <w:tcW w:w="220" w:type="pct"/>
            <w:tcBorders>
              <w:top w:val="nil"/>
              <w:left w:val="nil"/>
              <w:bottom w:val="single" w:sz="4" w:space="0" w:color="auto"/>
              <w:right w:val="single" w:sz="4" w:space="0" w:color="auto"/>
            </w:tcBorders>
            <w:shd w:val="clear" w:color="000000" w:fill="FFFFFF"/>
            <w:vAlign w:val="center"/>
            <w:hideMark/>
          </w:tcPr>
          <w:p w14:paraId="15DBA2D3"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+ 292D</w:t>
            </w:r>
          </w:p>
        </w:tc>
        <w:tc>
          <w:tcPr>
            <w:tcW w:w="220" w:type="pct"/>
            <w:tcBorders>
              <w:top w:val="nil"/>
              <w:left w:val="nil"/>
              <w:bottom w:val="single" w:sz="4" w:space="0" w:color="auto"/>
              <w:right w:val="single" w:sz="4" w:space="0" w:color="auto"/>
            </w:tcBorders>
            <w:shd w:val="clear" w:color="000000" w:fill="FFFFFF"/>
            <w:vAlign w:val="center"/>
            <w:hideMark/>
          </w:tcPr>
          <w:p w14:paraId="2602472E"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+ 302D</w:t>
            </w:r>
          </w:p>
        </w:tc>
        <w:tc>
          <w:tcPr>
            <w:tcW w:w="346" w:type="pct"/>
            <w:tcBorders>
              <w:top w:val="nil"/>
              <w:left w:val="nil"/>
              <w:bottom w:val="nil"/>
              <w:right w:val="single" w:sz="4" w:space="0" w:color="auto"/>
            </w:tcBorders>
            <w:shd w:val="clear" w:color="auto" w:fill="auto"/>
            <w:vAlign w:val="center"/>
            <w:hideMark/>
          </w:tcPr>
          <w:p w14:paraId="407170F9" w14:textId="37064269"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1. Mosmbledhja e të dhënave administrative </w:t>
            </w:r>
            <w:r w:rsidR="00CD213A" w:rsidRPr="00B31292">
              <w:rPr>
                <w:rFonts w:ascii="Garamond" w:eastAsia="Times New Roman" w:hAnsi="Garamond" w:cs="Times New Roman"/>
                <w:color w:val="000000"/>
                <w:sz w:val="10"/>
                <w:szCs w:val="10"/>
              </w:rPr>
              <w:t>për</w:t>
            </w:r>
            <w:r w:rsidRPr="00B31292">
              <w:rPr>
                <w:rFonts w:ascii="Garamond" w:eastAsia="Times New Roman" w:hAnsi="Garamond" w:cs="Times New Roman"/>
                <w:color w:val="000000"/>
                <w:sz w:val="10"/>
                <w:szCs w:val="10"/>
              </w:rPr>
              <w:t xml:space="preserve"> mjedisin nga Ministria e Turizmit dhe Mjedisit dhe agjen</w:t>
            </w:r>
            <w:r w:rsidR="00CD213A" w:rsidRPr="00B31292">
              <w:rPr>
                <w:rFonts w:ascii="Garamond" w:eastAsia="Times New Roman" w:hAnsi="Garamond" w:cs="Times New Roman"/>
                <w:color w:val="000000"/>
                <w:sz w:val="10"/>
                <w:szCs w:val="10"/>
              </w:rPr>
              <w:t>c</w:t>
            </w:r>
            <w:r w:rsidRPr="00B31292">
              <w:rPr>
                <w:rFonts w:ascii="Garamond" w:eastAsia="Times New Roman" w:hAnsi="Garamond" w:cs="Times New Roman"/>
                <w:color w:val="000000"/>
                <w:sz w:val="10"/>
                <w:szCs w:val="10"/>
              </w:rPr>
              <w:t>ive t</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tyre, mund të sjellë vonesa dhe pasaktësi në publikimin e disa treguesve administrativ lidhur me cilësinë e ajrit dhe klimën kryesisht -|- 4</w:t>
            </w:r>
          </w:p>
        </w:tc>
        <w:tc>
          <w:tcPr>
            <w:tcW w:w="273" w:type="pct"/>
            <w:tcBorders>
              <w:top w:val="nil"/>
              <w:left w:val="nil"/>
              <w:bottom w:val="nil"/>
              <w:right w:val="single" w:sz="4" w:space="0" w:color="auto"/>
            </w:tcBorders>
            <w:shd w:val="clear" w:color="auto" w:fill="auto"/>
            <w:vAlign w:val="center"/>
            <w:hideMark/>
          </w:tcPr>
          <w:p w14:paraId="5B07E25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Buxhet shteti</w:t>
            </w:r>
          </w:p>
        </w:tc>
      </w:tr>
      <w:tr w:rsidR="000A2254" w:rsidRPr="00B31292" w14:paraId="03B1A47C" w14:textId="77777777" w:rsidTr="000A2254">
        <w:trPr>
          <w:trHeight w:val="20"/>
        </w:trPr>
        <w:tc>
          <w:tcPr>
            <w:tcW w:w="215" w:type="pct"/>
            <w:tcBorders>
              <w:top w:val="nil"/>
              <w:left w:val="nil"/>
              <w:bottom w:val="nil"/>
              <w:right w:val="nil"/>
            </w:tcBorders>
            <w:shd w:val="clear" w:color="000000" w:fill="FFFFFF"/>
            <w:vAlign w:val="bottom"/>
            <w:hideMark/>
          </w:tcPr>
          <w:p w14:paraId="0D4B50D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1D6964C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6F4C1F3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5656D45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single" w:sz="4" w:space="0" w:color="000000"/>
              <w:left w:val="single" w:sz="4" w:space="0" w:color="000000"/>
              <w:bottom w:val="single" w:sz="4" w:space="0" w:color="000000"/>
              <w:right w:val="nil"/>
            </w:tcBorders>
            <w:shd w:val="clear" w:color="000000" w:fill="F0F0F0"/>
            <w:vAlign w:val="center"/>
            <w:hideMark/>
          </w:tcPr>
          <w:p w14:paraId="5C1D6A45"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4.1.6</w:t>
            </w:r>
          </w:p>
        </w:tc>
        <w:tc>
          <w:tcPr>
            <w:tcW w:w="4082" w:type="pct"/>
            <w:gridSpan w:val="16"/>
            <w:tcBorders>
              <w:top w:val="single" w:sz="4" w:space="0" w:color="auto"/>
              <w:left w:val="single" w:sz="4" w:space="0" w:color="auto"/>
              <w:bottom w:val="single" w:sz="4" w:space="0" w:color="auto"/>
              <w:right w:val="single" w:sz="4" w:space="0" w:color="auto"/>
            </w:tcBorders>
            <w:shd w:val="clear" w:color="000000" w:fill="F0F0F0"/>
            <w:vAlign w:val="center"/>
            <w:hideMark/>
          </w:tcPr>
          <w:p w14:paraId="6F82B048" w14:textId="3C81DBCE"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Statistikat e </w:t>
            </w:r>
            <w:r w:rsidR="006A7C44" w:rsidRPr="00B31292">
              <w:rPr>
                <w:rFonts w:ascii="Garamond" w:eastAsia="Times New Roman" w:hAnsi="Garamond" w:cs="Times New Roman"/>
                <w:color w:val="000000"/>
                <w:sz w:val="10"/>
                <w:szCs w:val="10"/>
              </w:rPr>
              <w:t>b</w:t>
            </w:r>
            <w:r w:rsidRPr="00B31292">
              <w:rPr>
                <w:rFonts w:ascii="Garamond" w:eastAsia="Times New Roman" w:hAnsi="Garamond" w:cs="Times New Roman"/>
                <w:color w:val="000000"/>
                <w:sz w:val="10"/>
                <w:szCs w:val="10"/>
              </w:rPr>
              <w:t>iodiversitetit</w:t>
            </w:r>
          </w:p>
        </w:tc>
      </w:tr>
      <w:tr w:rsidR="000A2254" w:rsidRPr="00B31292" w14:paraId="1703E00A" w14:textId="77777777" w:rsidTr="000A2254">
        <w:trPr>
          <w:trHeight w:val="20"/>
        </w:trPr>
        <w:tc>
          <w:tcPr>
            <w:tcW w:w="215" w:type="pct"/>
            <w:tcBorders>
              <w:top w:val="nil"/>
              <w:left w:val="nil"/>
              <w:bottom w:val="nil"/>
              <w:right w:val="nil"/>
            </w:tcBorders>
            <w:shd w:val="clear" w:color="000000" w:fill="FFFFFF"/>
            <w:vAlign w:val="bottom"/>
            <w:hideMark/>
          </w:tcPr>
          <w:p w14:paraId="50FFD2E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014BE2E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574CAE1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33BF204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46459E5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77D7DD3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000000"/>
              <w:bottom w:val="nil"/>
              <w:right w:val="single" w:sz="4" w:space="0" w:color="000000"/>
            </w:tcBorders>
            <w:shd w:val="clear" w:color="auto" w:fill="auto"/>
            <w:vAlign w:val="center"/>
            <w:hideMark/>
          </w:tcPr>
          <w:p w14:paraId="2F4FA6D5"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4.1.6.1</w:t>
            </w:r>
          </w:p>
        </w:tc>
        <w:tc>
          <w:tcPr>
            <w:tcW w:w="281" w:type="pct"/>
            <w:tcBorders>
              <w:top w:val="nil"/>
              <w:left w:val="nil"/>
              <w:bottom w:val="nil"/>
              <w:right w:val="single" w:sz="4" w:space="0" w:color="000000"/>
            </w:tcBorders>
            <w:shd w:val="clear" w:color="auto" w:fill="auto"/>
            <w:vAlign w:val="center"/>
            <w:hideMark/>
          </w:tcPr>
          <w:p w14:paraId="1DC0176B" w14:textId="60206AC4"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xml:space="preserve">Statistikat e </w:t>
            </w:r>
            <w:r w:rsidR="006A7C44" w:rsidRPr="00B31292">
              <w:rPr>
                <w:rFonts w:ascii="Garamond" w:eastAsia="Times New Roman" w:hAnsi="Garamond" w:cs="Times New Roman"/>
                <w:sz w:val="10"/>
                <w:szCs w:val="10"/>
              </w:rPr>
              <w:t>b</w:t>
            </w:r>
            <w:r w:rsidRPr="00B31292">
              <w:rPr>
                <w:rFonts w:ascii="Garamond" w:eastAsia="Times New Roman" w:hAnsi="Garamond" w:cs="Times New Roman"/>
                <w:sz w:val="10"/>
                <w:szCs w:val="10"/>
              </w:rPr>
              <w:t>iodiversitetit</w:t>
            </w:r>
          </w:p>
        </w:tc>
        <w:tc>
          <w:tcPr>
            <w:tcW w:w="236" w:type="pct"/>
            <w:tcBorders>
              <w:top w:val="nil"/>
              <w:left w:val="nil"/>
              <w:bottom w:val="nil"/>
              <w:right w:val="single" w:sz="4" w:space="0" w:color="000000"/>
            </w:tcBorders>
            <w:shd w:val="clear" w:color="auto" w:fill="auto"/>
            <w:vAlign w:val="center"/>
            <w:hideMark/>
          </w:tcPr>
          <w:p w14:paraId="6D4F15C5"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Burim administrativ</w:t>
            </w:r>
          </w:p>
        </w:tc>
        <w:tc>
          <w:tcPr>
            <w:tcW w:w="238" w:type="pct"/>
            <w:tcBorders>
              <w:top w:val="nil"/>
              <w:left w:val="nil"/>
              <w:bottom w:val="single" w:sz="4" w:space="0" w:color="auto"/>
              <w:right w:val="single" w:sz="4" w:space="0" w:color="auto"/>
            </w:tcBorders>
            <w:shd w:val="clear" w:color="auto" w:fill="auto"/>
            <w:noWrap/>
            <w:vAlign w:val="center"/>
            <w:hideMark/>
          </w:tcPr>
          <w:p w14:paraId="0E0325B9"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100%</w:t>
            </w:r>
          </w:p>
        </w:tc>
        <w:tc>
          <w:tcPr>
            <w:tcW w:w="180" w:type="pct"/>
            <w:tcBorders>
              <w:top w:val="nil"/>
              <w:left w:val="nil"/>
              <w:bottom w:val="single" w:sz="4" w:space="0" w:color="auto"/>
              <w:right w:val="single" w:sz="4" w:space="0" w:color="auto"/>
            </w:tcBorders>
            <w:shd w:val="clear" w:color="auto" w:fill="auto"/>
            <w:noWrap/>
            <w:vAlign w:val="center"/>
            <w:hideMark/>
          </w:tcPr>
          <w:p w14:paraId="29CAE720"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28" w:type="pct"/>
            <w:tcBorders>
              <w:top w:val="nil"/>
              <w:left w:val="nil"/>
              <w:bottom w:val="single" w:sz="4" w:space="0" w:color="auto"/>
              <w:right w:val="single" w:sz="4" w:space="0" w:color="auto"/>
            </w:tcBorders>
            <w:shd w:val="clear" w:color="auto" w:fill="auto"/>
            <w:vAlign w:val="center"/>
            <w:hideMark/>
          </w:tcPr>
          <w:p w14:paraId="681183F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tcBorders>
              <w:top w:val="nil"/>
              <w:left w:val="nil"/>
              <w:bottom w:val="nil"/>
              <w:right w:val="single" w:sz="4" w:space="0" w:color="000000"/>
            </w:tcBorders>
            <w:shd w:val="clear" w:color="auto" w:fill="auto"/>
            <w:vAlign w:val="center"/>
            <w:hideMark/>
          </w:tcPr>
          <w:p w14:paraId="02FFEC8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Vjetor</w:t>
            </w:r>
          </w:p>
        </w:tc>
        <w:tc>
          <w:tcPr>
            <w:tcW w:w="486" w:type="pct"/>
            <w:tcBorders>
              <w:top w:val="nil"/>
              <w:left w:val="nil"/>
              <w:bottom w:val="nil"/>
              <w:right w:val="single" w:sz="4" w:space="0" w:color="auto"/>
            </w:tcBorders>
            <w:shd w:val="clear" w:color="auto" w:fill="auto"/>
            <w:vAlign w:val="center"/>
            <w:hideMark/>
          </w:tcPr>
          <w:p w14:paraId="2F20C191" w14:textId="417B0F2F"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Rrjeti i zonave të mbrojtura n</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w:t>
            </w:r>
            <w:r w:rsidR="002C1D56" w:rsidRPr="00B31292">
              <w:rPr>
                <w:rFonts w:ascii="Garamond" w:eastAsia="Times New Roman" w:hAnsi="Garamond" w:cs="Times New Roman"/>
                <w:color w:val="000000"/>
                <w:sz w:val="10"/>
                <w:szCs w:val="10"/>
              </w:rPr>
              <w:t>Shqipëri</w:t>
            </w:r>
            <w:r w:rsidR="006A7C4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 Llojet e faunës së egër në Shqipëri</w:t>
            </w:r>
            <w:r w:rsidR="006A7C4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3. Statusi kombëtar i ruajtjes së shpendëve</w:t>
            </w:r>
            <w:r w:rsidR="006A7C4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4. Lista e florës dhe faunës së egër sipas statusit të </w:t>
            </w:r>
            <w:r w:rsidR="002C1D56" w:rsidRPr="00B31292">
              <w:rPr>
                <w:rFonts w:ascii="Garamond" w:eastAsia="Times New Roman" w:hAnsi="Garamond" w:cs="Times New Roman"/>
                <w:color w:val="000000"/>
                <w:sz w:val="10"/>
                <w:szCs w:val="10"/>
              </w:rPr>
              <w:t>kërcënimit</w:t>
            </w:r>
            <w:r w:rsidR="006A7C4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5. Llojet e faunës së egër objekt gjuetie në Shqipëri</w:t>
            </w:r>
            <w:r w:rsidR="006A7C44" w:rsidRPr="00B31292">
              <w:rPr>
                <w:rFonts w:ascii="Garamond" w:eastAsia="Times New Roman" w:hAnsi="Garamond" w:cs="Times New Roman"/>
                <w:color w:val="000000"/>
                <w:sz w:val="10"/>
                <w:szCs w:val="10"/>
              </w:rPr>
              <w:t>.</w:t>
            </w:r>
          </w:p>
        </w:tc>
        <w:tc>
          <w:tcPr>
            <w:tcW w:w="299" w:type="pct"/>
            <w:tcBorders>
              <w:top w:val="nil"/>
              <w:left w:val="nil"/>
              <w:bottom w:val="nil"/>
              <w:right w:val="nil"/>
            </w:tcBorders>
            <w:shd w:val="clear" w:color="auto" w:fill="auto"/>
            <w:vAlign w:val="center"/>
            <w:hideMark/>
          </w:tcPr>
          <w:p w14:paraId="16AEB411" w14:textId="5A2CFB18"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Ministria e Turizmit dhe Mjedisit</w:t>
            </w:r>
            <w:r w:rsidR="006A7C4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Agjencia Kombëtare e Mjedisit</w:t>
            </w:r>
            <w:r w:rsidR="006A7C4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Agjencia Kombëtare e Zonave të Mbrojtura</w:t>
            </w:r>
          </w:p>
        </w:tc>
        <w:tc>
          <w:tcPr>
            <w:tcW w:w="224" w:type="pct"/>
            <w:tcBorders>
              <w:top w:val="nil"/>
              <w:left w:val="single" w:sz="4" w:space="0" w:color="auto"/>
              <w:bottom w:val="single" w:sz="4" w:space="0" w:color="auto"/>
              <w:right w:val="single" w:sz="4" w:space="0" w:color="auto"/>
            </w:tcBorders>
            <w:shd w:val="clear" w:color="auto" w:fill="auto"/>
            <w:vAlign w:val="center"/>
            <w:hideMark/>
          </w:tcPr>
          <w:p w14:paraId="473EB93B" w14:textId="27BC073A"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6A7C44" w:rsidRPr="00B31292">
              <w:rPr>
                <w:rFonts w:ascii="Garamond" w:eastAsia="Times New Roman" w:hAnsi="Garamond" w:cs="Times New Roman"/>
                <w:color w:val="000000"/>
                <w:sz w:val="10"/>
                <w:szCs w:val="10"/>
              </w:rPr>
              <w:t>-i</w:t>
            </w:r>
          </w:p>
        </w:tc>
        <w:tc>
          <w:tcPr>
            <w:tcW w:w="244" w:type="pct"/>
            <w:tcBorders>
              <w:top w:val="nil"/>
              <w:left w:val="nil"/>
              <w:bottom w:val="single" w:sz="4" w:space="0" w:color="auto"/>
              <w:right w:val="single" w:sz="4" w:space="0" w:color="auto"/>
            </w:tcBorders>
            <w:shd w:val="clear" w:color="000000" w:fill="FFFFFF"/>
            <w:vAlign w:val="center"/>
            <w:hideMark/>
          </w:tcPr>
          <w:p w14:paraId="4C54EA18"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+ 151D</w:t>
            </w:r>
          </w:p>
        </w:tc>
        <w:tc>
          <w:tcPr>
            <w:tcW w:w="220" w:type="pct"/>
            <w:tcBorders>
              <w:top w:val="nil"/>
              <w:left w:val="nil"/>
              <w:bottom w:val="single" w:sz="4" w:space="0" w:color="auto"/>
              <w:right w:val="single" w:sz="4" w:space="0" w:color="auto"/>
            </w:tcBorders>
            <w:shd w:val="clear" w:color="000000" w:fill="FFFFFF"/>
            <w:vAlign w:val="center"/>
            <w:hideMark/>
          </w:tcPr>
          <w:p w14:paraId="70A57681"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+ 244D</w:t>
            </w:r>
          </w:p>
        </w:tc>
        <w:tc>
          <w:tcPr>
            <w:tcW w:w="220" w:type="pct"/>
            <w:tcBorders>
              <w:top w:val="nil"/>
              <w:left w:val="nil"/>
              <w:bottom w:val="single" w:sz="4" w:space="0" w:color="auto"/>
              <w:right w:val="single" w:sz="4" w:space="0" w:color="auto"/>
            </w:tcBorders>
            <w:shd w:val="clear" w:color="000000" w:fill="FFFFFF"/>
            <w:vAlign w:val="center"/>
            <w:hideMark/>
          </w:tcPr>
          <w:p w14:paraId="16C02043"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+ 251D</w:t>
            </w:r>
          </w:p>
        </w:tc>
        <w:tc>
          <w:tcPr>
            <w:tcW w:w="346" w:type="pct"/>
            <w:tcBorders>
              <w:top w:val="nil"/>
              <w:left w:val="nil"/>
              <w:bottom w:val="single" w:sz="4" w:space="0" w:color="auto"/>
              <w:right w:val="single" w:sz="4" w:space="0" w:color="auto"/>
            </w:tcBorders>
            <w:shd w:val="clear" w:color="auto" w:fill="auto"/>
            <w:vAlign w:val="center"/>
            <w:hideMark/>
          </w:tcPr>
          <w:p w14:paraId="63A2654E" w14:textId="1AF2DC33"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Mosmarrja e të dhënave administrative nga Agjencia Kombëtare e Pyjeve dhe Ministria e Turizmit dhe Mjedisit për pyjet</w:t>
            </w:r>
            <w:r w:rsidR="004D4EF5"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kullotat dhe biodiversitetin, si pasojë e riorganizimit të sistemit administrativ që mbulon fushën përkatëse duke sjell pamundësi t</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realizimit t</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treguesve që lidhen kryesisht me kadastrën pyjore -|- 4</w:t>
            </w:r>
          </w:p>
        </w:tc>
        <w:tc>
          <w:tcPr>
            <w:tcW w:w="273" w:type="pct"/>
            <w:tcBorders>
              <w:top w:val="nil"/>
              <w:left w:val="nil"/>
              <w:bottom w:val="single" w:sz="4" w:space="0" w:color="auto"/>
              <w:right w:val="single" w:sz="4" w:space="0" w:color="auto"/>
            </w:tcBorders>
            <w:shd w:val="clear" w:color="auto" w:fill="auto"/>
            <w:vAlign w:val="center"/>
            <w:hideMark/>
          </w:tcPr>
          <w:p w14:paraId="68155FA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Buxhet shteti</w:t>
            </w:r>
          </w:p>
        </w:tc>
      </w:tr>
      <w:tr w:rsidR="000A2254" w:rsidRPr="00B31292" w14:paraId="54D4EAEF" w14:textId="77777777" w:rsidTr="000A2254">
        <w:trPr>
          <w:trHeight w:val="20"/>
        </w:trPr>
        <w:tc>
          <w:tcPr>
            <w:tcW w:w="215" w:type="pct"/>
            <w:tcBorders>
              <w:top w:val="nil"/>
              <w:left w:val="nil"/>
              <w:bottom w:val="nil"/>
              <w:right w:val="nil"/>
            </w:tcBorders>
            <w:shd w:val="clear" w:color="000000" w:fill="FFFFFF"/>
            <w:vAlign w:val="bottom"/>
            <w:hideMark/>
          </w:tcPr>
          <w:p w14:paraId="0AB6ACF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1D161E3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single" w:sz="4" w:space="0" w:color="000000"/>
              <w:left w:val="single" w:sz="4" w:space="0" w:color="000000"/>
              <w:bottom w:val="single" w:sz="4" w:space="0" w:color="000000"/>
              <w:right w:val="nil"/>
            </w:tcBorders>
            <w:shd w:val="clear" w:color="000000" w:fill="F0F0F0"/>
            <w:vAlign w:val="center"/>
            <w:hideMark/>
          </w:tcPr>
          <w:p w14:paraId="74926E22"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4.2</w:t>
            </w:r>
          </w:p>
        </w:tc>
        <w:tc>
          <w:tcPr>
            <w:tcW w:w="4416" w:type="pct"/>
            <w:gridSpan w:val="18"/>
            <w:tcBorders>
              <w:top w:val="single" w:sz="4" w:space="0" w:color="auto"/>
              <w:left w:val="single" w:sz="4" w:space="0" w:color="auto"/>
              <w:bottom w:val="single" w:sz="4" w:space="0" w:color="auto"/>
              <w:right w:val="single" w:sz="4" w:space="0" w:color="auto"/>
            </w:tcBorders>
            <w:shd w:val="clear" w:color="000000" w:fill="F0F0F0"/>
            <w:vAlign w:val="center"/>
            <w:hideMark/>
          </w:tcPr>
          <w:p w14:paraId="3098111A" w14:textId="77777777" w:rsidR="000A2254" w:rsidRPr="00B31292" w:rsidRDefault="000A2254" w:rsidP="000A2254">
            <w:pPr>
              <w:spacing w:after="0" w:line="240" w:lineRule="auto"/>
              <w:rPr>
                <w:rFonts w:ascii="Garamond" w:eastAsia="Times New Roman" w:hAnsi="Garamond" w:cs="Calibri"/>
                <w:color w:val="000000"/>
                <w:sz w:val="10"/>
                <w:szCs w:val="10"/>
              </w:rPr>
            </w:pPr>
            <w:r w:rsidRPr="00B31292">
              <w:rPr>
                <w:rFonts w:ascii="Garamond" w:eastAsia="Times New Roman" w:hAnsi="Garamond" w:cs="Calibri"/>
                <w:color w:val="000000"/>
                <w:sz w:val="10"/>
                <w:szCs w:val="10"/>
              </w:rPr>
              <w:t>Informacioni statistikor rajonal dhe gjeohapësinor</w:t>
            </w:r>
          </w:p>
        </w:tc>
      </w:tr>
      <w:tr w:rsidR="000A2254" w:rsidRPr="00B31292" w14:paraId="12B7EDC8" w14:textId="77777777" w:rsidTr="000A2254">
        <w:trPr>
          <w:trHeight w:val="20"/>
        </w:trPr>
        <w:tc>
          <w:tcPr>
            <w:tcW w:w="215" w:type="pct"/>
            <w:tcBorders>
              <w:top w:val="nil"/>
              <w:left w:val="nil"/>
              <w:bottom w:val="nil"/>
              <w:right w:val="nil"/>
            </w:tcBorders>
            <w:shd w:val="clear" w:color="000000" w:fill="FFFFFF"/>
            <w:vAlign w:val="bottom"/>
            <w:hideMark/>
          </w:tcPr>
          <w:p w14:paraId="0745C08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19F7852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47BC3D6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1B8B70A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single" w:sz="4" w:space="0" w:color="auto"/>
              <w:bottom w:val="single" w:sz="4" w:space="0" w:color="auto"/>
              <w:right w:val="single" w:sz="4" w:space="0" w:color="auto"/>
            </w:tcBorders>
            <w:shd w:val="clear" w:color="000000" w:fill="F0F0F0"/>
            <w:vAlign w:val="center"/>
            <w:hideMark/>
          </w:tcPr>
          <w:p w14:paraId="4F6D9C45"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4.2.1</w:t>
            </w:r>
          </w:p>
        </w:tc>
        <w:tc>
          <w:tcPr>
            <w:tcW w:w="4082" w:type="pct"/>
            <w:gridSpan w:val="16"/>
            <w:tcBorders>
              <w:top w:val="single" w:sz="4" w:space="0" w:color="auto"/>
              <w:left w:val="nil"/>
              <w:bottom w:val="single" w:sz="4" w:space="0" w:color="auto"/>
              <w:right w:val="single" w:sz="4" w:space="0" w:color="auto"/>
            </w:tcBorders>
            <w:shd w:val="clear" w:color="000000" w:fill="F0F0F0"/>
            <w:vAlign w:val="center"/>
            <w:hideMark/>
          </w:tcPr>
          <w:p w14:paraId="3B10E898" w14:textId="799DC55F"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Sistemi i Informacionit Gjeografik (GIS) për qëllime </w:t>
            </w:r>
            <w:r w:rsidR="006A7C44" w:rsidRPr="00B31292">
              <w:rPr>
                <w:rFonts w:ascii="Garamond" w:eastAsia="Times New Roman" w:hAnsi="Garamond" w:cs="Times New Roman"/>
                <w:color w:val="000000"/>
                <w:sz w:val="10"/>
                <w:szCs w:val="10"/>
              </w:rPr>
              <w:t>s</w:t>
            </w:r>
            <w:r w:rsidRPr="00B31292">
              <w:rPr>
                <w:rFonts w:ascii="Garamond" w:eastAsia="Times New Roman" w:hAnsi="Garamond" w:cs="Times New Roman"/>
                <w:color w:val="000000"/>
                <w:sz w:val="10"/>
                <w:szCs w:val="10"/>
              </w:rPr>
              <w:t>tatistikore</w:t>
            </w:r>
          </w:p>
        </w:tc>
      </w:tr>
      <w:tr w:rsidR="000A2254" w:rsidRPr="00B31292" w14:paraId="370129AE" w14:textId="77777777" w:rsidTr="000A2254">
        <w:trPr>
          <w:trHeight w:val="20"/>
        </w:trPr>
        <w:tc>
          <w:tcPr>
            <w:tcW w:w="215" w:type="pct"/>
            <w:tcBorders>
              <w:top w:val="nil"/>
              <w:left w:val="nil"/>
              <w:bottom w:val="nil"/>
              <w:right w:val="nil"/>
            </w:tcBorders>
            <w:shd w:val="clear" w:color="000000" w:fill="FFFFFF"/>
            <w:vAlign w:val="bottom"/>
            <w:hideMark/>
          </w:tcPr>
          <w:p w14:paraId="3529CDF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1FCFABC4"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7CFD3DA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1A339D3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4922332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4011042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000000"/>
              <w:bottom w:val="single" w:sz="4" w:space="0" w:color="000000"/>
              <w:right w:val="single" w:sz="4" w:space="0" w:color="000000"/>
            </w:tcBorders>
            <w:shd w:val="clear" w:color="auto" w:fill="auto"/>
            <w:vAlign w:val="center"/>
            <w:hideMark/>
          </w:tcPr>
          <w:p w14:paraId="67DA4E92"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4.2.1.1</w:t>
            </w:r>
          </w:p>
        </w:tc>
        <w:tc>
          <w:tcPr>
            <w:tcW w:w="281" w:type="pct"/>
            <w:tcBorders>
              <w:top w:val="nil"/>
              <w:left w:val="nil"/>
              <w:bottom w:val="single" w:sz="4" w:space="0" w:color="000000"/>
              <w:right w:val="single" w:sz="4" w:space="0" w:color="000000"/>
            </w:tcBorders>
            <w:shd w:val="clear" w:color="auto" w:fill="auto"/>
            <w:vAlign w:val="center"/>
            <w:hideMark/>
          </w:tcPr>
          <w:p w14:paraId="3D052C87"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Sistemi i Informacionit Gjeografik (GIS) për qëllime Statistikore</w:t>
            </w:r>
          </w:p>
        </w:tc>
        <w:tc>
          <w:tcPr>
            <w:tcW w:w="236" w:type="pct"/>
            <w:tcBorders>
              <w:top w:val="nil"/>
              <w:left w:val="nil"/>
              <w:bottom w:val="single" w:sz="4" w:space="0" w:color="000000"/>
              <w:right w:val="single" w:sz="4" w:space="0" w:color="000000"/>
            </w:tcBorders>
            <w:shd w:val="clear" w:color="auto" w:fill="auto"/>
            <w:vAlign w:val="center"/>
            <w:hideMark/>
          </w:tcPr>
          <w:p w14:paraId="0A8A09B1"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Tjetër</w:t>
            </w:r>
          </w:p>
        </w:tc>
        <w:tc>
          <w:tcPr>
            <w:tcW w:w="238" w:type="pct"/>
            <w:tcBorders>
              <w:top w:val="nil"/>
              <w:left w:val="nil"/>
              <w:bottom w:val="single" w:sz="4" w:space="0" w:color="auto"/>
              <w:right w:val="single" w:sz="4" w:space="0" w:color="auto"/>
            </w:tcBorders>
            <w:shd w:val="clear" w:color="auto" w:fill="auto"/>
            <w:vAlign w:val="center"/>
            <w:hideMark/>
          </w:tcPr>
          <w:p w14:paraId="6CA28C30"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180" w:type="pct"/>
            <w:tcBorders>
              <w:top w:val="nil"/>
              <w:left w:val="nil"/>
              <w:bottom w:val="single" w:sz="4" w:space="0" w:color="auto"/>
              <w:right w:val="single" w:sz="8" w:space="0" w:color="auto"/>
            </w:tcBorders>
            <w:shd w:val="clear" w:color="auto" w:fill="auto"/>
            <w:vAlign w:val="center"/>
            <w:hideMark/>
          </w:tcPr>
          <w:p w14:paraId="32E8F2D1"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28" w:type="pct"/>
            <w:tcBorders>
              <w:top w:val="nil"/>
              <w:left w:val="single" w:sz="4" w:space="0" w:color="auto"/>
              <w:bottom w:val="single" w:sz="4" w:space="0" w:color="auto"/>
              <w:right w:val="single" w:sz="4" w:space="0" w:color="auto"/>
            </w:tcBorders>
            <w:shd w:val="clear" w:color="auto" w:fill="auto"/>
            <w:vAlign w:val="center"/>
            <w:hideMark/>
          </w:tcPr>
          <w:p w14:paraId="2DB80CA0"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I vazhdueshëm</w:t>
            </w:r>
          </w:p>
        </w:tc>
        <w:tc>
          <w:tcPr>
            <w:tcW w:w="222" w:type="pct"/>
            <w:tcBorders>
              <w:top w:val="nil"/>
              <w:left w:val="nil"/>
              <w:bottom w:val="single" w:sz="4" w:space="0" w:color="000000"/>
              <w:right w:val="nil"/>
            </w:tcBorders>
            <w:shd w:val="clear" w:color="auto" w:fill="auto"/>
            <w:vAlign w:val="center"/>
            <w:hideMark/>
          </w:tcPr>
          <w:p w14:paraId="08C921A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Tjetër</w:t>
            </w:r>
          </w:p>
        </w:tc>
        <w:tc>
          <w:tcPr>
            <w:tcW w:w="486" w:type="pct"/>
            <w:tcBorders>
              <w:top w:val="nil"/>
              <w:left w:val="single" w:sz="4" w:space="0" w:color="auto"/>
              <w:bottom w:val="single" w:sz="4" w:space="0" w:color="auto"/>
              <w:right w:val="single" w:sz="4" w:space="0" w:color="auto"/>
            </w:tcBorders>
            <w:shd w:val="clear" w:color="auto" w:fill="auto"/>
            <w:vAlign w:val="center"/>
            <w:hideMark/>
          </w:tcPr>
          <w:p w14:paraId="271CE11B" w14:textId="73FEFFEB"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Përditësimi i të dhënave gjeohapësinore me informacionin e ardhur nga Censi i Popullsisë dhe Banesave</w:t>
            </w:r>
            <w:r w:rsidR="006A7C4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 Integrimi i të dhënave gjeohapësinore me të dhënat statistikore</w:t>
            </w:r>
            <w:r w:rsidR="006A7C4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3. Publikimi i rezultateve të </w:t>
            </w:r>
            <w:r w:rsidRPr="00B31292">
              <w:rPr>
                <w:rFonts w:ascii="Garamond" w:eastAsia="Times New Roman" w:hAnsi="Garamond" w:cs="Times New Roman"/>
                <w:color w:val="000000"/>
                <w:sz w:val="10"/>
                <w:szCs w:val="10"/>
              </w:rPr>
              <w:lastRenderedPageBreak/>
              <w:t>Censit nëpërmjet hartave tematike</w:t>
            </w:r>
            <w:r w:rsidR="006A7C4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4. Përmirësimi i gjeoportalit të INSTAT</w:t>
            </w:r>
            <w:r w:rsidR="00A0665A" w:rsidRPr="00B31292">
              <w:rPr>
                <w:rFonts w:ascii="Garamond" w:eastAsia="Times New Roman" w:hAnsi="Garamond" w:cs="Times New Roman"/>
                <w:color w:val="000000"/>
                <w:sz w:val="10"/>
                <w:szCs w:val="10"/>
              </w:rPr>
              <w:t>-it</w:t>
            </w:r>
            <w:r w:rsidRPr="00B31292">
              <w:rPr>
                <w:rFonts w:ascii="Garamond" w:eastAsia="Times New Roman" w:hAnsi="Garamond" w:cs="Times New Roman"/>
                <w:color w:val="000000"/>
                <w:sz w:val="10"/>
                <w:szCs w:val="10"/>
              </w:rPr>
              <w:t xml:space="preserve"> dhe pasurimi me indikatorë të tjerë socio-ekonomikë</w:t>
            </w:r>
            <w:r w:rsidR="006A7C44" w:rsidRPr="00B31292">
              <w:rPr>
                <w:rFonts w:ascii="Garamond" w:eastAsia="Times New Roman" w:hAnsi="Garamond" w:cs="Times New Roman"/>
                <w:color w:val="000000"/>
                <w:sz w:val="10"/>
                <w:szCs w:val="10"/>
              </w:rPr>
              <w:t>.</w:t>
            </w:r>
          </w:p>
        </w:tc>
        <w:tc>
          <w:tcPr>
            <w:tcW w:w="299" w:type="pct"/>
            <w:tcBorders>
              <w:top w:val="nil"/>
              <w:left w:val="nil"/>
              <w:bottom w:val="single" w:sz="4" w:space="0" w:color="auto"/>
              <w:right w:val="single" w:sz="4" w:space="0" w:color="auto"/>
            </w:tcBorders>
            <w:shd w:val="clear" w:color="auto" w:fill="auto"/>
            <w:vAlign w:val="center"/>
            <w:hideMark/>
          </w:tcPr>
          <w:p w14:paraId="19F48FB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lastRenderedPageBreak/>
              <w:t>Instituti i Statistikave</w:t>
            </w:r>
          </w:p>
        </w:tc>
        <w:tc>
          <w:tcPr>
            <w:tcW w:w="224" w:type="pct"/>
            <w:tcBorders>
              <w:top w:val="nil"/>
              <w:left w:val="nil"/>
              <w:bottom w:val="single" w:sz="4" w:space="0" w:color="auto"/>
              <w:right w:val="single" w:sz="4" w:space="0" w:color="auto"/>
            </w:tcBorders>
            <w:shd w:val="clear" w:color="auto" w:fill="auto"/>
            <w:vAlign w:val="center"/>
            <w:hideMark/>
          </w:tcPr>
          <w:p w14:paraId="56394CB2" w14:textId="2D6A8BE4"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6A7C44" w:rsidRPr="00B31292">
              <w:rPr>
                <w:rFonts w:ascii="Garamond" w:eastAsia="Times New Roman" w:hAnsi="Garamond" w:cs="Times New Roman"/>
                <w:color w:val="000000"/>
                <w:sz w:val="10"/>
                <w:szCs w:val="10"/>
              </w:rPr>
              <w:t>-i</w:t>
            </w:r>
          </w:p>
        </w:tc>
        <w:tc>
          <w:tcPr>
            <w:tcW w:w="244" w:type="pct"/>
            <w:tcBorders>
              <w:top w:val="nil"/>
              <w:left w:val="nil"/>
              <w:bottom w:val="single" w:sz="4" w:space="0" w:color="auto"/>
              <w:right w:val="single" w:sz="4" w:space="0" w:color="auto"/>
            </w:tcBorders>
            <w:shd w:val="clear" w:color="000000" w:fill="FFFFFF"/>
            <w:vAlign w:val="center"/>
            <w:hideMark/>
          </w:tcPr>
          <w:p w14:paraId="6F4028DF"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V+ 364D</w:t>
            </w:r>
          </w:p>
        </w:tc>
        <w:tc>
          <w:tcPr>
            <w:tcW w:w="220" w:type="pct"/>
            <w:tcBorders>
              <w:top w:val="nil"/>
              <w:left w:val="nil"/>
              <w:bottom w:val="single" w:sz="4" w:space="0" w:color="auto"/>
              <w:right w:val="single" w:sz="4" w:space="0" w:color="auto"/>
            </w:tcBorders>
            <w:shd w:val="clear" w:color="000000" w:fill="FFFFFF"/>
            <w:vAlign w:val="center"/>
            <w:hideMark/>
          </w:tcPr>
          <w:p w14:paraId="0B6CD58C"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 V+ 546D</w:t>
            </w:r>
          </w:p>
        </w:tc>
        <w:tc>
          <w:tcPr>
            <w:tcW w:w="220" w:type="pct"/>
            <w:tcBorders>
              <w:top w:val="nil"/>
              <w:left w:val="nil"/>
              <w:bottom w:val="single" w:sz="4" w:space="0" w:color="auto"/>
              <w:right w:val="single" w:sz="4" w:space="0" w:color="auto"/>
            </w:tcBorders>
            <w:shd w:val="clear" w:color="000000" w:fill="FFFFFF"/>
            <w:vAlign w:val="center"/>
            <w:hideMark/>
          </w:tcPr>
          <w:p w14:paraId="694909F0"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 V+ 548D</w:t>
            </w:r>
          </w:p>
        </w:tc>
        <w:tc>
          <w:tcPr>
            <w:tcW w:w="346" w:type="pct"/>
            <w:tcBorders>
              <w:top w:val="nil"/>
              <w:left w:val="nil"/>
              <w:bottom w:val="single" w:sz="4" w:space="0" w:color="auto"/>
              <w:right w:val="single" w:sz="4" w:space="0" w:color="auto"/>
            </w:tcBorders>
            <w:shd w:val="clear" w:color="auto" w:fill="auto"/>
            <w:vAlign w:val="center"/>
            <w:hideMark/>
          </w:tcPr>
          <w:p w14:paraId="320F313A"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Mungesa e burimeve financiare dhe asistencës teknike në kohë. -|- 4</w:t>
            </w:r>
            <w:r w:rsidRPr="00B31292">
              <w:rPr>
                <w:rFonts w:ascii="Garamond" w:eastAsia="Times New Roman" w:hAnsi="Garamond" w:cs="Times New Roman"/>
                <w:color w:val="000000"/>
                <w:sz w:val="10"/>
                <w:szCs w:val="10"/>
              </w:rPr>
              <w:br/>
              <w:t>Cilësia e të dhënave të mbledhura në terren. -|- 4</w:t>
            </w:r>
          </w:p>
        </w:tc>
        <w:tc>
          <w:tcPr>
            <w:tcW w:w="273" w:type="pct"/>
            <w:tcBorders>
              <w:top w:val="nil"/>
              <w:left w:val="nil"/>
              <w:bottom w:val="single" w:sz="4" w:space="0" w:color="auto"/>
              <w:right w:val="single" w:sz="4" w:space="0" w:color="auto"/>
            </w:tcBorders>
            <w:shd w:val="clear" w:color="auto" w:fill="auto"/>
            <w:vAlign w:val="center"/>
            <w:hideMark/>
          </w:tcPr>
          <w:p w14:paraId="0BE04D4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Buxhet shteti</w:t>
            </w:r>
          </w:p>
        </w:tc>
      </w:tr>
      <w:tr w:rsidR="000A2254" w:rsidRPr="00B31292" w14:paraId="4F386723" w14:textId="77777777" w:rsidTr="000A2254">
        <w:trPr>
          <w:trHeight w:val="20"/>
        </w:trPr>
        <w:tc>
          <w:tcPr>
            <w:tcW w:w="215" w:type="pct"/>
            <w:tcBorders>
              <w:top w:val="nil"/>
              <w:left w:val="nil"/>
              <w:bottom w:val="nil"/>
              <w:right w:val="nil"/>
            </w:tcBorders>
            <w:shd w:val="clear" w:color="000000" w:fill="FFFFFF"/>
            <w:vAlign w:val="bottom"/>
            <w:hideMark/>
          </w:tcPr>
          <w:p w14:paraId="42A8DB57"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62F37E5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32435C8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5D4156F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2EB3581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31465F7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000000"/>
              <w:bottom w:val="single" w:sz="4" w:space="0" w:color="000000"/>
              <w:right w:val="single" w:sz="4" w:space="0" w:color="000000"/>
            </w:tcBorders>
            <w:shd w:val="clear" w:color="auto" w:fill="auto"/>
            <w:vAlign w:val="center"/>
            <w:hideMark/>
          </w:tcPr>
          <w:p w14:paraId="73C82EAA"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4.2.1.2</w:t>
            </w:r>
          </w:p>
        </w:tc>
        <w:tc>
          <w:tcPr>
            <w:tcW w:w="281" w:type="pct"/>
            <w:tcBorders>
              <w:top w:val="nil"/>
              <w:left w:val="nil"/>
              <w:bottom w:val="single" w:sz="4" w:space="0" w:color="000000"/>
              <w:right w:val="single" w:sz="4" w:space="0" w:color="000000"/>
            </w:tcBorders>
            <w:shd w:val="clear" w:color="auto" w:fill="auto"/>
            <w:vAlign w:val="center"/>
            <w:hideMark/>
          </w:tcPr>
          <w:p w14:paraId="61B32DEF" w14:textId="6B8A9464"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xml:space="preserve">Ndërtimi i </w:t>
            </w:r>
            <w:r w:rsidR="006A7C44" w:rsidRPr="00B31292">
              <w:rPr>
                <w:rFonts w:ascii="Garamond" w:eastAsia="Times New Roman" w:hAnsi="Garamond" w:cs="Times New Roman"/>
                <w:sz w:val="10"/>
                <w:szCs w:val="10"/>
              </w:rPr>
              <w:t>r</w:t>
            </w:r>
            <w:r w:rsidRPr="00B31292">
              <w:rPr>
                <w:rFonts w:ascii="Garamond" w:eastAsia="Times New Roman" w:hAnsi="Garamond" w:cs="Times New Roman"/>
                <w:sz w:val="10"/>
                <w:szCs w:val="10"/>
              </w:rPr>
              <w:t>egjistrit statistikor të ndërtesave dhe banesave të Shqipërisë</w:t>
            </w:r>
          </w:p>
        </w:tc>
        <w:tc>
          <w:tcPr>
            <w:tcW w:w="236" w:type="pct"/>
            <w:tcBorders>
              <w:top w:val="nil"/>
              <w:left w:val="nil"/>
              <w:bottom w:val="single" w:sz="4" w:space="0" w:color="000000"/>
              <w:right w:val="single" w:sz="4" w:space="0" w:color="000000"/>
            </w:tcBorders>
            <w:shd w:val="clear" w:color="auto" w:fill="auto"/>
            <w:vAlign w:val="center"/>
            <w:hideMark/>
          </w:tcPr>
          <w:p w14:paraId="31F62588"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Tjetër</w:t>
            </w:r>
          </w:p>
        </w:tc>
        <w:tc>
          <w:tcPr>
            <w:tcW w:w="238" w:type="pct"/>
            <w:tcBorders>
              <w:top w:val="nil"/>
              <w:left w:val="nil"/>
              <w:bottom w:val="single" w:sz="4" w:space="0" w:color="auto"/>
              <w:right w:val="single" w:sz="4" w:space="0" w:color="auto"/>
            </w:tcBorders>
            <w:shd w:val="clear" w:color="auto" w:fill="auto"/>
            <w:vAlign w:val="center"/>
            <w:hideMark/>
          </w:tcPr>
          <w:p w14:paraId="4B0AA7F9"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180" w:type="pct"/>
            <w:tcBorders>
              <w:top w:val="nil"/>
              <w:left w:val="nil"/>
              <w:bottom w:val="single" w:sz="4" w:space="0" w:color="auto"/>
              <w:right w:val="single" w:sz="8" w:space="0" w:color="auto"/>
            </w:tcBorders>
            <w:shd w:val="clear" w:color="auto" w:fill="auto"/>
            <w:vAlign w:val="center"/>
            <w:hideMark/>
          </w:tcPr>
          <w:p w14:paraId="72DAE5ED"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28" w:type="pct"/>
            <w:tcBorders>
              <w:top w:val="nil"/>
              <w:left w:val="single" w:sz="4" w:space="0" w:color="auto"/>
              <w:bottom w:val="single" w:sz="4" w:space="0" w:color="auto"/>
              <w:right w:val="single" w:sz="4" w:space="0" w:color="auto"/>
            </w:tcBorders>
            <w:shd w:val="clear" w:color="auto" w:fill="auto"/>
            <w:vAlign w:val="center"/>
            <w:hideMark/>
          </w:tcPr>
          <w:p w14:paraId="52B3B992"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I vazhdueshëm</w:t>
            </w:r>
          </w:p>
        </w:tc>
        <w:tc>
          <w:tcPr>
            <w:tcW w:w="222" w:type="pct"/>
            <w:tcBorders>
              <w:top w:val="nil"/>
              <w:left w:val="nil"/>
              <w:bottom w:val="single" w:sz="4" w:space="0" w:color="000000"/>
              <w:right w:val="nil"/>
            </w:tcBorders>
            <w:shd w:val="clear" w:color="auto" w:fill="auto"/>
            <w:vAlign w:val="center"/>
            <w:hideMark/>
          </w:tcPr>
          <w:p w14:paraId="53E2F54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Tjetër</w:t>
            </w:r>
          </w:p>
        </w:tc>
        <w:tc>
          <w:tcPr>
            <w:tcW w:w="486" w:type="pct"/>
            <w:tcBorders>
              <w:top w:val="nil"/>
              <w:left w:val="single" w:sz="4" w:space="0" w:color="auto"/>
              <w:bottom w:val="single" w:sz="4" w:space="0" w:color="auto"/>
              <w:right w:val="single" w:sz="4" w:space="0" w:color="auto"/>
            </w:tcBorders>
            <w:shd w:val="clear" w:color="auto" w:fill="auto"/>
            <w:vAlign w:val="center"/>
            <w:hideMark/>
          </w:tcPr>
          <w:p w14:paraId="5A8D2E16" w14:textId="752DDBFA" w:rsidR="006A7C4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Ndërtimi i infrastrukturës TI të Regjistrit Statistikor të Ndërtesave dhe Banesave</w:t>
            </w:r>
            <w:r w:rsidR="006A7C4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2. Ndërtimi i databazës së Regjistrit Statistikor të Ndërtesave dhe Banesave</w:t>
            </w:r>
            <w:r w:rsidR="006A7C44" w:rsidRPr="00B31292">
              <w:rPr>
                <w:rFonts w:ascii="Garamond" w:eastAsia="Times New Roman" w:hAnsi="Garamond" w:cs="Times New Roman"/>
                <w:color w:val="000000"/>
                <w:sz w:val="10"/>
                <w:szCs w:val="10"/>
              </w:rPr>
              <w:t>.</w:t>
            </w:r>
            <w:r w:rsidR="002E2911" w:rsidRPr="00B31292">
              <w:rPr>
                <w:rFonts w:ascii="Garamond" w:eastAsia="Times New Roman" w:hAnsi="Garamond" w:cs="Times New Roman"/>
                <w:color w:val="000000"/>
                <w:sz w:val="10"/>
                <w:szCs w:val="10"/>
              </w:rPr>
              <w:t xml:space="preserve"> </w:t>
            </w:r>
          </w:p>
          <w:p w14:paraId="44E85319" w14:textId="3B9A3BE5"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3. Formalizimi i bashkëpunimit me institucionet që do të kontribuojnë në përditësimin e RSNB</w:t>
            </w:r>
            <w:r w:rsidR="006A7C44" w:rsidRPr="00B31292">
              <w:rPr>
                <w:rFonts w:ascii="Garamond" w:eastAsia="Times New Roman" w:hAnsi="Garamond" w:cs="Times New Roman"/>
                <w:color w:val="000000"/>
                <w:sz w:val="10"/>
                <w:szCs w:val="10"/>
              </w:rPr>
              <w:t>.</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4. Përditësimi i databazës së Regjistrit Statistikor të Ndërtesave dhe Banesave me të dhëna nga institucionet e tjera që disponojnë informacion mbi ndërtesat dhe banesat</w:t>
            </w:r>
            <w:r w:rsidR="006A7C44" w:rsidRPr="00B31292">
              <w:rPr>
                <w:rFonts w:ascii="Garamond" w:eastAsia="Times New Roman" w:hAnsi="Garamond" w:cs="Times New Roman"/>
                <w:color w:val="000000"/>
                <w:sz w:val="10"/>
                <w:szCs w:val="10"/>
              </w:rPr>
              <w:t>.</w:t>
            </w:r>
          </w:p>
        </w:tc>
        <w:tc>
          <w:tcPr>
            <w:tcW w:w="299" w:type="pct"/>
            <w:tcBorders>
              <w:top w:val="nil"/>
              <w:left w:val="nil"/>
              <w:bottom w:val="single" w:sz="4" w:space="0" w:color="auto"/>
              <w:right w:val="single" w:sz="4" w:space="0" w:color="auto"/>
            </w:tcBorders>
            <w:shd w:val="clear" w:color="auto" w:fill="auto"/>
            <w:vAlign w:val="center"/>
            <w:hideMark/>
          </w:tcPr>
          <w:p w14:paraId="1FC8C9AA" w14:textId="21BC7CCA"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Instituti i Statistikave</w:t>
            </w:r>
            <w:r w:rsidR="006A7C4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Ministria e Brendshme</w:t>
            </w:r>
            <w:r w:rsidR="006A7C4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 xml:space="preserve">Autoriteti </w:t>
            </w:r>
            <w:r w:rsidR="006A7C44" w:rsidRPr="00B31292">
              <w:rPr>
                <w:rFonts w:ascii="Garamond" w:eastAsia="Times New Roman" w:hAnsi="Garamond" w:cs="Times New Roman"/>
                <w:color w:val="000000"/>
                <w:sz w:val="10"/>
                <w:szCs w:val="10"/>
              </w:rPr>
              <w:t>i</w:t>
            </w:r>
            <w:r w:rsidRPr="00B31292">
              <w:rPr>
                <w:rFonts w:ascii="Garamond" w:eastAsia="Times New Roman" w:hAnsi="Garamond" w:cs="Times New Roman"/>
                <w:color w:val="000000"/>
                <w:sz w:val="10"/>
                <w:szCs w:val="10"/>
              </w:rPr>
              <w:t xml:space="preserve"> Zhvillimit të Territorit</w:t>
            </w:r>
            <w:r w:rsidR="006A7C4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br/>
              <w:t>Agjencia Shtetërore e Kadastrës</w:t>
            </w:r>
            <w:r w:rsidRPr="00B31292">
              <w:rPr>
                <w:rFonts w:ascii="Garamond" w:eastAsia="Times New Roman" w:hAnsi="Garamond" w:cs="Times New Roman"/>
                <w:color w:val="000000"/>
                <w:sz w:val="10"/>
                <w:szCs w:val="10"/>
              </w:rPr>
              <w:br/>
              <w:t>Bashkitë</w:t>
            </w:r>
          </w:p>
        </w:tc>
        <w:tc>
          <w:tcPr>
            <w:tcW w:w="224" w:type="pct"/>
            <w:tcBorders>
              <w:top w:val="nil"/>
              <w:left w:val="nil"/>
              <w:bottom w:val="single" w:sz="4" w:space="0" w:color="auto"/>
              <w:right w:val="single" w:sz="4" w:space="0" w:color="auto"/>
            </w:tcBorders>
            <w:shd w:val="clear" w:color="auto" w:fill="auto"/>
            <w:vAlign w:val="center"/>
            <w:hideMark/>
          </w:tcPr>
          <w:p w14:paraId="74ED4197" w14:textId="289C0934"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6A7C44" w:rsidRPr="00B31292">
              <w:rPr>
                <w:rFonts w:ascii="Garamond" w:eastAsia="Times New Roman" w:hAnsi="Garamond" w:cs="Times New Roman"/>
                <w:color w:val="000000"/>
                <w:sz w:val="10"/>
                <w:szCs w:val="10"/>
              </w:rPr>
              <w:t>-i</w:t>
            </w:r>
          </w:p>
        </w:tc>
        <w:tc>
          <w:tcPr>
            <w:tcW w:w="244" w:type="pct"/>
            <w:tcBorders>
              <w:top w:val="nil"/>
              <w:left w:val="nil"/>
              <w:bottom w:val="single" w:sz="4" w:space="0" w:color="auto"/>
              <w:right w:val="single" w:sz="4" w:space="0" w:color="auto"/>
            </w:tcBorders>
            <w:shd w:val="clear" w:color="000000" w:fill="FFFFFF"/>
            <w:vAlign w:val="center"/>
            <w:hideMark/>
          </w:tcPr>
          <w:p w14:paraId="4CFA3EF5"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 V+ 364D</w:t>
            </w:r>
          </w:p>
        </w:tc>
        <w:tc>
          <w:tcPr>
            <w:tcW w:w="220" w:type="pct"/>
            <w:tcBorders>
              <w:top w:val="nil"/>
              <w:left w:val="nil"/>
              <w:bottom w:val="single" w:sz="4" w:space="0" w:color="auto"/>
              <w:right w:val="single" w:sz="4" w:space="0" w:color="auto"/>
            </w:tcBorders>
            <w:shd w:val="clear" w:color="000000" w:fill="FFFFFF"/>
            <w:vAlign w:val="center"/>
            <w:hideMark/>
          </w:tcPr>
          <w:p w14:paraId="374E15A5"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 V+ 364D</w:t>
            </w:r>
          </w:p>
        </w:tc>
        <w:tc>
          <w:tcPr>
            <w:tcW w:w="220" w:type="pct"/>
            <w:tcBorders>
              <w:top w:val="nil"/>
              <w:left w:val="nil"/>
              <w:bottom w:val="single" w:sz="4" w:space="0" w:color="auto"/>
              <w:right w:val="single" w:sz="4" w:space="0" w:color="auto"/>
            </w:tcBorders>
            <w:shd w:val="clear" w:color="000000" w:fill="FFFFFF"/>
            <w:vAlign w:val="center"/>
            <w:hideMark/>
          </w:tcPr>
          <w:p w14:paraId="49A13036"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V + 1462D</w:t>
            </w:r>
          </w:p>
        </w:tc>
        <w:tc>
          <w:tcPr>
            <w:tcW w:w="346" w:type="pct"/>
            <w:tcBorders>
              <w:top w:val="nil"/>
              <w:left w:val="nil"/>
              <w:bottom w:val="single" w:sz="4" w:space="0" w:color="auto"/>
              <w:right w:val="single" w:sz="4" w:space="0" w:color="auto"/>
            </w:tcBorders>
            <w:shd w:val="clear" w:color="auto" w:fill="auto"/>
            <w:vAlign w:val="center"/>
            <w:hideMark/>
          </w:tcPr>
          <w:p w14:paraId="47C35638" w14:textId="396CB52F"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Mosmarrja e të dhënave administrative për krahasueshm</w:t>
            </w:r>
            <w:r w:rsidR="00A0665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rinë me të dhënat statistikore -|- 4</w:t>
            </w:r>
          </w:p>
        </w:tc>
        <w:tc>
          <w:tcPr>
            <w:tcW w:w="273" w:type="pct"/>
            <w:tcBorders>
              <w:top w:val="nil"/>
              <w:left w:val="nil"/>
              <w:bottom w:val="single" w:sz="4" w:space="0" w:color="auto"/>
              <w:right w:val="single" w:sz="4" w:space="0" w:color="auto"/>
            </w:tcBorders>
            <w:shd w:val="clear" w:color="auto" w:fill="auto"/>
            <w:vAlign w:val="center"/>
            <w:hideMark/>
          </w:tcPr>
          <w:p w14:paraId="2BCF6A94" w14:textId="35EC8FD2"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Kombinuar (</w:t>
            </w:r>
            <w:r w:rsidR="00C23C70" w:rsidRPr="00B31292">
              <w:rPr>
                <w:rFonts w:ascii="Garamond" w:eastAsia="Times New Roman" w:hAnsi="Garamond" w:cs="Times New Roman"/>
                <w:color w:val="000000"/>
                <w:sz w:val="10"/>
                <w:szCs w:val="10"/>
              </w:rPr>
              <w:t>buxhet shteti + donatorët</w:t>
            </w:r>
            <w:r w:rsidRPr="00B31292">
              <w:rPr>
                <w:rFonts w:ascii="Garamond" w:eastAsia="Times New Roman" w:hAnsi="Garamond" w:cs="Times New Roman"/>
                <w:color w:val="000000"/>
                <w:sz w:val="10"/>
                <w:szCs w:val="10"/>
              </w:rPr>
              <w:t>)</w:t>
            </w:r>
          </w:p>
        </w:tc>
      </w:tr>
      <w:tr w:rsidR="000A2254" w:rsidRPr="00B31292" w14:paraId="7CD69EB8" w14:textId="77777777" w:rsidTr="000A2254">
        <w:trPr>
          <w:trHeight w:val="20"/>
        </w:trPr>
        <w:tc>
          <w:tcPr>
            <w:tcW w:w="215" w:type="pct"/>
            <w:tcBorders>
              <w:top w:val="nil"/>
              <w:left w:val="nil"/>
              <w:bottom w:val="nil"/>
              <w:right w:val="nil"/>
            </w:tcBorders>
            <w:shd w:val="clear" w:color="000000" w:fill="FFFFFF"/>
            <w:vAlign w:val="bottom"/>
            <w:hideMark/>
          </w:tcPr>
          <w:p w14:paraId="41D98C7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51EEC0DE"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4F69E65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2CB7058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045AF48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3064215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nil"/>
              <w:left w:val="single" w:sz="4" w:space="0" w:color="000000"/>
              <w:bottom w:val="single" w:sz="4" w:space="0" w:color="000000"/>
              <w:right w:val="single" w:sz="4" w:space="0" w:color="000000"/>
            </w:tcBorders>
            <w:shd w:val="clear" w:color="auto" w:fill="auto"/>
            <w:vAlign w:val="center"/>
            <w:hideMark/>
          </w:tcPr>
          <w:p w14:paraId="0C5F937F"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4.2.1.3</w:t>
            </w:r>
          </w:p>
        </w:tc>
        <w:tc>
          <w:tcPr>
            <w:tcW w:w="281" w:type="pct"/>
            <w:tcBorders>
              <w:top w:val="nil"/>
              <w:left w:val="nil"/>
              <w:bottom w:val="single" w:sz="4" w:space="0" w:color="000000"/>
              <w:right w:val="single" w:sz="4" w:space="0" w:color="000000"/>
            </w:tcBorders>
            <w:shd w:val="clear" w:color="auto" w:fill="auto"/>
            <w:vAlign w:val="center"/>
            <w:hideMark/>
          </w:tcPr>
          <w:p w14:paraId="49AA2BE7"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Klasifikimi statistikor i njësive territoriale</w:t>
            </w:r>
          </w:p>
        </w:tc>
        <w:tc>
          <w:tcPr>
            <w:tcW w:w="236" w:type="pct"/>
            <w:tcBorders>
              <w:top w:val="nil"/>
              <w:left w:val="nil"/>
              <w:bottom w:val="single" w:sz="4" w:space="0" w:color="000000"/>
              <w:right w:val="single" w:sz="4" w:space="0" w:color="000000"/>
            </w:tcBorders>
            <w:shd w:val="clear" w:color="auto" w:fill="auto"/>
            <w:vAlign w:val="center"/>
            <w:hideMark/>
          </w:tcPr>
          <w:p w14:paraId="206322AC"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Tjetër</w:t>
            </w:r>
          </w:p>
        </w:tc>
        <w:tc>
          <w:tcPr>
            <w:tcW w:w="238" w:type="pct"/>
            <w:tcBorders>
              <w:top w:val="nil"/>
              <w:left w:val="nil"/>
              <w:bottom w:val="single" w:sz="4" w:space="0" w:color="auto"/>
              <w:right w:val="single" w:sz="4" w:space="0" w:color="auto"/>
            </w:tcBorders>
            <w:shd w:val="clear" w:color="auto" w:fill="auto"/>
            <w:vAlign w:val="center"/>
            <w:hideMark/>
          </w:tcPr>
          <w:p w14:paraId="1635ED97"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180" w:type="pct"/>
            <w:tcBorders>
              <w:top w:val="nil"/>
              <w:left w:val="nil"/>
              <w:bottom w:val="single" w:sz="4" w:space="0" w:color="auto"/>
              <w:right w:val="single" w:sz="8" w:space="0" w:color="auto"/>
            </w:tcBorders>
            <w:shd w:val="clear" w:color="auto" w:fill="auto"/>
            <w:vAlign w:val="center"/>
            <w:hideMark/>
          </w:tcPr>
          <w:p w14:paraId="2DE869D0" w14:textId="77777777" w:rsidR="000A2254" w:rsidRPr="00B31292" w:rsidRDefault="000A2254" w:rsidP="000A2254">
            <w:pPr>
              <w:spacing w:after="0" w:line="240" w:lineRule="auto"/>
              <w:jc w:val="center"/>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28" w:type="pct"/>
            <w:tcBorders>
              <w:top w:val="nil"/>
              <w:left w:val="single" w:sz="4" w:space="0" w:color="auto"/>
              <w:bottom w:val="single" w:sz="4" w:space="0" w:color="auto"/>
              <w:right w:val="single" w:sz="4" w:space="0" w:color="auto"/>
            </w:tcBorders>
            <w:shd w:val="clear" w:color="auto" w:fill="auto"/>
            <w:vAlign w:val="center"/>
            <w:hideMark/>
          </w:tcPr>
          <w:p w14:paraId="48300DA1"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I vazhdueshëm</w:t>
            </w:r>
          </w:p>
        </w:tc>
        <w:tc>
          <w:tcPr>
            <w:tcW w:w="222" w:type="pct"/>
            <w:tcBorders>
              <w:top w:val="nil"/>
              <w:left w:val="nil"/>
              <w:bottom w:val="single" w:sz="4" w:space="0" w:color="000000"/>
              <w:right w:val="nil"/>
            </w:tcBorders>
            <w:shd w:val="clear" w:color="auto" w:fill="auto"/>
            <w:vAlign w:val="center"/>
            <w:hideMark/>
          </w:tcPr>
          <w:p w14:paraId="7687B4B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Tjetër</w:t>
            </w:r>
          </w:p>
        </w:tc>
        <w:tc>
          <w:tcPr>
            <w:tcW w:w="486" w:type="pct"/>
            <w:tcBorders>
              <w:top w:val="nil"/>
              <w:left w:val="single" w:sz="4" w:space="0" w:color="auto"/>
              <w:bottom w:val="single" w:sz="4" w:space="0" w:color="auto"/>
              <w:right w:val="single" w:sz="4" w:space="0" w:color="auto"/>
            </w:tcBorders>
            <w:shd w:val="clear" w:color="auto" w:fill="auto"/>
            <w:vAlign w:val="center"/>
            <w:hideMark/>
          </w:tcPr>
          <w:p w14:paraId="4F2E0CBB" w14:textId="456BA8BD"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Transmetimi i listës së njësive territoriale lokale (LAU) në EUROSTAT</w:t>
            </w:r>
            <w:r w:rsidRPr="00B31292">
              <w:rPr>
                <w:rFonts w:ascii="Garamond" w:eastAsia="Times New Roman" w:hAnsi="Garamond" w:cs="Times New Roman"/>
                <w:color w:val="000000"/>
                <w:sz w:val="10"/>
                <w:szCs w:val="10"/>
              </w:rPr>
              <w:br/>
              <w:t>2. Harmonizimi i klasifikimit të nomenklaturave statistikore NUTS</w:t>
            </w:r>
            <w:r w:rsidR="006A7C4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në përputhje me </w:t>
            </w:r>
            <w:r w:rsidR="006A7C44" w:rsidRPr="00B31292">
              <w:rPr>
                <w:rFonts w:ascii="Garamond" w:eastAsia="Times New Roman" w:hAnsi="Garamond" w:cs="Times New Roman"/>
                <w:color w:val="000000"/>
                <w:sz w:val="10"/>
                <w:szCs w:val="10"/>
              </w:rPr>
              <w:t>r</w:t>
            </w:r>
            <w:r w:rsidRPr="00B31292">
              <w:rPr>
                <w:rFonts w:ascii="Garamond" w:eastAsia="Times New Roman" w:hAnsi="Garamond" w:cs="Times New Roman"/>
                <w:color w:val="000000"/>
                <w:sz w:val="10"/>
                <w:szCs w:val="10"/>
              </w:rPr>
              <w:t>regulloret e KE-së</w:t>
            </w:r>
            <w:r w:rsidR="006A7C44" w:rsidRPr="00B31292">
              <w:rPr>
                <w:rFonts w:ascii="Garamond" w:eastAsia="Times New Roman" w:hAnsi="Garamond" w:cs="Times New Roman"/>
                <w:color w:val="000000"/>
                <w:sz w:val="10"/>
                <w:szCs w:val="10"/>
              </w:rPr>
              <w:t>.</w:t>
            </w:r>
            <w:r w:rsidR="002E2911"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 xml:space="preserve"> 3. Implementimi i tipologjive territoriale (TERCET) në përputhje me </w:t>
            </w:r>
            <w:r w:rsidR="006A7C44" w:rsidRPr="00B31292">
              <w:rPr>
                <w:rFonts w:ascii="Garamond" w:eastAsia="Times New Roman" w:hAnsi="Garamond" w:cs="Times New Roman"/>
                <w:color w:val="000000"/>
                <w:sz w:val="10"/>
                <w:szCs w:val="10"/>
              </w:rPr>
              <w:t>r</w:t>
            </w:r>
            <w:r w:rsidRPr="00B31292">
              <w:rPr>
                <w:rFonts w:ascii="Garamond" w:eastAsia="Times New Roman" w:hAnsi="Garamond" w:cs="Times New Roman"/>
                <w:color w:val="000000"/>
                <w:sz w:val="10"/>
                <w:szCs w:val="10"/>
              </w:rPr>
              <w:t xml:space="preserve">regulloret e Komisionit </w:t>
            </w:r>
            <w:r w:rsidR="00CD213A" w:rsidRPr="00B31292">
              <w:rPr>
                <w:rFonts w:ascii="Garamond" w:eastAsia="Times New Roman" w:hAnsi="Garamond" w:cs="Times New Roman"/>
                <w:color w:val="000000"/>
                <w:sz w:val="10"/>
                <w:szCs w:val="10"/>
              </w:rPr>
              <w:t>Evropian</w:t>
            </w:r>
            <w:r w:rsidR="006A7C4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br/>
              <w:t>4. Paraqitja hartografike e të dhënave të popullsisë në nivel grid 1km²</w:t>
            </w:r>
            <w:r w:rsidR="006A7C44" w:rsidRPr="00B31292">
              <w:rPr>
                <w:rFonts w:ascii="Garamond" w:eastAsia="Times New Roman" w:hAnsi="Garamond" w:cs="Times New Roman"/>
                <w:color w:val="000000"/>
                <w:sz w:val="10"/>
                <w:szCs w:val="10"/>
              </w:rPr>
              <w:t>.</w:t>
            </w:r>
          </w:p>
        </w:tc>
        <w:tc>
          <w:tcPr>
            <w:tcW w:w="299" w:type="pct"/>
            <w:tcBorders>
              <w:top w:val="nil"/>
              <w:left w:val="nil"/>
              <w:bottom w:val="single" w:sz="4" w:space="0" w:color="auto"/>
              <w:right w:val="single" w:sz="4" w:space="0" w:color="auto"/>
            </w:tcBorders>
            <w:shd w:val="clear" w:color="auto" w:fill="auto"/>
            <w:vAlign w:val="center"/>
            <w:hideMark/>
          </w:tcPr>
          <w:p w14:paraId="34AB39D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Instituti i Statistikave</w:t>
            </w:r>
          </w:p>
        </w:tc>
        <w:tc>
          <w:tcPr>
            <w:tcW w:w="224" w:type="pct"/>
            <w:tcBorders>
              <w:top w:val="nil"/>
              <w:left w:val="nil"/>
              <w:bottom w:val="single" w:sz="4" w:space="0" w:color="auto"/>
              <w:right w:val="single" w:sz="4" w:space="0" w:color="auto"/>
            </w:tcBorders>
            <w:shd w:val="clear" w:color="auto" w:fill="auto"/>
            <w:vAlign w:val="center"/>
            <w:hideMark/>
          </w:tcPr>
          <w:p w14:paraId="27D62FF7"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p>
        </w:tc>
        <w:tc>
          <w:tcPr>
            <w:tcW w:w="244" w:type="pct"/>
            <w:tcBorders>
              <w:top w:val="nil"/>
              <w:left w:val="nil"/>
              <w:bottom w:val="single" w:sz="4" w:space="0" w:color="auto"/>
              <w:right w:val="single" w:sz="4" w:space="0" w:color="auto"/>
            </w:tcBorders>
            <w:shd w:val="clear" w:color="000000" w:fill="FFFFFF"/>
            <w:vAlign w:val="center"/>
            <w:hideMark/>
          </w:tcPr>
          <w:p w14:paraId="5EFAE82D"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 V+ 364D</w:t>
            </w:r>
          </w:p>
        </w:tc>
        <w:tc>
          <w:tcPr>
            <w:tcW w:w="220" w:type="pct"/>
            <w:tcBorders>
              <w:top w:val="nil"/>
              <w:left w:val="nil"/>
              <w:bottom w:val="single" w:sz="4" w:space="0" w:color="auto"/>
              <w:right w:val="single" w:sz="4" w:space="0" w:color="auto"/>
            </w:tcBorders>
            <w:shd w:val="clear" w:color="000000" w:fill="FFFFFF"/>
            <w:vAlign w:val="center"/>
            <w:hideMark/>
          </w:tcPr>
          <w:p w14:paraId="5AA9F132"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 V+ 732D</w:t>
            </w:r>
          </w:p>
        </w:tc>
        <w:tc>
          <w:tcPr>
            <w:tcW w:w="220" w:type="pct"/>
            <w:tcBorders>
              <w:top w:val="nil"/>
              <w:left w:val="nil"/>
              <w:bottom w:val="single" w:sz="4" w:space="0" w:color="auto"/>
              <w:right w:val="single" w:sz="4" w:space="0" w:color="auto"/>
            </w:tcBorders>
            <w:shd w:val="clear" w:color="000000" w:fill="FFFFFF"/>
            <w:vAlign w:val="center"/>
            <w:hideMark/>
          </w:tcPr>
          <w:p w14:paraId="4496E5C1"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 V + 732D</w:t>
            </w:r>
          </w:p>
        </w:tc>
        <w:tc>
          <w:tcPr>
            <w:tcW w:w="346" w:type="pct"/>
            <w:tcBorders>
              <w:top w:val="nil"/>
              <w:left w:val="nil"/>
              <w:bottom w:val="single" w:sz="4" w:space="0" w:color="auto"/>
              <w:right w:val="single" w:sz="4" w:space="0" w:color="auto"/>
            </w:tcBorders>
            <w:shd w:val="clear" w:color="auto" w:fill="auto"/>
            <w:vAlign w:val="center"/>
            <w:hideMark/>
          </w:tcPr>
          <w:p w14:paraId="6BF8E7BD" w14:textId="63572B9E"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Mungesa e t</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dh</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nave t</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 xml:space="preserve"> detajuara p</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r p</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rllogaritjen e klasifikimeve territoriale -|- 4</w:t>
            </w:r>
          </w:p>
        </w:tc>
        <w:tc>
          <w:tcPr>
            <w:tcW w:w="273" w:type="pct"/>
            <w:tcBorders>
              <w:top w:val="nil"/>
              <w:left w:val="nil"/>
              <w:bottom w:val="single" w:sz="4" w:space="0" w:color="auto"/>
              <w:right w:val="single" w:sz="4" w:space="0" w:color="auto"/>
            </w:tcBorders>
            <w:shd w:val="clear" w:color="auto" w:fill="auto"/>
            <w:vAlign w:val="center"/>
            <w:hideMark/>
          </w:tcPr>
          <w:p w14:paraId="46DF3A9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Buxhet shteti</w:t>
            </w:r>
          </w:p>
        </w:tc>
      </w:tr>
      <w:tr w:rsidR="000A2254" w:rsidRPr="00B31292" w14:paraId="094C4B89" w14:textId="77777777" w:rsidTr="000A2254">
        <w:trPr>
          <w:trHeight w:val="20"/>
        </w:trPr>
        <w:tc>
          <w:tcPr>
            <w:tcW w:w="215" w:type="pct"/>
            <w:tcBorders>
              <w:top w:val="nil"/>
              <w:left w:val="nil"/>
              <w:bottom w:val="nil"/>
              <w:right w:val="nil"/>
            </w:tcBorders>
            <w:shd w:val="clear" w:color="000000" w:fill="FFFFFF"/>
            <w:vAlign w:val="bottom"/>
            <w:hideMark/>
          </w:tcPr>
          <w:p w14:paraId="5093F513"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572DBA0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1046C6D6"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0646B1E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single" w:sz="4" w:space="0" w:color="000000"/>
              <w:left w:val="single" w:sz="4" w:space="0" w:color="000000"/>
              <w:bottom w:val="single" w:sz="4" w:space="0" w:color="000000"/>
              <w:right w:val="single" w:sz="4" w:space="0" w:color="000000"/>
            </w:tcBorders>
            <w:shd w:val="clear" w:color="000000" w:fill="F0F0F0"/>
            <w:vAlign w:val="center"/>
            <w:hideMark/>
          </w:tcPr>
          <w:p w14:paraId="61227F57"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4.2.2</w:t>
            </w:r>
          </w:p>
        </w:tc>
        <w:tc>
          <w:tcPr>
            <w:tcW w:w="2554" w:type="pct"/>
            <w:gridSpan w:val="10"/>
            <w:tcBorders>
              <w:top w:val="single" w:sz="4" w:space="0" w:color="000000"/>
              <w:left w:val="nil"/>
              <w:bottom w:val="single" w:sz="4" w:space="0" w:color="000000"/>
              <w:right w:val="nil"/>
            </w:tcBorders>
            <w:shd w:val="clear" w:color="000000" w:fill="F0F0F0"/>
            <w:vAlign w:val="center"/>
            <w:hideMark/>
          </w:tcPr>
          <w:p w14:paraId="037C29D1" w14:textId="3C248F4C"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Harmonizimi i temave </w:t>
            </w:r>
            <w:r w:rsidR="00BA12C3"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Demografia</w:t>
            </w:r>
            <w:r w:rsidR="00BA12C3"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dhe </w:t>
            </w:r>
            <w:r w:rsidR="00BA12C3"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Njësitë </w:t>
            </w:r>
            <w:r w:rsidR="006A7C44" w:rsidRPr="00B31292">
              <w:rPr>
                <w:rFonts w:ascii="Garamond" w:eastAsia="Times New Roman" w:hAnsi="Garamond" w:cs="Times New Roman"/>
                <w:color w:val="000000"/>
                <w:sz w:val="10"/>
                <w:szCs w:val="10"/>
              </w:rPr>
              <w:t>s</w:t>
            </w:r>
            <w:r w:rsidRPr="00B31292">
              <w:rPr>
                <w:rFonts w:ascii="Garamond" w:eastAsia="Times New Roman" w:hAnsi="Garamond" w:cs="Times New Roman"/>
                <w:color w:val="000000"/>
                <w:sz w:val="10"/>
                <w:szCs w:val="10"/>
              </w:rPr>
              <w:t>tatistikore</w:t>
            </w:r>
            <w:r w:rsidR="00BA12C3" w:rsidRPr="00B31292">
              <w:rPr>
                <w:rFonts w:ascii="Garamond" w:eastAsia="Times New Roman" w:hAnsi="Garamond" w:cs="Times New Roman"/>
                <w:color w:val="000000"/>
                <w:sz w:val="10"/>
                <w:szCs w:val="10"/>
              </w:rPr>
              <w:t>”</w:t>
            </w:r>
            <w:r w:rsidR="00CD213A" w:rsidRPr="00B31292">
              <w:rPr>
                <w:rFonts w:ascii="Garamond" w:eastAsia="Times New Roman" w:hAnsi="Garamond" w:cs="Times New Roman"/>
                <w:color w:val="000000"/>
                <w:sz w:val="10"/>
                <w:szCs w:val="10"/>
              </w:rPr>
              <w:t xml:space="preserve"> </w:t>
            </w:r>
            <w:r w:rsidRPr="00B31292">
              <w:rPr>
                <w:rFonts w:ascii="Garamond" w:eastAsia="Times New Roman" w:hAnsi="Garamond" w:cs="Times New Roman"/>
                <w:color w:val="000000"/>
                <w:sz w:val="10"/>
                <w:szCs w:val="10"/>
              </w:rPr>
              <w:t xml:space="preserve">sipas direktivës INSPIRE </w:t>
            </w:r>
          </w:p>
        </w:tc>
        <w:tc>
          <w:tcPr>
            <w:tcW w:w="1255" w:type="pct"/>
            <w:gridSpan w:val="5"/>
            <w:tcBorders>
              <w:top w:val="single" w:sz="4" w:space="0" w:color="auto"/>
              <w:left w:val="single" w:sz="4" w:space="0" w:color="auto"/>
              <w:bottom w:val="single" w:sz="4" w:space="0" w:color="auto"/>
              <w:right w:val="single" w:sz="4" w:space="0" w:color="000000"/>
            </w:tcBorders>
            <w:shd w:val="clear" w:color="000000" w:fill="F0F0F0"/>
            <w:vAlign w:val="center"/>
            <w:hideMark/>
          </w:tcPr>
          <w:p w14:paraId="4D5CD80B"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73" w:type="pct"/>
            <w:tcBorders>
              <w:top w:val="nil"/>
              <w:left w:val="nil"/>
              <w:bottom w:val="single" w:sz="4" w:space="0" w:color="auto"/>
              <w:right w:val="single" w:sz="4" w:space="0" w:color="auto"/>
            </w:tcBorders>
            <w:shd w:val="clear" w:color="000000" w:fill="F0F0F0"/>
            <w:vAlign w:val="center"/>
            <w:hideMark/>
          </w:tcPr>
          <w:p w14:paraId="7DD902C5"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r>
      <w:tr w:rsidR="000A2254" w:rsidRPr="00B31292" w14:paraId="78F4EF31" w14:textId="77777777" w:rsidTr="000A2254">
        <w:trPr>
          <w:trHeight w:val="20"/>
        </w:trPr>
        <w:tc>
          <w:tcPr>
            <w:tcW w:w="215" w:type="pct"/>
            <w:tcBorders>
              <w:top w:val="nil"/>
              <w:left w:val="nil"/>
              <w:bottom w:val="nil"/>
              <w:right w:val="nil"/>
            </w:tcBorders>
            <w:shd w:val="clear" w:color="000000" w:fill="FFFFFF"/>
            <w:vAlign w:val="bottom"/>
            <w:hideMark/>
          </w:tcPr>
          <w:p w14:paraId="4EFA85E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215" w:type="pct"/>
            <w:tcBorders>
              <w:top w:val="nil"/>
              <w:left w:val="nil"/>
              <w:bottom w:val="nil"/>
              <w:right w:val="nil"/>
            </w:tcBorders>
            <w:shd w:val="clear" w:color="000000" w:fill="FFFFFF"/>
            <w:vAlign w:val="bottom"/>
            <w:hideMark/>
          </w:tcPr>
          <w:p w14:paraId="7BF1006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55" w:type="pct"/>
            <w:tcBorders>
              <w:top w:val="nil"/>
              <w:left w:val="nil"/>
              <w:bottom w:val="nil"/>
              <w:right w:val="nil"/>
            </w:tcBorders>
            <w:shd w:val="clear" w:color="000000" w:fill="FFFFFF"/>
            <w:vAlign w:val="bottom"/>
            <w:hideMark/>
          </w:tcPr>
          <w:p w14:paraId="67A89248"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45" w:type="pct"/>
            <w:tcBorders>
              <w:top w:val="nil"/>
              <w:left w:val="nil"/>
              <w:bottom w:val="nil"/>
              <w:right w:val="nil"/>
            </w:tcBorders>
            <w:shd w:val="clear" w:color="000000" w:fill="FFFFFF"/>
            <w:vAlign w:val="bottom"/>
            <w:hideMark/>
          </w:tcPr>
          <w:p w14:paraId="4900B689"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8" w:type="pct"/>
            <w:tcBorders>
              <w:top w:val="nil"/>
              <w:left w:val="nil"/>
              <w:bottom w:val="nil"/>
              <w:right w:val="nil"/>
            </w:tcBorders>
            <w:shd w:val="clear" w:color="000000" w:fill="FFFFFF"/>
            <w:vAlign w:val="bottom"/>
            <w:hideMark/>
          </w:tcPr>
          <w:p w14:paraId="3B67929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84" w:type="pct"/>
            <w:tcBorders>
              <w:top w:val="nil"/>
              <w:left w:val="nil"/>
              <w:bottom w:val="nil"/>
              <w:right w:val="nil"/>
            </w:tcBorders>
            <w:shd w:val="clear" w:color="000000" w:fill="FFFFFF"/>
            <w:vAlign w:val="bottom"/>
            <w:hideMark/>
          </w:tcPr>
          <w:p w14:paraId="0F6E94A1"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w:t>
            </w:r>
          </w:p>
        </w:tc>
        <w:tc>
          <w:tcPr>
            <w:tcW w:w="199"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04890B3"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4.2.2.1</w:t>
            </w:r>
          </w:p>
        </w:tc>
        <w:tc>
          <w:tcPr>
            <w:tcW w:w="281" w:type="pct"/>
            <w:tcBorders>
              <w:top w:val="single" w:sz="4" w:space="0" w:color="000000"/>
              <w:left w:val="nil"/>
              <w:bottom w:val="single" w:sz="4" w:space="0" w:color="000000"/>
              <w:right w:val="single" w:sz="4" w:space="0" w:color="000000"/>
            </w:tcBorders>
            <w:shd w:val="clear" w:color="auto" w:fill="auto"/>
            <w:vAlign w:val="center"/>
            <w:hideMark/>
          </w:tcPr>
          <w:p w14:paraId="1AE3DCF3" w14:textId="6BBDF89C"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xml:space="preserve">Harmonizimi i temave </w:t>
            </w:r>
            <w:r w:rsidR="00BA12C3" w:rsidRPr="00B31292">
              <w:rPr>
                <w:rFonts w:ascii="Garamond" w:eastAsia="Times New Roman" w:hAnsi="Garamond" w:cs="Times New Roman"/>
                <w:sz w:val="10"/>
                <w:szCs w:val="10"/>
              </w:rPr>
              <w:t>“</w:t>
            </w:r>
            <w:r w:rsidRPr="00B31292">
              <w:rPr>
                <w:rFonts w:ascii="Garamond" w:eastAsia="Times New Roman" w:hAnsi="Garamond" w:cs="Times New Roman"/>
                <w:sz w:val="10"/>
                <w:szCs w:val="10"/>
              </w:rPr>
              <w:t>Demografia</w:t>
            </w:r>
            <w:r w:rsidR="00BA12C3" w:rsidRPr="00B31292">
              <w:rPr>
                <w:rFonts w:ascii="Garamond" w:eastAsia="Times New Roman" w:hAnsi="Garamond" w:cs="Times New Roman"/>
                <w:sz w:val="10"/>
                <w:szCs w:val="10"/>
              </w:rPr>
              <w:t>”</w:t>
            </w:r>
            <w:r w:rsidRPr="00B31292">
              <w:rPr>
                <w:rFonts w:ascii="Garamond" w:eastAsia="Times New Roman" w:hAnsi="Garamond" w:cs="Times New Roman"/>
                <w:sz w:val="10"/>
                <w:szCs w:val="10"/>
              </w:rPr>
              <w:t xml:space="preserve"> dhe </w:t>
            </w:r>
            <w:r w:rsidR="00BA12C3" w:rsidRPr="00B31292">
              <w:rPr>
                <w:rFonts w:ascii="Garamond" w:eastAsia="Times New Roman" w:hAnsi="Garamond" w:cs="Times New Roman"/>
                <w:sz w:val="10"/>
                <w:szCs w:val="10"/>
              </w:rPr>
              <w:t>“</w:t>
            </w:r>
            <w:r w:rsidRPr="00B31292">
              <w:rPr>
                <w:rFonts w:ascii="Garamond" w:eastAsia="Times New Roman" w:hAnsi="Garamond" w:cs="Times New Roman"/>
                <w:sz w:val="10"/>
                <w:szCs w:val="10"/>
              </w:rPr>
              <w:t xml:space="preserve">Njësitë </w:t>
            </w:r>
            <w:r w:rsidR="006A7C44" w:rsidRPr="00B31292">
              <w:rPr>
                <w:rFonts w:ascii="Garamond" w:eastAsia="Times New Roman" w:hAnsi="Garamond" w:cs="Times New Roman"/>
                <w:sz w:val="10"/>
                <w:szCs w:val="10"/>
              </w:rPr>
              <w:t>s</w:t>
            </w:r>
            <w:r w:rsidRPr="00B31292">
              <w:rPr>
                <w:rFonts w:ascii="Garamond" w:eastAsia="Times New Roman" w:hAnsi="Garamond" w:cs="Times New Roman"/>
                <w:sz w:val="10"/>
                <w:szCs w:val="10"/>
              </w:rPr>
              <w:t>tatistikore</w:t>
            </w:r>
            <w:r w:rsidR="00BA12C3" w:rsidRPr="00B31292">
              <w:rPr>
                <w:rFonts w:ascii="Garamond" w:eastAsia="Times New Roman" w:hAnsi="Garamond" w:cs="Times New Roman"/>
                <w:sz w:val="10"/>
                <w:szCs w:val="10"/>
              </w:rPr>
              <w:t>”</w:t>
            </w:r>
            <w:r w:rsidR="00CD213A" w:rsidRPr="00B31292">
              <w:rPr>
                <w:rFonts w:ascii="Garamond" w:eastAsia="Times New Roman" w:hAnsi="Garamond" w:cs="Times New Roman"/>
                <w:sz w:val="10"/>
                <w:szCs w:val="10"/>
              </w:rPr>
              <w:t xml:space="preserve"> </w:t>
            </w:r>
            <w:r w:rsidRPr="00B31292">
              <w:rPr>
                <w:rFonts w:ascii="Garamond" w:eastAsia="Times New Roman" w:hAnsi="Garamond" w:cs="Times New Roman"/>
                <w:sz w:val="10"/>
                <w:szCs w:val="10"/>
              </w:rPr>
              <w:t>sipas direktivës INSPIRE</w:t>
            </w:r>
          </w:p>
        </w:tc>
        <w:tc>
          <w:tcPr>
            <w:tcW w:w="236" w:type="pct"/>
            <w:tcBorders>
              <w:top w:val="single" w:sz="4" w:space="0" w:color="000000"/>
              <w:left w:val="nil"/>
              <w:bottom w:val="single" w:sz="4" w:space="0" w:color="000000"/>
              <w:right w:val="single" w:sz="4" w:space="0" w:color="000000"/>
            </w:tcBorders>
            <w:shd w:val="clear" w:color="auto" w:fill="auto"/>
            <w:vAlign w:val="center"/>
            <w:hideMark/>
          </w:tcPr>
          <w:p w14:paraId="32A0196A"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Tjetër</w:t>
            </w:r>
          </w:p>
        </w:tc>
        <w:tc>
          <w:tcPr>
            <w:tcW w:w="238" w:type="pct"/>
            <w:tcBorders>
              <w:top w:val="single" w:sz="4" w:space="0" w:color="000000"/>
              <w:left w:val="nil"/>
              <w:bottom w:val="single" w:sz="4" w:space="0" w:color="000000"/>
              <w:right w:val="single" w:sz="4" w:space="0" w:color="000000"/>
            </w:tcBorders>
            <w:shd w:val="clear" w:color="auto" w:fill="auto"/>
            <w:vAlign w:val="center"/>
            <w:hideMark/>
          </w:tcPr>
          <w:p w14:paraId="42FBC7C2"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180" w:type="pct"/>
            <w:tcBorders>
              <w:top w:val="single" w:sz="4" w:space="0" w:color="000000"/>
              <w:left w:val="nil"/>
              <w:bottom w:val="single" w:sz="4" w:space="0" w:color="000000"/>
              <w:right w:val="single" w:sz="4" w:space="0" w:color="000000"/>
            </w:tcBorders>
            <w:shd w:val="clear" w:color="auto" w:fill="auto"/>
            <w:vAlign w:val="center"/>
            <w:hideMark/>
          </w:tcPr>
          <w:p w14:paraId="502B258F" w14:textId="77777777" w:rsidR="000A2254" w:rsidRPr="00B31292" w:rsidRDefault="000A2254" w:rsidP="000A2254">
            <w:pPr>
              <w:spacing w:after="0" w:line="240" w:lineRule="auto"/>
              <w:rPr>
                <w:rFonts w:ascii="Garamond" w:eastAsia="Times New Roman" w:hAnsi="Garamond" w:cs="Times New Roman"/>
                <w:sz w:val="10"/>
                <w:szCs w:val="10"/>
              </w:rPr>
            </w:pPr>
            <w:r w:rsidRPr="00B31292">
              <w:rPr>
                <w:rFonts w:ascii="Garamond" w:eastAsia="Times New Roman" w:hAnsi="Garamond" w:cs="Times New Roman"/>
                <w:sz w:val="10"/>
                <w:szCs w:val="10"/>
              </w:rPr>
              <w:t> </w:t>
            </w:r>
          </w:p>
        </w:tc>
        <w:tc>
          <w:tcPr>
            <w:tcW w:w="228" w:type="pct"/>
            <w:tcBorders>
              <w:top w:val="single" w:sz="4" w:space="0" w:color="auto"/>
              <w:left w:val="nil"/>
              <w:bottom w:val="single" w:sz="4" w:space="0" w:color="auto"/>
              <w:right w:val="single" w:sz="4" w:space="0" w:color="auto"/>
            </w:tcBorders>
            <w:shd w:val="clear" w:color="auto" w:fill="auto"/>
            <w:vAlign w:val="center"/>
            <w:hideMark/>
          </w:tcPr>
          <w:p w14:paraId="224CAEC0"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 vazhdueshëm</w:t>
            </w:r>
          </w:p>
        </w:tc>
        <w:tc>
          <w:tcPr>
            <w:tcW w:w="222" w:type="pct"/>
            <w:tcBorders>
              <w:top w:val="single" w:sz="4" w:space="0" w:color="auto"/>
              <w:left w:val="nil"/>
              <w:bottom w:val="single" w:sz="4" w:space="0" w:color="auto"/>
              <w:right w:val="single" w:sz="4" w:space="0" w:color="auto"/>
            </w:tcBorders>
            <w:shd w:val="clear" w:color="auto" w:fill="auto"/>
            <w:vAlign w:val="center"/>
            <w:hideMark/>
          </w:tcPr>
          <w:p w14:paraId="72D8C06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Tjetër</w:t>
            </w:r>
          </w:p>
        </w:tc>
        <w:tc>
          <w:tcPr>
            <w:tcW w:w="486" w:type="pct"/>
            <w:tcBorders>
              <w:top w:val="single" w:sz="4" w:space="0" w:color="000000"/>
              <w:left w:val="nil"/>
              <w:bottom w:val="single" w:sz="4" w:space="0" w:color="000000"/>
              <w:right w:val="nil"/>
            </w:tcBorders>
            <w:shd w:val="clear" w:color="auto" w:fill="auto"/>
            <w:vAlign w:val="center"/>
            <w:hideMark/>
          </w:tcPr>
          <w:p w14:paraId="00595821" w14:textId="5CDB53CF"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Transformimi i të dhënave gjeografike të INSTAT </w:t>
            </w:r>
            <w:r w:rsidR="006A7C44" w:rsidRPr="00B31292">
              <w:rPr>
                <w:rFonts w:ascii="Garamond" w:eastAsia="Times New Roman" w:hAnsi="Garamond" w:cs="Times New Roman"/>
                <w:color w:val="000000"/>
                <w:sz w:val="10"/>
                <w:szCs w:val="10"/>
              </w:rPr>
              <w:t xml:space="preserve">-it </w:t>
            </w:r>
            <w:r w:rsidRPr="00B31292">
              <w:rPr>
                <w:rFonts w:ascii="Garamond" w:eastAsia="Times New Roman" w:hAnsi="Garamond" w:cs="Times New Roman"/>
                <w:color w:val="000000"/>
                <w:sz w:val="10"/>
                <w:szCs w:val="10"/>
              </w:rPr>
              <w:t>bazuar në Infrastrukturën Kombëtare të të Dhënave Hapësinore në Shqipëri</w:t>
            </w:r>
            <w:r w:rsidR="006A7C44" w:rsidRPr="00B31292">
              <w:rPr>
                <w:rFonts w:ascii="Garamond" w:eastAsia="Times New Roman" w:hAnsi="Garamond" w:cs="Times New Roman"/>
                <w:color w:val="000000"/>
                <w:sz w:val="10"/>
                <w:szCs w:val="10"/>
              </w:rPr>
              <w:t>,</w:t>
            </w:r>
            <w:r w:rsidRPr="00B31292">
              <w:rPr>
                <w:rFonts w:ascii="Garamond" w:eastAsia="Times New Roman" w:hAnsi="Garamond" w:cs="Times New Roman"/>
                <w:color w:val="000000"/>
                <w:sz w:val="10"/>
                <w:szCs w:val="10"/>
              </w:rPr>
              <w:t xml:space="preserve"> duke ndjekur rekomandimet e </w:t>
            </w:r>
            <w:r w:rsidR="006A7C44" w:rsidRPr="00B31292">
              <w:rPr>
                <w:rFonts w:ascii="Garamond" w:eastAsia="Times New Roman" w:hAnsi="Garamond" w:cs="Times New Roman"/>
                <w:color w:val="000000"/>
                <w:sz w:val="10"/>
                <w:szCs w:val="10"/>
              </w:rPr>
              <w:t>d</w:t>
            </w:r>
            <w:r w:rsidRPr="00B31292">
              <w:rPr>
                <w:rFonts w:ascii="Garamond" w:eastAsia="Times New Roman" w:hAnsi="Garamond" w:cs="Times New Roman"/>
                <w:color w:val="000000"/>
                <w:sz w:val="10"/>
                <w:szCs w:val="10"/>
              </w:rPr>
              <w:t xml:space="preserve">irektivës INSPIRE për dy tema: </w:t>
            </w:r>
            <w:r w:rsidR="006A7C44" w:rsidRPr="00B31292">
              <w:rPr>
                <w:rFonts w:ascii="Garamond" w:eastAsia="Times New Roman" w:hAnsi="Garamond" w:cs="Times New Roman"/>
                <w:color w:val="000000"/>
                <w:sz w:val="10"/>
                <w:szCs w:val="10"/>
              </w:rPr>
              <w:t>shpërndarja e popullsisë dhe njësitë statistikore.</w:t>
            </w:r>
          </w:p>
        </w:tc>
        <w:tc>
          <w:tcPr>
            <w:tcW w:w="2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E96AC72"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Instituti i Statistikave</w:t>
            </w:r>
          </w:p>
        </w:tc>
        <w:tc>
          <w:tcPr>
            <w:tcW w:w="224" w:type="pct"/>
            <w:tcBorders>
              <w:top w:val="nil"/>
              <w:left w:val="nil"/>
              <w:bottom w:val="single" w:sz="4" w:space="0" w:color="auto"/>
              <w:right w:val="single" w:sz="4" w:space="0" w:color="auto"/>
            </w:tcBorders>
            <w:shd w:val="clear" w:color="auto" w:fill="auto"/>
            <w:vAlign w:val="center"/>
            <w:hideMark/>
          </w:tcPr>
          <w:p w14:paraId="75629609" w14:textId="4384466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INSTAT</w:t>
            </w:r>
            <w:r w:rsidR="006A7C44" w:rsidRPr="00B31292">
              <w:rPr>
                <w:rFonts w:ascii="Garamond" w:eastAsia="Times New Roman" w:hAnsi="Garamond" w:cs="Times New Roman"/>
                <w:color w:val="000000"/>
                <w:sz w:val="10"/>
                <w:szCs w:val="10"/>
              </w:rPr>
              <w:t>-i</w:t>
            </w:r>
          </w:p>
        </w:tc>
        <w:tc>
          <w:tcPr>
            <w:tcW w:w="244" w:type="pct"/>
            <w:tcBorders>
              <w:top w:val="nil"/>
              <w:left w:val="nil"/>
              <w:bottom w:val="single" w:sz="4" w:space="0" w:color="auto"/>
              <w:right w:val="single" w:sz="4" w:space="0" w:color="auto"/>
            </w:tcBorders>
            <w:shd w:val="clear" w:color="000000" w:fill="FFFFFF"/>
            <w:vAlign w:val="center"/>
            <w:hideMark/>
          </w:tcPr>
          <w:p w14:paraId="6222D2D3"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 V + 364D</w:t>
            </w:r>
          </w:p>
        </w:tc>
        <w:tc>
          <w:tcPr>
            <w:tcW w:w="220" w:type="pct"/>
            <w:tcBorders>
              <w:top w:val="nil"/>
              <w:left w:val="nil"/>
              <w:bottom w:val="single" w:sz="4" w:space="0" w:color="auto"/>
              <w:right w:val="single" w:sz="4" w:space="0" w:color="auto"/>
            </w:tcBorders>
            <w:shd w:val="clear" w:color="000000" w:fill="FFFFFF"/>
            <w:vAlign w:val="center"/>
            <w:hideMark/>
          </w:tcPr>
          <w:p w14:paraId="6CFED6B8"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 V + 732D</w:t>
            </w:r>
          </w:p>
        </w:tc>
        <w:tc>
          <w:tcPr>
            <w:tcW w:w="220" w:type="pct"/>
            <w:tcBorders>
              <w:top w:val="nil"/>
              <w:left w:val="nil"/>
              <w:bottom w:val="single" w:sz="4" w:space="0" w:color="auto"/>
              <w:right w:val="single" w:sz="4" w:space="0" w:color="auto"/>
            </w:tcBorders>
            <w:shd w:val="clear" w:color="000000" w:fill="FFFFFF"/>
            <w:vAlign w:val="center"/>
            <w:hideMark/>
          </w:tcPr>
          <w:p w14:paraId="07804A88" w14:textId="77777777" w:rsidR="000A2254" w:rsidRPr="00B31292" w:rsidRDefault="000A2254" w:rsidP="000A2254">
            <w:pPr>
              <w:spacing w:after="0" w:line="240" w:lineRule="auto"/>
              <w:jc w:val="center"/>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 xml:space="preserve"> V + 1462D</w:t>
            </w:r>
          </w:p>
        </w:tc>
        <w:tc>
          <w:tcPr>
            <w:tcW w:w="346" w:type="pct"/>
            <w:tcBorders>
              <w:top w:val="nil"/>
              <w:left w:val="nil"/>
              <w:bottom w:val="single" w:sz="4" w:space="0" w:color="auto"/>
              <w:right w:val="single" w:sz="4" w:space="0" w:color="auto"/>
            </w:tcBorders>
            <w:shd w:val="clear" w:color="auto" w:fill="auto"/>
            <w:vAlign w:val="center"/>
            <w:hideMark/>
          </w:tcPr>
          <w:p w14:paraId="5FB7F648" w14:textId="70625F28"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1. Ndryshime, shtyrje afatesh nga institucioni koordinues (Autoriteti Shtetëror për Informacionin Gjeohap</w:t>
            </w:r>
            <w:r w:rsidR="00CD213A" w:rsidRPr="00B31292">
              <w:rPr>
                <w:rFonts w:ascii="Garamond" w:eastAsia="Times New Roman" w:hAnsi="Garamond" w:cs="Times New Roman"/>
                <w:color w:val="000000"/>
                <w:sz w:val="10"/>
                <w:szCs w:val="10"/>
              </w:rPr>
              <w:t>ë</w:t>
            </w:r>
            <w:r w:rsidRPr="00B31292">
              <w:rPr>
                <w:rFonts w:ascii="Garamond" w:eastAsia="Times New Roman" w:hAnsi="Garamond" w:cs="Times New Roman"/>
                <w:color w:val="000000"/>
                <w:sz w:val="10"/>
                <w:szCs w:val="10"/>
              </w:rPr>
              <w:t>sinor) -|- 4</w:t>
            </w:r>
          </w:p>
        </w:tc>
        <w:tc>
          <w:tcPr>
            <w:tcW w:w="273" w:type="pct"/>
            <w:tcBorders>
              <w:top w:val="nil"/>
              <w:left w:val="nil"/>
              <w:bottom w:val="single" w:sz="4" w:space="0" w:color="auto"/>
              <w:right w:val="single" w:sz="4" w:space="0" w:color="auto"/>
            </w:tcBorders>
            <w:shd w:val="clear" w:color="auto" w:fill="auto"/>
            <w:noWrap/>
            <w:vAlign w:val="center"/>
            <w:hideMark/>
          </w:tcPr>
          <w:p w14:paraId="2F700ECF" w14:textId="77777777" w:rsidR="000A2254" w:rsidRPr="00B31292" w:rsidRDefault="000A2254" w:rsidP="000A2254">
            <w:pPr>
              <w:spacing w:after="0" w:line="240" w:lineRule="auto"/>
              <w:rPr>
                <w:rFonts w:ascii="Garamond" w:eastAsia="Times New Roman" w:hAnsi="Garamond" w:cs="Times New Roman"/>
                <w:color w:val="000000"/>
                <w:sz w:val="10"/>
                <w:szCs w:val="10"/>
              </w:rPr>
            </w:pPr>
            <w:r w:rsidRPr="00B31292">
              <w:rPr>
                <w:rFonts w:ascii="Garamond" w:eastAsia="Times New Roman" w:hAnsi="Garamond" w:cs="Times New Roman"/>
                <w:color w:val="000000"/>
                <w:sz w:val="10"/>
                <w:szCs w:val="10"/>
              </w:rPr>
              <w:t>Buxhet i shtetit</w:t>
            </w:r>
          </w:p>
        </w:tc>
      </w:tr>
    </w:tbl>
    <w:p w14:paraId="71425BB7" w14:textId="19C56056" w:rsidR="000A2254" w:rsidRPr="00B31292" w:rsidRDefault="000A2254" w:rsidP="000A2254">
      <w:pPr>
        <w:shd w:val="clear" w:color="auto" w:fill="FFFFFF" w:themeFill="background1"/>
        <w:tabs>
          <w:tab w:val="left" w:pos="2355"/>
        </w:tabs>
        <w:spacing w:after="0" w:line="240" w:lineRule="auto"/>
        <w:jc w:val="both"/>
        <w:rPr>
          <w:rFonts w:ascii="Garamond" w:hAnsi="Garamond"/>
          <w:sz w:val="24"/>
          <w:szCs w:val="24"/>
        </w:rPr>
      </w:pPr>
    </w:p>
    <w:sectPr w:rsidR="000A2254" w:rsidRPr="00B31292" w:rsidSect="000A2254">
      <w:pgSz w:w="16838" w:h="11906" w:orient="landscape" w:code="9"/>
      <w:pgMar w:top="1418" w:right="1418" w:bottom="1418" w:left="1418" w:header="1304" w:footer="113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B3C215" w14:textId="77777777" w:rsidR="00B31292" w:rsidRDefault="00B31292" w:rsidP="00024A60">
      <w:pPr>
        <w:spacing w:after="0" w:line="240" w:lineRule="auto"/>
      </w:pPr>
      <w:r>
        <w:separator/>
      </w:r>
    </w:p>
  </w:endnote>
  <w:endnote w:type="continuationSeparator" w:id="0">
    <w:p w14:paraId="4331163D" w14:textId="77777777" w:rsidR="00B31292" w:rsidRDefault="00B31292" w:rsidP="00024A60">
      <w:pPr>
        <w:spacing w:after="0" w:line="240" w:lineRule="auto"/>
      </w:pPr>
      <w:r>
        <w:continuationSeparator/>
      </w:r>
    </w:p>
  </w:endnote>
  <w:endnote w:type="continuationNotice" w:id="1">
    <w:p w14:paraId="1E837DCE" w14:textId="77777777" w:rsidR="00B31292" w:rsidRDefault="00B3129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7BA12C" w14:textId="77777777" w:rsidR="00B31292" w:rsidRDefault="00B3129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C5002B" w14:textId="77777777" w:rsidR="00B31292" w:rsidRDefault="00B31292" w:rsidP="00024A60">
      <w:pPr>
        <w:spacing w:after="0" w:line="240" w:lineRule="auto"/>
      </w:pPr>
      <w:r>
        <w:separator/>
      </w:r>
    </w:p>
  </w:footnote>
  <w:footnote w:type="continuationSeparator" w:id="0">
    <w:p w14:paraId="4E79E4D7" w14:textId="77777777" w:rsidR="00B31292" w:rsidRDefault="00B31292" w:rsidP="00024A60">
      <w:pPr>
        <w:spacing w:after="0" w:line="240" w:lineRule="auto"/>
      </w:pPr>
      <w:r>
        <w:continuationSeparator/>
      </w:r>
    </w:p>
  </w:footnote>
  <w:footnote w:type="continuationNotice" w:id="1">
    <w:p w14:paraId="64600C97" w14:textId="77777777" w:rsidR="00B31292" w:rsidRDefault="00B31292">
      <w:pPr>
        <w:spacing w:after="0" w:line="240" w:lineRule="auto"/>
      </w:pPr>
    </w:p>
  </w:footnote>
  <w:footnote w:id="2">
    <w:p w14:paraId="385328CA" w14:textId="2CCDF854" w:rsidR="00B31292" w:rsidRPr="007C7EBE" w:rsidRDefault="00B31292">
      <w:pPr>
        <w:pStyle w:val="FootnoteText"/>
        <w:rPr>
          <w:lang w:val="en-US"/>
        </w:rPr>
      </w:pPr>
      <w:r>
        <w:rPr>
          <w:rStyle w:val="FootnoteReference"/>
        </w:rPr>
        <w:footnoteRef/>
      </w:r>
      <w:r>
        <w:t xml:space="preserve"> </w:t>
      </w:r>
      <w:r w:rsidRPr="003A4DBA">
        <w:rPr>
          <w:rFonts w:ascii="Garamond" w:hAnsi="Garamond"/>
          <w:lang w:val="en-GB"/>
        </w:rPr>
        <w:t xml:space="preserve">Bilanci i </w:t>
      </w:r>
      <w:r>
        <w:rPr>
          <w:rFonts w:ascii="Garamond" w:hAnsi="Garamond"/>
          <w:lang w:val="en-GB"/>
        </w:rPr>
        <w:t>p</w:t>
      </w:r>
      <w:r w:rsidRPr="003A4DBA">
        <w:rPr>
          <w:rFonts w:ascii="Garamond" w:hAnsi="Garamond"/>
          <w:lang w:val="en-GB"/>
        </w:rPr>
        <w:t>agesave është tregues financiar.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818DED" w14:textId="77777777" w:rsidR="00B31292" w:rsidRPr="00C406AB" w:rsidRDefault="00B31292" w:rsidP="00C406A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98785F" w14:textId="77777777" w:rsidR="00B31292" w:rsidRPr="00465AE0" w:rsidRDefault="00B31292" w:rsidP="002B62A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BB4B19"/>
    <w:multiLevelType w:val="hybridMultilevel"/>
    <w:tmpl w:val="8A9884C2"/>
    <w:lvl w:ilvl="0" w:tplc="04090001">
      <w:start w:val="1"/>
      <w:numFmt w:val="bullet"/>
      <w:lvlText w:val=""/>
      <w:lvlJc w:val="left"/>
      <w:pPr>
        <w:ind w:left="928"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1F4BFF"/>
    <w:multiLevelType w:val="hybridMultilevel"/>
    <w:tmpl w:val="BCCA45E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54603C0"/>
    <w:multiLevelType w:val="hybridMultilevel"/>
    <w:tmpl w:val="2B7A362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D01BE3"/>
    <w:multiLevelType w:val="hybridMultilevel"/>
    <w:tmpl w:val="2EF26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8F492E"/>
    <w:multiLevelType w:val="hybridMultilevel"/>
    <w:tmpl w:val="E4843A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5B1AF4"/>
    <w:multiLevelType w:val="hybridMultilevel"/>
    <w:tmpl w:val="76BEF32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C5456A"/>
    <w:multiLevelType w:val="hybridMultilevel"/>
    <w:tmpl w:val="1BE2127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0306A2"/>
    <w:multiLevelType w:val="hybridMultilevel"/>
    <w:tmpl w:val="31D877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4A304F"/>
    <w:multiLevelType w:val="hybridMultilevel"/>
    <w:tmpl w:val="FBC08080"/>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4511853"/>
    <w:multiLevelType w:val="hybridMultilevel"/>
    <w:tmpl w:val="BA40A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13763F"/>
    <w:multiLevelType w:val="hybridMultilevel"/>
    <w:tmpl w:val="58A66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9AB70AF"/>
    <w:multiLevelType w:val="hybridMultilevel"/>
    <w:tmpl w:val="5DBA18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BF24C9D"/>
    <w:multiLevelType w:val="hybridMultilevel"/>
    <w:tmpl w:val="C7CEB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BC309F"/>
    <w:multiLevelType w:val="multilevel"/>
    <w:tmpl w:val="172AFF6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50C0768"/>
    <w:multiLevelType w:val="hybridMultilevel"/>
    <w:tmpl w:val="547EE63E"/>
    <w:lvl w:ilvl="0" w:tplc="F7C60C18">
      <w:numFmt w:val="bullet"/>
      <w:lvlText w:val="-"/>
      <w:lvlJc w:val="left"/>
      <w:pPr>
        <w:ind w:left="720" w:hanging="360"/>
      </w:pPr>
      <w:rPr>
        <w:rFonts w:ascii="Cambria" w:eastAsia="MS Mincho" w:hAnsi="Cambria" w:cs="Times New Roman" w:hint="default"/>
      </w:rPr>
    </w:lvl>
    <w:lvl w:ilvl="1" w:tplc="53B8246E">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981365"/>
    <w:multiLevelType w:val="hybridMultilevel"/>
    <w:tmpl w:val="87D21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B1C50D7"/>
    <w:multiLevelType w:val="hybridMultilevel"/>
    <w:tmpl w:val="1E06427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7" w15:restartNumberingAfterBreak="0">
    <w:nsid w:val="42BA1267"/>
    <w:multiLevelType w:val="hybridMultilevel"/>
    <w:tmpl w:val="69A4485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2A7447"/>
    <w:multiLevelType w:val="hybridMultilevel"/>
    <w:tmpl w:val="A086AD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79D201A"/>
    <w:multiLevelType w:val="hybridMultilevel"/>
    <w:tmpl w:val="763C4E9A"/>
    <w:lvl w:ilvl="0" w:tplc="041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4F588D"/>
    <w:multiLevelType w:val="multilevel"/>
    <w:tmpl w:val="C2ACE37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B7A5A28"/>
    <w:multiLevelType w:val="hybridMultilevel"/>
    <w:tmpl w:val="32EC0D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B7D4293"/>
    <w:multiLevelType w:val="multilevel"/>
    <w:tmpl w:val="699E2EA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C010A51"/>
    <w:multiLevelType w:val="hybridMultilevel"/>
    <w:tmpl w:val="FA16D1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2E13F3E"/>
    <w:multiLevelType w:val="hybridMultilevel"/>
    <w:tmpl w:val="010458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53940F2B"/>
    <w:multiLevelType w:val="hybridMultilevel"/>
    <w:tmpl w:val="73C26E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68E5133"/>
    <w:multiLevelType w:val="hybridMultilevel"/>
    <w:tmpl w:val="964EC4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CD6A38"/>
    <w:multiLevelType w:val="hybridMultilevel"/>
    <w:tmpl w:val="46A8F3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FDC57CB"/>
    <w:multiLevelType w:val="hybridMultilevel"/>
    <w:tmpl w:val="6FA0EF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1F94D45"/>
    <w:multiLevelType w:val="hybridMultilevel"/>
    <w:tmpl w:val="0A1AE2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47D6558"/>
    <w:multiLevelType w:val="hybridMultilevel"/>
    <w:tmpl w:val="2B96943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9F53B24"/>
    <w:multiLevelType w:val="multilevel"/>
    <w:tmpl w:val="1FB4C27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A6F0059"/>
    <w:multiLevelType w:val="hybridMultilevel"/>
    <w:tmpl w:val="F09C527E"/>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6F723A4F"/>
    <w:multiLevelType w:val="hybridMultilevel"/>
    <w:tmpl w:val="3B522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1FB0004"/>
    <w:multiLevelType w:val="hybridMultilevel"/>
    <w:tmpl w:val="7D1E450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 w15:restartNumberingAfterBreak="0">
    <w:nsid w:val="7DBD1ED3"/>
    <w:multiLevelType w:val="hybridMultilevel"/>
    <w:tmpl w:val="938CFCC6"/>
    <w:lvl w:ilvl="0" w:tplc="51A21CFE">
      <w:start w:val="4"/>
      <w:numFmt w:val="bullet"/>
      <w:lvlText w:val="-"/>
      <w:lvlJc w:val="left"/>
      <w:pPr>
        <w:ind w:left="640" w:hanging="360"/>
      </w:pPr>
      <w:rPr>
        <w:rFonts w:ascii="Garamond" w:eastAsia="MS Mincho" w:hAnsi="Garamond" w:cs="Symbol" w:hint="default"/>
      </w:rPr>
    </w:lvl>
    <w:lvl w:ilvl="1" w:tplc="04090003" w:tentative="1">
      <w:start w:val="1"/>
      <w:numFmt w:val="bullet"/>
      <w:lvlText w:val="o"/>
      <w:lvlJc w:val="left"/>
      <w:pPr>
        <w:ind w:left="1360" w:hanging="360"/>
      </w:pPr>
      <w:rPr>
        <w:rFonts w:ascii="Courier New" w:hAnsi="Courier New" w:cs="Courier New" w:hint="default"/>
      </w:rPr>
    </w:lvl>
    <w:lvl w:ilvl="2" w:tplc="04090005" w:tentative="1">
      <w:start w:val="1"/>
      <w:numFmt w:val="bullet"/>
      <w:lvlText w:val=""/>
      <w:lvlJc w:val="left"/>
      <w:pPr>
        <w:ind w:left="2080" w:hanging="360"/>
      </w:pPr>
      <w:rPr>
        <w:rFonts w:ascii="Wingdings" w:hAnsi="Wingdings" w:hint="default"/>
      </w:rPr>
    </w:lvl>
    <w:lvl w:ilvl="3" w:tplc="04090001" w:tentative="1">
      <w:start w:val="1"/>
      <w:numFmt w:val="bullet"/>
      <w:lvlText w:val=""/>
      <w:lvlJc w:val="left"/>
      <w:pPr>
        <w:ind w:left="2800" w:hanging="360"/>
      </w:pPr>
      <w:rPr>
        <w:rFonts w:ascii="Symbol" w:hAnsi="Symbol" w:hint="default"/>
      </w:rPr>
    </w:lvl>
    <w:lvl w:ilvl="4" w:tplc="04090003" w:tentative="1">
      <w:start w:val="1"/>
      <w:numFmt w:val="bullet"/>
      <w:lvlText w:val="o"/>
      <w:lvlJc w:val="left"/>
      <w:pPr>
        <w:ind w:left="3520" w:hanging="360"/>
      </w:pPr>
      <w:rPr>
        <w:rFonts w:ascii="Courier New" w:hAnsi="Courier New" w:cs="Courier New" w:hint="default"/>
      </w:rPr>
    </w:lvl>
    <w:lvl w:ilvl="5" w:tplc="04090005" w:tentative="1">
      <w:start w:val="1"/>
      <w:numFmt w:val="bullet"/>
      <w:lvlText w:val=""/>
      <w:lvlJc w:val="left"/>
      <w:pPr>
        <w:ind w:left="4240" w:hanging="360"/>
      </w:pPr>
      <w:rPr>
        <w:rFonts w:ascii="Wingdings" w:hAnsi="Wingdings" w:hint="default"/>
      </w:rPr>
    </w:lvl>
    <w:lvl w:ilvl="6" w:tplc="04090001" w:tentative="1">
      <w:start w:val="1"/>
      <w:numFmt w:val="bullet"/>
      <w:lvlText w:val=""/>
      <w:lvlJc w:val="left"/>
      <w:pPr>
        <w:ind w:left="4960" w:hanging="360"/>
      </w:pPr>
      <w:rPr>
        <w:rFonts w:ascii="Symbol" w:hAnsi="Symbol" w:hint="default"/>
      </w:rPr>
    </w:lvl>
    <w:lvl w:ilvl="7" w:tplc="04090003" w:tentative="1">
      <w:start w:val="1"/>
      <w:numFmt w:val="bullet"/>
      <w:lvlText w:val="o"/>
      <w:lvlJc w:val="left"/>
      <w:pPr>
        <w:ind w:left="5680" w:hanging="360"/>
      </w:pPr>
      <w:rPr>
        <w:rFonts w:ascii="Courier New" w:hAnsi="Courier New" w:cs="Courier New" w:hint="default"/>
      </w:rPr>
    </w:lvl>
    <w:lvl w:ilvl="8" w:tplc="04090005" w:tentative="1">
      <w:start w:val="1"/>
      <w:numFmt w:val="bullet"/>
      <w:lvlText w:val=""/>
      <w:lvlJc w:val="left"/>
      <w:pPr>
        <w:ind w:left="6400" w:hanging="360"/>
      </w:pPr>
      <w:rPr>
        <w:rFonts w:ascii="Wingdings" w:hAnsi="Wingdings" w:hint="default"/>
      </w:rPr>
    </w:lvl>
  </w:abstractNum>
  <w:abstractNum w:abstractNumId="36" w15:restartNumberingAfterBreak="0">
    <w:nsid w:val="7E107076"/>
    <w:multiLevelType w:val="hybridMultilevel"/>
    <w:tmpl w:val="B4FE095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6"/>
  </w:num>
  <w:num w:numId="2">
    <w:abstractNumId w:val="14"/>
  </w:num>
  <w:num w:numId="3">
    <w:abstractNumId w:val="5"/>
  </w:num>
  <w:num w:numId="4">
    <w:abstractNumId w:val="36"/>
  </w:num>
  <w:num w:numId="5">
    <w:abstractNumId w:val="9"/>
  </w:num>
  <w:num w:numId="6">
    <w:abstractNumId w:val="0"/>
  </w:num>
  <w:num w:numId="7">
    <w:abstractNumId w:val="6"/>
  </w:num>
  <w:num w:numId="8">
    <w:abstractNumId w:val="1"/>
  </w:num>
  <w:num w:numId="9">
    <w:abstractNumId w:val="23"/>
  </w:num>
  <w:num w:numId="10">
    <w:abstractNumId w:val="24"/>
  </w:num>
  <w:num w:numId="11">
    <w:abstractNumId w:val="30"/>
  </w:num>
  <w:num w:numId="12">
    <w:abstractNumId w:val="15"/>
  </w:num>
  <w:num w:numId="13">
    <w:abstractNumId w:val="10"/>
  </w:num>
  <w:num w:numId="14">
    <w:abstractNumId w:val="4"/>
  </w:num>
  <w:num w:numId="15">
    <w:abstractNumId w:val="32"/>
  </w:num>
  <w:num w:numId="16">
    <w:abstractNumId w:val="12"/>
  </w:num>
  <w:num w:numId="17">
    <w:abstractNumId w:val="3"/>
  </w:num>
  <w:num w:numId="18">
    <w:abstractNumId w:val="33"/>
  </w:num>
  <w:num w:numId="19">
    <w:abstractNumId w:val="19"/>
  </w:num>
  <w:num w:numId="20">
    <w:abstractNumId w:val="18"/>
  </w:num>
  <w:num w:numId="21">
    <w:abstractNumId w:val="34"/>
  </w:num>
  <w:num w:numId="22">
    <w:abstractNumId w:val="8"/>
  </w:num>
  <w:num w:numId="23">
    <w:abstractNumId w:val="11"/>
  </w:num>
  <w:num w:numId="24">
    <w:abstractNumId w:val="2"/>
  </w:num>
  <w:num w:numId="25">
    <w:abstractNumId w:val="22"/>
  </w:num>
  <w:num w:numId="26">
    <w:abstractNumId w:val="20"/>
  </w:num>
  <w:num w:numId="27">
    <w:abstractNumId w:val="13"/>
  </w:num>
  <w:num w:numId="28">
    <w:abstractNumId w:val="31"/>
  </w:num>
  <w:num w:numId="29">
    <w:abstractNumId w:val="29"/>
  </w:num>
  <w:num w:numId="30">
    <w:abstractNumId w:val="17"/>
  </w:num>
  <w:num w:numId="31">
    <w:abstractNumId w:val="16"/>
  </w:num>
  <w:num w:numId="32">
    <w:abstractNumId w:val="35"/>
  </w:num>
  <w:num w:numId="33">
    <w:abstractNumId w:val="27"/>
  </w:num>
  <w:num w:numId="34">
    <w:abstractNumId w:val="21"/>
  </w:num>
  <w:num w:numId="35">
    <w:abstractNumId w:val="28"/>
  </w:num>
  <w:num w:numId="36">
    <w:abstractNumId w:val="7"/>
  </w:num>
  <w:num w:numId="37">
    <w:abstractNumId w:val="2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8"/>
  <w:hideSpellingErrors/>
  <w:hideGrammaticalErrors/>
  <w:defaultTabStop w:val="720"/>
  <w:characterSpacingControl w:val="doNotCompress"/>
  <w:hdrShapeDefaults>
    <o:shapedefaults v:ext="edit" spidmax="18433"/>
  </w:hdrShapeDefaults>
  <w:footnotePr>
    <w:numFmt w:val="lowerRoman"/>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4A60"/>
    <w:rsid w:val="000022B3"/>
    <w:rsid w:val="000023D7"/>
    <w:rsid w:val="000036F8"/>
    <w:rsid w:val="00004117"/>
    <w:rsid w:val="00006DE0"/>
    <w:rsid w:val="000075EC"/>
    <w:rsid w:val="00007C52"/>
    <w:rsid w:val="000101EB"/>
    <w:rsid w:val="0001131B"/>
    <w:rsid w:val="00011EE5"/>
    <w:rsid w:val="00012013"/>
    <w:rsid w:val="000125C7"/>
    <w:rsid w:val="00013D9F"/>
    <w:rsid w:val="00013DAD"/>
    <w:rsid w:val="00014806"/>
    <w:rsid w:val="0001489E"/>
    <w:rsid w:val="00014A1A"/>
    <w:rsid w:val="000158D4"/>
    <w:rsid w:val="00016373"/>
    <w:rsid w:val="00016463"/>
    <w:rsid w:val="00016D7A"/>
    <w:rsid w:val="00017450"/>
    <w:rsid w:val="0001791F"/>
    <w:rsid w:val="00020751"/>
    <w:rsid w:val="0002079D"/>
    <w:rsid w:val="00020C72"/>
    <w:rsid w:val="00020F63"/>
    <w:rsid w:val="000214C9"/>
    <w:rsid w:val="00022716"/>
    <w:rsid w:val="000227ED"/>
    <w:rsid w:val="00022C86"/>
    <w:rsid w:val="000235D7"/>
    <w:rsid w:val="000242F5"/>
    <w:rsid w:val="00024A60"/>
    <w:rsid w:val="000250DC"/>
    <w:rsid w:val="000261EC"/>
    <w:rsid w:val="00027B38"/>
    <w:rsid w:val="00031DB8"/>
    <w:rsid w:val="00032E76"/>
    <w:rsid w:val="00032EB4"/>
    <w:rsid w:val="00033143"/>
    <w:rsid w:val="00033517"/>
    <w:rsid w:val="0003360E"/>
    <w:rsid w:val="000340A9"/>
    <w:rsid w:val="000366CC"/>
    <w:rsid w:val="00041C60"/>
    <w:rsid w:val="00043345"/>
    <w:rsid w:val="00043B95"/>
    <w:rsid w:val="000441EF"/>
    <w:rsid w:val="00044924"/>
    <w:rsid w:val="00044D43"/>
    <w:rsid w:val="0005078B"/>
    <w:rsid w:val="00050951"/>
    <w:rsid w:val="0005149C"/>
    <w:rsid w:val="000529CD"/>
    <w:rsid w:val="00052ADA"/>
    <w:rsid w:val="00053B98"/>
    <w:rsid w:val="00054526"/>
    <w:rsid w:val="00054DF6"/>
    <w:rsid w:val="0005511B"/>
    <w:rsid w:val="00055F9A"/>
    <w:rsid w:val="0005731E"/>
    <w:rsid w:val="000574F6"/>
    <w:rsid w:val="000602BF"/>
    <w:rsid w:val="000609B8"/>
    <w:rsid w:val="00063DEB"/>
    <w:rsid w:val="00064576"/>
    <w:rsid w:val="00064B92"/>
    <w:rsid w:val="000660BD"/>
    <w:rsid w:val="00066542"/>
    <w:rsid w:val="00066E2D"/>
    <w:rsid w:val="00067839"/>
    <w:rsid w:val="00070D46"/>
    <w:rsid w:val="000714D2"/>
    <w:rsid w:val="00072D25"/>
    <w:rsid w:val="00073AAF"/>
    <w:rsid w:val="000751CD"/>
    <w:rsid w:val="00076069"/>
    <w:rsid w:val="0007638C"/>
    <w:rsid w:val="00076B2F"/>
    <w:rsid w:val="00076CF3"/>
    <w:rsid w:val="00077371"/>
    <w:rsid w:val="000815FE"/>
    <w:rsid w:val="0008259F"/>
    <w:rsid w:val="0008295C"/>
    <w:rsid w:val="00082C2E"/>
    <w:rsid w:val="00082F88"/>
    <w:rsid w:val="00084541"/>
    <w:rsid w:val="00084E1D"/>
    <w:rsid w:val="00086E4D"/>
    <w:rsid w:val="000873BF"/>
    <w:rsid w:val="00087CFE"/>
    <w:rsid w:val="00091042"/>
    <w:rsid w:val="00094093"/>
    <w:rsid w:val="0009415E"/>
    <w:rsid w:val="000945CA"/>
    <w:rsid w:val="00094BF4"/>
    <w:rsid w:val="00095530"/>
    <w:rsid w:val="00095CE6"/>
    <w:rsid w:val="00095F8C"/>
    <w:rsid w:val="000A2254"/>
    <w:rsid w:val="000A23DD"/>
    <w:rsid w:val="000A2B0C"/>
    <w:rsid w:val="000A3105"/>
    <w:rsid w:val="000A3D47"/>
    <w:rsid w:val="000A4E28"/>
    <w:rsid w:val="000A6488"/>
    <w:rsid w:val="000A6F36"/>
    <w:rsid w:val="000A728B"/>
    <w:rsid w:val="000A738B"/>
    <w:rsid w:val="000B2CB0"/>
    <w:rsid w:val="000B339B"/>
    <w:rsid w:val="000B447B"/>
    <w:rsid w:val="000B46C2"/>
    <w:rsid w:val="000B5C89"/>
    <w:rsid w:val="000B6D34"/>
    <w:rsid w:val="000C0B18"/>
    <w:rsid w:val="000C1181"/>
    <w:rsid w:val="000C1398"/>
    <w:rsid w:val="000C216D"/>
    <w:rsid w:val="000C2871"/>
    <w:rsid w:val="000C2950"/>
    <w:rsid w:val="000C51FB"/>
    <w:rsid w:val="000C552B"/>
    <w:rsid w:val="000C5751"/>
    <w:rsid w:val="000C66CC"/>
    <w:rsid w:val="000C7C7C"/>
    <w:rsid w:val="000D018C"/>
    <w:rsid w:val="000D076A"/>
    <w:rsid w:val="000D1D2A"/>
    <w:rsid w:val="000D3D88"/>
    <w:rsid w:val="000D6B3B"/>
    <w:rsid w:val="000D77AC"/>
    <w:rsid w:val="000D77EE"/>
    <w:rsid w:val="000E050B"/>
    <w:rsid w:val="000E0CE5"/>
    <w:rsid w:val="000E0EF7"/>
    <w:rsid w:val="000E2B41"/>
    <w:rsid w:val="000E445F"/>
    <w:rsid w:val="000E4549"/>
    <w:rsid w:val="000E64E2"/>
    <w:rsid w:val="000E686A"/>
    <w:rsid w:val="000E7807"/>
    <w:rsid w:val="000E7A3C"/>
    <w:rsid w:val="000E7E60"/>
    <w:rsid w:val="000F01D1"/>
    <w:rsid w:val="000F0D03"/>
    <w:rsid w:val="000F153A"/>
    <w:rsid w:val="000F15CF"/>
    <w:rsid w:val="000F17B9"/>
    <w:rsid w:val="000F17CA"/>
    <w:rsid w:val="000F2DB1"/>
    <w:rsid w:val="000F3D62"/>
    <w:rsid w:val="000F4D31"/>
    <w:rsid w:val="000F5434"/>
    <w:rsid w:val="000F64AF"/>
    <w:rsid w:val="000F66D3"/>
    <w:rsid w:val="000F6B10"/>
    <w:rsid w:val="000F6DC9"/>
    <w:rsid w:val="000F7485"/>
    <w:rsid w:val="00100000"/>
    <w:rsid w:val="001000D0"/>
    <w:rsid w:val="0010186E"/>
    <w:rsid w:val="00103114"/>
    <w:rsid w:val="00103690"/>
    <w:rsid w:val="00103CC5"/>
    <w:rsid w:val="001047DC"/>
    <w:rsid w:val="001069FC"/>
    <w:rsid w:val="00106FB4"/>
    <w:rsid w:val="00107369"/>
    <w:rsid w:val="00107486"/>
    <w:rsid w:val="00110225"/>
    <w:rsid w:val="00110CA3"/>
    <w:rsid w:val="00111898"/>
    <w:rsid w:val="00111A6A"/>
    <w:rsid w:val="00112C3C"/>
    <w:rsid w:val="0011351F"/>
    <w:rsid w:val="00113A22"/>
    <w:rsid w:val="00113DB2"/>
    <w:rsid w:val="00114096"/>
    <w:rsid w:val="0011475B"/>
    <w:rsid w:val="001168C1"/>
    <w:rsid w:val="00117786"/>
    <w:rsid w:val="00120B26"/>
    <w:rsid w:val="00121EC9"/>
    <w:rsid w:val="00122155"/>
    <w:rsid w:val="00122B67"/>
    <w:rsid w:val="00122BF7"/>
    <w:rsid w:val="00123A7F"/>
    <w:rsid w:val="0012403A"/>
    <w:rsid w:val="00124146"/>
    <w:rsid w:val="00124BFE"/>
    <w:rsid w:val="00124DD6"/>
    <w:rsid w:val="00125CFE"/>
    <w:rsid w:val="00126105"/>
    <w:rsid w:val="00126C45"/>
    <w:rsid w:val="001276DB"/>
    <w:rsid w:val="00127DBA"/>
    <w:rsid w:val="00127EF4"/>
    <w:rsid w:val="0013010B"/>
    <w:rsid w:val="0013027D"/>
    <w:rsid w:val="00130FF2"/>
    <w:rsid w:val="00132CFB"/>
    <w:rsid w:val="00134198"/>
    <w:rsid w:val="0013570C"/>
    <w:rsid w:val="0013646F"/>
    <w:rsid w:val="00136728"/>
    <w:rsid w:val="00136A78"/>
    <w:rsid w:val="00136D7E"/>
    <w:rsid w:val="0013750A"/>
    <w:rsid w:val="00141B28"/>
    <w:rsid w:val="00142E22"/>
    <w:rsid w:val="00142E3F"/>
    <w:rsid w:val="00142F85"/>
    <w:rsid w:val="00143D82"/>
    <w:rsid w:val="001443E0"/>
    <w:rsid w:val="0014485A"/>
    <w:rsid w:val="00144F5C"/>
    <w:rsid w:val="00145B10"/>
    <w:rsid w:val="00146185"/>
    <w:rsid w:val="001461C2"/>
    <w:rsid w:val="00146735"/>
    <w:rsid w:val="00146869"/>
    <w:rsid w:val="00146E2D"/>
    <w:rsid w:val="0014764F"/>
    <w:rsid w:val="001478C6"/>
    <w:rsid w:val="001479BC"/>
    <w:rsid w:val="00150703"/>
    <w:rsid w:val="00151C05"/>
    <w:rsid w:val="00152191"/>
    <w:rsid w:val="001523CE"/>
    <w:rsid w:val="00152A81"/>
    <w:rsid w:val="0015407F"/>
    <w:rsid w:val="00154153"/>
    <w:rsid w:val="001544D9"/>
    <w:rsid w:val="00155734"/>
    <w:rsid w:val="001564DF"/>
    <w:rsid w:val="00156673"/>
    <w:rsid w:val="00156849"/>
    <w:rsid w:val="00160001"/>
    <w:rsid w:val="00161059"/>
    <w:rsid w:val="00162B55"/>
    <w:rsid w:val="00163B1A"/>
    <w:rsid w:val="00164A66"/>
    <w:rsid w:val="0016582C"/>
    <w:rsid w:val="001700AB"/>
    <w:rsid w:val="001708E9"/>
    <w:rsid w:val="00170D29"/>
    <w:rsid w:val="00171BFF"/>
    <w:rsid w:val="00174E09"/>
    <w:rsid w:val="0017519A"/>
    <w:rsid w:val="00176E16"/>
    <w:rsid w:val="00181F48"/>
    <w:rsid w:val="00183AB8"/>
    <w:rsid w:val="00183EF9"/>
    <w:rsid w:val="00184124"/>
    <w:rsid w:val="001848E3"/>
    <w:rsid w:val="00184D73"/>
    <w:rsid w:val="001856E0"/>
    <w:rsid w:val="00185C01"/>
    <w:rsid w:val="00186279"/>
    <w:rsid w:val="00186FDF"/>
    <w:rsid w:val="001874C9"/>
    <w:rsid w:val="00190859"/>
    <w:rsid w:val="00190F48"/>
    <w:rsid w:val="00191050"/>
    <w:rsid w:val="00192048"/>
    <w:rsid w:val="0019283B"/>
    <w:rsid w:val="00192DA1"/>
    <w:rsid w:val="001933F1"/>
    <w:rsid w:val="00193F28"/>
    <w:rsid w:val="001940B6"/>
    <w:rsid w:val="00194679"/>
    <w:rsid w:val="00194823"/>
    <w:rsid w:val="00196E62"/>
    <w:rsid w:val="001A051F"/>
    <w:rsid w:val="001A2346"/>
    <w:rsid w:val="001A2E28"/>
    <w:rsid w:val="001A58F9"/>
    <w:rsid w:val="001A596F"/>
    <w:rsid w:val="001A6EBE"/>
    <w:rsid w:val="001A7100"/>
    <w:rsid w:val="001B27D2"/>
    <w:rsid w:val="001B28F6"/>
    <w:rsid w:val="001B2AEF"/>
    <w:rsid w:val="001B32CB"/>
    <w:rsid w:val="001B3353"/>
    <w:rsid w:val="001B358E"/>
    <w:rsid w:val="001B35DE"/>
    <w:rsid w:val="001B3E09"/>
    <w:rsid w:val="001B48DC"/>
    <w:rsid w:val="001B4D0B"/>
    <w:rsid w:val="001B4D40"/>
    <w:rsid w:val="001B78DD"/>
    <w:rsid w:val="001C12B2"/>
    <w:rsid w:val="001C1ACD"/>
    <w:rsid w:val="001C2BDF"/>
    <w:rsid w:val="001C3FDF"/>
    <w:rsid w:val="001C49D0"/>
    <w:rsid w:val="001C5776"/>
    <w:rsid w:val="001C60C4"/>
    <w:rsid w:val="001C6DE3"/>
    <w:rsid w:val="001C7C91"/>
    <w:rsid w:val="001D0094"/>
    <w:rsid w:val="001D07C8"/>
    <w:rsid w:val="001D2145"/>
    <w:rsid w:val="001D2692"/>
    <w:rsid w:val="001D45F4"/>
    <w:rsid w:val="001D4789"/>
    <w:rsid w:val="001D4984"/>
    <w:rsid w:val="001D60BA"/>
    <w:rsid w:val="001D7ECC"/>
    <w:rsid w:val="001D7F28"/>
    <w:rsid w:val="001E1C10"/>
    <w:rsid w:val="001E238E"/>
    <w:rsid w:val="001E343E"/>
    <w:rsid w:val="001E3A66"/>
    <w:rsid w:val="001E4972"/>
    <w:rsid w:val="001E52DB"/>
    <w:rsid w:val="001E5725"/>
    <w:rsid w:val="001E71E7"/>
    <w:rsid w:val="001E7F34"/>
    <w:rsid w:val="001F00F3"/>
    <w:rsid w:val="001F0C65"/>
    <w:rsid w:val="001F1DED"/>
    <w:rsid w:val="001F225D"/>
    <w:rsid w:val="001F2CC6"/>
    <w:rsid w:val="001F2CF4"/>
    <w:rsid w:val="001F322B"/>
    <w:rsid w:val="001F3788"/>
    <w:rsid w:val="001F3A5F"/>
    <w:rsid w:val="001F3B41"/>
    <w:rsid w:val="001F4C55"/>
    <w:rsid w:val="001F5DB5"/>
    <w:rsid w:val="001F73B2"/>
    <w:rsid w:val="001F747A"/>
    <w:rsid w:val="001F75F2"/>
    <w:rsid w:val="00200358"/>
    <w:rsid w:val="0020050A"/>
    <w:rsid w:val="00200522"/>
    <w:rsid w:val="00201096"/>
    <w:rsid w:val="00201FD2"/>
    <w:rsid w:val="002020A0"/>
    <w:rsid w:val="002022E4"/>
    <w:rsid w:val="002022F8"/>
    <w:rsid w:val="00202337"/>
    <w:rsid w:val="00203BC7"/>
    <w:rsid w:val="002044F7"/>
    <w:rsid w:val="0020485E"/>
    <w:rsid w:val="00204C2F"/>
    <w:rsid w:val="002051C9"/>
    <w:rsid w:val="00205B7E"/>
    <w:rsid w:val="00206D64"/>
    <w:rsid w:val="00207159"/>
    <w:rsid w:val="00207764"/>
    <w:rsid w:val="0020782E"/>
    <w:rsid w:val="002117A5"/>
    <w:rsid w:val="00211C11"/>
    <w:rsid w:val="002121A9"/>
    <w:rsid w:val="00213C69"/>
    <w:rsid w:val="00214EE8"/>
    <w:rsid w:val="00215DA2"/>
    <w:rsid w:val="00216624"/>
    <w:rsid w:val="00216B7B"/>
    <w:rsid w:val="00220D2F"/>
    <w:rsid w:val="0022109B"/>
    <w:rsid w:val="00221A99"/>
    <w:rsid w:val="00222B38"/>
    <w:rsid w:val="00223207"/>
    <w:rsid w:val="0022430F"/>
    <w:rsid w:val="00224B8D"/>
    <w:rsid w:val="00224C03"/>
    <w:rsid w:val="002251ED"/>
    <w:rsid w:val="00225927"/>
    <w:rsid w:val="00225A79"/>
    <w:rsid w:val="002277EC"/>
    <w:rsid w:val="00230B66"/>
    <w:rsid w:val="00230E00"/>
    <w:rsid w:val="00231281"/>
    <w:rsid w:val="00231526"/>
    <w:rsid w:val="00231942"/>
    <w:rsid w:val="00232043"/>
    <w:rsid w:val="00232626"/>
    <w:rsid w:val="002331A8"/>
    <w:rsid w:val="00234FFC"/>
    <w:rsid w:val="00235AAB"/>
    <w:rsid w:val="00237E08"/>
    <w:rsid w:val="00240C61"/>
    <w:rsid w:val="00240F88"/>
    <w:rsid w:val="0024112C"/>
    <w:rsid w:val="0024355E"/>
    <w:rsid w:val="00243D10"/>
    <w:rsid w:val="00244176"/>
    <w:rsid w:val="00244D6D"/>
    <w:rsid w:val="00246FFD"/>
    <w:rsid w:val="002473FA"/>
    <w:rsid w:val="00251601"/>
    <w:rsid w:val="00251E8A"/>
    <w:rsid w:val="002525E5"/>
    <w:rsid w:val="0025480C"/>
    <w:rsid w:val="00257DF0"/>
    <w:rsid w:val="002604BC"/>
    <w:rsid w:val="00263C48"/>
    <w:rsid w:val="002650F9"/>
    <w:rsid w:val="00265146"/>
    <w:rsid w:val="0026588F"/>
    <w:rsid w:val="00266472"/>
    <w:rsid w:val="002667D9"/>
    <w:rsid w:val="0026687A"/>
    <w:rsid w:val="00266B25"/>
    <w:rsid w:val="00271BA7"/>
    <w:rsid w:val="002724E6"/>
    <w:rsid w:val="00275D95"/>
    <w:rsid w:val="00276340"/>
    <w:rsid w:val="00276965"/>
    <w:rsid w:val="00276B87"/>
    <w:rsid w:val="00280866"/>
    <w:rsid w:val="0028126C"/>
    <w:rsid w:val="0028319C"/>
    <w:rsid w:val="002835D0"/>
    <w:rsid w:val="002836DE"/>
    <w:rsid w:val="00290191"/>
    <w:rsid w:val="00290747"/>
    <w:rsid w:val="00292A6C"/>
    <w:rsid w:val="00293B51"/>
    <w:rsid w:val="00295990"/>
    <w:rsid w:val="00296B7A"/>
    <w:rsid w:val="00296E08"/>
    <w:rsid w:val="002970F0"/>
    <w:rsid w:val="002A1909"/>
    <w:rsid w:val="002A2A48"/>
    <w:rsid w:val="002A362C"/>
    <w:rsid w:val="002A3EB4"/>
    <w:rsid w:val="002A42ED"/>
    <w:rsid w:val="002A4D74"/>
    <w:rsid w:val="002A50C4"/>
    <w:rsid w:val="002B0213"/>
    <w:rsid w:val="002B0447"/>
    <w:rsid w:val="002B0B53"/>
    <w:rsid w:val="002B0C41"/>
    <w:rsid w:val="002B1058"/>
    <w:rsid w:val="002B1791"/>
    <w:rsid w:val="002B2498"/>
    <w:rsid w:val="002B354F"/>
    <w:rsid w:val="002B62A9"/>
    <w:rsid w:val="002B7BBF"/>
    <w:rsid w:val="002C00C0"/>
    <w:rsid w:val="002C0951"/>
    <w:rsid w:val="002C09BA"/>
    <w:rsid w:val="002C0E68"/>
    <w:rsid w:val="002C13F8"/>
    <w:rsid w:val="002C1D56"/>
    <w:rsid w:val="002C217F"/>
    <w:rsid w:val="002C39A1"/>
    <w:rsid w:val="002C3FCB"/>
    <w:rsid w:val="002D07EF"/>
    <w:rsid w:val="002D09C6"/>
    <w:rsid w:val="002D0A6E"/>
    <w:rsid w:val="002D0D67"/>
    <w:rsid w:val="002D1711"/>
    <w:rsid w:val="002D22D0"/>
    <w:rsid w:val="002D270F"/>
    <w:rsid w:val="002D2B6F"/>
    <w:rsid w:val="002D3A61"/>
    <w:rsid w:val="002D5127"/>
    <w:rsid w:val="002D6660"/>
    <w:rsid w:val="002D782D"/>
    <w:rsid w:val="002E0ADE"/>
    <w:rsid w:val="002E0EE6"/>
    <w:rsid w:val="002E1424"/>
    <w:rsid w:val="002E14DB"/>
    <w:rsid w:val="002E2911"/>
    <w:rsid w:val="002E40BF"/>
    <w:rsid w:val="002E5161"/>
    <w:rsid w:val="002E5DE4"/>
    <w:rsid w:val="002E6A31"/>
    <w:rsid w:val="002E783E"/>
    <w:rsid w:val="002F03A6"/>
    <w:rsid w:val="002F1888"/>
    <w:rsid w:val="002F2569"/>
    <w:rsid w:val="002F2973"/>
    <w:rsid w:val="002F2A78"/>
    <w:rsid w:val="002F2C76"/>
    <w:rsid w:val="002F3247"/>
    <w:rsid w:val="002F3CFA"/>
    <w:rsid w:val="002F3E0B"/>
    <w:rsid w:val="002F3EAF"/>
    <w:rsid w:val="002F5447"/>
    <w:rsid w:val="002F5473"/>
    <w:rsid w:val="002F55ED"/>
    <w:rsid w:val="002F5A2D"/>
    <w:rsid w:val="002F67B6"/>
    <w:rsid w:val="002F6886"/>
    <w:rsid w:val="003001B2"/>
    <w:rsid w:val="0030157A"/>
    <w:rsid w:val="00301C27"/>
    <w:rsid w:val="003039AE"/>
    <w:rsid w:val="00304383"/>
    <w:rsid w:val="003048E5"/>
    <w:rsid w:val="003049EB"/>
    <w:rsid w:val="00306AE5"/>
    <w:rsid w:val="00306ECF"/>
    <w:rsid w:val="003102C1"/>
    <w:rsid w:val="00311CB4"/>
    <w:rsid w:val="00312908"/>
    <w:rsid w:val="00312A46"/>
    <w:rsid w:val="00313460"/>
    <w:rsid w:val="00314190"/>
    <w:rsid w:val="003141B7"/>
    <w:rsid w:val="00314633"/>
    <w:rsid w:val="003154DF"/>
    <w:rsid w:val="00315699"/>
    <w:rsid w:val="00315D3D"/>
    <w:rsid w:val="0031639D"/>
    <w:rsid w:val="00317BD1"/>
    <w:rsid w:val="00322AB7"/>
    <w:rsid w:val="00323614"/>
    <w:rsid w:val="00323E9C"/>
    <w:rsid w:val="0032435A"/>
    <w:rsid w:val="003243A5"/>
    <w:rsid w:val="003257FC"/>
    <w:rsid w:val="00325DED"/>
    <w:rsid w:val="00326047"/>
    <w:rsid w:val="0032694B"/>
    <w:rsid w:val="00330233"/>
    <w:rsid w:val="00330399"/>
    <w:rsid w:val="00330630"/>
    <w:rsid w:val="00331F11"/>
    <w:rsid w:val="003327ED"/>
    <w:rsid w:val="00333136"/>
    <w:rsid w:val="00334378"/>
    <w:rsid w:val="0033437C"/>
    <w:rsid w:val="00335BDD"/>
    <w:rsid w:val="0033645F"/>
    <w:rsid w:val="00336C2A"/>
    <w:rsid w:val="00336EBD"/>
    <w:rsid w:val="003372D5"/>
    <w:rsid w:val="00337962"/>
    <w:rsid w:val="00340F7E"/>
    <w:rsid w:val="00341F20"/>
    <w:rsid w:val="00342020"/>
    <w:rsid w:val="00343389"/>
    <w:rsid w:val="00343E6A"/>
    <w:rsid w:val="00345484"/>
    <w:rsid w:val="0034676D"/>
    <w:rsid w:val="00347148"/>
    <w:rsid w:val="0034765B"/>
    <w:rsid w:val="003506FF"/>
    <w:rsid w:val="00351A52"/>
    <w:rsid w:val="00351F9A"/>
    <w:rsid w:val="003524E8"/>
    <w:rsid w:val="00353C8F"/>
    <w:rsid w:val="00354012"/>
    <w:rsid w:val="003540F1"/>
    <w:rsid w:val="003541CE"/>
    <w:rsid w:val="00360AF0"/>
    <w:rsid w:val="00361335"/>
    <w:rsid w:val="0036193A"/>
    <w:rsid w:val="00361A44"/>
    <w:rsid w:val="003622D1"/>
    <w:rsid w:val="0036476E"/>
    <w:rsid w:val="003660E2"/>
    <w:rsid w:val="003672B7"/>
    <w:rsid w:val="003678F5"/>
    <w:rsid w:val="003702DD"/>
    <w:rsid w:val="0037199A"/>
    <w:rsid w:val="00371A95"/>
    <w:rsid w:val="00372331"/>
    <w:rsid w:val="00372F4E"/>
    <w:rsid w:val="0037387B"/>
    <w:rsid w:val="00373FA5"/>
    <w:rsid w:val="003765DD"/>
    <w:rsid w:val="00376834"/>
    <w:rsid w:val="00377263"/>
    <w:rsid w:val="003803C0"/>
    <w:rsid w:val="00381ADB"/>
    <w:rsid w:val="00382EC5"/>
    <w:rsid w:val="00384D00"/>
    <w:rsid w:val="00384E37"/>
    <w:rsid w:val="0038521B"/>
    <w:rsid w:val="00385482"/>
    <w:rsid w:val="00386A01"/>
    <w:rsid w:val="00387AAC"/>
    <w:rsid w:val="0039014C"/>
    <w:rsid w:val="003905B3"/>
    <w:rsid w:val="00390C63"/>
    <w:rsid w:val="00391406"/>
    <w:rsid w:val="003925A2"/>
    <w:rsid w:val="003927AF"/>
    <w:rsid w:val="003939A9"/>
    <w:rsid w:val="0039443E"/>
    <w:rsid w:val="00395A48"/>
    <w:rsid w:val="00396114"/>
    <w:rsid w:val="00396EC4"/>
    <w:rsid w:val="003978BE"/>
    <w:rsid w:val="003A002A"/>
    <w:rsid w:val="003A1A7E"/>
    <w:rsid w:val="003A1F63"/>
    <w:rsid w:val="003A2423"/>
    <w:rsid w:val="003A24E8"/>
    <w:rsid w:val="003A2651"/>
    <w:rsid w:val="003A30D5"/>
    <w:rsid w:val="003A3A50"/>
    <w:rsid w:val="003A3F26"/>
    <w:rsid w:val="003A4DBA"/>
    <w:rsid w:val="003A508C"/>
    <w:rsid w:val="003A6A6F"/>
    <w:rsid w:val="003A6AF1"/>
    <w:rsid w:val="003A6BF1"/>
    <w:rsid w:val="003A7433"/>
    <w:rsid w:val="003A7EA0"/>
    <w:rsid w:val="003B0054"/>
    <w:rsid w:val="003B0AD2"/>
    <w:rsid w:val="003B18A0"/>
    <w:rsid w:val="003B1CA8"/>
    <w:rsid w:val="003B21C7"/>
    <w:rsid w:val="003B2385"/>
    <w:rsid w:val="003B2EB1"/>
    <w:rsid w:val="003B32C7"/>
    <w:rsid w:val="003B351F"/>
    <w:rsid w:val="003B4E69"/>
    <w:rsid w:val="003B4F17"/>
    <w:rsid w:val="003B5833"/>
    <w:rsid w:val="003B6C9A"/>
    <w:rsid w:val="003B77CB"/>
    <w:rsid w:val="003B7D5A"/>
    <w:rsid w:val="003C0F46"/>
    <w:rsid w:val="003C30C4"/>
    <w:rsid w:val="003C430A"/>
    <w:rsid w:val="003C4508"/>
    <w:rsid w:val="003C456F"/>
    <w:rsid w:val="003C6F57"/>
    <w:rsid w:val="003C72DE"/>
    <w:rsid w:val="003C7C9F"/>
    <w:rsid w:val="003D0878"/>
    <w:rsid w:val="003D2233"/>
    <w:rsid w:val="003D2AFA"/>
    <w:rsid w:val="003D2CDE"/>
    <w:rsid w:val="003D4004"/>
    <w:rsid w:val="003D4DAC"/>
    <w:rsid w:val="003D4DF4"/>
    <w:rsid w:val="003D5E94"/>
    <w:rsid w:val="003D6065"/>
    <w:rsid w:val="003D64FD"/>
    <w:rsid w:val="003D7FA0"/>
    <w:rsid w:val="003E0D90"/>
    <w:rsid w:val="003E16E0"/>
    <w:rsid w:val="003E261F"/>
    <w:rsid w:val="003E2CD1"/>
    <w:rsid w:val="003E2D4E"/>
    <w:rsid w:val="003E2E7C"/>
    <w:rsid w:val="003E3B90"/>
    <w:rsid w:val="003E4C88"/>
    <w:rsid w:val="003E5114"/>
    <w:rsid w:val="003E563C"/>
    <w:rsid w:val="003E5DAA"/>
    <w:rsid w:val="003E6391"/>
    <w:rsid w:val="003E6EAA"/>
    <w:rsid w:val="003E7781"/>
    <w:rsid w:val="003E7929"/>
    <w:rsid w:val="003F0622"/>
    <w:rsid w:val="003F0A90"/>
    <w:rsid w:val="003F11B8"/>
    <w:rsid w:val="003F2ACE"/>
    <w:rsid w:val="003F46DE"/>
    <w:rsid w:val="003F5D3D"/>
    <w:rsid w:val="003F6A35"/>
    <w:rsid w:val="004008A5"/>
    <w:rsid w:val="00400ABC"/>
    <w:rsid w:val="00400AC9"/>
    <w:rsid w:val="004012FF"/>
    <w:rsid w:val="00401715"/>
    <w:rsid w:val="00401808"/>
    <w:rsid w:val="004018A5"/>
    <w:rsid w:val="00402B63"/>
    <w:rsid w:val="00403130"/>
    <w:rsid w:val="00403C93"/>
    <w:rsid w:val="00404001"/>
    <w:rsid w:val="00404B28"/>
    <w:rsid w:val="00404B9B"/>
    <w:rsid w:val="00405270"/>
    <w:rsid w:val="00406A3D"/>
    <w:rsid w:val="004075AF"/>
    <w:rsid w:val="00410226"/>
    <w:rsid w:val="004116BB"/>
    <w:rsid w:val="00411E69"/>
    <w:rsid w:val="00411EF6"/>
    <w:rsid w:val="0041219F"/>
    <w:rsid w:val="0041242C"/>
    <w:rsid w:val="00412DA0"/>
    <w:rsid w:val="00412F28"/>
    <w:rsid w:val="00414261"/>
    <w:rsid w:val="00414788"/>
    <w:rsid w:val="00415818"/>
    <w:rsid w:val="004158B1"/>
    <w:rsid w:val="00416075"/>
    <w:rsid w:val="00416408"/>
    <w:rsid w:val="00416A66"/>
    <w:rsid w:val="00417FB9"/>
    <w:rsid w:val="00420254"/>
    <w:rsid w:val="00421072"/>
    <w:rsid w:val="0042159F"/>
    <w:rsid w:val="00421EF7"/>
    <w:rsid w:val="00423963"/>
    <w:rsid w:val="00423E5A"/>
    <w:rsid w:val="00425E5E"/>
    <w:rsid w:val="00431641"/>
    <w:rsid w:val="00432C07"/>
    <w:rsid w:val="00433589"/>
    <w:rsid w:val="00433703"/>
    <w:rsid w:val="00433B6D"/>
    <w:rsid w:val="00434D2E"/>
    <w:rsid w:val="004360B8"/>
    <w:rsid w:val="004366A4"/>
    <w:rsid w:val="00437CE4"/>
    <w:rsid w:val="004408D7"/>
    <w:rsid w:val="00440FFB"/>
    <w:rsid w:val="004416BB"/>
    <w:rsid w:val="00441D9B"/>
    <w:rsid w:val="00442F28"/>
    <w:rsid w:val="0044300D"/>
    <w:rsid w:val="00443C97"/>
    <w:rsid w:val="00444BA2"/>
    <w:rsid w:val="0044577D"/>
    <w:rsid w:val="00446057"/>
    <w:rsid w:val="004462AB"/>
    <w:rsid w:val="00446584"/>
    <w:rsid w:val="00446904"/>
    <w:rsid w:val="0044691B"/>
    <w:rsid w:val="00446EB9"/>
    <w:rsid w:val="00450079"/>
    <w:rsid w:val="004502E9"/>
    <w:rsid w:val="00450679"/>
    <w:rsid w:val="0045180C"/>
    <w:rsid w:val="00451AA7"/>
    <w:rsid w:val="00454B06"/>
    <w:rsid w:val="00454F37"/>
    <w:rsid w:val="0045565E"/>
    <w:rsid w:val="004557BC"/>
    <w:rsid w:val="004559B5"/>
    <w:rsid w:val="0045797E"/>
    <w:rsid w:val="0046031E"/>
    <w:rsid w:val="004628F9"/>
    <w:rsid w:val="0046382C"/>
    <w:rsid w:val="0046419F"/>
    <w:rsid w:val="00464504"/>
    <w:rsid w:val="004646C7"/>
    <w:rsid w:val="004664A8"/>
    <w:rsid w:val="00466F72"/>
    <w:rsid w:val="00467B3E"/>
    <w:rsid w:val="00472998"/>
    <w:rsid w:val="00472BC7"/>
    <w:rsid w:val="004731B3"/>
    <w:rsid w:val="004731B7"/>
    <w:rsid w:val="004746E6"/>
    <w:rsid w:val="004747EF"/>
    <w:rsid w:val="004754EC"/>
    <w:rsid w:val="004754F7"/>
    <w:rsid w:val="0047616A"/>
    <w:rsid w:val="0047779F"/>
    <w:rsid w:val="00477B67"/>
    <w:rsid w:val="00477D0A"/>
    <w:rsid w:val="004815E5"/>
    <w:rsid w:val="004829E2"/>
    <w:rsid w:val="00482CB3"/>
    <w:rsid w:val="004830B7"/>
    <w:rsid w:val="004840A4"/>
    <w:rsid w:val="00485343"/>
    <w:rsid w:val="00486B08"/>
    <w:rsid w:val="0048797B"/>
    <w:rsid w:val="00487BDF"/>
    <w:rsid w:val="0049021F"/>
    <w:rsid w:val="00491903"/>
    <w:rsid w:val="00492DDA"/>
    <w:rsid w:val="00493E26"/>
    <w:rsid w:val="0049493E"/>
    <w:rsid w:val="00494DA2"/>
    <w:rsid w:val="00495BC1"/>
    <w:rsid w:val="0049634F"/>
    <w:rsid w:val="00497260"/>
    <w:rsid w:val="004A04BA"/>
    <w:rsid w:val="004A0E81"/>
    <w:rsid w:val="004A1780"/>
    <w:rsid w:val="004A1996"/>
    <w:rsid w:val="004A26CF"/>
    <w:rsid w:val="004A2CD3"/>
    <w:rsid w:val="004A2E48"/>
    <w:rsid w:val="004A455F"/>
    <w:rsid w:val="004A5709"/>
    <w:rsid w:val="004A5D5B"/>
    <w:rsid w:val="004A6446"/>
    <w:rsid w:val="004A6AA7"/>
    <w:rsid w:val="004A6F4A"/>
    <w:rsid w:val="004A7E52"/>
    <w:rsid w:val="004A7E69"/>
    <w:rsid w:val="004B180B"/>
    <w:rsid w:val="004B2719"/>
    <w:rsid w:val="004B3865"/>
    <w:rsid w:val="004B44D6"/>
    <w:rsid w:val="004B6973"/>
    <w:rsid w:val="004B6CA4"/>
    <w:rsid w:val="004B745A"/>
    <w:rsid w:val="004C004C"/>
    <w:rsid w:val="004C1936"/>
    <w:rsid w:val="004C27CB"/>
    <w:rsid w:val="004C2884"/>
    <w:rsid w:val="004C2B5A"/>
    <w:rsid w:val="004C32DE"/>
    <w:rsid w:val="004C38E4"/>
    <w:rsid w:val="004C399F"/>
    <w:rsid w:val="004C3D6E"/>
    <w:rsid w:val="004C50DE"/>
    <w:rsid w:val="004C61E5"/>
    <w:rsid w:val="004C622C"/>
    <w:rsid w:val="004C661C"/>
    <w:rsid w:val="004C6BBB"/>
    <w:rsid w:val="004C6F83"/>
    <w:rsid w:val="004C7454"/>
    <w:rsid w:val="004D00DE"/>
    <w:rsid w:val="004D04B7"/>
    <w:rsid w:val="004D06B9"/>
    <w:rsid w:val="004D17A1"/>
    <w:rsid w:val="004D1BFC"/>
    <w:rsid w:val="004D2B7B"/>
    <w:rsid w:val="004D3B26"/>
    <w:rsid w:val="004D3CB7"/>
    <w:rsid w:val="004D4C60"/>
    <w:rsid w:val="004D4EF5"/>
    <w:rsid w:val="004D50C0"/>
    <w:rsid w:val="004D5D2C"/>
    <w:rsid w:val="004D69B4"/>
    <w:rsid w:val="004D6C63"/>
    <w:rsid w:val="004D73B0"/>
    <w:rsid w:val="004D7B62"/>
    <w:rsid w:val="004D7BBA"/>
    <w:rsid w:val="004D7C7B"/>
    <w:rsid w:val="004E2446"/>
    <w:rsid w:val="004E2F10"/>
    <w:rsid w:val="004E300D"/>
    <w:rsid w:val="004E516D"/>
    <w:rsid w:val="004E677F"/>
    <w:rsid w:val="004F0123"/>
    <w:rsid w:val="004F040C"/>
    <w:rsid w:val="004F05D3"/>
    <w:rsid w:val="004F1D2A"/>
    <w:rsid w:val="004F35E8"/>
    <w:rsid w:val="004F4CC6"/>
    <w:rsid w:val="004F4F84"/>
    <w:rsid w:val="004F7258"/>
    <w:rsid w:val="00500557"/>
    <w:rsid w:val="00500848"/>
    <w:rsid w:val="00500B83"/>
    <w:rsid w:val="005019CE"/>
    <w:rsid w:val="00501AA8"/>
    <w:rsid w:val="00501E8C"/>
    <w:rsid w:val="00502158"/>
    <w:rsid w:val="005023A5"/>
    <w:rsid w:val="00502674"/>
    <w:rsid w:val="005032B5"/>
    <w:rsid w:val="00506D87"/>
    <w:rsid w:val="00506FE7"/>
    <w:rsid w:val="00510AD2"/>
    <w:rsid w:val="005128ED"/>
    <w:rsid w:val="005139D6"/>
    <w:rsid w:val="00514116"/>
    <w:rsid w:val="00514575"/>
    <w:rsid w:val="00514D79"/>
    <w:rsid w:val="00515CDC"/>
    <w:rsid w:val="00516112"/>
    <w:rsid w:val="00516196"/>
    <w:rsid w:val="0051781F"/>
    <w:rsid w:val="00520C96"/>
    <w:rsid w:val="00522298"/>
    <w:rsid w:val="00522550"/>
    <w:rsid w:val="005234FF"/>
    <w:rsid w:val="00523508"/>
    <w:rsid w:val="005235F2"/>
    <w:rsid w:val="00525023"/>
    <w:rsid w:val="00526944"/>
    <w:rsid w:val="00526E5F"/>
    <w:rsid w:val="00527825"/>
    <w:rsid w:val="00527ADB"/>
    <w:rsid w:val="00527CD2"/>
    <w:rsid w:val="00530833"/>
    <w:rsid w:val="00530FAA"/>
    <w:rsid w:val="0053172C"/>
    <w:rsid w:val="00531E65"/>
    <w:rsid w:val="00532C10"/>
    <w:rsid w:val="00532FB8"/>
    <w:rsid w:val="00533486"/>
    <w:rsid w:val="0053450A"/>
    <w:rsid w:val="005346B3"/>
    <w:rsid w:val="005348CE"/>
    <w:rsid w:val="00534B8E"/>
    <w:rsid w:val="00535111"/>
    <w:rsid w:val="005352FB"/>
    <w:rsid w:val="005354B8"/>
    <w:rsid w:val="00535610"/>
    <w:rsid w:val="005359FE"/>
    <w:rsid w:val="00536386"/>
    <w:rsid w:val="005366BD"/>
    <w:rsid w:val="00537D16"/>
    <w:rsid w:val="00537E01"/>
    <w:rsid w:val="005401AD"/>
    <w:rsid w:val="00540BCD"/>
    <w:rsid w:val="005418F7"/>
    <w:rsid w:val="00541A1D"/>
    <w:rsid w:val="00541F41"/>
    <w:rsid w:val="0054448B"/>
    <w:rsid w:val="00544F89"/>
    <w:rsid w:val="005476C3"/>
    <w:rsid w:val="00547D1A"/>
    <w:rsid w:val="00550139"/>
    <w:rsid w:val="0055140C"/>
    <w:rsid w:val="00554010"/>
    <w:rsid w:val="00554707"/>
    <w:rsid w:val="00554B8C"/>
    <w:rsid w:val="00555280"/>
    <w:rsid w:val="0055598F"/>
    <w:rsid w:val="00557018"/>
    <w:rsid w:val="00560BE8"/>
    <w:rsid w:val="00560E37"/>
    <w:rsid w:val="00561542"/>
    <w:rsid w:val="0056204D"/>
    <w:rsid w:val="00562287"/>
    <w:rsid w:val="005623F9"/>
    <w:rsid w:val="0056280C"/>
    <w:rsid w:val="00563925"/>
    <w:rsid w:val="0056395D"/>
    <w:rsid w:val="00563FEB"/>
    <w:rsid w:val="00564155"/>
    <w:rsid w:val="00564441"/>
    <w:rsid w:val="005675A1"/>
    <w:rsid w:val="00573AFF"/>
    <w:rsid w:val="00574508"/>
    <w:rsid w:val="0057492A"/>
    <w:rsid w:val="00574CD7"/>
    <w:rsid w:val="00576986"/>
    <w:rsid w:val="005769A3"/>
    <w:rsid w:val="005778F0"/>
    <w:rsid w:val="00577B05"/>
    <w:rsid w:val="00577B33"/>
    <w:rsid w:val="00580F38"/>
    <w:rsid w:val="0058100F"/>
    <w:rsid w:val="00581DEE"/>
    <w:rsid w:val="00582AD1"/>
    <w:rsid w:val="00584C40"/>
    <w:rsid w:val="005850AE"/>
    <w:rsid w:val="00585EB2"/>
    <w:rsid w:val="00585F0F"/>
    <w:rsid w:val="005873D1"/>
    <w:rsid w:val="00591FF9"/>
    <w:rsid w:val="005929D5"/>
    <w:rsid w:val="00593539"/>
    <w:rsid w:val="00593697"/>
    <w:rsid w:val="005939FC"/>
    <w:rsid w:val="00593D07"/>
    <w:rsid w:val="00596DB7"/>
    <w:rsid w:val="00597728"/>
    <w:rsid w:val="00597C32"/>
    <w:rsid w:val="005A09D8"/>
    <w:rsid w:val="005A0B9C"/>
    <w:rsid w:val="005A1AD3"/>
    <w:rsid w:val="005A3DFC"/>
    <w:rsid w:val="005A4BD6"/>
    <w:rsid w:val="005A5119"/>
    <w:rsid w:val="005A56F4"/>
    <w:rsid w:val="005A7615"/>
    <w:rsid w:val="005B084D"/>
    <w:rsid w:val="005B10F1"/>
    <w:rsid w:val="005B2189"/>
    <w:rsid w:val="005B28EE"/>
    <w:rsid w:val="005B34A4"/>
    <w:rsid w:val="005B3DA2"/>
    <w:rsid w:val="005B40EC"/>
    <w:rsid w:val="005B4652"/>
    <w:rsid w:val="005B47E2"/>
    <w:rsid w:val="005B4B2F"/>
    <w:rsid w:val="005B6949"/>
    <w:rsid w:val="005B6FE3"/>
    <w:rsid w:val="005B75CB"/>
    <w:rsid w:val="005C0F24"/>
    <w:rsid w:val="005C10EE"/>
    <w:rsid w:val="005C1F7C"/>
    <w:rsid w:val="005C2403"/>
    <w:rsid w:val="005C5CE6"/>
    <w:rsid w:val="005C7590"/>
    <w:rsid w:val="005C78F5"/>
    <w:rsid w:val="005D017E"/>
    <w:rsid w:val="005D08EA"/>
    <w:rsid w:val="005D0E04"/>
    <w:rsid w:val="005D2477"/>
    <w:rsid w:val="005D2508"/>
    <w:rsid w:val="005D2AA8"/>
    <w:rsid w:val="005D3236"/>
    <w:rsid w:val="005D3FC3"/>
    <w:rsid w:val="005D4C05"/>
    <w:rsid w:val="005D50E9"/>
    <w:rsid w:val="005D5BAE"/>
    <w:rsid w:val="005D5CD1"/>
    <w:rsid w:val="005D6B2F"/>
    <w:rsid w:val="005E05BF"/>
    <w:rsid w:val="005E0ED8"/>
    <w:rsid w:val="005E1F73"/>
    <w:rsid w:val="005E44C7"/>
    <w:rsid w:val="005E48CB"/>
    <w:rsid w:val="005E4900"/>
    <w:rsid w:val="005E5AAC"/>
    <w:rsid w:val="005E6864"/>
    <w:rsid w:val="005F0597"/>
    <w:rsid w:val="005F0DA1"/>
    <w:rsid w:val="005F16A2"/>
    <w:rsid w:val="005F1870"/>
    <w:rsid w:val="005F294D"/>
    <w:rsid w:val="005F4692"/>
    <w:rsid w:val="005F5F53"/>
    <w:rsid w:val="005F7174"/>
    <w:rsid w:val="005F74C8"/>
    <w:rsid w:val="00601119"/>
    <w:rsid w:val="00601A5B"/>
    <w:rsid w:val="00603091"/>
    <w:rsid w:val="006031F5"/>
    <w:rsid w:val="006032CB"/>
    <w:rsid w:val="0060384B"/>
    <w:rsid w:val="006043B6"/>
    <w:rsid w:val="0060496F"/>
    <w:rsid w:val="00604AC8"/>
    <w:rsid w:val="0060528F"/>
    <w:rsid w:val="00605631"/>
    <w:rsid w:val="00606953"/>
    <w:rsid w:val="006112C5"/>
    <w:rsid w:val="006113C9"/>
    <w:rsid w:val="00612239"/>
    <w:rsid w:val="00612339"/>
    <w:rsid w:val="00612A97"/>
    <w:rsid w:val="00613136"/>
    <w:rsid w:val="006143E4"/>
    <w:rsid w:val="006160D8"/>
    <w:rsid w:val="006163B5"/>
    <w:rsid w:val="0062107D"/>
    <w:rsid w:val="00621F86"/>
    <w:rsid w:val="006234A3"/>
    <w:rsid w:val="006241E6"/>
    <w:rsid w:val="00624B0B"/>
    <w:rsid w:val="00625A4C"/>
    <w:rsid w:val="00626547"/>
    <w:rsid w:val="006270BE"/>
    <w:rsid w:val="00630C77"/>
    <w:rsid w:val="00630D22"/>
    <w:rsid w:val="00631571"/>
    <w:rsid w:val="00632586"/>
    <w:rsid w:val="0063283B"/>
    <w:rsid w:val="00632D1C"/>
    <w:rsid w:val="00634F60"/>
    <w:rsid w:val="00636179"/>
    <w:rsid w:val="006363A3"/>
    <w:rsid w:val="0063661C"/>
    <w:rsid w:val="00637309"/>
    <w:rsid w:val="00637593"/>
    <w:rsid w:val="00637D1E"/>
    <w:rsid w:val="00640908"/>
    <w:rsid w:val="006415C2"/>
    <w:rsid w:val="00641612"/>
    <w:rsid w:val="00641B44"/>
    <w:rsid w:val="0064286F"/>
    <w:rsid w:val="0064287A"/>
    <w:rsid w:val="0064310F"/>
    <w:rsid w:val="00645178"/>
    <w:rsid w:val="00645725"/>
    <w:rsid w:val="006457E7"/>
    <w:rsid w:val="00645EC3"/>
    <w:rsid w:val="00646144"/>
    <w:rsid w:val="006475D2"/>
    <w:rsid w:val="00650682"/>
    <w:rsid w:val="006507CD"/>
    <w:rsid w:val="00651BDA"/>
    <w:rsid w:val="00652963"/>
    <w:rsid w:val="00652F07"/>
    <w:rsid w:val="006533C0"/>
    <w:rsid w:val="0065732D"/>
    <w:rsid w:val="00661714"/>
    <w:rsid w:val="00663079"/>
    <w:rsid w:val="00665376"/>
    <w:rsid w:val="006657FF"/>
    <w:rsid w:val="00665864"/>
    <w:rsid w:val="00665BFB"/>
    <w:rsid w:val="0066663F"/>
    <w:rsid w:val="00666E46"/>
    <w:rsid w:val="00667306"/>
    <w:rsid w:val="00667349"/>
    <w:rsid w:val="006704E6"/>
    <w:rsid w:val="00670D62"/>
    <w:rsid w:val="006713F7"/>
    <w:rsid w:val="00673C76"/>
    <w:rsid w:val="00674E8D"/>
    <w:rsid w:val="00675468"/>
    <w:rsid w:val="00675AE2"/>
    <w:rsid w:val="00680F26"/>
    <w:rsid w:val="00681C3B"/>
    <w:rsid w:val="0068245E"/>
    <w:rsid w:val="0068286F"/>
    <w:rsid w:val="0068459B"/>
    <w:rsid w:val="00684E88"/>
    <w:rsid w:val="00685217"/>
    <w:rsid w:val="006860E5"/>
    <w:rsid w:val="00690212"/>
    <w:rsid w:val="006904D7"/>
    <w:rsid w:val="00690887"/>
    <w:rsid w:val="00690BD0"/>
    <w:rsid w:val="006915DE"/>
    <w:rsid w:val="00691D59"/>
    <w:rsid w:val="00691FED"/>
    <w:rsid w:val="00692169"/>
    <w:rsid w:val="006926E0"/>
    <w:rsid w:val="00693108"/>
    <w:rsid w:val="00693A08"/>
    <w:rsid w:val="006955E6"/>
    <w:rsid w:val="006967EF"/>
    <w:rsid w:val="00696AD6"/>
    <w:rsid w:val="00696FE1"/>
    <w:rsid w:val="00697809"/>
    <w:rsid w:val="00697930"/>
    <w:rsid w:val="00697B6C"/>
    <w:rsid w:val="006A02BA"/>
    <w:rsid w:val="006A0C2E"/>
    <w:rsid w:val="006A2376"/>
    <w:rsid w:val="006A2E70"/>
    <w:rsid w:val="006A35D7"/>
    <w:rsid w:val="006A3E5B"/>
    <w:rsid w:val="006A4DF7"/>
    <w:rsid w:val="006A5681"/>
    <w:rsid w:val="006A5C30"/>
    <w:rsid w:val="006A5DDF"/>
    <w:rsid w:val="006A5E09"/>
    <w:rsid w:val="006A7BFD"/>
    <w:rsid w:val="006A7C44"/>
    <w:rsid w:val="006B1BD7"/>
    <w:rsid w:val="006B1E67"/>
    <w:rsid w:val="006B1F66"/>
    <w:rsid w:val="006B2219"/>
    <w:rsid w:val="006B2612"/>
    <w:rsid w:val="006B3E57"/>
    <w:rsid w:val="006B428C"/>
    <w:rsid w:val="006B4DDC"/>
    <w:rsid w:val="006C0BF8"/>
    <w:rsid w:val="006C10B5"/>
    <w:rsid w:val="006C3077"/>
    <w:rsid w:val="006C45A0"/>
    <w:rsid w:val="006C525B"/>
    <w:rsid w:val="006C6138"/>
    <w:rsid w:val="006C7623"/>
    <w:rsid w:val="006C7739"/>
    <w:rsid w:val="006D0A44"/>
    <w:rsid w:val="006D10BA"/>
    <w:rsid w:val="006D2B76"/>
    <w:rsid w:val="006D42B6"/>
    <w:rsid w:val="006D4A05"/>
    <w:rsid w:val="006D5A22"/>
    <w:rsid w:val="006D67B6"/>
    <w:rsid w:val="006D6BC3"/>
    <w:rsid w:val="006D7C5C"/>
    <w:rsid w:val="006E02B0"/>
    <w:rsid w:val="006E283C"/>
    <w:rsid w:val="006E2AEE"/>
    <w:rsid w:val="006E4A7D"/>
    <w:rsid w:val="006E4F86"/>
    <w:rsid w:val="006E5363"/>
    <w:rsid w:val="006E5E08"/>
    <w:rsid w:val="006E678B"/>
    <w:rsid w:val="006E72B2"/>
    <w:rsid w:val="006E7BD5"/>
    <w:rsid w:val="006F148B"/>
    <w:rsid w:val="006F1AF0"/>
    <w:rsid w:val="006F26D5"/>
    <w:rsid w:val="006F26F7"/>
    <w:rsid w:val="006F393C"/>
    <w:rsid w:val="006F5063"/>
    <w:rsid w:val="006F5083"/>
    <w:rsid w:val="006F5A87"/>
    <w:rsid w:val="006F5E16"/>
    <w:rsid w:val="006F6337"/>
    <w:rsid w:val="007011DB"/>
    <w:rsid w:val="0070191A"/>
    <w:rsid w:val="007025D2"/>
    <w:rsid w:val="00702739"/>
    <w:rsid w:val="0070318B"/>
    <w:rsid w:val="00703FA1"/>
    <w:rsid w:val="00704082"/>
    <w:rsid w:val="007041B8"/>
    <w:rsid w:val="0070499B"/>
    <w:rsid w:val="00705F40"/>
    <w:rsid w:val="00707143"/>
    <w:rsid w:val="00707C08"/>
    <w:rsid w:val="0071079C"/>
    <w:rsid w:val="00712E57"/>
    <w:rsid w:val="00713746"/>
    <w:rsid w:val="007150F0"/>
    <w:rsid w:val="00716121"/>
    <w:rsid w:val="00716AD0"/>
    <w:rsid w:val="0071735F"/>
    <w:rsid w:val="007178F8"/>
    <w:rsid w:val="00717EA8"/>
    <w:rsid w:val="00721051"/>
    <w:rsid w:val="00721A56"/>
    <w:rsid w:val="007229C3"/>
    <w:rsid w:val="00726413"/>
    <w:rsid w:val="007270A6"/>
    <w:rsid w:val="00727339"/>
    <w:rsid w:val="00730B08"/>
    <w:rsid w:val="0073104C"/>
    <w:rsid w:val="00731A83"/>
    <w:rsid w:val="007341D3"/>
    <w:rsid w:val="007364E7"/>
    <w:rsid w:val="007413DF"/>
    <w:rsid w:val="00743CA1"/>
    <w:rsid w:val="00744775"/>
    <w:rsid w:val="00744918"/>
    <w:rsid w:val="00744A3B"/>
    <w:rsid w:val="00745D31"/>
    <w:rsid w:val="00745EE4"/>
    <w:rsid w:val="0074645B"/>
    <w:rsid w:val="0074722C"/>
    <w:rsid w:val="007479DE"/>
    <w:rsid w:val="00750B40"/>
    <w:rsid w:val="0075264F"/>
    <w:rsid w:val="0075374D"/>
    <w:rsid w:val="0075443C"/>
    <w:rsid w:val="00754B21"/>
    <w:rsid w:val="00754FB1"/>
    <w:rsid w:val="007554BC"/>
    <w:rsid w:val="00755B6E"/>
    <w:rsid w:val="007567E5"/>
    <w:rsid w:val="007569EE"/>
    <w:rsid w:val="00756EC3"/>
    <w:rsid w:val="0075715C"/>
    <w:rsid w:val="00757DB5"/>
    <w:rsid w:val="007622A1"/>
    <w:rsid w:val="00762768"/>
    <w:rsid w:val="0076409D"/>
    <w:rsid w:val="0076471D"/>
    <w:rsid w:val="00764BA0"/>
    <w:rsid w:val="00766417"/>
    <w:rsid w:val="00766AE6"/>
    <w:rsid w:val="00766D44"/>
    <w:rsid w:val="00767699"/>
    <w:rsid w:val="0077004D"/>
    <w:rsid w:val="007700CE"/>
    <w:rsid w:val="00771197"/>
    <w:rsid w:val="00771AC4"/>
    <w:rsid w:val="007726BA"/>
    <w:rsid w:val="00772B80"/>
    <w:rsid w:val="0077301C"/>
    <w:rsid w:val="007738CC"/>
    <w:rsid w:val="00773FF1"/>
    <w:rsid w:val="0077406D"/>
    <w:rsid w:val="007741F6"/>
    <w:rsid w:val="007744F7"/>
    <w:rsid w:val="00775190"/>
    <w:rsid w:val="0077655F"/>
    <w:rsid w:val="00776B14"/>
    <w:rsid w:val="007812C9"/>
    <w:rsid w:val="0078132D"/>
    <w:rsid w:val="00781DF6"/>
    <w:rsid w:val="00782107"/>
    <w:rsid w:val="00782176"/>
    <w:rsid w:val="007826B1"/>
    <w:rsid w:val="00782775"/>
    <w:rsid w:val="00782D44"/>
    <w:rsid w:val="00782E93"/>
    <w:rsid w:val="0078350E"/>
    <w:rsid w:val="007843CA"/>
    <w:rsid w:val="00784636"/>
    <w:rsid w:val="00784A95"/>
    <w:rsid w:val="0078607D"/>
    <w:rsid w:val="00786140"/>
    <w:rsid w:val="00786630"/>
    <w:rsid w:val="00790D90"/>
    <w:rsid w:val="00792517"/>
    <w:rsid w:val="00792586"/>
    <w:rsid w:val="00792FD1"/>
    <w:rsid w:val="007931A1"/>
    <w:rsid w:val="007950D4"/>
    <w:rsid w:val="00795516"/>
    <w:rsid w:val="00796783"/>
    <w:rsid w:val="00796B10"/>
    <w:rsid w:val="00796C1C"/>
    <w:rsid w:val="00797BED"/>
    <w:rsid w:val="007A00CF"/>
    <w:rsid w:val="007A0BEA"/>
    <w:rsid w:val="007A0C0F"/>
    <w:rsid w:val="007A2042"/>
    <w:rsid w:val="007A3104"/>
    <w:rsid w:val="007A3709"/>
    <w:rsid w:val="007A4F2A"/>
    <w:rsid w:val="007A6D32"/>
    <w:rsid w:val="007A746E"/>
    <w:rsid w:val="007A799B"/>
    <w:rsid w:val="007A7C95"/>
    <w:rsid w:val="007A7ECF"/>
    <w:rsid w:val="007B035F"/>
    <w:rsid w:val="007B1771"/>
    <w:rsid w:val="007B1C0C"/>
    <w:rsid w:val="007B1F45"/>
    <w:rsid w:val="007B21C3"/>
    <w:rsid w:val="007B22F1"/>
    <w:rsid w:val="007B2CC2"/>
    <w:rsid w:val="007B5A98"/>
    <w:rsid w:val="007B658B"/>
    <w:rsid w:val="007B77A5"/>
    <w:rsid w:val="007C0D66"/>
    <w:rsid w:val="007C1A5F"/>
    <w:rsid w:val="007C1DD8"/>
    <w:rsid w:val="007C4316"/>
    <w:rsid w:val="007C4802"/>
    <w:rsid w:val="007C53CD"/>
    <w:rsid w:val="007C6344"/>
    <w:rsid w:val="007C6CBD"/>
    <w:rsid w:val="007C7CBB"/>
    <w:rsid w:val="007C7EBE"/>
    <w:rsid w:val="007D07F4"/>
    <w:rsid w:val="007D0A0C"/>
    <w:rsid w:val="007D0DA7"/>
    <w:rsid w:val="007D318A"/>
    <w:rsid w:val="007D654A"/>
    <w:rsid w:val="007E09F1"/>
    <w:rsid w:val="007E181E"/>
    <w:rsid w:val="007E22CA"/>
    <w:rsid w:val="007E236D"/>
    <w:rsid w:val="007E32D4"/>
    <w:rsid w:val="007E3FDC"/>
    <w:rsid w:val="007E4A72"/>
    <w:rsid w:val="007E4E69"/>
    <w:rsid w:val="007E514D"/>
    <w:rsid w:val="007E535A"/>
    <w:rsid w:val="007E5816"/>
    <w:rsid w:val="007E58D6"/>
    <w:rsid w:val="007E5B20"/>
    <w:rsid w:val="007E5CD9"/>
    <w:rsid w:val="007E6141"/>
    <w:rsid w:val="007E77BE"/>
    <w:rsid w:val="007F1765"/>
    <w:rsid w:val="007F185D"/>
    <w:rsid w:val="007F34C7"/>
    <w:rsid w:val="007F4183"/>
    <w:rsid w:val="007F4AF2"/>
    <w:rsid w:val="007F53D6"/>
    <w:rsid w:val="007F5429"/>
    <w:rsid w:val="007F5EAF"/>
    <w:rsid w:val="007F6407"/>
    <w:rsid w:val="007F74A6"/>
    <w:rsid w:val="0080176D"/>
    <w:rsid w:val="0080298A"/>
    <w:rsid w:val="008032A8"/>
    <w:rsid w:val="008038BA"/>
    <w:rsid w:val="00803F40"/>
    <w:rsid w:val="0080497A"/>
    <w:rsid w:val="00804F2B"/>
    <w:rsid w:val="008059ED"/>
    <w:rsid w:val="00805AA0"/>
    <w:rsid w:val="00805DD3"/>
    <w:rsid w:val="00810E8E"/>
    <w:rsid w:val="008114BE"/>
    <w:rsid w:val="008142BF"/>
    <w:rsid w:val="00814438"/>
    <w:rsid w:val="00815131"/>
    <w:rsid w:val="00815207"/>
    <w:rsid w:val="008152BC"/>
    <w:rsid w:val="008203F8"/>
    <w:rsid w:val="008218F9"/>
    <w:rsid w:val="00821E7E"/>
    <w:rsid w:val="0082239F"/>
    <w:rsid w:val="0082382D"/>
    <w:rsid w:val="00823D50"/>
    <w:rsid w:val="0082475D"/>
    <w:rsid w:val="008269BD"/>
    <w:rsid w:val="00830ADF"/>
    <w:rsid w:val="00830F3D"/>
    <w:rsid w:val="00831E29"/>
    <w:rsid w:val="00831E88"/>
    <w:rsid w:val="008321AA"/>
    <w:rsid w:val="008340E6"/>
    <w:rsid w:val="008352E4"/>
    <w:rsid w:val="0083572D"/>
    <w:rsid w:val="0083595F"/>
    <w:rsid w:val="008360A5"/>
    <w:rsid w:val="008374AA"/>
    <w:rsid w:val="008418DF"/>
    <w:rsid w:val="00841B0D"/>
    <w:rsid w:val="00841D1C"/>
    <w:rsid w:val="0084274A"/>
    <w:rsid w:val="00843800"/>
    <w:rsid w:val="00843F39"/>
    <w:rsid w:val="00844129"/>
    <w:rsid w:val="00844611"/>
    <w:rsid w:val="008446FC"/>
    <w:rsid w:val="00844C81"/>
    <w:rsid w:val="00845DEA"/>
    <w:rsid w:val="00846448"/>
    <w:rsid w:val="00847224"/>
    <w:rsid w:val="00850078"/>
    <w:rsid w:val="00850330"/>
    <w:rsid w:val="008508B8"/>
    <w:rsid w:val="008515C4"/>
    <w:rsid w:val="008540D7"/>
    <w:rsid w:val="00854985"/>
    <w:rsid w:val="008557A5"/>
    <w:rsid w:val="00856E8D"/>
    <w:rsid w:val="008608F2"/>
    <w:rsid w:val="00860988"/>
    <w:rsid w:val="00860C3C"/>
    <w:rsid w:val="008623AF"/>
    <w:rsid w:val="0086327F"/>
    <w:rsid w:val="00863E96"/>
    <w:rsid w:val="00864BC6"/>
    <w:rsid w:val="0086576D"/>
    <w:rsid w:val="008665C4"/>
    <w:rsid w:val="00867C5D"/>
    <w:rsid w:val="00867FB0"/>
    <w:rsid w:val="00871A6D"/>
    <w:rsid w:val="00872908"/>
    <w:rsid w:val="00874463"/>
    <w:rsid w:val="008760FE"/>
    <w:rsid w:val="00876E9B"/>
    <w:rsid w:val="0088000D"/>
    <w:rsid w:val="0088062B"/>
    <w:rsid w:val="00880838"/>
    <w:rsid w:val="00880884"/>
    <w:rsid w:val="0088146F"/>
    <w:rsid w:val="008818F6"/>
    <w:rsid w:val="00881FC1"/>
    <w:rsid w:val="00882390"/>
    <w:rsid w:val="00882476"/>
    <w:rsid w:val="008828F2"/>
    <w:rsid w:val="00882ACD"/>
    <w:rsid w:val="00882CEA"/>
    <w:rsid w:val="00882EC4"/>
    <w:rsid w:val="00882FC0"/>
    <w:rsid w:val="00882FDE"/>
    <w:rsid w:val="008836C1"/>
    <w:rsid w:val="00883855"/>
    <w:rsid w:val="00884186"/>
    <w:rsid w:val="008841E1"/>
    <w:rsid w:val="0088449D"/>
    <w:rsid w:val="00887C03"/>
    <w:rsid w:val="00890F32"/>
    <w:rsid w:val="00891CF5"/>
    <w:rsid w:val="00892701"/>
    <w:rsid w:val="00892907"/>
    <w:rsid w:val="00896B2C"/>
    <w:rsid w:val="008A1E0C"/>
    <w:rsid w:val="008A2209"/>
    <w:rsid w:val="008A23EF"/>
    <w:rsid w:val="008A3A84"/>
    <w:rsid w:val="008A3AFB"/>
    <w:rsid w:val="008A46C4"/>
    <w:rsid w:val="008A5B3C"/>
    <w:rsid w:val="008A5B51"/>
    <w:rsid w:val="008B13B0"/>
    <w:rsid w:val="008B1F82"/>
    <w:rsid w:val="008B2EEC"/>
    <w:rsid w:val="008B4132"/>
    <w:rsid w:val="008B43F6"/>
    <w:rsid w:val="008B4691"/>
    <w:rsid w:val="008B482F"/>
    <w:rsid w:val="008B52A7"/>
    <w:rsid w:val="008B5660"/>
    <w:rsid w:val="008B611D"/>
    <w:rsid w:val="008B69E5"/>
    <w:rsid w:val="008B72F0"/>
    <w:rsid w:val="008B7673"/>
    <w:rsid w:val="008B7A2B"/>
    <w:rsid w:val="008B7BE5"/>
    <w:rsid w:val="008B7E8C"/>
    <w:rsid w:val="008C0261"/>
    <w:rsid w:val="008C0F0C"/>
    <w:rsid w:val="008C15FB"/>
    <w:rsid w:val="008C247C"/>
    <w:rsid w:val="008C2E7C"/>
    <w:rsid w:val="008C3CC0"/>
    <w:rsid w:val="008C4B80"/>
    <w:rsid w:val="008C4D74"/>
    <w:rsid w:val="008C566B"/>
    <w:rsid w:val="008C681F"/>
    <w:rsid w:val="008C7303"/>
    <w:rsid w:val="008C7870"/>
    <w:rsid w:val="008D19BA"/>
    <w:rsid w:val="008D2360"/>
    <w:rsid w:val="008D3223"/>
    <w:rsid w:val="008D41C9"/>
    <w:rsid w:val="008D464A"/>
    <w:rsid w:val="008D4655"/>
    <w:rsid w:val="008D567F"/>
    <w:rsid w:val="008D585C"/>
    <w:rsid w:val="008D697B"/>
    <w:rsid w:val="008E091C"/>
    <w:rsid w:val="008E0D86"/>
    <w:rsid w:val="008E244F"/>
    <w:rsid w:val="008E4C84"/>
    <w:rsid w:val="008E559B"/>
    <w:rsid w:val="008E639F"/>
    <w:rsid w:val="008E7E08"/>
    <w:rsid w:val="008F0438"/>
    <w:rsid w:val="008F0468"/>
    <w:rsid w:val="008F1140"/>
    <w:rsid w:val="008F15CD"/>
    <w:rsid w:val="008F31E0"/>
    <w:rsid w:val="008F3747"/>
    <w:rsid w:val="008F3F7A"/>
    <w:rsid w:val="008F4CC3"/>
    <w:rsid w:val="008F696A"/>
    <w:rsid w:val="008F6D8F"/>
    <w:rsid w:val="008F7303"/>
    <w:rsid w:val="008F7C54"/>
    <w:rsid w:val="009019B3"/>
    <w:rsid w:val="0090258D"/>
    <w:rsid w:val="00902628"/>
    <w:rsid w:val="0090433F"/>
    <w:rsid w:val="00905BB4"/>
    <w:rsid w:val="00906334"/>
    <w:rsid w:val="009066CF"/>
    <w:rsid w:val="00906C20"/>
    <w:rsid w:val="0091003E"/>
    <w:rsid w:val="00911855"/>
    <w:rsid w:val="00911C66"/>
    <w:rsid w:val="009134A6"/>
    <w:rsid w:val="0091373C"/>
    <w:rsid w:val="00913C9A"/>
    <w:rsid w:val="00914673"/>
    <w:rsid w:val="009149F4"/>
    <w:rsid w:val="00914A2B"/>
    <w:rsid w:val="0091510C"/>
    <w:rsid w:val="009165D8"/>
    <w:rsid w:val="00916722"/>
    <w:rsid w:val="00916A1B"/>
    <w:rsid w:val="00916C30"/>
    <w:rsid w:val="00920645"/>
    <w:rsid w:val="0092107E"/>
    <w:rsid w:val="009214B8"/>
    <w:rsid w:val="009217BD"/>
    <w:rsid w:val="009222A6"/>
    <w:rsid w:val="00922AE8"/>
    <w:rsid w:val="009235FA"/>
    <w:rsid w:val="009237A4"/>
    <w:rsid w:val="00923B7F"/>
    <w:rsid w:val="00924514"/>
    <w:rsid w:val="0092533D"/>
    <w:rsid w:val="00925D6A"/>
    <w:rsid w:val="00926C57"/>
    <w:rsid w:val="00926F14"/>
    <w:rsid w:val="0092706C"/>
    <w:rsid w:val="009276ED"/>
    <w:rsid w:val="009279B0"/>
    <w:rsid w:val="00930271"/>
    <w:rsid w:val="009302DE"/>
    <w:rsid w:val="00931677"/>
    <w:rsid w:val="009319B0"/>
    <w:rsid w:val="00933549"/>
    <w:rsid w:val="00934198"/>
    <w:rsid w:val="009354E8"/>
    <w:rsid w:val="009356EF"/>
    <w:rsid w:val="009369D1"/>
    <w:rsid w:val="009377D6"/>
    <w:rsid w:val="00937ED0"/>
    <w:rsid w:val="00940A4C"/>
    <w:rsid w:val="00941189"/>
    <w:rsid w:val="009425FD"/>
    <w:rsid w:val="00942ACB"/>
    <w:rsid w:val="00943011"/>
    <w:rsid w:val="00943E12"/>
    <w:rsid w:val="00944875"/>
    <w:rsid w:val="00945627"/>
    <w:rsid w:val="009458EE"/>
    <w:rsid w:val="00946DEA"/>
    <w:rsid w:val="009471A1"/>
    <w:rsid w:val="009508C8"/>
    <w:rsid w:val="00950D75"/>
    <w:rsid w:val="009515A2"/>
    <w:rsid w:val="0095201A"/>
    <w:rsid w:val="0095233C"/>
    <w:rsid w:val="009538EC"/>
    <w:rsid w:val="0095457A"/>
    <w:rsid w:val="0095678F"/>
    <w:rsid w:val="009568D7"/>
    <w:rsid w:val="00957539"/>
    <w:rsid w:val="00957792"/>
    <w:rsid w:val="00960019"/>
    <w:rsid w:val="0096093D"/>
    <w:rsid w:val="0096101D"/>
    <w:rsid w:val="009616D6"/>
    <w:rsid w:val="00962538"/>
    <w:rsid w:val="00962876"/>
    <w:rsid w:val="009632FB"/>
    <w:rsid w:val="00963F80"/>
    <w:rsid w:val="00964C1A"/>
    <w:rsid w:val="00970040"/>
    <w:rsid w:val="0097046E"/>
    <w:rsid w:val="00974796"/>
    <w:rsid w:val="00974B11"/>
    <w:rsid w:val="00975AA6"/>
    <w:rsid w:val="00975BCA"/>
    <w:rsid w:val="0097677E"/>
    <w:rsid w:val="00977DCD"/>
    <w:rsid w:val="009808A1"/>
    <w:rsid w:val="0098108D"/>
    <w:rsid w:val="00981245"/>
    <w:rsid w:val="009812BA"/>
    <w:rsid w:val="009820F8"/>
    <w:rsid w:val="00982119"/>
    <w:rsid w:val="00982755"/>
    <w:rsid w:val="009828A0"/>
    <w:rsid w:val="00982CDE"/>
    <w:rsid w:val="00983168"/>
    <w:rsid w:val="0098462E"/>
    <w:rsid w:val="00984973"/>
    <w:rsid w:val="00985411"/>
    <w:rsid w:val="00991C58"/>
    <w:rsid w:val="009924A4"/>
    <w:rsid w:val="00995635"/>
    <w:rsid w:val="0099626F"/>
    <w:rsid w:val="009965D8"/>
    <w:rsid w:val="009A08F4"/>
    <w:rsid w:val="009A09DA"/>
    <w:rsid w:val="009A1093"/>
    <w:rsid w:val="009A1D37"/>
    <w:rsid w:val="009A4B18"/>
    <w:rsid w:val="009A58F0"/>
    <w:rsid w:val="009A5E3D"/>
    <w:rsid w:val="009A60A5"/>
    <w:rsid w:val="009A60A6"/>
    <w:rsid w:val="009A627E"/>
    <w:rsid w:val="009A709E"/>
    <w:rsid w:val="009B00EC"/>
    <w:rsid w:val="009B10A0"/>
    <w:rsid w:val="009B1890"/>
    <w:rsid w:val="009B2069"/>
    <w:rsid w:val="009B29D0"/>
    <w:rsid w:val="009B307B"/>
    <w:rsid w:val="009B5BA1"/>
    <w:rsid w:val="009B707A"/>
    <w:rsid w:val="009C09A4"/>
    <w:rsid w:val="009C0CE9"/>
    <w:rsid w:val="009C1992"/>
    <w:rsid w:val="009C3923"/>
    <w:rsid w:val="009C3CD7"/>
    <w:rsid w:val="009C4075"/>
    <w:rsid w:val="009C4917"/>
    <w:rsid w:val="009C6515"/>
    <w:rsid w:val="009C691E"/>
    <w:rsid w:val="009C71B5"/>
    <w:rsid w:val="009C73CE"/>
    <w:rsid w:val="009C78EC"/>
    <w:rsid w:val="009D0707"/>
    <w:rsid w:val="009D1483"/>
    <w:rsid w:val="009D22E3"/>
    <w:rsid w:val="009D29BB"/>
    <w:rsid w:val="009D2A5D"/>
    <w:rsid w:val="009D2D10"/>
    <w:rsid w:val="009D47B2"/>
    <w:rsid w:val="009D5154"/>
    <w:rsid w:val="009D524E"/>
    <w:rsid w:val="009D622E"/>
    <w:rsid w:val="009D6FC6"/>
    <w:rsid w:val="009D7266"/>
    <w:rsid w:val="009D7D3A"/>
    <w:rsid w:val="009E1C8B"/>
    <w:rsid w:val="009E1FBC"/>
    <w:rsid w:val="009E23DD"/>
    <w:rsid w:val="009E3109"/>
    <w:rsid w:val="009E3315"/>
    <w:rsid w:val="009E4A15"/>
    <w:rsid w:val="009E4F9A"/>
    <w:rsid w:val="009E784D"/>
    <w:rsid w:val="009F03E8"/>
    <w:rsid w:val="009F0498"/>
    <w:rsid w:val="009F10C1"/>
    <w:rsid w:val="009F37DD"/>
    <w:rsid w:val="009F3C5A"/>
    <w:rsid w:val="009F4C18"/>
    <w:rsid w:val="009F5383"/>
    <w:rsid w:val="009F5556"/>
    <w:rsid w:val="009F5DCC"/>
    <w:rsid w:val="009F7514"/>
    <w:rsid w:val="00A0072E"/>
    <w:rsid w:val="00A00C40"/>
    <w:rsid w:val="00A03372"/>
    <w:rsid w:val="00A03770"/>
    <w:rsid w:val="00A0581D"/>
    <w:rsid w:val="00A0665A"/>
    <w:rsid w:val="00A07ED1"/>
    <w:rsid w:val="00A1178A"/>
    <w:rsid w:val="00A119EE"/>
    <w:rsid w:val="00A12147"/>
    <w:rsid w:val="00A13758"/>
    <w:rsid w:val="00A137BD"/>
    <w:rsid w:val="00A13D42"/>
    <w:rsid w:val="00A14652"/>
    <w:rsid w:val="00A15BD6"/>
    <w:rsid w:val="00A176CC"/>
    <w:rsid w:val="00A20E05"/>
    <w:rsid w:val="00A20F4C"/>
    <w:rsid w:val="00A21F60"/>
    <w:rsid w:val="00A22041"/>
    <w:rsid w:val="00A2226C"/>
    <w:rsid w:val="00A22676"/>
    <w:rsid w:val="00A22BD3"/>
    <w:rsid w:val="00A245C8"/>
    <w:rsid w:val="00A25E28"/>
    <w:rsid w:val="00A2602E"/>
    <w:rsid w:val="00A26307"/>
    <w:rsid w:val="00A268A2"/>
    <w:rsid w:val="00A2696A"/>
    <w:rsid w:val="00A272C0"/>
    <w:rsid w:val="00A27F72"/>
    <w:rsid w:val="00A30EA8"/>
    <w:rsid w:val="00A326FB"/>
    <w:rsid w:val="00A33AA1"/>
    <w:rsid w:val="00A34291"/>
    <w:rsid w:val="00A34EBD"/>
    <w:rsid w:val="00A359E2"/>
    <w:rsid w:val="00A36C3D"/>
    <w:rsid w:val="00A40030"/>
    <w:rsid w:val="00A40769"/>
    <w:rsid w:val="00A412EB"/>
    <w:rsid w:val="00A4189C"/>
    <w:rsid w:val="00A41A0F"/>
    <w:rsid w:val="00A4212C"/>
    <w:rsid w:val="00A43306"/>
    <w:rsid w:val="00A433B3"/>
    <w:rsid w:val="00A44710"/>
    <w:rsid w:val="00A44E06"/>
    <w:rsid w:val="00A45284"/>
    <w:rsid w:val="00A4556E"/>
    <w:rsid w:val="00A465CB"/>
    <w:rsid w:val="00A46F39"/>
    <w:rsid w:val="00A5040A"/>
    <w:rsid w:val="00A50D1D"/>
    <w:rsid w:val="00A515BB"/>
    <w:rsid w:val="00A52DEA"/>
    <w:rsid w:val="00A530F3"/>
    <w:rsid w:val="00A54B56"/>
    <w:rsid w:val="00A54CE7"/>
    <w:rsid w:val="00A54EE9"/>
    <w:rsid w:val="00A55466"/>
    <w:rsid w:val="00A55A28"/>
    <w:rsid w:val="00A60F7C"/>
    <w:rsid w:val="00A6106E"/>
    <w:rsid w:val="00A613DC"/>
    <w:rsid w:val="00A614DC"/>
    <w:rsid w:val="00A621AF"/>
    <w:rsid w:val="00A63C5C"/>
    <w:rsid w:val="00A63F7C"/>
    <w:rsid w:val="00A6441E"/>
    <w:rsid w:val="00A64B48"/>
    <w:rsid w:val="00A66C8B"/>
    <w:rsid w:val="00A6768C"/>
    <w:rsid w:val="00A71662"/>
    <w:rsid w:val="00A71A88"/>
    <w:rsid w:val="00A71E0F"/>
    <w:rsid w:val="00A73915"/>
    <w:rsid w:val="00A7434E"/>
    <w:rsid w:val="00A74907"/>
    <w:rsid w:val="00A756AB"/>
    <w:rsid w:val="00A762F1"/>
    <w:rsid w:val="00A7737C"/>
    <w:rsid w:val="00A81F6D"/>
    <w:rsid w:val="00A8209B"/>
    <w:rsid w:val="00A82354"/>
    <w:rsid w:val="00A823E8"/>
    <w:rsid w:val="00A82772"/>
    <w:rsid w:val="00A82DF3"/>
    <w:rsid w:val="00A833A3"/>
    <w:rsid w:val="00A83EEC"/>
    <w:rsid w:val="00A84E64"/>
    <w:rsid w:val="00A87B90"/>
    <w:rsid w:val="00A9130C"/>
    <w:rsid w:val="00A91C05"/>
    <w:rsid w:val="00A921D8"/>
    <w:rsid w:val="00A9684E"/>
    <w:rsid w:val="00A97604"/>
    <w:rsid w:val="00A97BF4"/>
    <w:rsid w:val="00AA0EB0"/>
    <w:rsid w:val="00AA0ECC"/>
    <w:rsid w:val="00AA0EE6"/>
    <w:rsid w:val="00AA1249"/>
    <w:rsid w:val="00AA1C31"/>
    <w:rsid w:val="00AA3ABF"/>
    <w:rsid w:val="00AA3DE4"/>
    <w:rsid w:val="00AA46E4"/>
    <w:rsid w:val="00AA5D5F"/>
    <w:rsid w:val="00AA61B2"/>
    <w:rsid w:val="00AA6498"/>
    <w:rsid w:val="00AA6A3E"/>
    <w:rsid w:val="00AA7057"/>
    <w:rsid w:val="00AA7E3F"/>
    <w:rsid w:val="00AB06FA"/>
    <w:rsid w:val="00AB1AAB"/>
    <w:rsid w:val="00AB22B8"/>
    <w:rsid w:val="00AB2471"/>
    <w:rsid w:val="00AB49B6"/>
    <w:rsid w:val="00AB554F"/>
    <w:rsid w:val="00AB5C39"/>
    <w:rsid w:val="00AB6444"/>
    <w:rsid w:val="00AB66B4"/>
    <w:rsid w:val="00AB75A3"/>
    <w:rsid w:val="00AB787D"/>
    <w:rsid w:val="00AB7DD3"/>
    <w:rsid w:val="00AC02E6"/>
    <w:rsid w:val="00AC0ED5"/>
    <w:rsid w:val="00AC1082"/>
    <w:rsid w:val="00AC1530"/>
    <w:rsid w:val="00AC254C"/>
    <w:rsid w:val="00AC28B3"/>
    <w:rsid w:val="00AC3930"/>
    <w:rsid w:val="00AC3A4B"/>
    <w:rsid w:val="00AC426B"/>
    <w:rsid w:val="00AC4A82"/>
    <w:rsid w:val="00AC64C3"/>
    <w:rsid w:val="00AC6E1E"/>
    <w:rsid w:val="00AD184B"/>
    <w:rsid w:val="00AD1931"/>
    <w:rsid w:val="00AD2C47"/>
    <w:rsid w:val="00AD5144"/>
    <w:rsid w:val="00AD72D2"/>
    <w:rsid w:val="00AD7647"/>
    <w:rsid w:val="00AD76CE"/>
    <w:rsid w:val="00AD7AC4"/>
    <w:rsid w:val="00AE0146"/>
    <w:rsid w:val="00AE11E7"/>
    <w:rsid w:val="00AE1EA7"/>
    <w:rsid w:val="00AE2752"/>
    <w:rsid w:val="00AE290F"/>
    <w:rsid w:val="00AE33EF"/>
    <w:rsid w:val="00AE399A"/>
    <w:rsid w:val="00AE3A3D"/>
    <w:rsid w:val="00AE3C38"/>
    <w:rsid w:val="00AE3FFB"/>
    <w:rsid w:val="00AE4541"/>
    <w:rsid w:val="00AE4AFD"/>
    <w:rsid w:val="00AE51C4"/>
    <w:rsid w:val="00AE60DF"/>
    <w:rsid w:val="00AE61ED"/>
    <w:rsid w:val="00AE648B"/>
    <w:rsid w:val="00AE7E26"/>
    <w:rsid w:val="00AF0652"/>
    <w:rsid w:val="00AF0AB7"/>
    <w:rsid w:val="00AF0D08"/>
    <w:rsid w:val="00AF0EDD"/>
    <w:rsid w:val="00AF0EFB"/>
    <w:rsid w:val="00AF1195"/>
    <w:rsid w:val="00AF167F"/>
    <w:rsid w:val="00AF1B8E"/>
    <w:rsid w:val="00AF20D0"/>
    <w:rsid w:val="00AF25AB"/>
    <w:rsid w:val="00AF407C"/>
    <w:rsid w:val="00AF40CE"/>
    <w:rsid w:val="00AF44F1"/>
    <w:rsid w:val="00AF6064"/>
    <w:rsid w:val="00AF72EF"/>
    <w:rsid w:val="00AF7C51"/>
    <w:rsid w:val="00B00E94"/>
    <w:rsid w:val="00B01051"/>
    <w:rsid w:val="00B0274C"/>
    <w:rsid w:val="00B04C25"/>
    <w:rsid w:val="00B068F2"/>
    <w:rsid w:val="00B06D88"/>
    <w:rsid w:val="00B0748E"/>
    <w:rsid w:val="00B109E1"/>
    <w:rsid w:val="00B11047"/>
    <w:rsid w:val="00B111B9"/>
    <w:rsid w:val="00B113D7"/>
    <w:rsid w:val="00B1176F"/>
    <w:rsid w:val="00B12057"/>
    <w:rsid w:val="00B1239F"/>
    <w:rsid w:val="00B12683"/>
    <w:rsid w:val="00B127E9"/>
    <w:rsid w:val="00B13B15"/>
    <w:rsid w:val="00B13ECA"/>
    <w:rsid w:val="00B141F5"/>
    <w:rsid w:val="00B15B30"/>
    <w:rsid w:val="00B17404"/>
    <w:rsid w:val="00B17E63"/>
    <w:rsid w:val="00B2180C"/>
    <w:rsid w:val="00B23875"/>
    <w:rsid w:val="00B23A1E"/>
    <w:rsid w:val="00B23ABE"/>
    <w:rsid w:val="00B24237"/>
    <w:rsid w:val="00B251A1"/>
    <w:rsid w:val="00B26B7E"/>
    <w:rsid w:val="00B26F4B"/>
    <w:rsid w:val="00B272F3"/>
    <w:rsid w:val="00B27B18"/>
    <w:rsid w:val="00B30F9D"/>
    <w:rsid w:val="00B31292"/>
    <w:rsid w:val="00B315D6"/>
    <w:rsid w:val="00B31D6A"/>
    <w:rsid w:val="00B33894"/>
    <w:rsid w:val="00B34141"/>
    <w:rsid w:val="00B34208"/>
    <w:rsid w:val="00B34BF2"/>
    <w:rsid w:val="00B35A14"/>
    <w:rsid w:val="00B369E9"/>
    <w:rsid w:val="00B418C5"/>
    <w:rsid w:val="00B41AA5"/>
    <w:rsid w:val="00B428BB"/>
    <w:rsid w:val="00B42B1D"/>
    <w:rsid w:val="00B440D6"/>
    <w:rsid w:val="00B4423F"/>
    <w:rsid w:val="00B44B5A"/>
    <w:rsid w:val="00B4538B"/>
    <w:rsid w:val="00B47A4E"/>
    <w:rsid w:val="00B52B62"/>
    <w:rsid w:val="00B52D07"/>
    <w:rsid w:val="00B53A31"/>
    <w:rsid w:val="00B53D21"/>
    <w:rsid w:val="00B5464F"/>
    <w:rsid w:val="00B56B57"/>
    <w:rsid w:val="00B57E7B"/>
    <w:rsid w:val="00B57F9E"/>
    <w:rsid w:val="00B61754"/>
    <w:rsid w:val="00B62E15"/>
    <w:rsid w:val="00B63089"/>
    <w:rsid w:val="00B63C37"/>
    <w:rsid w:val="00B63EA9"/>
    <w:rsid w:val="00B64942"/>
    <w:rsid w:val="00B64EC5"/>
    <w:rsid w:val="00B66526"/>
    <w:rsid w:val="00B66DA8"/>
    <w:rsid w:val="00B71173"/>
    <w:rsid w:val="00B7236E"/>
    <w:rsid w:val="00B72786"/>
    <w:rsid w:val="00B72D4D"/>
    <w:rsid w:val="00B7313C"/>
    <w:rsid w:val="00B73209"/>
    <w:rsid w:val="00B732FD"/>
    <w:rsid w:val="00B75C16"/>
    <w:rsid w:val="00B769F8"/>
    <w:rsid w:val="00B778FB"/>
    <w:rsid w:val="00B77932"/>
    <w:rsid w:val="00B77D72"/>
    <w:rsid w:val="00B80D35"/>
    <w:rsid w:val="00B812DD"/>
    <w:rsid w:val="00B81953"/>
    <w:rsid w:val="00B8280F"/>
    <w:rsid w:val="00B832C2"/>
    <w:rsid w:val="00B8403B"/>
    <w:rsid w:val="00B841B6"/>
    <w:rsid w:val="00B8451D"/>
    <w:rsid w:val="00B8609A"/>
    <w:rsid w:val="00B87D04"/>
    <w:rsid w:val="00B91A58"/>
    <w:rsid w:val="00B91BEA"/>
    <w:rsid w:val="00B92307"/>
    <w:rsid w:val="00B9283F"/>
    <w:rsid w:val="00B938DA"/>
    <w:rsid w:val="00B94F8E"/>
    <w:rsid w:val="00B96AED"/>
    <w:rsid w:val="00B97C3E"/>
    <w:rsid w:val="00B97D57"/>
    <w:rsid w:val="00BA03A4"/>
    <w:rsid w:val="00BA1003"/>
    <w:rsid w:val="00BA12C3"/>
    <w:rsid w:val="00BA16C6"/>
    <w:rsid w:val="00BA2BF2"/>
    <w:rsid w:val="00BA4863"/>
    <w:rsid w:val="00BA4E21"/>
    <w:rsid w:val="00BA756E"/>
    <w:rsid w:val="00BB1DF3"/>
    <w:rsid w:val="00BB2BB6"/>
    <w:rsid w:val="00BB33CF"/>
    <w:rsid w:val="00BB4294"/>
    <w:rsid w:val="00BB4498"/>
    <w:rsid w:val="00BB49F8"/>
    <w:rsid w:val="00BB6A74"/>
    <w:rsid w:val="00BB6D27"/>
    <w:rsid w:val="00BC0196"/>
    <w:rsid w:val="00BC05ED"/>
    <w:rsid w:val="00BC0A35"/>
    <w:rsid w:val="00BC0AF9"/>
    <w:rsid w:val="00BC1405"/>
    <w:rsid w:val="00BC15C4"/>
    <w:rsid w:val="00BC1CB8"/>
    <w:rsid w:val="00BC2D37"/>
    <w:rsid w:val="00BC3207"/>
    <w:rsid w:val="00BC4F38"/>
    <w:rsid w:val="00BC69C1"/>
    <w:rsid w:val="00BC6D72"/>
    <w:rsid w:val="00BC6E23"/>
    <w:rsid w:val="00BC7CAF"/>
    <w:rsid w:val="00BD074B"/>
    <w:rsid w:val="00BD0D93"/>
    <w:rsid w:val="00BD17F9"/>
    <w:rsid w:val="00BD1D7D"/>
    <w:rsid w:val="00BD29D7"/>
    <w:rsid w:val="00BD2E1C"/>
    <w:rsid w:val="00BD2EBC"/>
    <w:rsid w:val="00BD36FE"/>
    <w:rsid w:val="00BD39B4"/>
    <w:rsid w:val="00BD40FF"/>
    <w:rsid w:val="00BD4A11"/>
    <w:rsid w:val="00BD5DBA"/>
    <w:rsid w:val="00BD6621"/>
    <w:rsid w:val="00BD696C"/>
    <w:rsid w:val="00BD6AA3"/>
    <w:rsid w:val="00BD6B00"/>
    <w:rsid w:val="00BD7C7A"/>
    <w:rsid w:val="00BE0C42"/>
    <w:rsid w:val="00BE170D"/>
    <w:rsid w:val="00BE1FCD"/>
    <w:rsid w:val="00BE2A00"/>
    <w:rsid w:val="00BE3929"/>
    <w:rsid w:val="00BE3CD1"/>
    <w:rsid w:val="00BE6B97"/>
    <w:rsid w:val="00BF03C5"/>
    <w:rsid w:val="00BF05F7"/>
    <w:rsid w:val="00BF1046"/>
    <w:rsid w:val="00BF18D4"/>
    <w:rsid w:val="00BF2430"/>
    <w:rsid w:val="00BF254B"/>
    <w:rsid w:val="00BF2C35"/>
    <w:rsid w:val="00BF3D71"/>
    <w:rsid w:val="00BF57D2"/>
    <w:rsid w:val="00BF71BE"/>
    <w:rsid w:val="00C00D92"/>
    <w:rsid w:val="00C03AD0"/>
    <w:rsid w:val="00C053A9"/>
    <w:rsid w:val="00C05652"/>
    <w:rsid w:val="00C05C96"/>
    <w:rsid w:val="00C0635B"/>
    <w:rsid w:val="00C108D6"/>
    <w:rsid w:val="00C11A97"/>
    <w:rsid w:val="00C11FE8"/>
    <w:rsid w:val="00C13000"/>
    <w:rsid w:val="00C13141"/>
    <w:rsid w:val="00C15E25"/>
    <w:rsid w:val="00C1617F"/>
    <w:rsid w:val="00C164F7"/>
    <w:rsid w:val="00C177B0"/>
    <w:rsid w:val="00C177B5"/>
    <w:rsid w:val="00C178C9"/>
    <w:rsid w:val="00C223FE"/>
    <w:rsid w:val="00C23033"/>
    <w:rsid w:val="00C23B26"/>
    <w:rsid w:val="00C23B56"/>
    <w:rsid w:val="00C23C70"/>
    <w:rsid w:val="00C24AF3"/>
    <w:rsid w:val="00C254B6"/>
    <w:rsid w:val="00C258B6"/>
    <w:rsid w:val="00C25F4D"/>
    <w:rsid w:val="00C26180"/>
    <w:rsid w:val="00C271B5"/>
    <w:rsid w:val="00C30BFD"/>
    <w:rsid w:val="00C31637"/>
    <w:rsid w:val="00C31DDC"/>
    <w:rsid w:val="00C324D3"/>
    <w:rsid w:val="00C33376"/>
    <w:rsid w:val="00C33980"/>
    <w:rsid w:val="00C349F6"/>
    <w:rsid w:val="00C34C0F"/>
    <w:rsid w:val="00C34F78"/>
    <w:rsid w:val="00C355CD"/>
    <w:rsid w:val="00C36991"/>
    <w:rsid w:val="00C36CF7"/>
    <w:rsid w:val="00C375C3"/>
    <w:rsid w:val="00C406AB"/>
    <w:rsid w:val="00C40996"/>
    <w:rsid w:val="00C42719"/>
    <w:rsid w:val="00C43693"/>
    <w:rsid w:val="00C43D12"/>
    <w:rsid w:val="00C446E7"/>
    <w:rsid w:val="00C451F9"/>
    <w:rsid w:val="00C4771A"/>
    <w:rsid w:val="00C5103F"/>
    <w:rsid w:val="00C51838"/>
    <w:rsid w:val="00C534DE"/>
    <w:rsid w:val="00C53F53"/>
    <w:rsid w:val="00C54F8A"/>
    <w:rsid w:val="00C5582E"/>
    <w:rsid w:val="00C55E69"/>
    <w:rsid w:val="00C56397"/>
    <w:rsid w:val="00C571EF"/>
    <w:rsid w:val="00C60CC4"/>
    <w:rsid w:val="00C61E96"/>
    <w:rsid w:val="00C62CD5"/>
    <w:rsid w:val="00C63880"/>
    <w:rsid w:val="00C662E9"/>
    <w:rsid w:val="00C6696E"/>
    <w:rsid w:val="00C66EB1"/>
    <w:rsid w:val="00C70439"/>
    <w:rsid w:val="00C70E3C"/>
    <w:rsid w:val="00C722BF"/>
    <w:rsid w:val="00C745FA"/>
    <w:rsid w:val="00C74850"/>
    <w:rsid w:val="00C74D09"/>
    <w:rsid w:val="00C76672"/>
    <w:rsid w:val="00C76CC0"/>
    <w:rsid w:val="00C8058E"/>
    <w:rsid w:val="00C80DD1"/>
    <w:rsid w:val="00C80E84"/>
    <w:rsid w:val="00C80F62"/>
    <w:rsid w:val="00C81973"/>
    <w:rsid w:val="00C826DC"/>
    <w:rsid w:val="00C828BA"/>
    <w:rsid w:val="00C82FC0"/>
    <w:rsid w:val="00C83790"/>
    <w:rsid w:val="00C839FA"/>
    <w:rsid w:val="00C83D0C"/>
    <w:rsid w:val="00C848D2"/>
    <w:rsid w:val="00C84F1D"/>
    <w:rsid w:val="00C85833"/>
    <w:rsid w:val="00C86602"/>
    <w:rsid w:val="00C86624"/>
    <w:rsid w:val="00C86AD4"/>
    <w:rsid w:val="00C87206"/>
    <w:rsid w:val="00C87C19"/>
    <w:rsid w:val="00C90231"/>
    <w:rsid w:val="00C90B04"/>
    <w:rsid w:val="00C90D4A"/>
    <w:rsid w:val="00C914E6"/>
    <w:rsid w:val="00C91504"/>
    <w:rsid w:val="00C91587"/>
    <w:rsid w:val="00C91B23"/>
    <w:rsid w:val="00C91C88"/>
    <w:rsid w:val="00C923CC"/>
    <w:rsid w:val="00C92427"/>
    <w:rsid w:val="00C92672"/>
    <w:rsid w:val="00C92BDD"/>
    <w:rsid w:val="00C93899"/>
    <w:rsid w:val="00C9476C"/>
    <w:rsid w:val="00C952AA"/>
    <w:rsid w:val="00C96B69"/>
    <w:rsid w:val="00C972E6"/>
    <w:rsid w:val="00C97501"/>
    <w:rsid w:val="00CA0DED"/>
    <w:rsid w:val="00CA1EE4"/>
    <w:rsid w:val="00CA355C"/>
    <w:rsid w:val="00CA4A6F"/>
    <w:rsid w:val="00CA5078"/>
    <w:rsid w:val="00CA533E"/>
    <w:rsid w:val="00CA563E"/>
    <w:rsid w:val="00CA5CCF"/>
    <w:rsid w:val="00CA60F4"/>
    <w:rsid w:val="00CA65A7"/>
    <w:rsid w:val="00CA67CA"/>
    <w:rsid w:val="00CA6C44"/>
    <w:rsid w:val="00CB0225"/>
    <w:rsid w:val="00CB02E0"/>
    <w:rsid w:val="00CB0DFC"/>
    <w:rsid w:val="00CB19F6"/>
    <w:rsid w:val="00CB37F0"/>
    <w:rsid w:val="00CB443C"/>
    <w:rsid w:val="00CB4B2F"/>
    <w:rsid w:val="00CB565D"/>
    <w:rsid w:val="00CB5C27"/>
    <w:rsid w:val="00CB67BA"/>
    <w:rsid w:val="00CB713C"/>
    <w:rsid w:val="00CB7469"/>
    <w:rsid w:val="00CB7C07"/>
    <w:rsid w:val="00CC074F"/>
    <w:rsid w:val="00CC2054"/>
    <w:rsid w:val="00CC205E"/>
    <w:rsid w:val="00CC28FA"/>
    <w:rsid w:val="00CC346F"/>
    <w:rsid w:val="00CC43A0"/>
    <w:rsid w:val="00CC577A"/>
    <w:rsid w:val="00CC611B"/>
    <w:rsid w:val="00CC6128"/>
    <w:rsid w:val="00CC75BE"/>
    <w:rsid w:val="00CC7A09"/>
    <w:rsid w:val="00CC7CB3"/>
    <w:rsid w:val="00CD1052"/>
    <w:rsid w:val="00CD1C11"/>
    <w:rsid w:val="00CD213A"/>
    <w:rsid w:val="00CD2C4F"/>
    <w:rsid w:val="00CD3542"/>
    <w:rsid w:val="00CD3AA8"/>
    <w:rsid w:val="00CD5219"/>
    <w:rsid w:val="00CE510C"/>
    <w:rsid w:val="00CE596B"/>
    <w:rsid w:val="00CE63AF"/>
    <w:rsid w:val="00CE79A0"/>
    <w:rsid w:val="00CF038A"/>
    <w:rsid w:val="00CF1F34"/>
    <w:rsid w:val="00CF31B0"/>
    <w:rsid w:val="00CF35FA"/>
    <w:rsid w:val="00CF3AC8"/>
    <w:rsid w:val="00CF492F"/>
    <w:rsid w:val="00CF50C9"/>
    <w:rsid w:val="00CF5C49"/>
    <w:rsid w:val="00CF7166"/>
    <w:rsid w:val="00D01084"/>
    <w:rsid w:val="00D014EF"/>
    <w:rsid w:val="00D0306E"/>
    <w:rsid w:val="00D03325"/>
    <w:rsid w:val="00D03DBC"/>
    <w:rsid w:val="00D0614E"/>
    <w:rsid w:val="00D07A5E"/>
    <w:rsid w:val="00D10DAB"/>
    <w:rsid w:val="00D12449"/>
    <w:rsid w:val="00D12966"/>
    <w:rsid w:val="00D13C39"/>
    <w:rsid w:val="00D14383"/>
    <w:rsid w:val="00D14EDC"/>
    <w:rsid w:val="00D15142"/>
    <w:rsid w:val="00D15979"/>
    <w:rsid w:val="00D15D5D"/>
    <w:rsid w:val="00D16124"/>
    <w:rsid w:val="00D16F94"/>
    <w:rsid w:val="00D16FA9"/>
    <w:rsid w:val="00D17E02"/>
    <w:rsid w:val="00D206DC"/>
    <w:rsid w:val="00D209E8"/>
    <w:rsid w:val="00D21046"/>
    <w:rsid w:val="00D210AA"/>
    <w:rsid w:val="00D216E9"/>
    <w:rsid w:val="00D2269C"/>
    <w:rsid w:val="00D25627"/>
    <w:rsid w:val="00D2738F"/>
    <w:rsid w:val="00D27E46"/>
    <w:rsid w:val="00D3191E"/>
    <w:rsid w:val="00D329A4"/>
    <w:rsid w:val="00D32AFC"/>
    <w:rsid w:val="00D32D8D"/>
    <w:rsid w:val="00D330A0"/>
    <w:rsid w:val="00D337C0"/>
    <w:rsid w:val="00D33934"/>
    <w:rsid w:val="00D33E78"/>
    <w:rsid w:val="00D342C8"/>
    <w:rsid w:val="00D3704B"/>
    <w:rsid w:val="00D37182"/>
    <w:rsid w:val="00D37B40"/>
    <w:rsid w:val="00D40641"/>
    <w:rsid w:val="00D4121A"/>
    <w:rsid w:val="00D42768"/>
    <w:rsid w:val="00D42812"/>
    <w:rsid w:val="00D42F84"/>
    <w:rsid w:val="00D46C3C"/>
    <w:rsid w:val="00D472A8"/>
    <w:rsid w:val="00D47FD1"/>
    <w:rsid w:val="00D504DC"/>
    <w:rsid w:val="00D50F70"/>
    <w:rsid w:val="00D529C3"/>
    <w:rsid w:val="00D52E89"/>
    <w:rsid w:val="00D53432"/>
    <w:rsid w:val="00D5357F"/>
    <w:rsid w:val="00D54B05"/>
    <w:rsid w:val="00D55C8E"/>
    <w:rsid w:val="00D55D0A"/>
    <w:rsid w:val="00D5615B"/>
    <w:rsid w:val="00D575B9"/>
    <w:rsid w:val="00D61727"/>
    <w:rsid w:val="00D61A47"/>
    <w:rsid w:val="00D61F84"/>
    <w:rsid w:val="00D62105"/>
    <w:rsid w:val="00D63DD8"/>
    <w:rsid w:val="00D65CF1"/>
    <w:rsid w:val="00D66E9F"/>
    <w:rsid w:val="00D67707"/>
    <w:rsid w:val="00D67BDE"/>
    <w:rsid w:val="00D70126"/>
    <w:rsid w:val="00D71A4B"/>
    <w:rsid w:val="00D71F2B"/>
    <w:rsid w:val="00D72132"/>
    <w:rsid w:val="00D72253"/>
    <w:rsid w:val="00D72293"/>
    <w:rsid w:val="00D72A62"/>
    <w:rsid w:val="00D73E11"/>
    <w:rsid w:val="00D74C53"/>
    <w:rsid w:val="00D753F1"/>
    <w:rsid w:val="00D77483"/>
    <w:rsid w:val="00D80044"/>
    <w:rsid w:val="00D815FD"/>
    <w:rsid w:val="00D81E29"/>
    <w:rsid w:val="00D8274E"/>
    <w:rsid w:val="00D84047"/>
    <w:rsid w:val="00D85B62"/>
    <w:rsid w:val="00D85FB4"/>
    <w:rsid w:val="00D86103"/>
    <w:rsid w:val="00D87FF8"/>
    <w:rsid w:val="00D9010A"/>
    <w:rsid w:val="00D90A93"/>
    <w:rsid w:val="00D912C6"/>
    <w:rsid w:val="00D91B35"/>
    <w:rsid w:val="00D91CC8"/>
    <w:rsid w:val="00D9248C"/>
    <w:rsid w:val="00D9278F"/>
    <w:rsid w:val="00D929CC"/>
    <w:rsid w:val="00D93781"/>
    <w:rsid w:val="00D93EBC"/>
    <w:rsid w:val="00D941ED"/>
    <w:rsid w:val="00D94720"/>
    <w:rsid w:val="00D94868"/>
    <w:rsid w:val="00D94E21"/>
    <w:rsid w:val="00D95C3C"/>
    <w:rsid w:val="00D962E8"/>
    <w:rsid w:val="00D9636F"/>
    <w:rsid w:val="00D96963"/>
    <w:rsid w:val="00D96BB5"/>
    <w:rsid w:val="00D97326"/>
    <w:rsid w:val="00DA0C53"/>
    <w:rsid w:val="00DA1889"/>
    <w:rsid w:val="00DA1C14"/>
    <w:rsid w:val="00DA2EAE"/>
    <w:rsid w:val="00DA47EF"/>
    <w:rsid w:val="00DA5351"/>
    <w:rsid w:val="00DA6396"/>
    <w:rsid w:val="00DA6D32"/>
    <w:rsid w:val="00DA7577"/>
    <w:rsid w:val="00DA7A7E"/>
    <w:rsid w:val="00DB03C6"/>
    <w:rsid w:val="00DB0592"/>
    <w:rsid w:val="00DB13AD"/>
    <w:rsid w:val="00DB206E"/>
    <w:rsid w:val="00DB2957"/>
    <w:rsid w:val="00DB31E5"/>
    <w:rsid w:val="00DB39F6"/>
    <w:rsid w:val="00DB4567"/>
    <w:rsid w:val="00DB4F2F"/>
    <w:rsid w:val="00DB6F7A"/>
    <w:rsid w:val="00DB7C95"/>
    <w:rsid w:val="00DC076C"/>
    <w:rsid w:val="00DC247B"/>
    <w:rsid w:val="00DC2617"/>
    <w:rsid w:val="00DC2B22"/>
    <w:rsid w:val="00DC2BB4"/>
    <w:rsid w:val="00DC3C9E"/>
    <w:rsid w:val="00DC4D1D"/>
    <w:rsid w:val="00DC666C"/>
    <w:rsid w:val="00DC7180"/>
    <w:rsid w:val="00DC71C5"/>
    <w:rsid w:val="00DC7EAB"/>
    <w:rsid w:val="00DD04BA"/>
    <w:rsid w:val="00DD091C"/>
    <w:rsid w:val="00DD0B77"/>
    <w:rsid w:val="00DD0FDD"/>
    <w:rsid w:val="00DD1B23"/>
    <w:rsid w:val="00DD1C80"/>
    <w:rsid w:val="00DD20C8"/>
    <w:rsid w:val="00DD229E"/>
    <w:rsid w:val="00DD292C"/>
    <w:rsid w:val="00DD2EF8"/>
    <w:rsid w:val="00DD35A5"/>
    <w:rsid w:val="00DD4916"/>
    <w:rsid w:val="00DD6555"/>
    <w:rsid w:val="00DD6AEA"/>
    <w:rsid w:val="00DD6BE6"/>
    <w:rsid w:val="00DD74F8"/>
    <w:rsid w:val="00DD75C0"/>
    <w:rsid w:val="00DE061C"/>
    <w:rsid w:val="00DE135B"/>
    <w:rsid w:val="00DE13C0"/>
    <w:rsid w:val="00DE1CAB"/>
    <w:rsid w:val="00DE22DE"/>
    <w:rsid w:val="00DE3084"/>
    <w:rsid w:val="00DE3F71"/>
    <w:rsid w:val="00DE4BCB"/>
    <w:rsid w:val="00DE52EC"/>
    <w:rsid w:val="00DE6C3C"/>
    <w:rsid w:val="00DF0B20"/>
    <w:rsid w:val="00DF10E9"/>
    <w:rsid w:val="00DF1B08"/>
    <w:rsid w:val="00DF2835"/>
    <w:rsid w:val="00DF3808"/>
    <w:rsid w:val="00DF3A0A"/>
    <w:rsid w:val="00DF4275"/>
    <w:rsid w:val="00DF4A8A"/>
    <w:rsid w:val="00DF4CAE"/>
    <w:rsid w:val="00DF4F4B"/>
    <w:rsid w:val="00DF57E9"/>
    <w:rsid w:val="00DF5C0A"/>
    <w:rsid w:val="00E0126F"/>
    <w:rsid w:val="00E01562"/>
    <w:rsid w:val="00E02F6D"/>
    <w:rsid w:val="00E03B63"/>
    <w:rsid w:val="00E042A9"/>
    <w:rsid w:val="00E04A54"/>
    <w:rsid w:val="00E04BDD"/>
    <w:rsid w:val="00E051EE"/>
    <w:rsid w:val="00E06236"/>
    <w:rsid w:val="00E06453"/>
    <w:rsid w:val="00E06EFA"/>
    <w:rsid w:val="00E0787F"/>
    <w:rsid w:val="00E10064"/>
    <w:rsid w:val="00E116DE"/>
    <w:rsid w:val="00E1205B"/>
    <w:rsid w:val="00E1215B"/>
    <w:rsid w:val="00E125B8"/>
    <w:rsid w:val="00E12966"/>
    <w:rsid w:val="00E1320B"/>
    <w:rsid w:val="00E142AD"/>
    <w:rsid w:val="00E1636E"/>
    <w:rsid w:val="00E1678C"/>
    <w:rsid w:val="00E17CE6"/>
    <w:rsid w:val="00E205F5"/>
    <w:rsid w:val="00E2268C"/>
    <w:rsid w:val="00E23F02"/>
    <w:rsid w:val="00E2420E"/>
    <w:rsid w:val="00E24909"/>
    <w:rsid w:val="00E24AD5"/>
    <w:rsid w:val="00E25097"/>
    <w:rsid w:val="00E25C33"/>
    <w:rsid w:val="00E25C99"/>
    <w:rsid w:val="00E25F25"/>
    <w:rsid w:val="00E2624E"/>
    <w:rsid w:val="00E26B9C"/>
    <w:rsid w:val="00E271B9"/>
    <w:rsid w:val="00E27AAE"/>
    <w:rsid w:val="00E307B4"/>
    <w:rsid w:val="00E33273"/>
    <w:rsid w:val="00E33288"/>
    <w:rsid w:val="00E33CD1"/>
    <w:rsid w:val="00E34CAF"/>
    <w:rsid w:val="00E35162"/>
    <w:rsid w:val="00E351A1"/>
    <w:rsid w:val="00E353CC"/>
    <w:rsid w:val="00E36A2A"/>
    <w:rsid w:val="00E36B8F"/>
    <w:rsid w:val="00E36D7A"/>
    <w:rsid w:val="00E37421"/>
    <w:rsid w:val="00E37FD8"/>
    <w:rsid w:val="00E40965"/>
    <w:rsid w:val="00E43101"/>
    <w:rsid w:val="00E4332B"/>
    <w:rsid w:val="00E450D5"/>
    <w:rsid w:val="00E50106"/>
    <w:rsid w:val="00E50AB9"/>
    <w:rsid w:val="00E51079"/>
    <w:rsid w:val="00E5152F"/>
    <w:rsid w:val="00E51BFE"/>
    <w:rsid w:val="00E51FEE"/>
    <w:rsid w:val="00E5233E"/>
    <w:rsid w:val="00E52F10"/>
    <w:rsid w:val="00E5404A"/>
    <w:rsid w:val="00E557EE"/>
    <w:rsid w:val="00E55B2A"/>
    <w:rsid w:val="00E55EF3"/>
    <w:rsid w:val="00E57733"/>
    <w:rsid w:val="00E606A7"/>
    <w:rsid w:val="00E61511"/>
    <w:rsid w:val="00E61C8A"/>
    <w:rsid w:val="00E61EB3"/>
    <w:rsid w:val="00E61FF6"/>
    <w:rsid w:val="00E65883"/>
    <w:rsid w:val="00E65B8B"/>
    <w:rsid w:val="00E65DFD"/>
    <w:rsid w:val="00E66333"/>
    <w:rsid w:val="00E679F7"/>
    <w:rsid w:val="00E70618"/>
    <w:rsid w:val="00E70D49"/>
    <w:rsid w:val="00E70D63"/>
    <w:rsid w:val="00E710A3"/>
    <w:rsid w:val="00E71764"/>
    <w:rsid w:val="00E71CAD"/>
    <w:rsid w:val="00E72AA2"/>
    <w:rsid w:val="00E7317B"/>
    <w:rsid w:val="00E733A4"/>
    <w:rsid w:val="00E7371C"/>
    <w:rsid w:val="00E73B1A"/>
    <w:rsid w:val="00E74AA8"/>
    <w:rsid w:val="00E74D88"/>
    <w:rsid w:val="00E768B3"/>
    <w:rsid w:val="00E76C9F"/>
    <w:rsid w:val="00E7723C"/>
    <w:rsid w:val="00E77457"/>
    <w:rsid w:val="00E77891"/>
    <w:rsid w:val="00E778CD"/>
    <w:rsid w:val="00E8073A"/>
    <w:rsid w:val="00E812C8"/>
    <w:rsid w:val="00E813BE"/>
    <w:rsid w:val="00E82D5D"/>
    <w:rsid w:val="00E83E3B"/>
    <w:rsid w:val="00E84B65"/>
    <w:rsid w:val="00E84B95"/>
    <w:rsid w:val="00E84D32"/>
    <w:rsid w:val="00E90F3D"/>
    <w:rsid w:val="00E90FF9"/>
    <w:rsid w:val="00E91225"/>
    <w:rsid w:val="00E914E1"/>
    <w:rsid w:val="00E930E7"/>
    <w:rsid w:val="00E9338B"/>
    <w:rsid w:val="00E94442"/>
    <w:rsid w:val="00E94972"/>
    <w:rsid w:val="00E95904"/>
    <w:rsid w:val="00E965B6"/>
    <w:rsid w:val="00EA06BB"/>
    <w:rsid w:val="00EA0C10"/>
    <w:rsid w:val="00EA10A9"/>
    <w:rsid w:val="00EA1B88"/>
    <w:rsid w:val="00EA29C3"/>
    <w:rsid w:val="00EA2A5F"/>
    <w:rsid w:val="00EA3CBC"/>
    <w:rsid w:val="00EA513F"/>
    <w:rsid w:val="00EA52E5"/>
    <w:rsid w:val="00EA5E07"/>
    <w:rsid w:val="00EA68C6"/>
    <w:rsid w:val="00EA6D0C"/>
    <w:rsid w:val="00EA6E6D"/>
    <w:rsid w:val="00EA6E81"/>
    <w:rsid w:val="00EB051F"/>
    <w:rsid w:val="00EB3664"/>
    <w:rsid w:val="00EB3A52"/>
    <w:rsid w:val="00EB548B"/>
    <w:rsid w:val="00EB557D"/>
    <w:rsid w:val="00EB5638"/>
    <w:rsid w:val="00EB669C"/>
    <w:rsid w:val="00EB67A3"/>
    <w:rsid w:val="00EB6BCE"/>
    <w:rsid w:val="00EB6DDB"/>
    <w:rsid w:val="00EB6FD5"/>
    <w:rsid w:val="00EB7AAB"/>
    <w:rsid w:val="00EC1BC7"/>
    <w:rsid w:val="00EC2CCC"/>
    <w:rsid w:val="00EC301F"/>
    <w:rsid w:val="00EC32D0"/>
    <w:rsid w:val="00EC5924"/>
    <w:rsid w:val="00EC63F8"/>
    <w:rsid w:val="00EC6C1D"/>
    <w:rsid w:val="00EC7498"/>
    <w:rsid w:val="00ED19CA"/>
    <w:rsid w:val="00ED220A"/>
    <w:rsid w:val="00ED2DC9"/>
    <w:rsid w:val="00ED4F2C"/>
    <w:rsid w:val="00ED61B0"/>
    <w:rsid w:val="00ED683B"/>
    <w:rsid w:val="00ED7434"/>
    <w:rsid w:val="00ED7602"/>
    <w:rsid w:val="00EE04FC"/>
    <w:rsid w:val="00EE2308"/>
    <w:rsid w:val="00EE25DB"/>
    <w:rsid w:val="00EE34A6"/>
    <w:rsid w:val="00EE5C41"/>
    <w:rsid w:val="00EE69B4"/>
    <w:rsid w:val="00EE716C"/>
    <w:rsid w:val="00EE7A16"/>
    <w:rsid w:val="00EE7D44"/>
    <w:rsid w:val="00EF0B61"/>
    <w:rsid w:val="00EF1343"/>
    <w:rsid w:val="00EF4E96"/>
    <w:rsid w:val="00EF58E6"/>
    <w:rsid w:val="00EF6550"/>
    <w:rsid w:val="00EF77AC"/>
    <w:rsid w:val="00F004E8"/>
    <w:rsid w:val="00F00B45"/>
    <w:rsid w:val="00F01A72"/>
    <w:rsid w:val="00F04477"/>
    <w:rsid w:val="00F048C3"/>
    <w:rsid w:val="00F0492F"/>
    <w:rsid w:val="00F07364"/>
    <w:rsid w:val="00F117BA"/>
    <w:rsid w:val="00F11CA4"/>
    <w:rsid w:val="00F12F66"/>
    <w:rsid w:val="00F15627"/>
    <w:rsid w:val="00F159BA"/>
    <w:rsid w:val="00F15F02"/>
    <w:rsid w:val="00F1704F"/>
    <w:rsid w:val="00F17FF6"/>
    <w:rsid w:val="00F20D2D"/>
    <w:rsid w:val="00F2158D"/>
    <w:rsid w:val="00F21C55"/>
    <w:rsid w:val="00F24E13"/>
    <w:rsid w:val="00F25548"/>
    <w:rsid w:val="00F2590D"/>
    <w:rsid w:val="00F2621B"/>
    <w:rsid w:val="00F278B6"/>
    <w:rsid w:val="00F27D20"/>
    <w:rsid w:val="00F27DC6"/>
    <w:rsid w:val="00F30224"/>
    <w:rsid w:val="00F309EB"/>
    <w:rsid w:val="00F3226E"/>
    <w:rsid w:val="00F327CB"/>
    <w:rsid w:val="00F33D56"/>
    <w:rsid w:val="00F34416"/>
    <w:rsid w:val="00F34E0A"/>
    <w:rsid w:val="00F353A8"/>
    <w:rsid w:val="00F36369"/>
    <w:rsid w:val="00F36696"/>
    <w:rsid w:val="00F40101"/>
    <w:rsid w:val="00F407C4"/>
    <w:rsid w:val="00F40842"/>
    <w:rsid w:val="00F4118E"/>
    <w:rsid w:val="00F4251B"/>
    <w:rsid w:val="00F42701"/>
    <w:rsid w:val="00F427DF"/>
    <w:rsid w:val="00F43156"/>
    <w:rsid w:val="00F4331D"/>
    <w:rsid w:val="00F44035"/>
    <w:rsid w:val="00F45432"/>
    <w:rsid w:val="00F461BF"/>
    <w:rsid w:val="00F465D1"/>
    <w:rsid w:val="00F4690A"/>
    <w:rsid w:val="00F46D04"/>
    <w:rsid w:val="00F47118"/>
    <w:rsid w:val="00F47D94"/>
    <w:rsid w:val="00F5072C"/>
    <w:rsid w:val="00F50A9E"/>
    <w:rsid w:val="00F51181"/>
    <w:rsid w:val="00F51822"/>
    <w:rsid w:val="00F522A3"/>
    <w:rsid w:val="00F5321E"/>
    <w:rsid w:val="00F541D0"/>
    <w:rsid w:val="00F5443C"/>
    <w:rsid w:val="00F55BE3"/>
    <w:rsid w:val="00F57EA6"/>
    <w:rsid w:val="00F6004B"/>
    <w:rsid w:val="00F61637"/>
    <w:rsid w:val="00F620CB"/>
    <w:rsid w:val="00F627C9"/>
    <w:rsid w:val="00F62A3B"/>
    <w:rsid w:val="00F63D59"/>
    <w:rsid w:val="00F64245"/>
    <w:rsid w:val="00F6545C"/>
    <w:rsid w:val="00F6642C"/>
    <w:rsid w:val="00F667B8"/>
    <w:rsid w:val="00F66FD4"/>
    <w:rsid w:val="00F70BD1"/>
    <w:rsid w:val="00F71B1D"/>
    <w:rsid w:val="00F72251"/>
    <w:rsid w:val="00F73D27"/>
    <w:rsid w:val="00F74D57"/>
    <w:rsid w:val="00F7616C"/>
    <w:rsid w:val="00F778C0"/>
    <w:rsid w:val="00F8006E"/>
    <w:rsid w:val="00F80A54"/>
    <w:rsid w:val="00F810D0"/>
    <w:rsid w:val="00F81311"/>
    <w:rsid w:val="00F81765"/>
    <w:rsid w:val="00F81782"/>
    <w:rsid w:val="00F82F9F"/>
    <w:rsid w:val="00F83194"/>
    <w:rsid w:val="00F83257"/>
    <w:rsid w:val="00F83703"/>
    <w:rsid w:val="00F84213"/>
    <w:rsid w:val="00F851B0"/>
    <w:rsid w:val="00F8572B"/>
    <w:rsid w:val="00F878B2"/>
    <w:rsid w:val="00F87F95"/>
    <w:rsid w:val="00F90B5F"/>
    <w:rsid w:val="00F92298"/>
    <w:rsid w:val="00F92678"/>
    <w:rsid w:val="00F92E4A"/>
    <w:rsid w:val="00F93890"/>
    <w:rsid w:val="00F93FAD"/>
    <w:rsid w:val="00F941AE"/>
    <w:rsid w:val="00F952CD"/>
    <w:rsid w:val="00F95367"/>
    <w:rsid w:val="00F9598E"/>
    <w:rsid w:val="00F96ACF"/>
    <w:rsid w:val="00FA126E"/>
    <w:rsid w:val="00FA177E"/>
    <w:rsid w:val="00FA25E7"/>
    <w:rsid w:val="00FA2779"/>
    <w:rsid w:val="00FA286C"/>
    <w:rsid w:val="00FA5BB3"/>
    <w:rsid w:val="00FA673E"/>
    <w:rsid w:val="00FA6893"/>
    <w:rsid w:val="00FA6F10"/>
    <w:rsid w:val="00FA7944"/>
    <w:rsid w:val="00FB1121"/>
    <w:rsid w:val="00FB21C9"/>
    <w:rsid w:val="00FB2FAE"/>
    <w:rsid w:val="00FB3173"/>
    <w:rsid w:val="00FB38CB"/>
    <w:rsid w:val="00FB41EB"/>
    <w:rsid w:val="00FB516A"/>
    <w:rsid w:val="00FB6E13"/>
    <w:rsid w:val="00FB780B"/>
    <w:rsid w:val="00FC03AA"/>
    <w:rsid w:val="00FC4223"/>
    <w:rsid w:val="00FC42D5"/>
    <w:rsid w:val="00FC5435"/>
    <w:rsid w:val="00FC5935"/>
    <w:rsid w:val="00FC6BAC"/>
    <w:rsid w:val="00FD0844"/>
    <w:rsid w:val="00FD0F0E"/>
    <w:rsid w:val="00FD119C"/>
    <w:rsid w:val="00FD245C"/>
    <w:rsid w:val="00FD4E46"/>
    <w:rsid w:val="00FD5539"/>
    <w:rsid w:val="00FD559D"/>
    <w:rsid w:val="00FD6C9D"/>
    <w:rsid w:val="00FD745F"/>
    <w:rsid w:val="00FE1951"/>
    <w:rsid w:val="00FE1BB8"/>
    <w:rsid w:val="00FE2602"/>
    <w:rsid w:val="00FE27EC"/>
    <w:rsid w:val="00FE540A"/>
    <w:rsid w:val="00FE6D88"/>
    <w:rsid w:val="00FF01BF"/>
    <w:rsid w:val="00FF170B"/>
    <w:rsid w:val="00FF17C8"/>
    <w:rsid w:val="00FF1D03"/>
    <w:rsid w:val="00FF2502"/>
    <w:rsid w:val="00FF2C6B"/>
    <w:rsid w:val="00FF34C6"/>
    <w:rsid w:val="00FF3A58"/>
    <w:rsid w:val="00FF3C20"/>
    <w:rsid w:val="00FF3EB7"/>
    <w:rsid w:val="00FF4517"/>
    <w:rsid w:val="00FF478A"/>
    <w:rsid w:val="00FF5AC7"/>
    <w:rsid w:val="00FF63CA"/>
    <w:rsid w:val="00FF74EF"/>
    <w:rsid w:val="00FF76AB"/>
    <w:rsid w:val="00FF7C5D"/>
  </w:rsids>
  <m:mathPr>
    <m:mathFont m:val="Cambria Math"/>
    <m:brkBin m:val="before"/>
    <m:brkBinSub m:val="--"/>
    <m:smallFrac/>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0D7DF595"/>
  <w15:docId w15:val="{FC4E29B4-A9A2-46DF-B644-7956459F0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MS Mincho"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5A79"/>
    <w:rPr>
      <w:lang w:val="sq-AL"/>
    </w:rPr>
  </w:style>
  <w:style w:type="paragraph" w:styleId="Heading1">
    <w:name w:val="heading 1"/>
    <w:basedOn w:val="Normal"/>
    <w:next w:val="Normal"/>
    <w:link w:val="Heading1Char"/>
    <w:uiPriority w:val="9"/>
    <w:qFormat/>
    <w:rsid w:val="00024A6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24A60"/>
    <w:pPr>
      <w:keepNext/>
      <w:keepLines/>
      <w:spacing w:before="200" w:after="0"/>
      <w:outlineLvl w:val="1"/>
    </w:pPr>
    <w:rPr>
      <w:rFonts w:ascii="Times New Roman" w:eastAsiaTheme="majorEastAsia" w:hAnsi="Times New Roman" w:cstheme="majorBidi"/>
      <w:b/>
      <w:bCs/>
      <w:color w:val="4F81BD" w:themeColor="accent1"/>
      <w:sz w:val="28"/>
      <w:szCs w:val="26"/>
    </w:rPr>
  </w:style>
  <w:style w:type="paragraph" w:styleId="Heading3">
    <w:name w:val="heading 3"/>
    <w:basedOn w:val="Normal"/>
    <w:next w:val="Normal"/>
    <w:link w:val="Heading3Char"/>
    <w:uiPriority w:val="9"/>
    <w:unhideWhenUsed/>
    <w:qFormat/>
    <w:rsid w:val="00024A60"/>
    <w:pPr>
      <w:keepNext/>
      <w:keepLines/>
      <w:spacing w:before="200" w:after="0"/>
      <w:outlineLvl w:val="2"/>
    </w:pPr>
    <w:rPr>
      <w:rFonts w:ascii="Times New Roman" w:eastAsiaTheme="majorEastAsia" w:hAnsi="Times New Roman" w:cstheme="majorBidi"/>
      <w:b/>
      <w:bCs/>
      <w:color w:val="4F81BD" w:themeColor="accent1"/>
      <w:sz w:val="24"/>
    </w:rPr>
  </w:style>
  <w:style w:type="paragraph" w:styleId="Heading4">
    <w:name w:val="heading 4"/>
    <w:basedOn w:val="Normal"/>
    <w:next w:val="Normal"/>
    <w:link w:val="Heading4Char"/>
    <w:uiPriority w:val="9"/>
    <w:unhideWhenUsed/>
    <w:rsid w:val="00024A60"/>
    <w:pPr>
      <w:keepNext/>
      <w:keepLines/>
      <w:spacing w:before="200" w:after="0"/>
      <w:outlineLvl w:val="3"/>
    </w:pPr>
    <w:rPr>
      <w:rFonts w:ascii="Times New Roman" w:eastAsiaTheme="majorEastAsia" w:hAnsi="Times New Roman" w:cstheme="majorBidi"/>
      <w:b/>
      <w:bCs/>
      <w:i/>
      <w:iCs/>
      <w:color w:val="4F81BD" w:themeColor="accent1"/>
      <w:sz w:val="28"/>
    </w:rPr>
  </w:style>
  <w:style w:type="paragraph" w:styleId="Heading5">
    <w:name w:val="heading 5"/>
    <w:basedOn w:val="Normal"/>
    <w:next w:val="Normal"/>
    <w:link w:val="Heading5Char"/>
    <w:uiPriority w:val="9"/>
    <w:unhideWhenUsed/>
    <w:qFormat/>
    <w:rsid w:val="00024A60"/>
    <w:pPr>
      <w:keepNext/>
      <w:keepLines/>
      <w:spacing w:before="200" w:after="0"/>
      <w:outlineLvl w:val="4"/>
    </w:pPr>
    <w:rPr>
      <w:rFonts w:ascii="Times New Roman" w:eastAsiaTheme="majorEastAsia" w:hAnsi="Times New Roman" w:cstheme="majorBidi"/>
      <w:b/>
      <w:i/>
      <w:color w:val="548DD4" w:themeColor="text2" w:themeTint="99"/>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4A60"/>
    <w:rPr>
      <w:rFonts w:asciiTheme="majorHAnsi" w:eastAsiaTheme="majorEastAsia" w:hAnsiTheme="majorHAnsi" w:cstheme="majorBidi"/>
      <w:b/>
      <w:bCs/>
      <w:noProof/>
      <w:color w:val="365F91" w:themeColor="accent1" w:themeShade="BF"/>
      <w:sz w:val="28"/>
      <w:szCs w:val="28"/>
      <w:lang w:val="sq-AL"/>
    </w:rPr>
  </w:style>
  <w:style w:type="character" w:customStyle="1" w:styleId="Heading2Char">
    <w:name w:val="Heading 2 Char"/>
    <w:basedOn w:val="DefaultParagraphFont"/>
    <w:link w:val="Heading2"/>
    <w:uiPriority w:val="9"/>
    <w:rsid w:val="00024A60"/>
    <w:rPr>
      <w:rFonts w:ascii="Times New Roman" w:eastAsiaTheme="majorEastAsia" w:hAnsi="Times New Roman" w:cstheme="majorBidi"/>
      <w:b/>
      <w:bCs/>
      <w:noProof/>
      <w:color w:val="4F81BD" w:themeColor="accent1"/>
      <w:sz w:val="28"/>
      <w:szCs w:val="26"/>
      <w:lang w:val="sq-AL"/>
    </w:rPr>
  </w:style>
  <w:style w:type="character" w:customStyle="1" w:styleId="Heading3Char">
    <w:name w:val="Heading 3 Char"/>
    <w:basedOn w:val="DefaultParagraphFont"/>
    <w:link w:val="Heading3"/>
    <w:uiPriority w:val="9"/>
    <w:rsid w:val="00024A60"/>
    <w:rPr>
      <w:rFonts w:ascii="Times New Roman" w:eastAsiaTheme="majorEastAsia" w:hAnsi="Times New Roman" w:cstheme="majorBidi"/>
      <w:b/>
      <w:bCs/>
      <w:noProof/>
      <w:color w:val="4F81BD" w:themeColor="accent1"/>
      <w:sz w:val="24"/>
      <w:lang w:val="sq-AL"/>
    </w:rPr>
  </w:style>
  <w:style w:type="character" w:customStyle="1" w:styleId="Heading4Char">
    <w:name w:val="Heading 4 Char"/>
    <w:basedOn w:val="DefaultParagraphFont"/>
    <w:link w:val="Heading4"/>
    <w:uiPriority w:val="9"/>
    <w:rsid w:val="00024A60"/>
    <w:rPr>
      <w:rFonts w:ascii="Times New Roman" w:eastAsiaTheme="majorEastAsia" w:hAnsi="Times New Roman" w:cstheme="majorBidi"/>
      <w:b/>
      <w:bCs/>
      <w:i/>
      <w:iCs/>
      <w:noProof/>
      <w:color w:val="4F81BD" w:themeColor="accent1"/>
      <w:sz w:val="28"/>
      <w:lang w:val="sq-AL"/>
    </w:rPr>
  </w:style>
  <w:style w:type="character" w:customStyle="1" w:styleId="Heading5Char">
    <w:name w:val="Heading 5 Char"/>
    <w:basedOn w:val="DefaultParagraphFont"/>
    <w:link w:val="Heading5"/>
    <w:uiPriority w:val="9"/>
    <w:rsid w:val="00024A60"/>
    <w:rPr>
      <w:rFonts w:ascii="Times New Roman" w:eastAsiaTheme="majorEastAsia" w:hAnsi="Times New Roman" w:cstheme="majorBidi"/>
      <w:b/>
      <w:i/>
      <w:noProof/>
      <w:color w:val="548DD4" w:themeColor="text2" w:themeTint="99"/>
      <w:sz w:val="24"/>
      <w:lang w:val="sq-AL"/>
    </w:rPr>
  </w:style>
  <w:style w:type="paragraph" w:styleId="Header">
    <w:name w:val="header"/>
    <w:basedOn w:val="Normal"/>
    <w:link w:val="HeaderChar"/>
    <w:uiPriority w:val="99"/>
    <w:unhideWhenUsed/>
    <w:rsid w:val="00024A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4A60"/>
  </w:style>
  <w:style w:type="paragraph" w:styleId="Footer">
    <w:name w:val="footer"/>
    <w:basedOn w:val="Normal"/>
    <w:link w:val="FooterChar"/>
    <w:uiPriority w:val="99"/>
    <w:unhideWhenUsed/>
    <w:rsid w:val="00024A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4A60"/>
  </w:style>
  <w:style w:type="paragraph" w:styleId="BalloonText">
    <w:name w:val="Balloon Text"/>
    <w:basedOn w:val="Normal"/>
    <w:link w:val="BalloonTextChar"/>
    <w:uiPriority w:val="99"/>
    <w:semiHidden/>
    <w:unhideWhenUsed/>
    <w:rsid w:val="00024A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4A60"/>
    <w:rPr>
      <w:rFonts w:ascii="Tahoma" w:eastAsia="MS Mincho" w:hAnsi="Tahoma" w:cs="Tahoma"/>
      <w:noProof/>
      <w:sz w:val="16"/>
      <w:szCs w:val="16"/>
      <w:lang w:val="sq-AL"/>
    </w:rPr>
  </w:style>
  <w:style w:type="table" w:styleId="TableGrid">
    <w:name w:val="Table Grid"/>
    <w:basedOn w:val="TableNormal"/>
    <w:uiPriority w:val="59"/>
    <w:rsid w:val="00024A60"/>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024A60"/>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024A60"/>
    <w:rPr>
      <w:rFonts w:eastAsiaTheme="minorEastAsia"/>
      <w:lang w:val="en-US" w:eastAsia="ja-JP"/>
    </w:rPr>
  </w:style>
  <w:style w:type="paragraph" w:styleId="TOCHeading">
    <w:name w:val="TOC Heading"/>
    <w:basedOn w:val="Heading1"/>
    <w:next w:val="Normal"/>
    <w:uiPriority w:val="39"/>
    <w:semiHidden/>
    <w:unhideWhenUsed/>
    <w:qFormat/>
    <w:rsid w:val="00024A60"/>
    <w:pPr>
      <w:outlineLvl w:val="9"/>
    </w:pPr>
    <w:rPr>
      <w:lang w:val="en-US" w:eastAsia="ja-JP"/>
    </w:rPr>
  </w:style>
  <w:style w:type="paragraph" w:styleId="TOC2">
    <w:name w:val="toc 2"/>
    <w:basedOn w:val="Normal"/>
    <w:next w:val="Normal"/>
    <w:autoRedefine/>
    <w:uiPriority w:val="39"/>
    <w:unhideWhenUsed/>
    <w:qFormat/>
    <w:rsid w:val="000F4D31"/>
    <w:pPr>
      <w:tabs>
        <w:tab w:val="right" w:leader="dot" w:pos="9016"/>
      </w:tabs>
      <w:spacing w:after="100"/>
      <w:ind w:left="220"/>
    </w:pPr>
    <w:rPr>
      <w:rFonts w:ascii="Times New Roman" w:eastAsiaTheme="majorEastAsia" w:hAnsi="Times New Roman" w:cstheme="majorBidi"/>
      <w:bCs/>
    </w:rPr>
  </w:style>
  <w:style w:type="paragraph" w:styleId="TOC3">
    <w:name w:val="toc 3"/>
    <w:basedOn w:val="Normal"/>
    <w:next w:val="Normal"/>
    <w:autoRedefine/>
    <w:uiPriority w:val="39"/>
    <w:unhideWhenUsed/>
    <w:qFormat/>
    <w:rsid w:val="00024A60"/>
    <w:pPr>
      <w:spacing w:after="100"/>
      <w:ind w:left="440"/>
    </w:pPr>
  </w:style>
  <w:style w:type="character" w:styleId="Hyperlink">
    <w:name w:val="Hyperlink"/>
    <w:basedOn w:val="DefaultParagraphFont"/>
    <w:uiPriority w:val="99"/>
    <w:unhideWhenUsed/>
    <w:rsid w:val="00024A60"/>
    <w:rPr>
      <w:color w:val="0000FF" w:themeColor="hyperlink"/>
      <w:u w:val="single"/>
    </w:rPr>
  </w:style>
  <w:style w:type="paragraph" w:styleId="TOC1">
    <w:name w:val="toc 1"/>
    <w:basedOn w:val="Normal"/>
    <w:next w:val="Normal"/>
    <w:autoRedefine/>
    <w:uiPriority w:val="39"/>
    <w:unhideWhenUsed/>
    <w:qFormat/>
    <w:rsid w:val="00024A60"/>
    <w:pPr>
      <w:spacing w:after="100"/>
    </w:pPr>
    <w:rPr>
      <w:rFonts w:eastAsiaTheme="minorEastAsia"/>
      <w:lang w:val="en-US" w:eastAsia="ja-JP"/>
    </w:rPr>
  </w:style>
  <w:style w:type="paragraph" w:styleId="ListParagraph">
    <w:name w:val="List Paragraph"/>
    <w:aliases w:val="F5 List Paragraph,List Paragraph1,Dot pt,No Spacing1,List Paragraph Char Char Char,Indicator Text,Numbered Para 1,List Paragraph11,Colorful List - Accent 11,Bullet 1,Bullet Points,MAIN CONTENT,Recommendation,L,CV text,Table text,EX Bullet"/>
    <w:basedOn w:val="Normal"/>
    <w:link w:val="ListParagraphChar"/>
    <w:uiPriority w:val="34"/>
    <w:qFormat/>
    <w:rsid w:val="00024A60"/>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024A60"/>
    <w:rPr>
      <w:rFonts w:eastAsia="MS Mincho"/>
      <w:noProof/>
      <w:lang w:val="sq-AL"/>
    </w:rPr>
  </w:style>
  <w:style w:type="character" w:styleId="CommentReference">
    <w:name w:val="annotation reference"/>
    <w:basedOn w:val="DefaultParagraphFont"/>
    <w:uiPriority w:val="99"/>
    <w:semiHidden/>
    <w:unhideWhenUsed/>
    <w:qFormat/>
    <w:rsid w:val="00024A60"/>
    <w:rPr>
      <w:sz w:val="16"/>
      <w:szCs w:val="16"/>
    </w:rPr>
  </w:style>
  <w:style w:type="paragraph" w:styleId="CommentText">
    <w:name w:val="annotation text"/>
    <w:basedOn w:val="Normal"/>
    <w:link w:val="CommentTextChar"/>
    <w:uiPriority w:val="99"/>
    <w:semiHidden/>
    <w:unhideWhenUsed/>
    <w:rsid w:val="00024A60"/>
    <w:pPr>
      <w:spacing w:line="240" w:lineRule="auto"/>
    </w:pPr>
    <w:rPr>
      <w:sz w:val="20"/>
      <w:szCs w:val="20"/>
    </w:rPr>
  </w:style>
  <w:style w:type="character" w:customStyle="1" w:styleId="CommentTextChar">
    <w:name w:val="Comment Text Char"/>
    <w:basedOn w:val="DefaultParagraphFont"/>
    <w:link w:val="CommentText"/>
    <w:uiPriority w:val="99"/>
    <w:semiHidden/>
    <w:rsid w:val="00024A60"/>
    <w:rPr>
      <w:rFonts w:eastAsia="MS Mincho"/>
      <w:noProof/>
      <w:sz w:val="20"/>
      <w:szCs w:val="20"/>
      <w:lang w:val="sq-AL"/>
    </w:rPr>
  </w:style>
  <w:style w:type="paragraph" w:styleId="CommentSubject">
    <w:name w:val="annotation subject"/>
    <w:basedOn w:val="CommentText"/>
    <w:next w:val="CommentText"/>
    <w:link w:val="CommentSubjectChar"/>
    <w:uiPriority w:val="99"/>
    <w:semiHidden/>
    <w:unhideWhenUsed/>
    <w:rsid w:val="00024A60"/>
    <w:rPr>
      <w:b/>
      <w:bCs/>
    </w:rPr>
  </w:style>
  <w:style w:type="character" w:customStyle="1" w:styleId="CommentSubjectChar">
    <w:name w:val="Comment Subject Char"/>
    <w:basedOn w:val="CommentTextChar"/>
    <w:link w:val="CommentSubject"/>
    <w:uiPriority w:val="99"/>
    <w:semiHidden/>
    <w:rsid w:val="00024A60"/>
    <w:rPr>
      <w:rFonts w:eastAsia="MS Mincho"/>
      <w:b/>
      <w:bCs/>
      <w:noProof/>
      <w:sz w:val="20"/>
      <w:szCs w:val="20"/>
      <w:lang w:val="sq-AL"/>
    </w:rPr>
  </w:style>
  <w:style w:type="paragraph" w:styleId="Revision">
    <w:name w:val="Revision"/>
    <w:hidden/>
    <w:uiPriority w:val="99"/>
    <w:semiHidden/>
    <w:rsid w:val="00024A60"/>
    <w:pPr>
      <w:spacing w:after="0" w:line="240" w:lineRule="auto"/>
    </w:pPr>
    <w:rPr>
      <w:noProof/>
      <w:lang w:val="sq-AL"/>
    </w:rPr>
  </w:style>
  <w:style w:type="table" w:styleId="LightShading-Accent4">
    <w:name w:val="Light Shading Accent 4"/>
    <w:basedOn w:val="TableNormal"/>
    <w:uiPriority w:val="60"/>
    <w:rsid w:val="00024A60"/>
    <w:pPr>
      <w:spacing w:after="0" w:line="240" w:lineRule="auto"/>
    </w:pPr>
    <w:rPr>
      <w:rFonts w:ascii="Calibri" w:hAnsi="Calibri" w:cs="Times New Roman"/>
      <w:color w:val="5F497A" w:themeColor="accent4" w:themeShade="BF"/>
      <w:lang w:val="en-US"/>
    </w:rPr>
    <w:tblPr>
      <w:tblStyleRowBandSize w:val="1"/>
      <w:tblStyleColBandSize w:val="1"/>
      <w:tblBorders>
        <w:top w:val="single" w:sz="8" w:space="0" w:color="8064A2" w:themeColor="accent4"/>
        <w:bottom w:val="single" w:sz="8" w:space="0" w:color="8064A2" w:themeColor="accent4"/>
      </w:tblBorders>
    </w:tblPr>
    <w:tblStylePr w:type="firstRow">
      <w:pPr>
        <w:spacing w:beforeLines="0" w:beforeAutospacing="0" w:afterLines="0" w:afterAutospacing="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paragraph" w:customStyle="1" w:styleId="InfoHeading">
    <w:name w:val="Info Heading"/>
    <w:basedOn w:val="Normal"/>
    <w:uiPriority w:val="2"/>
    <w:qFormat/>
    <w:rsid w:val="00024A60"/>
    <w:pPr>
      <w:spacing w:after="60" w:line="240" w:lineRule="auto"/>
      <w:ind w:left="29" w:right="29"/>
      <w:jc w:val="right"/>
    </w:pPr>
    <w:rPr>
      <w:rFonts w:ascii="Arial" w:hAnsi="Arial" w:cs="Times New Roman"/>
      <w:b/>
      <w:bCs/>
      <w:color w:val="EF4623"/>
      <w:sz w:val="36"/>
      <w:szCs w:val="20"/>
      <w:lang w:val="en-US" w:eastAsia="ja-JP"/>
    </w:rPr>
  </w:style>
  <w:style w:type="paragraph" w:customStyle="1" w:styleId="Page">
    <w:name w:val="Page"/>
    <w:basedOn w:val="Normal"/>
    <w:next w:val="Normal"/>
    <w:uiPriority w:val="99"/>
    <w:unhideWhenUsed/>
    <w:qFormat/>
    <w:rsid w:val="00024A60"/>
    <w:pPr>
      <w:spacing w:after="40" w:line="240" w:lineRule="auto"/>
    </w:pPr>
    <w:rPr>
      <w:rFonts w:ascii="Arial" w:hAnsi="Arial" w:cs="Times New Roman"/>
      <w:color w:val="000000"/>
      <w:sz w:val="36"/>
      <w:szCs w:val="20"/>
      <w:lang w:val="en-US" w:eastAsia="ja-JP"/>
    </w:rPr>
  </w:style>
  <w:style w:type="table" w:customStyle="1" w:styleId="LightList-Accent11">
    <w:name w:val="Light List - Accent 11"/>
    <w:basedOn w:val="TableNormal"/>
    <w:uiPriority w:val="61"/>
    <w:rsid w:val="00024A60"/>
    <w:pPr>
      <w:spacing w:after="0" w:line="240" w:lineRule="auto"/>
    </w:pPr>
    <w:rPr>
      <w:rFonts w:ascii="Calibri" w:hAnsi="Calibri" w:cs="Times New Roman"/>
      <w:sz w:val="20"/>
      <w:szCs w:val="20"/>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Default">
    <w:name w:val="Default"/>
    <w:rsid w:val="00024A60"/>
    <w:pPr>
      <w:autoSpaceDE w:val="0"/>
      <w:autoSpaceDN w:val="0"/>
      <w:adjustRightInd w:val="0"/>
      <w:spacing w:after="0" w:line="240" w:lineRule="auto"/>
    </w:pPr>
    <w:rPr>
      <w:rFonts w:ascii="Arial" w:hAnsi="Arial" w:cs="Arial"/>
      <w:color w:val="000000"/>
      <w:sz w:val="24"/>
      <w:szCs w:val="24"/>
      <w:lang w:eastAsia="en-GB"/>
    </w:rPr>
  </w:style>
  <w:style w:type="table" w:customStyle="1" w:styleId="LightList-Accent12">
    <w:name w:val="Light List - Accent 12"/>
    <w:basedOn w:val="TableNormal"/>
    <w:next w:val="LightList-Accent1"/>
    <w:uiPriority w:val="61"/>
    <w:rsid w:val="00024A60"/>
    <w:pPr>
      <w:spacing w:after="0" w:line="240" w:lineRule="auto"/>
    </w:pPr>
    <w:rPr>
      <w:rFonts w:eastAsia="Calibri"/>
      <w:lang w:val="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1">
    <w:name w:val="Light List Accent 1"/>
    <w:basedOn w:val="TableNormal"/>
    <w:uiPriority w:val="61"/>
    <w:rsid w:val="00024A60"/>
    <w:pPr>
      <w:spacing w:after="0" w:line="240" w:lineRule="auto"/>
    </w:pPr>
    <w:rPr>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ghtList-Accent13">
    <w:name w:val="Light List - Accent 13"/>
    <w:basedOn w:val="TableNormal"/>
    <w:uiPriority w:val="61"/>
    <w:rsid w:val="00024A60"/>
    <w:pPr>
      <w:spacing w:after="0" w:line="240" w:lineRule="auto"/>
    </w:pPr>
    <w:rPr>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ghtList-Accent121">
    <w:name w:val="Light List - Accent 121"/>
    <w:basedOn w:val="TableNormal"/>
    <w:next w:val="LightList-Accent1"/>
    <w:uiPriority w:val="61"/>
    <w:rsid w:val="00B26F4B"/>
    <w:pPr>
      <w:spacing w:after="0" w:line="240" w:lineRule="auto"/>
    </w:pPr>
    <w:rPr>
      <w:rFonts w:eastAsia="Calibri"/>
      <w:lang w:val="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3">
    <w:name w:val="Table Grid3"/>
    <w:basedOn w:val="TableNormal"/>
    <w:next w:val="TableGrid"/>
    <w:uiPriority w:val="59"/>
    <w:rsid w:val="004A7E5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tplmc">
    <w:name w:val="ztplmc"/>
    <w:basedOn w:val="DefaultParagraphFont"/>
    <w:rsid w:val="009B5BA1"/>
  </w:style>
  <w:style w:type="character" w:customStyle="1" w:styleId="material-icons-extended">
    <w:name w:val="material-icons-extended"/>
    <w:basedOn w:val="DefaultParagraphFont"/>
    <w:rsid w:val="009B5BA1"/>
  </w:style>
  <w:style w:type="character" w:customStyle="1" w:styleId="q4iawc">
    <w:name w:val="q4iawc"/>
    <w:basedOn w:val="DefaultParagraphFont"/>
    <w:rsid w:val="009B5BA1"/>
  </w:style>
  <w:style w:type="paragraph" w:styleId="FootnoteText">
    <w:name w:val="footnote text"/>
    <w:basedOn w:val="Normal"/>
    <w:link w:val="FootnoteTextChar"/>
    <w:uiPriority w:val="99"/>
    <w:semiHidden/>
    <w:unhideWhenUsed/>
    <w:rsid w:val="001940B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940B6"/>
    <w:rPr>
      <w:rFonts w:eastAsia="MS Mincho"/>
      <w:noProof/>
      <w:sz w:val="20"/>
      <w:szCs w:val="20"/>
      <w:lang w:val="sq-AL"/>
    </w:rPr>
  </w:style>
  <w:style w:type="character" w:styleId="FootnoteReference">
    <w:name w:val="footnote reference"/>
    <w:basedOn w:val="DefaultParagraphFont"/>
    <w:uiPriority w:val="99"/>
    <w:semiHidden/>
    <w:unhideWhenUsed/>
    <w:rsid w:val="001940B6"/>
    <w:rPr>
      <w:vertAlign w:val="superscript"/>
    </w:rPr>
  </w:style>
  <w:style w:type="paragraph" w:customStyle="1" w:styleId="elementtoproof">
    <w:name w:val="elementtoproof"/>
    <w:basedOn w:val="Normal"/>
    <w:rsid w:val="00446584"/>
    <w:pPr>
      <w:spacing w:after="0" w:line="240" w:lineRule="auto"/>
    </w:pPr>
    <w:rPr>
      <w:rFonts w:ascii="Calibri" w:eastAsiaTheme="minorHAnsi" w:hAnsi="Calibri" w:cs="Calibri"/>
      <w:lang w:val="en-GB" w:eastAsia="en-GB"/>
    </w:rPr>
  </w:style>
  <w:style w:type="table" w:customStyle="1" w:styleId="ListTable3-Accent11">
    <w:name w:val="List Table 3 - Accent 11"/>
    <w:basedOn w:val="TableNormal"/>
    <w:uiPriority w:val="48"/>
    <w:rsid w:val="00DF4CAE"/>
    <w:pPr>
      <w:spacing w:after="0" w:line="240" w:lineRule="auto"/>
    </w:pPr>
    <w:rPr>
      <w:rFonts w:eastAsiaTheme="minorHAnsi"/>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paragraph" w:customStyle="1" w:styleId="xmsonormal">
    <w:name w:val="x_msonormal"/>
    <w:basedOn w:val="Normal"/>
    <w:uiPriority w:val="99"/>
    <w:rsid w:val="0046419F"/>
    <w:pPr>
      <w:spacing w:after="0" w:line="240" w:lineRule="auto"/>
    </w:pPr>
    <w:rPr>
      <w:rFonts w:ascii="Calibri" w:eastAsiaTheme="minorHAnsi" w:hAnsi="Calibri" w:cs="Calibri"/>
      <w:lang w:val="en-GB" w:eastAsia="en-GB"/>
    </w:rPr>
  </w:style>
  <w:style w:type="table" w:customStyle="1" w:styleId="LightList-Accent1211">
    <w:name w:val="Light List - Accent 1211"/>
    <w:basedOn w:val="TableNormal"/>
    <w:next w:val="LightList-Accent1"/>
    <w:uiPriority w:val="61"/>
    <w:rsid w:val="008A3AFB"/>
    <w:pPr>
      <w:spacing w:after="0" w:line="240" w:lineRule="auto"/>
    </w:pPr>
    <w:rPr>
      <w:rFonts w:eastAsia="Calibri"/>
      <w:lang w:val="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EndnoteText">
    <w:name w:val="endnote text"/>
    <w:basedOn w:val="Normal"/>
    <w:link w:val="EndnoteTextChar"/>
    <w:uiPriority w:val="99"/>
    <w:semiHidden/>
    <w:unhideWhenUsed/>
    <w:rsid w:val="005929D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929D5"/>
    <w:rPr>
      <w:noProof/>
      <w:sz w:val="20"/>
      <w:szCs w:val="20"/>
      <w:lang w:val="sq-AL"/>
    </w:rPr>
  </w:style>
  <w:style w:type="character" w:styleId="EndnoteReference">
    <w:name w:val="endnote reference"/>
    <w:basedOn w:val="DefaultParagraphFont"/>
    <w:uiPriority w:val="99"/>
    <w:semiHidden/>
    <w:unhideWhenUsed/>
    <w:rsid w:val="005929D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672640">
      <w:bodyDiv w:val="1"/>
      <w:marLeft w:val="0"/>
      <w:marRight w:val="0"/>
      <w:marTop w:val="0"/>
      <w:marBottom w:val="0"/>
      <w:divBdr>
        <w:top w:val="none" w:sz="0" w:space="0" w:color="auto"/>
        <w:left w:val="none" w:sz="0" w:space="0" w:color="auto"/>
        <w:bottom w:val="none" w:sz="0" w:space="0" w:color="auto"/>
        <w:right w:val="none" w:sz="0" w:space="0" w:color="auto"/>
      </w:divBdr>
    </w:div>
    <w:div w:id="63183168">
      <w:bodyDiv w:val="1"/>
      <w:marLeft w:val="0"/>
      <w:marRight w:val="0"/>
      <w:marTop w:val="0"/>
      <w:marBottom w:val="0"/>
      <w:divBdr>
        <w:top w:val="none" w:sz="0" w:space="0" w:color="auto"/>
        <w:left w:val="none" w:sz="0" w:space="0" w:color="auto"/>
        <w:bottom w:val="none" w:sz="0" w:space="0" w:color="auto"/>
        <w:right w:val="none" w:sz="0" w:space="0" w:color="auto"/>
      </w:divBdr>
    </w:div>
    <w:div w:id="64233055">
      <w:bodyDiv w:val="1"/>
      <w:marLeft w:val="0"/>
      <w:marRight w:val="0"/>
      <w:marTop w:val="0"/>
      <w:marBottom w:val="0"/>
      <w:divBdr>
        <w:top w:val="none" w:sz="0" w:space="0" w:color="auto"/>
        <w:left w:val="none" w:sz="0" w:space="0" w:color="auto"/>
        <w:bottom w:val="none" w:sz="0" w:space="0" w:color="auto"/>
        <w:right w:val="none" w:sz="0" w:space="0" w:color="auto"/>
      </w:divBdr>
    </w:div>
    <w:div w:id="278219880">
      <w:bodyDiv w:val="1"/>
      <w:marLeft w:val="0"/>
      <w:marRight w:val="0"/>
      <w:marTop w:val="0"/>
      <w:marBottom w:val="0"/>
      <w:divBdr>
        <w:top w:val="none" w:sz="0" w:space="0" w:color="auto"/>
        <w:left w:val="none" w:sz="0" w:space="0" w:color="auto"/>
        <w:bottom w:val="none" w:sz="0" w:space="0" w:color="auto"/>
        <w:right w:val="none" w:sz="0" w:space="0" w:color="auto"/>
      </w:divBdr>
    </w:div>
    <w:div w:id="323356820">
      <w:bodyDiv w:val="1"/>
      <w:marLeft w:val="0"/>
      <w:marRight w:val="0"/>
      <w:marTop w:val="0"/>
      <w:marBottom w:val="0"/>
      <w:divBdr>
        <w:top w:val="none" w:sz="0" w:space="0" w:color="auto"/>
        <w:left w:val="none" w:sz="0" w:space="0" w:color="auto"/>
        <w:bottom w:val="none" w:sz="0" w:space="0" w:color="auto"/>
        <w:right w:val="none" w:sz="0" w:space="0" w:color="auto"/>
      </w:divBdr>
    </w:div>
    <w:div w:id="428084125">
      <w:bodyDiv w:val="1"/>
      <w:marLeft w:val="0"/>
      <w:marRight w:val="0"/>
      <w:marTop w:val="0"/>
      <w:marBottom w:val="0"/>
      <w:divBdr>
        <w:top w:val="none" w:sz="0" w:space="0" w:color="auto"/>
        <w:left w:val="none" w:sz="0" w:space="0" w:color="auto"/>
        <w:bottom w:val="none" w:sz="0" w:space="0" w:color="auto"/>
        <w:right w:val="none" w:sz="0" w:space="0" w:color="auto"/>
      </w:divBdr>
    </w:div>
    <w:div w:id="544220549">
      <w:bodyDiv w:val="1"/>
      <w:marLeft w:val="0"/>
      <w:marRight w:val="0"/>
      <w:marTop w:val="0"/>
      <w:marBottom w:val="0"/>
      <w:divBdr>
        <w:top w:val="none" w:sz="0" w:space="0" w:color="auto"/>
        <w:left w:val="none" w:sz="0" w:space="0" w:color="auto"/>
        <w:bottom w:val="none" w:sz="0" w:space="0" w:color="auto"/>
        <w:right w:val="none" w:sz="0" w:space="0" w:color="auto"/>
      </w:divBdr>
    </w:div>
    <w:div w:id="591940650">
      <w:bodyDiv w:val="1"/>
      <w:marLeft w:val="0"/>
      <w:marRight w:val="0"/>
      <w:marTop w:val="0"/>
      <w:marBottom w:val="0"/>
      <w:divBdr>
        <w:top w:val="none" w:sz="0" w:space="0" w:color="auto"/>
        <w:left w:val="none" w:sz="0" w:space="0" w:color="auto"/>
        <w:bottom w:val="none" w:sz="0" w:space="0" w:color="auto"/>
        <w:right w:val="none" w:sz="0" w:space="0" w:color="auto"/>
      </w:divBdr>
    </w:div>
    <w:div w:id="592279407">
      <w:bodyDiv w:val="1"/>
      <w:marLeft w:val="0"/>
      <w:marRight w:val="0"/>
      <w:marTop w:val="0"/>
      <w:marBottom w:val="0"/>
      <w:divBdr>
        <w:top w:val="none" w:sz="0" w:space="0" w:color="auto"/>
        <w:left w:val="none" w:sz="0" w:space="0" w:color="auto"/>
        <w:bottom w:val="none" w:sz="0" w:space="0" w:color="auto"/>
        <w:right w:val="none" w:sz="0" w:space="0" w:color="auto"/>
      </w:divBdr>
    </w:div>
    <w:div w:id="738792495">
      <w:bodyDiv w:val="1"/>
      <w:marLeft w:val="0"/>
      <w:marRight w:val="0"/>
      <w:marTop w:val="0"/>
      <w:marBottom w:val="0"/>
      <w:divBdr>
        <w:top w:val="none" w:sz="0" w:space="0" w:color="auto"/>
        <w:left w:val="none" w:sz="0" w:space="0" w:color="auto"/>
        <w:bottom w:val="none" w:sz="0" w:space="0" w:color="auto"/>
        <w:right w:val="none" w:sz="0" w:space="0" w:color="auto"/>
      </w:divBdr>
      <w:divsChild>
        <w:div w:id="92629247">
          <w:marLeft w:val="0"/>
          <w:marRight w:val="0"/>
          <w:marTop w:val="0"/>
          <w:marBottom w:val="0"/>
          <w:divBdr>
            <w:top w:val="none" w:sz="0" w:space="0" w:color="auto"/>
            <w:left w:val="none" w:sz="0" w:space="0" w:color="auto"/>
            <w:bottom w:val="none" w:sz="0" w:space="0" w:color="auto"/>
            <w:right w:val="none" w:sz="0" w:space="0" w:color="auto"/>
          </w:divBdr>
          <w:divsChild>
            <w:div w:id="1376081092">
              <w:marLeft w:val="0"/>
              <w:marRight w:val="0"/>
              <w:marTop w:val="0"/>
              <w:marBottom w:val="0"/>
              <w:divBdr>
                <w:top w:val="none" w:sz="0" w:space="0" w:color="auto"/>
                <w:left w:val="none" w:sz="0" w:space="0" w:color="auto"/>
                <w:bottom w:val="none" w:sz="0" w:space="0" w:color="auto"/>
                <w:right w:val="none" w:sz="0" w:space="0" w:color="auto"/>
              </w:divBdr>
              <w:divsChild>
                <w:div w:id="919555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3540634">
          <w:marLeft w:val="0"/>
          <w:marRight w:val="0"/>
          <w:marTop w:val="100"/>
          <w:marBottom w:val="0"/>
          <w:divBdr>
            <w:top w:val="none" w:sz="0" w:space="0" w:color="auto"/>
            <w:left w:val="none" w:sz="0" w:space="0" w:color="auto"/>
            <w:bottom w:val="none" w:sz="0" w:space="0" w:color="auto"/>
            <w:right w:val="none" w:sz="0" w:space="0" w:color="auto"/>
          </w:divBdr>
        </w:div>
        <w:div w:id="1569611527">
          <w:marLeft w:val="0"/>
          <w:marRight w:val="0"/>
          <w:marTop w:val="0"/>
          <w:marBottom w:val="0"/>
          <w:divBdr>
            <w:top w:val="none" w:sz="0" w:space="0" w:color="auto"/>
            <w:left w:val="none" w:sz="0" w:space="0" w:color="auto"/>
            <w:bottom w:val="none" w:sz="0" w:space="0" w:color="auto"/>
            <w:right w:val="none" w:sz="0" w:space="0" w:color="auto"/>
          </w:divBdr>
          <w:divsChild>
            <w:div w:id="15082998">
              <w:marLeft w:val="0"/>
              <w:marRight w:val="0"/>
              <w:marTop w:val="0"/>
              <w:marBottom w:val="0"/>
              <w:divBdr>
                <w:top w:val="none" w:sz="0" w:space="0" w:color="auto"/>
                <w:left w:val="none" w:sz="0" w:space="0" w:color="auto"/>
                <w:bottom w:val="none" w:sz="0" w:space="0" w:color="auto"/>
                <w:right w:val="none" w:sz="0" w:space="0" w:color="auto"/>
              </w:divBdr>
              <w:divsChild>
                <w:div w:id="1022323446">
                  <w:marLeft w:val="0"/>
                  <w:marRight w:val="0"/>
                  <w:marTop w:val="0"/>
                  <w:marBottom w:val="0"/>
                  <w:divBdr>
                    <w:top w:val="none" w:sz="0" w:space="0" w:color="auto"/>
                    <w:left w:val="none" w:sz="0" w:space="0" w:color="auto"/>
                    <w:bottom w:val="none" w:sz="0" w:space="0" w:color="auto"/>
                    <w:right w:val="none" w:sz="0" w:space="0" w:color="auto"/>
                  </w:divBdr>
                  <w:divsChild>
                    <w:div w:id="115869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3538746">
      <w:bodyDiv w:val="1"/>
      <w:marLeft w:val="0"/>
      <w:marRight w:val="0"/>
      <w:marTop w:val="0"/>
      <w:marBottom w:val="0"/>
      <w:divBdr>
        <w:top w:val="none" w:sz="0" w:space="0" w:color="auto"/>
        <w:left w:val="none" w:sz="0" w:space="0" w:color="auto"/>
        <w:bottom w:val="none" w:sz="0" w:space="0" w:color="auto"/>
        <w:right w:val="none" w:sz="0" w:space="0" w:color="auto"/>
      </w:divBdr>
    </w:div>
    <w:div w:id="1005327626">
      <w:bodyDiv w:val="1"/>
      <w:marLeft w:val="0"/>
      <w:marRight w:val="0"/>
      <w:marTop w:val="0"/>
      <w:marBottom w:val="0"/>
      <w:divBdr>
        <w:top w:val="none" w:sz="0" w:space="0" w:color="auto"/>
        <w:left w:val="none" w:sz="0" w:space="0" w:color="auto"/>
        <w:bottom w:val="none" w:sz="0" w:space="0" w:color="auto"/>
        <w:right w:val="none" w:sz="0" w:space="0" w:color="auto"/>
      </w:divBdr>
    </w:div>
    <w:div w:id="1013338117">
      <w:bodyDiv w:val="1"/>
      <w:marLeft w:val="0"/>
      <w:marRight w:val="0"/>
      <w:marTop w:val="0"/>
      <w:marBottom w:val="0"/>
      <w:divBdr>
        <w:top w:val="none" w:sz="0" w:space="0" w:color="auto"/>
        <w:left w:val="none" w:sz="0" w:space="0" w:color="auto"/>
        <w:bottom w:val="none" w:sz="0" w:space="0" w:color="auto"/>
        <w:right w:val="none" w:sz="0" w:space="0" w:color="auto"/>
      </w:divBdr>
    </w:div>
    <w:div w:id="1128283838">
      <w:bodyDiv w:val="1"/>
      <w:marLeft w:val="0"/>
      <w:marRight w:val="0"/>
      <w:marTop w:val="0"/>
      <w:marBottom w:val="0"/>
      <w:divBdr>
        <w:top w:val="none" w:sz="0" w:space="0" w:color="auto"/>
        <w:left w:val="none" w:sz="0" w:space="0" w:color="auto"/>
        <w:bottom w:val="none" w:sz="0" w:space="0" w:color="auto"/>
        <w:right w:val="none" w:sz="0" w:space="0" w:color="auto"/>
      </w:divBdr>
    </w:div>
    <w:div w:id="1170407967">
      <w:bodyDiv w:val="1"/>
      <w:marLeft w:val="0"/>
      <w:marRight w:val="0"/>
      <w:marTop w:val="0"/>
      <w:marBottom w:val="0"/>
      <w:divBdr>
        <w:top w:val="none" w:sz="0" w:space="0" w:color="auto"/>
        <w:left w:val="none" w:sz="0" w:space="0" w:color="auto"/>
        <w:bottom w:val="none" w:sz="0" w:space="0" w:color="auto"/>
        <w:right w:val="none" w:sz="0" w:space="0" w:color="auto"/>
      </w:divBdr>
    </w:div>
    <w:div w:id="1240099002">
      <w:bodyDiv w:val="1"/>
      <w:marLeft w:val="0"/>
      <w:marRight w:val="0"/>
      <w:marTop w:val="0"/>
      <w:marBottom w:val="0"/>
      <w:divBdr>
        <w:top w:val="none" w:sz="0" w:space="0" w:color="auto"/>
        <w:left w:val="none" w:sz="0" w:space="0" w:color="auto"/>
        <w:bottom w:val="none" w:sz="0" w:space="0" w:color="auto"/>
        <w:right w:val="none" w:sz="0" w:space="0" w:color="auto"/>
      </w:divBdr>
    </w:div>
    <w:div w:id="1241477249">
      <w:bodyDiv w:val="1"/>
      <w:marLeft w:val="0"/>
      <w:marRight w:val="0"/>
      <w:marTop w:val="0"/>
      <w:marBottom w:val="0"/>
      <w:divBdr>
        <w:top w:val="none" w:sz="0" w:space="0" w:color="auto"/>
        <w:left w:val="none" w:sz="0" w:space="0" w:color="auto"/>
        <w:bottom w:val="none" w:sz="0" w:space="0" w:color="auto"/>
        <w:right w:val="none" w:sz="0" w:space="0" w:color="auto"/>
      </w:divBdr>
    </w:div>
    <w:div w:id="1497264613">
      <w:bodyDiv w:val="1"/>
      <w:marLeft w:val="0"/>
      <w:marRight w:val="0"/>
      <w:marTop w:val="0"/>
      <w:marBottom w:val="0"/>
      <w:divBdr>
        <w:top w:val="none" w:sz="0" w:space="0" w:color="auto"/>
        <w:left w:val="none" w:sz="0" w:space="0" w:color="auto"/>
        <w:bottom w:val="none" w:sz="0" w:space="0" w:color="auto"/>
        <w:right w:val="none" w:sz="0" w:space="0" w:color="auto"/>
      </w:divBdr>
    </w:div>
    <w:div w:id="1564565677">
      <w:bodyDiv w:val="1"/>
      <w:marLeft w:val="0"/>
      <w:marRight w:val="0"/>
      <w:marTop w:val="0"/>
      <w:marBottom w:val="0"/>
      <w:divBdr>
        <w:top w:val="none" w:sz="0" w:space="0" w:color="auto"/>
        <w:left w:val="none" w:sz="0" w:space="0" w:color="auto"/>
        <w:bottom w:val="none" w:sz="0" w:space="0" w:color="auto"/>
        <w:right w:val="none" w:sz="0" w:space="0" w:color="auto"/>
      </w:divBdr>
    </w:div>
    <w:div w:id="1720588679">
      <w:bodyDiv w:val="1"/>
      <w:marLeft w:val="0"/>
      <w:marRight w:val="0"/>
      <w:marTop w:val="0"/>
      <w:marBottom w:val="0"/>
      <w:divBdr>
        <w:top w:val="none" w:sz="0" w:space="0" w:color="auto"/>
        <w:left w:val="none" w:sz="0" w:space="0" w:color="auto"/>
        <w:bottom w:val="none" w:sz="0" w:space="0" w:color="auto"/>
        <w:right w:val="none" w:sz="0" w:space="0" w:color="auto"/>
      </w:divBdr>
    </w:div>
    <w:div w:id="1798378050">
      <w:bodyDiv w:val="1"/>
      <w:marLeft w:val="0"/>
      <w:marRight w:val="0"/>
      <w:marTop w:val="0"/>
      <w:marBottom w:val="0"/>
      <w:divBdr>
        <w:top w:val="none" w:sz="0" w:space="0" w:color="auto"/>
        <w:left w:val="none" w:sz="0" w:space="0" w:color="auto"/>
        <w:bottom w:val="none" w:sz="0" w:space="0" w:color="auto"/>
        <w:right w:val="none" w:sz="0" w:space="0" w:color="auto"/>
      </w:divBdr>
    </w:div>
    <w:div w:id="1831797742">
      <w:bodyDiv w:val="1"/>
      <w:marLeft w:val="0"/>
      <w:marRight w:val="0"/>
      <w:marTop w:val="0"/>
      <w:marBottom w:val="0"/>
      <w:divBdr>
        <w:top w:val="none" w:sz="0" w:space="0" w:color="auto"/>
        <w:left w:val="none" w:sz="0" w:space="0" w:color="auto"/>
        <w:bottom w:val="none" w:sz="0" w:space="0" w:color="auto"/>
        <w:right w:val="none" w:sz="0" w:space="0" w:color="auto"/>
      </w:divBdr>
    </w:div>
    <w:div w:id="1848321185">
      <w:bodyDiv w:val="1"/>
      <w:marLeft w:val="0"/>
      <w:marRight w:val="0"/>
      <w:marTop w:val="0"/>
      <w:marBottom w:val="0"/>
      <w:divBdr>
        <w:top w:val="none" w:sz="0" w:space="0" w:color="auto"/>
        <w:left w:val="none" w:sz="0" w:space="0" w:color="auto"/>
        <w:bottom w:val="none" w:sz="0" w:space="0" w:color="auto"/>
        <w:right w:val="none" w:sz="0" w:space="0" w:color="auto"/>
      </w:divBdr>
    </w:div>
    <w:div w:id="1958415951">
      <w:bodyDiv w:val="1"/>
      <w:marLeft w:val="0"/>
      <w:marRight w:val="0"/>
      <w:marTop w:val="0"/>
      <w:marBottom w:val="0"/>
      <w:divBdr>
        <w:top w:val="none" w:sz="0" w:space="0" w:color="auto"/>
        <w:left w:val="none" w:sz="0" w:space="0" w:color="auto"/>
        <w:bottom w:val="none" w:sz="0" w:space="0" w:color="auto"/>
        <w:right w:val="none" w:sz="0" w:space="0" w:color="auto"/>
      </w:divBdr>
    </w:div>
    <w:div w:id="2048942786">
      <w:bodyDiv w:val="1"/>
      <w:marLeft w:val="0"/>
      <w:marRight w:val="0"/>
      <w:marTop w:val="0"/>
      <w:marBottom w:val="0"/>
      <w:divBdr>
        <w:top w:val="none" w:sz="0" w:space="0" w:color="auto"/>
        <w:left w:val="none" w:sz="0" w:space="0" w:color="auto"/>
        <w:bottom w:val="none" w:sz="0" w:space="0" w:color="auto"/>
        <w:right w:val="none" w:sz="0" w:space="0" w:color="auto"/>
      </w:divBdr>
    </w:div>
    <w:div w:id="2080667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hyperlink" Target="https://unstats.un.org/sdgs/hlg/Cape-Town-Global-Action-Plan/" TargetMode="External"/><Relationship Id="rId21" Type="http://schemas.openxmlformats.org/officeDocument/2006/relationships/image" Target="media/image10.png"/><Relationship Id="rId34" Type="http://schemas.openxmlformats.org/officeDocument/2006/relationships/image" Target="media/image22.png"/><Relationship Id="rId42" Type="http://schemas.openxmlformats.org/officeDocument/2006/relationships/image" Target="media/image27.png"/><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pn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eurostat/statistics-explained/index.php?title=Glossary:European_system_of_national_and_regional_accounts_(ESA_2010)" TargetMode="External"/><Relationship Id="rId24" Type="http://schemas.openxmlformats.org/officeDocument/2006/relationships/image" Target="media/image13.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hyperlink" Target="http://instat.gov.al/al/sdgs/" TargetMode="External"/><Relationship Id="rId45"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6.png"/><Relationship Id="rId36" Type="http://schemas.openxmlformats.org/officeDocument/2006/relationships/image" Target="media/image24.png"/><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image" Target="media/image19.png"/><Relationship Id="rId44"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hyperlink" Target="http://eur-lex.europa.eu/LexUriServ/LexUriServ.do?uri=CELEX:32011R0193:EN:NOT" TargetMode="External"/><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28.png"/><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1.png"/><Relationship Id="rId38" Type="http://schemas.openxmlformats.org/officeDocument/2006/relationships/hyperlink" Target="https://unece.org/statistics/ces/bureau-conference-european-statisticians-ces" TargetMode="External"/><Relationship Id="rId46" Type="http://schemas.openxmlformats.org/officeDocument/2006/relationships/header" Target="header2.xml"/><Relationship Id="rId20" Type="http://schemas.openxmlformats.org/officeDocument/2006/relationships/image" Target="media/image9.png"/><Relationship Id="rId41" Type="http://schemas.openxmlformats.org/officeDocument/2006/relationships/image" Target="media/image2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D74E3369E0E44C66AFFFD37EA603BEE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29</Nr_x002e__x0020_akti>
    <Data_x0020_e_x0020_Krijimit xmlns="0e656187-b300-4fb0-8bf4-3a50f872073c">2025-03-25T12:17:56Z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2025-03-25T00:00:00Z</Date_x0020_protokolli>
    <Titulli xmlns="0e656187-b300-4fb0-8bf4-3a50f872073c">Për miratimin e planit vjetor 2025 për zbatimin e programit të statistikave zyrtare 2022-2026</Titulli>
    <Modifikuesi xmlns="0e656187-b300-4fb0-8bf4-3a50f872073c">Fjora.Cahani</Modifikuesi>
    <Nr_x002e__x0020_prot_x0020_QBZ xmlns="0e656187-b300-4fb0-8bf4-3a50f872073c">559/4</Nr_x002e__x0020_prot_x0020_QBZ>
    <Data_x0020_e_x0020_Modifikimit xmlns="0e656187-b300-4fb0-8bf4-3a50f872073c">2025-04-02T09:50:19Z</Data_x0020_e_x0020_Modifikimit>
    <Dekretuar xmlns="0e656187-b300-4fb0-8bf4-3a50f872073c">false</Dekretuar>
    <Data xmlns="0e656187-b300-4fb0-8bf4-3a50f872073c">2025-03-17T00:00:00Z</Data>
    <Nr_x002e__x0020_protokolli_x0020_i_x0020_aktit xmlns="0e656187-b300-4fb0-8bf4-3a50f872073c">1196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A275BF-DB44-4EEA-93EE-E436D8C7F6A4}">
  <ds:schemaRefs>
    <ds:schemaRef ds:uri="http://schemas.microsoft.com/sharepoint/v3/contenttype/forms"/>
  </ds:schemaRefs>
</ds:datastoreItem>
</file>

<file path=customXml/itemProps2.xml><?xml version="1.0" encoding="utf-8"?>
<ds:datastoreItem xmlns:ds="http://schemas.openxmlformats.org/officeDocument/2006/customXml" ds:itemID="{8BCEE092-1D50-4A2F-A3F1-5C9D6120F7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FE667FB6-91D9-41A5-93E6-752CFACE2A2C}">
  <ds:schemaRefs>
    <ds:schemaRef ds:uri="http://purl.org/dc/terms/"/>
    <ds:schemaRef ds:uri="http://schemas.microsoft.com/office/2006/documentManagement/types"/>
    <ds:schemaRef ds:uri="http://purl.org/dc/elements/1.1/"/>
    <ds:schemaRef ds:uri="http://www.w3.org/XML/1998/namespace"/>
    <ds:schemaRef ds:uri="http://schemas.openxmlformats.org/package/2006/metadata/core-properties"/>
    <ds:schemaRef ds:uri="http://purl.org/dc/dcmitype/"/>
    <ds:schemaRef ds:uri="0e656187-b300-4fb0-8bf4-3a50f872073c"/>
    <ds:schemaRef ds:uri="http://schemas.microsoft.com/office/2006/metadata/properties"/>
  </ds:schemaRefs>
</ds:datastoreItem>
</file>

<file path=customXml/itemProps4.xml><?xml version="1.0" encoding="utf-8"?>
<ds:datastoreItem xmlns:ds="http://schemas.openxmlformats.org/officeDocument/2006/customXml" ds:itemID="{7D60B18F-6378-4B28-9F4A-7D28A397C1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734</TotalTime>
  <Pages>113</Pages>
  <Words>47844</Words>
  <Characters>272712</Characters>
  <Application>Microsoft Office Word</Application>
  <DocSecurity>0</DocSecurity>
  <Lines>2272</Lines>
  <Paragraphs>639</Paragraphs>
  <ScaleCrop>false</ScaleCrop>
  <HeadingPairs>
    <vt:vector size="2" baseType="variant">
      <vt:variant>
        <vt:lpstr>Title</vt:lpstr>
      </vt:variant>
      <vt:variant>
        <vt:i4>1</vt:i4>
      </vt:variant>
    </vt:vector>
  </HeadingPairs>
  <TitlesOfParts>
    <vt:vector size="1" baseType="lpstr">
      <vt:lpstr>Për miratimin e planit vjetor 2025 për zbatimin e programit të statistikave zyrtare 2022-2026</vt:lpstr>
    </vt:vector>
  </TitlesOfParts>
  <Company>HP Inc.</Company>
  <LinksUpToDate>false</LinksUpToDate>
  <CharactersWithSpaces>319917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planit vjetor 2025 për zbatimin e programit të statistikave zyrtare 2022-2026</dc:title>
  <dc:creator>Juna Reca</dc:creator>
  <cp:lastModifiedBy>Entela Suli</cp:lastModifiedBy>
  <cp:revision>66</cp:revision>
  <cp:lastPrinted>2024-07-19T11:08:00Z</cp:lastPrinted>
  <dcterms:created xsi:type="dcterms:W3CDTF">2024-11-26T11:32:00Z</dcterms:created>
  <dcterms:modified xsi:type="dcterms:W3CDTF">2025-04-02T09:48:00Z</dcterms:modified>
</cp:coreProperties>
</file>