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A74ED3" w14:textId="77777777" w:rsidR="00931105" w:rsidRPr="004F2AC3" w:rsidRDefault="00931105" w:rsidP="00931105">
      <w:pPr>
        <w:spacing w:after="0" w:line="240" w:lineRule="auto"/>
        <w:ind w:firstLine="284"/>
        <w:jc w:val="center"/>
        <w:rPr>
          <w:rFonts w:ascii="Garamond" w:hAnsi="Garamond" w:cs="Times New Roman"/>
          <w:b/>
          <w:sz w:val="24"/>
          <w:szCs w:val="24"/>
        </w:rPr>
      </w:pPr>
      <w:r w:rsidRPr="004F2AC3">
        <w:rPr>
          <w:rFonts w:ascii="Garamond" w:hAnsi="Garamond" w:cs="Times New Roman"/>
          <w:b/>
          <w:sz w:val="24"/>
          <w:szCs w:val="24"/>
        </w:rPr>
        <w:t xml:space="preserve">VENDIM </w:t>
      </w:r>
    </w:p>
    <w:p w14:paraId="2D87A4C2" w14:textId="77777777" w:rsidR="00931105" w:rsidRPr="004F2AC3" w:rsidRDefault="00931105" w:rsidP="00931105">
      <w:pPr>
        <w:spacing w:after="0" w:line="240" w:lineRule="auto"/>
        <w:ind w:firstLine="284"/>
        <w:jc w:val="center"/>
        <w:rPr>
          <w:rFonts w:ascii="Garamond" w:hAnsi="Garamond" w:cs="Times New Roman"/>
          <w:b/>
          <w:sz w:val="24"/>
          <w:szCs w:val="24"/>
        </w:rPr>
      </w:pPr>
      <w:r w:rsidRPr="004F2AC3">
        <w:rPr>
          <w:rFonts w:ascii="Garamond" w:hAnsi="Garamond" w:cs="Times New Roman"/>
          <w:b/>
          <w:sz w:val="24"/>
          <w:szCs w:val="24"/>
        </w:rPr>
        <w:t xml:space="preserve">Nr. 28/2026 </w:t>
      </w:r>
    </w:p>
    <w:p w14:paraId="47C8717B" w14:textId="77777777" w:rsidR="00931105" w:rsidRPr="004F2AC3" w:rsidRDefault="00931105" w:rsidP="00931105">
      <w:pPr>
        <w:spacing w:after="0" w:line="240" w:lineRule="auto"/>
        <w:ind w:firstLine="284"/>
        <w:jc w:val="both"/>
        <w:rPr>
          <w:rFonts w:ascii="Garamond" w:hAnsi="Garamond" w:cs="Times New Roman"/>
          <w:sz w:val="24"/>
          <w:szCs w:val="24"/>
        </w:rPr>
      </w:pPr>
    </w:p>
    <w:p w14:paraId="6FB65A34" w14:textId="73C4EFF7" w:rsidR="00931105" w:rsidRPr="004F2AC3" w:rsidRDefault="00931105" w:rsidP="00931105">
      <w:pPr>
        <w:spacing w:after="0" w:line="240" w:lineRule="auto"/>
        <w:ind w:firstLine="284"/>
        <w:jc w:val="center"/>
        <w:rPr>
          <w:rFonts w:ascii="Garamond" w:hAnsi="Garamond" w:cs="Times New Roman"/>
          <w:b/>
          <w:sz w:val="24"/>
          <w:szCs w:val="24"/>
        </w:rPr>
      </w:pPr>
      <w:r w:rsidRPr="004F2AC3">
        <w:rPr>
          <w:rFonts w:ascii="Garamond" w:hAnsi="Garamond" w:cs="Times New Roman"/>
          <w:b/>
          <w:sz w:val="24"/>
          <w:szCs w:val="24"/>
        </w:rPr>
        <w:t xml:space="preserve">PËR MIRATIMIN E PLANIT VJETOR 2026 </w:t>
      </w:r>
      <w:r w:rsidR="00D32864" w:rsidRPr="004F2AC3">
        <w:rPr>
          <w:rFonts w:ascii="Garamond" w:hAnsi="Garamond" w:cs="Times New Roman"/>
          <w:b/>
          <w:sz w:val="24"/>
          <w:szCs w:val="24"/>
        </w:rPr>
        <w:t>“</w:t>
      </w:r>
      <w:r w:rsidRPr="004F2AC3">
        <w:rPr>
          <w:rFonts w:ascii="Garamond" w:hAnsi="Garamond" w:cs="Times New Roman"/>
          <w:b/>
          <w:sz w:val="24"/>
          <w:szCs w:val="24"/>
        </w:rPr>
        <w:t xml:space="preserve">PËR ZBATIMIN E PROGRAMIT </w:t>
      </w:r>
    </w:p>
    <w:p w14:paraId="41AF6F3B" w14:textId="01E95722" w:rsidR="00931105" w:rsidRPr="004F2AC3" w:rsidRDefault="00931105" w:rsidP="00931105">
      <w:pPr>
        <w:spacing w:after="0" w:line="240" w:lineRule="auto"/>
        <w:ind w:firstLine="284"/>
        <w:jc w:val="center"/>
        <w:rPr>
          <w:rFonts w:ascii="Garamond" w:hAnsi="Garamond" w:cs="Times New Roman"/>
          <w:b/>
          <w:sz w:val="24"/>
          <w:szCs w:val="24"/>
        </w:rPr>
      </w:pPr>
      <w:r w:rsidRPr="004F2AC3">
        <w:rPr>
          <w:rFonts w:ascii="Garamond" w:hAnsi="Garamond" w:cs="Times New Roman"/>
          <w:b/>
          <w:sz w:val="24"/>
          <w:szCs w:val="24"/>
        </w:rPr>
        <w:t>TË STATISTIKAVE ZYRTARE 2022</w:t>
      </w:r>
      <w:r w:rsidR="00CE594E" w:rsidRPr="004F2AC3">
        <w:rPr>
          <w:rFonts w:ascii="Garamond" w:hAnsi="Garamond" w:cs="Times New Roman"/>
          <w:b/>
          <w:sz w:val="24"/>
          <w:szCs w:val="24"/>
        </w:rPr>
        <w:t>–</w:t>
      </w:r>
      <w:r w:rsidRPr="004F2AC3">
        <w:rPr>
          <w:rFonts w:ascii="Garamond" w:hAnsi="Garamond" w:cs="Times New Roman"/>
          <w:b/>
          <w:sz w:val="24"/>
          <w:szCs w:val="24"/>
        </w:rPr>
        <w:t>2026</w:t>
      </w:r>
      <w:r w:rsidR="00D32864" w:rsidRPr="004F2AC3">
        <w:rPr>
          <w:rFonts w:ascii="Garamond" w:hAnsi="Garamond" w:cs="Times New Roman"/>
          <w:b/>
          <w:sz w:val="24"/>
          <w:szCs w:val="24"/>
        </w:rPr>
        <w:t>”</w:t>
      </w:r>
    </w:p>
    <w:p w14:paraId="024B0B78" w14:textId="77777777" w:rsidR="00931105" w:rsidRPr="004F2AC3" w:rsidRDefault="00931105" w:rsidP="00931105">
      <w:pPr>
        <w:spacing w:after="0" w:line="240" w:lineRule="auto"/>
        <w:ind w:firstLine="284"/>
        <w:rPr>
          <w:rFonts w:ascii="Garamond" w:hAnsi="Garamond" w:cs="Times New Roman"/>
          <w:sz w:val="24"/>
          <w:szCs w:val="24"/>
        </w:rPr>
      </w:pPr>
    </w:p>
    <w:p w14:paraId="1403B6B0" w14:textId="21F52FF0" w:rsidR="00931105" w:rsidRPr="004F2AC3" w:rsidRDefault="00931105" w:rsidP="00931105">
      <w:pPr>
        <w:spacing w:after="0" w:line="240" w:lineRule="auto"/>
        <w:ind w:firstLine="284"/>
        <w:jc w:val="both"/>
        <w:rPr>
          <w:rFonts w:ascii="Garamond" w:hAnsi="Garamond" w:cs="Times New Roman"/>
          <w:sz w:val="24"/>
          <w:szCs w:val="24"/>
        </w:rPr>
      </w:pPr>
      <w:r w:rsidRPr="004F2AC3">
        <w:rPr>
          <w:rFonts w:ascii="Garamond" w:hAnsi="Garamond" w:cs="Times New Roman"/>
          <w:sz w:val="24"/>
          <w:szCs w:val="24"/>
        </w:rPr>
        <w:t>Në mbështetje të nenit 78 të Kushtetutës dhe nenit 10, pika 9, të ligjit nr. 17/2018</w:t>
      </w:r>
      <w:r w:rsidR="00CE594E" w:rsidRPr="004F2AC3">
        <w:rPr>
          <w:rFonts w:ascii="Garamond" w:hAnsi="Garamond" w:cs="Times New Roman"/>
          <w:sz w:val="24"/>
          <w:szCs w:val="24"/>
        </w:rPr>
        <w:t>,</w:t>
      </w:r>
      <w:r w:rsidRPr="004F2AC3">
        <w:rPr>
          <w:rFonts w:ascii="Garamond" w:hAnsi="Garamond" w:cs="Times New Roman"/>
          <w:sz w:val="24"/>
          <w:szCs w:val="24"/>
        </w:rPr>
        <w:t xml:space="preserve"> </w:t>
      </w:r>
      <w:r w:rsidR="00D32864" w:rsidRPr="004F2AC3">
        <w:rPr>
          <w:rFonts w:ascii="Garamond" w:hAnsi="Garamond" w:cs="Times New Roman"/>
          <w:sz w:val="24"/>
          <w:szCs w:val="24"/>
        </w:rPr>
        <w:t>“</w:t>
      </w:r>
      <w:r w:rsidRPr="004F2AC3">
        <w:rPr>
          <w:rFonts w:ascii="Garamond" w:hAnsi="Garamond" w:cs="Times New Roman"/>
          <w:sz w:val="24"/>
          <w:szCs w:val="24"/>
        </w:rPr>
        <w:t>Për statistikat zyrtare</w:t>
      </w:r>
      <w:r w:rsidR="00D32864" w:rsidRPr="004F2AC3">
        <w:rPr>
          <w:rFonts w:ascii="Garamond" w:hAnsi="Garamond" w:cs="Times New Roman"/>
          <w:sz w:val="24"/>
          <w:szCs w:val="24"/>
        </w:rPr>
        <w:t>”</w:t>
      </w:r>
      <w:r w:rsidRPr="004F2AC3">
        <w:rPr>
          <w:rFonts w:ascii="Garamond" w:hAnsi="Garamond" w:cs="Times New Roman"/>
          <w:sz w:val="24"/>
          <w:szCs w:val="24"/>
        </w:rPr>
        <w:t>, si dhe nenit 55 t</w:t>
      </w:r>
      <w:r w:rsidR="00CE594E" w:rsidRPr="004F2AC3">
        <w:rPr>
          <w:rFonts w:ascii="Garamond" w:hAnsi="Garamond" w:cs="Times New Roman"/>
          <w:sz w:val="24"/>
          <w:szCs w:val="24"/>
        </w:rPr>
        <w:t>ë</w:t>
      </w:r>
      <w:r w:rsidRPr="004F2AC3">
        <w:rPr>
          <w:rFonts w:ascii="Garamond" w:hAnsi="Garamond" w:cs="Times New Roman"/>
          <w:sz w:val="24"/>
          <w:szCs w:val="24"/>
        </w:rPr>
        <w:t xml:space="preserve"> Rregullores s</w:t>
      </w:r>
      <w:r w:rsidR="00CE594E" w:rsidRPr="004F2AC3">
        <w:rPr>
          <w:rFonts w:ascii="Garamond" w:hAnsi="Garamond" w:cs="Times New Roman"/>
          <w:sz w:val="24"/>
          <w:szCs w:val="24"/>
        </w:rPr>
        <w:t>ë</w:t>
      </w:r>
      <w:r w:rsidRPr="004F2AC3">
        <w:rPr>
          <w:rFonts w:ascii="Garamond" w:hAnsi="Garamond" w:cs="Times New Roman"/>
          <w:sz w:val="24"/>
          <w:szCs w:val="24"/>
        </w:rPr>
        <w:t xml:space="preserve"> Kuvendit, me propozimin e Këshillit të Ministrave,</w:t>
      </w:r>
    </w:p>
    <w:p w14:paraId="6D844B57" w14:textId="77777777" w:rsidR="00931105" w:rsidRPr="004F2AC3" w:rsidRDefault="00931105" w:rsidP="00931105">
      <w:pPr>
        <w:spacing w:after="0" w:line="240" w:lineRule="auto"/>
        <w:ind w:firstLine="284"/>
        <w:jc w:val="both"/>
        <w:rPr>
          <w:rFonts w:ascii="Garamond" w:hAnsi="Garamond" w:cs="Times New Roman"/>
          <w:sz w:val="24"/>
          <w:szCs w:val="24"/>
        </w:rPr>
      </w:pPr>
    </w:p>
    <w:p w14:paraId="074B2B71" w14:textId="77777777" w:rsidR="00931105" w:rsidRPr="004F2AC3" w:rsidRDefault="00931105" w:rsidP="00931105">
      <w:pPr>
        <w:spacing w:after="0" w:line="240" w:lineRule="auto"/>
        <w:ind w:firstLine="284"/>
        <w:jc w:val="center"/>
        <w:rPr>
          <w:rFonts w:ascii="Garamond" w:hAnsi="Garamond" w:cs="Times New Roman"/>
          <w:sz w:val="24"/>
          <w:szCs w:val="24"/>
        </w:rPr>
      </w:pPr>
      <w:r w:rsidRPr="004F2AC3">
        <w:rPr>
          <w:rFonts w:ascii="Garamond" w:hAnsi="Garamond" w:cs="Times New Roman"/>
          <w:sz w:val="24"/>
          <w:szCs w:val="24"/>
        </w:rPr>
        <w:t>KUVENDI</w:t>
      </w:r>
    </w:p>
    <w:p w14:paraId="69CE31A4" w14:textId="77777777" w:rsidR="00931105" w:rsidRPr="004F2AC3" w:rsidRDefault="00931105" w:rsidP="00931105">
      <w:pPr>
        <w:spacing w:after="0" w:line="240" w:lineRule="auto"/>
        <w:ind w:firstLine="284"/>
        <w:jc w:val="center"/>
        <w:rPr>
          <w:rFonts w:ascii="Garamond" w:hAnsi="Garamond" w:cs="Times New Roman"/>
          <w:sz w:val="24"/>
          <w:szCs w:val="24"/>
        </w:rPr>
      </w:pPr>
      <w:r w:rsidRPr="004F2AC3">
        <w:rPr>
          <w:rFonts w:ascii="Garamond" w:hAnsi="Garamond" w:cs="Times New Roman"/>
          <w:sz w:val="24"/>
          <w:szCs w:val="24"/>
        </w:rPr>
        <w:t>I REPUBLIKËS SË SHQIPËRISË</w:t>
      </w:r>
    </w:p>
    <w:p w14:paraId="26534522" w14:textId="77777777" w:rsidR="00931105" w:rsidRPr="004F2AC3" w:rsidRDefault="00931105" w:rsidP="00931105">
      <w:pPr>
        <w:spacing w:after="0" w:line="240" w:lineRule="auto"/>
        <w:ind w:firstLine="284"/>
        <w:jc w:val="center"/>
        <w:rPr>
          <w:rFonts w:ascii="Garamond" w:hAnsi="Garamond" w:cs="Times New Roman"/>
          <w:sz w:val="24"/>
          <w:szCs w:val="24"/>
        </w:rPr>
      </w:pPr>
    </w:p>
    <w:p w14:paraId="638FFA0C" w14:textId="77777777" w:rsidR="00931105" w:rsidRPr="004F2AC3" w:rsidRDefault="00931105" w:rsidP="00931105">
      <w:pPr>
        <w:spacing w:after="0" w:line="240" w:lineRule="auto"/>
        <w:ind w:firstLine="284"/>
        <w:jc w:val="center"/>
        <w:rPr>
          <w:rFonts w:ascii="Garamond" w:hAnsi="Garamond" w:cs="Times New Roman"/>
          <w:sz w:val="24"/>
          <w:szCs w:val="24"/>
        </w:rPr>
      </w:pPr>
      <w:r w:rsidRPr="004F2AC3">
        <w:rPr>
          <w:rFonts w:ascii="Garamond" w:hAnsi="Garamond" w:cs="Times New Roman"/>
          <w:sz w:val="24"/>
          <w:szCs w:val="24"/>
        </w:rPr>
        <w:t>VENDOSI:</w:t>
      </w:r>
    </w:p>
    <w:p w14:paraId="25789041" w14:textId="77777777" w:rsidR="00931105" w:rsidRPr="004F2AC3" w:rsidRDefault="00931105" w:rsidP="00931105">
      <w:pPr>
        <w:spacing w:after="0" w:line="240" w:lineRule="auto"/>
        <w:ind w:firstLine="284"/>
        <w:jc w:val="both"/>
        <w:rPr>
          <w:rFonts w:ascii="Garamond" w:hAnsi="Garamond" w:cs="Times New Roman"/>
          <w:sz w:val="24"/>
          <w:szCs w:val="24"/>
        </w:rPr>
      </w:pPr>
    </w:p>
    <w:p w14:paraId="1D42C4B0" w14:textId="649950B9" w:rsidR="00931105" w:rsidRPr="004F2AC3" w:rsidRDefault="00931105" w:rsidP="00835DB2">
      <w:pPr>
        <w:pStyle w:val="TEKSTIIIII"/>
      </w:pPr>
      <w:r w:rsidRPr="004F2AC3">
        <w:t>1. Miratimin e Planit Vjetor 2026 për zbatimin e Programit të Statistikave Zyrtare 2022</w:t>
      </w:r>
      <w:r w:rsidR="00CE594E" w:rsidRPr="004F2AC3">
        <w:t>–</w:t>
      </w:r>
      <w:r w:rsidRPr="004F2AC3">
        <w:t>2026.</w:t>
      </w:r>
    </w:p>
    <w:p w14:paraId="25805AD2" w14:textId="77777777" w:rsidR="00931105" w:rsidRPr="004F2AC3" w:rsidRDefault="00931105" w:rsidP="00835DB2">
      <w:pPr>
        <w:pStyle w:val="TEKSTIIIII"/>
      </w:pPr>
      <w:r w:rsidRPr="004F2AC3">
        <w:t>2. Plani Vjetor 2026 botohet në Fletoren Zyrtare.</w:t>
      </w:r>
    </w:p>
    <w:p w14:paraId="4828FDAF" w14:textId="77777777" w:rsidR="00931105" w:rsidRPr="004F2AC3" w:rsidRDefault="00931105" w:rsidP="00835DB2">
      <w:pPr>
        <w:pStyle w:val="TEKSTIIIII"/>
      </w:pPr>
      <w:r w:rsidRPr="004F2AC3">
        <w:t>Ky vendim hyn në fuqi menjëherë.</w:t>
      </w:r>
    </w:p>
    <w:p w14:paraId="679902C8" w14:textId="77777777" w:rsidR="00931105" w:rsidRPr="004F2AC3" w:rsidRDefault="00931105" w:rsidP="00931105">
      <w:pPr>
        <w:spacing w:after="0" w:line="240" w:lineRule="auto"/>
        <w:ind w:firstLine="284"/>
        <w:jc w:val="both"/>
        <w:rPr>
          <w:rFonts w:ascii="Garamond" w:hAnsi="Garamond" w:cs="Times New Roman"/>
          <w:sz w:val="24"/>
          <w:szCs w:val="24"/>
        </w:rPr>
      </w:pPr>
    </w:p>
    <w:p w14:paraId="740C952F" w14:textId="77777777" w:rsidR="00931105" w:rsidRPr="004F2AC3" w:rsidRDefault="00931105" w:rsidP="00931105">
      <w:pPr>
        <w:spacing w:after="0" w:line="240" w:lineRule="auto"/>
        <w:ind w:firstLine="284"/>
        <w:jc w:val="right"/>
        <w:rPr>
          <w:rFonts w:ascii="Garamond" w:hAnsi="Garamond" w:cs="Times New Roman"/>
          <w:bCs/>
          <w:color w:val="000000" w:themeColor="text1"/>
          <w:sz w:val="24"/>
          <w:szCs w:val="24"/>
        </w:rPr>
      </w:pPr>
      <w:r w:rsidRPr="004F2AC3">
        <w:rPr>
          <w:rFonts w:ascii="Garamond" w:hAnsi="Garamond" w:cs="Times New Roman"/>
          <w:bCs/>
          <w:color w:val="000000" w:themeColor="text1"/>
          <w:sz w:val="24"/>
          <w:szCs w:val="24"/>
        </w:rPr>
        <w:t>KRYETAR</w:t>
      </w:r>
    </w:p>
    <w:p w14:paraId="21C426CF" w14:textId="77777777" w:rsidR="00931105" w:rsidRPr="004F2AC3" w:rsidRDefault="00931105" w:rsidP="00931105">
      <w:pPr>
        <w:spacing w:after="0" w:line="240" w:lineRule="auto"/>
        <w:ind w:firstLine="284"/>
        <w:jc w:val="right"/>
        <w:rPr>
          <w:rFonts w:ascii="Garamond" w:hAnsi="Garamond" w:cs="Times New Roman"/>
          <w:b/>
          <w:bCs/>
          <w:color w:val="000000" w:themeColor="text1"/>
          <w:sz w:val="24"/>
          <w:szCs w:val="24"/>
        </w:rPr>
      </w:pPr>
      <w:r w:rsidRPr="004F2AC3">
        <w:rPr>
          <w:rFonts w:ascii="Garamond" w:hAnsi="Garamond" w:cs="Times New Roman"/>
          <w:b/>
          <w:bCs/>
          <w:color w:val="000000" w:themeColor="text1"/>
          <w:sz w:val="24"/>
          <w:szCs w:val="24"/>
        </w:rPr>
        <w:t>Niko Peleshi</w:t>
      </w:r>
    </w:p>
    <w:p w14:paraId="7D119B0D" w14:textId="77777777" w:rsidR="00931105" w:rsidRPr="004F2AC3" w:rsidRDefault="00931105" w:rsidP="00931105">
      <w:pPr>
        <w:spacing w:after="0" w:line="240" w:lineRule="auto"/>
        <w:ind w:firstLine="284"/>
        <w:rPr>
          <w:rFonts w:ascii="Garamond" w:hAnsi="Garamond" w:cs="Times New Roman"/>
          <w:bCs/>
          <w:sz w:val="24"/>
          <w:szCs w:val="24"/>
        </w:rPr>
      </w:pPr>
    </w:p>
    <w:p w14:paraId="27764958" w14:textId="68BABADF" w:rsidR="00931105" w:rsidRPr="004F2AC3" w:rsidRDefault="00931105" w:rsidP="00931105">
      <w:pPr>
        <w:spacing w:after="0" w:line="240" w:lineRule="auto"/>
        <w:ind w:firstLine="284"/>
        <w:jc w:val="both"/>
        <w:rPr>
          <w:rFonts w:ascii="Garamond" w:hAnsi="Garamond" w:cs="Times New Roman"/>
          <w:bCs/>
          <w:sz w:val="24"/>
          <w:szCs w:val="24"/>
        </w:rPr>
      </w:pPr>
      <w:r w:rsidRPr="004F2AC3">
        <w:rPr>
          <w:rFonts w:ascii="Garamond" w:hAnsi="Garamond" w:cs="Times New Roman"/>
          <w:bCs/>
          <w:sz w:val="24"/>
          <w:szCs w:val="24"/>
        </w:rPr>
        <w:t>Miratuar në datën 20.2.2026</w:t>
      </w:r>
      <w:r w:rsidR="00CE594E" w:rsidRPr="004F2AC3">
        <w:rPr>
          <w:rFonts w:ascii="Garamond" w:hAnsi="Garamond" w:cs="Times New Roman"/>
          <w:bCs/>
          <w:sz w:val="24"/>
          <w:szCs w:val="24"/>
        </w:rPr>
        <w:t>.</w:t>
      </w:r>
    </w:p>
    <w:p w14:paraId="23A88C78" w14:textId="0FE5DEF6" w:rsidR="00976A3C" w:rsidRPr="004F2AC3" w:rsidRDefault="00976A3C" w:rsidP="00931105">
      <w:pPr>
        <w:spacing w:after="0"/>
        <w:jc w:val="both"/>
        <w:rPr>
          <w:rFonts w:ascii="Times New Roman" w:hAnsi="Times New Roman"/>
          <w:sz w:val="20"/>
        </w:rPr>
      </w:pPr>
    </w:p>
    <w:p w14:paraId="5E569865" w14:textId="3B21343C" w:rsidR="00835DB2" w:rsidRPr="004F2AC3" w:rsidRDefault="00835DB2" w:rsidP="00835DB2">
      <w:pPr>
        <w:spacing w:after="0" w:line="240" w:lineRule="auto"/>
        <w:jc w:val="both"/>
        <w:rPr>
          <w:rFonts w:ascii="Times New Roman" w:hAnsi="Times New Roman"/>
          <w:sz w:val="20"/>
        </w:rPr>
      </w:pPr>
    </w:p>
    <w:p w14:paraId="03DDA53D" w14:textId="08525796" w:rsidR="00835DB2" w:rsidRPr="004F2AC3" w:rsidRDefault="00835DB2" w:rsidP="00835DB2">
      <w:pPr>
        <w:pStyle w:val="TEKSTIIIII"/>
        <w:jc w:val="center"/>
      </w:pPr>
      <w:r w:rsidRPr="004F2AC3">
        <w:t>SISTEMI KOMBËTAR STATISTIKOR</w:t>
      </w:r>
    </w:p>
    <w:p w14:paraId="59F6BFD3" w14:textId="6A29F38B" w:rsidR="00283A9E" w:rsidRPr="004F2AC3" w:rsidRDefault="00283A9E" w:rsidP="00835DB2">
      <w:pPr>
        <w:pStyle w:val="TEKSTIIIII"/>
        <w:jc w:val="center"/>
      </w:pPr>
    </w:p>
    <w:p w14:paraId="3177EA27" w14:textId="77777777" w:rsidR="00F960EE" w:rsidRPr="004F2AC3" w:rsidRDefault="00F960EE" w:rsidP="00F960EE">
      <w:pPr>
        <w:pStyle w:val="TEKSTIIIII"/>
        <w:jc w:val="center"/>
      </w:pPr>
      <w:r w:rsidRPr="004F2AC3">
        <w:t>PLANI VJETOR 2026</w:t>
      </w:r>
    </w:p>
    <w:p w14:paraId="6670F8EE" w14:textId="579705E4" w:rsidR="00283A9E" w:rsidRPr="004F2AC3" w:rsidRDefault="00F960EE" w:rsidP="00F960EE">
      <w:pPr>
        <w:pStyle w:val="TEKSTIIIII"/>
        <w:jc w:val="center"/>
        <w:rPr>
          <w:b/>
        </w:rPr>
      </w:pPr>
      <w:r w:rsidRPr="004F2AC3">
        <w:rPr>
          <w:b/>
        </w:rPr>
        <w:t>Për zbatimin e Programit të Statistikave Zyrtare 2022</w:t>
      </w:r>
      <w:r w:rsidR="000C66E1" w:rsidRPr="004F2AC3">
        <w:rPr>
          <w:b/>
        </w:rPr>
        <w:t>–</w:t>
      </w:r>
      <w:r w:rsidRPr="004F2AC3">
        <w:rPr>
          <w:b/>
        </w:rPr>
        <w:t>2026</w:t>
      </w:r>
    </w:p>
    <w:p w14:paraId="6904B23F" w14:textId="7436FAA4" w:rsidR="00A163D9" w:rsidRPr="004F2AC3" w:rsidRDefault="00A163D9" w:rsidP="00F960EE">
      <w:pPr>
        <w:pStyle w:val="TEKSTIIIII"/>
        <w:jc w:val="center"/>
      </w:pPr>
    </w:p>
    <w:p w14:paraId="77635E01" w14:textId="77777777" w:rsidR="00A163D9" w:rsidRPr="004F2AC3" w:rsidRDefault="00A163D9" w:rsidP="00A163D9">
      <w:pPr>
        <w:pStyle w:val="TEKSTIIIII"/>
        <w:rPr>
          <w:b/>
        </w:rPr>
      </w:pPr>
      <w:r w:rsidRPr="004F2AC3">
        <w:rPr>
          <w:b/>
        </w:rPr>
        <w:t>Tabela e Përmbajtjes</w:t>
      </w:r>
    </w:p>
    <w:p w14:paraId="3A1A4D51" w14:textId="52CB2AB3" w:rsidR="00A163D9" w:rsidRPr="004F2AC3" w:rsidRDefault="00A163D9" w:rsidP="00A163D9">
      <w:pPr>
        <w:pStyle w:val="TEKSTIIIII"/>
      </w:pPr>
      <w:r w:rsidRPr="004F2AC3">
        <w:t xml:space="preserve">Tabela e </w:t>
      </w:r>
      <w:r w:rsidR="000C66E1" w:rsidRPr="004F2AC3">
        <w:t>përmbajtjes</w:t>
      </w:r>
    </w:p>
    <w:p w14:paraId="1E14FE0F" w14:textId="52024112" w:rsidR="00A163D9" w:rsidRPr="004F2AC3" w:rsidRDefault="00A163D9" w:rsidP="00A163D9">
      <w:pPr>
        <w:pStyle w:val="TEKSTIIIII"/>
      </w:pPr>
      <w:r w:rsidRPr="004F2AC3">
        <w:t xml:space="preserve">I. Lista e </w:t>
      </w:r>
      <w:r w:rsidR="000C66E1" w:rsidRPr="004F2AC3">
        <w:t>shkurtimeve</w:t>
      </w:r>
    </w:p>
    <w:p w14:paraId="266352ED" w14:textId="7490304E" w:rsidR="00A163D9" w:rsidRPr="004F2AC3" w:rsidRDefault="00A163D9" w:rsidP="00A163D9">
      <w:pPr>
        <w:pStyle w:val="TEKSTIIIII"/>
      </w:pPr>
      <w:r w:rsidRPr="004F2AC3">
        <w:t>II. Hyrje</w:t>
      </w:r>
    </w:p>
    <w:p w14:paraId="4B7120E5" w14:textId="3F157299" w:rsidR="00A163D9" w:rsidRPr="004F2AC3" w:rsidRDefault="00A163D9" w:rsidP="00A163D9">
      <w:pPr>
        <w:pStyle w:val="TEKSTIIIII"/>
      </w:pPr>
      <w:r w:rsidRPr="004F2AC3">
        <w:t xml:space="preserve">III. Objektivat </w:t>
      </w:r>
      <w:r w:rsidR="000C66E1" w:rsidRPr="004F2AC3">
        <w:t>zhvillimorë</w:t>
      </w:r>
    </w:p>
    <w:p w14:paraId="4E07C004" w14:textId="2F0D4418" w:rsidR="00A163D9" w:rsidRPr="004F2AC3" w:rsidRDefault="00A163D9" w:rsidP="00A163D9">
      <w:pPr>
        <w:pStyle w:val="TEKSTIIIII"/>
      </w:pPr>
      <w:r w:rsidRPr="004F2AC3">
        <w:t xml:space="preserve">IV. Aktivitetet </w:t>
      </w:r>
      <w:r w:rsidR="000C66E1" w:rsidRPr="004F2AC3">
        <w:t>statistikore</w:t>
      </w:r>
    </w:p>
    <w:p w14:paraId="1A5E3697" w14:textId="1F69A488" w:rsidR="00A163D9" w:rsidRPr="004F2AC3" w:rsidRDefault="00A163D9" w:rsidP="00A163D9">
      <w:pPr>
        <w:pStyle w:val="TEKSTIIIII"/>
      </w:pPr>
      <w:r w:rsidRPr="004F2AC3">
        <w:t xml:space="preserve">Fusha 1 </w:t>
      </w:r>
      <w:r w:rsidR="00D32864" w:rsidRPr="004F2AC3">
        <w:t>“</w:t>
      </w:r>
      <w:r w:rsidRPr="004F2AC3">
        <w:t>Statistikat demografike dhe sociale</w:t>
      </w:r>
      <w:r w:rsidR="00D32864" w:rsidRPr="004F2AC3">
        <w:t>”</w:t>
      </w:r>
      <w:r w:rsidR="000F566F" w:rsidRPr="004F2AC3">
        <w:t xml:space="preserve"> </w:t>
      </w:r>
    </w:p>
    <w:p w14:paraId="2B61103B" w14:textId="5BC659BA" w:rsidR="00A163D9" w:rsidRPr="004F2AC3" w:rsidRDefault="00A163D9" w:rsidP="00A163D9">
      <w:pPr>
        <w:pStyle w:val="TEKSTIIIII"/>
      </w:pPr>
      <w:r w:rsidRPr="004F2AC3">
        <w:t xml:space="preserve">Fusha 2 </w:t>
      </w:r>
      <w:r w:rsidR="00D32864" w:rsidRPr="004F2AC3">
        <w:t>“</w:t>
      </w:r>
      <w:r w:rsidRPr="004F2AC3">
        <w:t xml:space="preserve">Statistikat </w:t>
      </w:r>
      <w:r w:rsidR="000C66E1" w:rsidRPr="004F2AC3">
        <w:t>ekonomike</w:t>
      </w:r>
      <w:r w:rsidR="00D32864" w:rsidRPr="004F2AC3">
        <w:t>”</w:t>
      </w:r>
    </w:p>
    <w:p w14:paraId="45B864F3" w14:textId="00E24E3D" w:rsidR="00A163D9" w:rsidRPr="004F2AC3" w:rsidRDefault="00A163D9" w:rsidP="00A163D9">
      <w:pPr>
        <w:pStyle w:val="TEKSTIIIII"/>
      </w:pPr>
      <w:r w:rsidRPr="004F2AC3">
        <w:t xml:space="preserve">Fusha 3 </w:t>
      </w:r>
      <w:r w:rsidR="00D32864" w:rsidRPr="004F2AC3">
        <w:t>“</w:t>
      </w:r>
      <w:r w:rsidRPr="004F2AC3">
        <w:t xml:space="preserve">Statistikat </w:t>
      </w:r>
      <w:r w:rsidR="000C66E1" w:rsidRPr="004F2AC3">
        <w:t>sektoriale</w:t>
      </w:r>
      <w:r w:rsidR="00D32864" w:rsidRPr="004F2AC3">
        <w:t>”</w:t>
      </w:r>
    </w:p>
    <w:p w14:paraId="4E059CFC" w14:textId="7D518B0F" w:rsidR="00A163D9" w:rsidRPr="004F2AC3" w:rsidRDefault="00A163D9" w:rsidP="00A163D9">
      <w:pPr>
        <w:pStyle w:val="TEKSTIIIII"/>
      </w:pPr>
      <w:r w:rsidRPr="004F2AC3">
        <w:t xml:space="preserve">Fusha 4 </w:t>
      </w:r>
      <w:r w:rsidR="00D32864" w:rsidRPr="004F2AC3">
        <w:t>“</w:t>
      </w:r>
      <w:r w:rsidRPr="004F2AC3">
        <w:t xml:space="preserve">Statistikat e </w:t>
      </w:r>
      <w:r w:rsidR="000C66E1" w:rsidRPr="004F2AC3">
        <w:t>mjedisit dhe multidomain</w:t>
      </w:r>
      <w:r w:rsidR="00D32864" w:rsidRPr="004F2AC3">
        <w:t>”</w:t>
      </w:r>
      <w:r w:rsidR="000F566F" w:rsidRPr="004F2AC3">
        <w:t xml:space="preserve"> </w:t>
      </w:r>
    </w:p>
    <w:p w14:paraId="4864602A" w14:textId="4AC726C4" w:rsidR="00A163D9" w:rsidRPr="004F2AC3" w:rsidRDefault="00A163D9" w:rsidP="00A163D9">
      <w:pPr>
        <w:pStyle w:val="TEKSTIIIII"/>
      </w:pPr>
      <w:r w:rsidRPr="004F2AC3">
        <w:t>Botime përmbledhëse</w:t>
      </w:r>
    </w:p>
    <w:p w14:paraId="4DCA0552" w14:textId="7651A598" w:rsidR="00A163D9" w:rsidRPr="004F2AC3" w:rsidRDefault="00A163D9" w:rsidP="00A163D9">
      <w:pPr>
        <w:pStyle w:val="TEKSTIIIII"/>
      </w:pPr>
      <w:r w:rsidRPr="004F2AC3">
        <w:t>CENSET</w:t>
      </w:r>
    </w:p>
    <w:p w14:paraId="5A3B015D" w14:textId="34140243" w:rsidR="00A163D9" w:rsidRPr="004F2AC3" w:rsidRDefault="00A163D9" w:rsidP="00A163D9">
      <w:pPr>
        <w:pStyle w:val="TEKSTIIIII"/>
      </w:pPr>
      <w:r w:rsidRPr="004F2AC3">
        <w:t>V. Sistemi i menaxhimit të cilësisë</w:t>
      </w:r>
      <w:r w:rsidR="000F566F" w:rsidRPr="004F2AC3">
        <w:t xml:space="preserve"> </w:t>
      </w:r>
    </w:p>
    <w:p w14:paraId="24B0402D" w14:textId="760A543E" w:rsidR="00A163D9" w:rsidRPr="004F2AC3" w:rsidRDefault="00A163D9" w:rsidP="00A163D9">
      <w:pPr>
        <w:pStyle w:val="TEKSTIIIII"/>
      </w:pPr>
      <w:r w:rsidRPr="004F2AC3">
        <w:t>VI. Integrimi evropian dhe koordinimi i projekteve</w:t>
      </w:r>
    </w:p>
    <w:p w14:paraId="189ACDB3" w14:textId="7D04F80E" w:rsidR="00A163D9" w:rsidRPr="004F2AC3" w:rsidRDefault="00A163D9" w:rsidP="00A163D9">
      <w:pPr>
        <w:pStyle w:val="TEKSTIIIII"/>
      </w:pPr>
      <w:r w:rsidRPr="004F2AC3">
        <w:t>VII. Objektivat e Zhvillimit të Qëndrueshëm (SDG)</w:t>
      </w:r>
      <w:r w:rsidR="000F566F" w:rsidRPr="004F2AC3">
        <w:t xml:space="preserve"> </w:t>
      </w:r>
    </w:p>
    <w:p w14:paraId="05D20D38" w14:textId="4EB4FE2D" w:rsidR="00A163D9" w:rsidRPr="004F2AC3" w:rsidRDefault="00A163D9" w:rsidP="00A163D9">
      <w:pPr>
        <w:pStyle w:val="TEKSTIIIII"/>
      </w:pPr>
      <w:r w:rsidRPr="004F2AC3">
        <w:t>VIII. Burimet financiare dhe njerëzore</w:t>
      </w:r>
    </w:p>
    <w:p w14:paraId="6651D1DE" w14:textId="0926372F" w:rsidR="00A163D9" w:rsidRPr="004F2AC3" w:rsidRDefault="00A163D9" w:rsidP="00A163D9">
      <w:pPr>
        <w:pStyle w:val="TEKSTIIIII"/>
      </w:pPr>
      <w:r w:rsidRPr="004F2AC3">
        <w:t>IX. Analiza SWOT</w:t>
      </w:r>
      <w:r w:rsidR="000F566F" w:rsidRPr="004F2AC3">
        <w:t xml:space="preserve"> </w:t>
      </w:r>
    </w:p>
    <w:p w14:paraId="6BED1826" w14:textId="729F48EE" w:rsidR="00A163D9" w:rsidRPr="004F2AC3" w:rsidRDefault="00A163D9" w:rsidP="00A163D9">
      <w:pPr>
        <w:pStyle w:val="TEKSTIIIII"/>
      </w:pPr>
      <w:r w:rsidRPr="004F2AC3">
        <w:t>X. Analiza e risqeve dhe problemet e pritshme për kryerjen e aktiviteteve</w:t>
      </w:r>
    </w:p>
    <w:p w14:paraId="01C4563B" w14:textId="2E94D367" w:rsidR="00A163D9" w:rsidRPr="004F2AC3" w:rsidRDefault="00A163D9" w:rsidP="00A163D9">
      <w:pPr>
        <w:pStyle w:val="TEKSTIIIII"/>
      </w:pPr>
      <w:r w:rsidRPr="004F2AC3">
        <w:t xml:space="preserve">XI. Notë shpjeguese për përdorimin e </w:t>
      </w:r>
      <w:r w:rsidR="000C66E1" w:rsidRPr="004F2AC3">
        <w:t>aneksit</w:t>
      </w:r>
    </w:p>
    <w:p w14:paraId="642CC29D" w14:textId="50C1A981" w:rsidR="00A163D9" w:rsidRPr="004F2AC3" w:rsidRDefault="00A163D9" w:rsidP="00A163D9">
      <w:pPr>
        <w:pStyle w:val="TEKSTIIIII"/>
      </w:pPr>
      <w:r w:rsidRPr="004F2AC3">
        <w:t>XII. Aneksi</w:t>
      </w:r>
      <w:r w:rsidR="000F566F" w:rsidRPr="004F2AC3">
        <w:t xml:space="preserve"> </w:t>
      </w:r>
    </w:p>
    <w:p w14:paraId="7C3A6B06" w14:textId="6E957BBB" w:rsidR="00A163D9" w:rsidRPr="004F2AC3" w:rsidRDefault="00A163D9" w:rsidP="00A8176B">
      <w:pPr>
        <w:pStyle w:val="TEKSTIIIII"/>
      </w:pPr>
    </w:p>
    <w:p w14:paraId="77B8AA31" w14:textId="02662459" w:rsidR="004B57D5" w:rsidRPr="004F2AC3" w:rsidRDefault="004B57D5" w:rsidP="00A8176B">
      <w:pPr>
        <w:pStyle w:val="TEKSTIIIII"/>
      </w:pPr>
    </w:p>
    <w:p w14:paraId="238D1844" w14:textId="1C38D216" w:rsidR="004B57D5" w:rsidRPr="004F2AC3" w:rsidRDefault="004B57D5" w:rsidP="00A8176B">
      <w:pPr>
        <w:pStyle w:val="TEKSTIIIII"/>
      </w:pPr>
    </w:p>
    <w:p w14:paraId="4AE06890" w14:textId="0C926F18" w:rsidR="004B57D5" w:rsidRPr="004F2AC3" w:rsidRDefault="004B57D5" w:rsidP="00A8176B">
      <w:pPr>
        <w:pStyle w:val="TEKSTIIIII"/>
      </w:pPr>
    </w:p>
    <w:p w14:paraId="68BCB3CC" w14:textId="77777777" w:rsidR="004B57D5" w:rsidRPr="004F2AC3" w:rsidRDefault="004B57D5" w:rsidP="00A8176B">
      <w:pPr>
        <w:pStyle w:val="TEKSTIIIII"/>
      </w:pPr>
    </w:p>
    <w:p w14:paraId="7C7FE81F" w14:textId="7FB031C9" w:rsidR="004B57D5" w:rsidRPr="004F2AC3" w:rsidRDefault="004B57D5" w:rsidP="004B57D5">
      <w:pPr>
        <w:pStyle w:val="TEKSTIIIII"/>
        <w:rPr>
          <w:rStyle w:val="Heading2Char"/>
          <w:rFonts w:ascii="Garamond" w:eastAsiaTheme="minorHAnsi" w:hAnsi="Garamond" w:cs="Times New Roman"/>
          <w:bCs w:val="0"/>
          <w:noProof w:val="0"/>
          <w:color w:val="auto"/>
          <w:sz w:val="24"/>
          <w:szCs w:val="24"/>
        </w:rPr>
      </w:pPr>
      <w:bookmarkStart w:id="0" w:name="_Toc215132183"/>
      <w:r w:rsidRPr="004F2AC3">
        <w:rPr>
          <w:rStyle w:val="Heading2Char"/>
          <w:rFonts w:ascii="Garamond" w:eastAsiaTheme="minorHAnsi" w:hAnsi="Garamond" w:cs="Times New Roman"/>
          <w:bCs w:val="0"/>
          <w:noProof w:val="0"/>
          <w:color w:val="auto"/>
          <w:sz w:val="24"/>
          <w:szCs w:val="24"/>
        </w:rPr>
        <w:t xml:space="preserve">I. Lista e </w:t>
      </w:r>
      <w:r w:rsidR="000C66E1" w:rsidRPr="004F2AC3">
        <w:rPr>
          <w:rStyle w:val="Heading2Char"/>
          <w:rFonts w:ascii="Garamond" w:eastAsiaTheme="minorHAnsi" w:hAnsi="Garamond" w:cs="Times New Roman"/>
          <w:bCs w:val="0"/>
          <w:noProof w:val="0"/>
          <w:color w:val="auto"/>
          <w:sz w:val="24"/>
          <w:szCs w:val="24"/>
        </w:rPr>
        <w:t>shkurtimeve</w:t>
      </w:r>
      <w:bookmarkEnd w:id="0"/>
    </w:p>
    <w:tbl>
      <w:tblPr>
        <w:tblStyle w:val="TableGrid3"/>
        <w:tblW w:w="96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497"/>
        <w:gridCol w:w="1214"/>
        <w:gridCol w:w="3685"/>
      </w:tblGrid>
      <w:tr w:rsidR="004B57D5" w:rsidRPr="004F2AC3" w14:paraId="41F61980" w14:textId="77777777" w:rsidTr="004B57D5">
        <w:trPr>
          <w:trHeight w:val="20"/>
        </w:trPr>
        <w:tc>
          <w:tcPr>
            <w:tcW w:w="1276" w:type="dxa"/>
            <w:vAlign w:val="center"/>
          </w:tcPr>
          <w:p w14:paraId="51F8F781" w14:textId="77777777" w:rsidR="004B57D5" w:rsidRPr="004F2AC3" w:rsidRDefault="004B57D5" w:rsidP="00B66BF4">
            <w:pPr>
              <w:rPr>
                <w:rFonts w:ascii="Garamond" w:hAnsi="Garamond" w:cs="Times New Roman"/>
                <w:sz w:val="18"/>
                <w:szCs w:val="20"/>
                <w:lang w:val="sq-AL"/>
              </w:rPr>
            </w:pPr>
            <w:r w:rsidRPr="004F2AC3">
              <w:rPr>
                <w:rFonts w:ascii="Garamond" w:hAnsi="Garamond" w:cs="Times New Roman"/>
                <w:sz w:val="18"/>
                <w:szCs w:val="20"/>
                <w:lang w:val="sq-AL"/>
              </w:rPr>
              <w:t>AS</w:t>
            </w:r>
          </w:p>
        </w:tc>
        <w:tc>
          <w:tcPr>
            <w:tcW w:w="3497" w:type="dxa"/>
            <w:vAlign w:val="center"/>
          </w:tcPr>
          <w:p w14:paraId="573BEEA5" w14:textId="77777777" w:rsidR="004B57D5" w:rsidRPr="004F2AC3" w:rsidRDefault="004B57D5" w:rsidP="00B66BF4">
            <w:pPr>
              <w:rPr>
                <w:rFonts w:ascii="Garamond" w:hAnsi="Garamond" w:cs="Times New Roman"/>
                <w:sz w:val="18"/>
                <w:szCs w:val="20"/>
                <w:lang w:val="sq-AL"/>
              </w:rPr>
            </w:pPr>
            <w:r w:rsidRPr="004F2AC3">
              <w:rPr>
                <w:rFonts w:ascii="Garamond" w:hAnsi="Garamond" w:cs="Times New Roman"/>
                <w:sz w:val="18"/>
                <w:szCs w:val="20"/>
                <w:lang w:val="sq-AL"/>
              </w:rPr>
              <w:t>Aktivitet Statistikor</w:t>
            </w:r>
          </w:p>
        </w:tc>
        <w:tc>
          <w:tcPr>
            <w:tcW w:w="1214" w:type="dxa"/>
            <w:vAlign w:val="center"/>
          </w:tcPr>
          <w:p w14:paraId="313F2787"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NUTS</w:t>
            </w:r>
          </w:p>
        </w:tc>
        <w:tc>
          <w:tcPr>
            <w:tcW w:w="3685" w:type="dxa"/>
            <w:vAlign w:val="center"/>
          </w:tcPr>
          <w:p w14:paraId="5EDC3BFC"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Nomenklatura e Njësive Territoriale për Statistikat (</w:t>
            </w:r>
            <w:r w:rsidRPr="004F2AC3">
              <w:rPr>
                <w:rFonts w:ascii="Garamond" w:eastAsia="Calibri" w:hAnsi="Garamond" w:cs="Times New Roman"/>
                <w:i/>
                <w:sz w:val="18"/>
                <w:szCs w:val="20"/>
                <w:lang w:val="sq-AL"/>
              </w:rPr>
              <w:t>Nomenclature of Territorial Units for Statistics</w:t>
            </w:r>
            <w:r w:rsidRPr="004F2AC3">
              <w:rPr>
                <w:rFonts w:ascii="Garamond" w:eastAsia="Calibri" w:hAnsi="Garamond" w:cs="Times New Roman"/>
                <w:sz w:val="18"/>
                <w:szCs w:val="20"/>
                <w:lang w:val="sq-AL"/>
              </w:rPr>
              <w:t>)</w:t>
            </w:r>
          </w:p>
        </w:tc>
      </w:tr>
      <w:tr w:rsidR="004B57D5" w:rsidRPr="004F2AC3" w14:paraId="2B6FDD6F" w14:textId="77777777" w:rsidTr="004B57D5">
        <w:trPr>
          <w:trHeight w:val="20"/>
        </w:trPr>
        <w:tc>
          <w:tcPr>
            <w:tcW w:w="1276" w:type="dxa"/>
            <w:vAlign w:val="center"/>
          </w:tcPr>
          <w:p w14:paraId="193D0D02" w14:textId="77777777" w:rsidR="004B57D5" w:rsidRPr="004F2AC3" w:rsidRDefault="004B57D5" w:rsidP="00B66BF4">
            <w:pPr>
              <w:rPr>
                <w:rFonts w:ascii="Garamond" w:hAnsi="Garamond" w:cs="Times New Roman"/>
                <w:sz w:val="18"/>
                <w:szCs w:val="20"/>
                <w:lang w:val="sq-AL"/>
              </w:rPr>
            </w:pPr>
            <w:r w:rsidRPr="004F2AC3">
              <w:rPr>
                <w:rFonts w:ascii="Garamond" w:hAnsi="Garamond" w:cs="Times New Roman"/>
                <w:sz w:val="18"/>
                <w:szCs w:val="20"/>
                <w:lang w:val="sq-AL"/>
              </w:rPr>
              <w:t>BA</w:t>
            </w:r>
          </w:p>
        </w:tc>
        <w:tc>
          <w:tcPr>
            <w:tcW w:w="3497" w:type="dxa"/>
            <w:vAlign w:val="center"/>
          </w:tcPr>
          <w:p w14:paraId="5628C078"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Burim Administrativ</w:t>
            </w:r>
          </w:p>
        </w:tc>
        <w:tc>
          <w:tcPr>
            <w:tcW w:w="1214" w:type="dxa"/>
            <w:vAlign w:val="center"/>
          </w:tcPr>
          <w:p w14:paraId="746CA504"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NjEF</w:t>
            </w:r>
          </w:p>
        </w:tc>
        <w:tc>
          <w:tcPr>
            <w:tcW w:w="3685" w:type="dxa"/>
            <w:vAlign w:val="center"/>
          </w:tcPr>
          <w:p w14:paraId="07037A1A"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Njësi Ekonomike Familjare</w:t>
            </w:r>
          </w:p>
        </w:tc>
      </w:tr>
      <w:tr w:rsidR="004B57D5" w:rsidRPr="004F2AC3" w14:paraId="63452038" w14:textId="77777777" w:rsidTr="004B57D5">
        <w:trPr>
          <w:trHeight w:val="20"/>
        </w:trPr>
        <w:tc>
          <w:tcPr>
            <w:tcW w:w="1276" w:type="dxa"/>
            <w:vAlign w:val="center"/>
          </w:tcPr>
          <w:p w14:paraId="7D8EC8AE"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CAPI</w:t>
            </w:r>
          </w:p>
        </w:tc>
        <w:tc>
          <w:tcPr>
            <w:tcW w:w="3497" w:type="dxa"/>
            <w:vAlign w:val="center"/>
          </w:tcPr>
          <w:p w14:paraId="69B5C7D9"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Intervistë me Kompjuter (</w:t>
            </w:r>
            <w:r w:rsidRPr="004F2AC3">
              <w:rPr>
                <w:rFonts w:ascii="Garamond" w:eastAsia="Calibri" w:hAnsi="Garamond" w:cs="Times New Roman"/>
                <w:i/>
                <w:sz w:val="18"/>
                <w:szCs w:val="20"/>
                <w:lang w:val="sq-AL"/>
              </w:rPr>
              <w:t>Computer Assisted Personal Interview</w:t>
            </w:r>
            <w:r w:rsidRPr="004F2AC3">
              <w:rPr>
                <w:rFonts w:ascii="Garamond" w:eastAsia="Calibri" w:hAnsi="Garamond" w:cs="Times New Roman"/>
                <w:sz w:val="18"/>
                <w:szCs w:val="20"/>
                <w:lang w:val="sq-AL"/>
              </w:rPr>
              <w:t>)</w:t>
            </w:r>
          </w:p>
        </w:tc>
        <w:tc>
          <w:tcPr>
            <w:tcW w:w="1214" w:type="dxa"/>
            <w:vAlign w:val="center"/>
          </w:tcPr>
          <w:p w14:paraId="7DC0CDC8"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OECD</w:t>
            </w:r>
          </w:p>
        </w:tc>
        <w:tc>
          <w:tcPr>
            <w:tcW w:w="3685" w:type="dxa"/>
            <w:vAlign w:val="center"/>
          </w:tcPr>
          <w:p w14:paraId="68A37ED2"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Organizata për Bashkëpunimin Ekonomik dhe Zhvillimin (</w:t>
            </w:r>
            <w:r w:rsidRPr="004F2AC3">
              <w:rPr>
                <w:rFonts w:ascii="Garamond" w:eastAsia="Calibri" w:hAnsi="Garamond" w:cs="Times New Roman"/>
                <w:i/>
                <w:sz w:val="18"/>
                <w:szCs w:val="20"/>
                <w:lang w:val="sq-AL"/>
              </w:rPr>
              <w:t>Organisation for Economic Co-operation and Development</w:t>
            </w:r>
            <w:r w:rsidRPr="004F2AC3">
              <w:rPr>
                <w:rFonts w:ascii="Garamond" w:eastAsia="Calibri" w:hAnsi="Garamond" w:cs="Times New Roman"/>
                <w:sz w:val="18"/>
                <w:szCs w:val="20"/>
                <w:lang w:val="sq-AL"/>
              </w:rPr>
              <w:t>)</w:t>
            </w:r>
            <w:r w:rsidRPr="004F2AC3">
              <w:rPr>
                <w:rFonts w:ascii="Garamond" w:eastAsia="Calibri" w:hAnsi="Garamond" w:cs="Times New Roman"/>
                <w:color w:val="4D5156"/>
                <w:sz w:val="18"/>
                <w:szCs w:val="20"/>
                <w:shd w:val="clear" w:color="auto" w:fill="FFFFFF"/>
                <w:lang w:val="sq-AL"/>
              </w:rPr>
              <w:t> </w:t>
            </w:r>
          </w:p>
        </w:tc>
      </w:tr>
      <w:tr w:rsidR="004B57D5" w:rsidRPr="004F2AC3" w14:paraId="42E70B36" w14:textId="77777777" w:rsidTr="004B57D5">
        <w:trPr>
          <w:trHeight w:val="20"/>
        </w:trPr>
        <w:tc>
          <w:tcPr>
            <w:tcW w:w="1276" w:type="dxa"/>
            <w:vAlign w:val="center"/>
          </w:tcPr>
          <w:p w14:paraId="6DF1EDB1"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CATI</w:t>
            </w:r>
          </w:p>
        </w:tc>
        <w:tc>
          <w:tcPr>
            <w:tcW w:w="3497" w:type="dxa"/>
            <w:vAlign w:val="center"/>
          </w:tcPr>
          <w:p w14:paraId="753887F9"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Intervistë me telefon (</w:t>
            </w:r>
            <w:r w:rsidRPr="004F2AC3">
              <w:rPr>
                <w:rFonts w:ascii="Garamond" w:eastAsia="Calibri" w:hAnsi="Garamond" w:cs="Times New Roman"/>
                <w:i/>
                <w:sz w:val="18"/>
                <w:szCs w:val="20"/>
                <w:lang w:val="sq-AL"/>
              </w:rPr>
              <w:t>Computer-Assisted Telephone Interview</w:t>
            </w:r>
            <w:r w:rsidRPr="004F2AC3">
              <w:rPr>
                <w:rFonts w:ascii="Garamond" w:eastAsia="Calibri" w:hAnsi="Garamond" w:cs="Times New Roman"/>
                <w:sz w:val="18"/>
                <w:szCs w:val="20"/>
                <w:lang w:val="sq-AL"/>
              </w:rPr>
              <w:t>)</w:t>
            </w:r>
          </w:p>
        </w:tc>
        <w:tc>
          <w:tcPr>
            <w:tcW w:w="1214" w:type="dxa"/>
            <w:vAlign w:val="center"/>
          </w:tcPr>
          <w:p w14:paraId="14C55239"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OZHQ</w:t>
            </w:r>
          </w:p>
        </w:tc>
        <w:tc>
          <w:tcPr>
            <w:tcW w:w="3685" w:type="dxa"/>
            <w:vAlign w:val="center"/>
          </w:tcPr>
          <w:p w14:paraId="70F0046F"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Objektivat e Zhvillimit të Qëndrueshëm</w:t>
            </w:r>
          </w:p>
        </w:tc>
      </w:tr>
      <w:tr w:rsidR="004B57D5" w:rsidRPr="004F2AC3" w14:paraId="64477D1C" w14:textId="77777777" w:rsidTr="004B57D5">
        <w:trPr>
          <w:trHeight w:val="20"/>
        </w:trPr>
        <w:tc>
          <w:tcPr>
            <w:tcW w:w="1276" w:type="dxa"/>
            <w:vAlign w:val="center"/>
          </w:tcPr>
          <w:p w14:paraId="34A5FE3E"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CAWI</w:t>
            </w:r>
          </w:p>
        </w:tc>
        <w:tc>
          <w:tcPr>
            <w:tcW w:w="3497" w:type="dxa"/>
            <w:vAlign w:val="center"/>
          </w:tcPr>
          <w:p w14:paraId="5F177261"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Intervistë me link (</w:t>
            </w:r>
            <w:r w:rsidRPr="004F2AC3">
              <w:rPr>
                <w:rFonts w:ascii="Garamond" w:eastAsia="Calibri" w:hAnsi="Garamond" w:cs="Times New Roman"/>
                <w:i/>
                <w:sz w:val="18"/>
                <w:szCs w:val="20"/>
                <w:lang w:val="sq-AL"/>
              </w:rPr>
              <w:t>Computer Assisted Web Interview</w:t>
            </w:r>
            <w:r w:rsidRPr="004F2AC3">
              <w:rPr>
                <w:rFonts w:ascii="Garamond" w:eastAsia="Calibri" w:hAnsi="Garamond" w:cs="Times New Roman"/>
                <w:sz w:val="18"/>
                <w:szCs w:val="20"/>
                <w:lang w:val="sq-AL"/>
              </w:rPr>
              <w:t>)</w:t>
            </w:r>
          </w:p>
        </w:tc>
        <w:tc>
          <w:tcPr>
            <w:tcW w:w="1214" w:type="dxa"/>
            <w:vAlign w:val="center"/>
          </w:tcPr>
          <w:p w14:paraId="218BD59F"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NUTS</w:t>
            </w:r>
          </w:p>
        </w:tc>
        <w:tc>
          <w:tcPr>
            <w:tcW w:w="3685" w:type="dxa"/>
            <w:vAlign w:val="center"/>
          </w:tcPr>
          <w:p w14:paraId="0C8EFB33"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Nomenklatura e Njësive Territoriale për Statistikat (</w:t>
            </w:r>
            <w:r w:rsidRPr="004F2AC3">
              <w:rPr>
                <w:rFonts w:ascii="Garamond" w:eastAsia="Calibri" w:hAnsi="Garamond" w:cs="Times New Roman"/>
                <w:i/>
                <w:sz w:val="18"/>
                <w:szCs w:val="20"/>
                <w:lang w:val="sq-AL"/>
              </w:rPr>
              <w:t>Nomenclature of Territorial Units for Statistics</w:t>
            </w:r>
            <w:r w:rsidRPr="004F2AC3">
              <w:rPr>
                <w:rFonts w:ascii="Garamond" w:eastAsia="Calibri" w:hAnsi="Garamond" w:cs="Times New Roman"/>
                <w:sz w:val="18"/>
                <w:szCs w:val="20"/>
                <w:lang w:val="sq-AL"/>
              </w:rPr>
              <w:t>)</w:t>
            </w:r>
          </w:p>
        </w:tc>
      </w:tr>
      <w:tr w:rsidR="004B57D5" w:rsidRPr="004F2AC3" w14:paraId="69AC2D47" w14:textId="77777777" w:rsidTr="004B57D5">
        <w:trPr>
          <w:trHeight w:val="20"/>
        </w:trPr>
        <w:tc>
          <w:tcPr>
            <w:tcW w:w="1276" w:type="dxa"/>
            <w:vAlign w:val="center"/>
          </w:tcPr>
          <w:p w14:paraId="2597941C"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DEGURBA</w:t>
            </w:r>
          </w:p>
        </w:tc>
        <w:tc>
          <w:tcPr>
            <w:tcW w:w="3497" w:type="dxa"/>
            <w:vAlign w:val="center"/>
          </w:tcPr>
          <w:p w14:paraId="4319B017"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Klasifikimi i Njësive Administrative Urbane</w:t>
            </w:r>
          </w:p>
        </w:tc>
        <w:tc>
          <w:tcPr>
            <w:tcW w:w="1214" w:type="dxa"/>
            <w:vAlign w:val="center"/>
          </w:tcPr>
          <w:p w14:paraId="4B854BDB"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PRODCOM</w:t>
            </w:r>
          </w:p>
        </w:tc>
        <w:tc>
          <w:tcPr>
            <w:tcW w:w="3685" w:type="dxa"/>
            <w:vAlign w:val="center"/>
          </w:tcPr>
          <w:p w14:paraId="53BBE0CE"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Statistikat e Produkteve Industriale (</w:t>
            </w:r>
            <w:r w:rsidRPr="004F2AC3">
              <w:rPr>
                <w:rFonts w:ascii="Garamond" w:eastAsia="Calibri" w:hAnsi="Garamond" w:cs="Times New Roman"/>
                <w:i/>
                <w:sz w:val="18"/>
                <w:szCs w:val="20"/>
                <w:lang w:val="sq-AL"/>
              </w:rPr>
              <w:t>Production Communautaire</w:t>
            </w:r>
            <w:r w:rsidRPr="004F2AC3">
              <w:rPr>
                <w:rFonts w:ascii="Garamond" w:eastAsia="Calibri" w:hAnsi="Garamond" w:cs="Times New Roman"/>
                <w:sz w:val="18"/>
                <w:szCs w:val="20"/>
                <w:lang w:val="sq-AL"/>
              </w:rPr>
              <w:t>)</w:t>
            </w:r>
          </w:p>
        </w:tc>
      </w:tr>
      <w:tr w:rsidR="004B57D5" w:rsidRPr="004F2AC3" w14:paraId="0C3DB871" w14:textId="77777777" w:rsidTr="004B57D5">
        <w:trPr>
          <w:trHeight w:val="20"/>
        </w:trPr>
        <w:tc>
          <w:tcPr>
            <w:tcW w:w="1276" w:type="dxa"/>
            <w:vAlign w:val="center"/>
          </w:tcPr>
          <w:p w14:paraId="0D51F2F5"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ECB</w:t>
            </w:r>
          </w:p>
        </w:tc>
        <w:tc>
          <w:tcPr>
            <w:tcW w:w="3497" w:type="dxa"/>
            <w:vAlign w:val="center"/>
          </w:tcPr>
          <w:p w14:paraId="1BE265A4" w14:textId="256B3E81" w:rsidR="004B57D5" w:rsidRPr="004F2AC3" w:rsidRDefault="004B57D5" w:rsidP="000C66E1">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Banka Q</w:t>
            </w:r>
            <w:r w:rsidR="000C66E1" w:rsidRPr="004F2AC3">
              <w:rPr>
                <w:rFonts w:ascii="Garamond" w:eastAsia="Calibri" w:hAnsi="Garamond" w:cs="Times New Roman"/>
                <w:sz w:val="18"/>
                <w:szCs w:val="20"/>
                <w:lang w:val="sq-AL"/>
              </w:rPr>
              <w:t>e</w:t>
            </w:r>
            <w:r w:rsidRPr="004F2AC3">
              <w:rPr>
                <w:rFonts w:ascii="Garamond" w:eastAsia="Calibri" w:hAnsi="Garamond" w:cs="Times New Roman"/>
                <w:sz w:val="18"/>
                <w:szCs w:val="20"/>
                <w:lang w:val="sq-AL"/>
              </w:rPr>
              <w:t>ndrore Evropiane (</w:t>
            </w:r>
            <w:r w:rsidRPr="004F2AC3">
              <w:rPr>
                <w:rFonts w:ascii="Garamond" w:eastAsia="Calibri" w:hAnsi="Garamond" w:cs="Times New Roman"/>
                <w:i/>
                <w:sz w:val="18"/>
                <w:szCs w:val="20"/>
                <w:lang w:val="sq-AL"/>
              </w:rPr>
              <w:t>Europian Central Bank</w:t>
            </w:r>
            <w:r w:rsidRPr="004F2AC3">
              <w:rPr>
                <w:rFonts w:ascii="Garamond" w:eastAsia="Calibri" w:hAnsi="Garamond" w:cs="Times New Roman"/>
                <w:sz w:val="18"/>
                <w:szCs w:val="20"/>
                <w:lang w:val="sq-AL"/>
              </w:rPr>
              <w:t>)</w:t>
            </w:r>
          </w:p>
        </w:tc>
        <w:tc>
          <w:tcPr>
            <w:tcW w:w="1214" w:type="dxa"/>
            <w:vAlign w:val="center"/>
          </w:tcPr>
          <w:p w14:paraId="576206BD"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PSZ</w:t>
            </w:r>
          </w:p>
        </w:tc>
        <w:tc>
          <w:tcPr>
            <w:tcW w:w="3685" w:type="dxa"/>
            <w:vAlign w:val="center"/>
          </w:tcPr>
          <w:p w14:paraId="66A96968"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Programi i Statistikave Zyrtare</w:t>
            </w:r>
          </w:p>
        </w:tc>
      </w:tr>
      <w:tr w:rsidR="004B57D5" w:rsidRPr="004F2AC3" w14:paraId="21F1859B" w14:textId="77777777" w:rsidTr="004B57D5">
        <w:trPr>
          <w:trHeight w:val="20"/>
        </w:trPr>
        <w:tc>
          <w:tcPr>
            <w:tcW w:w="1276" w:type="dxa"/>
            <w:vAlign w:val="center"/>
          </w:tcPr>
          <w:p w14:paraId="36D96B9E"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EDP</w:t>
            </w:r>
          </w:p>
        </w:tc>
        <w:tc>
          <w:tcPr>
            <w:tcW w:w="3497" w:type="dxa"/>
            <w:vAlign w:val="center"/>
          </w:tcPr>
          <w:p w14:paraId="4E025873"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Procedura e Deficitit të Tejkaluar (</w:t>
            </w:r>
            <w:r w:rsidRPr="004F2AC3">
              <w:rPr>
                <w:rFonts w:ascii="Garamond" w:eastAsia="Calibri" w:hAnsi="Garamond" w:cs="Times New Roman"/>
                <w:i/>
                <w:sz w:val="18"/>
                <w:szCs w:val="20"/>
                <w:lang w:val="sq-AL"/>
              </w:rPr>
              <w:t>Excessive Deficit Procedure</w:t>
            </w:r>
            <w:r w:rsidRPr="004F2AC3">
              <w:rPr>
                <w:rFonts w:ascii="Garamond" w:eastAsia="Calibri" w:hAnsi="Garamond" w:cs="Times New Roman"/>
                <w:sz w:val="18"/>
                <w:szCs w:val="20"/>
                <w:lang w:val="sq-AL"/>
              </w:rPr>
              <w:t>)</w:t>
            </w:r>
          </w:p>
          <w:p w14:paraId="4B081BA1" w14:textId="77777777" w:rsidR="004B57D5" w:rsidRPr="004F2AC3" w:rsidRDefault="004B57D5" w:rsidP="00B66BF4">
            <w:pPr>
              <w:rPr>
                <w:rFonts w:ascii="Garamond" w:hAnsi="Garamond" w:cs="Times New Roman"/>
                <w:sz w:val="18"/>
                <w:szCs w:val="20"/>
                <w:lang w:val="sq-AL"/>
              </w:rPr>
            </w:pPr>
          </w:p>
        </w:tc>
        <w:tc>
          <w:tcPr>
            <w:tcW w:w="1214" w:type="dxa"/>
            <w:vAlign w:val="center"/>
          </w:tcPr>
          <w:p w14:paraId="1118BFE4"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UNDESA</w:t>
            </w:r>
          </w:p>
        </w:tc>
        <w:tc>
          <w:tcPr>
            <w:tcW w:w="3685" w:type="dxa"/>
            <w:vAlign w:val="center"/>
          </w:tcPr>
          <w:p w14:paraId="7D863D7B"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Departamenti i Kombeve të Bashkuara për Çështjet Ekonomike dhe Sociale</w:t>
            </w:r>
          </w:p>
        </w:tc>
      </w:tr>
      <w:tr w:rsidR="004B57D5" w:rsidRPr="004F2AC3" w14:paraId="1A06383A" w14:textId="77777777" w:rsidTr="004B57D5">
        <w:trPr>
          <w:trHeight w:val="20"/>
        </w:trPr>
        <w:tc>
          <w:tcPr>
            <w:tcW w:w="1276" w:type="dxa"/>
            <w:vAlign w:val="center"/>
          </w:tcPr>
          <w:p w14:paraId="499F50C4"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ESA</w:t>
            </w:r>
          </w:p>
        </w:tc>
        <w:tc>
          <w:tcPr>
            <w:tcW w:w="3497" w:type="dxa"/>
            <w:vAlign w:val="center"/>
          </w:tcPr>
          <w:p w14:paraId="7FEA57A6"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Sistemi Evropian i Llogarive Kombëtare dhe Rajonale (</w:t>
            </w:r>
            <w:hyperlink r:id="rId13" w:history="1">
              <w:r w:rsidRPr="004F2AC3">
                <w:rPr>
                  <w:rFonts w:ascii="Garamond" w:eastAsia="Calibri" w:hAnsi="Garamond" w:cs="Times New Roman"/>
                  <w:i/>
                  <w:sz w:val="18"/>
                  <w:szCs w:val="20"/>
                  <w:lang w:val="sq-AL"/>
                </w:rPr>
                <w:t>European system of national and regional accounts</w:t>
              </w:r>
            </w:hyperlink>
            <w:r w:rsidRPr="004F2AC3">
              <w:rPr>
                <w:rFonts w:ascii="Garamond" w:eastAsia="Calibri" w:hAnsi="Garamond" w:cs="Times New Roman"/>
                <w:sz w:val="18"/>
                <w:szCs w:val="20"/>
                <w:lang w:val="sq-AL"/>
              </w:rPr>
              <w:t>)</w:t>
            </w:r>
          </w:p>
        </w:tc>
        <w:tc>
          <w:tcPr>
            <w:tcW w:w="1214" w:type="dxa"/>
            <w:vAlign w:val="center"/>
          </w:tcPr>
          <w:p w14:paraId="5C318373"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UNDP</w:t>
            </w:r>
          </w:p>
        </w:tc>
        <w:tc>
          <w:tcPr>
            <w:tcW w:w="3685" w:type="dxa"/>
            <w:vAlign w:val="center"/>
          </w:tcPr>
          <w:p w14:paraId="728CAE43"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Programi i Zhvillimit të Kombeve të Bashkuara</w:t>
            </w:r>
          </w:p>
        </w:tc>
      </w:tr>
      <w:tr w:rsidR="004B57D5" w:rsidRPr="004F2AC3" w14:paraId="2E3E7ABB" w14:textId="77777777" w:rsidTr="004B57D5">
        <w:trPr>
          <w:trHeight w:val="20"/>
        </w:trPr>
        <w:tc>
          <w:tcPr>
            <w:tcW w:w="1276" w:type="dxa"/>
            <w:vAlign w:val="center"/>
          </w:tcPr>
          <w:p w14:paraId="7BA7D485"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ESSPROS</w:t>
            </w:r>
          </w:p>
        </w:tc>
        <w:tc>
          <w:tcPr>
            <w:tcW w:w="3497" w:type="dxa"/>
            <w:vAlign w:val="center"/>
          </w:tcPr>
          <w:p w14:paraId="7090EF25" w14:textId="456A0A46" w:rsidR="004B57D5" w:rsidRPr="004F2AC3" w:rsidRDefault="004B57D5" w:rsidP="000C66E1">
            <w:pPr>
              <w:rPr>
                <w:rFonts w:ascii="Garamond" w:hAnsi="Garamond" w:cs="Times New Roman"/>
                <w:color w:val="000000"/>
                <w:sz w:val="18"/>
                <w:szCs w:val="20"/>
                <w:lang w:val="sq-AL" w:eastAsia="ja-JP"/>
              </w:rPr>
            </w:pPr>
            <w:r w:rsidRPr="004F2AC3">
              <w:rPr>
                <w:rFonts w:ascii="Garamond" w:eastAsia="Times New Roman" w:hAnsi="Garamond" w:cs="Times New Roman"/>
                <w:sz w:val="18"/>
                <w:szCs w:val="20"/>
                <w:lang w:val="sq-AL"/>
              </w:rPr>
              <w:t>Sistemi i Integruar E</w:t>
            </w:r>
            <w:r w:rsidR="000C66E1" w:rsidRPr="004F2AC3">
              <w:rPr>
                <w:rFonts w:ascii="Garamond" w:eastAsia="Times New Roman" w:hAnsi="Garamond" w:cs="Times New Roman"/>
                <w:sz w:val="18"/>
                <w:szCs w:val="20"/>
                <w:lang w:val="sq-AL"/>
              </w:rPr>
              <w:t>v</w:t>
            </w:r>
            <w:r w:rsidRPr="004F2AC3">
              <w:rPr>
                <w:rFonts w:ascii="Garamond" w:eastAsia="Times New Roman" w:hAnsi="Garamond" w:cs="Times New Roman"/>
                <w:sz w:val="18"/>
                <w:szCs w:val="20"/>
                <w:lang w:val="sq-AL"/>
              </w:rPr>
              <w:t>ropian për Mbrojtjen Sociale (</w:t>
            </w:r>
            <w:r w:rsidRPr="004F2AC3">
              <w:rPr>
                <w:rFonts w:ascii="Garamond" w:eastAsia="Times New Roman" w:hAnsi="Garamond" w:cs="Times New Roman"/>
                <w:i/>
                <w:sz w:val="18"/>
                <w:szCs w:val="20"/>
                <w:lang w:val="sq-AL"/>
              </w:rPr>
              <w:t>European system of integrated social protection statistics</w:t>
            </w:r>
            <w:r w:rsidRPr="004F2AC3">
              <w:rPr>
                <w:rFonts w:ascii="Garamond" w:eastAsia="Times New Roman" w:hAnsi="Garamond" w:cs="Times New Roman"/>
                <w:sz w:val="18"/>
                <w:szCs w:val="20"/>
                <w:lang w:val="sq-AL"/>
              </w:rPr>
              <w:t>)</w:t>
            </w:r>
          </w:p>
        </w:tc>
        <w:tc>
          <w:tcPr>
            <w:tcW w:w="1214" w:type="dxa"/>
            <w:vAlign w:val="center"/>
          </w:tcPr>
          <w:p w14:paraId="03334FF6"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VS</w:t>
            </w:r>
          </w:p>
        </w:tc>
        <w:tc>
          <w:tcPr>
            <w:tcW w:w="3685" w:type="dxa"/>
            <w:vAlign w:val="center"/>
          </w:tcPr>
          <w:p w14:paraId="628F4B09"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Vrojtim Statistikor</w:t>
            </w:r>
          </w:p>
        </w:tc>
      </w:tr>
      <w:tr w:rsidR="004B57D5" w:rsidRPr="004F2AC3" w14:paraId="2CD83D31" w14:textId="77777777" w:rsidTr="004B57D5">
        <w:trPr>
          <w:trHeight w:val="20"/>
        </w:trPr>
        <w:tc>
          <w:tcPr>
            <w:tcW w:w="1276" w:type="dxa"/>
            <w:vAlign w:val="center"/>
          </w:tcPr>
          <w:p w14:paraId="2DF715FA"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FAO</w:t>
            </w:r>
          </w:p>
        </w:tc>
        <w:tc>
          <w:tcPr>
            <w:tcW w:w="3497" w:type="dxa"/>
            <w:vAlign w:val="center"/>
          </w:tcPr>
          <w:p w14:paraId="7B12DA94"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Organizata për Bujqësinë dhe Ushqimin (</w:t>
            </w:r>
            <w:r w:rsidRPr="004F2AC3">
              <w:rPr>
                <w:rFonts w:ascii="Garamond" w:eastAsia="Calibri" w:hAnsi="Garamond" w:cs="Times New Roman"/>
                <w:i/>
                <w:sz w:val="18"/>
                <w:szCs w:val="20"/>
                <w:lang w:val="sq-AL"/>
              </w:rPr>
              <w:t>Food and Agriculture Organization</w:t>
            </w:r>
            <w:r w:rsidRPr="004F2AC3">
              <w:rPr>
                <w:rFonts w:ascii="Garamond" w:eastAsia="Calibri" w:hAnsi="Garamond" w:cs="Times New Roman"/>
                <w:sz w:val="18"/>
                <w:szCs w:val="20"/>
                <w:lang w:val="sq-AL"/>
              </w:rPr>
              <w:t>)</w:t>
            </w:r>
          </w:p>
        </w:tc>
        <w:tc>
          <w:tcPr>
            <w:tcW w:w="1214" w:type="dxa"/>
            <w:vAlign w:val="center"/>
          </w:tcPr>
          <w:p w14:paraId="1D5859E7"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SKS</w:t>
            </w:r>
          </w:p>
        </w:tc>
        <w:tc>
          <w:tcPr>
            <w:tcW w:w="3685" w:type="dxa"/>
            <w:vAlign w:val="center"/>
          </w:tcPr>
          <w:p w14:paraId="617DA964"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Sistemi Kombëtar Statistikor</w:t>
            </w:r>
          </w:p>
        </w:tc>
      </w:tr>
      <w:tr w:rsidR="004B57D5" w:rsidRPr="004F2AC3" w14:paraId="72015E49" w14:textId="77777777" w:rsidTr="004B57D5">
        <w:trPr>
          <w:trHeight w:val="20"/>
        </w:trPr>
        <w:tc>
          <w:tcPr>
            <w:tcW w:w="1276" w:type="dxa"/>
            <w:vAlign w:val="center"/>
          </w:tcPr>
          <w:p w14:paraId="7EB04ECC"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FMN</w:t>
            </w:r>
          </w:p>
        </w:tc>
        <w:tc>
          <w:tcPr>
            <w:tcW w:w="3497" w:type="dxa"/>
            <w:vAlign w:val="center"/>
          </w:tcPr>
          <w:p w14:paraId="4CCBEBAF"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Fondi Monetar Ndërkombëtar</w:t>
            </w:r>
          </w:p>
        </w:tc>
        <w:tc>
          <w:tcPr>
            <w:tcW w:w="1214" w:type="dxa"/>
            <w:vAlign w:val="center"/>
          </w:tcPr>
          <w:p w14:paraId="461D70EA"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ZC</w:t>
            </w:r>
          </w:p>
        </w:tc>
        <w:tc>
          <w:tcPr>
            <w:tcW w:w="3685" w:type="dxa"/>
            <w:vAlign w:val="center"/>
          </w:tcPr>
          <w:p w14:paraId="7281A0C3"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Zonat e Censit</w:t>
            </w:r>
          </w:p>
        </w:tc>
      </w:tr>
      <w:tr w:rsidR="004B57D5" w:rsidRPr="004F2AC3" w14:paraId="0C5CEB37" w14:textId="77777777" w:rsidTr="004B57D5">
        <w:trPr>
          <w:trHeight w:val="20"/>
        </w:trPr>
        <w:tc>
          <w:tcPr>
            <w:tcW w:w="1276" w:type="dxa"/>
            <w:vAlign w:val="center"/>
          </w:tcPr>
          <w:p w14:paraId="398B03B1"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GDP</w:t>
            </w:r>
          </w:p>
        </w:tc>
        <w:tc>
          <w:tcPr>
            <w:tcW w:w="3497" w:type="dxa"/>
            <w:vAlign w:val="center"/>
          </w:tcPr>
          <w:p w14:paraId="251969CE"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Produkti i Brendshëm Bruto (</w:t>
            </w:r>
            <w:r w:rsidRPr="004F2AC3">
              <w:rPr>
                <w:rFonts w:ascii="Garamond" w:eastAsia="Calibri" w:hAnsi="Garamond" w:cs="Times New Roman"/>
                <w:i/>
                <w:sz w:val="18"/>
                <w:szCs w:val="20"/>
                <w:lang w:val="sq-AL"/>
              </w:rPr>
              <w:t>Gross Domestic Product</w:t>
            </w:r>
            <w:r w:rsidRPr="004F2AC3">
              <w:rPr>
                <w:rFonts w:ascii="Garamond" w:eastAsia="Calibri" w:hAnsi="Garamond" w:cs="Times New Roman"/>
                <w:sz w:val="18"/>
                <w:szCs w:val="20"/>
                <w:lang w:val="sq-AL"/>
              </w:rPr>
              <w:t>)</w:t>
            </w:r>
          </w:p>
        </w:tc>
        <w:tc>
          <w:tcPr>
            <w:tcW w:w="1214" w:type="dxa"/>
            <w:vAlign w:val="center"/>
          </w:tcPr>
          <w:p w14:paraId="5AFCC8C5"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2EAF0B9A"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7908745E" w14:textId="77777777" w:rsidTr="004B57D5">
        <w:trPr>
          <w:trHeight w:val="20"/>
        </w:trPr>
        <w:tc>
          <w:tcPr>
            <w:tcW w:w="1276" w:type="dxa"/>
            <w:vAlign w:val="center"/>
          </w:tcPr>
          <w:p w14:paraId="63B84F68"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GFS</w:t>
            </w:r>
          </w:p>
        </w:tc>
        <w:tc>
          <w:tcPr>
            <w:tcW w:w="3497" w:type="dxa"/>
            <w:vAlign w:val="center"/>
          </w:tcPr>
          <w:p w14:paraId="30CB2BFD"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Statistikat Financiare të Qeverisë (</w:t>
            </w:r>
            <w:r w:rsidRPr="004F2AC3">
              <w:rPr>
                <w:rFonts w:ascii="Garamond" w:eastAsia="Calibri" w:hAnsi="Garamond" w:cs="Times New Roman"/>
                <w:i/>
                <w:sz w:val="18"/>
                <w:szCs w:val="20"/>
                <w:lang w:val="sq-AL"/>
              </w:rPr>
              <w:t>Government Finance Statistics</w:t>
            </w:r>
            <w:r w:rsidRPr="004F2AC3">
              <w:rPr>
                <w:rFonts w:ascii="Garamond" w:eastAsia="Calibri" w:hAnsi="Garamond" w:cs="Times New Roman"/>
                <w:sz w:val="18"/>
                <w:szCs w:val="20"/>
                <w:lang w:val="sq-AL"/>
              </w:rPr>
              <w:t>)</w:t>
            </w:r>
          </w:p>
        </w:tc>
        <w:tc>
          <w:tcPr>
            <w:tcW w:w="1214" w:type="dxa"/>
            <w:vAlign w:val="center"/>
          </w:tcPr>
          <w:p w14:paraId="7D634F44"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AKBN</w:t>
            </w:r>
          </w:p>
        </w:tc>
        <w:tc>
          <w:tcPr>
            <w:tcW w:w="3685" w:type="dxa"/>
            <w:vAlign w:val="center"/>
          </w:tcPr>
          <w:p w14:paraId="65E4D30B" w14:textId="26189500"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Agjencia Kombëtare e Burimeve Natyrore</w:t>
            </w:r>
            <w:r w:rsidR="00684E85" w:rsidRPr="004F2AC3">
              <w:rPr>
                <w:rFonts w:ascii="Garamond" w:hAnsi="Garamond" w:cs="Times New Roman"/>
                <w:color w:val="000000"/>
                <w:sz w:val="18"/>
                <w:szCs w:val="20"/>
                <w:lang w:val="sq-AL" w:eastAsia="ja-JP"/>
              </w:rPr>
              <w:t xml:space="preserve"> </w:t>
            </w:r>
          </w:p>
          <w:p w14:paraId="16814A34"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74BA4C3F" w14:textId="77777777" w:rsidTr="004B57D5">
        <w:trPr>
          <w:trHeight w:val="20"/>
        </w:trPr>
        <w:tc>
          <w:tcPr>
            <w:tcW w:w="1276" w:type="dxa"/>
            <w:vAlign w:val="center"/>
          </w:tcPr>
          <w:p w14:paraId="5465454A"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GFSM</w:t>
            </w:r>
          </w:p>
        </w:tc>
        <w:tc>
          <w:tcPr>
            <w:tcW w:w="3497" w:type="dxa"/>
            <w:vAlign w:val="center"/>
          </w:tcPr>
          <w:p w14:paraId="4C200D8F"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Manuali për Statistikat Financiare të Qeverisë (</w:t>
            </w:r>
            <w:r w:rsidRPr="004F2AC3">
              <w:rPr>
                <w:rFonts w:ascii="Garamond" w:eastAsia="Calibri" w:hAnsi="Garamond" w:cs="Times New Roman"/>
                <w:i/>
                <w:sz w:val="18"/>
                <w:szCs w:val="20"/>
                <w:lang w:val="sq-AL"/>
              </w:rPr>
              <w:t>Government Finance Statistics Manual</w:t>
            </w:r>
            <w:r w:rsidRPr="004F2AC3">
              <w:rPr>
                <w:rFonts w:ascii="Garamond" w:eastAsia="Calibri" w:hAnsi="Garamond" w:cs="Times New Roman"/>
                <w:sz w:val="18"/>
                <w:szCs w:val="20"/>
                <w:lang w:val="sq-AL"/>
              </w:rPr>
              <w:t>)</w:t>
            </w:r>
          </w:p>
        </w:tc>
        <w:tc>
          <w:tcPr>
            <w:tcW w:w="1214" w:type="dxa"/>
            <w:vAlign w:val="center"/>
          </w:tcPr>
          <w:p w14:paraId="04B51373"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31B7D6DB"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5C931608" w14:textId="77777777" w:rsidTr="004B57D5">
        <w:trPr>
          <w:trHeight w:val="20"/>
        </w:trPr>
        <w:tc>
          <w:tcPr>
            <w:tcW w:w="1276" w:type="dxa"/>
            <w:vAlign w:val="center"/>
          </w:tcPr>
          <w:p w14:paraId="2A0C1209"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GIS</w:t>
            </w:r>
          </w:p>
        </w:tc>
        <w:tc>
          <w:tcPr>
            <w:tcW w:w="3497" w:type="dxa"/>
            <w:vAlign w:val="center"/>
          </w:tcPr>
          <w:p w14:paraId="2C1CB491" w14:textId="638DBAC8"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Sistemi i Informacionit Gjeografik (</w:t>
            </w:r>
            <w:r w:rsidRPr="004F2AC3">
              <w:rPr>
                <w:rFonts w:ascii="Garamond" w:eastAsia="Calibri" w:hAnsi="Garamond" w:cs="Times New Roman"/>
                <w:i/>
                <w:sz w:val="18"/>
                <w:szCs w:val="20"/>
                <w:lang w:val="sq-AL"/>
              </w:rPr>
              <w:t xml:space="preserve">Geographic </w:t>
            </w:r>
            <w:r w:rsidR="000C66E1" w:rsidRPr="004F2AC3">
              <w:rPr>
                <w:rFonts w:ascii="Garamond" w:eastAsia="Calibri" w:hAnsi="Garamond" w:cs="Times New Roman"/>
                <w:i/>
                <w:sz w:val="18"/>
                <w:szCs w:val="20"/>
                <w:lang w:val="sq-AL"/>
              </w:rPr>
              <w:t>Information System</w:t>
            </w:r>
            <w:r w:rsidRPr="004F2AC3">
              <w:rPr>
                <w:rFonts w:ascii="Garamond" w:eastAsia="Calibri" w:hAnsi="Garamond" w:cs="Times New Roman"/>
                <w:sz w:val="18"/>
                <w:szCs w:val="20"/>
                <w:lang w:val="sq-AL"/>
              </w:rPr>
              <w:t>)</w:t>
            </w:r>
          </w:p>
        </w:tc>
        <w:tc>
          <w:tcPr>
            <w:tcW w:w="1214" w:type="dxa"/>
            <w:vAlign w:val="center"/>
          </w:tcPr>
          <w:p w14:paraId="6447FB96"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388B8C53"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350AFE15" w14:textId="77777777" w:rsidTr="004B57D5">
        <w:trPr>
          <w:trHeight w:val="20"/>
        </w:trPr>
        <w:tc>
          <w:tcPr>
            <w:tcW w:w="1276" w:type="dxa"/>
            <w:vAlign w:val="center"/>
          </w:tcPr>
          <w:p w14:paraId="11C10E7F"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GSBPM</w:t>
            </w:r>
          </w:p>
        </w:tc>
        <w:tc>
          <w:tcPr>
            <w:tcW w:w="3497" w:type="dxa"/>
            <w:vAlign w:val="center"/>
          </w:tcPr>
          <w:p w14:paraId="3655CC98"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Manuali për Planifikimin e Fazave të Prodhimit Statistikor (</w:t>
            </w:r>
            <w:r w:rsidRPr="004F2AC3">
              <w:rPr>
                <w:rFonts w:ascii="Garamond" w:eastAsia="Calibri" w:hAnsi="Garamond" w:cs="Times New Roman"/>
                <w:i/>
                <w:sz w:val="18"/>
                <w:szCs w:val="20"/>
                <w:lang w:val="sq-AL"/>
              </w:rPr>
              <w:t>Generic Statistical Business Process Model</w:t>
            </w:r>
            <w:r w:rsidRPr="004F2AC3">
              <w:rPr>
                <w:rFonts w:ascii="Garamond" w:eastAsia="Calibri" w:hAnsi="Garamond" w:cs="Times New Roman"/>
                <w:sz w:val="18"/>
                <w:szCs w:val="20"/>
                <w:lang w:val="sq-AL"/>
              </w:rPr>
              <w:t>)</w:t>
            </w:r>
          </w:p>
        </w:tc>
        <w:tc>
          <w:tcPr>
            <w:tcW w:w="1214" w:type="dxa"/>
            <w:vAlign w:val="center"/>
          </w:tcPr>
          <w:p w14:paraId="1496AE60"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73AC5377"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0F383B74" w14:textId="77777777" w:rsidTr="004B57D5">
        <w:trPr>
          <w:trHeight w:val="20"/>
        </w:trPr>
        <w:tc>
          <w:tcPr>
            <w:tcW w:w="1276" w:type="dxa"/>
            <w:vAlign w:val="center"/>
          </w:tcPr>
          <w:p w14:paraId="01C23D3B" w14:textId="77777777" w:rsidR="004B57D5" w:rsidRPr="004F2AC3" w:rsidRDefault="004B57D5" w:rsidP="00B66BF4">
            <w:pPr>
              <w:rPr>
                <w:rFonts w:ascii="Garamond" w:hAnsi="Garamond" w:cs="Times New Roman"/>
                <w:color w:val="000000"/>
                <w:sz w:val="18"/>
                <w:szCs w:val="20"/>
                <w:lang w:val="sq-AL" w:eastAsia="ja-JP"/>
              </w:rPr>
            </w:pPr>
          </w:p>
        </w:tc>
        <w:tc>
          <w:tcPr>
            <w:tcW w:w="3497" w:type="dxa"/>
            <w:vAlign w:val="center"/>
          </w:tcPr>
          <w:p w14:paraId="13B3AC7F" w14:textId="77777777" w:rsidR="004B57D5" w:rsidRPr="004F2AC3" w:rsidRDefault="004B57D5" w:rsidP="00B66BF4">
            <w:pPr>
              <w:rPr>
                <w:rFonts w:ascii="Garamond" w:hAnsi="Garamond" w:cs="Times New Roman"/>
                <w:sz w:val="18"/>
                <w:szCs w:val="20"/>
                <w:lang w:val="sq-AL"/>
              </w:rPr>
            </w:pPr>
          </w:p>
        </w:tc>
        <w:tc>
          <w:tcPr>
            <w:tcW w:w="1214" w:type="dxa"/>
            <w:vAlign w:val="center"/>
          </w:tcPr>
          <w:p w14:paraId="6EED301F"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1C5BF7A5"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197EC031" w14:textId="77777777" w:rsidTr="004B57D5">
        <w:trPr>
          <w:trHeight w:val="20"/>
        </w:trPr>
        <w:tc>
          <w:tcPr>
            <w:tcW w:w="1276" w:type="dxa"/>
            <w:vAlign w:val="center"/>
          </w:tcPr>
          <w:p w14:paraId="7B4D81B1" w14:textId="77777777" w:rsidR="004B57D5" w:rsidRPr="004F2AC3" w:rsidRDefault="004B57D5" w:rsidP="00B66BF4">
            <w:pPr>
              <w:rPr>
                <w:rFonts w:ascii="Garamond" w:hAnsi="Garamond" w:cs="Times New Roman"/>
                <w:sz w:val="18"/>
                <w:szCs w:val="20"/>
                <w:lang w:val="sq-AL"/>
              </w:rPr>
            </w:pPr>
            <w:r w:rsidRPr="004F2AC3">
              <w:rPr>
                <w:rFonts w:ascii="Garamond" w:eastAsia="Calibri" w:hAnsi="Garamond" w:cs="Times New Roman"/>
                <w:sz w:val="18"/>
                <w:szCs w:val="20"/>
                <w:lang w:val="sq-AL"/>
              </w:rPr>
              <w:t>ICCS</w:t>
            </w:r>
          </w:p>
        </w:tc>
        <w:tc>
          <w:tcPr>
            <w:tcW w:w="3497" w:type="dxa"/>
            <w:vAlign w:val="center"/>
          </w:tcPr>
          <w:p w14:paraId="6775581D" w14:textId="77777777" w:rsidR="004B57D5" w:rsidRPr="004F2AC3" w:rsidRDefault="004B57D5" w:rsidP="00B66BF4">
            <w:pPr>
              <w:rPr>
                <w:rFonts w:ascii="Garamond" w:eastAsia="Calibri" w:hAnsi="Garamond" w:cs="Times New Roman"/>
                <w:sz w:val="18"/>
                <w:szCs w:val="20"/>
                <w:lang w:val="sq-AL"/>
              </w:rPr>
            </w:pPr>
            <w:r w:rsidRPr="004F2AC3">
              <w:rPr>
                <w:rFonts w:ascii="Garamond" w:eastAsia="Calibri" w:hAnsi="Garamond" w:cs="Times New Roman"/>
                <w:sz w:val="18"/>
                <w:szCs w:val="20"/>
                <w:lang w:val="sq-AL"/>
              </w:rPr>
              <w:t>Klasifikimi Ndërkombëtar të Krimeve për Qëllime Statistikore (</w:t>
            </w:r>
            <w:r w:rsidRPr="004F2AC3">
              <w:rPr>
                <w:rFonts w:ascii="Garamond" w:eastAsia="Calibri" w:hAnsi="Garamond" w:cs="Times New Roman"/>
                <w:i/>
                <w:sz w:val="18"/>
                <w:szCs w:val="20"/>
                <w:lang w:val="sq-AL"/>
              </w:rPr>
              <w:t>International Classification of Crime for Statistical Purposes</w:t>
            </w:r>
            <w:r w:rsidRPr="004F2AC3">
              <w:rPr>
                <w:rFonts w:ascii="Garamond" w:eastAsia="Calibri" w:hAnsi="Garamond" w:cs="Times New Roman"/>
                <w:sz w:val="18"/>
                <w:szCs w:val="20"/>
                <w:lang w:val="sq-AL"/>
              </w:rPr>
              <w:t>)</w:t>
            </w:r>
          </w:p>
        </w:tc>
        <w:tc>
          <w:tcPr>
            <w:tcW w:w="1214" w:type="dxa"/>
            <w:vAlign w:val="center"/>
          </w:tcPr>
          <w:p w14:paraId="1BC23145"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03E8EAA7"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15936C36" w14:textId="77777777" w:rsidTr="004B57D5">
        <w:trPr>
          <w:trHeight w:val="20"/>
        </w:trPr>
        <w:tc>
          <w:tcPr>
            <w:tcW w:w="1276" w:type="dxa"/>
            <w:vAlign w:val="center"/>
          </w:tcPr>
          <w:p w14:paraId="2E9FE222"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ICD</w:t>
            </w:r>
          </w:p>
        </w:tc>
        <w:tc>
          <w:tcPr>
            <w:tcW w:w="3497" w:type="dxa"/>
            <w:vAlign w:val="center"/>
          </w:tcPr>
          <w:p w14:paraId="46B2ED05" w14:textId="77777777" w:rsidR="004B57D5" w:rsidRPr="004F2AC3" w:rsidRDefault="004B57D5" w:rsidP="00B66BF4">
            <w:pPr>
              <w:rPr>
                <w:rFonts w:ascii="Garamond" w:eastAsia="Calibri" w:hAnsi="Garamond" w:cs="Times New Roman"/>
                <w:sz w:val="18"/>
                <w:szCs w:val="20"/>
                <w:lang w:val="sq-AL"/>
              </w:rPr>
            </w:pPr>
            <w:r w:rsidRPr="004F2AC3">
              <w:rPr>
                <w:rFonts w:ascii="Garamond" w:eastAsia="Calibri" w:hAnsi="Garamond" w:cs="Times New Roman"/>
                <w:sz w:val="18"/>
                <w:szCs w:val="20"/>
                <w:lang w:val="sq-AL"/>
              </w:rPr>
              <w:t>Klasifikimi ndërkombëtar për Sëmundjet (</w:t>
            </w:r>
            <w:r w:rsidRPr="004F2AC3">
              <w:rPr>
                <w:rFonts w:ascii="Garamond" w:eastAsia="Calibri" w:hAnsi="Garamond" w:cs="Times New Roman"/>
                <w:i/>
                <w:sz w:val="18"/>
                <w:szCs w:val="20"/>
                <w:lang w:val="sq-AL"/>
              </w:rPr>
              <w:t>International Statistical Classification of Diseases</w:t>
            </w:r>
            <w:r w:rsidRPr="004F2AC3">
              <w:rPr>
                <w:rFonts w:ascii="Garamond" w:eastAsia="Calibri" w:hAnsi="Garamond" w:cs="Times New Roman"/>
                <w:sz w:val="18"/>
                <w:szCs w:val="20"/>
                <w:lang w:val="sq-AL"/>
              </w:rPr>
              <w:t>)</w:t>
            </w:r>
          </w:p>
        </w:tc>
        <w:tc>
          <w:tcPr>
            <w:tcW w:w="1214" w:type="dxa"/>
            <w:vAlign w:val="center"/>
          </w:tcPr>
          <w:p w14:paraId="593BBB45"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638C39D4"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0C025B59" w14:textId="77777777" w:rsidTr="004B57D5">
        <w:trPr>
          <w:trHeight w:val="20"/>
        </w:trPr>
        <w:tc>
          <w:tcPr>
            <w:tcW w:w="1276" w:type="dxa"/>
            <w:vAlign w:val="center"/>
          </w:tcPr>
          <w:p w14:paraId="53AB0033"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IÇK</w:t>
            </w:r>
          </w:p>
        </w:tc>
        <w:tc>
          <w:tcPr>
            <w:tcW w:w="3497" w:type="dxa"/>
            <w:vAlign w:val="center"/>
          </w:tcPr>
          <w:p w14:paraId="62338149"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Indeksi i Çmimeve të Konsumit</w:t>
            </w:r>
          </w:p>
        </w:tc>
        <w:tc>
          <w:tcPr>
            <w:tcW w:w="1214" w:type="dxa"/>
            <w:vAlign w:val="center"/>
          </w:tcPr>
          <w:p w14:paraId="6CF3C8C6"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5F6A4C6A"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29E18FA9" w14:textId="77777777" w:rsidTr="004B57D5">
        <w:trPr>
          <w:trHeight w:val="20"/>
        </w:trPr>
        <w:tc>
          <w:tcPr>
            <w:tcW w:w="1276" w:type="dxa"/>
            <w:vAlign w:val="center"/>
          </w:tcPr>
          <w:p w14:paraId="51771AD5"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INSPIRE</w:t>
            </w:r>
          </w:p>
        </w:tc>
        <w:tc>
          <w:tcPr>
            <w:tcW w:w="3497" w:type="dxa"/>
            <w:vAlign w:val="center"/>
          </w:tcPr>
          <w:p w14:paraId="614D2B61"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hAnsi="Garamond" w:cs="Times New Roman"/>
                <w:color w:val="000000"/>
                <w:sz w:val="18"/>
                <w:szCs w:val="20"/>
                <w:lang w:val="sq-AL" w:eastAsia="ja-JP"/>
              </w:rPr>
              <w:t>Infrastruktura për Informacionin Gjeohapsinor në Evropë</w:t>
            </w:r>
          </w:p>
        </w:tc>
        <w:tc>
          <w:tcPr>
            <w:tcW w:w="1214" w:type="dxa"/>
            <w:vAlign w:val="center"/>
          </w:tcPr>
          <w:p w14:paraId="68860572"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788BE51D"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44959953" w14:textId="77777777" w:rsidTr="004B57D5">
        <w:trPr>
          <w:trHeight w:val="20"/>
        </w:trPr>
        <w:tc>
          <w:tcPr>
            <w:tcW w:w="1276" w:type="dxa"/>
            <w:vAlign w:val="center"/>
          </w:tcPr>
          <w:p w14:paraId="4D50FF44"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IOM</w:t>
            </w:r>
          </w:p>
        </w:tc>
        <w:tc>
          <w:tcPr>
            <w:tcW w:w="3497" w:type="dxa"/>
            <w:vAlign w:val="center"/>
          </w:tcPr>
          <w:p w14:paraId="375DA85F"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Organizata Ndërkombëtare për Migracionin (</w:t>
            </w:r>
            <w:r w:rsidRPr="004F2AC3">
              <w:rPr>
                <w:rFonts w:ascii="Garamond" w:eastAsia="Calibri" w:hAnsi="Garamond" w:cs="Times New Roman"/>
                <w:i/>
                <w:sz w:val="18"/>
                <w:szCs w:val="20"/>
                <w:lang w:val="sq-AL"/>
              </w:rPr>
              <w:t>International Organization for Migration</w:t>
            </w:r>
            <w:r w:rsidRPr="004F2AC3">
              <w:rPr>
                <w:rFonts w:ascii="Garamond" w:eastAsia="Calibri" w:hAnsi="Garamond" w:cs="Times New Roman"/>
                <w:sz w:val="18"/>
                <w:szCs w:val="20"/>
                <w:lang w:val="sq-AL"/>
              </w:rPr>
              <w:t>)</w:t>
            </w:r>
          </w:p>
        </w:tc>
        <w:tc>
          <w:tcPr>
            <w:tcW w:w="1214" w:type="dxa"/>
            <w:vAlign w:val="center"/>
          </w:tcPr>
          <w:p w14:paraId="1F112818"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703BE38D"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6A4C1829" w14:textId="77777777" w:rsidTr="004B57D5">
        <w:trPr>
          <w:trHeight w:val="20"/>
        </w:trPr>
        <w:tc>
          <w:tcPr>
            <w:tcW w:w="1276" w:type="dxa"/>
            <w:vAlign w:val="center"/>
          </w:tcPr>
          <w:p w14:paraId="3A27DDCB"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IPA</w:t>
            </w:r>
          </w:p>
        </w:tc>
        <w:tc>
          <w:tcPr>
            <w:tcW w:w="3497" w:type="dxa"/>
            <w:vAlign w:val="center"/>
          </w:tcPr>
          <w:p w14:paraId="26748A04"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Instrumenti i paraanëtarësimit</w:t>
            </w:r>
          </w:p>
        </w:tc>
        <w:tc>
          <w:tcPr>
            <w:tcW w:w="1214" w:type="dxa"/>
            <w:vAlign w:val="center"/>
          </w:tcPr>
          <w:p w14:paraId="5FDF8A0D"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1DC00352" w14:textId="77777777" w:rsidR="004B57D5" w:rsidRPr="004F2AC3" w:rsidRDefault="004B57D5" w:rsidP="00B66BF4">
            <w:pPr>
              <w:rPr>
                <w:rFonts w:ascii="Garamond" w:hAnsi="Garamond" w:cs="Times New Roman"/>
                <w:color w:val="000000"/>
                <w:sz w:val="18"/>
                <w:szCs w:val="20"/>
                <w:lang w:val="sq-AL" w:eastAsia="ja-JP"/>
              </w:rPr>
            </w:pPr>
          </w:p>
        </w:tc>
      </w:tr>
      <w:tr w:rsidR="004B57D5" w:rsidRPr="004F2AC3" w14:paraId="63AA3F17" w14:textId="77777777" w:rsidTr="004B57D5">
        <w:trPr>
          <w:trHeight w:val="20"/>
        </w:trPr>
        <w:tc>
          <w:tcPr>
            <w:tcW w:w="1276" w:type="dxa"/>
            <w:vAlign w:val="center"/>
          </w:tcPr>
          <w:p w14:paraId="0447BFA7"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ISCO</w:t>
            </w:r>
          </w:p>
        </w:tc>
        <w:tc>
          <w:tcPr>
            <w:tcW w:w="3497" w:type="dxa"/>
            <w:vAlign w:val="center"/>
          </w:tcPr>
          <w:p w14:paraId="4F902C94" w14:textId="77777777" w:rsidR="004B57D5" w:rsidRPr="004F2AC3" w:rsidRDefault="004B57D5" w:rsidP="00B66BF4">
            <w:pPr>
              <w:rPr>
                <w:rFonts w:ascii="Garamond" w:hAnsi="Garamond" w:cs="Times New Roman"/>
                <w:color w:val="000000"/>
                <w:sz w:val="18"/>
                <w:szCs w:val="20"/>
                <w:lang w:val="sq-AL" w:eastAsia="ja-JP"/>
              </w:rPr>
            </w:pPr>
            <w:r w:rsidRPr="004F2AC3">
              <w:rPr>
                <w:rFonts w:ascii="Garamond" w:eastAsia="Calibri" w:hAnsi="Garamond" w:cs="Times New Roman"/>
                <w:sz w:val="18"/>
                <w:szCs w:val="20"/>
                <w:lang w:val="sq-AL"/>
              </w:rPr>
              <w:t>Klasifikimi Ndërkombëtar Standard i Profesioneve (</w:t>
            </w:r>
            <w:r w:rsidRPr="004F2AC3">
              <w:rPr>
                <w:rFonts w:ascii="Garamond" w:eastAsia="Calibri" w:hAnsi="Garamond" w:cs="Times New Roman"/>
                <w:i/>
                <w:sz w:val="18"/>
                <w:szCs w:val="20"/>
                <w:lang w:val="sq-AL"/>
              </w:rPr>
              <w:t>International Standard Classification of Occupations</w:t>
            </w:r>
            <w:r w:rsidRPr="004F2AC3">
              <w:rPr>
                <w:rFonts w:ascii="Garamond" w:eastAsia="Calibri" w:hAnsi="Garamond" w:cs="Times New Roman"/>
                <w:sz w:val="18"/>
                <w:szCs w:val="20"/>
                <w:lang w:val="sq-AL"/>
              </w:rPr>
              <w:t>)</w:t>
            </w:r>
          </w:p>
        </w:tc>
        <w:tc>
          <w:tcPr>
            <w:tcW w:w="1214" w:type="dxa"/>
            <w:vAlign w:val="center"/>
          </w:tcPr>
          <w:p w14:paraId="690B0B78" w14:textId="77777777" w:rsidR="004B57D5" w:rsidRPr="004F2AC3" w:rsidRDefault="004B57D5" w:rsidP="00B66BF4">
            <w:pPr>
              <w:rPr>
                <w:rFonts w:ascii="Garamond" w:hAnsi="Garamond" w:cs="Times New Roman"/>
                <w:color w:val="000000"/>
                <w:sz w:val="18"/>
                <w:szCs w:val="20"/>
                <w:lang w:val="sq-AL" w:eastAsia="ja-JP"/>
              </w:rPr>
            </w:pPr>
          </w:p>
        </w:tc>
        <w:tc>
          <w:tcPr>
            <w:tcW w:w="3685" w:type="dxa"/>
            <w:vAlign w:val="center"/>
          </w:tcPr>
          <w:p w14:paraId="67C3F566" w14:textId="77777777" w:rsidR="004B57D5" w:rsidRPr="004F2AC3" w:rsidRDefault="004B57D5" w:rsidP="00B66BF4">
            <w:pPr>
              <w:rPr>
                <w:rFonts w:ascii="Garamond" w:hAnsi="Garamond" w:cs="Times New Roman"/>
                <w:color w:val="000000"/>
                <w:sz w:val="18"/>
                <w:szCs w:val="20"/>
                <w:lang w:val="sq-AL" w:eastAsia="ja-JP"/>
              </w:rPr>
            </w:pPr>
          </w:p>
        </w:tc>
      </w:tr>
    </w:tbl>
    <w:p w14:paraId="15434AEC" w14:textId="77777777" w:rsidR="004B57D5" w:rsidRPr="004F2AC3" w:rsidRDefault="004B57D5" w:rsidP="004B57D5">
      <w:pPr>
        <w:rPr>
          <w:rFonts w:ascii="Times New Roman" w:hAnsi="Times New Roman" w:cs="Times New Roman"/>
        </w:rPr>
      </w:pPr>
    </w:p>
    <w:p w14:paraId="519DF2FC" w14:textId="58DC9C0C" w:rsidR="004B57D5" w:rsidRPr="004F2AC3" w:rsidRDefault="004B57D5" w:rsidP="004B57D5">
      <w:pPr>
        <w:rPr>
          <w:rFonts w:ascii="Times New Roman" w:hAnsi="Times New Roman" w:cs="Times New Roman"/>
        </w:rPr>
      </w:pPr>
    </w:p>
    <w:p w14:paraId="5260955E" w14:textId="77777777" w:rsidR="000F566F" w:rsidRPr="004F2AC3" w:rsidRDefault="000F566F" w:rsidP="000F566F">
      <w:pPr>
        <w:pStyle w:val="Heading2"/>
        <w:spacing w:before="0" w:line="240" w:lineRule="auto"/>
        <w:ind w:firstLine="284"/>
        <w:rPr>
          <w:rStyle w:val="Heading2Char"/>
          <w:rFonts w:ascii="Garamond" w:hAnsi="Garamond" w:cs="Times New Roman"/>
          <w:b/>
          <w:bCs/>
          <w:noProof w:val="0"/>
          <w:color w:val="000000" w:themeColor="text1"/>
          <w:sz w:val="24"/>
          <w:szCs w:val="24"/>
        </w:rPr>
      </w:pPr>
      <w:bookmarkStart w:id="1" w:name="_Toc215132184"/>
      <w:r w:rsidRPr="004F2AC3">
        <w:rPr>
          <w:rStyle w:val="Heading2Char"/>
          <w:rFonts w:ascii="Garamond" w:hAnsi="Garamond" w:cs="Times New Roman"/>
          <w:b/>
          <w:noProof w:val="0"/>
          <w:color w:val="000000" w:themeColor="text1"/>
          <w:sz w:val="24"/>
          <w:szCs w:val="24"/>
        </w:rPr>
        <w:t>II. Hyrje</w:t>
      </w:r>
      <w:bookmarkEnd w:id="1"/>
    </w:p>
    <w:p w14:paraId="1B7C3DE0" w14:textId="109E5261" w:rsidR="000F566F" w:rsidRPr="004F2AC3" w:rsidRDefault="000F566F" w:rsidP="000F566F">
      <w:pPr>
        <w:shd w:val="clear" w:color="auto" w:fill="FFFFFF" w:themeFill="background1"/>
        <w:tabs>
          <w:tab w:val="left" w:pos="720"/>
          <w:tab w:val="left" w:pos="810"/>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Plani Vjetor 2026 i paraqitet për miratim Kuvendit të Shqipërisë në zbatim të neneve 9 dhe 10</w:t>
      </w:r>
      <w:r w:rsidR="000C66E1"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w:t>
      </w:r>
      <w:r w:rsidR="000C66E1" w:rsidRPr="004F2AC3">
        <w:rPr>
          <w:rFonts w:ascii="Garamond" w:hAnsi="Garamond" w:cs="Times New Roman"/>
          <w:color w:val="000000" w:themeColor="text1"/>
          <w:sz w:val="24"/>
          <w:szCs w:val="24"/>
        </w:rPr>
        <w:t>l</w:t>
      </w:r>
      <w:r w:rsidRPr="004F2AC3">
        <w:rPr>
          <w:rFonts w:ascii="Garamond" w:hAnsi="Garamond" w:cs="Times New Roman"/>
          <w:color w:val="000000" w:themeColor="text1"/>
          <w:sz w:val="24"/>
          <w:szCs w:val="24"/>
        </w:rPr>
        <w:t>igjit nr. 17/2018</w:t>
      </w:r>
      <w:r w:rsidR="000C66E1"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statistikat zyrtare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Dokumenti shërben për parashikimin e veprimtarive statistikore në përmbushje të objektivave strategjikë dhe rezultateve të pritshme të parashikuara në Ligjin nr. 30/2022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miratimin e Programit të Statistikave Zyrtare 2022</w:t>
      </w:r>
      <w:r w:rsidR="000C66E1" w:rsidRPr="004F2AC3">
        <w:rPr>
          <w:rFonts w:ascii="Garamond" w:hAnsi="Garamond"/>
          <w:sz w:val="24"/>
          <w:szCs w:val="24"/>
        </w:rPr>
        <w:t>–</w:t>
      </w:r>
      <w:r w:rsidRPr="004F2AC3">
        <w:rPr>
          <w:rFonts w:ascii="Garamond" w:hAnsi="Garamond" w:cs="Times New Roman"/>
          <w:color w:val="000000" w:themeColor="text1"/>
          <w:sz w:val="24"/>
          <w:szCs w:val="24"/>
        </w:rPr>
        <w:t>2026</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w:t>
      </w:r>
    </w:p>
    <w:p w14:paraId="085E84EF" w14:textId="2BA6039B" w:rsidR="000F566F" w:rsidRPr="004F2AC3" w:rsidRDefault="000F566F" w:rsidP="000F566F">
      <w:pPr>
        <w:shd w:val="clear" w:color="auto" w:fill="FFFFFF" w:themeFill="background1"/>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Dokumenti paraqet aktivitetet statistikore që do të kryhen nga Sistemi Kombëtar Statistikor, INSTAT</w:t>
      </w:r>
      <w:r w:rsidR="00685F9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Banka e Shqipërisë, Ministria e Financave, dhe Agjencia Kombëtare e Burimeve Natyrore gjatë vitit 2026, sipas fushave përkatëse statistikore që mbulojnë, afatet dhe periodicitetet e zbatimit, si dhe indikatorët që do të prodhohen nga zbatimi i këtyre aktiviteteve. Në të njëjtën linjë paraqiten edhe institucionet përgjegjëse për dhënien e informacionit statistikor dhe frekuenca e transmetimit të këtij informacioni. Sipas kërkesave të ligjit për statistikat zyrtare, me qëllim që të sigurohet mbarëvajtja e veprimtarive të parashikuara dhe parandalimi i risqeve të mundshme, dokumenti përmban një analizë të risqeve dhe problemeve të pritshme gjatë vitit 2026.</w:t>
      </w:r>
    </w:p>
    <w:p w14:paraId="2D1E6E09" w14:textId="6FCC179B" w:rsidR="000F566F" w:rsidRPr="004F2AC3" w:rsidRDefault="000F566F" w:rsidP="000F566F">
      <w:pPr>
        <w:shd w:val="clear" w:color="auto" w:fill="FFFFFF" w:themeFill="background1"/>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Plani Vjetor 2026 është në përputhje me dokumentin e ngjashëm, i cili aplikohet nga vendet e tjera, anëtare të BE-së, mbështetur në nenin 17 të Rregullores (KE) 223/2009 të Parlamentit Evropian dhe të Këshillit, datë 11 mars 2009</w:t>
      </w:r>
      <w:r w:rsidR="00685F9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Mbi statistikat evropiane, e cila shfuqizon Rregulloren (KE, Euroatom), </w:t>
      </w:r>
      <w:r w:rsidR="00685F92"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 1101/2008</w:t>
      </w:r>
      <w:r w:rsidR="00685F9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Parlamentit </w:t>
      </w:r>
      <w:r w:rsidR="00685F92" w:rsidRPr="004F2AC3">
        <w:rPr>
          <w:rFonts w:ascii="Garamond" w:hAnsi="Garamond" w:cs="Times New Roman"/>
          <w:color w:val="000000" w:themeColor="text1"/>
          <w:sz w:val="24"/>
          <w:szCs w:val="24"/>
        </w:rPr>
        <w:t>Evropian</w:t>
      </w:r>
      <w:r w:rsidRPr="004F2AC3">
        <w:rPr>
          <w:rFonts w:ascii="Garamond" w:hAnsi="Garamond" w:cs="Times New Roman"/>
          <w:color w:val="000000" w:themeColor="text1"/>
          <w:sz w:val="24"/>
          <w:szCs w:val="24"/>
        </w:rPr>
        <w:t xml:space="preserve"> dhe të Këshillit</w:t>
      </w:r>
      <w:r w:rsidR="00685F9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mbi dërgimin e të dhënave, të cilat i nënshtrohen konfidencialitetit statistikor, Zyrës Statistikore të Komuniteteve Evropiane, Rregullores së Këshillit (KE) </w:t>
      </w:r>
      <w:r w:rsidR="00685F92"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r. 322/97, </w:t>
      </w:r>
      <w:r w:rsidR="00685F92" w:rsidRPr="004F2AC3">
        <w:rPr>
          <w:rFonts w:ascii="Garamond" w:hAnsi="Garamond" w:cs="Times New Roman"/>
          <w:color w:val="000000" w:themeColor="text1"/>
          <w:sz w:val="24"/>
          <w:szCs w:val="24"/>
        </w:rPr>
        <w:t xml:space="preserve">mbi </w:t>
      </w:r>
      <w:r w:rsidRPr="004F2AC3">
        <w:rPr>
          <w:rFonts w:ascii="Garamond" w:hAnsi="Garamond" w:cs="Times New Roman"/>
          <w:color w:val="000000" w:themeColor="text1"/>
          <w:sz w:val="24"/>
          <w:szCs w:val="24"/>
        </w:rPr>
        <w:t xml:space="preserve">Statistikat e Komunitetit dhe </w:t>
      </w:r>
      <w:r w:rsidR="00685F92" w:rsidRPr="004F2AC3">
        <w:rPr>
          <w:rFonts w:ascii="Garamond" w:hAnsi="Garamond" w:cs="Times New Roman"/>
          <w:color w:val="000000" w:themeColor="text1"/>
          <w:sz w:val="24"/>
          <w:szCs w:val="24"/>
        </w:rPr>
        <w:t xml:space="preserve">vendimin </w:t>
      </w:r>
      <w:r w:rsidRPr="004F2AC3">
        <w:rPr>
          <w:rFonts w:ascii="Garamond" w:hAnsi="Garamond" w:cs="Times New Roman"/>
          <w:color w:val="000000" w:themeColor="text1"/>
          <w:sz w:val="24"/>
          <w:szCs w:val="24"/>
        </w:rPr>
        <w:t>e Këshillit 89/382/EEC, Euroatom për krijimin e një komisioni mbi programet statistikore të Komuniteteve Evropiane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p>
    <w:p w14:paraId="0370255E" w14:textId="53DA0256" w:rsidR="000F566F" w:rsidRPr="004F2AC3" w:rsidRDefault="000F566F" w:rsidP="000F566F">
      <w:pPr>
        <w:shd w:val="clear" w:color="auto" w:fill="FFFFFF" w:themeFill="background1"/>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Legjislacioni shqiptar për statistikat zyrtare parashikon </w:t>
      </w:r>
      <w:r w:rsidR="009C1641" w:rsidRPr="004F2AC3">
        <w:rPr>
          <w:rFonts w:ascii="Garamond" w:hAnsi="Garamond" w:cs="Times New Roman"/>
          <w:color w:val="000000" w:themeColor="text1"/>
          <w:sz w:val="24"/>
          <w:szCs w:val="24"/>
        </w:rPr>
        <w:t>instrumentet</w:t>
      </w:r>
      <w:r w:rsidRPr="004F2AC3">
        <w:rPr>
          <w:rFonts w:ascii="Garamond" w:hAnsi="Garamond" w:cs="Times New Roman"/>
          <w:color w:val="000000" w:themeColor="text1"/>
          <w:sz w:val="24"/>
          <w:szCs w:val="24"/>
        </w:rPr>
        <w:t xml:space="preserve"> e monitorimit të zbatimit të Planit Vjetor. Drejtori i </w:t>
      </w:r>
      <w:r w:rsidR="00685F92" w:rsidRPr="004F2AC3">
        <w:rPr>
          <w:rFonts w:ascii="Garamond" w:hAnsi="Garamond" w:cs="Times New Roman"/>
          <w:color w:val="000000" w:themeColor="text1"/>
          <w:sz w:val="24"/>
          <w:szCs w:val="24"/>
        </w:rPr>
        <w:t xml:space="preserve">përgjithshëm </w:t>
      </w:r>
      <w:r w:rsidRPr="004F2AC3">
        <w:rPr>
          <w:rFonts w:ascii="Garamond" w:hAnsi="Garamond" w:cs="Times New Roman"/>
          <w:color w:val="000000" w:themeColor="text1"/>
          <w:sz w:val="24"/>
          <w:szCs w:val="24"/>
        </w:rPr>
        <w:t>i INSTAT</w:t>
      </w:r>
      <w:r w:rsidR="00685F92" w:rsidRPr="004F2AC3">
        <w:rPr>
          <w:rFonts w:ascii="Garamond" w:hAnsi="Garamond" w:cs="Times New Roman"/>
          <w:color w:val="000000" w:themeColor="text1"/>
          <w:sz w:val="24"/>
          <w:szCs w:val="24"/>
        </w:rPr>
        <w:t>-it</w:t>
      </w:r>
      <w:r w:rsidRPr="004F2AC3">
        <w:rPr>
          <w:rFonts w:ascii="Garamond" w:hAnsi="Garamond" w:cs="Times New Roman"/>
          <w:color w:val="000000" w:themeColor="text1"/>
          <w:sz w:val="24"/>
          <w:szCs w:val="24"/>
        </w:rPr>
        <w:t xml:space="preserve"> duhet </w:t>
      </w:r>
      <w:r w:rsidR="00C221AA" w:rsidRPr="004F2AC3">
        <w:rPr>
          <w:rFonts w:ascii="Garamond" w:hAnsi="Garamond" w:cs="Times New Roman"/>
          <w:color w:val="000000" w:themeColor="text1"/>
          <w:sz w:val="24"/>
          <w:szCs w:val="24"/>
        </w:rPr>
        <w:t>t’i</w:t>
      </w:r>
      <w:r w:rsidRPr="004F2AC3">
        <w:rPr>
          <w:rFonts w:ascii="Garamond" w:hAnsi="Garamond" w:cs="Times New Roman"/>
          <w:color w:val="000000" w:themeColor="text1"/>
          <w:sz w:val="24"/>
          <w:szCs w:val="24"/>
        </w:rPr>
        <w:t xml:space="preserve"> paraqesë Këshillit të Statistikave raporte 4-mujore, ndërsa Kuvendi i Shqipërisë diskuton raportin vjetor të ecurisë së Planit Vjetor</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 xml:space="preserve">mbi veprimtarinë e INSTAT-it dhe Sistemit Kombëtar Statistikor. Instrumente të tjera monitoruese të rëndësishme janë ndjekja e rekomandimeve të dala nga raportet vjetore të BE-së për ecurinë e nivelit të përputhshmërisë së </w:t>
      </w:r>
      <w:r w:rsidR="00685F92" w:rsidRPr="004F2AC3">
        <w:rPr>
          <w:rFonts w:ascii="Garamond" w:hAnsi="Garamond" w:cs="Times New Roman"/>
          <w:color w:val="000000" w:themeColor="text1"/>
          <w:sz w:val="24"/>
          <w:szCs w:val="24"/>
        </w:rPr>
        <w:t xml:space="preserve">kapitullit </w:t>
      </w:r>
      <w:r w:rsidRPr="004F2AC3">
        <w:rPr>
          <w:rFonts w:ascii="Garamond" w:hAnsi="Garamond" w:cs="Times New Roman"/>
          <w:color w:val="000000" w:themeColor="text1"/>
          <w:sz w:val="24"/>
          <w:szCs w:val="24"/>
        </w:rPr>
        <w:t xml:space="preserve">18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Statistikat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në vendin tonë.</w:t>
      </w:r>
    </w:p>
    <w:p w14:paraId="00562F50" w14:textId="143D8867" w:rsidR="000F566F" w:rsidRPr="004F2AC3" w:rsidRDefault="000F566F" w:rsidP="000F566F">
      <w:pPr>
        <w:shd w:val="clear" w:color="auto" w:fill="FFFFFF" w:themeFill="background1"/>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Viti 2026 e gjen Sistemin Kombëtar Statistikor në një fazë të re zhvillimi drejt përafrimit të standardeve evropiane. Në muajin </w:t>
      </w:r>
      <w:r w:rsidR="00685F92" w:rsidRPr="004F2AC3">
        <w:rPr>
          <w:rFonts w:ascii="Garamond" w:hAnsi="Garamond" w:cs="Times New Roman"/>
          <w:color w:val="000000" w:themeColor="text1"/>
          <w:sz w:val="24"/>
          <w:szCs w:val="24"/>
        </w:rPr>
        <w:t xml:space="preserve">mars </w:t>
      </w:r>
      <w:r w:rsidRPr="004F2AC3">
        <w:rPr>
          <w:rFonts w:ascii="Garamond" w:hAnsi="Garamond" w:cs="Times New Roman"/>
          <w:color w:val="000000" w:themeColor="text1"/>
          <w:sz w:val="24"/>
          <w:szCs w:val="24"/>
        </w:rPr>
        <w:t>2026 një ekip ekspertësh të pavarur, së bashku me Eurostatin do të zhvillojnë në Shqipëri procesin e vlerësimit të sistemit, për të dhënë më tej rekomandimet përkatëse përmirësuese. Aktivitetet zbatuese të rekomandimeve do të përfshijnë forcimin e kuadrit ligjor dhe institucional, modernizimin e infrastrukturës prodhuese dhe forcimin e bashkëpunimit me grupet e interesit.</w:t>
      </w:r>
      <w:r w:rsidR="00684E85" w:rsidRPr="004F2AC3">
        <w:rPr>
          <w:rFonts w:ascii="Garamond" w:hAnsi="Garamond" w:cs="Times New Roman"/>
          <w:color w:val="000000" w:themeColor="text1"/>
          <w:sz w:val="24"/>
          <w:szCs w:val="24"/>
        </w:rPr>
        <w:t xml:space="preserve"> </w:t>
      </w:r>
    </w:p>
    <w:p w14:paraId="0561D154"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Për të rritur transparencën dhe besueshmërinë e publikut në statistikat zyrtare, përveç botimit në Fletoren Zyrtare, Plani Vjetor publikohet edhe në faqen zyrtare të INSTAT-it. Gjithashtu, në faqen elektronike zyrtare publikohen raportet 4-mujore për zbatimin e planit.</w:t>
      </w:r>
    </w:p>
    <w:p w14:paraId="1586207C" w14:textId="5F85E50F" w:rsidR="000F566F" w:rsidRPr="004F2AC3" w:rsidRDefault="000F566F" w:rsidP="000F566F">
      <w:pPr>
        <w:pStyle w:val="Heading1"/>
        <w:shd w:val="clear" w:color="auto" w:fill="FFFFFF" w:themeFill="background1"/>
        <w:spacing w:before="0" w:line="240" w:lineRule="auto"/>
        <w:ind w:firstLine="284"/>
        <w:rPr>
          <w:rStyle w:val="Heading2Char"/>
          <w:rFonts w:ascii="Garamond" w:hAnsi="Garamond" w:cs="Times New Roman"/>
          <w:bCs w:val="0"/>
          <w:noProof w:val="0"/>
          <w:color w:val="000000" w:themeColor="text1"/>
          <w:sz w:val="24"/>
          <w:szCs w:val="24"/>
        </w:rPr>
      </w:pPr>
      <w:bookmarkStart w:id="2" w:name="_Toc215132185"/>
      <w:r w:rsidRPr="004F2AC3">
        <w:rPr>
          <w:rStyle w:val="Heading2Char"/>
          <w:rFonts w:ascii="Garamond" w:hAnsi="Garamond" w:cs="Times New Roman"/>
          <w:bCs w:val="0"/>
          <w:noProof w:val="0"/>
          <w:color w:val="000000" w:themeColor="text1"/>
          <w:sz w:val="24"/>
          <w:szCs w:val="24"/>
        </w:rPr>
        <w:t xml:space="preserve">III. Objektivat </w:t>
      </w:r>
      <w:r w:rsidR="00685F92" w:rsidRPr="004F2AC3">
        <w:rPr>
          <w:rStyle w:val="Heading2Char"/>
          <w:rFonts w:ascii="Garamond" w:hAnsi="Garamond" w:cs="Times New Roman"/>
          <w:bCs w:val="0"/>
          <w:noProof w:val="0"/>
          <w:color w:val="000000" w:themeColor="text1"/>
          <w:sz w:val="24"/>
          <w:szCs w:val="24"/>
        </w:rPr>
        <w:t>zhvillimorë</w:t>
      </w:r>
      <w:bookmarkEnd w:id="2"/>
    </w:p>
    <w:p w14:paraId="5598DFCB" w14:textId="3874180C" w:rsidR="000F566F" w:rsidRPr="004F2AC3" w:rsidRDefault="000F566F" w:rsidP="000F566F">
      <w:pPr>
        <w:shd w:val="clear" w:color="auto" w:fill="FFFFFF" w:themeFill="background1"/>
        <w:tabs>
          <w:tab w:val="left" w:pos="720"/>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Objektivat zhvillimorë të Sistemit Kombëtar Statistikor, të parashikuar në Programin e Statistikave Zyrtare 2022</w:t>
      </w:r>
      <w:r w:rsidR="00685F92" w:rsidRPr="004F2AC3">
        <w:rPr>
          <w:rFonts w:ascii="Garamond" w:hAnsi="Garamond"/>
          <w:sz w:val="24"/>
          <w:szCs w:val="24"/>
        </w:rPr>
        <w:t>–</w:t>
      </w:r>
      <w:r w:rsidRPr="004F2AC3">
        <w:rPr>
          <w:rFonts w:ascii="Garamond" w:hAnsi="Garamond" w:cs="Times New Roman"/>
          <w:color w:val="000000" w:themeColor="text1"/>
          <w:sz w:val="24"/>
          <w:szCs w:val="24"/>
        </w:rPr>
        <w:t>2026 dhe masat prioritare janë:</w:t>
      </w:r>
    </w:p>
    <w:p w14:paraId="64CE4D6B"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noProof/>
          <w:color w:val="000000" w:themeColor="text1"/>
          <w:sz w:val="24"/>
          <w:szCs w:val="24"/>
          <w:lang w:eastAsia="sq-AL"/>
        </w:rPr>
        <w:drawing>
          <wp:inline distT="0" distB="0" distL="0" distR="0" wp14:anchorId="16B74C7D" wp14:editId="2E7D4139">
            <wp:extent cx="5285105" cy="5646906"/>
            <wp:effectExtent l="0" t="0" r="10795" b="1143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97CDBC9"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color w:val="000000" w:themeColor="text1"/>
          <w:sz w:val="24"/>
          <w:szCs w:val="24"/>
        </w:rPr>
      </w:pPr>
    </w:p>
    <w:p w14:paraId="260886A9" w14:textId="7F3B564E" w:rsidR="000F566F" w:rsidRPr="004F2AC3" w:rsidRDefault="000F566F" w:rsidP="000F566F">
      <w:pPr>
        <w:shd w:val="clear" w:color="auto" w:fill="FFFFFF" w:themeFill="background1"/>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Për të matur performancën e Sistemit Kombëtar Statistikor në drejtim të zbatimit të këtyre objektivave dhe në përputhje me parashikimet e Programit të Statistikave Zyrtare 2022</w:t>
      </w:r>
      <w:r w:rsidR="009A3C16" w:rsidRPr="004F2AC3">
        <w:rPr>
          <w:rFonts w:ascii="Garamond" w:hAnsi="Garamond"/>
          <w:sz w:val="24"/>
          <w:szCs w:val="24"/>
        </w:rPr>
        <w:t>–</w:t>
      </w:r>
      <w:r w:rsidRPr="004F2AC3">
        <w:rPr>
          <w:rFonts w:ascii="Garamond" w:hAnsi="Garamond" w:cs="Times New Roman"/>
          <w:color w:val="000000" w:themeColor="text1"/>
          <w:sz w:val="24"/>
          <w:szCs w:val="24"/>
        </w:rPr>
        <w:t xml:space="preserve">2026, janë përcaktuar treguesit kyç të performancës me vlerat për vitin bazë 2022 dhe pritshmëritë për vitin 2026. </w:t>
      </w:r>
    </w:p>
    <w:p w14:paraId="3022D6AA"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Tabelat e mëposhtme paraqesin këtë informacion për secilin objektiv zhvillimor dhe parashikimet për vitin 2026.</w:t>
      </w:r>
    </w:p>
    <w:p w14:paraId="4392065C"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color w:val="000000" w:themeColor="text1"/>
          <w:sz w:val="24"/>
          <w:szCs w:val="24"/>
        </w:rPr>
      </w:pPr>
    </w:p>
    <w:p w14:paraId="540ABFA7" w14:textId="29668918" w:rsidR="000F566F" w:rsidRPr="004F2AC3" w:rsidRDefault="000F566F" w:rsidP="000F566F">
      <w:pPr>
        <w:shd w:val="clear" w:color="auto" w:fill="FFFFFF" w:themeFill="background1"/>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1</w:t>
      </w:r>
      <w:r w:rsidR="007B15A6"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Objektivi </w:t>
      </w:r>
      <w:r w:rsidR="007B15A6" w:rsidRPr="004F2AC3">
        <w:rPr>
          <w:rFonts w:ascii="Garamond" w:hAnsi="Garamond" w:cs="Times New Roman"/>
          <w:b/>
          <w:color w:val="000000" w:themeColor="text1"/>
          <w:sz w:val="24"/>
          <w:szCs w:val="24"/>
        </w:rPr>
        <w:t xml:space="preserve">strategjik </w:t>
      </w:r>
      <w:r w:rsidRPr="004F2AC3">
        <w:rPr>
          <w:rFonts w:ascii="Garamond" w:hAnsi="Garamond" w:cs="Times New Roman"/>
          <w:b/>
          <w:color w:val="000000" w:themeColor="text1"/>
          <w:sz w:val="24"/>
          <w:szCs w:val="24"/>
        </w:rPr>
        <w:t>1, aktivitetet statistikore dhe treguesit e performancës</w:t>
      </w:r>
    </w:p>
    <w:tbl>
      <w:tblPr>
        <w:tblStyle w:val="LightList-Accent111"/>
        <w:tblpPr w:leftFromText="180" w:rightFromText="180" w:vertAnchor="text" w:horzAnchor="margin" w:tblpXSpec="center" w:tblpY="41"/>
        <w:tblW w:w="0" w:type="auto"/>
        <w:tblBorders>
          <w:top w:val="none" w:sz="0" w:space="0" w:color="auto"/>
          <w:insideH w:val="single" w:sz="8" w:space="0" w:color="4F81BD"/>
          <w:insideV w:val="single" w:sz="8" w:space="0" w:color="4F81BD"/>
        </w:tblBorders>
        <w:tblLook w:val="04A0" w:firstRow="1" w:lastRow="0" w:firstColumn="1" w:lastColumn="0" w:noHBand="0" w:noVBand="1"/>
      </w:tblPr>
      <w:tblGrid>
        <w:gridCol w:w="2988"/>
        <w:gridCol w:w="2264"/>
        <w:gridCol w:w="2108"/>
        <w:gridCol w:w="1011"/>
        <w:gridCol w:w="1211"/>
      </w:tblGrid>
      <w:tr w:rsidR="000F566F" w:rsidRPr="004F2AC3" w14:paraId="4AAA837E" w14:textId="77777777" w:rsidTr="007B15A6">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674767" w14:textId="77777777" w:rsidR="000F566F" w:rsidRPr="004F2AC3" w:rsidRDefault="000F566F" w:rsidP="00994235">
            <w:pPr>
              <w:jc w:val="center"/>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Objektivat strategjikë</w:t>
            </w:r>
          </w:p>
        </w:tc>
        <w:tc>
          <w:tcPr>
            <w:tcW w:w="0" w:type="auto"/>
            <w:vAlign w:val="center"/>
          </w:tcPr>
          <w:p w14:paraId="042B1D2D" w14:textId="77777777" w:rsidR="000F566F" w:rsidRPr="004F2AC3" w:rsidRDefault="000F566F" w:rsidP="00994235">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Objektiva specifikë</w:t>
            </w:r>
          </w:p>
        </w:tc>
        <w:tc>
          <w:tcPr>
            <w:tcW w:w="0" w:type="auto"/>
            <w:vAlign w:val="center"/>
          </w:tcPr>
          <w:p w14:paraId="050B0A43" w14:textId="3CD88652" w:rsidR="000F566F" w:rsidRPr="004F2AC3" w:rsidRDefault="000F566F" w:rsidP="00994235">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rPr>
            </w:pPr>
            <w:r w:rsidRPr="004F2AC3">
              <w:rPr>
                <w:rFonts w:ascii="Garamond" w:hAnsi="Garamond"/>
                <w:color w:val="000000" w:themeColor="text1"/>
                <w:sz w:val="16"/>
                <w:szCs w:val="16"/>
                <w:lang w:val="sq-AL" w:eastAsia="en-GB"/>
              </w:rPr>
              <w:t>Treguesit</w:t>
            </w:r>
            <w:r w:rsidR="009C1641" w:rsidRPr="004F2AC3">
              <w:rPr>
                <w:rFonts w:ascii="Garamond" w:hAnsi="Garamond"/>
                <w:color w:val="000000" w:themeColor="text1"/>
                <w:sz w:val="16"/>
                <w:szCs w:val="16"/>
                <w:lang w:val="sq-AL" w:eastAsia="en-GB"/>
              </w:rPr>
              <w:t xml:space="preserve"> </w:t>
            </w:r>
            <w:r w:rsidRPr="004F2AC3">
              <w:rPr>
                <w:rFonts w:ascii="Garamond" w:hAnsi="Garamond"/>
                <w:color w:val="000000" w:themeColor="text1"/>
                <w:sz w:val="16"/>
                <w:szCs w:val="16"/>
                <w:lang w:val="sq-AL" w:eastAsia="en-GB"/>
              </w:rPr>
              <w:t>e performancës</w:t>
            </w:r>
          </w:p>
        </w:tc>
        <w:tc>
          <w:tcPr>
            <w:tcW w:w="0" w:type="auto"/>
            <w:vAlign w:val="center"/>
          </w:tcPr>
          <w:p w14:paraId="139567B0"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rPr>
            </w:pPr>
            <w:r w:rsidRPr="004F2AC3">
              <w:rPr>
                <w:rFonts w:ascii="Garamond" w:hAnsi="Garamond"/>
                <w:color w:val="000000" w:themeColor="text1"/>
                <w:sz w:val="16"/>
                <w:szCs w:val="16"/>
                <w:lang w:val="sq-AL" w:eastAsia="en-GB"/>
              </w:rPr>
              <w:t>Vlerat për vitin bazë 2022</w:t>
            </w:r>
          </w:p>
        </w:tc>
        <w:tc>
          <w:tcPr>
            <w:tcW w:w="0" w:type="auto"/>
            <w:vAlign w:val="center"/>
          </w:tcPr>
          <w:p w14:paraId="65B77904"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2026</w:t>
            </w:r>
          </w:p>
        </w:tc>
      </w:tr>
      <w:tr w:rsidR="000F566F" w:rsidRPr="004F2AC3" w14:paraId="1063B9E0" w14:textId="77777777" w:rsidTr="007B15A6">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0A8347FA" w14:textId="77777777" w:rsidR="000F566F" w:rsidRPr="004F2AC3" w:rsidRDefault="000F566F" w:rsidP="00994235">
            <w:pPr>
              <w:shd w:val="clear" w:color="auto" w:fill="FFFFFF"/>
              <w:autoSpaceDE w:val="0"/>
              <w:autoSpaceDN w:val="0"/>
              <w:adjustRightInd w:val="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 xml:space="preserve">Objektivi strategjik 1: </w:t>
            </w:r>
          </w:p>
          <w:p w14:paraId="696CF512" w14:textId="1EA99085" w:rsidR="000F566F" w:rsidRPr="004F2AC3" w:rsidRDefault="000F566F" w:rsidP="00994235">
            <w:pPr>
              <w:shd w:val="clear" w:color="auto" w:fill="FFFFFF"/>
              <w:rPr>
                <w:rFonts w:ascii="Garamond" w:hAnsi="Garamond"/>
                <w:color w:val="000000" w:themeColor="text1"/>
                <w:sz w:val="16"/>
                <w:szCs w:val="16"/>
                <w:lang w:val="sq-AL"/>
              </w:rPr>
            </w:pPr>
            <w:r w:rsidRPr="004F2AC3">
              <w:rPr>
                <w:rFonts w:ascii="Garamond" w:eastAsia="Times New Roman" w:hAnsi="Garamond"/>
                <w:color w:val="000000" w:themeColor="text1"/>
                <w:sz w:val="16"/>
                <w:szCs w:val="16"/>
                <w:lang w:val="sq-AL"/>
              </w:rPr>
              <w:t>Zhvillimi i SKS</w:t>
            </w:r>
            <w:r w:rsidR="007B15A6" w:rsidRPr="004F2AC3">
              <w:rPr>
                <w:rFonts w:ascii="Garamond" w:eastAsia="Times New Roman" w:hAnsi="Garamond"/>
                <w:color w:val="000000" w:themeColor="text1"/>
                <w:sz w:val="16"/>
                <w:szCs w:val="16"/>
                <w:lang w:val="sq-AL"/>
              </w:rPr>
              <w:t>-së</w:t>
            </w:r>
            <w:r w:rsidRPr="004F2AC3">
              <w:rPr>
                <w:rFonts w:ascii="Garamond" w:eastAsia="Times New Roman" w:hAnsi="Garamond"/>
                <w:color w:val="000000" w:themeColor="text1"/>
                <w:sz w:val="16"/>
                <w:szCs w:val="16"/>
                <w:lang w:val="sq-AL"/>
              </w:rPr>
              <w:t xml:space="preserve"> për të përmbushur plotësisht </w:t>
            </w:r>
            <w:r w:rsidRPr="004F2AC3">
              <w:rPr>
                <w:rFonts w:ascii="Garamond" w:eastAsia="Times New Roman" w:hAnsi="Garamond"/>
                <w:i/>
                <w:color w:val="000000" w:themeColor="text1"/>
                <w:sz w:val="16"/>
                <w:szCs w:val="16"/>
                <w:lang w:val="sq-AL"/>
              </w:rPr>
              <w:t>acquis communautaire</w:t>
            </w:r>
            <w:r w:rsidR="007B15A6" w:rsidRPr="004F2AC3">
              <w:rPr>
                <w:rFonts w:ascii="Garamond" w:eastAsia="Times New Roman" w:hAnsi="Garamond"/>
                <w:i/>
                <w:color w:val="000000" w:themeColor="text1"/>
                <w:sz w:val="16"/>
                <w:szCs w:val="16"/>
                <w:lang w:val="sq-AL"/>
              </w:rPr>
              <w:t>,</w:t>
            </w:r>
            <w:r w:rsidRPr="004F2AC3">
              <w:rPr>
                <w:rFonts w:ascii="Garamond" w:eastAsia="Times New Roman" w:hAnsi="Garamond"/>
                <w:color w:val="000000" w:themeColor="text1"/>
                <w:sz w:val="16"/>
                <w:szCs w:val="16"/>
                <w:lang w:val="sq-AL"/>
              </w:rPr>
              <w:t xml:space="preserve"> lidhur me statistikat dhe të mbështesë plotësisht procesin e integrimit Evropian</w:t>
            </w:r>
          </w:p>
        </w:tc>
        <w:tc>
          <w:tcPr>
            <w:tcW w:w="0" w:type="auto"/>
            <w:vMerge w:val="restart"/>
            <w:vAlign w:val="center"/>
          </w:tcPr>
          <w:p w14:paraId="140296AC" w14:textId="323E326C"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 xml:space="preserve">1.1 Të përcaktojë kërkesat prioritare që do të mundësojnë progresin drejt </w:t>
            </w:r>
            <w:r w:rsidRPr="004F2AC3">
              <w:rPr>
                <w:rFonts w:ascii="Garamond" w:hAnsi="Garamond"/>
                <w:i/>
                <w:color w:val="000000" w:themeColor="text1"/>
                <w:sz w:val="16"/>
                <w:szCs w:val="16"/>
                <w:lang w:val="sq-AL" w:eastAsia="en-GB"/>
              </w:rPr>
              <w:t>acquis</w:t>
            </w:r>
            <w:r w:rsidR="007B15A6" w:rsidRPr="004F2AC3">
              <w:rPr>
                <w:rFonts w:ascii="Garamond" w:hAnsi="Garamond"/>
                <w:i/>
                <w:color w:val="000000" w:themeColor="text1"/>
                <w:sz w:val="16"/>
                <w:szCs w:val="16"/>
                <w:lang w:val="sq-AL" w:eastAsia="en-GB"/>
              </w:rPr>
              <w:t>.</w:t>
            </w:r>
          </w:p>
          <w:p w14:paraId="425B03E0" w14:textId="5E3C6FD1"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1.2 Të sigurojë pavarësinë profesionale të të gjithë prodhuesve të statistikave zyrtare dhe zbatimin e parimeve statistikore</w:t>
            </w:r>
            <w:r w:rsidR="007B15A6" w:rsidRPr="004F2AC3">
              <w:rPr>
                <w:rFonts w:ascii="Garamond" w:hAnsi="Garamond"/>
                <w:color w:val="000000" w:themeColor="text1"/>
                <w:sz w:val="16"/>
                <w:szCs w:val="16"/>
                <w:lang w:val="sq-AL" w:eastAsia="en-GB"/>
              </w:rPr>
              <w:t>.</w:t>
            </w:r>
          </w:p>
          <w:p w14:paraId="70093BCB" w14:textId="09BB58FD" w:rsidR="000F566F" w:rsidRPr="004F2AC3" w:rsidRDefault="000F566F" w:rsidP="007B15A6">
            <w:pPr>
              <w:shd w:val="clear" w:color="auto" w:fill="FFFFFF"/>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rPr>
            </w:pPr>
            <w:r w:rsidRPr="004F2AC3">
              <w:rPr>
                <w:rFonts w:ascii="Garamond" w:hAnsi="Garamond"/>
                <w:color w:val="000000" w:themeColor="text1"/>
                <w:sz w:val="16"/>
                <w:szCs w:val="16"/>
                <w:lang w:val="sq-AL" w:eastAsia="en-GB"/>
              </w:rPr>
              <w:t>1.3 Prodhimi i indikatorëve përkatës sipas specifikimeve të përcaktuara nga Eurostat-i</w:t>
            </w:r>
            <w:r w:rsidR="007B15A6" w:rsidRPr="004F2AC3">
              <w:rPr>
                <w:rFonts w:ascii="Garamond" w:hAnsi="Garamond"/>
                <w:color w:val="000000" w:themeColor="text1"/>
                <w:sz w:val="16"/>
                <w:szCs w:val="16"/>
                <w:lang w:val="sq-AL" w:eastAsia="en-GB"/>
              </w:rPr>
              <w:t>.</w:t>
            </w:r>
          </w:p>
        </w:tc>
        <w:tc>
          <w:tcPr>
            <w:tcW w:w="0" w:type="auto"/>
            <w:vAlign w:val="center"/>
          </w:tcPr>
          <w:p w14:paraId="64979FA3" w14:textId="6CD383D0"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1.1 Numri i të dhënave (</w:t>
            </w:r>
            <w:r w:rsidRPr="004F2AC3">
              <w:rPr>
                <w:rFonts w:ascii="Garamond" w:eastAsia="Times New Roman" w:hAnsi="Garamond"/>
                <w:i/>
                <w:color w:val="000000" w:themeColor="text1"/>
                <w:sz w:val="16"/>
                <w:szCs w:val="16"/>
                <w:lang w:val="sq-AL"/>
              </w:rPr>
              <w:t>data points</w:t>
            </w:r>
            <w:r w:rsidRPr="004F2AC3">
              <w:rPr>
                <w:rFonts w:ascii="Garamond" w:eastAsia="Times New Roman" w:hAnsi="Garamond"/>
                <w:color w:val="000000" w:themeColor="text1"/>
                <w:sz w:val="16"/>
                <w:szCs w:val="16"/>
                <w:lang w:val="sq-AL"/>
              </w:rPr>
              <w:t>) të shfaqura në databazën statistikore të Eurostat-it për Shqipërinë</w:t>
            </w:r>
            <w:r w:rsidR="007B15A6" w:rsidRPr="004F2AC3">
              <w:rPr>
                <w:rFonts w:ascii="Garamond" w:eastAsia="Times New Roman" w:hAnsi="Garamond"/>
                <w:color w:val="000000" w:themeColor="text1"/>
                <w:sz w:val="16"/>
                <w:szCs w:val="16"/>
                <w:lang w:val="sq-AL"/>
              </w:rPr>
              <w:t>.</w:t>
            </w:r>
          </w:p>
        </w:tc>
        <w:tc>
          <w:tcPr>
            <w:tcW w:w="0" w:type="auto"/>
            <w:vAlign w:val="center"/>
          </w:tcPr>
          <w:p w14:paraId="27D413A6" w14:textId="77777777" w:rsidR="000F566F" w:rsidRPr="004F2AC3" w:rsidRDefault="000F566F" w:rsidP="00994235">
            <w:pPr>
              <w:shd w:val="clear" w:color="auto" w:fill="FFFFFF"/>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color w:val="000000" w:themeColor="text1"/>
                <w:sz w:val="16"/>
                <w:szCs w:val="16"/>
                <w:lang w:val="sq-AL"/>
              </w:rPr>
              <w:t>4.579.293</w:t>
            </w:r>
          </w:p>
        </w:tc>
        <w:tc>
          <w:tcPr>
            <w:tcW w:w="0" w:type="auto"/>
            <w:shd w:val="clear" w:color="auto" w:fill="auto"/>
            <w:vAlign w:val="center"/>
          </w:tcPr>
          <w:p w14:paraId="0E027C35" w14:textId="77777777" w:rsidR="000F566F" w:rsidRPr="004F2AC3" w:rsidRDefault="000F566F" w:rsidP="00994235">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8.400.000</w:t>
            </w:r>
          </w:p>
        </w:tc>
      </w:tr>
      <w:tr w:rsidR="000F566F" w:rsidRPr="004F2AC3" w14:paraId="4231CD5A" w14:textId="77777777" w:rsidTr="007B15A6">
        <w:trPr>
          <w:trHeight w:val="800"/>
        </w:trPr>
        <w:tc>
          <w:tcPr>
            <w:cnfStyle w:val="001000000000" w:firstRow="0" w:lastRow="0" w:firstColumn="1" w:lastColumn="0" w:oddVBand="0" w:evenVBand="0" w:oddHBand="0" w:evenHBand="0" w:firstRowFirstColumn="0" w:firstRowLastColumn="0" w:lastRowFirstColumn="0" w:lastRowLastColumn="0"/>
            <w:tcW w:w="0" w:type="auto"/>
            <w:vMerge/>
          </w:tcPr>
          <w:p w14:paraId="5CDE77D4" w14:textId="77777777" w:rsidR="000F566F" w:rsidRPr="004F2AC3" w:rsidRDefault="000F566F" w:rsidP="00994235">
            <w:pPr>
              <w:shd w:val="clear" w:color="auto" w:fill="FFFFFF"/>
              <w:rPr>
                <w:rFonts w:ascii="Garamond" w:eastAsia="Times New Roman" w:hAnsi="Garamond"/>
                <w:color w:val="000000" w:themeColor="text1"/>
                <w:sz w:val="16"/>
                <w:szCs w:val="16"/>
                <w:lang w:val="sq-AL"/>
              </w:rPr>
            </w:pPr>
          </w:p>
        </w:tc>
        <w:tc>
          <w:tcPr>
            <w:tcW w:w="0" w:type="auto"/>
            <w:vMerge/>
          </w:tcPr>
          <w:p w14:paraId="5DA7D55C" w14:textId="77777777" w:rsidR="000F566F" w:rsidRPr="004F2AC3" w:rsidRDefault="000F566F" w:rsidP="00994235">
            <w:pPr>
              <w:shd w:val="clear" w:color="auto" w:fill="FFFFFF"/>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p>
        </w:tc>
        <w:tc>
          <w:tcPr>
            <w:tcW w:w="0" w:type="auto"/>
            <w:vAlign w:val="center"/>
          </w:tcPr>
          <w:p w14:paraId="0AB0FFFE" w14:textId="6DC1D1C1" w:rsidR="000F566F" w:rsidRPr="004F2AC3" w:rsidRDefault="000F566F" w:rsidP="00994235">
            <w:pPr>
              <w:shd w:val="clear" w:color="auto" w:fill="FFFFFF"/>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 xml:space="preserve">1.2 Numri i akteve të reja ligjore të përafruara me </w:t>
            </w:r>
            <w:r w:rsidRPr="004F2AC3">
              <w:rPr>
                <w:rFonts w:ascii="Garamond" w:eastAsia="Times New Roman" w:hAnsi="Garamond"/>
                <w:i/>
                <w:color w:val="000000" w:themeColor="text1"/>
                <w:sz w:val="16"/>
                <w:szCs w:val="16"/>
                <w:lang w:val="sq-AL"/>
              </w:rPr>
              <w:t>acquis</w:t>
            </w:r>
            <w:r w:rsidRPr="004F2AC3">
              <w:rPr>
                <w:rFonts w:ascii="Garamond" w:eastAsia="Times New Roman" w:hAnsi="Garamond"/>
                <w:color w:val="000000" w:themeColor="text1"/>
                <w:sz w:val="16"/>
                <w:szCs w:val="16"/>
                <w:lang w:val="sq-AL"/>
              </w:rPr>
              <w:t xml:space="preserve"> (</w:t>
            </w:r>
            <w:r w:rsidR="007B15A6" w:rsidRPr="004F2AC3">
              <w:rPr>
                <w:rFonts w:ascii="Garamond" w:eastAsia="Times New Roman" w:hAnsi="Garamond"/>
                <w:color w:val="000000" w:themeColor="text1"/>
                <w:sz w:val="16"/>
                <w:szCs w:val="16"/>
                <w:lang w:val="sq-AL"/>
              </w:rPr>
              <w:t xml:space="preserve">sipas </w:t>
            </w:r>
            <w:r w:rsidRPr="004F2AC3">
              <w:rPr>
                <w:rFonts w:ascii="Garamond" w:eastAsia="Times New Roman" w:hAnsi="Garamond"/>
                <w:color w:val="000000" w:themeColor="text1"/>
                <w:sz w:val="16"/>
                <w:szCs w:val="16"/>
                <w:lang w:val="sq-AL"/>
              </w:rPr>
              <w:t>PKIE)</w:t>
            </w:r>
            <w:r w:rsidR="007B15A6" w:rsidRPr="004F2AC3">
              <w:rPr>
                <w:rFonts w:ascii="Garamond" w:eastAsia="Times New Roman" w:hAnsi="Garamond"/>
                <w:color w:val="000000" w:themeColor="text1"/>
                <w:sz w:val="16"/>
                <w:szCs w:val="16"/>
                <w:lang w:val="sq-AL"/>
              </w:rPr>
              <w:t>.</w:t>
            </w:r>
          </w:p>
        </w:tc>
        <w:tc>
          <w:tcPr>
            <w:tcW w:w="0" w:type="auto"/>
            <w:vAlign w:val="center"/>
          </w:tcPr>
          <w:p w14:paraId="43597762" w14:textId="77777777" w:rsidR="000F566F" w:rsidRPr="004F2AC3" w:rsidRDefault="000F566F" w:rsidP="00994235">
            <w:pPr>
              <w:shd w:val="clear" w:color="auto" w:fill="FFFFFF"/>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1</w:t>
            </w:r>
          </w:p>
        </w:tc>
        <w:tc>
          <w:tcPr>
            <w:tcW w:w="0" w:type="auto"/>
            <w:shd w:val="clear" w:color="auto" w:fill="auto"/>
            <w:vAlign w:val="center"/>
          </w:tcPr>
          <w:p w14:paraId="5A45C8B6"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2</w:t>
            </w:r>
          </w:p>
        </w:tc>
      </w:tr>
      <w:tr w:rsidR="000F566F" w:rsidRPr="004F2AC3" w14:paraId="5145AA4B" w14:textId="77777777" w:rsidTr="00804061">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0" w:type="auto"/>
            <w:vMerge/>
          </w:tcPr>
          <w:p w14:paraId="0B9FCA5E" w14:textId="77777777" w:rsidR="000F566F" w:rsidRPr="004F2AC3" w:rsidRDefault="000F566F" w:rsidP="00994235">
            <w:pPr>
              <w:shd w:val="clear" w:color="auto" w:fill="FFFFFF"/>
              <w:rPr>
                <w:rFonts w:ascii="Garamond" w:eastAsia="Times New Roman" w:hAnsi="Garamond"/>
                <w:color w:val="000000" w:themeColor="text1"/>
                <w:sz w:val="16"/>
                <w:szCs w:val="16"/>
                <w:lang w:val="sq-AL"/>
              </w:rPr>
            </w:pPr>
          </w:p>
        </w:tc>
        <w:tc>
          <w:tcPr>
            <w:tcW w:w="0" w:type="auto"/>
            <w:vMerge/>
          </w:tcPr>
          <w:p w14:paraId="0C23355E" w14:textId="77777777"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p>
        </w:tc>
        <w:tc>
          <w:tcPr>
            <w:tcW w:w="0" w:type="auto"/>
            <w:vAlign w:val="center"/>
          </w:tcPr>
          <w:p w14:paraId="3DC319FC" w14:textId="323624C9"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 xml:space="preserve">1.3 Rekomandime të Eurostatit (nga raporti </w:t>
            </w:r>
            <w:r w:rsidRPr="004F2AC3">
              <w:rPr>
                <w:rFonts w:ascii="Garamond" w:eastAsia="Times New Roman" w:hAnsi="Garamond"/>
                <w:i/>
                <w:color w:val="000000" w:themeColor="text1"/>
                <w:sz w:val="16"/>
                <w:szCs w:val="16"/>
                <w:lang w:val="sq-AL"/>
              </w:rPr>
              <w:t>Peer Review 2018</w:t>
            </w:r>
            <w:r w:rsidRPr="004F2AC3">
              <w:rPr>
                <w:rFonts w:ascii="Garamond" w:eastAsia="Times New Roman" w:hAnsi="Garamond"/>
                <w:color w:val="000000" w:themeColor="text1"/>
                <w:sz w:val="16"/>
                <w:szCs w:val="16"/>
                <w:lang w:val="sq-AL"/>
              </w:rPr>
              <w:t>), të zbatuara (në %)</w:t>
            </w:r>
            <w:r w:rsidR="007B15A6" w:rsidRPr="004F2AC3">
              <w:rPr>
                <w:rFonts w:ascii="Garamond" w:eastAsia="Times New Roman" w:hAnsi="Garamond"/>
                <w:color w:val="000000" w:themeColor="text1"/>
                <w:sz w:val="16"/>
                <w:szCs w:val="16"/>
                <w:lang w:val="sq-AL"/>
              </w:rPr>
              <w:t>.</w:t>
            </w:r>
          </w:p>
        </w:tc>
        <w:tc>
          <w:tcPr>
            <w:tcW w:w="0" w:type="auto"/>
            <w:vAlign w:val="center"/>
          </w:tcPr>
          <w:p w14:paraId="00C8B34A" w14:textId="77777777" w:rsidR="000F566F" w:rsidRPr="004F2AC3" w:rsidRDefault="000F566F" w:rsidP="00994235">
            <w:pPr>
              <w:shd w:val="clear" w:color="auto" w:fill="FFFFFF"/>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color w:val="000000" w:themeColor="text1"/>
                <w:sz w:val="16"/>
                <w:szCs w:val="16"/>
                <w:lang w:val="sq-AL"/>
              </w:rPr>
              <w:t>89%</w:t>
            </w:r>
          </w:p>
        </w:tc>
        <w:tc>
          <w:tcPr>
            <w:tcW w:w="0" w:type="auto"/>
            <w:shd w:val="clear" w:color="auto" w:fill="auto"/>
            <w:vAlign w:val="center"/>
          </w:tcPr>
          <w:p w14:paraId="2E92D016" w14:textId="77777777" w:rsidR="000F566F" w:rsidRPr="004F2AC3" w:rsidRDefault="000F566F" w:rsidP="00994235">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Janë realizuar në masën 100% gjatë vitit 2023</w:t>
            </w:r>
          </w:p>
        </w:tc>
      </w:tr>
    </w:tbl>
    <w:p w14:paraId="78A2DD77"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b/>
          <w:color w:val="000000" w:themeColor="text1"/>
          <w:sz w:val="24"/>
          <w:szCs w:val="24"/>
        </w:rPr>
      </w:pPr>
    </w:p>
    <w:p w14:paraId="6075FFF7" w14:textId="1B0234E3" w:rsidR="000F566F" w:rsidRPr="004F2AC3" w:rsidRDefault="000F566F" w:rsidP="000F566F">
      <w:pPr>
        <w:shd w:val="clear" w:color="auto" w:fill="FFFFFF" w:themeFill="background1"/>
        <w:spacing w:after="0" w:line="240" w:lineRule="auto"/>
        <w:ind w:firstLine="284"/>
        <w:rPr>
          <w:rFonts w:ascii="Garamond" w:hAnsi="Garamond" w:cs="Times New Roman"/>
          <w:color w:val="000000" w:themeColor="text1"/>
          <w:sz w:val="24"/>
          <w:szCs w:val="24"/>
          <w:shd w:val="clear" w:color="auto" w:fill="FFFFFF"/>
        </w:rPr>
      </w:pPr>
      <w:r w:rsidRPr="004F2AC3">
        <w:rPr>
          <w:rFonts w:ascii="Garamond" w:hAnsi="Garamond" w:cs="Times New Roman"/>
          <w:b/>
          <w:color w:val="000000" w:themeColor="text1"/>
          <w:sz w:val="24"/>
          <w:szCs w:val="24"/>
        </w:rPr>
        <w:t>Tabela nr. 2</w:t>
      </w:r>
      <w:r w:rsidR="007B15A6"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Objektivi </w:t>
      </w:r>
      <w:r w:rsidR="007B15A6" w:rsidRPr="004F2AC3">
        <w:rPr>
          <w:rFonts w:ascii="Garamond" w:hAnsi="Garamond" w:cs="Times New Roman"/>
          <w:b/>
          <w:color w:val="000000" w:themeColor="text1"/>
          <w:sz w:val="24"/>
          <w:szCs w:val="24"/>
        </w:rPr>
        <w:t xml:space="preserve">strategjik </w:t>
      </w:r>
      <w:r w:rsidRPr="004F2AC3">
        <w:rPr>
          <w:rFonts w:ascii="Garamond" w:hAnsi="Garamond" w:cs="Times New Roman"/>
          <w:b/>
          <w:color w:val="000000" w:themeColor="text1"/>
          <w:sz w:val="24"/>
          <w:szCs w:val="24"/>
        </w:rPr>
        <w:t>2, aktivitetet</w:t>
      </w:r>
      <w:r w:rsidR="007B15A6" w:rsidRPr="004F2AC3">
        <w:rPr>
          <w:rFonts w:ascii="Garamond" w:hAnsi="Garamond" w:cs="Times New Roman"/>
          <w:b/>
          <w:color w:val="000000" w:themeColor="text1"/>
          <w:sz w:val="24"/>
          <w:szCs w:val="24"/>
        </w:rPr>
        <w:t xml:space="preserve"> statistikore dhe treguesit</w:t>
      </w:r>
      <w:r w:rsidRPr="004F2AC3">
        <w:rPr>
          <w:rFonts w:ascii="Garamond" w:hAnsi="Garamond" w:cs="Times New Roman"/>
          <w:b/>
          <w:color w:val="000000" w:themeColor="text1"/>
          <w:sz w:val="24"/>
          <w:szCs w:val="24"/>
        </w:rPr>
        <w:t xml:space="preserve"> e performancës</w:t>
      </w:r>
    </w:p>
    <w:tbl>
      <w:tblPr>
        <w:tblStyle w:val="LightList-Accent112"/>
        <w:tblpPr w:leftFromText="180" w:rightFromText="180" w:vertAnchor="text" w:horzAnchor="margin" w:tblpXSpec="center" w:tblpY="41"/>
        <w:tblW w:w="0" w:type="auto"/>
        <w:tblBorders>
          <w:insideH w:val="single" w:sz="8" w:space="0" w:color="4F81BD"/>
          <w:insideV w:val="single" w:sz="8" w:space="0" w:color="4F81BD"/>
        </w:tblBorders>
        <w:tblLook w:val="04A0" w:firstRow="1" w:lastRow="0" w:firstColumn="1" w:lastColumn="0" w:noHBand="0" w:noVBand="1"/>
      </w:tblPr>
      <w:tblGrid>
        <w:gridCol w:w="2246"/>
        <w:gridCol w:w="2606"/>
        <w:gridCol w:w="2371"/>
        <w:gridCol w:w="1237"/>
        <w:gridCol w:w="1122"/>
      </w:tblGrid>
      <w:tr w:rsidR="000F566F" w:rsidRPr="004F2AC3" w14:paraId="78220847" w14:textId="77777777" w:rsidTr="00804061">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0" w:type="auto"/>
            <w:vAlign w:val="center"/>
          </w:tcPr>
          <w:p w14:paraId="29E987B0" w14:textId="77777777" w:rsidR="000F566F" w:rsidRPr="004F2AC3" w:rsidRDefault="000F566F" w:rsidP="00994235">
            <w:pPr>
              <w:jc w:val="center"/>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Objektivat strategjikë</w:t>
            </w:r>
          </w:p>
        </w:tc>
        <w:tc>
          <w:tcPr>
            <w:tcW w:w="0" w:type="auto"/>
            <w:vAlign w:val="center"/>
          </w:tcPr>
          <w:p w14:paraId="7F07466C" w14:textId="77777777" w:rsidR="000F566F" w:rsidRPr="004F2AC3" w:rsidRDefault="000F566F" w:rsidP="00994235">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Objektiva specifikë</w:t>
            </w:r>
          </w:p>
        </w:tc>
        <w:tc>
          <w:tcPr>
            <w:tcW w:w="0" w:type="auto"/>
            <w:vAlign w:val="center"/>
          </w:tcPr>
          <w:p w14:paraId="5525951E" w14:textId="77777777" w:rsidR="000F566F" w:rsidRPr="004F2AC3" w:rsidRDefault="000F566F" w:rsidP="00994235">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rPr>
            </w:pPr>
            <w:r w:rsidRPr="004F2AC3">
              <w:rPr>
                <w:rFonts w:ascii="Garamond" w:hAnsi="Garamond"/>
                <w:color w:val="000000" w:themeColor="text1"/>
                <w:sz w:val="16"/>
                <w:szCs w:val="16"/>
                <w:lang w:val="sq-AL" w:eastAsia="en-GB"/>
              </w:rPr>
              <w:t>Treguesit e performancës</w:t>
            </w:r>
          </w:p>
        </w:tc>
        <w:tc>
          <w:tcPr>
            <w:tcW w:w="0" w:type="auto"/>
            <w:vAlign w:val="center"/>
          </w:tcPr>
          <w:p w14:paraId="1DD691B8"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rPr>
            </w:pPr>
            <w:r w:rsidRPr="004F2AC3">
              <w:rPr>
                <w:rFonts w:ascii="Garamond" w:hAnsi="Garamond"/>
                <w:color w:val="000000" w:themeColor="text1"/>
                <w:sz w:val="16"/>
                <w:szCs w:val="16"/>
                <w:lang w:val="sq-AL" w:eastAsia="en-GB"/>
              </w:rPr>
              <w:t>Vlerat për vitin bazë 2022</w:t>
            </w:r>
          </w:p>
        </w:tc>
        <w:tc>
          <w:tcPr>
            <w:tcW w:w="0" w:type="auto"/>
            <w:vAlign w:val="center"/>
          </w:tcPr>
          <w:p w14:paraId="4BA0EFF3"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2026</w:t>
            </w:r>
          </w:p>
        </w:tc>
      </w:tr>
      <w:tr w:rsidR="000F566F" w:rsidRPr="004F2AC3" w14:paraId="7CCBF73C" w14:textId="77777777" w:rsidTr="00804061">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4CA4852D" w14:textId="77777777" w:rsidR="000F566F" w:rsidRPr="004F2AC3" w:rsidRDefault="000F566F" w:rsidP="00994235">
            <w:pPr>
              <w:shd w:val="clear" w:color="auto" w:fill="FFFFFF"/>
              <w:autoSpaceDE w:val="0"/>
              <w:autoSpaceDN w:val="0"/>
              <w:adjustRightInd w:val="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 xml:space="preserve">Objektivi strategjik 2: </w:t>
            </w:r>
          </w:p>
          <w:p w14:paraId="5E95F313" w14:textId="77777777" w:rsidR="000F566F" w:rsidRPr="004F2AC3" w:rsidRDefault="000F566F" w:rsidP="00994235">
            <w:pPr>
              <w:shd w:val="clear" w:color="auto" w:fill="FFFFFF"/>
              <w:autoSpaceDE w:val="0"/>
              <w:autoSpaceDN w:val="0"/>
              <w:adjustRightInd w:val="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Plotësimi i nivelit të plotë të kërkesave të përdoruesit për statistika zyrtare</w:t>
            </w:r>
          </w:p>
          <w:p w14:paraId="399B170A" w14:textId="77777777" w:rsidR="000F566F" w:rsidRPr="004F2AC3" w:rsidRDefault="000F566F" w:rsidP="00994235">
            <w:pPr>
              <w:shd w:val="clear" w:color="auto" w:fill="FFFFFF"/>
              <w:rPr>
                <w:rFonts w:ascii="Garamond" w:hAnsi="Garamond"/>
                <w:color w:val="000000" w:themeColor="text1"/>
                <w:sz w:val="16"/>
                <w:szCs w:val="16"/>
                <w:lang w:val="sq-AL"/>
              </w:rPr>
            </w:pPr>
          </w:p>
        </w:tc>
        <w:tc>
          <w:tcPr>
            <w:tcW w:w="0" w:type="auto"/>
            <w:vMerge w:val="restart"/>
            <w:vAlign w:val="center"/>
          </w:tcPr>
          <w:p w14:paraId="0DCFAD22" w14:textId="26793B24" w:rsidR="000F566F" w:rsidRPr="004F2AC3" w:rsidRDefault="007B15A6" w:rsidP="00994235">
            <w:pPr>
              <w:shd w:val="clear" w:color="auto" w:fill="FFFFFF"/>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2.1</w:t>
            </w:r>
            <w:r w:rsidR="000F566F" w:rsidRPr="004F2AC3">
              <w:rPr>
                <w:rFonts w:ascii="Garamond" w:hAnsi="Garamond"/>
                <w:color w:val="000000" w:themeColor="text1"/>
                <w:sz w:val="16"/>
                <w:szCs w:val="16"/>
                <w:lang w:val="sq-AL" w:eastAsia="en-GB"/>
              </w:rPr>
              <w:t xml:space="preserve"> Rritja e përdorimit të të dhënave dhe rekordeve administrative për qëllime statistikore</w:t>
            </w:r>
            <w:r w:rsidRPr="004F2AC3">
              <w:rPr>
                <w:rFonts w:ascii="Garamond" w:hAnsi="Garamond"/>
                <w:color w:val="000000" w:themeColor="text1"/>
                <w:sz w:val="16"/>
                <w:szCs w:val="16"/>
                <w:lang w:val="sq-AL" w:eastAsia="en-GB"/>
              </w:rPr>
              <w:t>.</w:t>
            </w:r>
            <w:r w:rsidR="000F566F" w:rsidRPr="004F2AC3">
              <w:rPr>
                <w:rFonts w:ascii="Garamond" w:hAnsi="Garamond"/>
                <w:color w:val="000000" w:themeColor="text1"/>
                <w:sz w:val="16"/>
                <w:szCs w:val="16"/>
                <w:lang w:val="sq-AL" w:eastAsia="en-GB"/>
              </w:rPr>
              <w:t xml:space="preserve"> </w:t>
            </w:r>
          </w:p>
          <w:p w14:paraId="7331A44D" w14:textId="77777777"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p>
          <w:p w14:paraId="52790B98" w14:textId="76659459"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2.2 Prodhimi i treguesve që të përputhen me nevojat e përdoruesve të statistikave brenda vendit</w:t>
            </w:r>
            <w:r w:rsidR="007B15A6" w:rsidRPr="004F2AC3">
              <w:rPr>
                <w:rFonts w:ascii="Garamond" w:hAnsi="Garamond"/>
                <w:color w:val="000000" w:themeColor="text1"/>
                <w:sz w:val="16"/>
                <w:szCs w:val="16"/>
                <w:lang w:val="sq-AL" w:eastAsia="en-GB"/>
              </w:rPr>
              <w:t>.</w:t>
            </w:r>
          </w:p>
          <w:p w14:paraId="08BE962C" w14:textId="77777777"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rPr>
            </w:pPr>
          </w:p>
        </w:tc>
        <w:tc>
          <w:tcPr>
            <w:tcW w:w="0" w:type="auto"/>
            <w:vAlign w:val="center"/>
          </w:tcPr>
          <w:p w14:paraId="1293C232" w14:textId="765EBC77"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rPr>
            </w:pPr>
            <w:r w:rsidRPr="004F2AC3">
              <w:rPr>
                <w:rFonts w:ascii="Garamond" w:eastAsia="Times New Roman" w:hAnsi="Garamond"/>
                <w:color w:val="000000" w:themeColor="text1"/>
                <w:sz w:val="16"/>
                <w:szCs w:val="16"/>
                <w:lang w:val="sq-AL"/>
              </w:rPr>
              <w:t>2.1 Numri i të dhënave (</w:t>
            </w:r>
            <w:r w:rsidRPr="004F2AC3">
              <w:rPr>
                <w:rFonts w:ascii="Garamond" w:eastAsia="Times New Roman" w:hAnsi="Garamond"/>
                <w:i/>
                <w:color w:val="000000" w:themeColor="text1"/>
                <w:sz w:val="16"/>
                <w:szCs w:val="16"/>
                <w:lang w:val="sq-AL"/>
              </w:rPr>
              <w:t>data points</w:t>
            </w:r>
            <w:r w:rsidRPr="004F2AC3">
              <w:rPr>
                <w:rFonts w:ascii="Garamond" w:eastAsia="Times New Roman" w:hAnsi="Garamond"/>
                <w:color w:val="000000" w:themeColor="text1"/>
                <w:sz w:val="16"/>
                <w:szCs w:val="16"/>
                <w:lang w:val="sq-AL"/>
              </w:rPr>
              <w:t>) të shfaqura në databazën e INSTAT</w:t>
            </w:r>
            <w:r w:rsidR="007B15A6" w:rsidRPr="004F2AC3">
              <w:rPr>
                <w:rFonts w:ascii="Garamond" w:eastAsia="Times New Roman" w:hAnsi="Garamond"/>
                <w:color w:val="000000" w:themeColor="text1"/>
                <w:sz w:val="16"/>
                <w:szCs w:val="16"/>
                <w:lang w:val="sq-AL"/>
              </w:rPr>
              <w:t>-it</w:t>
            </w:r>
            <w:r w:rsidRPr="004F2AC3">
              <w:rPr>
                <w:rFonts w:ascii="Garamond" w:eastAsia="Times New Roman" w:hAnsi="Garamond"/>
                <w:color w:val="000000" w:themeColor="text1"/>
                <w:sz w:val="16"/>
                <w:szCs w:val="16"/>
                <w:lang w:val="sq-AL"/>
              </w:rPr>
              <w:t xml:space="preserve"> (në %)</w:t>
            </w:r>
            <w:r w:rsidR="007B15A6" w:rsidRPr="004F2AC3">
              <w:rPr>
                <w:rFonts w:ascii="Garamond" w:eastAsia="Times New Roman" w:hAnsi="Garamond"/>
                <w:color w:val="000000" w:themeColor="text1"/>
                <w:sz w:val="16"/>
                <w:szCs w:val="16"/>
                <w:lang w:val="sq-AL"/>
              </w:rPr>
              <w:t>.</w:t>
            </w:r>
          </w:p>
        </w:tc>
        <w:tc>
          <w:tcPr>
            <w:tcW w:w="0" w:type="auto"/>
            <w:vAlign w:val="center"/>
          </w:tcPr>
          <w:p w14:paraId="498DB215" w14:textId="77777777" w:rsidR="000F566F" w:rsidRPr="004F2AC3" w:rsidRDefault="000F566F" w:rsidP="00994235">
            <w:pPr>
              <w:shd w:val="clear" w:color="auto" w:fill="FFFFFF"/>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3.820.369</w:t>
            </w:r>
          </w:p>
        </w:tc>
        <w:tc>
          <w:tcPr>
            <w:tcW w:w="0" w:type="auto"/>
            <w:vAlign w:val="center"/>
          </w:tcPr>
          <w:p w14:paraId="5BF5B920" w14:textId="77777777" w:rsidR="000F566F" w:rsidRPr="004F2AC3" w:rsidRDefault="000F566F" w:rsidP="00994235">
            <w:pPr>
              <w:shd w:val="clear" w:color="auto" w:fill="FFFFFF"/>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4,815,120</w:t>
            </w:r>
          </w:p>
        </w:tc>
      </w:tr>
      <w:tr w:rsidR="000F566F" w:rsidRPr="004F2AC3" w14:paraId="7D70F7EA" w14:textId="77777777" w:rsidTr="00804061">
        <w:trPr>
          <w:trHeight w:val="428"/>
        </w:trPr>
        <w:tc>
          <w:tcPr>
            <w:cnfStyle w:val="001000000000" w:firstRow="0" w:lastRow="0" w:firstColumn="1" w:lastColumn="0" w:oddVBand="0" w:evenVBand="0" w:oddHBand="0" w:evenHBand="0" w:firstRowFirstColumn="0" w:firstRowLastColumn="0" w:lastRowFirstColumn="0" w:lastRowLastColumn="0"/>
            <w:tcW w:w="0" w:type="auto"/>
            <w:vMerge/>
          </w:tcPr>
          <w:p w14:paraId="37D8A73E" w14:textId="77777777" w:rsidR="000F566F" w:rsidRPr="004F2AC3" w:rsidRDefault="000F566F" w:rsidP="00994235">
            <w:pPr>
              <w:shd w:val="clear" w:color="auto" w:fill="FFFFFF"/>
              <w:autoSpaceDE w:val="0"/>
              <w:autoSpaceDN w:val="0"/>
              <w:adjustRightInd w:val="0"/>
              <w:rPr>
                <w:rFonts w:ascii="Garamond" w:hAnsi="Garamond"/>
                <w:color w:val="000000" w:themeColor="text1"/>
                <w:sz w:val="16"/>
                <w:szCs w:val="16"/>
                <w:lang w:val="sq-AL" w:eastAsia="en-GB"/>
              </w:rPr>
            </w:pPr>
          </w:p>
        </w:tc>
        <w:tc>
          <w:tcPr>
            <w:tcW w:w="0" w:type="auto"/>
            <w:vMerge/>
          </w:tcPr>
          <w:p w14:paraId="0D94C57A" w14:textId="77777777" w:rsidR="000F566F" w:rsidRPr="004F2AC3" w:rsidRDefault="000F566F" w:rsidP="00994235">
            <w:pPr>
              <w:shd w:val="clear" w:color="auto" w:fill="FFFFFF"/>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p>
        </w:tc>
        <w:tc>
          <w:tcPr>
            <w:tcW w:w="0" w:type="auto"/>
            <w:vAlign w:val="center"/>
          </w:tcPr>
          <w:p w14:paraId="1F688588" w14:textId="5BD9FB28" w:rsidR="000F566F" w:rsidRPr="004F2AC3" w:rsidRDefault="000F566F" w:rsidP="00994235">
            <w:pPr>
              <w:shd w:val="clear" w:color="auto" w:fill="FFFFFF"/>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2.2 Numri i vizitave në faqen e internetit të INSTAT-it</w:t>
            </w:r>
            <w:r w:rsidR="007B15A6" w:rsidRPr="004F2AC3">
              <w:rPr>
                <w:rFonts w:ascii="Garamond" w:eastAsia="Times New Roman" w:hAnsi="Garamond"/>
                <w:color w:val="000000" w:themeColor="text1"/>
                <w:sz w:val="16"/>
                <w:szCs w:val="16"/>
                <w:lang w:val="sq-AL"/>
              </w:rPr>
              <w:t>.</w:t>
            </w:r>
          </w:p>
        </w:tc>
        <w:tc>
          <w:tcPr>
            <w:tcW w:w="0" w:type="auto"/>
            <w:vAlign w:val="center"/>
          </w:tcPr>
          <w:p w14:paraId="07D76C54" w14:textId="77777777" w:rsidR="000F566F" w:rsidRPr="004F2AC3" w:rsidRDefault="000F566F" w:rsidP="00994235">
            <w:pPr>
              <w:shd w:val="clear" w:color="auto" w:fill="FFFFFF"/>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3.585.663</w:t>
            </w:r>
          </w:p>
        </w:tc>
        <w:tc>
          <w:tcPr>
            <w:tcW w:w="0" w:type="auto"/>
            <w:vAlign w:val="center"/>
          </w:tcPr>
          <w:p w14:paraId="6E6395A6" w14:textId="52A89AB6" w:rsidR="000F566F" w:rsidRPr="004F2AC3" w:rsidRDefault="007B15A6" w:rsidP="00994235">
            <w:pPr>
              <w:shd w:val="clear" w:color="auto" w:fill="FFFFFF"/>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+10 nga viti para</w:t>
            </w:r>
            <w:r w:rsidR="000F566F" w:rsidRPr="004F2AC3">
              <w:rPr>
                <w:rFonts w:ascii="Garamond" w:eastAsia="Times New Roman" w:hAnsi="Garamond"/>
                <w:color w:val="000000" w:themeColor="text1"/>
                <w:sz w:val="16"/>
                <w:szCs w:val="16"/>
                <w:lang w:val="sq-AL"/>
              </w:rPr>
              <w:t>ardhës</w:t>
            </w:r>
          </w:p>
        </w:tc>
      </w:tr>
      <w:tr w:rsidR="000F566F" w:rsidRPr="004F2AC3" w14:paraId="659324A6" w14:textId="77777777" w:rsidTr="00804061">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0" w:type="auto"/>
            <w:vMerge/>
          </w:tcPr>
          <w:p w14:paraId="71E3BA86" w14:textId="77777777" w:rsidR="000F566F" w:rsidRPr="004F2AC3" w:rsidRDefault="000F566F" w:rsidP="00994235">
            <w:pPr>
              <w:shd w:val="clear" w:color="auto" w:fill="FFFFFF"/>
              <w:autoSpaceDE w:val="0"/>
              <w:autoSpaceDN w:val="0"/>
              <w:adjustRightInd w:val="0"/>
              <w:rPr>
                <w:rFonts w:ascii="Garamond" w:hAnsi="Garamond"/>
                <w:color w:val="000000" w:themeColor="text1"/>
                <w:sz w:val="16"/>
                <w:szCs w:val="16"/>
                <w:lang w:val="sq-AL" w:eastAsia="en-GB"/>
              </w:rPr>
            </w:pPr>
          </w:p>
        </w:tc>
        <w:tc>
          <w:tcPr>
            <w:tcW w:w="0" w:type="auto"/>
            <w:vMerge/>
          </w:tcPr>
          <w:p w14:paraId="4877A3E2" w14:textId="77777777" w:rsidR="000F566F" w:rsidRPr="004F2AC3" w:rsidRDefault="000F566F" w:rsidP="00994235">
            <w:pPr>
              <w:shd w:val="clear" w:color="auto" w:fill="FFFFFF"/>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p>
        </w:tc>
        <w:tc>
          <w:tcPr>
            <w:tcW w:w="0" w:type="auto"/>
            <w:vAlign w:val="center"/>
          </w:tcPr>
          <w:p w14:paraId="30D70306" w14:textId="2ACE5799"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2.3 Niveli i kënaqësisë së përdoruesve të statistikave të prodhuara nga INSTAT</w:t>
            </w:r>
            <w:r w:rsidR="007B15A6" w:rsidRPr="004F2AC3">
              <w:rPr>
                <w:rFonts w:ascii="Garamond" w:eastAsia="Times New Roman" w:hAnsi="Garamond"/>
                <w:color w:val="000000" w:themeColor="text1"/>
                <w:sz w:val="16"/>
                <w:szCs w:val="16"/>
                <w:lang w:val="sq-AL"/>
              </w:rPr>
              <w:t>-i.</w:t>
            </w:r>
          </w:p>
        </w:tc>
        <w:tc>
          <w:tcPr>
            <w:tcW w:w="0" w:type="auto"/>
            <w:vAlign w:val="center"/>
          </w:tcPr>
          <w:p w14:paraId="439BC290" w14:textId="77777777" w:rsidR="000F566F" w:rsidRPr="004F2AC3" w:rsidRDefault="000F566F" w:rsidP="00994235">
            <w:pPr>
              <w:shd w:val="clear" w:color="auto" w:fill="FFFFFF"/>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3,93/78,6%</w:t>
            </w:r>
          </w:p>
        </w:tc>
        <w:tc>
          <w:tcPr>
            <w:tcW w:w="0" w:type="auto"/>
            <w:vAlign w:val="center"/>
          </w:tcPr>
          <w:p w14:paraId="4983EFCB" w14:textId="77777777" w:rsidR="000F566F" w:rsidRPr="004F2AC3" w:rsidRDefault="000F566F" w:rsidP="00994235">
            <w:pPr>
              <w:shd w:val="clear" w:color="auto" w:fill="FFFFFF"/>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4,1/82%</w:t>
            </w:r>
          </w:p>
        </w:tc>
      </w:tr>
      <w:tr w:rsidR="000F566F" w:rsidRPr="004F2AC3" w14:paraId="512527C3" w14:textId="77777777" w:rsidTr="00804061">
        <w:trPr>
          <w:trHeight w:val="464"/>
        </w:trPr>
        <w:tc>
          <w:tcPr>
            <w:cnfStyle w:val="001000000000" w:firstRow="0" w:lastRow="0" w:firstColumn="1" w:lastColumn="0" w:oddVBand="0" w:evenVBand="0" w:oddHBand="0" w:evenHBand="0" w:firstRowFirstColumn="0" w:firstRowLastColumn="0" w:lastRowFirstColumn="0" w:lastRowLastColumn="0"/>
            <w:tcW w:w="0" w:type="auto"/>
            <w:vMerge/>
          </w:tcPr>
          <w:p w14:paraId="58F1CF57" w14:textId="77777777" w:rsidR="000F566F" w:rsidRPr="004F2AC3" w:rsidRDefault="000F566F" w:rsidP="00994235">
            <w:pPr>
              <w:shd w:val="clear" w:color="auto" w:fill="FFFFFF"/>
              <w:autoSpaceDE w:val="0"/>
              <w:autoSpaceDN w:val="0"/>
              <w:adjustRightInd w:val="0"/>
              <w:rPr>
                <w:rFonts w:ascii="Garamond" w:hAnsi="Garamond"/>
                <w:color w:val="000000" w:themeColor="text1"/>
                <w:sz w:val="16"/>
                <w:szCs w:val="16"/>
                <w:lang w:val="sq-AL" w:eastAsia="en-GB"/>
              </w:rPr>
            </w:pPr>
          </w:p>
        </w:tc>
        <w:tc>
          <w:tcPr>
            <w:tcW w:w="0" w:type="auto"/>
            <w:vMerge/>
          </w:tcPr>
          <w:p w14:paraId="4FAC310B" w14:textId="77777777" w:rsidR="000F566F" w:rsidRPr="004F2AC3" w:rsidRDefault="000F566F" w:rsidP="00994235">
            <w:pPr>
              <w:shd w:val="clear" w:color="auto" w:fill="FFFFFF"/>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p>
        </w:tc>
        <w:tc>
          <w:tcPr>
            <w:tcW w:w="0" w:type="auto"/>
            <w:vAlign w:val="center"/>
          </w:tcPr>
          <w:p w14:paraId="1BE2572E" w14:textId="2D20EFE0" w:rsidR="000F566F" w:rsidRPr="004F2AC3" w:rsidRDefault="000F566F" w:rsidP="00994235">
            <w:pPr>
              <w:shd w:val="clear" w:color="auto" w:fill="FFFFFF"/>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highlight w:val="yellow"/>
                <w:lang w:val="sq-AL"/>
              </w:rPr>
            </w:pPr>
            <w:r w:rsidRPr="004F2AC3">
              <w:rPr>
                <w:rFonts w:ascii="Garamond" w:eastAsia="Times New Roman" w:hAnsi="Garamond"/>
                <w:color w:val="000000" w:themeColor="text1"/>
                <w:sz w:val="16"/>
                <w:szCs w:val="16"/>
                <w:lang w:val="sq-AL"/>
              </w:rPr>
              <w:t>2.4 Numri i takimeve me përdoruesit (mbledhjet me grupin e përdoruesve, etj.)</w:t>
            </w:r>
            <w:r w:rsidR="007B15A6" w:rsidRPr="004F2AC3">
              <w:rPr>
                <w:rFonts w:ascii="Garamond" w:eastAsia="Times New Roman" w:hAnsi="Garamond"/>
                <w:color w:val="000000" w:themeColor="text1"/>
                <w:sz w:val="16"/>
                <w:szCs w:val="16"/>
                <w:lang w:val="sq-AL"/>
              </w:rPr>
              <w:t>.</w:t>
            </w:r>
          </w:p>
        </w:tc>
        <w:tc>
          <w:tcPr>
            <w:tcW w:w="0" w:type="auto"/>
            <w:shd w:val="clear" w:color="auto" w:fill="auto"/>
            <w:vAlign w:val="center"/>
          </w:tcPr>
          <w:p w14:paraId="55372D91" w14:textId="77777777" w:rsidR="000F566F" w:rsidRPr="004F2AC3" w:rsidRDefault="000F566F" w:rsidP="00994235">
            <w:pPr>
              <w:shd w:val="clear" w:color="auto" w:fill="FFFFFF"/>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color w:val="000000" w:themeColor="text1"/>
                <w:sz w:val="16"/>
                <w:szCs w:val="16"/>
                <w:lang w:val="sq-AL"/>
              </w:rPr>
            </w:pPr>
            <w:r w:rsidRPr="004F2AC3">
              <w:rPr>
                <w:rFonts w:ascii="Garamond" w:eastAsia="Times New Roman" w:hAnsi="Garamond"/>
                <w:b/>
                <w:bCs/>
                <w:color w:val="000000" w:themeColor="text1"/>
                <w:sz w:val="16"/>
                <w:szCs w:val="16"/>
                <w:lang w:val="sq-AL"/>
              </w:rPr>
              <w:t>3</w:t>
            </w:r>
          </w:p>
        </w:tc>
        <w:tc>
          <w:tcPr>
            <w:tcW w:w="0" w:type="auto"/>
            <w:shd w:val="clear" w:color="auto" w:fill="auto"/>
            <w:vAlign w:val="center"/>
          </w:tcPr>
          <w:p w14:paraId="40DBF3CF" w14:textId="77777777" w:rsidR="000F566F" w:rsidRPr="004F2AC3" w:rsidRDefault="000F566F" w:rsidP="00994235">
            <w:pPr>
              <w:shd w:val="clear" w:color="auto" w:fill="FFFFFF"/>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color w:val="000000" w:themeColor="text1"/>
                <w:sz w:val="16"/>
                <w:szCs w:val="16"/>
                <w:lang w:val="sq-AL"/>
              </w:rPr>
            </w:pPr>
            <w:r w:rsidRPr="004F2AC3">
              <w:rPr>
                <w:rFonts w:ascii="Garamond" w:eastAsia="Times New Roman" w:hAnsi="Garamond"/>
                <w:b/>
                <w:color w:val="000000" w:themeColor="text1"/>
                <w:sz w:val="16"/>
                <w:szCs w:val="16"/>
                <w:lang w:val="sq-AL"/>
              </w:rPr>
              <w:t>25</w:t>
            </w:r>
          </w:p>
        </w:tc>
      </w:tr>
      <w:tr w:rsidR="000F566F" w:rsidRPr="004F2AC3" w14:paraId="7FB18CA9" w14:textId="77777777" w:rsidTr="00804061">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vMerge/>
          </w:tcPr>
          <w:p w14:paraId="19733C55" w14:textId="77777777" w:rsidR="000F566F" w:rsidRPr="004F2AC3" w:rsidRDefault="000F566F" w:rsidP="00994235">
            <w:pPr>
              <w:shd w:val="clear" w:color="auto" w:fill="FFFFFF"/>
              <w:autoSpaceDE w:val="0"/>
              <w:autoSpaceDN w:val="0"/>
              <w:adjustRightInd w:val="0"/>
              <w:rPr>
                <w:rFonts w:ascii="Garamond" w:hAnsi="Garamond"/>
                <w:color w:val="000000" w:themeColor="text1"/>
                <w:sz w:val="16"/>
                <w:szCs w:val="16"/>
                <w:lang w:val="sq-AL" w:eastAsia="en-GB"/>
              </w:rPr>
            </w:pPr>
          </w:p>
        </w:tc>
        <w:tc>
          <w:tcPr>
            <w:tcW w:w="0" w:type="auto"/>
            <w:vMerge/>
          </w:tcPr>
          <w:p w14:paraId="74DE5035" w14:textId="77777777" w:rsidR="000F566F" w:rsidRPr="004F2AC3" w:rsidRDefault="000F566F" w:rsidP="00994235">
            <w:pPr>
              <w:shd w:val="clear" w:color="auto" w:fill="FFFFFF"/>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p>
        </w:tc>
        <w:tc>
          <w:tcPr>
            <w:tcW w:w="0" w:type="auto"/>
            <w:vAlign w:val="center"/>
          </w:tcPr>
          <w:p w14:paraId="0FB7FE76" w14:textId="2FD8FDED" w:rsidR="000F566F" w:rsidRPr="004F2AC3" w:rsidRDefault="000F566F" w:rsidP="00994235">
            <w:pPr>
              <w:shd w:val="clear" w:color="auto" w:fill="FFFFFF"/>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2.5 Numri i treguesve të OZHQ-së të prodhuar nga SKS</w:t>
            </w:r>
            <w:r w:rsidR="007B15A6" w:rsidRPr="004F2AC3">
              <w:rPr>
                <w:rFonts w:ascii="Garamond" w:eastAsia="Times New Roman" w:hAnsi="Garamond"/>
                <w:color w:val="000000" w:themeColor="text1"/>
                <w:sz w:val="16"/>
                <w:szCs w:val="16"/>
                <w:lang w:val="sq-AL"/>
              </w:rPr>
              <w:t>-të.</w:t>
            </w:r>
          </w:p>
        </w:tc>
        <w:tc>
          <w:tcPr>
            <w:tcW w:w="0" w:type="auto"/>
            <w:vAlign w:val="center"/>
          </w:tcPr>
          <w:p w14:paraId="20A9BC6D" w14:textId="77777777" w:rsidR="000F566F" w:rsidRPr="004F2AC3" w:rsidRDefault="000F566F" w:rsidP="00994235">
            <w:pPr>
              <w:shd w:val="clear" w:color="auto" w:fill="FFFFFF"/>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00000" w:themeColor="text1"/>
                <w:sz w:val="16"/>
                <w:szCs w:val="16"/>
                <w:lang w:val="sq-AL"/>
              </w:rPr>
            </w:pPr>
            <w:r w:rsidRPr="004F2AC3">
              <w:rPr>
                <w:rFonts w:ascii="Garamond" w:eastAsia="Times New Roman" w:hAnsi="Garamond"/>
                <w:b/>
                <w:bCs/>
                <w:color w:val="000000" w:themeColor="text1"/>
                <w:sz w:val="16"/>
                <w:szCs w:val="16"/>
                <w:lang w:val="sq-AL"/>
              </w:rPr>
              <w:t>56</w:t>
            </w:r>
          </w:p>
        </w:tc>
        <w:tc>
          <w:tcPr>
            <w:tcW w:w="0" w:type="auto"/>
            <w:vAlign w:val="center"/>
          </w:tcPr>
          <w:p w14:paraId="2AAE66FC" w14:textId="77777777" w:rsidR="000F566F" w:rsidRPr="004F2AC3" w:rsidRDefault="000F566F" w:rsidP="00994235">
            <w:pPr>
              <w:shd w:val="clear" w:color="auto" w:fill="FFFFFF"/>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themeColor="text1"/>
                <w:sz w:val="16"/>
                <w:szCs w:val="16"/>
                <w:lang w:val="sq-AL"/>
              </w:rPr>
            </w:pPr>
            <w:r w:rsidRPr="004F2AC3">
              <w:rPr>
                <w:rFonts w:ascii="Garamond" w:eastAsia="Times New Roman" w:hAnsi="Garamond"/>
                <w:b/>
                <w:color w:val="000000" w:themeColor="text1"/>
                <w:sz w:val="16"/>
                <w:szCs w:val="16"/>
                <w:lang w:val="sq-AL"/>
              </w:rPr>
              <w:t>74</w:t>
            </w:r>
          </w:p>
        </w:tc>
      </w:tr>
      <w:tr w:rsidR="000F566F" w:rsidRPr="004F2AC3" w14:paraId="4047BB51" w14:textId="77777777" w:rsidTr="00804061">
        <w:trPr>
          <w:trHeight w:val="478"/>
        </w:trPr>
        <w:tc>
          <w:tcPr>
            <w:cnfStyle w:val="001000000000" w:firstRow="0" w:lastRow="0" w:firstColumn="1" w:lastColumn="0" w:oddVBand="0" w:evenVBand="0" w:oddHBand="0" w:evenHBand="0" w:firstRowFirstColumn="0" w:firstRowLastColumn="0" w:lastRowFirstColumn="0" w:lastRowLastColumn="0"/>
            <w:tcW w:w="0" w:type="auto"/>
            <w:vMerge/>
          </w:tcPr>
          <w:p w14:paraId="596E3BA9" w14:textId="77777777" w:rsidR="000F566F" w:rsidRPr="004F2AC3" w:rsidRDefault="000F566F" w:rsidP="00994235">
            <w:pPr>
              <w:shd w:val="clear" w:color="auto" w:fill="FFFFFF"/>
              <w:autoSpaceDE w:val="0"/>
              <w:autoSpaceDN w:val="0"/>
              <w:adjustRightInd w:val="0"/>
              <w:rPr>
                <w:rFonts w:ascii="Garamond" w:hAnsi="Garamond"/>
                <w:color w:val="000000" w:themeColor="text1"/>
                <w:sz w:val="16"/>
                <w:szCs w:val="16"/>
                <w:lang w:val="sq-AL" w:eastAsia="en-GB"/>
              </w:rPr>
            </w:pPr>
          </w:p>
        </w:tc>
        <w:tc>
          <w:tcPr>
            <w:tcW w:w="0" w:type="auto"/>
            <w:vMerge/>
          </w:tcPr>
          <w:p w14:paraId="74F39D6E" w14:textId="77777777" w:rsidR="000F566F" w:rsidRPr="004F2AC3" w:rsidRDefault="000F566F" w:rsidP="00994235">
            <w:pPr>
              <w:shd w:val="clear" w:color="auto" w:fill="FFFFFF"/>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p>
        </w:tc>
        <w:tc>
          <w:tcPr>
            <w:tcW w:w="0" w:type="auto"/>
            <w:vAlign w:val="center"/>
          </w:tcPr>
          <w:p w14:paraId="40EB7966" w14:textId="56141BA9" w:rsidR="000F566F" w:rsidRPr="004F2AC3" w:rsidRDefault="000F566F" w:rsidP="00994235">
            <w:pPr>
              <w:shd w:val="clear" w:color="auto" w:fill="FFFFFF"/>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highlight w:val="yellow"/>
                <w:lang w:val="sq-AL"/>
              </w:rPr>
            </w:pPr>
            <w:r w:rsidRPr="004F2AC3">
              <w:rPr>
                <w:rFonts w:ascii="Garamond" w:eastAsia="Times New Roman" w:hAnsi="Garamond"/>
                <w:color w:val="000000" w:themeColor="text1"/>
                <w:sz w:val="16"/>
                <w:szCs w:val="16"/>
                <w:lang w:val="sq-AL"/>
              </w:rPr>
              <w:t>2.6 Numri i aktiviteteve statistikore në nivel qarku dhe bashkie</w:t>
            </w:r>
            <w:r w:rsidR="007B15A6" w:rsidRPr="004F2AC3">
              <w:rPr>
                <w:rFonts w:ascii="Garamond" w:eastAsia="Times New Roman" w:hAnsi="Garamond"/>
                <w:color w:val="000000" w:themeColor="text1"/>
                <w:sz w:val="16"/>
                <w:szCs w:val="16"/>
                <w:lang w:val="sq-AL"/>
              </w:rPr>
              <w:t>.</w:t>
            </w:r>
          </w:p>
        </w:tc>
        <w:tc>
          <w:tcPr>
            <w:tcW w:w="0" w:type="auto"/>
            <w:vAlign w:val="center"/>
          </w:tcPr>
          <w:p w14:paraId="249D2263" w14:textId="77777777" w:rsidR="000F566F" w:rsidRPr="004F2AC3" w:rsidRDefault="000F566F" w:rsidP="00994235">
            <w:pPr>
              <w:shd w:val="clear" w:color="auto" w:fill="FFFFFF"/>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color w:val="000000" w:themeColor="text1"/>
                <w:sz w:val="16"/>
                <w:szCs w:val="16"/>
                <w:lang w:val="sq-AL"/>
              </w:rPr>
            </w:pPr>
          </w:p>
          <w:p w14:paraId="3B3CEBC2" w14:textId="77777777" w:rsidR="000F566F" w:rsidRPr="004F2AC3" w:rsidRDefault="000F566F" w:rsidP="00994235">
            <w:pPr>
              <w:shd w:val="clear" w:color="auto" w:fill="FFFFFF"/>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color w:val="000000" w:themeColor="text1"/>
                <w:sz w:val="16"/>
                <w:szCs w:val="16"/>
                <w:lang w:val="sq-AL"/>
              </w:rPr>
            </w:pPr>
            <w:r w:rsidRPr="004F2AC3">
              <w:rPr>
                <w:rFonts w:ascii="Garamond" w:eastAsia="Times New Roman" w:hAnsi="Garamond"/>
                <w:b/>
                <w:bCs/>
                <w:color w:val="000000" w:themeColor="text1"/>
                <w:sz w:val="16"/>
                <w:szCs w:val="16"/>
                <w:lang w:val="sq-AL"/>
              </w:rPr>
              <w:t>21</w:t>
            </w:r>
          </w:p>
        </w:tc>
        <w:tc>
          <w:tcPr>
            <w:tcW w:w="0" w:type="auto"/>
            <w:vAlign w:val="center"/>
          </w:tcPr>
          <w:p w14:paraId="2B2D495E" w14:textId="77777777" w:rsidR="000F566F" w:rsidRPr="004F2AC3" w:rsidRDefault="000F566F" w:rsidP="00994235">
            <w:pPr>
              <w:shd w:val="clear" w:color="auto" w:fill="FFFFFF"/>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color w:val="000000" w:themeColor="text1"/>
                <w:sz w:val="16"/>
                <w:szCs w:val="16"/>
                <w:lang w:val="sq-AL"/>
              </w:rPr>
            </w:pPr>
          </w:p>
          <w:p w14:paraId="03647777" w14:textId="77777777" w:rsidR="000F566F" w:rsidRPr="004F2AC3" w:rsidRDefault="000F566F" w:rsidP="00994235">
            <w:pPr>
              <w:shd w:val="clear" w:color="auto" w:fill="FFFFFF"/>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color w:val="000000" w:themeColor="text1"/>
                <w:sz w:val="16"/>
                <w:szCs w:val="16"/>
                <w:lang w:val="sq-AL"/>
              </w:rPr>
            </w:pPr>
            <w:r w:rsidRPr="004F2AC3">
              <w:rPr>
                <w:rFonts w:ascii="Garamond" w:eastAsia="Times New Roman" w:hAnsi="Garamond"/>
                <w:b/>
                <w:color w:val="000000" w:themeColor="text1"/>
                <w:sz w:val="16"/>
                <w:szCs w:val="16"/>
                <w:lang w:val="sq-AL"/>
              </w:rPr>
              <w:t>21</w:t>
            </w:r>
          </w:p>
        </w:tc>
      </w:tr>
    </w:tbl>
    <w:p w14:paraId="1AE9D6EA"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b/>
          <w:i/>
          <w:color w:val="000000" w:themeColor="text1"/>
          <w:sz w:val="24"/>
          <w:szCs w:val="24"/>
        </w:rPr>
      </w:pPr>
    </w:p>
    <w:p w14:paraId="2D189522" w14:textId="2C0B7DE0" w:rsidR="000F566F" w:rsidRPr="004F2AC3" w:rsidRDefault="000F566F" w:rsidP="000F566F">
      <w:pPr>
        <w:shd w:val="clear" w:color="auto" w:fill="FFFFFF" w:themeFill="background1"/>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3</w:t>
      </w:r>
      <w:r w:rsidR="007B15A6"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Objektivi </w:t>
      </w:r>
      <w:r w:rsidR="007B15A6" w:rsidRPr="004F2AC3">
        <w:rPr>
          <w:rFonts w:ascii="Garamond" w:hAnsi="Garamond" w:cs="Times New Roman"/>
          <w:b/>
          <w:color w:val="000000" w:themeColor="text1"/>
          <w:sz w:val="24"/>
          <w:szCs w:val="24"/>
        </w:rPr>
        <w:t xml:space="preserve">strategjik </w:t>
      </w:r>
      <w:r w:rsidRPr="004F2AC3">
        <w:rPr>
          <w:rFonts w:ascii="Garamond" w:hAnsi="Garamond" w:cs="Times New Roman"/>
          <w:b/>
          <w:color w:val="000000" w:themeColor="text1"/>
          <w:sz w:val="24"/>
          <w:szCs w:val="24"/>
        </w:rPr>
        <w:t>3, aktivitetet statistikore dhe treguesit e performancës</w:t>
      </w:r>
    </w:p>
    <w:tbl>
      <w:tblPr>
        <w:tblStyle w:val="LightList-Accent11"/>
        <w:tblpPr w:leftFromText="180" w:rightFromText="180" w:vertAnchor="text" w:horzAnchor="margin" w:tblpXSpec="center" w:tblpY="41"/>
        <w:tblW w:w="0" w:type="auto"/>
        <w:tblLook w:val="04A0" w:firstRow="1" w:lastRow="0" w:firstColumn="1" w:lastColumn="0" w:noHBand="0" w:noVBand="1"/>
      </w:tblPr>
      <w:tblGrid>
        <w:gridCol w:w="3268"/>
        <w:gridCol w:w="2628"/>
        <w:gridCol w:w="2213"/>
        <w:gridCol w:w="957"/>
        <w:gridCol w:w="516"/>
      </w:tblGrid>
      <w:tr w:rsidR="000F566F" w:rsidRPr="004F2AC3" w14:paraId="7F8E7062" w14:textId="77777777" w:rsidTr="007B15A6">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231DFD9D" w14:textId="77777777" w:rsidR="000F566F" w:rsidRPr="004F2AC3" w:rsidRDefault="000F566F" w:rsidP="00994235">
            <w:pPr>
              <w:jc w:val="center"/>
              <w:rPr>
                <w:rFonts w:ascii="Garamond" w:hAnsi="Garamond"/>
                <w:b w:val="0"/>
                <w:bCs w:val="0"/>
                <w:color w:val="000000" w:themeColor="text1"/>
                <w:sz w:val="16"/>
                <w:szCs w:val="16"/>
                <w:lang w:val="sq-AL" w:eastAsia="en-GB"/>
              </w:rPr>
            </w:pPr>
            <w:r w:rsidRPr="004F2AC3">
              <w:rPr>
                <w:rFonts w:ascii="Garamond" w:hAnsi="Garamond"/>
                <w:bCs w:val="0"/>
                <w:color w:val="000000" w:themeColor="text1"/>
                <w:sz w:val="16"/>
                <w:szCs w:val="16"/>
                <w:lang w:val="sq-AL" w:eastAsia="en-GB"/>
              </w:rPr>
              <w:t>Objektivat strategjikë</w:t>
            </w:r>
          </w:p>
        </w:tc>
        <w:tc>
          <w:tcPr>
            <w:tcW w:w="0" w:type="auto"/>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509735B8" w14:textId="77777777" w:rsidR="000F566F" w:rsidRPr="004F2AC3" w:rsidRDefault="000F566F" w:rsidP="0099423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eastAsia="en-GB"/>
              </w:rPr>
            </w:pPr>
            <w:r w:rsidRPr="004F2AC3">
              <w:rPr>
                <w:rFonts w:ascii="Garamond" w:hAnsi="Garamond"/>
                <w:bCs w:val="0"/>
                <w:color w:val="000000" w:themeColor="text1"/>
                <w:sz w:val="16"/>
                <w:szCs w:val="16"/>
                <w:lang w:val="sq-AL" w:eastAsia="en-GB"/>
              </w:rPr>
              <w:t>Objektiva specifikë</w:t>
            </w:r>
          </w:p>
        </w:tc>
        <w:tc>
          <w:tcPr>
            <w:tcW w:w="0" w:type="auto"/>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53F4AAD6" w14:textId="77777777" w:rsidR="000F566F" w:rsidRPr="004F2AC3" w:rsidRDefault="000F566F" w:rsidP="0099423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rPr>
            </w:pPr>
            <w:r w:rsidRPr="004F2AC3">
              <w:rPr>
                <w:rFonts w:ascii="Garamond" w:hAnsi="Garamond"/>
                <w:bCs w:val="0"/>
                <w:color w:val="000000" w:themeColor="text1"/>
                <w:sz w:val="16"/>
                <w:szCs w:val="16"/>
                <w:lang w:val="sq-AL" w:eastAsia="en-GB"/>
              </w:rPr>
              <w:t>Treguesit e performancës</w:t>
            </w:r>
          </w:p>
        </w:tc>
        <w:tc>
          <w:tcPr>
            <w:tcW w:w="0" w:type="auto"/>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6C4AA928"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rPr>
            </w:pPr>
            <w:r w:rsidRPr="004F2AC3">
              <w:rPr>
                <w:rFonts w:ascii="Garamond" w:hAnsi="Garamond"/>
                <w:bCs w:val="0"/>
                <w:color w:val="000000" w:themeColor="text1"/>
                <w:sz w:val="16"/>
                <w:szCs w:val="16"/>
                <w:lang w:val="sq-AL" w:eastAsia="en-GB"/>
              </w:rPr>
              <w:t>Vlerat për vitin bazë 2022</w:t>
            </w:r>
          </w:p>
        </w:tc>
        <w:tc>
          <w:tcPr>
            <w:tcW w:w="0" w:type="auto"/>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0748666F"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bCs w:val="0"/>
                <w:color w:val="000000" w:themeColor="text1"/>
                <w:sz w:val="16"/>
                <w:szCs w:val="16"/>
                <w:lang w:val="sq-AL" w:eastAsia="en-GB"/>
              </w:rPr>
            </w:pPr>
            <w:r w:rsidRPr="004F2AC3">
              <w:rPr>
                <w:rFonts w:ascii="Garamond" w:hAnsi="Garamond"/>
                <w:bCs w:val="0"/>
                <w:color w:val="000000" w:themeColor="text1"/>
                <w:sz w:val="16"/>
                <w:szCs w:val="16"/>
                <w:lang w:val="sq-AL" w:eastAsia="en-GB"/>
              </w:rPr>
              <w:t>2026</w:t>
            </w:r>
          </w:p>
        </w:tc>
      </w:tr>
      <w:tr w:rsidR="000F566F" w:rsidRPr="004F2AC3" w14:paraId="67E64131" w14:textId="77777777" w:rsidTr="00804061">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0" w:type="auto"/>
            <w:vMerge w:val="restart"/>
            <w:tcBorders>
              <w:right w:val="single" w:sz="8" w:space="0" w:color="5B9BD5" w:themeColor="accent1"/>
            </w:tcBorders>
            <w:vAlign w:val="center"/>
          </w:tcPr>
          <w:p w14:paraId="167A6B6C" w14:textId="77777777" w:rsidR="000F566F" w:rsidRPr="004F2AC3" w:rsidRDefault="000F566F" w:rsidP="00994235">
            <w:pPr>
              <w:shd w:val="clear" w:color="auto" w:fill="FFFFFF" w:themeFill="background1"/>
              <w:autoSpaceDE w:val="0"/>
              <w:autoSpaceDN w:val="0"/>
              <w:adjustRightInd w:val="0"/>
              <w:rPr>
                <w:rFonts w:ascii="Garamond" w:hAnsi="Garamond"/>
                <w:bCs w:val="0"/>
                <w:color w:val="000000" w:themeColor="text1"/>
                <w:sz w:val="16"/>
                <w:szCs w:val="16"/>
                <w:lang w:val="sq-AL" w:eastAsia="en-GB"/>
              </w:rPr>
            </w:pPr>
            <w:r w:rsidRPr="004F2AC3">
              <w:rPr>
                <w:rFonts w:ascii="Garamond" w:hAnsi="Garamond"/>
                <w:bCs w:val="0"/>
                <w:color w:val="000000" w:themeColor="text1"/>
                <w:sz w:val="16"/>
                <w:szCs w:val="16"/>
                <w:lang w:val="sq-AL" w:eastAsia="en-GB"/>
              </w:rPr>
              <w:t xml:space="preserve">Objektivi strategjik 3: </w:t>
            </w:r>
          </w:p>
          <w:p w14:paraId="7177BF9C" w14:textId="77777777" w:rsidR="000F566F" w:rsidRPr="004F2AC3" w:rsidRDefault="000F566F" w:rsidP="00994235">
            <w:pPr>
              <w:shd w:val="clear" w:color="auto" w:fill="FFFFFF" w:themeFill="background1"/>
              <w:autoSpaceDE w:val="0"/>
              <w:autoSpaceDN w:val="0"/>
              <w:adjustRightInd w:val="0"/>
              <w:rPr>
                <w:rFonts w:ascii="Garamond" w:hAnsi="Garamond"/>
                <w:bCs w:val="0"/>
                <w:color w:val="000000" w:themeColor="text1"/>
                <w:sz w:val="16"/>
                <w:szCs w:val="16"/>
                <w:lang w:val="sq-AL"/>
              </w:rPr>
            </w:pPr>
            <w:r w:rsidRPr="004F2AC3">
              <w:rPr>
                <w:rFonts w:ascii="Garamond" w:hAnsi="Garamond"/>
                <w:bCs w:val="0"/>
                <w:color w:val="000000" w:themeColor="text1"/>
                <w:sz w:val="16"/>
                <w:szCs w:val="16"/>
                <w:lang w:val="sq-AL" w:eastAsia="en-GB"/>
              </w:rPr>
              <w:t>Prodhimi i statistikave zyrtare të një niveli të lartë cilësie, që të përputhen me standardet e pranuara Evropiane dhe ndërkombëtare</w:t>
            </w:r>
          </w:p>
        </w:tc>
        <w:tc>
          <w:tcPr>
            <w:tcW w:w="0" w:type="auto"/>
            <w:vMerge w:val="restart"/>
            <w:tcBorders>
              <w:left w:val="single" w:sz="8" w:space="0" w:color="5B9BD5" w:themeColor="accent1"/>
              <w:right w:val="single" w:sz="8" w:space="0" w:color="5B9BD5" w:themeColor="accent1"/>
            </w:tcBorders>
            <w:vAlign w:val="center"/>
          </w:tcPr>
          <w:p w14:paraId="5BF56DFB" w14:textId="20D5433F" w:rsidR="000F566F" w:rsidRPr="004F2AC3" w:rsidRDefault="000F566F" w:rsidP="00994235">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3.1. Përmirësimi i cilësisë të të dhënave dhe rekordeve administrative të siguru</w:t>
            </w:r>
            <w:r w:rsidR="00804061" w:rsidRPr="004F2AC3">
              <w:rPr>
                <w:rFonts w:ascii="Garamond" w:hAnsi="Garamond"/>
                <w:color w:val="000000" w:themeColor="text1"/>
                <w:sz w:val="16"/>
                <w:szCs w:val="16"/>
                <w:lang w:val="sq-AL" w:eastAsia="en-GB"/>
              </w:rPr>
              <w:t>ara nga institucionet përkatëse</w:t>
            </w:r>
          </w:p>
          <w:p w14:paraId="71892E37" w14:textId="77777777" w:rsidR="000F566F" w:rsidRPr="004F2AC3" w:rsidRDefault="000F566F" w:rsidP="00994235">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rPr>
            </w:pPr>
            <w:r w:rsidRPr="004F2AC3">
              <w:rPr>
                <w:rFonts w:ascii="Garamond" w:hAnsi="Garamond"/>
                <w:color w:val="000000" w:themeColor="text1"/>
                <w:sz w:val="16"/>
                <w:szCs w:val="16"/>
                <w:lang w:val="sq-AL" w:eastAsia="en-GB"/>
              </w:rPr>
              <w:t>3.2 Të ndërtohet, mirëmbahet dhe promovohet menaxhimi i cilësisë dhe sistemi i kontrollit të cilësisë për SKS</w:t>
            </w:r>
          </w:p>
        </w:tc>
        <w:tc>
          <w:tcPr>
            <w:tcW w:w="0" w:type="auto"/>
            <w:tcBorders>
              <w:left w:val="single" w:sz="8" w:space="0" w:color="5B9BD5" w:themeColor="accent1"/>
              <w:right w:val="single" w:sz="8" w:space="0" w:color="5B9BD5" w:themeColor="accent1"/>
            </w:tcBorders>
            <w:vAlign w:val="center"/>
          </w:tcPr>
          <w:p w14:paraId="663CBF38" w14:textId="358D8B1A" w:rsidR="000F566F" w:rsidRPr="004F2AC3" w:rsidRDefault="000F566F" w:rsidP="00804061">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3.1 Numri i klasifikimeve statistikore ndërkombëtare të reja të adoptuara në vend</w:t>
            </w:r>
          </w:p>
        </w:tc>
        <w:tc>
          <w:tcPr>
            <w:tcW w:w="0" w:type="auto"/>
            <w:tcBorders>
              <w:left w:val="single" w:sz="8" w:space="0" w:color="5B9BD5" w:themeColor="accent1"/>
              <w:right w:val="single" w:sz="8" w:space="0" w:color="5B9BD5" w:themeColor="accent1"/>
            </w:tcBorders>
            <w:vAlign w:val="center"/>
          </w:tcPr>
          <w:p w14:paraId="56994199" w14:textId="77777777" w:rsidR="000F566F" w:rsidRPr="004F2AC3" w:rsidRDefault="000F566F" w:rsidP="00994235">
            <w:pPr>
              <w:shd w:val="clear" w:color="auto" w:fill="FFFFFF" w:themeFill="background1"/>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rPr>
            </w:pPr>
            <w:r w:rsidRPr="004F2AC3">
              <w:rPr>
                <w:rFonts w:ascii="Garamond" w:hAnsi="Garamond"/>
                <w:color w:val="000000" w:themeColor="text1"/>
                <w:sz w:val="16"/>
                <w:szCs w:val="16"/>
                <w:lang w:val="sq-AL"/>
              </w:rPr>
              <w:t>1</w:t>
            </w:r>
          </w:p>
        </w:tc>
        <w:tc>
          <w:tcPr>
            <w:tcW w:w="0" w:type="auto"/>
            <w:tcBorders>
              <w:left w:val="single" w:sz="8" w:space="0" w:color="5B9BD5" w:themeColor="accent1"/>
            </w:tcBorders>
            <w:vAlign w:val="center"/>
          </w:tcPr>
          <w:p w14:paraId="50765D4D" w14:textId="11FAC54C" w:rsidR="000F566F" w:rsidRPr="004F2AC3" w:rsidRDefault="000F566F" w:rsidP="00994235">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2</w:t>
            </w:r>
          </w:p>
        </w:tc>
      </w:tr>
      <w:tr w:rsidR="000F566F" w:rsidRPr="004F2AC3" w14:paraId="27450ADF" w14:textId="77777777" w:rsidTr="00804061">
        <w:trPr>
          <w:trHeight w:val="607"/>
        </w:trPr>
        <w:tc>
          <w:tcPr>
            <w:cnfStyle w:val="001000000000" w:firstRow="0" w:lastRow="0" w:firstColumn="1" w:lastColumn="0" w:oddVBand="0" w:evenVBand="0" w:oddHBand="0" w:evenHBand="0" w:firstRowFirstColumn="0" w:firstRowLastColumn="0" w:lastRowFirstColumn="0" w:lastRowLastColumn="0"/>
            <w:tcW w:w="0" w:type="auto"/>
            <w:vMerge/>
            <w:tcBorders>
              <w:right w:val="single" w:sz="8" w:space="0" w:color="5B9BD5" w:themeColor="accent1"/>
            </w:tcBorders>
            <w:vAlign w:val="center"/>
          </w:tcPr>
          <w:p w14:paraId="075FD610" w14:textId="77777777" w:rsidR="000F566F" w:rsidRPr="004F2AC3" w:rsidRDefault="000F566F" w:rsidP="00994235">
            <w:pPr>
              <w:shd w:val="clear" w:color="auto" w:fill="FFFFFF" w:themeFill="background1"/>
              <w:autoSpaceDE w:val="0"/>
              <w:autoSpaceDN w:val="0"/>
              <w:adjustRightInd w:val="0"/>
              <w:rPr>
                <w:rFonts w:ascii="Garamond" w:hAnsi="Garamond"/>
                <w:bCs w:val="0"/>
                <w:color w:val="000000" w:themeColor="text1"/>
                <w:sz w:val="16"/>
                <w:szCs w:val="16"/>
                <w:lang w:val="sq-AL" w:eastAsia="en-GB"/>
              </w:rPr>
            </w:pPr>
          </w:p>
        </w:tc>
        <w:tc>
          <w:tcPr>
            <w:tcW w:w="0" w:type="auto"/>
            <w:vMerge/>
            <w:tcBorders>
              <w:left w:val="single" w:sz="8" w:space="0" w:color="5B9BD5" w:themeColor="accent1"/>
              <w:right w:val="single" w:sz="8" w:space="0" w:color="5B9BD5" w:themeColor="accent1"/>
            </w:tcBorders>
            <w:vAlign w:val="center"/>
          </w:tcPr>
          <w:p w14:paraId="02A3CE73" w14:textId="77777777" w:rsidR="000F566F" w:rsidRPr="004F2AC3" w:rsidRDefault="000F566F" w:rsidP="0099423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p>
        </w:tc>
        <w:tc>
          <w:tcPr>
            <w:tcW w:w="0" w:type="auto"/>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6133D2D0" w14:textId="77777777" w:rsidR="000F566F" w:rsidRPr="004F2AC3" w:rsidRDefault="000F566F" w:rsidP="00994235">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3.2 Numri i raporteve të cilësisë të publikuara</w:t>
            </w:r>
          </w:p>
        </w:tc>
        <w:tc>
          <w:tcPr>
            <w:tcW w:w="0" w:type="auto"/>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1C2B68E2"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rPr>
            </w:pPr>
            <w:r w:rsidRPr="004F2AC3">
              <w:rPr>
                <w:rFonts w:ascii="Garamond" w:hAnsi="Garamond"/>
                <w:color w:val="000000" w:themeColor="text1"/>
                <w:sz w:val="16"/>
                <w:szCs w:val="16"/>
                <w:lang w:val="sq-AL"/>
              </w:rPr>
              <w:t>52</w:t>
            </w:r>
          </w:p>
        </w:tc>
        <w:tc>
          <w:tcPr>
            <w:tcW w:w="0" w:type="auto"/>
            <w:tcBorders>
              <w:top w:val="single" w:sz="8" w:space="0" w:color="5B9BD5" w:themeColor="accent1"/>
              <w:left w:val="single" w:sz="8" w:space="0" w:color="5B9BD5" w:themeColor="accent1"/>
              <w:bottom w:val="single" w:sz="8" w:space="0" w:color="5B9BD5" w:themeColor="accent1"/>
            </w:tcBorders>
            <w:vAlign w:val="center"/>
          </w:tcPr>
          <w:p w14:paraId="48635F1F"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64</w:t>
            </w:r>
          </w:p>
        </w:tc>
      </w:tr>
    </w:tbl>
    <w:p w14:paraId="1EBEC1FD"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b/>
          <w:color w:val="000000" w:themeColor="text1"/>
          <w:sz w:val="24"/>
          <w:szCs w:val="24"/>
        </w:rPr>
      </w:pPr>
    </w:p>
    <w:p w14:paraId="1724CA80" w14:textId="37FC5D22" w:rsidR="000F566F" w:rsidRPr="004F2AC3" w:rsidRDefault="000F566F" w:rsidP="000F566F">
      <w:pPr>
        <w:shd w:val="clear" w:color="auto" w:fill="FFFFFF" w:themeFill="background1"/>
        <w:spacing w:after="0" w:line="240" w:lineRule="auto"/>
        <w:ind w:firstLine="284"/>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nr.4</w:t>
      </w:r>
      <w:r w:rsidR="007B15A6"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Objektivi </w:t>
      </w:r>
      <w:r w:rsidR="00804061" w:rsidRPr="004F2AC3">
        <w:rPr>
          <w:rFonts w:ascii="Garamond" w:hAnsi="Garamond" w:cs="Times New Roman"/>
          <w:b/>
          <w:color w:val="000000" w:themeColor="text1"/>
          <w:sz w:val="24"/>
          <w:szCs w:val="24"/>
        </w:rPr>
        <w:t xml:space="preserve">strategjik </w:t>
      </w:r>
      <w:r w:rsidRPr="004F2AC3">
        <w:rPr>
          <w:rFonts w:ascii="Garamond" w:hAnsi="Garamond" w:cs="Times New Roman"/>
          <w:b/>
          <w:color w:val="000000" w:themeColor="text1"/>
          <w:sz w:val="24"/>
          <w:szCs w:val="24"/>
        </w:rPr>
        <w:t>4, aktivitetet statistikore dhe treguesit e performancës</w:t>
      </w:r>
    </w:p>
    <w:tbl>
      <w:tblPr>
        <w:tblStyle w:val="LightList-Accent11"/>
        <w:tblpPr w:leftFromText="180" w:rightFromText="180" w:vertAnchor="text" w:horzAnchor="margin" w:tblpXSpec="center" w:tblpY="41"/>
        <w:tblW w:w="0" w:type="auto"/>
        <w:tblLook w:val="04A0" w:firstRow="1" w:lastRow="0" w:firstColumn="1" w:lastColumn="0" w:noHBand="0" w:noVBand="1"/>
      </w:tblPr>
      <w:tblGrid>
        <w:gridCol w:w="2335"/>
        <w:gridCol w:w="3008"/>
        <w:gridCol w:w="2817"/>
        <w:gridCol w:w="916"/>
        <w:gridCol w:w="516"/>
      </w:tblGrid>
      <w:tr w:rsidR="000F566F" w:rsidRPr="004F2AC3" w14:paraId="5DB60D1F" w14:textId="77777777" w:rsidTr="0080406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5B9BD5" w:themeColor="accent1"/>
              <w:bottom w:val="single" w:sz="4" w:space="0" w:color="5B9BD5" w:themeColor="accent1"/>
              <w:right w:val="single" w:sz="8" w:space="0" w:color="5B9BD5" w:themeColor="accent1"/>
            </w:tcBorders>
            <w:vAlign w:val="center"/>
          </w:tcPr>
          <w:p w14:paraId="79793DD4" w14:textId="77777777" w:rsidR="000F566F" w:rsidRPr="004F2AC3" w:rsidRDefault="000F566F" w:rsidP="00994235">
            <w:pPr>
              <w:jc w:val="center"/>
              <w:rPr>
                <w:rFonts w:ascii="Garamond" w:hAnsi="Garamond"/>
                <w:b w:val="0"/>
                <w:bCs w:val="0"/>
                <w:color w:val="000000" w:themeColor="text1"/>
                <w:sz w:val="16"/>
                <w:szCs w:val="16"/>
                <w:lang w:val="sq-AL" w:eastAsia="en-GB"/>
              </w:rPr>
            </w:pPr>
            <w:r w:rsidRPr="004F2AC3">
              <w:rPr>
                <w:rFonts w:ascii="Garamond" w:hAnsi="Garamond"/>
                <w:bCs w:val="0"/>
                <w:color w:val="000000" w:themeColor="text1"/>
                <w:sz w:val="16"/>
                <w:szCs w:val="16"/>
                <w:lang w:val="sq-AL" w:eastAsia="en-GB"/>
              </w:rPr>
              <w:t>Objektivat strategjikë</w:t>
            </w:r>
          </w:p>
        </w:tc>
        <w:tc>
          <w:tcPr>
            <w:tcW w:w="0" w:type="auto"/>
            <w:tcBorders>
              <w:top w:val="nil"/>
              <w:left w:val="single" w:sz="8" w:space="0" w:color="5B9BD5" w:themeColor="accent1"/>
              <w:bottom w:val="single" w:sz="4" w:space="0" w:color="5B9BD5" w:themeColor="accent1"/>
              <w:right w:val="single" w:sz="8" w:space="0" w:color="5B9BD5" w:themeColor="accent1"/>
            </w:tcBorders>
            <w:vAlign w:val="center"/>
          </w:tcPr>
          <w:p w14:paraId="3B45EA19" w14:textId="77777777" w:rsidR="000F566F" w:rsidRPr="004F2AC3" w:rsidRDefault="000F566F" w:rsidP="0099423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eastAsia="en-GB"/>
              </w:rPr>
            </w:pPr>
            <w:r w:rsidRPr="004F2AC3">
              <w:rPr>
                <w:rFonts w:ascii="Garamond" w:hAnsi="Garamond"/>
                <w:bCs w:val="0"/>
                <w:color w:val="000000" w:themeColor="text1"/>
                <w:sz w:val="16"/>
                <w:szCs w:val="16"/>
                <w:lang w:val="sq-AL" w:eastAsia="en-GB"/>
              </w:rPr>
              <w:t>Objektiva specifikë</w:t>
            </w:r>
          </w:p>
        </w:tc>
        <w:tc>
          <w:tcPr>
            <w:tcW w:w="0" w:type="auto"/>
            <w:tcBorders>
              <w:top w:val="nil"/>
              <w:left w:val="single" w:sz="8" w:space="0" w:color="5B9BD5" w:themeColor="accent1"/>
              <w:bottom w:val="single" w:sz="4" w:space="0" w:color="5B9BD5" w:themeColor="accent1"/>
              <w:right w:val="single" w:sz="8" w:space="0" w:color="5B9BD5" w:themeColor="accent1"/>
            </w:tcBorders>
            <w:vAlign w:val="center"/>
          </w:tcPr>
          <w:p w14:paraId="04329322" w14:textId="77777777" w:rsidR="000F566F" w:rsidRPr="004F2AC3" w:rsidRDefault="000F566F" w:rsidP="0099423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rPr>
            </w:pPr>
            <w:r w:rsidRPr="004F2AC3">
              <w:rPr>
                <w:rFonts w:ascii="Garamond" w:hAnsi="Garamond"/>
                <w:bCs w:val="0"/>
                <w:color w:val="000000" w:themeColor="text1"/>
                <w:sz w:val="16"/>
                <w:szCs w:val="16"/>
                <w:lang w:val="sq-AL" w:eastAsia="en-GB"/>
              </w:rPr>
              <w:t>Treguesit e performancës</w:t>
            </w:r>
          </w:p>
        </w:tc>
        <w:tc>
          <w:tcPr>
            <w:tcW w:w="0" w:type="auto"/>
            <w:tcBorders>
              <w:top w:val="nil"/>
              <w:left w:val="single" w:sz="8" w:space="0" w:color="5B9BD5" w:themeColor="accent1"/>
              <w:bottom w:val="single" w:sz="4" w:space="0" w:color="5B9BD5" w:themeColor="accent1"/>
              <w:right w:val="single" w:sz="8" w:space="0" w:color="5B9BD5" w:themeColor="accent1"/>
            </w:tcBorders>
            <w:vAlign w:val="center"/>
          </w:tcPr>
          <w:p w14:paraId="23432EDC"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rPr>
            </w:pPr>
            <w:r w:rsidRPr="004F2AC3">
              <w:rPr>
                <w:rFonts w:ascii="Garamond" w:hAnsi="Garamond"/>
                <w:bCs w:val="0"/>
                <w:color w:val="000000" w:themeColor="text1"/>
                <w:sz w:val="16"/>
                <w:szCs w:val="16"/>
                <w:lang w:val="sq-AL" w:eastAsia="en-GB"/>
              </w:rPr>
              <w:t>Vlerat për vitin bazë 2022</w:t>
            </w:r>
          </w:p>
        </w:tc>
        <w:tc>
          <w:tcPr>
            <w:tcW w:w="0" w:type="auto"/>
            <w:tcBorders>
              <w:top w:val="nil"/>
              <w:left w:val="single" w:sz="8" w:space="0" w:color="5B9BD5" w:themeColor="accent1"/>
              <w:bottom w:val="single" w:sz="4" w:space="0" w:color="5B9BD5" w:themeColor="accent1"/>
              <w:right w:val="single" w:sz="4" w:space="0" w:color="5B9BD5" w:themeColor="accent1"/>
            </w:tcBorders>
            <w:vAlign w:val="center"/>
          </w:tcPr>
          <w:p w14:paraId="6369678A"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bCs w:val="0"/>
                <w:color w:val="000000" w:themeColor="text1"/>
                <w:sz w:val="16"/>
                <w:szCs w:val="16"/>
                <w:lang w:val="sq-AL" w:eastAsia="en-GB"/>
              </w:rPr>
            </w:pPr>
            <w:r w:rsidRPr="004F2AC3">
              <w:rPr>
                <w:rFonts w:ascii="Garamond" w:hAnsi="Garamond"/>
                <w:bCs w:val="0"/>
                <w:color w:val="000000" w:themeColor="text1"/>
                <w:sz w:val="16"/>
                <w:szCs w:val="16"/>
                <w:lang w:val="sq-AL" w:eastAsia="en-GB"/>
              </w:rPr>
              <w:t>2026</w:t>
            </w:r>
          </w:p>
        </w:tc>
      </w:tr>
      <w:tr w:rsidR="000F566F" w:rsidRPr="004F2AC3" w14:paraId="05EF7890" w14:textId="77777777" w:rsidTr="00804061">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5B9BD5" w:themeColor="accent1"/>
              <w:right w:val="single" w:sz="8" w:space="0" w:color="5B9BD5" w:themeColor="accent1"/>
            </w:tcBorders>
            <w:vAlign w:val="center"/>
          </w:tcPr>
          <w:p w14:paraId="2C223EFF" w14:textId="77777777" w:rsidR="000F566F" w:rsidRPr="004F2AC3" w:rsidRDefault="000F566F" w:rsidP="00994235">
            <w:pPr>
              <w:shd w:val="clear" w:color="auto" w:fill="FFFFFF" w:themeFill="background1"/>
              <w:autoSpaceDE w:val="0"/>
              <w:autoSpaceDN w:val="0"/>
              <w:adjustRightInd w:val="0"/>
              <w:rPr>
                <w:rFonts w:ascii="Garamond" w:hAnsi="Garamond"/>
                <w:bCs w:val="0"/>
                <w:color w:val="000000" w:themeColor="text1"/>
                <w:sz w:val="16"/>
                <w:szCs w:val="16"/>
                <w:lang w:val="sq-AL" w:eastAsia="en-GB"/>
              </w:rPr>
            </w:pPr>
            <w:r w:rsidRPr="004F2AC3">
              <w:rPr>
                <w:rFonts w:ascii="Garamond" w:hAnsi="Garamond"/>
                <w:bCs w:val="0"/>
                <w:color w:val="000000" w:themeColor="text1"/>
                <w:sz w:val="16"/>
                <w:szCs w:val="16"/>
                <w:lang w:val="sq-AL" w:eastAsia="en-GB"/>
              </w:rPr>
              <w:t xml:space="preserve">Objektivi strategjik 4: </w:t>
            </w:r>
          </w:p>
          <w:p w14:paraId="38D78338" w14:textId="77777777" w:rsidR="000F566F" w:rsidRPr="004F2AC3" w:rsidRDefault="000F566F" w:rsidP="00994235">
            <w:pPr>
              <w:shd w:val="clear" w:color="auto" w:fill="FFFFFF" w:themeFill="background1"/>
              <w:autoSpaceDE w:val="0"/>
              <w:autoSpaceDN w:val="0"/>
              <w:adjustRightInd w:val="0"/>
              <w:rPr>
                <w:rFonts w:ascii="Garamond" w:hAnsi="Garamond"/>
                <w:bCs w:val="0"/>
                <w:color w:val="000000" w:themeColor="text1"/>
                <w:sz w:val="16"/>
                <w:szCs w:val="16"/>
                <w:lang w:val="sq-AL" w:eastAsia="en-GB"/>
              </w:rPr>
            </w:pPr>
            <w:r w:rsidRPr="004F2AC3">
              <w:rPr>
                <w:rFonts w:ascii="Garamond" w:hAnsi="Garamond"/>
                <w:bCs w:val="0"/>
                <w:color w:val="000000" w:themeColor="text1"/>
                <w:sz w:val="16"/>
                <w:szCs w:val="16"/>
                <w:lang w:val="sq-AL" w:eastAsia="en-GB"/>
              </w:rPr>
              <w:t xml:space="preserve">Përfshirja e institucioneve shtesë prodhues në Programin Kombëtar të Statistikave Zyrtare </w:t>
            </w:r>
          </w:p>
          <w:p w14:paraId="3ED1D93B" w14:textId="77777777" w:rsidR="000F566F" w:rsidRPr="004F2AC3" w:rsidRDefault="000F566F" w:rsidP="00994235">
            <w:pPr>
              <w:shd w:val="clear" w:color="auto" w:fill="FFFFFF" w:themeFill="background1"/>
              <w:rPr>
                <w:rFonts w:ascii="Garamond" w:hAnsi="Garamond"/>
                <w:b w:val="0"/>
                <w:bCs w:val="0"/>
                <w:color w:val="000000" w:themeColor="text1"/>
                <w:sz w:val="16"/>
                <w:szCs w:val="16"/>
                <w:lang w:val="sq-AL"/>
              </w:rPr>
            </w:pPr>
          </w:p>
        </w:tc>
        <w:tc>
          <w:tcPr>
            <w:tcW w:w="0" w:type="auto"/>
            <w:vMerge w:val="restart"/>
            <w:tcBorders>
              <w:top w:val="single" w:sz="4" w:space="0" w:color="5B9BD5" w:themeColor="accent1"/>
              <w:left w:val="single" w:sz="8" w:space="0" w:color="5B9BD5" w:themeColor="accent1"/>
              <w:right w:val="single" w:sz="8" w:space="0" w:color="5B9BD5" w:themeColor="accent1"/>
            </w:tcBorders>
            <w:vAlign w:val="center"/>
          </w:tcPr>
          <w:p w14:paraId="4EE3F7DF" w14:textId="047D0C4B" w:rsidR="000F566F"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4.1 Rritja e ndërgjegjësimit të institucioneve për përfitimet si rezultati i funksionimit brenda PKSZ</w:t>
            </w:r>
            <w:r w:rsidR="00804061" w:rsidRPr="004F2AC3">
              <w:rPr>
                <w:rFonts w:ascii="Garamond" w:hAnsi="Garamond"/>
                <w:color w:val="000000" w:themeColor="text1"/>
                <w:sz w:val="16"/>
                <w:szCs w:val="16"/>
                <w:lang w:val="sq-AL" w:eastAsia="en-GB"/>
              </w:rPr>
              <w:t>-së.</w:t>
            </w:r>
          </w:p>
          <w:p w14:paraId="61B6B0FE" w14:textId="69EEFB15" w:rsidR="000F566F"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4.2 Vendosja dhe përmirësimi i bashkëpunimit dhe partneriteti mes institucioneve prodhues të statistikave</w:t>
            </w:r>
            <w:r w:rsidR="00804061" w:rsidRPr="004F2AC3">
              <w:rPr>
                <w:rFonts w:ascii="Garamond" w:hAnsi="Garamond"/>
                <w:color w:val="000000" w:themeColor="text1"/>
                <w:sz w:val="16"/>
                <w:szCs w:val="16"/>
                <w:lang w:val="sq-AL" w:eastAsia="en-GB"/>
              </w:rPr>
              <w:t>.</w:t>
            </w:r>
          </w:p>
          <w:p w14:paraId="7752922C" w14:textId="716E4F03" w:rsidR="000F566F"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4.3 Miratimi i akteve rregullatore nga ana e institucioneve të tjera prodhuese statistikore që të jenë në mbështetje të funksioneve statistikore zyrtare</w:t>
            </w:r>
            <w:r w:rsidR="00804061" w:rsidRPr="004F2AC3">
              <w:rPr>
                <w:rFonts w:ascii="Garamond" w:hAnsi="Garamond"/>
                <w:color w:val="000000" w:themeColor="text1"/>
                <w:sz w:val="16"/>
                <w:szCs w:val="16"/>
                <w:lang w:val="sq-AL" w:eastAsia="en-GB"/>
              </w:rPr>
              <w:t>.</w:t>
            </w:r>
          </w:p>
          <w:p w14:paraId="46FB1FB0" w14:textId="35F4D86B" w:rsidR="00804061"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 xml:space="preserve">4.4 Përafrimi dhe zbatimi i mekanizmave që nxisin ndarjen efikase dhe </w:t>
            </w:r>
            <w:r w:rsidR="00804061" w:rsidRPr="004F2AC3">
              <w:rPr>
                <w:rFonts w:ascii="Garamond" w:hAnsi="Garamond"/>
                <w:color w:val="000000" w:themeColor="text1"/>
                <w:sz w:val="16"/>
                <w:szCs w:val="16"/>
                <w:lang w:val="sq-AL" w:eastAsia="en-GB"/>
              </w:rPr>
              <w:t>transparente të fondeve publike.</w:t>
            </w:r>
          </w:p>
          <w:p w14:paraId="1C58F261" w14:textId="5796C9FB" w:rsidR="000F566F" w:rsidRPr="004F2AC3" w:rsidRDefault="000F566F" w:rsidP="00804061">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4.4 Përfshirja në strukturat organizative të institucioneve publike struktura të veçanta të dedikuara vetëm për prodhimin statistikor</w:t>
            </w:r>
            <w:r w:rsidR="00804061" w:rsidRPr="004F2AC3">
              <w:rPr>
                <w:rFonts w:ascii="Garamond" w:hAnsi="Garamond"/>
                <w:color w:val="000000" w:themeColor="text1"/>
                <w:sz w:val="16"/>
                <w:szCs w:val="16"/>
                <w:lang w:val="sq-AL" w:eastAsia="en-GB"/>
              </w:rPr>
              <w:t>.</w:t>
            </w:r>
          </w:p>
        </w:tc>
        <w:tc>
          <w:tcPr>
            <w:tcW w:w="0" w:type="auto"/>
            <w:tcBorders>
              <w:top w:val="single" w:sz="4" w:space="0" w:color="5B9BD5" w:themeColor="accent1"/>
              <w:left w:val="single" w:sz="8" w:space="0" w:color="5B9BD5" w:themeColor="accent1"/>
              <w:right w:val="single" w:sz="8" w:space="0" w:color="5B9BD5" w:themeColor="accent1"/>
            </w:tcBorders>
            <w:vAlign w:val="center"/>
          </w:tcPr>
          <w:p w14:paraId="1B57376D" w14:textId="7853674B" w:rsidR="000F566F" w:rsidRPr="004F2AC3" w:rsidRDefault="000F566F" w:rsidP="00994235">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4.1 Numri i agjencive statistikore në PSZ</w:t>
            </w:r>
            <w:r w:rsidR="00804061" w:rsidRPr="004F2AC3">
              <w:rPr>
                <w:rFonts w:ascii="Garamond" w:eastAsia="Times New Roman" w:hAnsi="Garamond"/>
                <w:color w:val="000000" w:themeColor="text1"/>
                <w:sz w:val="16"/>
                <w:szCs w:val="16"/>
                <w:lang w:val="sq-AL"/>
              </w:rPr>
              <w:t>.</w:t>
            </w:r>
          </w:p>
        </w:tc>
        <w:tc>
          <w:tcPr>
            <w:tcW w:w="0" w:type="auto"/>
            <w:tcBorders>
              <w:top w:val="single" w:sz="4" w:space="0" w:color="5B9BD5" w:themeColor="accent1"/>
              <w:left w:val="single" w:sz="8" w:space="0" w:color="5B9BD5" w:themeColor="accent1"/>
              <w:right w:val="single" w:sz="8" w:space="0" w:color="5B9BD5" w:themeColor="accent1"/>
            </w:tcBorders>
            <w:vAlign w:val="center"/>
          </w:tcPr>
          <w:p w14:paraId="7BF60F4F" w14:textId="77777777" w:rsidR="000F566F" w:rsidRPr="004F2AC3" w:rsidRDefault="000F566F" w:rsidP="00994235">
            <w:pPr>
              <w:shd w:val="clear" w:color="auto" w:fill="FFFFFF" w:themeFill="background1"/>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3</w:t>
            </w:r>
          </w:p>
        </w:tc>
        <w:tc>
          <w:tcPr>
            <w:tcW w:w="0" w:type="auto"/>
            <w:tcBorders>
              <w:top w:val="single" w:sz="4" w:space="0" w:color="5B9BD5" w:themeColor="accent1"/>
              <w:left w:val="single" w:sz="8" w:space="0" w:color="5B9BD5" w:themeColor="accent1"/>
            </w:tcBorders>
            <w:vAlign w:val="center"/>
          </w:tcPr>
          <w:p w14:paraId="29B64B2D" w14:textId="77777777" w:rsidR="000F566F" w:rsidRPr="004F2AC3" w:rsidRDefault="000F566F" w:rsidP="00994235">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p>
          <w:p w14:paraId="516ED264" w14:textId="77777777" w:rsidR="000F566F" w:rsidRPr="004F2AC3" w:rsidRDefault="000F566F" w:rsidP="00994235">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4</w:t>
            </w:r>
          </w:p>
          <w:p w14:paraId="238A2663" w14:textId="77777777" w:rsidR="000F566F" w:rsidRPr="004F2AC3" w:rsidRDefault="000F566F" w:rsidP="00994235">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p>
        </w:tc>
      </w:tr>
      <w:tr w:rsidR="000F566F" w:rsidRPr="004F2AC3" w14:paraId="32C73457" w14:textId="77777777" w:rsidTr="00804061">
        <w:trPr>
          <w:trHeight w:val="612"/>
        </w:trPr>
        <w:tc>
          <w:tcPr>
            <w:cnfStyle w:val="001000000000" w:firstRow="0" w:lastRow="0" w:firstColumn="1" w:lastColumn="0" w:oddVBand="0" w:evenVBand="0" w:oddHBand="0" w:evenHBand="0" w:firstRowFirstColumn="0" w:firstRowLastColumn="0" w:lastRowFirstColumn="0" w:lastRowLastColumn="0"/>
            <w:tcW w:w="0" w:type="auto"/>
            <w:vMerge/>
            <w:tcBorders>
              <w:right w:val="single" w:sz="8" w:space="0" w:color="5B9BD5" w:themeColor="accent1"/>
            </w:tcBorders>
          </w:tcPr>
          <w:p w14:paraId="4EF0E28F" w14:textId="77777777" w:rsidR="000F566F" w:rsidRPr="004F2AC3" w:rsidRDefault="000F566F" w:rsidP="00994235">
            <w:pPr>
              <w:shd w:val="clear" w:color="auto" w:fill="FFFFFF" w:themeFill="background1"/>
              <w:autoSpaceDE w:val="0"/>
              <w:autoSpaceDN w:val="0"/>
              <w:adjustRightInd w:val="0"/>
              <w:rPr>
                <w:rFonts w:ascii="Garamond" w:hAnsi="Garamond"/>
                <w:b w:val="0"/>
                <w:bCs w:val="0"/>
                <w:color w:val="000000" w:themeColor="text1"/>
                <w:sz w:val="16"/>
                <w:szCs w:val="16"/>
                <w:lang w:val="sq-AL" w:eastAsia="en-GB"/>
              </w:rPr>
            </w:pPr>
          </w:p>
        </w:tc>
        <w:tc>
          <w:tcPr>
            <w:tcW w:w="0" w:type="auto"/>
            <w:vMerge/>
            <w:tcBorders>
              <w:left w:val="single" w:sz="8" w:space="0" w:color="5B9BD5" w:themeColor="accent1"/>
              <w:right w:val="single" w:sz="8" w:space="0" w:color="5B9BD5" w:themeColor="accent1"/>
            </w:tcBorders>
          </w:tcPr>
          <w:p w14:paraId="0A307546" w14:textId="77777777" w:rsidR="000F566F" w:rsidRPr="004F2AC3" w:rsidRDefault="000F566F" w:rsidP="0099423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p>
        </w:tc>
        <w:tc>
          <w:tcPr>
            <w:tcW w:w="0" w:type="auto"/>
            <w:tcBorders>
              <w:left w:val="single" w:sz="8" w:space="0" w:color="5B9BD5" w:themeColor="accent1"/>
              <w:right w:val="single" w:sz="8" w:space="0" w:color="5B9BD5" w:themeColor="accent1"/>
            </w:tcBorders>
            <w:vAlign w:val="center"/>
          </w:tcPr>
          <w:p w14:paraId="000FB26F" w14:textId="0B2CCE84" w:rsidR="000F566F" w:rsidRPr="004F2AC3" w:rsidRDefault="000F566F" w:rsidP="0099423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4.2 Numri i institucioneve furnizuese me të dhëna administrative mikro</w:t>
            </w:r>
            <w:r w:rsidR="00804061" w:rsidRPr="004F2AC3">
              <w:rPr>
                <w:rFonts w:ascii="Garamond" w:eastAsia="Times New Roman" w:hAnsi="Garamond"/>
                <w:color w:val="000000" w:themeColor="text1"/>
                <w:sz w:val="16"/>
                <w:szCs w:val="16"/>
                <w:lang w:val="sq-AL"/>
              </w:rPr>
              <w:t>.</w:t>
            </w:r>
          </w:p>
        </w:tc>
        <w:tc>
          <w:tcPr>
            <w:tcW w:w="0" w:type="auto"/>
            <w:tcBorders>
              <w:left w:val="single" w:sz="8" w:space="0" w:color="5B9BD5" w:themeColor="accent1"/>
              <w:right w:val="single" w:sz="8" w:space="0" w:color="5B9BD5" w:themeColor="accent1"/>
            </w:tcBorders>
            <w:vAlign w:val="center"/>
          </w:tcPr>
          <w:p w14:paraId="753D020B"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4</w:t>
            </w:r>
          </w:p>
        </w:tc>
        <w:tc>
          <w:tcPr>
            <w:tcW w:w="0" w:type="auto"/>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0846944"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4</w:t>
            </w:r>
          </w:p>
        </w:tc>
      </w:tr>
      <w:tr w:rsidR="000F566F" w:rsidRPr="004F2AC3" w14:paraId="34518694" w14:textId="77777777" w:rsidTr="00804061">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0" w:type="auto"/>
            <w:vMerge/>
            <w:tcBorders>
              <w:right w:val="single" w:sz="8" w:space="0" w:color="5B9BD5" w:themeColor="accent1"/>
            </w:tcBorders>
          </w:tcPr>
          <w:p w14:paraId="1F2FB0E5" w14:textId="77777777" w:rsidR="000F566F" w:rsidRPr="004F2AC3" w:rsidRDefault="000F566F" w:rsidP="00994235">
            <w:pPr>
              <w:shd w:val="clear" w:color="auto" w:fill="FFFFFF" w:themeFill="background1"/>
              <w:autoSpaceDE w:val="0"/>
              <w:autoSpaceDN w:val="0"/>
              <w:adjustRightInd w:val="0"/>
              <w:rPr>
                <w:rFonts w:ascii="Garamond" w:hAnsi="Garamond"/>
                <w:b w:val="0"/>
                <w:bCs w:val="0"/>
                <w:color w:val="000000" w:themeColor="text1"/>
                <w:sz w:val="16"/>
                <w:szCs w:val="16"/>
                <w:lang w:val="sq-AL" w:eastAsia="en-GB"/>
              </w:rPr>
            </w:pPr>
          </w:p>
        </w:tc>
        <w:tc>
          <w:tcPr>
            <w:tcW w:w="0" w:type="auto"/>
            <w:vMerge/>
            <w:tcBorders>
              <w:left w:val="single" w:sz="8" w:space="0" w:color="5B9BD5" w:themeColor="accent1"/>
              <w:right w:val="single" w:sz="8" w:space="0" w:color="5B9BD5" w:themeColor="accent1"/>
            </w:tcBorders>
          </w:tcPr>
          <w:p w14:paraId="03A1F904" w14:textId="77777777" w:rsidR="000F566F"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p>
        </w:tc>
        <w:tc>
          <w:tcPr>
            <w:tcW w:w="0" w:type="auto"/>
            <w:tcBorders>
              <w:left w:val="single" w:sz="8" w:space="0" w:color="5B9BD5" w:themeColor="accent1"/>
              <w:right w:val="single" w:sz="8" w:space="0" w:color="5B9BD5" w:themeColor="accent1"/>
            </w:tcBorders>
            <w:vAlign w:val="center"/>
          </w:tcPr>
          <w:p w14:paraId="77DACE4A" w14:textId="055607BF" w:rsidR="000F566F" w:rsidRPr="004F2AC3" w:rsidRDefault="000F566F" w:rsidP="00994235">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4.3 Numri i temave të trajnimeve të organizuara nga INSTAT</w:t>
            </w:r>
            <w:r w:rsidR="00804061" w:rsidRPr="004F2AC3">
              <w:rPr>
                <w:rFonts w:ascii="Garamond" w:eastAsia="Times New Roman" w:hAnsi="Garamond"/>
                <w:color w:val="000000" w:themeColor="text1"/>
                <w:sz w:val="16"/>
                <w:szCs w:val="16"/>
                <w:lang w:val="sq-AL"/>
              </w:rPr>
              <w:t>-i.</w:t>
            </w:r>
          </w:p>
        </w:tc>
        <w:tc>
          <w:tcPr>
            <w:tcW w:w="0" w:type="auto"/>
            <w:tcBorders>
              <w:left w:val="single" w:sz="8" w:space="0" w:color="5B9BD5" w:themeColor="accent1"/>
              <w:right w:val="single" w:sz="8" w:space="0" w:color="5B9BD5" w:themeColor="accent1"/>
            </w:tcBorders>
            <w:vAlign w:val="center"/>
          </w:tcPr>
          <w:p w14:paraId="2028E3CC" w14:textId="77777777" w:rsidR="000F566F" w:rsidRPr="004F2AC3" w:rsidRDefault="000F566F" w:rsidP="00994235">
            <w:pPr>
              <w:shd w:val="clear" w:color="auto" w:fill="FFFFFF" w:themeFill="background1"/>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11</w:t>
            </w:r>
          </w:p>
        </w:tc>
        <w:tc>
          <w:tcPr>
            <w:tcW w:w="0" w:type="auto"/>
            <w:tcBorders>
              <w:left w:val="single" w:sz="8" w:space="0" w:color="5B9BD5" w:themeColor="accent1"/>
            </w:tcBorders>
            <w:vAlign w:val="center"/>
          </w:tcPr>
          <w:p w14:paraId="5BB7C6C6" w14:textId="77777777" w:rsidR="000F566F" w:rsidRPr="004F2AC3" w:rsidRDefault="000F566F" w:rsidP="00994235">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5</w:t>
            </w:r>
          </w:p>
        </w:tc>
      </w:tr>
      <w:tr w:rsidR="000F566F" w:rsidRPr="004F2AC3" w14:paraId="43807F9C" w14:textId="77777777" w:rsidTr="00804061">
        <w:trPr>
          <w:trHeight w:val="889"/>
        </w:trPr>
        <w:tc>
          <w:tcPr>
            <w:cnfStyle w:val="001000000000" w:firstRow="0" w:lastRow="0" w:firstColumn="1" w:lastColumn="0" w:oddVBand="0" w:evenVBand="0" w:oddHBand="0" w:evenHBand="0" w:firstRowFirstColumn="0" w:firstRowLastColumn="0" w:lastRowFirstColumn="0" w:lastRowLastColumn="0"/>
            <w:tcW w:w="0" w:type="auto"/>
            <w:vMerge/>
            <w:tcBorders>
              <w:right w:val="single" w:sz="8" w:space="0" w:color="5B9BD5" w:themeColor="accent1"/>
            </w:tcBorders>
          </w:tcPr>
          <w:p w14:paraId="36A49DC7" w14:textId="77777777" w:rsidR="000F566F" w:rsidRPr="004F2AC3" w:rsidRDefault="000F566F" w:rsidP="00994235">
            <w:pPr>
              <w:shd w:val="clear" w:color="auto" w:fill="FFFFFF" w:themeFill="background1"/>
              <w:autoSpaceDE w:val="0"/>
              <w:autoSpaceDN w:val="0"/>
              <w:adjustRightInd w:val="0"/>
              <w:rPr>
                <w:rFonts w:ascii="Garamond" w:hAnsi="Garamond"/>
                <w:b w:val="0"/>
                <w:bCs w:val="0"/>
                <w:color w:val="000000" w:themeColor="text1"/>
                <w:sz w:val="16"/>
                <w:szCs w:val="16"/>
                <w:lang w:val="sq-AL" w:eastAsia="en-GB"/>
              </w:rPr>
            </w:pPr>
          </w:p>
        </w:tc>
        <w:tc>
          <w:tcPr>
            <w:tcW w:w="0" w:type="auto"/>
            <w:vMerge/>
            <w:tcBorders>
              <w:left w:val="single" w:sz="8" w:space="0" w:color="5B9BD5" w:themeColor="accent1"/>
              <w:right w:val="single" w:sz="8" w:space="0" w:color="5B9BD5" w:themeColor="accent1"/>
            </w:tcBorders>
          </w:tcPr>
          <w:p w14:paraId="6445B61B" w14:textId="77777777" w:rsidR="000F566F" w:rsidRPr="004F2AC3" w:rsidRDefault="000F566F" w:rsidP="0099423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p>
        </w:tc>
        <w:tc>
          <w:tcPr>
            <w:tcW w:w="0" w:type="auto"/>
            <w:tcBorders>
              <w:left w:val="single" w:sz="8" w:space="0" w:color="5B9BD5" w:themeColor="accent1"/>
              <w:right w:val="single" w:sz="8" w:space="0" w:color="5B9BD5" w:themeColor="accent1"/>
            </w:tcBorders>
            <w:vAlign w:val="center"/>
          </w:tcPr>
          <w:p w14:paraId="61680957" w14:textId="667A225D" w:rsidR="000F566F" w:rsidRPr="004F2AC3" w:rsidRDefault="000F566F" w:rsidP="0099423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4.4 Numri i regjistrave administrativë të përdorur për prodhim statistikor (skedarët mikro që merr INSTAT</w:t>
            </w:r>
            <w:r w:rsidR="00804061" w:rsidRPr="004F2AC3">
              <w:rPr>
                <w:rFonts w:ascii="Garamond" w:eastAsia="Times New Roman" w:hAnsi="Garamond"/>
                <w:color w:val="000000" w:themeColor="text1"/>
                <w:sz w:val="16"/>
                <w:szCs w:val="16"/>
                <w:lang w:val="sq-AL"/>
              </w:rPr>
              <w:t>-i</w:t>
            </w:r>
            <w:r w:rsidRPr="004F2AC3">
              <w:rPr>
                <w:rFonts w:ascii="Garamond" w:eastAsia="Times New Roman" w:hAnsi="Garamond"/>
                <w:color w:val="000000" w:themeColor="text1"/>
                <w:sz w:val="16"/>
                <w:szCs w:val="16"/>
                <w:lang w:val="sq-AL"/>
              </w:rPr>
              <w:t xml:space="preserve"> nga institucionet e tjera)</w:t>
            </w:r>
            <w:r w:rsidR="00804061" w:rsidRPr="004F2AC3">
              <w:rPr>
                <w:rFonts w:ascii="Garamond" w:eastAsia="Times New Roman" w:hAnsi="Garamond"/>
                <w:color w:val="000000" w:themeColor="text1"/>
                <w:sz w:val="16"/>
                <w:szCs w:val="16"/>
                <w:lang w:val="sq-AL"/>
              </w:rPr>
              <w:t>.</w:t>
            </w:r>
          </w:p>
        </w:tc>
        <w:tc>
          <w:tcPr>
            <w:tcW w:w="0" w:type="auto"/>
            <w:tcBorders>
              <w:left w:val="single" w:sz="8" w:space="0" w:color="5B9BD5" w:themeColor="accent1"/>
              <w:right w:val="single" w:sz="8" w:space="0" w:color="5B9BD5" w:themeColor="accent1"/>
            </w:tcBorders>
            <w:vAlign w:val="center"/>
          </w:tcPr>
          <w:p w14:paraId="6F3B3F25"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15</w:t>
            </w:r>
          </w:p>
        </w:tc>
        <w:tc>
          <w:tcPr>
            <w:tcW w:w="0" w:type="auto"/>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EF267E6"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4488CD54"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4F39E323"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7ACB8476"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6CA59F65"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28E0E1B3"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563F5B2E"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5799D4AB" w14:textId="25FD6AA4" w:rsidR="000F566F" w:rsidRPr="004F2AC3" w:rsidRDefault="000F566F" w:rsidP="00994235">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15</w:t>
            </w:r>
          </w:p>
        </w:tc>
      </w:tr>
    </w:tbl>
    <w:p w14:paraId="33AC5532"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b/>
          <w:i/>
          <w:color w:val="000000" w:themeColor="text1"/>
          <w:sz w:val="24"/>
          <w:szCs w:val="24"/>
        </w:rPr>
      </w:pPr>
    </w:p>
    <w:p w14:paraId="5E374CCD" w14:textId="728F7C5F" w:rsidR="000F566F" w:rsidRPr="004F2AC3" w:rsidRDefault="000F566F" w:rsidP="00994235">
      <w:pPr>
        <w:pStyle w:val="TEKSTIIIII"/>
        <w:rPr>
          <w:b/>
        </w:rPr>
      </w:pPr>
      <w:r w:rsidRPr="004F2AC3">
        <w:rPr>
          <w:b/>
        </w:rPr>
        <w:t>Tabela nr. 5</w:t>
      </w:r>
      <w:r w:rsidR="00804061" w:rsidRPr="004F2AC3">
        <w:rPr>
          <w:b/>
        </w:rPr>
        <w:t>:</w:t>
      </w:r>
      <w:r w:rsidRPr="004F2AC3">
        <w:rPr>
          <w:b/>
        </w:rPr>
        <w:t xml:space="preserve"> Objektivi </w:t>
      </w:r>
      <w:r w:rsidR="00804061" w:rsidRPr="004F2AC3">
        <w:rPr>
          <w:b/>
        </w:rPr>
        <w:t xml:space="preserve">strategjik </w:t>
      </w:r>
      <w:r w:rsidRPr="004F2AC3">
        <w:rPr>
          <w:b/>
        </w:rPr>
        <w:t>5, aktivitetet statistikore dhe treguesit e performancës</w:t>
      </w:r>
    </w:p>
    <w:tbl>
      <w:tblPr>
        <w:tblStyle w:val="LightList-Accent11"/>
        <w:tblpPr w:leftFromText="180" w:rightFromText="180" w:vertAnchor="text" w:horzAnchor="margin" w:tblpXSpec="center" w:tblpY="41"/>
        <w:tblW w:w="0" w:type="auto"/>
        <w:tblLook w:val="04A0" w:firstRow="1" w:lastRow="0" w:firstColumn="1" w:lastColumn="0" w:noHBand="0" w:noVBand="1"/>
      </w:tblPr>
      <w:tblGrid>
        <w:gridCol w:w="3224"/>
        <w:gridCol w:w="2395"/>
        <w:gridCol w:w="2544"/>
        <w:gridCol w:w="861"/>
        <w:gridCol w:w="568"/>
      </w:tblGrid>
      <w:tr w:rsidR="000F566F" w:rsidRPr="004F2AC3" w14:paraId="3ABD401E" w14:textId="77777777" w:rsidTr="00804061">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5B9BD5" w:themeColor="accent1"/>
              <w:left w:val="nil"/>
              <w:bottom w:val="single" w:sz="8" w:space="0" w:color="FFFFFF" w:themeColor="background1"/>
              <w:right w:val="single" w:sz="8" w:space="0" w:color="5B9BD5" w:themeColor="accent1"/>
            </w:tcBorders>
            <w:vAlign w:val="center"/>
          </w:tcPr>
          <w:p w14:paraId="0A8A3A01" w14:textId="77777777" w:rsidR="000F566F" w:rsidRPr="004F2AC3" w:rsidRDefault="000F566F" w:rsidP="00994235">
            <w:pPr>
              <w:pBdr>
                <w:left w:val="single" w:sz="8" w:space="4" w:color="auto"/>
              </w:pBdr>
              <w:jc w:val="right"/>
              <w:rPr>
                <w:rFonts w:ascii="Garamond" w:hAnsi="Garamond"/>
                <w:b w:val="0"/>
                <w:bCs w:val="0"/>
                <w:color w:val="000000" w:themeColor="text1"/>
                <w:sz w:val="16"/>
                <w:szCs w:val="16"/>
                <w:lang w:val="sq-AL" w:eastAsia="en-GB"/>
              </w:rPr>
            </w:pPr>
            <w:r w:rsidRPr="004F2AC3">
              <w:rPr>
                <w:rFonts w:ascii="Garamond" w:hAnsi="Garamond"/>
                <w:bCs w:val="0"/>
                <w:color w:val="000000" w:themeColor="text1"/>
                <w:sz w:val="16"/>
                <w:szCs w:val="16"/>
                <w:lang w:val="sq-AL" w:eastAsia="en-GB"/>
              </w:rPr>
              <w:t>Objektivat strategjikë</w:t>
            </w:r>
          </w:p>
        </w:tc>
        <w:tc>
          <w:tcPr>
            <w:tcW w:w="0" w:type="auto"/>
            <w:tcBorders>
              <w:top w:val="single" w:sz="8" w:space="0" w:color="5B9BD5" w:themeColor="accent1"/>
              <w:left w:val="single" w:sz="8" w:space="0" w:color="5B9BD5" w:themeColor="accent1"/>
              <w:bottom w:val="single" w:sz="8" w:space="0" w:color="FFFFFF" w:themeColor="background1"/>
              <w:right w:val="single" w:sz="8" w:space="0" w:color="5B9BD5" w:themeColor="accent1"/>
            </w:tcBorders>
            <w:vAlign w:val="center"/>
          </w:tcPr>
          <w:p w14:paraId="73DFF08F" w14:textId="77777777" w:rsidR="000F566F" w:rsidRPr="004F2AC3" w:rsidRDefault="000F566F" w:rsidP="00994235">
            <w:pPr>
              <w:pBdr>
                <w:left w:val="single" w:sz="8" w:space="4" w:color="auto"/>
              </w:pBd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eastAsia="en-GB"/>
              </w:rPr>
            </w:pPr>
            <w:r w:rsidRPr="004F2AC3">
              <w:rPr>
                <w:rFonts w:ascii="Garamond" w:hAnsi="Garamond"/>
                <w:bCs w:val="0"/>
                <w:color w:val="000000" w:themeColor="text1"/>
                <w:sz w:val="16"/>
                <w:szCs w:val="16"/>
                <w:lang w:val="sq-AL" w:eastAsia="en-GB"/>
              </w:rPr>
              <w:t>Objektiva specifikë</w:t>
            </w:r>
          </w:p>
        </w:tc>
        <w:tc>
          <w:tcPr>
            <w:tcW w:w="0" w:type="auto"/>
            <w:tcBorders>
              <w:top w:val="single" w:sz="8" w:space="0" w:color="5B9BD5" w:themeColor="accent1"/>
              <w:left w:val="single" w:sz="8" w:space="0" w:color="5B9BD5" w:themeColor="accent1"/>
              <w:bottom w:val="single" w:sz="8" w:space="0" w:color="FFFFFF" w:themeColor="background1"/>
              <w:right w:val="single" w:sz="8" w:space="0" w:color="5B9BD5" w:themeColor="accent1"/>
            </w:tcBorders>
            <w:vAlign w:val="center"/>
          </w:tcPr>
          <w:p w14:paraId="711C80A1" w14:textId="77777777" w:rsidR="000F566F" w:rsidRPr="004F2AC3" w:rsidRDefault="000F566F" w:rsidP="00994235">
            <w:pPr>
              <w:pBdr>
                <w:left w:val="single" w:sz="8" w:space="4" w:color="auto"/>
              </w:pBd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rPr>
            </w:pPr>
            <w:r w:rsidRPr="004F2AC3">
              <w:rPr>
                <w:rFonts w:ascii="Garamond" w:hAnsi="Garamond"/>
                <w:bCs w:val="0"/>
                <w:color w:val="000000" w:themeColor="text1"/>
                <w:sz w:val="16"/>
                <w:szCs w:val="16"/>
                <w:lang w:val="sq-AL" w:eastAsia="en-GB"/>
              </w:rPr>
              <w:t>Treguesit e performancës</w:t>
            </w:r>
          </w:p>
        </w:tc>
        <w:tc>
          <w:tcPr>
            <w:tcW w:w="0" w:type="auto"/>
            <w:tcBorders>
              <w:top w:val="single" w:sz="8" w:space="0" w:color="5B9BD5" w:themeColor="accent1"/>
              <w:left w:val="single" w:sz="8" w:space="0" w:color="5B9BD5" w:themeColor="accent1"/>
              <w:bottom w:val="single" w:sz="8" w:space="0" w:color="FFFFFF" w:themeColor="background1"/>
              <w:right w:val="single" w:sz="8" w:space="0" w:color="5B9BD5" w:themeColor="accent1"/>
            </w:tcBorders>
            <w:vAlign w:val="center"/>
          </w:tcPr>
          <w:p w14:paraId="6D7F82DE" w14:textId="77777777" w:rsidR="000F566F" w:rsidRPr="004F2AC3" w:rsidRDefault="000F566F" w:rsidP="00994235">
            <w:pPr>
              <w:pBdr>
                <w:left w:val="single" w:sz="8" w:space="4" w:color="auto"/>
              </w:pBd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rPr>
            </w:pPr>
            <w:r w:rsidRPr="004F2AC3">
              <w:rPr>
                <w:rFonts w:ascii="Garamond" w:hAnsi="Garamond"/>
                <w:bCs w:val="0"/>
                <w:color w:val="000000" w:themeColor="text1"/>
                <w:sz w:val="16"/>
                <w:szCs w:val="16"/>
                <w:lang w:val="sq-AL" w:eastAsia="en-GB"/>
              </w:rPr>
              <w:t>Vlerat për vitin bazë 2022</w:t>
            </w:r>
          </w:p>
        </w:tc>
        <w:tc>
          <w:tcPr>
            <w:tcW w:w="0" w:type="auto"/>
            <w:tcBorders>
              <w:top w:val="single" w:sz="8" w:space="0" w:color="5B9BD5" w:themeColor="accent1"/>
              <w:left w:val="single" w:sz="8" w:space="0" w:color="5B9BD5" w:themeColor="accent1"/>
              <w:bottom w:val="single" w:sz="8" w:space="0" w:color="FFFFFF" w:themeColor="background1"/>
              <w:right w:val="single" w:sz="8" w:space="0" w:color="5B9BD5" w:themeColor="accent1"/>
            </w:tcBorders>
          </w:tcPr>
          <w:p w14:paraId="4FCC6B85" w14:textId="77777777" w:rsidR="000F566F" w:rsidRPr="004F2AC3" w:rsidRDefault="000F566F" w:rsidP="00994235">
            <w:pPr>
              <w:pBdr>
                <w:left w:val="single" w:sz="8" w:space="4" w:color="auto"/>
              </w:pBd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eastAsia="en-GB"/>
              </w:rPr>
            </w:pPr>
          </w:p>
          <w:p w14:paraId="7045A44E" w14:textId="77777777" w:rsidR="000F566F" w:rsidRPr="004F2AC3" w:rsidRDefault="000F566F" w:rsidP="00994235">
            <w:pPr>
              <w:pBdr>
                <w:left w:val="single" w:sz="8" w:space="4" w:color="auto"/>
              </w:pBd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2026</w:t>
            </w:r>
          </w:p>
        </w:tc>
      </w:tr>
      <w:tr w:rsidR="000F566F" w:rsidRPr="004F2AC3" w14:paraId="1D5CE7C2" w14:textId="77777777" w:rsidTr="00804061">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nil"/>
              <w:right w:val="single" w:sz="8" w:space="0" w:color="5B9BD5" w:themeColor="accent1"/>
            </w:tcBorders>
            <w:vAlign w:val="center"/>
          </w:tcPr>
          <w:p w14:paraId="09519B70" w14:textId="77777777" w:rsidR="000F566F" w:rsidRPr="004F2AC3" w:rsidRDefault="000F566F" w:rsidP="00994235">
            <w:pPr>
              <w:shd w:val="clear" w:color="auto" w:fill="FFFFFF" w:themeFill="background1"/>
              <w:autoSpaceDE w:val="0"/>
              <w:autoSpaceDN w:val="0"/>
              <w:adjustRightInd w:val="0"/>
              <w:rPr>
                <w:rFonts w:ascii="Garamond" w:hAnsi="Garamond"/>
                <w:bCs w:val="0"/>
                <w:color w:val="000000" w:themeColor="text1"/>
                <w:sz w:val="16"/>
                <w:szCs w:val="16"/>
                <w:lang w:val="sq-AL" w:eastAsia="en-GB"/>
              </w:rPr>
            </w:pPr>
            <w:r w:rsidRPr="004F2AC3">
              <w:rPr>
                <w:rFonts w:ascii="Garamond" w:hAnsi="Garamond"/>
                <w:bCs w:val="0"/>
                <w:color w:val="000000" w:themeColor="text1"/>
                <w:sz w:val="16"/>
                <w:szCs w:val="16"/>
                <w:lang w:val="sq-AL" w:eastAsia="en-GB"/>
              </w:rPr>
              <w:t xml:space="preserve">Objektivi strategjik 5: </w:t>
            </w:r>
          </w:p>
          <w:p w14:paraId="1AC4D7AE" w14:textId="57A1080D" w:rsidR="000F566F" w:rsidRPr="004F2AC3" w:rsidRDefault="000F566F" w:rsidP="00994235">
            <w:pPr>
              <w:shd w:val="clear" w:color="auto" w:fill="FFFFFF" w:themeFill="background1"/>
              <w:autoSpaceDE w:val="0"/>
              <w:autoSpaceDN w:val="0"/>
              <w:adjustRightInd w:val="0"/>
              <w:rPr>
                <w:rFonts w:ascii="Garamond" w:hAnsi="Garamond"/>
                <w:bCs w:val="0"/>
                <w:color w:val="000000" w:themeColor="text1"/>
                <w:sz w:val="16"/>
                <w:szCs w:val="16"/>
                <w:lang w:val="sq-AL" w:eastAsia="en-GB"/>
              </w:rPr>
            </w:pPr>
            <w:r w:rsidRPr="004F2AC3">
              <w:rPr>
                <w:rFonts w:ascii="Garamond" w:hAnsi="Garamond"/>
                <w:bCs w:val="0"/>
                <w:color w:val="000000" w:themeColor="text1"/>
                <w:sz w:val="16"/>
                <w:szCs w:val="16"/>
                <w:lang w:val="sq-AL" w:eastAsia="en-GB"/>
              </w:rPr>
              <w:t>Modernizimi i mëtejshëm i proceseve, metodave, produkteve dhe shërbimeve statistikore për të përmirësuar cilësinë, dorëzimin në kohë dhe efi</w:t>
            </w:r>
            <w:r w:rsidR="00804061" w:rsidRPr="004F2AC3">
              <w:rPr>
                <w:rFonts w:ascii="Garamond" w:hAnsi="Garamond"/>
                <w:bCs w:val="0"/>
                <w:color w:val="000000" w:themeColor="text1"/>
                <w:sz w:val="16"/>
                <w:szCs w:val="16"/>
                <w:lang w:val="sq-AL" w:eastAsia="en-GB"/>
              </w:rPr>
              <w:t>ci</w:t>
            </w:r>
            <w:r w:rsidRPr="004F2AC3">
              <w:rPr>
                <w:rFonts w:ascii="Garamond" w:hAnsi="Garamond"/>
                <w:bCs w:val="0"/>
                <w:color w:val="000000" w:themeColor="text1"/>
                <w:sz w:val="16"/>
                <w:szCs w:val="16"/>
                <w:lang w:val="sq-AL" w:eastAsia="en-GB"/>
              </w:rPr>
              <w:t>encën në kosto të statistikave zyrtare</w:t>
            </w:r>
            <w:r w:rsidR="00804061" w:rsidRPr="004F2AC3">
              <w:rPr>
                <w:rFonts w:ascii="Garamond" w:hAnsi="Garamond"/>
                <w:bCs w:val="0"/>
                <w:color w:val="000000" w:themeColor="text1"/>
                <w:sz w:val="16"/>
                <w:szCs w:val="16"/>
                <w:lang w:val="sq-AL" w:eastAsia="en-GB"/>
              </w:rPr>
              <w:t>.</w:t>
            </w:r>
          </w:p>
          <w:p w14:paraId="0C92E656" w14:textId="77777777" w:rsidR="000F566F" w:rsidRPr="004F2AC3" w:rsidRDefault="000F566F" w:rsidP="00994235">
            <w:pPr>
              <w:shd w:val="clear" w:color="auto" w:fill="FFFFFF" w:themeFill="background1"/>
              <w:rPr>
                <w:rFonts w:ascii="Garamond" w:hAnsi="Garamond"/>
                <w:b w:val="0"/>
                <w:bCs w:val="0"/>
                <w:color w:val="000000" w:themeColor="text1"/>
                <w:sz w:val="16"/>
                <w:szCs w:val="16"/>
                <w:lang w:val="sq-AL"/>
              </w:rPr>
            </w:pPr>
          </w:p>
        </w:tc>
        <w:tc>
          <w:tcPr>
            <w:tcW w:w="0" w:type="auto"/>
            <w:vMerge w:val="restart"/>
            <w:tcBorders>
              <w:top w:val="nil"/>
              <w:left w:val="single" w:sz="8" w:space="0" w:color="5B9BD5" w:themeColor="accent1"/>
              <w:right w:val="single" w:sz="8" w:space="0" w:color="5B9BD5" w:themeColor="accent1"/>
            </w:tcBorders>
            <w:vAlign w:val="center"/>
          </w:tcPr>
          <w:p w14:paraId="7A9B2696" w14:textId="6A83C338" w:rsidR="000F566F"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5.1 Modernizimi i mëtejshëm i sistemeve për grumbullimin e të dhënave</w:t>
            </w:r>
            <w:r w:rsidR="00804061" w:rsidRPr="004F2AC3">
              <w:rPr>
                <w:rFonts w:ascii="Garamond" w:hAnsi="Garamond"/>
                <w:color w:val="000000" w:themeColor="text1"/>
                <w:sz w:val="16"/>
                <w:szCs w:val="16"/>
                <w:lang w:val="sq-AL" w:eastAsia="en-GB"/>
              </w:rPr>
              <w:t>.</w:t>
            </w:r>
          </w:p>
          <w:p w14:paraId="2D245549" w14:textId="17D04672" w:rsidR="000F566F"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5.2 Zgjerimi i përdorimit të burimeve jotradicionale të të dhënave të papërpunuara</w:t>
            </w:r>
            <w:r w:rsidR="00804061" w:rsidRPr="004F2AC3">
              <w:rPr>
                <w:rFonts w:ascii="Garamond" w:hAnsi="Garamond"/>
                <w:color w:val="000000" w:themeColor="text1"/>
                <w:sz w:val="16"/>
                <w:szCs w:val="16"/>
                <w:lang w:val="sq-AL" w:eastAsia="en-GB"/>
              </w:rPr>
              <w:t>.</w:t>
            </w:r>
          </w:p>
          <w:p w14:paraId="65E890AF" w14:textId="6A697B12" w:rsidR="000F566F"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5.3 Modernizimi i mëtejshëm i sistemeve për përpunimin statistikor dhe ruajtjen</w:t>
            </w:r>
            <w:r w:rsidR="00804061" w:rsidRPr="004F2AC3">
              <w:rPr>
                <w:rFonts w:ascii="Garamond" w:hAnsi="Garamond"/>
                <w:color w:val="000000" w:themeColor="text1"/>
                <w:sz w:val="16"/>
                <w:szCs w:val="16"/>
                <w:lang w:val="sq-AL" w:eastAsia="en-GB"/>
              </w:rPr>
              <w:t>,</w:t>
            </w:r>
            <w:r w:rsidRPr="004F2AC3">
              <w:rPr>
                <w:rFonts w:ascii="Garamond" w:hAnsi="Garamond"/>
                <w:color w:val="000000" w:themeColor="text1"/>
                <w:sz w:val="16"/>
                <w:szCs w:val="16"/>
                <w:lang w:val="sq-AL" w:eastAsia="en-GB"/>
              </w:rPr>
              <w:t xml:space="preserve"> dhe shpërndarjen</w:t>
            </w:r>
            <w:r w:rsidR="00804061" w:rsidRPr="004F2AC3">
              <w:rPr>
                <w:rFonts w:ascii="Garamond" w:hAnsi="Garamond"/>
                <w:color w:val="000000" w:themeColor="text1"/>
                <w:sz w:val="16"/>
                <w:szCs w:val="16"/>
                <w:lang w:val="sq-AL" w:eastAsia="en-GB"/>
              </w:rPr>
              <w:t>.</w:t>
            </w:r>
          </w:p>
          <w:p w14:paraId="26036823" w14:textId="7BE07E14" w:rsidR="000F566F"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5.4 Fuqizimi i bashkëpunimit me botën akademike për zhvillimin e metodave të reja, produkt</w:t>
            </w:r>
            <w:r w:rsidR="00804061" w:rsidRPr="004F2AC3">
              <w:rPr>
                <w:rFonts w:ascii="Garamond" w:hAnsi="Garamond"/>
                <w:color w:val="000000" w:themeColor="text1"/>
                <w:sz w:val="16"/>
                <w:szCs w:val="16"/>
                <w:lang w:val="sq-AL" w:eastAsia="en-GB"/>
              </w:rPr>
              <w:t>eve dhe shërbimeve statistikore.</w:t>
            </w:r>
          </w:p>
          <w:p w14:paraId="6BBEC308" w14:textId="7523FE42" w:rsidR="000F566F"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rPr>
            </w:pPr>
            <w:r w:rsidRPr="004F2AC3">
              <w:rPr>
                <w:rFonts w:ascii="Garamond" w:hAnsi="Garamond"/>
                <w:color w:val="000000" w:themeColor="text1"/>
                <w:sz w:val="16"/>
                <w:szCs w:val="16"/>
                <w:lang w:val="sq-AL" w:eastAsia="en-GB"/>
              </w:rPr>
              <w:t>5.5 Zhvillimi i sistemeve të informacionit për të reduktuar ngarkesën e komunikimit dhe për të rritur cilësinë statistikore</w:t>
            </w:r>
            <w:r w:rsidR="00804061" w:rsidRPr="004F2AC3">
              <w:rPr>
                <w:rFonts w:ascii="Garamond" w:hAnsi="Garamond"/>
                <w:color w:val="000000" w:themeColor="text1"/>
                <w:sz w:val="16"/>
                <w:szCs w:val="16"/>
                <w:lang w:val="sq-AL" w:eastAsia="en-GB"/>
              </w:rPr>
              <w:t>.</w:t>
            </w:r>
          </w:p>
        </w:tc>
        <w:tc>
          <w:tcPr>
            <w:tcW w:w="0" w:type="auto"/>
            <w:tcBorders>
              <w:top w:val="nil"/>
              <w:left w:val="single" w:sz="8" w:space="0" w:color="5B9BD5" w:themeColor="accent1"/>
              <w:right w:val="single" w:sz="8" w:space="0" w:color="5B9BD5" w:themeColor="accent1"/>
            </w:tcBorders>
            <w:vAlign w:val="center"/>
          </w:tcPr>
          <w:p w14:paraId="104CEC37" w14:textId="5D7CC304" w:rsidR="000F566F" w:rsidRPr="004F2AC3" w:rsidRDefault="000F566F" w:rsidP="00994235">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5.1 Numri i aplikacioneve të ndërtuara/përditësuara për grumbullimin e të dhënave me CATI/CAWI</w:t>
            </w:r>
            <w:r w:rsidR="00804061" w:rsidRPr="004F2AC3">
              <w:rPr>
                <w:rFonts w:ascii="Garamond" w:eastAsia="Times New Roman" w:hAnsi="Garamond"/>
                <w:color w:val="000000" w:themeColor="text1"/>
                <w:sz w:val="16"/>
                <w:szCs w:val="16"/>
                <w:lang w:val="sq-AL"/>
              </w:rPr>
              <w:t>.</w:t>
            </w:r>
          </w:p>
        </w:tc>
        <w:tc>
          <w:tcPr>
            <w:tcW w:w="0" w:type="auto"/>
            <w:tcBorders>
              <w:top w:val="nil"/>
              <w:left w:val="single" w:sz="8" w:space="0" w:color="5B9BD5" w:themeColor="accent1"/>
              <w:right w:val="single" w:sz="8" w:space="0" w:color="5B9BD5" w:themeColor="accent1"/>
            </w:tcBorders>
            <w:vAlign w:val="center"/>
          </w:tcPr>
          <w:p w14:paraId="720EB971" w14:textId="77777777" w:rsidR="000F566F" w:rsidRPr="004F2AC3" w:rsidRDefault="000F566F" w:rsidP="00994235">
            <w:pPr>
              <w:shd w:val="clear" w:color="auto" w:fill="FFFFFF" w:themeFill="background1"/>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1/8</w:t>
            </w:r>
          </w:p>
        </w:tc>
        <w:tc>
          <w:tcPr>
            <w:tcW w:w="0" w:type="auto"/>
            <w:tcBorders>
              <w:top w:val="nil"/>
              <w:left w:val="single" w:sz="8" w:space="0" w:color="5B9BD5" w:themeColor="accent1"/>
            </w:tcBorders>
          </w:tcPr>
          <w:p w14:paraId="39ED1E7C" w14:textId="77777777" w:rsidR="000F566F" w:rsidRPr="004F2AC3" w:rsidRDefault="000F566F" w:rsidP="00994235">
            <w:pPr>
              <w:shd w:val="clear" w:color="auto" w:fill="FFFFFF" w:themeFill="background1"/>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p>
          <w:p w14:paraId="58B74D64" w14:textId="77777777" w:rsidR="000F566F" w:rsidRPr="004F2AC3" w:rsidRDefault="000F566F" w:rsidP="00994235">
            <w:pPr>
              <w:shd w:val="clear" w:color="auto" w:fill="FFFFFF" w:themeFill="background1"/>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p>
          <w:p w14:paraId="0B20E713" w14:textId="088ECEF1" w:rsidR="000F566F" w:rsidRPr="004F2AC3" w:rsidRDefault="00684E85" w:rsidP="00994235">
            <w:pPr>
              <w:shd w:val="clear" w:color="auto" w:fill="FFFFFF" w:themeFill="background1"/>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 xml:space="preserve"> </w:t>
            </w:r>
            <w:r w:rsidR="000F566F" w:rsidRPr="004F2AC3">
              <w:rPr>
                <w:rFonts w:ascii="Garamond" w:eastAsia="Times New Roman" w:hAnsi="Garamond"/>
                <w:bCs/>
                <w:color w:val="000000" w:themeColor="text1"/>
                <w:sz w:val="16"/>
                <w:szCs w:val="16"/>
                <w:lang w:val="sq-AL"/>
              </w:rPr>
              <w:t>8</w:t>
            </w:r>
            <w:r w:rsidR="000F566F" w:rsidRPr="004F2AC3">
              <w:rPr>
                <w:rStyle w:val="FootnoteReference"/>
                <w:rFonts w:ascii="Garamond" w:eastAsia="Times New Roman" w:hAnsi="Garamond"/>
                <w:bCs/>
                <w:color w:val="000000" w:themeColor="text1"/>
                <w:sz w:val="16"/>
                <w:szCs w:val="16"/>
                <w:lang w:val="sq-AL"/>
              </w:rPr>
              <w:footnoteReference w:id="2"/>
            </w:r>
          </w:p>
          <w:p w14:paraId="084D6D0B" w14:textId="77777777" w:rsidR="000F566F" w:rsidRPr="004F2AC3" w:rsidRDefault="000F566F" w:rsidP="00994235">
            <w:pPr>
              <w:shd w:val="clear" w:color="auto" w:fill="FFFFFF" w:themeFill="background1"/>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color w:val="000000" w:themeColor="text1"/>
                <w:sz w:val="16"/>
                <w:szCs w:val="16"/>
                <w:lang w:val="sq-AL"/>
              </w:rPr>
            </w:pPr>
          </w:p>
        </w:tc>
      </w:tr>
      <w:tr w:rsidR="000F566F" w:rsidRPr="004F2AC3" w14:paraId="58FEEBE6" w14:textId="77777777" w:rsidTr="00804061">
        <w:trPr>
          <w:trHeight w:val="1749"/>
        </w:trPr>
        <w:tc>
          <w:tcPr>
            <w:cnfStyle w:val="001000000000" w:firstRow="0" w:lastRow="0" w:firstColumn="1" w:lastColumn="0" w:oddVBand="0" w:evenVBand="0" w:oddHBand="0" w:evenHBand="0" w:firstRowFirstColumn="0" w:firstRowLastColumn="0" w:lastRowFirstColumn="0" w:lastRowLastColumn="0"/>
            <w:tcW w:w="0" w:type="auto"/>
            <w:vMerge/>
            <w:tcBorders>
              <w:right w:val="single" w:sz="8" w:space="0" w:color="5B9BD5" w:themeColor="accent1"/>
            </w:tcBorders>
            <w:vAlign w:val="center"/>
          </w:tcPr>
          <w:p w14:paraId="1033D020" w14:textId="77777777" w:rsidR="000F566F" w:rsidRPr="004F2AC3" w:rsidRDefault="000F566F" w:rsidP="00994235">
            <w:pPr>
              <w:shd w:val="clear" w:color="auto" w:fill="FFFFFF" w:themeFill="background1"/>
              <w:autoSpaceDE w:val="0"/>
              <w:autoSpaceDN w:val="0"/>
              <w:adjustRightInd w:val="0"/>
              <w:rPr>
                <w:rFonts w:ascii="Garamond" w:hAnsi="Garamond"/>
                <w:b w:val="0"/>
                <w:bCs w:val="0"/>
                <w:color w:val="000000" w:themeColor="text1"/>
                <w:sz w:val="16"/>
                <w:szCs w:val="16"/>
                <w:lang w:val="sq-AL" w:eastAsia="en-GB"/>
              </w:rPr>
            </w:pPr>
          </w:p>
        </w:tc>
        <w:tc>
          <w:tcPr>
            <w:tcW w:w="0" w:type="auto"/>
            <w:vMerge/>
            <w:tcBorders>
              <w:left w:val="single" w:sz="8" w:space="0" w:color="5B9BD5" w:themeColor="accent1"/>
              <w:right w:val="single" w:sz="8" w:space="0" w:color="5B9BD5" w:themeColor="accent1"/>
            </w:tcBorders>
            <w:vAlign w:val="center"/>
          </w:tcPr>
          <w:p w14:paraId="2EC41C84" w14:textId="77777777" w:rsidR="000F566F" w:rsidRPr="004F2AC3" w:rsidRDefault="000F566F" w:rsidP="0099423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p>
        </w:tc>
        <w:tc>
          <w:tcPr>
            <w:tcW w:w="0" w:type="auto"/>
            <w:tcBorders>
              <w:left w:val="single" w:sz="8" w:space="0" w:color="5B9BD5" w:themeColor="accent1"/>
              <w:right w:val="single" w:sz="8" w:space="0" w:color="5B9BD5" w:themeColor="accent1"/>
            </w:tcBorders>
            <w:vAlign w:val="center"/>
          </w:tcPr>
          <w:p w14:paraId="3486B2F8" w14:textId="58B99C13" w:rsidR="000F566F" w:rsidRPr="004F2AC3" w:rsidRDefault="000F566F" w:rsidP="0099423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5.2 Numri i aplikacioneve të ndërtuara/përditësuara me CAPI</w:t>
            </w:r>
            <w:r w:rsidR="00804061" w:rsidRPr="004F2AC3">
              <w:rPr>
                <w:rFonts w:ascii="Garamond" w:eastAsia="Times New Roman" w:hAnsi="Garamond"/>
                <w:color w:val="000000" w:themeColor="text1"/>
                <w:sz w:val="16"/>
                <w:szCs w:val="16"/>
                <w:lang w:val="sq-AL"/>
              </w:rPr>
              <w:t>.</w:t>
            </w:r>
          </w:p>
          <w:p w14:paraId="2E8CA4B8" w14:textId="77777777" w:rsidR="000F566F" w:rsidRPr="004F2AC3" w:rsidRDefault="000F566F" w:rsidP="0099423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p>
        </w:tc>
        <w:tc>
          <w:tcPr>
            <w:tcW w:w="0" w:type="auto"/>
            <w:tcBorders>
              <w:left w:val="single" w:sz="8" w:space="0" w:color="5B9BD5" w:themeColor="accent1"/>
              <w:right w:val="single" w:sz="8" w:space="0" w:color="5B9BD5" w:themeColor="accent1"/>
            </w:tcBorders>
            <w:vAlign w:val="center"/>
          </w:tcPr>
          <w:p w14:paraId="6497EB67"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1/22</w:t>
            </w:r>
          </w:p>
        </w:tc>
        <w:tc>
          <w:tcPr>
            <w:tcW w:w="0" w:type="auto"/>
            <w:tcBorders>
              <w:left w:val="single" w:sz="8" w:space="0" w:color="5B9BD5" w:themeColor="accent1"/>
              <w:right w:val="single" w:sz="8" w:space="0" w:color="5B9BD5" w:themeColor="accent1"/>
            </w:tcBorders>
          </w:tcPr>
          <w:p w14:paraId="332EAFFA"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2121D054"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2941FD6F"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63A459C6"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3314E197"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p w14:paraId="431F1D78"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r w:rsidRPr="004F2AC3">
              <w:rPr>
                <w:rFonts w:ascii="Garamond" w:eastAsia="Times New Roman" w:hAnsi="Garamond"/>
                <w:bCs/>
                <w:color w:val="000000" w:themeColor="text1"/>
                <w:sz w:val="16"/>
                <w:szCs w:val="16"/>
                <w:lang w:val="sq-AL"/>
              </w:rPr>
              <w:t>3/24</w:t>
            </w:r>
            <w:r w:rsidRPr="004F2AC3">
              <w:rPr>
                <w:rStyle w:val="FootnoteReference"/>
                <w:rFonts w:ascii="Garamond" w:eastAsia="Times New Roman" w:hAnsi="Garamond"/>
                <w:bCs/>
                <w:color w:val="000000" w:themeColor="text1"/>
                <w:sz w:val="16"/>
                <w:szCs w:val="16"/>
                <w:lang w:val="sq-AL"/>
              </w:rPr>
              <w:footnoteReference w:id="3"/>
            </w:r>
          </w:p>
          <w:p w14:paraId="1BBA669A"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color w:val="000000" w:themeColor="text1"/>
                <w:sz w:val="16"/>
                <w:szCs w:val="16"/>
                <w:lang w:val="sq-AL"/>
              </w:rPr>
            </w:pPr>
          </w:p>
        </w:tc>
      </w:tr>
    </w:tbl>
    <w:p w14:paraId="7F55C389" w14:textId="77777777" w:rsidR="000F566F" w:rsidRPr="004F2AC3" w:rsidRDefault="000F566F" w:rsidP="00804061">
      <w:pPr>
        <w:shd w:val="clear" w:color="auto" w:fill="FFFFFF" w:themeFill="background1"/>
        <w:spacing w:after="0" w:line="240" w:lineRule="auto"/>
        <w:jc w:val="both"/>
        <w:rPr>
          <w:rFonts w:ascii="Garamond" w:hAnsi="Garamond" w:cs="Times New Roman"/>
          <w:b/>
          <w:i/>
          <w:color w:val="000000" w:themeColor="text1"/>
          <w:sz w:val="24"/>
          <w:szCs w:val="24"/>
        </w:rPr>
      </w:pPr>
    </w:p>
    <w:p w14:paraId="183B6292" w14:textId="16B829D8" w:rsidR="000F566F" w:rsidRPr="004F2AC3" w:rsidRDefault="00684E85" w:rsidP="000F566F">
      <w:pPr>
        <w:shd w:val="clear" w:color="auto" w:fill="FFFFFF" w:themeFill="background1"/>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 xml:space="preserve"> </w:t>
      </w:r>
      <w:r w:rsidR="000F566F" w:rsidRPr="004F2AC3">
        <w:rPr>
          <w:rFonts w:ascii="Garamond" w:hAnsi="Garamond" w:cs="Times New Roman"/>
          <w:b/>
          <w:color w:val="000000" w:themeColor="text1"/>
          <w:sz w:val="24"/>
          <w:szCs w:val="24"/>
        </w:rPr>
        <w:t>Tabela nr. 6</w:t>
      </w:r>
      <w:r w:rsidR="00804061" w:rsidRPr="004F2AC3">
        <w:rPr>
          <w:rFonts w:ascii="Garamond" w:hAnsi="Garamond" w:cs="Times New Roman"/>
          <w:b/>
          <w:color w:val="000000" w:themeColor="text1"/>
          <w:sz w:val="24"/>
          <w:szCs w:val="24"/>
        </w:rPr>
        <w:t>:</w:t>
      </w:r>
      <w:r w:rsidR="000F566F" w:rsidRPr="004F2AC3">
        <w:rPr>
          <w:rFonts w:ascii="Garamond" w:hAnsi="Garamond" w:cs="Times New Roman"/>
          <w:b/>
          <w:color w:val="000000" w:themeColor="text1"/>
          <w:sz w:val="24"/>
          <w:szCs w:val="24"/>
        </w:rPr>
        <w:t xml:space="preserve"> Objektivi </w:t>
      </w:r>
      <w:r w:rsidR="00804061" w:rsidRPr="004F2AC3">
        <w:rPr>
          <w:rFonts w:ascii="Garamond" w:hAnsi="Garamond" w:cs="Times New Roman"/>
          <w:b/>
          <w:color w:val="000000" w:themeColor="text1"/>
          <w:sz w:val="24"/>
          <w:szCs w:val="24"/>
        </w:rPr>
        <w:t xml:space="preserve">strategjik </w:t>
      </w:r>
      <w:r w:rsidR="000F566F" w:rsidRPr="004F2AC3">
        <w:rPr>
          <w:rFonts w:ascii="Garamond" w:hAnsi="Garamond" w:cs="Times New Roman"/>
          <w:b/>
          <w:color w:val="000000" w:themeColor="text1"/>
          <w:sz w:val="24"/>
          <w:szCs w:val="24"/>
        </w:rPr>
        <w:t>6, aktivitetet statistikore dhe treguesit e performancës</w:t>
      </w:r>
    </w:p>
    <w:tbl>
      <w:tblPr>
        <w:tblStyle w:val="LightList-Accent11"/>
        <w:tblpPr w:leftFromText="180" w:rightFromText="180" w:vertAnchor="text" w:horzAnchor="margin" w:tblpXSpec="center" w:tblpY="41"/>
        <w:tblW w:w="8921" w:type="dxa"/>
        <w:tblLayout w:type="fixed"/>
        <w:tblLook w:val="04A0" w:firstRow="1" w:lastRow="0" w:firstColumn="1" w:lastColumn="0" w:noHBand="0" w:noVBand="1"/>
      </w:tblPr>
      <w:tblGrid>
        <w:gridCol w:w="1890"/>
        <w:gridCol w:w="2610"/>
        <w:gridCol w:w="2070"/>
        <w:gridCol w:w="1530"/>
        <w:gridCol w:w="821"/>
      </w:tblGrid>
      <w:tr w:rsidR="000F566F" w:rsidRPr="004F2AC3" w14:paraId="6670E8E1" w14:textId="77777777" w:rsidTr="00B66BF4">
        <w:trPr>
          <w:cnfStyle w:val="100000000000" w:firstRow="1" w:lastRow="0"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890" w:type="dxa"/>
            <w:tcBorders>
              <w:top w:val="single" w:sz="8" w:space="0" w:color="5B9BD5" w:themeColor="accent1"/>
              <w:left w:val="nil"/>
              <w:bottom w:val="nil"/>
              <w:right w:val="single" w:sz="8" w:space="0" w:color="5B9BD5" w:themeColor="accent1"/>
            </w:tcBorders>
            <w:vAlign w:val="center"/>
          </w:tcPr>
          <w:p w14:paraId="394141FF" w14:textId="77777777" w:rsidR="000F566F" w:rsidRPr="004F2AC3" w:rsidRDefault="000F566F" w:rsidP="00994235">
            <w:pPr>
              <w:jc w:val="right"/>
              <w:rPr>
                <w:rFonts w:ascii="Garamond" w:hAnsi="Garamond"/>
                <w:b w:val="0"/>
                <w:bCs w:val="0"/>
                <w:color w:val="000000" w:themeColor="text1"/>
                <w:sz w:val="16"/>
                <w:szCs w:val="16"/>
                <w:lang w:val="sq-AL" w:eastAsia="en-GB"/>
              </w:rPr>
            </w:pPr>
            <w:r w:rsidRPr="004F2AC3">
              <w:rPr>
                <w:rFonts w:ascii="Garamond" w:hAnsi="Garamond"/>
                <w:bCs w:val="0"/>
                <w:color w:val="000000" w:themeColor="text1"/>
                <w:sz w:val="16"/>
                <w:szCs w:val="16"/>
                <w:lang w:val="sq-AL" w:eastAsia="en-GB"/>
              </w:rPr>
              <w:t>Objektivat strategjikë</w:t>
            </w:r>
          </w:p>
        </w:tc>
        <w:tc>
          <w:tcPr>
            <w:tcW w:w="2610" w:type="dxa"/>
            <w:tcBorders>
              <w:top w:val="single" w:sz="8" w:space="0" w:color="5B9BD5" w:themeColor="accent1"/>
              <w:left w:val="single" w:sz="8" w:space="0" w:color="5B9BD5" w:themeColor="accent1"/>
              <w:bottom w:val="nil"/>
              <w:right w:val="single" w:sz="8" w:space="0" w:color="5B9BD5" w:themeColor="accent1"/>
            </w:tcBorders>
            <w:vAlign w:val="center"/>
          </w:tcPr>
          <w:p w14:paraId="178DAE01"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eastAsia="en-GB"/>
              </w:rPr>
            </w:pPr>
            <w:r w:rsidRPr="004F2AC3">
              <w:rPr>
                <w:rFonts w:ascii="Garamond" w:hAnsi="Garamond"/>
                <w:bCs w:val="0"/>
                <w:color w:val="000000" w:themeColor="text1"/>
                <w:sz w:val="16"/>
                <w:szCs w:val="16"/>
                <w:lang w:val="sq-AL" w:eastAsia="en-GB"/>
              </w:rPr>
              <w:t>Objektiva specifikë</w:t>
            </w:r>
          </w:p>
        </w:tc>
        <w:tc>
          <w:tcPr>
            <w:tcW w:w="2070" w:type="dxa"/>
            <w:tcBorders>
              <w:top w:val="single" w:sz="8" w:space="0" w:color="5B9BD5" w:themeColor="accent1"/>
              <w:left w:val="single" w:sz="8" w:space="0" w:color="5B9BD5" w:themeColor="accent1"/>
              <w:bottom w:val="nil"/>
              <w:right w:val="single" w:sz="8" w:space="0" w:color="5B9BD5" w:themeColor="accent1"/>
            </w:tcBorders>
            <w:vAlign w:val="center"/>
          </w:tcPr>
          <w:p w14:paraId="31591217"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rPr>
            </w:pPr>
            <w:r w:rsidRPr="004F2AC3">
              <w:rPr>
                <w:rFonts w:ascii="Garamond" w:hAnsi="Garamond"/>
                <w:bCs w:val="0"/>
                <w:color w:val="000000" w:themeColor="text1"/>
                <w:sz w:val="16"/>
                <w:szCs w:val="16"/>
                <w:lang w:val="sq-AL" w:eastAsia="en-GB"/>
              </w:rPr>
              <w:t>Treguesit e performancës</w:t>
            </w:r>
          </w:p>
        </w:tc>
        <w:tc>
          <w:tcPr>
            <w:tcW w:w="1530" w:type="dxa"/>
            <w:tcBorders>
              <w:top w:val="single" w:sz="8" w:space="0" w:color="5B9BD5" w:themeColor="accent1"/>
              <w:left w:val="single" w:sz="8" w:space="0" w:color="5B9BD5" w:themeColor="accent1"/>
              <w:bottom w:val="nil"/>
              <w:right w:val="single" w:sz="8" w:space="0" w:color="5B9BD5" w:themeColor="accent1"/>
            </w:tcBorders>
            <w:vAlign w:val="center"/>
          </w:tcPr>
          <w:p w14:paraId="4117B8E6"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0000" w:themeColor="text1"/>
                <w:sz w:val="16"/>
                <w:szCs w:val="16"/>
                <w:lang w:val="sq-AL"/>
              </w:rPr>
            </w:pPr>
            <w:r w:rsidRPr="004F2AC3">
              <w:rPr>
                <w:rFonts w:ascii="Garamond" w:hAnsi="Garamond"/>
                <w:bCs w:val="0"/>
                <w:color w:val="000000" w:themeColor="text1"/>
                <w:sz w:val="16"/>
                <w:szCs w:val="16"/>
                <w:lang w:val="sq-AL" w:eastAsia="en-GB"/>
              </w:rPr>
              <w:t>Vlerat për vitin bazë 2022</w:t>
            </w:r>
          </w:p>
        </w:tc>
        <w:tc>
          <w:tcPr>
            <w:tcW w:w="821" w:type="dxa"/>
            <w:tcBorders>
              <w:top w:val="single" w:sz="8" w:space="0" w:color="5B9BD5" w:themeColor="accent1"/>
              <w:left w:val="single" w:sz="8" w:space="0" w:color="5B9BD5" w:themeColor="accent1"/>
              <w:bottom w:val="nil"/>
              <w:right w:val="nil"/>
            </w:tcBorders>
            <w:vAlign w:val="center"/>
          </w:tcPr>
          <w:p w14:paraId="461D2067" w14:textId="77777777" w:rsidR="000F566F" w:rsidRPr="004F2AC3" w:rsidRDefault="000F566F" w:rsidP="00994235">
            <w:pPr>
              <w:jc w:val="right"/>
              <w:cnfStyle w:val="100000000000" w:firstRow="1" w:lastRow="0" w:firstColumn="0" w:lastColumn="0" w:oddVBand="0" w:evenVBand="0" w:oddHBand="0" w:evenHBand="0" w:firstRowFirstColumn="0" w:firstRowLastColumn="0" w:lastRowFirstColumn="0" w:lastRowLastColumn="0"/>
              <w:rPr>
                <w:rFonts w:ascii="Garamond" w:hAnsi="Garamond"/>
                <w:bCs w:val="0"/>
                <w:color w:val="000000" w:themeColor="text1"/>
                <w:sz w:val="16"/>
                <w:szCs w:val="16"/>
                <w:lang w:val="sq-AL" w:eastAsia="en-GB"/>
              </w:rPr>
            </w:pPr>
            <w:r w:rsidRPr="004F2AC3">
              <w:rPr>
                <w:rFonts w:ascii="Garamond" w:hAnsi="Garamond"/>
                <w:bCs w:val="0"/>
                <w:color w:val="000000" w:themeColor="text1"/>
                <w:sz w:val="16"/>
                <w:szCs w:val="16"/>
                <w:lang w:val="sq-AL" w:eastAsia="en-GB"/>
              </w:rPr>
              <w:t>2026</w:t>
            </w:r>
          </w:p>
        </w:tc>
      </w:tr>
      <w:tr w:rsidR="000F566F" w:rsidRPr="004F2AC3" w14:paraId="409CA78E" w14:textId="77777777" w:rsidTr="00B66BF4">
        <w:trPr>
          <w:cnfStyle w:val="000000100000" w:firstRow="0" w:lastRow="0" w:firstColumn="0" w:lastColumn="0" w:oddVBand="0" w:evenVBand="0" w:oddHBand="1" w:evenHBand="0" w:firstRowFirstColumn="0" w:firstRowLastColumn="0" w:lastRowFirstColumn="0" w:lastRowLastColumn="0"/>
          <w:trHeight w:val="1031"/>
        </w:trPr>
        <w:tc>
          <w:tcPr>
            <w:cnfStyle w:val="001000000000" w:firstRow="0" w:lastRow="0" w:firstColumn="1" w:lastColumn="0" w:oddVBand="0" w:evenVBand="0" w:oddHBand="0" w:evenHBand="0" w:firstRowFirstColumn="0" w:firstRowLastColumn="0" w:lastRowFirstColumn="0" w:lastRowLastColumn="0"/>
            <w:tcW w:w="1890" w:type="dxa"/>
            <w:vMerge w:val="restart"/>
            <w:tcBorders>
              <w:top w:val="nil"/>
              <w:right w:val="single" w:sz="8" w:space="0" w:color="5B9BD5" w:themeColor="accent1"/>
            </w:tcBorders>
            <w:vAlign w:val="center"/>
          </w:tcPr>
          <w:p w14:paraId="14A2FB4C" w14:textId="77777777" w:rsidR="000F566F" w:rsidRPr="004F2AC3" w:rsidRDefault="000F566F" w:rsidP="00994235">
            <w:pPr>
              <w:shd w:val="clear" w:color="auto" w:fill="FFFFFF" w:themeFill="background1"/>
              <w:rPr>
                <w:rFonts w:ascii="Garamond" w:eastAsia="Times New Roman" w:hAnsi="Garamond"/>
                <w:bCs w:val="0"/>
                <w:color w:val="000000" w:themeColor="text1"/>
                <w:sz w:val="16"/>
                <w:szCs w:val="16"/>
                <w:lang w:val="sq-AL"/>
              </w:rPr>
            </w:pPr>
            <w:r w:rsidRPr="004F2AC3">
              <w:rPr>
                <w:rFonts w:ascii="Garamond" w:eastAsia="Times New Roman" w:hAnsi="Garamond"/>
                <w:bCs w:val="0"/>
                <w:color w:val="000000" w:themeColor="text1"/>
                <w:sz w:val="16"/>
                <w:szCs w:val="16"/>
                <w:lang w:val="sq-AL"/>
              </w:rPr>
              <w:t>Objektivi strategjik 6:</w:t>
            </w:r>
          </w:p>
          <w:p w14:paraId="4B8F5A3E" w14:textId="77777777" w:rsidR="000F566F" w:rsidRPr="004F2AC3" w:rsidRDefault="000F566F" w:rsidP="00994235">
            <w:pPr>
              <w:shd w:val="clear" w:color="auto" w:fill="FFFFFF" w:themeFill="background1"/>
              <w:rPr>
                <w:rFonts w:ascii="Garamond" w:hAnsi="Garamond"/>
                <w:b w:val="0"/>
                <w:bCs w:val="0"/>
                <w:color w:val="000000" w:themeColor="text1"/>
                <w:sz w:val="16"/>
                <w:szCs w:val="16"/>
                <w:lang w:val="sq-AL"/>
              </w:rPr>
            </w:pPr>
            <w:r w:rsidRPr="004F2AC3">
              <w:rPr>
                <w:rFonts w:ascii="Garamond" w:eastAsia="Times New Roman" w:hAnsi="Garamond"/>
                <w:bCs w:val="0"/>
                <w:color w:val="000000" w:themeColor="text1"/>
                <w:sz w:val="16"/>
                <w:szCs w:val="16"/>
                <w:lang w:val="sq-AL"/>
              </w:rPr>
              <w:t>Rritja e besimit të publikut në SKS dhe njohja e tij si strukturë institucionesh me performancë të duhur dhe profesionalisht të pavarur</w:t>
            </w:r>
          </w:p>
        </w:tc>
        <w:tc>
          <w:tcPr>
            <w:tcW w:w="2610" w:type="dxa"/>
            <w:vMerge w:val="restart"/>
            <w:tcBorders>
              <w:top w:val="nil"/>
              <w:left w:val="single" w:sz="8" w:space="0" w:color="5B9BD5" w:themeColor="accent1"/>
              <w:right w:val="single" w:sz="8" w:space="0" w:color="5B9BD5" w:themeColor="accent1"/>
            </w:tcBorders>
            <w:vAlign w:val="center"/>
          </w:tcPr>
          <w:p w14:paraId="087816BD" w14:textId="7C13DB05" w:rsidR="000F566F" w:rsidRPr="004F2AC3" w:rsidRDefault="000F566F" w:rsidP="00804061">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6.1 Të përftohet një rritje e përdorimit dhe njohurive të p</w:t>
            </w:r>
            <w:r w:rsidR="00804061" w:rsidRPr="004F2AC3">
              <w:rPr>
                <w:rFonts w:ascii="Garamond" w:hAnsi="Garamond"/>
                <w:color w:val="000000" w:themeColor="text1"/>
                <w:sz w:val="16"/>
                <w:szCs w:val="16"/>
                <w:lang w:val="sq-AL" w:eastAsia="en-GB"/>
              </w:rPr>
              <w:t>rodukteve statistikore të SKS-së.</w:t>
            </w:r>
          </w:p>
          <w:p w14:paraId="4A41AEEB" w14:textId="7220AC3E" w:rsidR="000F566F" w:rsidRPr="004F2AC3" w:rsidRDefault="000F566F" w:rsidP="00994235">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r w:rsidRPr="004F2AC3">
              <w:rPr>
                <w:rFonts w:ascii="Garamond" w:hAnsi="Garamond"/>
                <w:color w:val="000000" w:themeColor="text1"/>
                <w:sz w:val="16"/>
                <w:szCs w:val="16"/>
                <w:lang w:val="sq-AL" w:eastAsia="en-GB"/>
              </w:rPr>
              <w:t>6.2 Fuqizimi dhe promovimi i rolit të INSTAT-it në SKS, në rajon dhe arenën ndërkombëtare</w:t>
            </w:r>
            <w:r w:rsidR="00804061" w:rsidRPr="004F2AC3">
              <w:rPr>
                <w:rFonts w:ascii="Garamond" w:hAnsi="Garamond"/>
                <w:color w:val="000000" w:themeColor="text1"/>
                <w:sz w:val="16"/>
                <w:szCs w:val="16"/>
                <w:lang w:val="sq-AL" w:eastAsia="en-GB"/>
              </w:rPr>
              <w:t>.</w:t>
            </w:r>
          </w:p>
          <w:p w14:paraId="54E04D35" w14:textId="4F3AD888" w:rsidR="000F566F" w:rsidRPr="004F2AC3" w:rsidRDefault="000F566F" w:rsidP="00994235">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rPr>
            </w:pPr>
            <w:r w:rsidRPr="004F2AC3">
              <w:rPr>
                <w:rFonts w:ascii="Garamond" w:hAnsi="Garamond"/>
                <w:color w:val="000000" w:themeColor="text1"/>
                <w:sz w:val="16"/>
                <w:szCs w:val="16"/>
                <w:lang w:val="sq-AL" w:eastAsia="en-GB"/>
              </w:rPr>
              <w:t>6.3 Zbatimi i plotë i dispozitave ligjore dhe praktike për të mbrojtur konfidencialitetin statistikor</w:t>
            </w:r>
            <w:r w:rsidR="00804061" w:rsidRPr="004F2AC3">
              <w:rPr>
                <w:rFonts w:ascii="Garamond" w:hAnsi="Garamond"/>
                <w:color w:val="000000" w:themeColor="text1"/>
                <w:sz w:val="16"/>
                <w:szCs w:val="16"/>
                <w:lang w:val="sq-AL" w:eastAsia="en-GB"/>
              </w:rPr>
              <w:t>.</w:t>
            </w:r>
          </w:p>
        </w:tc>
        <w:tc>
          <w:tcPr>
            <w:tcW w:w="2070" w:type="dxa"/>
            <w:tcBorders>
              <w:top w:val="nil"/>
              <w:left w:val="single" w:sz="8" w:space="0" w:color="5B9BD5" w:themeColor="accent1"/>
              <w:right w:val="single" w:sz="8" w:space="0" w:color="5B9BD5" w:themeColor="accent1"/>
            </w:tcBorders>
            <w:vAlign w:val="center"/>
          </w:tcPr>
          <w:p w14:paraId="3BFEC0F2" w14:textId="4D65B19F" w:rsidR="000F566F" w:rsidRPr="004F2AC3" w:rsidRDefault="000F566F" w:rsidP="00994235">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6.1 Përqindja e përdoruesve që shprehin besim/besueshmëri në statistikat kombëtare (në një vrojtim)</w:t>
            </w:r>
            <w:r w:rsidR="00804061" w:rsidRPr="004F2AC3">
              <w:rPr>
                <w:rFonts w:ascii="Garamond" w:eastAsia="Times New Roman" w:hAnsi="Garamond"/>
                <w:color w:val="000000" w:themeColor="text1"/>
                <w:sz w:val="16"/>
                <w:szCs w:val="16"/>
                <w:lang w:val="sq-AL"/>
              </w:rPr>
              <w:t>.</w:t>
            </w:r>
          </w:p>
        </w:tc>
        <w:tc>
          <w:tcPr>
            <w:tcW w:w="1530" w:type="dxa"/>
            <w:tcBorders>
              <w:top w:val="nil"/>
              <w:left w:val="single" w:sz="8" w:space="0" w:color="5B9BD5" w:themeColor="accent1"/>
              <w:right w:val="single" w:sz="8" w:space="0" w:color="5B9BD5" w:themeColor="accent1"/>
            </w:tcBorders>
            <w:vAlign w:val="center"/>
          </w:tcPr>
          <w:p w14:paraId="373CE3D3" w14:textId="77777777" w:rsidR="000F566F" w:rsidRPr="004F2AC3" w:rsidRDefault="000F566F" w:rsidP="00994235">
            <w:pPr>
              <w:shd w:val="clear" w:color="auto" w:fill="FFFFFF" w:themeFill="background1"/>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bCs/>
                <w:color w:val="000000" w:themeColor="text1"/>
                <w:sz w:val="16"/>
                <w:szCs w:val="16"/>
                <w:lang w:val="sq-AL"/>
              </w:rPr>
              <w:t>3.94/78,8%</w:t>
            </w:r>
          </w:p>
        </w:tc>
        <w:tc>
          <w:tcPr>
            <w:tcW w:w="821" w:type="dxa"/>
            <w:tcBorders>
              <w:top w:val="nil"/>
              <w:left w:val="single" w:sz="8" w:space="0" w:color="5B9BD5" w:themeColor="accent1"/>
            </w:tcBorders>
            <w:vAlign w:val="center"/>
          </w:tcPr>
          <w:p w14:paraId="35FCDC50" w14:textId="77777777" w:rsidR="000F566F" w:rsidRPr="004F2AC3" w:rsidRDefault="000F566F" w:rsidP="00994235">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4.20/ 84%</w:t>
            </w:r>
          </w:p>
        </w:tc>
      </w:tr>
      <w:tr w:rsidR="000F566F" w:rsidRPr="004F2AC3" w14:paraId="21313278" w14:textId="77777777" w:rsidTr="00804061">
        <w:trPr>
          <w:trHeight w:val="823"/>
        </w:trPr>
        <w:tc>
          <w:tcPr>
            <w:cnfStyle w:val="001000000000" w:firstRow="0" w:lastRow="0" w:firstColumn="1" w:lastColumn="0" w:oddVBand="0" w:evenVBand="0" w:oddHBand="0" w:evenHBand="0" w:firstRowFirstColumn="0" w:firstRowLastColumn="0" w:lastRowFirstColumn="0" w:lastRowLastColumn="0"/>
            <w:tcW w:w="1890" w:type="dxa"/>
            <w:vMerge/>
            <w:tcBorders>
              <w:right w:val="single" w:sz="8" w:space="0" w:color="5B9BD5" w:themeColor="accent1"/>
            </w:tcBorders>
            <w:vAlign w:val="center"/>
          </w:tcPr>
          <w:p w14:paraId="54D4B8CB" w14:textId="77777777" w:rsidR="000F566F" w:rsidRPr="004F2AC3" w:rsidRDefault="000F566F" w:rsidP="00994235">
            <w:pPr>
              <w:shd w:val="clear" w:color="auto" w:fill="FFFFFF" w:themeFill="background1"/>
              <w:rPr>
                <w:rFonts w:ascii="Garamond" w:eastAsia="Times New Roman" w:hAnsi="Garamond"/>
                <w:b w:val="0"/>
                <w:bCs w:val="0"/>
                <w:color w:val="000000" w:themeColor="text1"/>
                <w:sz w:val="16"/>
                <w:szCs w:val="16"/>
                <w:lang w:val="sq-AL"/>
              </w:rPr>
            </w:pPr>
          </w:p>
        </w:tc>
        <w:tc>
          <w:tcPr>
            <w:tcW w:w="2610" w:type="dxa"/>
            <w:vMerge/>
            <w:tcBorders>
              <w:left w:val="single" w:sz="8" w:space="0" w:color="5B9BD5" w:themeColor="accent1"/>
              <w:right w:val="single" w:sz="8" w:space="0" w:color="5B9BD5" w:themeColor="accent1"/>
            </w:tcBorders>
            <w:vAlign w:val="center"/>
          </w:tcPr>
          <w:p w14:paraId="7FC22526" w14:textId="77777777" w:rsidR="000F566F" w:rsidRPr="004F2AC3" w:rsidRDefault="000F566F" w:rsidP="0099423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6"/>
                <w:szCs w:val="16"/>
                <w:lang w:val="sq-AL" w:eastAsia="en-GB"/>
              </w:rPr>
            </w:pPr>
          </w:p>
        </w:tc>
        <w:tc>
          <w:tcPr>
            <w:tcW w:w="2070" w:type="dxa"/>
            <w:tcBorders>
              <w:left w:val="single" w:sz="8" w:space="0" w:color="5B9BD5" w:themeColor="accent1"/>
              <w:right w:val="single" w:sz="8" w:space="0" w:color="5B9BD5" w:themeColor="accent1"/>
            </w:tcBorders>
            <w:vAlign w:val="center"/>
          </w:tcPr>
          <w:p w14:paraId="5618281A" w14:textId="129C46F9" w:rsidR="000F566F" w:rsidRPr="004F2AC3" w:rsidRDefault="000F566F" w:rsidP="0099423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6.2 Numri i referimeve ndaj produkteve të SKS-së në media:</w:t>
            </w:r>
            <w:r w:rsidR="00804061" w:rsidRPr="004F2AC3">
              <w:rPr>
                <w:rFonts w:ascii="Garamond" w:eastAsia="Times New Roman" w:hAnsi="Garamond"/>
                <w:color w:val="000000" w:themeColor="text1"/>
                <w:sz w:val="16"/>
                <w:szCs w:val="16"/>
                <w:lang w:val="sq-AL"/>
              </w:rPr>
              <w:t xml:space="preserve"> </w:t>
            </w:r>
            <w:r w:rsidRPr="004F2AC3">
              <w:rPr>
                <w:rFonts w:ascii="Garamond" w:eastAsia="Times New Roman" w:hAnsi="Garamond"/>
                <w:color w:val="000000" w:themeColor="text1"/>
                <w:sz w:val="16"/>
                <w:szCs w:val="16"/>
                <w:lang w:val="sq-AL"/>
              </w:rPr>
              <w:t xml:space="preserve">gazeta, </w:t>
            </w:r>
            <w:r w:rsidR="00804061" w:rsidRPr="004F2AC3">
              <w:rPr>
                <w:rFonts w:ascii="Garamond" w:eastAsia="Times New Roman" w:hAnsi="Garamond"/>
                <w:color w:val="000000" w:themeColor="text1"/>
                <w:sz w:val="16"/>
                <w:szCs w:val="16"/>
                <w:lang w:val="sq-AL"/>
              </w:rPr>
              <w:t>TV</w:t>
            </w:r>
            <w:r w:rsidRPr="004F2AC3">
              <w:rPr>
                <w:rFonts w:ascii="Garamond" w:eastAsia="Times New Roman" w:hAnsi="Garamond"/>
                <w:color w:val="000000" w:themeColor="text1"/>
                <w:sz w:val="16"/>
                <w:szCs w:val="16"/>
                <w:lang w:val="sq-AL"/>
              </w:rPr>
              <w:t xml:space="preserve">, portale </w:t>
            </w:r>
            <w:r w:rsidRPr="004F2AC3">
              <w:rPr>
                <w:rFonts w:ascii="Garamond" w:eastAsia="Times New Roman" w:hAnsi="Garamond"/>
                <w:i/>
                <w:color w:val="000000" w:themeColor="text1"/>
                <w:sz w:val="16"/>
                <w:szCs w:val="16"/>
                <w:lang w:val="sq-AL"/>
              </w:rPr>
              <w:t>online</w:t>
            </w:r>
            <w:r w:rsidR="00804061" w:rsidRPr="004F2AC3">
              <w:rPr>
                <w:rFonts w:ascii="Garamond" w:eastAsia="Times New Roman" w:hAnsi="Garamond"/>
                <w:i/>
                <w:color w:val="000000" w:themeColor="text1"/>
                <w:sz w:val="16"/>
                <w:szCs w:val="16"/>
                <w:lang w:val="sq-AL"/>
              </w:rPr>
              <w:t>.</w:t>
            </w:r>
          </w:p>
        </w:tc>
        <w:tc>
          <w:tcPr>
            <w:tcW w:w="1530" w:type="dxa"/>
            <w:tcBorders>
              <w:left w:val="single" w:sz="8" w:space="0" w:color="5B9BD5" w:themeColor="accent1"/>
              <w:right w:val="single" w:sz="8" w:space="0" w:color="5B9BD5" w:themeColor="accent1"/>
            </w:tcBorders>
            <w:vAlign w:val="center"/>
          </w:tcPr>
          <w:p w14:paraId="77C74CAD" w14:textId="77777777" w:rsidR="000F566F" w:rsidRPr="004F2AC3" w:rsidRDefault="000F566F" w:rsidP="00994235">
            <w:pPr>
              <w:shd w:val="clear" w:color="auto" w:fill="FFFFFF" w:themeFill="background1"/>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27,972</w:t>
            </w:r>
          </w:p>
        </w:tc>
        <w:tc>
          <w:tcPr>
            <w:tcW w:w="821" w:type="dxa"/>
            <w:tcBorders>
              <w:left w:val="single" w:sz="8" w:space="0" w:color="5B9BD5" w:themeColor="accent1"/>
              <w:right w:val="single" w:sz="8" w:space="0" w:color="5B9BD5" w:themeColor="accent1"/>
            </w:tcBorders>
            <w:vAlign w:val="center"/>
          </w:tcPr>
          <w:p w14:paraId="33D583E2" w14:textId="77777777" w:rsidR="000F566F" w:rsidRPr="004F2AC3" w:rsidRDefault="000F566F" w:rsidP="00994235">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32,000</w:t>
            </w:r>
          </w:p>
        </w:tc>
      </w:tr>
      <w:tr w:rsidR="000F566F" w:rsidRPr="004F2AC3" w14:paraId="27F2E9B9" w14:textId="77777777" w:rsidTr="00804061">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890" w:type="dxa"/>
            <w:vMerge/>
            <w:tcBorders>
              <w:right w:val="single" w:sz="8" w:space="0" w:color="5B9BD5" w:themeColor="accent1"/>
            </w:tcBorders>
            <w:vAlign w:val="center"/>
          </w:tcPr>
          <w:p w14:paraId="7769F65D" w14:textId="77777777" w:rsidR="000F566F" w:rsidRPr="004F2AC3" w:rsidRDefault="000F566F" w:rsidP="00994235">
            <w:pPr>
              <w:shd w:val="clear" w:color="auto" w:fill="FFFFFF" w:themeFill="background1"/>
              <w:rPr>
                <w:rFonts w:ascii="Garamond" w:eastAsia="Times New Roman" w:hAnsi="Garamond"/>
                <w:b w:val="0"/>
                <w:bCs w:val="0"/>
                <w:color w:val="000000" w:themeColor="text1"/>
                <w:sz w:val="16"/>
                <w:szCs w:val="16"/>
                <w:lang w:val="sq-AL"/>
              </w:rPr>
            </w:pPr>
          </w:p>
        </w:tc>
        <w:tc>
          <w:tcPr>
            <w:tcW w:w="2610" w:type="dxa"/>
            <w:vMerge/>
            <w:tcBorders>
              <w:left w:val="single" w:sz="8" w:space="0" w:color="5B9BD5" w:themeColor="accent1"/>
              <w:right w:val="single" w:sz="8" w:space="0" w:color="5B9BD5" w:themeColor="accent1"/>
            </w:tcBorders>
            <w:vAlign w:val="center"/>
          </w:tcPr>
          <w:p w14:paraId="371D46A5" w14:textId="77777777" w:rsidR="000F566F" w:rsidRPr="004F2AC3" w:rsidRDefault="000F566F" w:rsidP="0099423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16"/>
                <w:szCs w:val="16"/>
                <w:lang w:val="sq-AL" w:eastAsia="en-GB"/>
              </w:rPr>
            </w:pPr>
          </w:p>
        </w:tc>
        <w:tc>
          <w:tcPr>
            <w:tcW w:w="2070" w:type="dxa"/>
            <w:tcBorders>
              <w:left w:val="single" w:sz="8" w:space="0" w:color="5B9BD5" w:themeColor="accent1"/>
              <w:right w:val="single" w:sz="8" w:space="0" w:color="5B9BD5" w:themeColor="accent1"/>
            </w:tcBorders>
            <w:vAlign w:val="center"/>
          </w:tcPr>
          <w:p w14:paraId="792C0154" w14:textId="33994E7A" w:rsidR="000F566F" w:rsidRPr="004F2AC3" w:rsidRDefault="000F566F" w:rsidP="00994235">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themeColor="text1"/>
                <w:sz w:val="16"/>
                <w:szCs w:val="16"/>
                <w:lang w:val="sq-AL"/>
              </w:rPr>
            </w:pPr>
            <w:r w:rsidRPr="004F2AC3">
              <w:rPr>
                <w:rFonts w:ascii="Garamond" w:eastAsia="Times New Roman" w:hAnsi="Garamond"/>
                <w:color w:val="000000" w:themeColor="text1"/>
                <w:sz w:val="16"/>
                <w:szCs w:val="16"/>
                <w:lang w:val="sq-AL"/>
              </w:rPr>
              <w:t>6.3 Numri i eventeve të kryera për ndërgjegjësimin e statistikave</w:t>
            </w:r>
            <w:r w:rsidR="00804061" w:rsidRPr="004F2AC3">
              <w:rPr>
                <w:rFonts w:ascii="Garamond" w:eastAsia="Times New Roman" w:hAnsi="Garamond"/>
                <w:color w:val="000000" w:themeColor="text1"/>
                <w:sz w:val="16"/>
                <w:szCs w:val="16"/>
                <w:lang w:val="sq-AL"/>
              </w:rPr>
              <w:t>.</w:t>
            </w:r>
          </w:p>
        </w:tc>
        <w:tc>
          <w:tcPr>
            <w:tcW w:w="1530" w:type="dxa"/>
            <w:tcBorders>
              <w:left w:val="single" w:sz="8" w:space="0" w:color="5B9BD5" w:themeColor="accent1"/>
              <w:right w:val="single" w:sz="8" w:space="0" w:color="5B9BD5" w:themeColor="accent1"/>
            </w:tcBorders>
            <w:vAlign w:val="center"/>
          </w:tcPr>
          <w:p w14:paraId="283BE81B" w14:textId="77777777" w:rsidR="000F566F" w:rsidRPr="004F2AC3" w:rsidRDefault="000F566F" w:rsidP="00994235">
            <w:pPr>
              <w:shd w:val="clear" w:color="auto" w:fill="FFFFFF" w:themeFill="background1"/>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themeColor="text1"/>
                <w:sz w:val="16"/>
                <w:szCs w:val="16"/>
                <w:lang w:val="sq-AL"/>
              </w:rPr>
            </w:pPr>
            <w:r w:rsidRPr="004F2AC3">
              <w:rPr>
                <w:rFonts w:ascii="Garamond" w:eastAsia="Times New Roman" w:hAnsi="Garamond"/>
                <w:b/>
                <w:color w:val="000000" w:themeColor="text1"/>
                <w:sz w:val="16"/>
                <w:szCs w:val="16"/>
                <w:lang w:val="sq-AL"/>
              </w:rPr>
              <w:t>11</w:t>
            </w:r>
          </w:p>
        </w:tc>
        <w:tc>
          <w:tcPr>
            <w:tcW w:w="821" w:type="dxa"/>
            <w:tcBorders>
              <w:left w:val="single" w:sz="8" w:space="0" w:color="5B9BD5" w:themeColor="accent1"/>
            </w:tcBorders>
          </w:tcPr>
          <w:p w14:paraId="1D441F90" w14:textId="77777777" w:rsidR="000F566F" w:rsidRPr="004F2AC3" w:rsidRDefault="000F566F" w:rsidP="00994235">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themeColor="text1"/>
                <w:sz w:val="16"/>
                <w:szCs w:val="16"/>
                <w:lang w:val="sq-AL"/>
              </w:rPr>
            </w:pPr>
          </w:p>
          <w:p w14:paraId="793254E7" w14:textId="77777777" w:rsidR="00994235" w:rsidRPr="004F2AC3" w:rsidRDefault="00994235" w:rsidP="00994235">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themeColor="text1"/>
                <w:sz w:val="16"/>
                <w:szCs w:val="16"/>
                <w:lang w:val="sq-AL"/>
              </w:rPr>
            </w:pPr>
          </w:p>
          <w:p w14:paraId="77342EC3" w14:textId="1536FA70" w:rsidR="000F566F" w:rsidRPr="004F2AC3" w:rsidRDefault="000F566F" w:rsidP="00994235">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themeColor="text1"/>
                <w:sz w:val="16"/>
                <w:szCs w:val="16"/>
                <w:lang w:val="sq-AL"/>
              </w:rPr>
            </w:pPr>
            <w:r w:rsidRPr="004F2AC3">
              <w:rPr>
                <w:rFonts w:ascii="Garamond" w:eastAsia="Times New Roman" w:hAnsi="Garamond"/>
                <w:b/>
                <w:color w:val="000000" w:themeColor="text1"/>
                <w:sz w:val="16"/>
                <w:szCs w:val="16"/>
                <w:lang w:val="sq-AL"/>
              </w:rPr>
              <w:t>13</w:t>
            </w:r>
          </w:p>
        </w:tc>
      </w:tr>
    </w:tbl>
    <w:p w14:paraId="2CFD33DA" w14:textId="77777777" w:rsidR="000F566F" w:rsidRPr="004F2AC3" w:rsidRDefault="000F566F" w:rsidP="000F566F">
      <w:pPr>
        <w:shd w:val="clear" w:color="auto" w:fill="FFFFFF" w:themeFill="background1"/>
        <w:spacing w:after="0" w:line="240" w:lineRule="auto"/>
        <w:ind w:firstLine="284"/>
        <w:rPr>
          <w:rFonts w:ascii="Garamond" w:hAnsi="Garamond" w:cs="Times New Roman"/>
          <w:b/>
          <w:i/>
          <w:color w:val="000000" w:themeColor="text1"/>
          <w:sz w:val="24"/>
          <w:szCs w:val="24"/>
        </w:rPr>
      </w:pPr>
    </w:p>
    <w:p w14:paraId="08BAFD47" w14:textId="4A665B27" w:rsidR="000F566F" w:rsidRPr="004F2AC3" w:rsidRDefault="000F566F" w:rsidP="000F566F">
      <w:pPr>
        <w:shd w:val="clear" w:color="auto" w:fill="FFFFFF" w:themeFill="background1"/>
        <w:spacing w:after="0" w:line="240" w:lineRule="auto"/>
        <w:ind w:firstLine="284"/>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7</w:t>
      </w:r>
      <w:r w:rsidR="00804061"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Aspektet pëmirësuese për vitin 2026 krahasimisht me vitin bazë 2022</w:t>
      </w:r>
    </w:p>
    <w:tbl>
      <w:tblPr>
        <w:tblStyle w:val="LightList-Accent11"/>
        <w:tblW w:w="0" w:type="auto"/>
        <w:tblInd w:w="-10" w:type="dxa"/>
        <w:tblLook w:val="04A0" w:firstRow="1" w:lastRow="0" w:firstColumn="1" w:lastColumn="0" w:noHBand="0" w:noVBand="1"/>
      </w:tblPr>
      <w:tblGrid>
        <w:gridCol w:w="4726"/>
        <w:gridCol w:w="1789"/>
        <w:gridCol w:w="2012"/>
        <w:gridCol w:w="1065"/>
      </w:tblGrid>
      <w:tr w:rsidR="000F566F" w:rsidRPr="004F2AC3" w14:paraId="0FC938EC" w14:textId="77777777" w:rsidTr="00804061">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vAlign w:val="center"/>
          </w:tcPr>
          <w:p w14:paraId="0893406C" w14:textId="77777777" w:rsidR="000F566F" w:rsidRPr="004F2AC3" w:rsidRDefault="000F566F" w:rsidP="00B66BF4">
            <w:pPr>
              <w:pStyle w:val="Default"/>
              <w:ind w:firstLine="284"/>
              <w:rPr>
                <w:rFonts w:ascii="Garamond" w:hAnsi="Garamond" w:cs="Times New Roman"/>
                <w:b w:val="0"/>
                <w:bCs w:val="0"/>
                <w:color w:val="000000" w:themeColor="text1"/>
                <w:sz w:val="16"/>
                <w:szCs w:val="16"/>
                <w:lang w:val="sq-AL"/>
              </w:rPr>
            </w:pPr>
            <w:r w:rsidRPr="004F2AC3">
              <w:rPr>
                <w:rFonts w:ascii="Garamond" w:hAnsi="Garamond" w:cs="Times New Roman"/>
                <w:bCs w:val="0"/>
                <w:color w:val="000000" w:themeColor="text1"/>
                <w:sz w:val="16"/>
                <w:szCs w:val="16"/>
                <w:lang w:val="sq-AL"/>
              </w:rPr>
              <w:t>Aspekte përmirësuese</w:t>
            </w:r>
          </w:p>
        </w:tc>
        <w:tc>
          <w:tcPr>
            <w:tcW w:w="0" w:type="auto"/>
            <w:vAlign w:val="center"/>
          </w:tcPr>
          <w:p w14:paraId="141B287C" w14:textId="77777777" w:rsidR="000F566F" w:rsidRPr="004F2AC3" w:rsidRDefault="000F566F" w:rsidP="00B66BF4">
            <w:pPr>
              <w:pStyle w:val="Default"/>
              <w:ind w:firstLine="284"/>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color w:val="000000" w:themeColor="text1"/>
                <w:sz w:val="16"/>
                <w:szCs w:val="16"/>
                <w:lang w:val="sq-AL"/>
              </w:rPr>
            </w:pPr>
            <w:r w:rsidRPr="004F2AC3">
              <w:rPr>
                <w:rFonts w:ascii="Garamond" w:hAnsi="Garamond" w:cs="Times New Roman"/>
                <w:bCs w:val="0"/>
                <w:color w:val="000000" w:themeColor="text1"/>
                <w:sz w:val="16"/>
                <w:szCs w:val="16"/>
                <w:lang w:val="sq-AL"/>
              </w:rPr>
              <w:t>Vlerat për vitin bazë 2022</w:t>
            </w:r>
          </w:p>
        </w:tc>
        <w:tc>
          <w:tcPr>
            <w:tcW w:w="0" w:type="auto"/>
            <w:vAlign w:val="center"/>
          </w:tcPr>
          <w:p w14:paraId="70ECC7D4" w14:textId="77777777" w:rsidR="000F566F" w:rsidRPr="004F2AC3" w:rsidRDefault="000F566F" w:rsidP="00B66BF4">
            <w:pPr>
              <w:pStyle w:val="Default"/>
              <w:ind w:firstLine="284"/>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color w:val="000000" w:themeColor="text1"/>
                <w:sz w:val="16"/>
                <w:szCs w:val="16"/>
                <w:lang w:val="sq-AL"/>
              </w:rPr>
            </w:pPr>
            <w:r w:rsidRPr="004F2AC3">
              <w:rPr>
                <w:rFonts w:ascii="Garamond" w:hAnsi="Garamond" w:cs="Times New Roman"/>
                <w:bCs w:val="0"/>
                <w:color w:val="000000" w:themeColor="text1"/>
                <w:sz w:val="16"/>
                <w:szCs w:val="16"/>
                <w:lang w:val="sq-AL"/>
              </w:rPr>
              <w:t>Vlera e pritshme për vitin 2026</w:t>
            </w:r>
          </w:p>
        </w:tc>
        <w:tc>
          <w:tcPr>
            <w:tcW w:w="0" w:type="auto"/>
            <w:vAlign w:val="center"/>
          </w:tcPr>
          <w:p w14:paraId="5ADC0CBC" w14:textId="77777777" w:rsidR="00804061" w:rsidRPr="004F2AC3" w:rsidRDefault="000F566F" w:rsidP="00804061">
            <w:pPr>
              <w:pStyle w:val="Default"/>
              <w:ind w:firstLine="284"/>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color w:val="000000" w:themeColor="text1"/>
                <w:sz w:val="16"/>
                <w:szCs w:val="16"/>
                <w:lang w:val="sq-AL"/>
              </w:rPr>
            </w:pPr>
            <w:r w:rsidRPr="004F2AC3">
              <w:rPr>
                <w:rFonts w:ascii="Garamond" w:hAnsi="Garamond" w:cs="Times New Roman"/>
                <w:bCs w:val="0"/>
                <w:color w:val="000000" w:themeColor="text1"/>
                <w:sz w:val="16"/>
                <w:szCs w:val="16"/>
                <w:lang w:val="sq-AL"/>
              </w:rPr>
              <w:t xml:space="preserve">Progresi </w:t>
            </w:r>
          </w:p>
          <w:p w14:paraId="46BB055A" w14:textId="0D358FD8" w:rsidR="000F566F" w:rsidRPr="004F2AC3" w:rsidRDefault="000F566F" w:rsidP="00804061">
            <w:pPr>
              <w:pStyle w:val="Default"/>
              <w:ind w:firstLine="284"/>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color w:val="000000" w:themeColor="text1"/>
                <w:sz w:val="16"/>
                <w:szCs w:val="16"/>
                <w:lang w:val="sq-AL"/>
              </w:rPr>
            </w:pPr>
            <w:r w:rsidRPr="004F2AC3">
              <w:rPr>
                <w:rFonts w:ascii="Garamond" w:hAnsi="Garamond" w:cs="Times New Roman"/>
                <w:bCs w:val="0"/>
                <w:color w:val="000000" w:themeColor="text1"/>
                <w:sz w:val="16"/>
                <w:szCs w:val="16"/>
                <w:lang w:val="sq-AL"/>
              </w:rPr>
              <w:t>(në %)</w:t>
            </w:r>
          </w:p>
        </w:tc>
      </w:tr>
      <w:tr w:rsidR="000F566F" w:rsidRPr="004F2AC3" w14:paraId="7868CD21" w14:textId="77777777" w:rsidTr="00804061">
        <w:trPr>
          <w:cnfStyle w:val="000000100000" w:firstRow="0" w:lastRow="0" w:firstColumn="0" w:lastColumn="0" w:oddVBand="0" w:evenVBand="0" w:oddHBand="1" w:evenHBand="0" w:firstRowFirstColumn="0" w:firstRowLastColumn="0" w:lastRowFirstColumn="0" w:lastRowLastColumn="0"/>
          <w:trHeight w:hRule="exact" w:val="506"/>
        </w:trPr>
        <w:tc>
          <w:tcPr>
            <w:cnfStyle w:val="001000000000" w:firstRow="0" w:lastRow="0" w:firstColumn="1" w:lastColumn="0" w:oddVBand="0" w:evenVBand="0" w:oddHBand="0" w:evenHBand="0" w:firstRowFirstColumn="0" w:firstRowLastColumn="0" w:lastRowFirstColumn="0" w:lastRowLastColumn="0"/>
            <w:tcW w:w="0" w:type="auto"/>
            <w:vAlign w:val="center"/>
          </w:tcPr>
          <w:p w14:paraId="35996670" w14:textId="0FAA77AE" w:rsidR="000F566F" w:rsidRPr="004F2AC3" w:rsidRDefault="000F566F" w:rsidP="00804061">
            <w:pPr>
              <w:pStyle w:val="Default"/>
              <w:shd w:val="clear" w:color="auto" w:fill="FFFFFF" w:themeFill="background1"/>
              <w:rPr>
                <w:rFonts w:ascii="Garamond" w:hAnsi="Garamond" w:cs="Times New Roman"/>
                <w:b w:val="0"/>
                <w:bCs w:val="0"/>
                <w:color w:val="000000" w:themeColor="text1"/>
                <w:sz w:val="16"/>
                <w:szCs w:val="16"/>
                <w:lang w:val="sq-AL"/>
              </w:rPr>
            </w:pPr>
            <w:r w:rsidRPr="004F2AC3">
              <w:rPr>
                <w:rFonts w:ascii="Garamond" w:hAnsi="Garamond" w:cs="Times New Roman"/>
                <w:b w:val="0"/>
                <w:color w:val="000000" w:themeColor="text1"/>
                <w:sz w:val="16"/>
                <w:szCs w:val="16"/>
                <w:lang w:val="sq-AL"/>
              </w:rPr>
              <w:t>Numri i të dhënave (</w:t>
            </w:r>
            <w:r w:rsidRPr="004F2AC3">
              <w:rPr>
                <w:rFonts w:ascii="Garamond" w:hAnsi="Garamond" w:cs="Times New Roman"/>
                <w:b w:val="0"/>
                <w:i/>
                <w:color w:val="000000" w:themeColor="text1"/>
                <w:sz w:val="16"/>
                <w:szCs w:val="16"/>
                <w:lang w:val="sq-AL"/>
              </w:rPr>
              <w:t>data points</w:t>
            </w:r>
            <w:r w:rsidRPr="004F2AC3">
              <w:rPr>
                <w:rFonts w:ascii="Garamond" w:hAnsi="Garamond" w:cs="Times New Roman"/>
                <w:b w:val="0"/>
                <w:color w:val="000000" w:themeColor="text1"/>
                <w:sz w:val="16"/>
                <w:szCs w:val="16"/>
                <w:lang w:val="sq-AL"/>
              </w:rPr>
              <w:t>) të shfaqura në databazën e INSTAT</w:t>
            </w:r>
            <w:r w:rsidR="00804061" w:rsidRPr="004F2AC3">
              <w:rPr>
                <w:rFonts w:ascii="Garamond" w:hAnsi="Garamond" w:cs="Times New Roman"/>
                <w:b w:val="0"/>
                <w:color w:val="000000" w:themeColor="text1"/>
                <w:sz w:val="16"/>
                <w:szCs w:val="16"/>
                <w:lang w:val="sq-AL"/>
              </w:rPr>
              <w:t>-it</w:t>
            </w:r>
            <w:r w:rsidRPr="004F2AC3">
              <w:rPr>
                <w:rFonts w:ascii="Garamond" w:hAnsi="Garamond" w:cs="Times New Roman"/>
                <w:b w:val="0"/>
                <w:color w:val="000000" w:themeColor="text1"/>
                <w:sz w:val="16"/>
                <w:szCs w:val="16"/>
                <w:lang w:val="sq-AL"/>
              </w:rPr>
              <w:t xml:space="preserve"> (në %)</w:t>
            </w:r>
          </w:p>
        </w:tc>
        <w:tc>
          <w:tcPr>
            <w:tcW w:w="0" w:type="auto"/>
            <w:vAlign w:val="center"/>
          </w:tcPr>
          <w:p w14:paraId="58FBB313" w14:textId="77777777" w:rsidR="000F566F" w:rsidRPr="004F2AC3" w:rsidRDefault="000F566F" w:rsidP="00B66BF4">
            <w:pPr>
              <w:pStyle w:val="Default"/>
              <w:shd w:val="clear" w:color="auto" w:fill="FFFFFF" w:themeFill="background1"/>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eastAsia="Times New Roman" w:hAnsi="Garamond" w:cs="Times New Roman"/>
                <w:color w:val="000000" w:themeColor="text1"/>
                <w:sz w:val="16"/>
                <w:szCs w:val="16"/>
                <w:lang w:val="sq-AL" w:eastAsia="en-US"/>
              </w:rPr>
              <w:t>3.820.369</w:t>
            </w:r>
          </w:p>
        </w:tc>
        <w:tc>
          <w:tcPr>
            <w:tcW w:w="0" w:type="auto"/>
            <w:vAlign w:val="center"/>
          </w:tcPr>
          <w:p w14:paraId="4B11B851" w14:textId="77777777" w:rsidR="000F566F" w:rsidRPr="004F2AC3" w:rsidRDefault="000F566F" w:rsidP="00B66BF4">
            <w:pPr>
              <w:pStyle w:val="Default"/>
              <w:shd w:val="clear" w:color="auto" w:fill="FFFFFF" w:themeFill="background1"/>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4.815.120</w:t>
            </w:r>
          </w:p>
        </w:tc>
        <w:tc>
          <w:tcPr>
            <w:tcW w:w="0" w:type="auto"/>
            <w:vAlign w:val="center"/>
          </w:tcPr>
          <w:p w14:paraId="01D8E228" w14:textId="77777777" w:rsidR="000F566F" w:rsidRPr="004F2AC3" w:rsidRDefault="000F566F" w:rsidP="00B66BF4">
            <w:pPr>
              <w:pStyle w:val="Default"/>
              <w:shd w:val="clear" w:color="auto" w:fill="FFFFFF" w:themeFill="background1"/>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26%</w:t>
            </w:r>
          </w:p>
        </w:tc>
      </w:tr>
      <w:tr w:rsidR="000F566F" w:rsidRPr="004F2AC3" w14:paraId="2A162473" w14:textId="77777777" w:rsidTr="00804061">
        <w:trPr>
          <w:trHeight w:hRule="exact" w:val="542"/>
        </w:trPr>
        <w:tc>
          <w:tcPr>
            <w:cnfStyle w:val="001000000000" w:firstRow="0" w:lastRow="0" w:firstColumn="1" w:lastColumn="0" w:oddVBand="0" w:evenVBand="0" w:oddHBand="0" w:evenHBand="0" w:firstRowFirstColumn="0" w:firstRowLastColumn="0" w:lastRowFirstColumn="0" w:lastRowLastColumn="0"/>
            <w:tcW w:w="0" w:type="auto"/>
            <w:vAlign w:val="center"/>
          </w:tcPr>
          <w:p w14:paraId="67925875" w14:textId="4D2E01D0" w:rsidR="000F566F" w:rsidRPr="004F2AC3" w:rsidRDefault="000F566F" w:rsidP="00804061">
            <w:pPr>
              <w:pStyle w:val="Default"/>
              <w:shd w:val="clear" w:color="auto" w:fill="FFFFFF" w:themeFill="background1"/>
              <w:rPr>
                <w:rFonts w:ascii="Garamond" w:hAnsi="Garamond" w:cs="Times New Roman"/>
                <w:b w:val="0"/>
                <w:bCs w:val="0"/>
                <w:color w:val="000000" w:themeColor="text1"/>
                <w:sz w:val="16"/>
                <w:szCs w:val="16"/>
                <w:lang w:val="sq-AL"/>
              </w:rPr>
            </w:pPr>
            <w:r w:rsidRPr="004F2AC3">
              <w:rPr>
                <w:rFonts w:ascii="Garamond" w:hAnsi="Garamond" w:cs="Times New Roman"/>
                <w:b w:val="0"/>
                <w:color w:val="000000" w:themeColor="text1"/>
                <w:sz w:val="16"/>
                <w:szCs w:val="16"/>
                <w:lang w:val="sq-AL"/>
              </w:rPr>
              <w:t>Numri i takimeve me përdoruesit (mbledhjet me grupin e përdoruesve, etj.)</w:t>
            </w:r>
            <w:r w:rsidR="00804061" w:rsidRPr="004F2AC3">
              <w:rPr>
                <w:rFonts w:ascii="Garamond" w:hAnsi="Garamond" w:cs="Times New Roman"/>
                <w:b w:val="0"/>
                <w:color w:val="000000" w:themeColor="text1"/>
                <w:sz w:val="16"/>
                <w:szCs w:val="16"/>
                <w:lang w:val="sq-AL"/>
              </w:rPr>
              <w:t>.</w:t>
            </w:r>
          </w:p>
        </w:tc>
        <w:tc>
          <w:tcPr>
            <w:tcW w:w="0" w:type="auto"/>
            <w:vAlign w:val="center"/>
          </w:tcPr>
          <w:p w14:paraId="74587FCE" w14:textId="77777777" w:rsidR="000F566F" w:rsidRPr="004F2AC3" w:rsidRDefault="000F566F" w:rsidP="00B66BF4">
            <w:pPr>
              <w:pStyle w:val="Default"/>
              <w:shd w:val="clear" w:color="auto" w:fill="FFFFFF" w:themeFill="background1"/>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3</w:t>
            </w:r>
          </w:p>
        </w:tc>
        <w:tc>
          <w:tcPr>
            <w:tcW w:w="0" w:type="auto"/>
            <w:vAlign w:val="center"/>
          </w:tcPr>
          <w:p w14:paraId="022BF2FB" w14:textId="77777777" w:rsidR="000F566F" w:rsidRPr="004F2AC3" w:rsidRDefault="000F566F" w:rsidP="00B66BF4">
            <w:pPr>
              <w:pStyle w:val="Default"/>
              <w:shd w:val="clear" w:color="auto" w:fill="FFFFFF" w:themeFill="background1"/>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25</w:t>
            </w:r>
          </w:p>
        </w:tc>
        <w:tc>
          <w:tcPr>
            <w:tcW w:w="0" w:type="auto"/>
            <w:vAlign w:val="center"/>
          </w:tcPr>
          <w:p w14:paraId="6B154572" w14:textId="77777777" w:rsidR="000F566F" w:rsidRPr="004F2AC3" w:rsidRDefault="000F566F" w:rsidP="00B66BF4">
            <w:pPr>
              <w:pStyle w:val="Default"/>
              <w:shd w:val="clear" w:color="auto" w:fill="FFFFFF" w:themeFill="background1"/>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773%</w:t>
            </w:r>
          </w:p>
        </w:tc>
      </w:tr>
      <w:tr w:rsidR="000F566F" w:rsidRPr="004F2AC3" w14:paraId="3B8B46A5" w14:textId="77777777" w:rsidTr="00804061">
        <w:trPr>
          <w:cnfStyle w:val="000000100000" w:firstRow="0" w:lastRow="0" w:firstColumn="0" w:lastColumn="0" w:oddVBand="0" w:evenVBand="0" w:oddHBand="1" w:evenHBand="0" w:firstRowFirstColumn="0" w:firstRowLastColumn="0" w:lastRowFirstColumn="0" w:lastRowLastColumn="0"/>
          <w:trHeight w:hRule="exact" w:val="461"/>
        </w:trPr>
        <w:tc>
          <w:tcPr>
            <w:cnfStyle w:val="001000000000" w:firstRow="0" w:lastRow="0" w:firstColumn="1" w:lastColumn="0" w:oddVBand="0" w:evenVBand="0" w:oddHBand="0" w:evenHBand="0" w:firstRowFirstColumn="0" w:firstRowLastColumn="0" w:lastRowFirstColumn="0" w:lastRowLastColumn="0"/>
            <w:tcW w:w="0" w:type="auto"/>
            <w:vAlign w:val="center"/>
          </w:tcPr>
          <w:p w14:paraId="2E8107E6" w14:textId="30F22841" w:rsidR="000F566F" w:rsidRPr="004F2AC3" w:rsidRDefault="000F566F" w:rsidP="00804061">
            <w:pPr>
              <w:pStyle w:val="Default"/>
              <w:shd w:val="clear" w:color="auto" w:fill="FFFFFF" w:themeFill="background1"/>
              <w:rPr>
                <w:rFonts w:ascii="Garamond" w:hAnsi="Garamond" w:cs="Times New Roman"/>
                <w:b w:val="0"/>
                <w:bCs w:val="0"/>
                <w:color w:val="000000" w:themeColor="text1"/>
                <w:sz w:val="16"/>
                <w:szCs w:val="16"/>
                <w:lang w:val="sq-AL"/>
              </w:rPr>
            </w:pPr>
            <w:r w:rsidRPr="004F2AC3">
              <w:rPr>
                <w:rFonts w:ascii="Garamond" w:hAnsi="Garamond" w:cs="Times New Roman"/>
                <w:b w:val="0"/>
                <w:color w:val="000000" w:themeColor="text1"/>
                <w:sz w:val="16"/>
                <w:szCs w:val="16"/>
                <w:lang w:val="sq-AL"/>
              </w:rPr>
              <w:t>Niveli i kënaqësisë së përdoruesve të statistikave të prodhuara nga INSTAT</w:t>
            </w:r>
            <w:r w:rsidR="00804061" w:rsidRPr="004F2AC3">
              <w:rPr>
                <w:rFonts w:ascii="Garamond" w:hAnsi="Garamond" w:cs="Times New Roman"/>
                <w:b w:val="0"/>
                <w:color w:val="000000" w:themeColor="text1"/>
                <w:sz w:val="16"/>
                <w:szCs w:val="16"/>
                <w:lang w:val="sq-AL"/>
              </w:rPr>
              <w:t>-i</w:t>
            </w:r>
          </w:p>
        </w:tc>
        <w:tc>
          <w:tcPr>
            <w:tcW w:w="0" w:type="auto"/>
            <w:vAlign w:val="center"/>
          </w:tcPr>
          <w:p w14:paraId="2718DE45" w14:textId="77777777" w:rsidR="000F566F" w:rsidRPr="004F2AC3" w:rsidRDefault="000F566F" w:rsidP="00B66BF4">
            <w:pPr>
              <w:pStyle w:val="Default"/>
              <w:shd w:val="clear" w:color="auto" w:fill="FFFFFF" w:themeFill="background1"/>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eastAsia="Times New Roman" w:hAnsi="Garamond" w:cs="Times New Roman"/>
                <w:bCs/>
                <w:color w:val="000000" w:themeColor="text1"/>
                <w:sz w:val="16"/>
                <w:szCs w:val="16"/>
                <w:lang w:val="sq-AL"/>
              </w:rPr>
              <w:t>78,6</w:t>
            </w:r>
            <w:r w:rsidRPr="004F2AC3">
              <w:rPr>
                <w:rFonts w:ascii="Garamond" w:hAnsi="Garamond" w:cs="Times New Roman"/>
                <w:color w:val="000000" w:themeColor="text1"/>
                <w:sz w:val="16"/>
                <w:szCs w:val="16"/>
                <w:lang w:val="sq-AL"/>
              </w:rPr>
              <w:t>%</w:t>
            </w:r>
          </w:p>
        </w:tc>
        <w:tc>
          <w:tcPr>
            <w:tcW w:w="0" w:type="auto"/>
            <w:vAlign w:val="center"/>
          </w:tcPr>
          <w:p w14:paraId="0013BD22" w14:textId="77777777" w:rsidR="000F566F" w:rsidRPr="004F2AC3" w:rsidRDefault="000F566F" w:rsidP="00B66BF4">
            <w:pPr>
              <w:pStyle w:val="Default"/>
              <w:shd w:val="clear" w:color="auto" w:fill="FFFFFF" w:themeFill="background1"/>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82%</w:t>
            </w:r>
          </w:p>
        </w:tc>
        <w:tc>
          <w:tcPr>
            <w:tcW w:w="0" w:type="auto"/>
            <w:vAlign w:val="center"/>
          </w:tcPr>
          <w:p w14:paraId="104B8072" w14:textId="77777777" w:rsidR="000F566F" w:rsidRPr="004F2AC3" w:rsidRDefault="000F566F" w:rsidP="00B66BF4">
            <w:pPr>
              <w:pStyle w:val="Default"/>
              <w:shd w:val="clear" w:color="auto" w:fill="FFFFFF" w:themeFill="background1"/>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3,4%</w:t>
            </w:r>
          </w:p>
        </w:tc>
      </w:tr>
      <w:tr w:rsidR="000F566F" w:rsidRPr="004F2AC3" w14:paraId="110047D7" w14:textId="77777777" w:rsidTr="00804061">
        <w:trPr>
          <w:trHeight w:hRule="exact" w:val="533"/>
        </w:trPr>
        <w:tc>
          <w:tcPr>
            <w:cnfStyle w:val="001000000000" w:firstRow="0" w:lastRow="0" w:firstColumn="1" w:lastColumn="0" w:oddVBand="0" w:evenVBand="0" w:oddHBand="0" w:evenHBand="0" w:firstRowFirstColumn="0" w:firstRowLastColumn="0" w:lastRowFirstColumn="0" w:lastRowLastColumn="0"/>
            <w:tcW w:w="0" w:type="auto"/>
            <w:vAlign w:val="center"/>
          </w:tcPr>
          <w:p w14:paraId="6921F609" w14:textId="3741996F" w:rsidR="000F566F" w:rsidRPr="004F2AC3" w:rsidRDefault="000F566F" w:rsidP="00804061">
            <w:pPr>
              <w:shd w:val="clear" w:color="auto" w:fill="FFFFFF" w:themeFill="background1"/>
              <w:rPr>
                <w:rFonts w:ascii="Garamond" w:hAnsi="Garamond"/>
                <w:b w:val="0"/>
                <w:color w:val="000000" w:themeColor="text1"/>
                <w:sz w:val="16"/>
                <w:szCs w:val="16"/>
                <w:lang w:val="sq-AL"/>
              </w:rPr>
            </w:pPr>
            <w:r w:rsidRPr="004F2AC3">
              <w:rPr>
                <w:rFonts w:ascii="Garamond" w:hAnsi="Garamond"/>
                <w:b w:val="0"/>
                <w:color w:val="000000" w:themeColor="text1"/>
                <w:sz w:val="16"/>
                <w:szCs w:val="16"/>
                <w:lang w:val="sq-AL"/>
              </w:rPr>
              <w:t>Numri i referimeve ndaj produ</w:t>
            </w:r>
            <w:r w:rsidR="00804061" w:rsidRPr="004F2AC3">
              <w:rPr>
                <w:rFonts w:ascii="Garamond" w:hAnsi="Garamond"/>
                <w:b w:val="0"/>
                <w:color w:val="000000" w:themeColor="text1"/>
                <w:sz w:val="16"/>
                <w:szCs w:val="16"/>
                <w:lang w:val="sq-AL"/>
              </w:rPr>
              <w:t>kteve të SKS-së në media, p.sh.</w:t>
            </w:r>
            <w:r w:rsidRPr="004F2AC3">
              <w:rPr>
                <w:rFonts w:ascii="Garamond" w:hAnsi="Garamond"/>
                <w:b w:val="0"/>
                <w:color w:val="000000" w:themeColor="text1"/>
                <w:sz w:val="16"/>
                <w:szCs w:val="16"/>
                <w:lang w:val="sq-AL"/>
              </w:rPr>
              <w:t xml:space="preserve"> në gazetat ditore kryesore ose në televizione</w:t>
            </w:r>
            <w:r w:rsidR="00804061" w:rsidRPr="004F2AC3">
              <w:rPr>
                <w:rFonts w:ascii="Garamond" w:hAnsi="Garamond"/>
                <w:b w:val="0"/>
                <w:color w:val="000000" w:themeColor="text1"/>
                <w:sz w:val="16"/>
                <w:szCs w:val="16"/>
                <w:lang w:val="sq-AL"/>
              </w:rPr>
              <w:t>.</w:t>
            </w:r>
          </w:p>
        </w:tc>
        <w:tc>
          <w:tcPr>
            <w:tcW w:w="0" w:type="auto"/>
            <w:vAlign w:val="center"/>
          </w:tcPr>
          <w:p w14:paraId="56E89395" w14:textId="77777777" w:rsidR="000F566F" w:rsidRPr="004F2AC3" w:rsidRDefault="000F566F" w:rsidP="00B66BF4">
            <w:pPr>
              <w:pStyle w:val="Default"/>
              <w:shd w:val="clear" w:color="auto" w:fill="FFFFFF" w:themeFill="background1"/>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eastAsia="Times New Roman" w:hAnsi="Garamond" w:cs="Times New Roman"/>
                <w:color w:val="000000" w:themeColor="text1"/>
                <w:sz w:val="16"/>
                <w:szCs w:val="16"/>
                <w:lang w:val="sq-AL"/>
              </w:rPr>
              <w:t>27.972</w:t>
            </w:r>
          </w:p>
        </w:tc>
        <w:tc>
          <w:tcPr>
            <w:tcW w:w="0" w:type="auto"/>
            <w:vAlign w:val="center"/>
          </w:tcPr>
          <w:p w14:paraId="33728C94" w14:textId="77777777" w:rsidR="000F566F" w:rsidRPr="004F2AC3" w:rsidRDefault="000F566F" w:rsidP="00B66BF4">
            <w:pPr>
              <w:pStyle w:val="Default"/>
              <w:shd w:val="clear" w:color="auto" w:fill="FFFFFF" w:themeFill="background1"/>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31.000</w:t>
            </w:r>
          </w:p>
        </w:tc>
        <w:tc>
          <w:tcPr>
            <w:tcW w:w="0" w:type="auto"/>
            <w:vAlign w:val="center"/>
          </w:tcPr>
          <w:p w14:paraId="4C87CE40" w14:textId="77777777" w:rsidR="000F566F" w:rsidRPr="004F2AC3" w:rsidRDefault="000F566F" w:rsidP="00B66BF4">
            <w:pPr>
              <w:pStyle w:val="Default"/>
              <w:shd w:val="clear" w:color="auto" w:fill="FFFFFF" w:themeFill="background1"/>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10,87%</w:t>
            </w:r>
          </w:p>
        </w:tc>
      </w:tr>
    </w:tbl>
    <w:p w14:paraId="6EA4BC32" w14:textId="77777777" w:rsidR="00994235" w:rsidRPr="004F2AC3" w:rsidRDefault="00994235" w:rsidP="000F566F">
      <w:pPr>
        <w:pStyle w:val="Heading2"/>
        <w:shd w:val="clear" w:color="auto" w:fill="FFFFFF" w:themeFill="background1"/>
        <w:spacing w:before="0" w:line="240" w:lineRule="auto"/>
        <w:ind w:firstLine="284"/>
        <w:rPr>
          <w:rFonts w:ascii="Garamond" w:hAnsi="Garamond" w:cs="Times New Roman"/>
          <w:noProof w:val="0"/>
          <w:color w:val="000000" w:themeColor="text1"/>
          <w:sz w:val="24"/>
          <w:szCs w:val="24"/>
        </w:rPr>
      </w:pPr>
      <w:bookmarkStart w:id="3" w:name="_Toc215132186"/>
    </w:p>
    <w:p w14:paraId="2F717BD7" w14:textId="2840E068" w:rsidR="000F566F" w:rsidRPr="004F2AC3" w:rsidRDefault="000F566F" w:rsidP="000F566F">
      <w:pPr>
        <w:pStyle w:val="Heading2"/>
        <w:shd w:val="clear" w:color="auto" w:fill="FFFFFF" w:themeFill="background1"/>
        <w:spacing w:before="0" w:line="240" w:lineRule="auto"/>
        <w:ind w:firstLine="284"/>
        <w:rPr>
          <w:rFonts w:ascii="Garamond" w:eastAsia="MS Mincho" w:hAnsi="Garamond" w:cs="Times New Roman"/>
          <w:noProof w:val="0"/>
          <w:color w:val="000000" w:themeColor="text1"/>
          <w:sz w:val="24"/>
          <w:szCs w:val="24"/>
        </w:rPr>
      </w:pPr>
      <w:r w:rsidRPr="004F2AC3">
        <w:rPr>
          <w:rFonts w:ascii="Garamond" w:hAnsi="Garamond" w:cs="Times New Roman"/>
          <w:noProof w:val="0"/>
          <w:color w:val="000000" w:themeColor="text1"/>
          <w:sz w:val="24"/>
          <w:szCs w:val="24"/>
        </w:rPr>
        <w:t>IV. Aktivitetet</w:t>
      </w:r>
      <w:r w:rsidRPr="004F2AC3">
        <w:rPr>
          <w:rFonts w:ascii="Garamond" w:eastAsia="MS Mincho" w:hAnsi="Garamond" w:cs="Times New Roman"/>
          <w:noProof w:val="0"/>
          <w:color w:val="000000" w:themeColor="text1"/>
          <w:sz w:val="24"/>
          <w:szCs w:val="24"/>
        </w:rPr>
        <w:t xml:space="preserve"> </w:t>
      </w:r>
      <w:r w:rsidR="00804061" w:rsidRPr="004F2AC3">
        <w:rPr>
          <w:rFonts w:ascii="Garamond" w:eastAsia="MS Mincho" w:hAnsi="Garamond" w:cs="Times New Roman"/>
          <w:noProof w:val="0"/>
          <w:color w:val="000000" w:themeColor="text1"/>
          <w:sz w:val="24"/>
          <w:szCs w:val="24"/>
        </w:rPr>
        <w:t>statistikore</w:t>
      </w:r>
      <w:bookmarkEnd w:id="3"/>
    </w:p>
    <w:p w14:paraId="76D10329" w14:textId="29DE2F80" w:rsidR="000F566F" w:rsidRPr="004F2AC3" w:rsidRDefault="000F566F" w:rsidP="00901752">
      <w:pPr>
        <w:shd w:val="clear" w:color="auto" w:fill="FFFFFF" w:themeFill="background1"/>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Lista e aktiviteteve statistikore paraqitet duke ndjekur strukturën e klasifikimit të fushave dhe temave statistikore, të parashikuara në </w:t>
      </w:r>
      <w:r w:rsidR="00901752" w:rsidRPr="004F2AC3">
        <w:rPr>
          <w:rFonts w:ascii="Garamond" w:hAnsi="Garamond" w:cs="Times New Roman"/>
          <w:color w:val="000000" w:themeColor="text1"/>
          <w:sz w:val="24"/>
          <w:szCs w:val="24"/>
        </w:rPr>
        <w:t xml:space="preserve">shtojcën </w:t>
      </w:r>
      <w:r w:rsidRPr="004F2AC3">
        <w:rPr>
          <w:rFonts w:ascii="Garamond" w:hAnsi="Garamond" w:cs="Times New Roman"/>
          <w:color w:val="000000" w:themeColor="text1"/>
          <w:sz w:val="24"/>
          <w:szCs w:val="24"/>
        </w:rPr>
        <w:t>1</w:t>
      </w:r>
      <w:r w:rsidR="0090175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w:t>
      </w:r>
      <w:r w:rsidR="00901752" w:rsidRPr="004F2AC3">
        <w:rPr>
          <w:rFonts w:ascii="Garamond" w:hAnsi="Garamond" w:cs="Times New Roman"/>
          <w:color w:val="000000" w:themeColor="text1"/>
          <w:sz w:val="24"/>
          <w:szCs w:val="24"/>
        </w:rPr>
        <w:t xml:space="preserve">ligjit </w:t>
      </w:r>
      <w:r w:rsidRPr="004F2AC3">
        <w:rPr>
          <w:rFonts w:ascii="Garamond" w:hAnsi="Garamond" w:cs="Times New Roman"/>
          <w:color w:val="000000" w:themeColor="text1"/>
          <w:sz w:val="24"/>
          <w:szCs w:val="24"/>
        </w:rPr>
        <w:t>nr. 17/2018</w:t>
      </w:r>
      <w:r w:rsidR="0090175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statistikat zyrtare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si dhe duke ruajtur linjën e klasifikimeve të fushave statistikore e temave përkatëse, të përcaktuara në Programin e Statistikave Zyrtare 2022</w:t>
      </w:r>
      <w:r w:rsidR="00804061" w:rsidRPr="004F2AC3">
        <w:rPr>
          <w:rFonts w:ascii="Garamond" w:hAnsi="Garamond"/>
          <w:sz w:val="24"/>
          <w:szCs w:val="24"/>
        </w:rPr>
        <w:t>–</w:t>
      </w:r>
      <w:r w:rsidRPr="004F2AC3">
        <w:rPr>
          <w:rFonts w:ascii="Garamond" w:hAnsi="Garamond" w:cs="Times New Roman"/>
          <w:color w:val="000000" w:themeColor="text1"/>
          <w:sz w:val="24"/>
          <w:szCs w:val="24"/>
        </w:rPr>
        <w:t>2026. Lista e aktiviteteve për pjesën e Censit të Popullsisë dhe Banesave dhe Censin e Bujqësisë pasqyrohet më hollësisht në seksione të veçanta të dokumentit.</w:t>
      </w:r>
    </w:p>
    <w:p w14:paraId="205F2B0A" w14:textId="77777777" w:rsidR="000F566F" w:rsidRPr="004F2AC3" w:rsidRDefault="000F566F" w:rsidP="00994235">
      <w:pPr>
        <w:pStyle w:val="TEKSTIIIII"/>
        <w:rPr>
          <w:b/>
        </w:rPr>
      </w:pPr>
      <w:r w:rsidRPr="004F2AC3">
        <w:rPr>
          <w:b/>
        </w:rPr>
        <w:t>Përmbledhje: Arritjet në vitin 2025 – Pritshmëritë për vitin 2026</w:t>
      </w:r>
    </w:p>
    <w:p w14:paraId="4ED2DBDE" w14:textId="0A76C2AC" w:rsidR="000F566F" w:rsidRPr="004F2AC3" w:rsidRDefault="00901752" w:rsidP="00901752">
      <w:pPr>
        <w:pStyle w:val="TEKSTIIIII"/>
        <w:rPr>
          <w:b/>
        </w:rPr>
      </w:pPr>
      <w:r w:rsidRPr="004F2AC3">
        <w:rPr>
          <w:b/>
        </w:rPr>
        <w:t xml:space="preserve">- </w:t>
      </w:r>
      <w:r w:rsidR="000F566F" w:rsidRPr="004F2AC3">
        <w:rPr>
          <w:b/>
        </w:rPr>
        <w:t>Agjencitë statistikore dhe përgjegjësitë sipas Programit</w:t>
      </w:r>
    </w:p>
    <w:p w14:paraId="0A49AFBD" w14:textId="723BF94E" w:rsidR="000F566F" w:rsidRPr="004F2AC3" w:rsidRDefault="000F566F" w:rsidP="000F566F">
      <w:pPr>
        <w:pStyle w:val="ListParagraph"/>
        <w:spacing w:after="0" w:line="240" w:lineRule="auto"/>
        <w:ind w:left="0"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Gjatë vitit 2025</w:t>
      </w:r>
      <w:r w:rsidR="00901752" w:rsidRPr="004F2AC3">
        <w:rPr>
          <w:rFonts w:ascii="Garamond" w:hAnsi="Garamond" w:cs="Times New Roman"/>
          <w:b/>
          <w:color w:val="000000" w:themeColor="text1"/>
          <w:sz w:val="24"/>
          <w:szCs w:val="24"/>
        </w:rPr>
        <w:t>,</w:t>
      </w:r>
      <w:r w:rsidRPr="004F2AC3">
        <w:rPr>
          <w:rFonts w:ascii="Garamond" w:hAnsi="Garamond" w:cs="Times New Roman"/>
          <w:color w:val="000000" w:themeColor="text1"/>
          <w:sz w:val="24"/>
          <w:szCs w:val="24"/>
        </w:rPr>
        <w:t xml:space="preserve"> Sistemi Kombëtar Statistikor realizoi 113 aktivitete statistikore. INSTAT</w:t>
      </w:r>
      <w:r w:rsidR="0090175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u angazhua për realizimin e 100 aktiviteteve statistikore, duke siguruar prodhimin e treguesve në katër fushat e Programit të Statistikave Zyrtare</w:t>
      </w:r>
      <w:r w:rsidR="0090175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fusha e Statistikave Demografike dhe Sociale, fusha e Statistikave Ekonomike, fusha e Statistikave Sektoriale dhe fusha e Statistikave të Mjedisit dhe Multidomain. Banka e Shqipërisë realizoi 9 aktivitete për mbulim me tregues në fushën e Statistikave Ekonomike dhe në fushën e Statistikave Sektoriale. Ministria e Financave kontribuoi në realizimin e 2 aktiviteteve në fushën e Statistikave Ekonomike. Agjencia Kombëtare e Burimeve Natyrore u angazhua në realizimin e 2 aktiviteteve që lidhen me bilancin </w:t>
      </w:r>
      <w:r w:rsidR="00901752" w:rsidRPr="004F2AC3">
        <w:rPr>
          <w:rFonts w:ascii="Garamond" w:hAnsi="Garamond" w:cs="Times New Roman"/>
          <w:color w:val="000000" w:themeColor="text1"/>
          <w:sz w:val="24"/>
          <w:szCs w:val="24"/>
        </w:rPr>
        <w:t>energjetik</w:t>
      </w:r>
      <w:r w:rsidRPr="004F2AC3">
        <w:rPr>
          <w:rFonts w:ascii="Garamond" w:hAnsi="Garamond" w:cs="Times New Roman"/>
          <w:color w:val="000000" w:themeColor="text1"/>
          <w:sz w:val="24"/>
          <w:szCs w:val="24"/>
        </w:rPr>
        <w:t xml:space="preserve"> tremujor dhe vjetor. </w:t>
      </w:r>
      <w:r w:rsidRPr="004F2AC3">
        <w:rPr>
          <w:rFonts w:ascii="Garamond" w:hAnsi="Garamond" w:cs="Times New Roman"/>
          <w:b/>
          <w:color w:val="000000" w:themeColor="text1"/>
          <w:sz w:val="24"/>
          <w:szCs w:val="24"/>
        </w:rPr>
        <w:t xml:space="preserve">Për vitin 2026, </w:t>
      </w:r>
      <w:r w:rsidRPr="004F2AC3">
        <w:rPr>
          <w:rFonts w:ascii="Garamond" w:hAnsi="Garamond" w:cs="Times New Roman"/>
          <w:color w:val="000000" w:themeColor="text1"/>
          <w:sz w:val="24"/>
          <w:szCs w:val="24"/>
        </w:rPr>
        <w:t>Sistemi ka planifikuar të realizojë 119 aktivitete statistikore. INSTAT</w:t>
      </w:r>
      <w:r w:rsidR="0090175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planifikon të realizojë 106 aktivitete në 4 fushat statistikore të Programit, Banka e Shqipërisë 9 aktivitete në fushën e Statistikave Ekonomike dhe në fushën e </w:t>
      </w:r>
      <w:r w:rsidR="00901752" w:rsidRPr="004F2AC3">
        <w:rPr>
          <w:rFonts w:ascii="Garamond" w:hAnsi="Garamond" w:cs="Times New Roman"/>
          <w:color w:val="000000" w:themeColor="text1"/>
          <w:sz w:val="24"/>
          <w:szCs w:val="24"/>
        </w:rPr>
        <w:t>Statistikave</w:t>
      </w:r>
      <w:r w:rsidRPr="004F2AC3">
        <w:rPr>
          <w:rFonts w:ascii="Garamond" w:hAnsi="Garamond" w:cs="Times New Roman"/>
          <w:color w:val="000000" w:themeColor="text1"/>
          <w:sz w:val="24"/>
          <w:szCs w:val="24"/>
        </w:rPr>
        <w:t xml:space="preserve"> Sektoriale, Ministria e Financave do të realizojë 2 aktivitete në fushën e Statistikave Ekonomike, Agjencia Kombëtare e Burimeve Natyrore do të realizojë 2 aktivitete statistikore.</w:t>
      </w:r>
    </w:p>
    <w:p w14:paraId="47E7A234" w14:textId="77777777" w:rsidR="000F566F" w:rsidRPr="004F2AC3" w:rsidRDefault="000F566F" w:rsidP="00994235">
      <w:pPr>
        <w:pStyle w:val="TEKSTIIIII"/>
        <w:rPr>
          <w:b/>
        </w:rPr>
      </w:pPr>
      <w:r w:rsidRPr="004F2AC3">
        <w:rPr>
          <w:b/>
        </w:rPr>
        <w:t xml:space="preserve">Aktivitetet dhe treguesit statistikorë </w:t>
      </w:r>
    </w:p>
    <w:p w14:paraId="1C4675BE" w14:textId="2D0E9C41" w:rsidR="000F566F" w:rsidRPr="004F2AC3" w:rsidRDefault="000F566F" w:rsidP="000F566F">
      <w:pPr>
        <w:pStyle w:val="ListParagraph"/>
        <w:spacing w:after="0" w:line="240" w:lineRule="auto"/>
        <w:ind w:left="0"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Gjatë vitit 2025</w:t>
      </w:r>
      <w:r w:rsidR="00901752"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w:t>
      </w:r>
      <w:r w:rsidRPr="004F2AC3">
        <w:rPr>
          <w:rFonts w:ascii="Garamond" w:hAnsi="Garamond" w:cs="Times New Roman"/>
          <w:color w:val="000000" w:themeColor="text1"/>
          <w:sz w:val="24"/>
          <w:szCs w:val="24"/>
        </w:rPr>
        <w:t>në fushën e Statistikave Demografike dhe Sociale u realizuan 33 aktivitete statistikore nga të cilat u prodhuan 496 tregues</w:t>
      </w:r>
      <w:r w:rsidR="0090175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duke mbuluar me të dhëna nënfushat: Popullsia me vendbanim të zakonshëm në Shqipëri dhe jashtë saj, Puna dhe Kostot e Punës, Arsimi dhe trajnimet, Shëndetësia, Të ardhurat dhe shpenzimet e konsumit, Mbrojtja Sociale, Drejtësia dhe Krimi, Kultura; 20 aktivitete në fushën e Statistikave Ekonomike, nga të cilat u prodhuan 241 tregues mbi Statistikat Makroekonomike, Statistikat Financiare të </w:t>
      </w:r>
      <w:r w:rsidR="009A0CE0" w:rsidRPr="004F2AC3">
        <w:rPr>
          <w:rFonts w:ascii="Garamond" w:hAnsi="Garamond" w:cs="Times New Roman"/>
          <w:color w:val="000000" w:themeColor="text1"/>
          <w:sz w:val="24"/>
          <w:szCs w:val="24"/>
        </w:rPr>
        <w:t>qeverisë</w:t>
      </w:r>
      <w:r w:rsidRPr="004F2AC3">
        <w:rPr>
          <w:rFonts w:ascii="Garamond" w:hAnsi="Garamond" w:cs="Times New Roman"/>
          <w:color w:val="000000" w:themeColor="text1"/>
          <w:sz w:val="24"/>
          <w:szCs w:val="24"/>
        </w:rPr>
        <w:t>, Fiskale dhe të Sektorit Publik dhe Statistikat e Biznesit; Në fushën e Statistikave Sektoriale u realizuan 47 aktivitete nga të cilat u prodhuan 361 tregues</w:t>
      </w:r>
      <w:r w:rsidR="009A0CE0"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duke mbuluar nënfushat si: Statistikat e Bujqësisë, Peshkimit dhe Pyjeve, Energjia, Transporti, Turizmi, Tregtia e Jashtme, Bilanci i Pagesave, Çmimet, Shkenca, Teknologjia dhe Inovacioni; </w:t>
      </w:r>
      <w:r w:rsidR="009A0CE0" w:rsidRPr="004F2AC3">
        <w:rPr>
          <w:rFonts w:ascii="Garamond" w:hAnsi="Garamond" w:cs="Times New Roman"/>
          <w:color w:val="000000" w:themeColor="text1"/>
          <w:sz w:val="24"/>
          <w:szCs w:val="24"/>
        </w:rPr>
        <w:t xml:space="preserve">në </w:t>
      </w:r>
      <w:r w:rsidRPr="004F2AC3">
        <w:rPr>
          <w:rFonts w:ascii="Garamond" w:hAnsi="Garamond" w:cs="Times New Roman"/>
          <w:color w:val="000000" w:themeColor="text1"/>
          <w:sz w:val="24"/>
          <w:szCs w:val="24"/>
        </w:rPr>
        <w:t xml:space="preserve">fushën e statistikave të Mjedisit dhe Multidomain u realizuan 13 aktivitete për prodhimin e 56 treguesve statistikorë mbi Llogaritë Monetare dhe Fizike në Mjedis, Mbetjet, Ujin, Biodiversitetin, etj. </w:t>
      </w:r>
      <w:r w:rsidRPr="004F2AC3">
        <w:rPr>
          <w:rFonts w:ascii="Garamond" w:hAnsi="Garamond" w:cs="Times New Roman"/>
          <w:b/>
          <w:color w:val="000000" w:themeColor="text1"/>
          <w:sz w:val="24"/>
          <w:szCs w:val="24"/>
        </w:rPr>
        <w:t xml:space="preserve">Për vitin 2026 </w:t>
      </w:r>
      <w:r w:rsidRPr="004F2AC3">
        <w:rPr>
          <w:rFonts w:ascii="Garamond" w:hAnsi="Garamond" w:cs="Times New Roman"/>
          <w:color w:val="000000" w:themeColor="text1"/>
          <w:sz w:val="24"/>
          <w:szCs w:val="24"/>
        </w:rPr>
        <w:t>për fushat dhe nënfushat e sipërpërmendura parashikohen: 32 aktivitete në fushën e Statistikave Demografike dhe Sociale për prodhimin e 491 treguesve statistikorë; 20 aktivitete në fushën e Statistikave Ekonomike, duke synuar prodhimin e 216 treguesve; 54 aktivitete në fushën e Statistikave Sektoriale, shoqëruar me prodhimin e 506 treguesve; 13 aktivitete në fushën e Statistikave të Mjedisit dhe Multidomain, për prodhimin e 53 treguesve statistikorë.</w:t>
      </w:r>
    </w:p>
    <w:p w14:paraId="561FAD20" w14:textId="0E7842E6" w:rsidR="000F566F" w:rsidRPr="004F2AC3" w:rsidRDefault="00994235" w:rsidP="00994235">
      <w:pPr>
        <w:pStyle w:val="TEKSTIIIII"/>
      </w:pPr>
      <w:r w:rsidRPr="004F2AC3">
        <w:rPr>
          <w:b/>
        </w:rPr>
        <w:t xml:space="preserve">- </w:t>
      </w:r>
      <w:r w:rsidR="000F566F" w:rsidRPr="004F2AC3">
        <w:rPr>
          <w:b/>
        </w:rPr>
        <w:t>Aktivitetet e reja. Në vitin 2025</w:t>
      </w:r>
      <w:r w:rsidR="000F566F" w:rsidRPr="004F2AC3">
        <w:t xml:space="preserve"> vijoi realizimi i aktiviteteve të vazhdueshme të planifikuara në Planin Vjetor të PSZ</w:t>
      </w:r>
      <w:r w:rsidR="009A0CE0" w:rsidRPr="004F2AC3">
        <w:t>-së</w:t>
      </w:r>
      <w:r w:rsidR="000F566F" w:rsidRPr="004F2AC3">
        <w:t xml:space="preserve">. Gjatë vitit 2026 planifikohet realizimi i 5 aktiviteteve të reja, përkatësisht 1 aktivitet mbi modulin e përfitimeve neto të mbrojtjes sociale dhe 4 vrojtimeve të reja në fushën e </w:t>
      </w:r>
      <w:r w:rsidR="009A0CE0" w:rsidRPr="004F2AC3">
        <w:t>turizmit</w:t>
      </w:r>
      <w:r w:rsidR="000F566F" w:rsidRPr="004F2AC3">
        <w:t>. Nga vrojtimet e reja mbi turizmin do të sigurohet informacion mbi ndërmarrjet me aktivitetet në sektorin e turizmit dhe informacion</w:t>
      </w:r>
      <w:r w:rsidR="009A0CE0" w:rsidRPr="004F2AC3">
        <w:t>,</w:t>
      </w:r>
      <w:r w:rsidR="00684E85" w:rsidRPr="004F2AC3">
        <w:t xml:space="preserve"> </w:t>
      </w:r>
      <w:r w:rsidR="000F566F" w:rsidRPr="004F2AC3">
        <w:t>lidhur me atraksionet turistike të vizituara, shpenzimet e kryera, cilësinë e ofrimit të shërbimeve dhe impaktin e turizmit në këto destinacione.</w:t>
      </w:r>
    </w:p>
    <w:p w14:paraId="184179D2" w14:textId="0A9D8E8A" w:rsidR="000F566F" w:rsidRPr="004F2AC3" w:rsidRDefault="00994235" w:rsidP="00994235">
      <w:pPr>
        <w:pStyle w:val="TEKSTIIIII"/>
      </w:pPr>
      <w:r w:rsidRPr="004F2AC3">
        <w:rPr>
          <w:b/>
        </w:rPr>
        <w:t xml:space="preserve">- </w:t>
      </w:r>
      <w:r w:rsidR="000F566F" w:rsidRPr="004F2AC3">
        <w:rPr>
          <w:b/>
        </w:rPr>
        <w:t>Klasifikimet statistikore. Gjatë vitit</w:t>
      </w:r>
      <w:r w:rsidR="000F566F" w:rsidRPr="004F2AC3">
        <w:t xml:space="preserve"> 2025 u miratua Nomenklatura e Veprimtarive Ekonomike (NVE) Rev. 2.1, si dhe brenda muajit </w:t>
      </w:r>
      <w:r w:rsidR="009A0CE0" w:rsidRPr="004F2AC3">
        <w:t xml:space="preserve">dhjetor </w:t>
      </w:r>
      <w:r w:rsidR="000F566F" w:rsidRPr="004F2AC3">
        <w:t>2025 parashikohet të kalojë për miratim në Komisionin Kombëtar të Nomenklaturave Klasifikimi i Konsumit Individual sipas Qëllimit (COICOP 2018). Gjatë vitit 2026 do të vijohet me miratimin e klasifikimeve sipas kale</w:t>
      </w:r>
      <w:r w:rsidR="009A0CE0" w:rsidRPr="004F2AC3">
        <w:t>n</w:t>
      </w:r>
      <w:r w:rsidR="000F566F" w:rsidRPr="004F2AC3">
        <w:t xml:space="preserve">darit, i cili hartohet në </w:t>
      </w:r>
      <w:r w:rsidR="009A0CE0" w:rsidRPr="004F2AC3">
        <w:t xml:space="preserve">dhjetor </w:t>
      </w:r>
      <w:r w:rsidR="000F566F" w:rsidRPr="004F2AC3">
        <w:t>2025.</w:t>
      </w:r>
    </w:p>
    <w:p w14:paraId="702FE618" w14:textId="6F9846C7" w:rsidR="000F566F" w:rsidRPr="004F2AC3" w:rsidRDefault="00994235" w:rsidP="00B9328D">
      <w:pPr>
        <w:pStyle w:val="TEKSTIIIII"/>
      </w:pPr>
      <w:r w:rsidRPr="004F2AC3">
        <w:rPr>
          <w:b/>
        </w:rPr>
        <w:t xml:space="preserve">- </w:t>
      </w:r>
      <w:r w:rsidR="000F566F" w:rsidRPr="004F2AC3">
        <w:rPr>
          <w:b/>
        </w:rPr>
        <w:t>Menaxhimi i cilësisë.</w:t>
      </w:r>
      <w:r w:rsidR="000F566F" w:rsidRPr="004F2AC3">
        <w:t xml:space="preserve"> Në planin e vitit 2025 u parashikuan dy audite statistikore, përkatësisht në fushën e statistikave demografike dhe sociale dhe në fushën e statistikave sektoriale, rezultatet e të cilave do të përcaktojnë perspektivën e përmirësimeve metodologjike dhe aksioneve të nevojshme për zbatimin e tyre gjatë vitit 2026, vit në të cilin</w:t>
      </w:r>
      <w:r w:rsidR="00B9328D" w:rsidRPr="004F2AC3">
        <w:t>,</w:t>
      </w:r>
      <w:r w:rsidR="000F566F" w:rsidRPr="004F2AC3">
        <w:t xml:space="preserve"> gjithashtu</w:t>
      </w:r>
      <w:r w:rsidR="00B9328D" w:rsidRPr="004F2AC3">
        <w:t>,</w:t>
      </w:r>
      <w:r w:rsidR="000F566F" w:rsidRPr="004F2AC3">
        <w:t xml:space="preserve"> do të realizohen 2 audite statistikore. Në planin e vitit 2025 u parashikuan të realizohen 2 pyetësorë vetëvlerësimi, përkatësisht 1 për fushën e Statistikave Sociale dhe Demografike dhe 1 për fushën e Statistikave Ekonomike. Gjatë vitit 2026 parashikohet realizimi i 2 pyetësorëve të vetëvlerësimit në fushën e statistikave sociale dhe demografike</w:t>
      </w:r>
      <w:r w:rsidR="00B9328D" w:rsidRPr="004F2AC3">
        <w:t>,</w:t>
      </w:r>
      <w:r w:rsidR="000F566F" w:rsidRPr="004F2AC3">
        <w:t xml:space="preserve"> dhe statistikave ekonomike. Sa i përket raporteve të cilësisë</w:t>
      </w:r>
      <w:r w:rsidR="00B9328D" w:rsidRPr="004F2AC3">
        <w:t>,</w:t>
      </w:r>
      <w:r w:rsidR="000F566F" w:rsidRPr="004F2AC3">
        <w:t xml:space="preserve"> gjatë vitit 2025 INSTAT</w:t>
      </w:r>
      <w:r w:rsidR="00B9328D" w:rsidRPr="004F2AC3">
        <w:t>-i</w:t>
      </w:r>
      <w:r w:rsidR="000F566F" w:rsidRPr="004F2AC3">
        <w:t xml:space="preserve"> planifikoi publikimin e 63 raporteve të cilësisë dhe për vitin 2026 parashikohet publikim</w:t>
      </w:r>
      <w:r w:rsidR="00B9328D" w:rsidRPr="004F2AC3">
        <w:t>i i 64 raporteve të cilësisë.</w:t>
      </w:r>
    </w:p>
    <w:p w14:paraId="789B2498" w14:textId="15A68DD8" w:rsidR="000F566F" w:rsidRPr="004F2AC3" w:rsidRDefault="000F566F" w:rsidP="000F566F">
      <w:pPr>
        <w:spacing w:after="0" w:line="240" w:lineRule="auto"/>
        <w:ind w:firstLine="284"/>
        <w:jc w:val="both"/>
        <w:rPr>
          <w:rFonts w:ascii="Garamond" w:hAnsi="Garamond" w:cs="Times New Roman"/>
          <w:i/>
          <w:color w:val="000000" w:themeColor="text1"/>
          <w:sz w:val="24"/>
          <w:szCs w:val="24"/>
        </w:rPr>
      </w:pPr>
      <w:r w:rsidRPr="004F2AC3">
        <w:rPr>
          <w:rFonts w:ascii="Garamond" w:hAnsi="Garamond" w:cs="Times New Roman"/>
          <w:i/>
          <w:color w:val="000000" w:themeColor="text1"/>
          <w:sz w:val="24"/>
          <w:szCs w:val="24"/>
        </w:rPr>
        <w:t>Figura nr. 1</w:t>
      </w:r>
      <w:r w:rsidR="00B9328D"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Performanca 2025</w:t>
      </w:r>
      <w:r w:rsidR="00B9328D" w:rsidRPr="004F2AC3">
        <w:rPr>
          <w:rFonts w:ascii="Garamond" w:hAnsi="Garamond"/>
          <w:i/>
          <w:sz w:val="24"/>
          <w:szCs w:val="24"/>
        </w:rPr>
        <w:t>–</w:t>
      </w:r>
      <w:r w:rsidRPr="004F2AC3">
        <w:rPr>
          <w:rFonts w:ascii="Garamond" w:hAnsi="Garamond" w:cs="Times New Roman"/>
          <w:i/>
          <w:color w:val="000000" w:themeColor="text1"/>
          <w:sz w:val="24"/>
          <w:szCs w:val="24"/>
        </w:rPr>
        <w:t>2026</w:t>
      </w:r>
    </w:p>
    <w:p w14:paraId="72D7E16A"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noProof/>
          <w:color w:val="000000" w:themeColor="text1"/>
          <w:sz w:val="24"/>
          <w:szCs w:val="24"/>
          <w:lang w:eastAsia="sq-AL"/>
        </w:rPr>
        <w:drawing>
          <wp:inline distT="0" distB="0" distL="0" distR="0" wp14:anchorId="00F989D8" wp14:editId="0029C4F7">
            <wp:extent cx="5731510" cy="3140075"/>
            <wp:effectExtent l="0" t="0" r="2540" b="3175"/>
            <wp:docPr id="1" name="Chart 1">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BEA800E0-C5A6-4CBB-A450-ADC8E1D7A6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EF85A2" w14:textId="77777777"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p>
    <w:p w14:paraId="25E687DF" w14:textId="77777777"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 xml:space="preserve">Prioritetet për vitin 2026 </w:t>
      </w:r>
    </w:p>
    <w:p w14:paraId="17F73EB2" w14:textId="6849B0B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Në vijim të përmbushjes së objektivave strategjike dhe në kuadër të përafrimit të mëtejshëm me standardet e Sistemit Statistikor Evropian, gjatë vitit 2026 Sistemi Kombëtar Statistikor do të fokusohet në zbatimin e një sërë aktivitetesh të rëndësishme, që synojnë forcimin e prodhimit statistikor, përmirësimin e cilësisë dhe rritjen e harmonizimit të statistikave</w:t>
      </w:r>
      <w:r w:rsidR="00B9328D" w:rsidRPr="004F2AC3">
        <w:rPr>
          <w:rFonts w:ascii="Garamond" w:hAnsi="Garamond" w:cs="Times New Roman"/>
          <w:color w:val="000000" w:themeColor="text1"/>
          <w:sz w:val="24"/>
          <w:szCs w:val="24"/>
        </w:rPr>
        <w:t xml:space="preserve"> zyrtare me standardet e BE-së.</w:t>
      </w:r>
    </w:p>
    <w:p w14:paraId="032CED7D"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Prioritet kryesor për vitin 2026 do të jetë kryerja e Censit të Bujqësisë, si një nga aktivitetet më të rëndësishme statistikore të këtij viti, i cili synon mbledhjen e informacionit gjithëpërfshirës mbi strukturën e fermave bujqësore, përdorimin e tokës, bagëtinë, praktikat bujqësore dhe burimet e të ardhurave rurale. Rezultatet do të shërbejnë për hartimin e politikave të qëndrueshme bujqësore, harmonizimin me standardet e BE-së (Eurostat) dhe përmirësimin e regjistrave statistikorë në nivel vendor</w:t>
      </w:r>
      <w:r w:rsidRPr="004F2AC3">
        <w:rPr>
          <w:rFonts w:ascii="Garamond" w:hAnsi="Garamond"/>
          <w:color w:val="000000" w:themeColor="text1"/>
          <w:sz w:val="24"/>
          <w:szCs w:val="24"/>
        </w:rPr>
        <w:t>.</w:t>
      </w:r>
    </w:p>
    <w:p w14:paraId="6D9F7813"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Prioritet do të ketë, gjithashtu, zgjerimi i burimeve statistikore, konsolidimi i proceseve metodologjike dhe implementimi i nomenklaturave më të fundit për aktivitete të caktuara statistikore, pasurimi i databazës së Eurostat, në kuadër të integrimit në Bashkimin Evropian, si dhe forcimi i bashkëpunimit ndërinstitucional në funksion të transparencës dhe përdorimit të gjerë të statistikave për politika publike dhe zhvillim të qëndrueshëm. </w:t>
      </w:r>
    </w:p>
    <w:p w14:paraId="19CE5C6E" w14:textId="77777777" w:rsidR="000F566F" w:rsidRPr="004F2AC3" w:rsidRDefault="000F566F" w:rsidP="00CF4B3F">
      <w:pPr>
        <w:pStyle w:val="TEKSTIIIII"/>
      </w:pPr>
      <w:r w:rsidRPr="004F2AC3">
        <w:t>Në vijim paraqiten aktivitetet prioritare për vitin 2026:</w:t>
      </w:r>
    </w:p>
    <w:p w14:paraId="3112DFA2" w14:textId="48760AD3" w:rsidR="00CF4B3F" w:rsidRPr="004F2AC3" w:rsidRDefault="00CF4B3F" w:rsidP="00CF4B3F">
      <w:pPr>
        <w:pStyle w:val="TEKSTIIIII"/>
      </w:pPr>
      <w:r w:rsidRPr="004F2AC3">
        <w:t>- Realizimi i Censit të Bujqësisë;</w:t>
      </w:r>
    </w:p>
    <w:p w14:paraId="3C1A06FE" w14:textId="0BF4C6A9" w:rsidR="00CF4B3F" w:rsidRPr="004F2AC3" w:rsidRDefault="00CF4B3F" w:rsidP="00CF4B3F">
      <w:pPr>
        <w:pStyle w:val="TEKSTIIIII"/>
      </w:pPr>
      <w:r w:rsidRPr="004F2AC3">
        <w:t>- Zbatimi i nomenklaturës COICOP 2018, në anketën e Buxhetit të NjEF 2026;</w:t>
      </w:r>
    </w:p>
    <w:p w14:paraId="4D8B2081" w14:textId="63F3684A" w:rsidR="00CF4B3F" w:rsidRPr="004F2AC3" w:rsidRDefault="00CF4B3F" w:rsidP="00CF4B3F">
      <w:pPr>
        <w:pStyle w:val="TEKSTIIIII"/>
      </w:pPr>
      <w:r w:rsidRPr="004F2AC3">
        <w:t>- Rritja e numrit të treguesve të prodhuar për turizmin, sipas nevojave kombëtare;</w:t>
      </w:r>
    </w:p>
    <w:p w14:paraId="6D6AD3B8" w14:textId="4F073E72" w:rsidR="00CF4B3F" w:rsidRPr="004F2AC3" w:rsidRDefault="00A73002" w:rsidP="00CF4B3F">
      <w:pPr>
        <w:pStyle w:val="TEKSTIIIII"/>
      </w:pPr>
      <w:r>
        <w:t xml:space="preserve">- </w:t>
      </w:r>
      <w:r w:rsidR="00CF4B3F" w:rsidRPr="004F2AC3">
        <w:t>Konsolidimi i marrjes së të dhënave mbi azilkërkuesit dhe transmetimin e tyre sipas kërkesave/rekomandimeve të Eurostat;</w:t>
      </w:r>
    </w:p>
    <w:p w14:paraId="36493866" w14:textId="67866F6C" w:rsidR="00CF4B3F" w:rsidRPr="004F2AC3" w:rsidRDefault="00CF4B3F" w:rsidP="00CF4B3F">
      <w:pPr>
        <w:pStyle w:val="TEKSTIIIII"/>
      </w:pPr>
      <w:r w:rsidRPr="004F2AC3">
        <w:t>- Finalizimi dhe transmetimi i të dhënave mikro për dy raunde, SILC 2025 dhe 2026;</w:t>
      </w:r>
    </w:p>
    <w:p w14:paraId="320572F4" w14:textId="5A8CD2F9" w:rsidR="00CF4B3F" w:rsidRPr="004F2AC3" w:rsidRDefault="00CF4B3F" w:rsidP="00CF4B3F">
      <w:pPr>
        <w:pStyle w:val="TEKSTIIIII"/>
      </w:pPr>
      <w:r w:rsidRPr="004F2AC3">
        <w:t>- Përfshirja e rezultateve të Censit 2023 për punësimin dhe vlerësimet e rentës së imputuar;</w:t>
      </w:r>
    </w:p>
    <w:p w14:paraId="1617C293" w14:textId="11D43809" w:rsidR="00CF4B3F" w:rsidRPr="004F2AC3" w:rsidRDefault="00CF4B3F" w:rsidP="00CF4B3F">
      <w:pPr>
        <w:pStyle w:val="TEKSTIIIII"/>
      </w:pPr>
      <w:r w:rsidRPr="004F2AC3">
        <w:t>- Kryerja e Anketës mbi Dhunën ndaj Grave dhe Vajzave, sipas metodologjisë së Eurostat</w:t>
      </w:r>
      <w:r w:rsidR="00B9328D" w:rsidRPr="004F2AC3">
        <w:t>it</w:t>
      </w:r>
      <w:r w:rsidRPr="004F2AC3">
        <w:t>;</w:t>
      </w:r>
    </w:p>
    <w:p w14:paraId="28904344" w14:textId="75EE0783" w:rsidR="00CF4B3F" w:rsidRPr="004F2AC3" w:rsidRDefault="00CF4B3F" w:rsidP="00CF4B3F">
      <w:pPr>
        <w:pStyle w:val="TEKSTIIIII"/>
      </w:pPr>
      <w:r w:rsidRPr="004F2AC3">
        <w:t>- Përllogaritja për herë të parë e Indeksit të Kostos së Punës;</w:t>
      </w:r>
    </w:p>
    <w:p w14:paraId="41715494" w14:textId="5F8D2C02" w:rsidR="00CF4B3F" w:rsidRPr="004F2AC3" w:rsidRDefault="00CF4B3F" w:rsidP="00CF4B3F">
      <w:pPr>
        <w:pStyle w:val="TEKSTIIIII"/>
      </w:pPr>
      <w:r w:rsidRPr="004F2AC3">
        <w:t>- Prodhimi i PBB</w:t>
      </w:r>
      <w:r w:rsidR="00B9328D" w:rsidRPr="004F2AC3">
        <w:t>-së</w:t>
      </w:r>
      <w:r w:rsidRPr="004F2AC3">
        <w:t xml:space="preserve"> tremujore,</w:t>
      </w:r>
      <w:r w:rsidR="00684E85" w:rsidRPr="004F2AC3">
        <w:t xml:space="preserve"> </w:t>
      </w:r>
      <w:r w:rsidRPr="004F2AC3">
        <w:t>sipas metodës së të ardhurave (eksperimentale);</w:t>
      </w:r>
    </w:p>
    <w:p w14:paraId="33C6998B" w14:textId="761A63C2" w:rsidR="00CF4B3F" w:rsidRPr="004F2AC3" w:rsidRDefault="00CF4B3F" w:rsidP="00CF4B3F">
      <w:pPr>
        <w:pStyle w:val="TEKSTIIIII"/>
      </w:pPr>
      <w:r w:rsidRPr="004F2AC3">
        <w:t>- Zgjerimi i</w:t>
      </w:r>
      <w:r w:rsidR="00B9328D" w:rsidRPr="004F2AC3">
        <w:t xml:space="preserve"> serisë kohore</w:t>
      </w:r>
      <w:r w:rsidR="00684E85" w:rsidRPr="004F2AC3">
        <w:t xml:space="preserve"> </w:t>
      </w:r>
      <w:r w:rsidR="00B9328D" w:rsidRPr="004F2AC3">
        <w:t>2010–</w:t>
      </w:r>
      <w:r w:rsidRPr="004F2AC3">
        <w:t>2012 për sektorët institucional;</w:t>
      </w:r>
    </w:p>
    <w:p w14:paraId="64FD32ED" w14:textId="35F9FF4B" w:rsidR="00CF4B3F" w:rsidRPr="004F2AC3" w:rsidRDefault="00CF4B3F" w:rsidP="00CF4B3F">
      <w:pPr>
        <w:pStyle w:val="TEKSTIIIII"/>
      </w:pPr>
      <w:r w:rsidRPr="004F2AC3">
        <w:t xml:space="preserve">- Përmirësimi i </w:t>
      </w:r>
      <w:r w:rsidR="00B9328D" w:rsidRPr="004F2AC3">
        <w:t>statistikave</w:t>
      </w:r>
      <w:r w:rsidRPr="004F2AC3">
        <w:t xml:space="preserve"> të biznesit për të rritur përputhshmërinë me rregulloren evropiane përkatëse dhe afateve kohore;</w:t>
      </w:r>
    </w:p>
    <w:p w14:paraId="6097883C" w14:textId="0B318EAB" w:rsidR="00CF4B3F" w:rsidRPr="004F2AC3" w:rsidRDefault="00CF4B3F" w:rsidP="00CF4B3F">
      <w:pPr>
        <w:pStyle w:val="TEKSTIIIII"/>
      </w:pPr>
      <w:r w:rsidRPr="004F2AC3">
        <w:t>- Përmirësimi dhe përditësimi i metodologjisë për llogaritjen e Indeksit të Harmonizuar të Çmimeve të Konsumit (HICP), me synim reflektimin e plotë të udhëzimeve dhe ndryshimeve më të fundit të miratuara nga Eurostat</w:t>
      </w:r>
      <w:r w:rsidR="00B9328D" w:rsidRPr="004F2AC3">
        <w:t>i</w:t>
      </w:r>
      <w:r w:rsidRPr="004F2AC3">
        <w:t>, si dhe sigurimin e krahasueshmërisë ndërkombëtare të të dhënave;</w:t>
      </w:r>
    </w:p>
    <w:p w14:paraId="30525358" w14:textId="67ED5E0F" w:rsidR="00CF4B3F" w:rsidRPr="004F2AC3" w:rsidRDefault="00CF4B3F" w:rsidP="00CF4B3F">
      <w:pPr>
        <w:pStyle w:val="TEKSTIIIII"/>
      </w:pPr>
      <w:r w:rsidRPr="004F2AC3">
        <w:t>- Rritja e cilësisë dhe harmonizimit të statistikave sektoriale (transport, çmime, tregti e jashtme e mallrave, etj.), në përputhje me standardet metodologjike dhe kërkesat e Eurostat</w:t>
      </w:r>
      <w:r w:rsidR="00B9328D" w:rsidRPr="004F2AC3">
        <w:t>it</w:t>
      </w:r>
      <w:r w:rsidRPr="004F2AC3">
        <w:t>, duke forcuar proceset e kontrollit të cilësisë, dokumentimit dhe publikimit të të dhënave;</w:t>
      </w:r>
    </w:p>
    <w:p w14:paraId="61541FDF" w14:textId="0F55E0BF" w:rsidR="00CF4B3F" w:rsidRPr="004F2AC3" w:rsidRDefault="00CF4B3F" w:rsidP="00CF4B3F">
      <w:pPr>
        <w:pStyle w:val="TEKSTIIIII"/>
      </w:pPr>
      <w:r w:rsidRPr="004F2AC3">
        <w:t>- Ndjekja dhe monitorimi i Piketave Mbyllëse, si dhe raporteve të tjera periodike</w:t>
      </w:r>
      <w:r w:rsidR="00B9328D" w:rsidRPr="004F2AC3">
        <w:t>,</w:t>
      </w:r>
      <w:r w:rsidRPr="004F2AC3">
        <w:t xml:space="preserve"> në kuadër të procesit të anëtarësimit për kapitullin 18 </w:t>
      </w:r>
      <w:r w:rsidR="00D32864" w:rsidRPr="004F2AC3">
        <w:t>“</w:t>
      </w:r>
      <w:r w:rsidRPr="004F2AC3">
        <w:t>Statistikat</w:t>
      </w:r>
      <w:r w:rsidR="00D32864" w:rsidRPr="004F2AC3">
        <w:t>”</w:t>
      </w:r>
      <w:r w:rsidRPr="004F2AC3">
        <w:t>;</w:t>
      </w:r>
    </w:p>
    <w:p w14:paraId="7357A419" w14:textId="49FE7490" w:rsidR="00CF4B3F" w:rsidRPr="004F2AC3" w:rsidRDefault="00CF4B3F" w:rsidP="00CF4B3F">
      <w:pPr>
        <w:pStyle w:val="TEKSTIIIII"/>
      </w:pPr>
      <w:r w:rsidRPr="004F2AC3">
        <w:t>-</w:t>
      </w:r>
      <w:r w:rsidR="00684E85" w:rsidRPr="004F2AC3">
        <w:t xml:space="preserve"> </w:t>
      </w:r>
      <w:r w:rsidRPr="004F2AC3">
        <w:t>Monitorimi dhe zbatimi i projektit të Objektivave të Zhvillimit të Qëndrueshëm (OZHQ), me qëllimin final rritjen e treguesve të OZHQ</w:t>
      </w:r>
      <w:r w:rsidR="00B9328D" w:rsidRPr="004F2AC3">
        <w:t>-ve</w:t>
      </w:r>
      <w:r w:rsidRPr="004F2AC3">
        <w:t>;</w:t>
      </w:r>
    </w:p>
    <w:p w14:paraId="043F371E" w14:textId="1338F523" w:rsidR="00CF4B3F" w:rsidRPr="004F2AC3" w:rsidRDefault="00CF4B3F" w:rsidP="00CF4B3F">
      <w:pPr>
        <w:pStyle w:val="TEKSTIIIII"/>
      </w:pPr>
      <w:r w:rsidRPr="004F2AC3">
        <w:t>-</w:t>
      </w:r>
      <w:r w:rsidR="00684E85" w:rsidRPr="004F2AC3">
        <w:t xml:space="preserve"> </w:t>
      </w:r>
      <w:r w:rsidRPr="004F2AC3">
        <w:t>Përfshirja e Shqipërisë në sistemin e FMN, SDDS</w:t>
      </w:r>
      <w:r w:rsidR="00B9328D" w:rsidRPr="004F2AC3">
        <w:t>.</w:t>
      </w:r>
    </w:p>
    <w:p w14:paraId="05182F2D" w14:textId="0A7A6C56" w:rsidR="00CF4B3F" w:rsidRPr="004F2AC3" w:rsidRDefault="00CF4B3F" w:rsidP="00CF4B3F">
      <w:pPr>
        <w:pStyle w:val="TEKSTIIIII"/>
      </w:pPr>
      <w:r w:rsidRPr="004F2AC3">
        <w:t>Informacion më i detajuar rreth aktiviteteve statistikore të p</w:t>
      </w:r>
      <w:r w:rsidR="00B9328D" w:rsidRPr="004F2AC3">
        <w:t>arashikuara për t’u realizuar</w:t>
      </w:r>
      <w:r w:rsidR="00684E85" w:rsidRPr="004F2AC3">
        <w:t xml:space="preserve"> </w:t>
      </w:r>
      <w:r w:rsidRPr="004F2AC3">
        <w:t xml:space="preserve">gjatë vitit 2026 jepet në seksionet e mëposhtme sipas fushave statistikore, si dhe në </w:t>
      </w:r>
      <w:r w:rsidR="00B9328D" w:rsidRPr="004F2AC3">
        <w:t xml:space="preserve">aneksin </w:t>
      </w:r>
      <w:r w:rsidRPr="004F2AC3">
        <w:t>e këtij dokumenti, ku aktivitetet janë shoqërua</w:t>
      </w:r>
      <w:r w:rsidR="00B9328D" w:rsidRPr="004F2AC3">
        <w:t>r me informacion të kategorive:</w:t>
      </w:r>
    </w:p>
    <w:p w14:paraId="0BD681AE" w14:textId="72BD4A0B" w:rsidR="00CF4B3F" w:rsidRPr="004F2AC3" w:rsidRDefault="00B9328D" w:rsidP="00CF4B3F">
      <w:pPr>
        <w:pStyle w:val="TEKSTIIIII"/>
      </w:pPr>
      <w:r w:rsidRPr="004F2AC3">
        <w:t>-</w:t>
      </w:r>
      <w:r w:rsidR="00684E85" w:rsidRPr="004F2AC3">
        <w:t xml:space="preserve"> </w:t>
      </w:r>
      <w:r w:rsidRPr="004F2AC3">
        <w:t>Lloji i aktivitetit;</w:t>
      </w:r>
    </w:p>
    <w:p w14:paraId="3F39A9C2" w14:textId="268B7273" w:rsidR="00CF4B3F" w:rsidRPr="004F2AC3" w:rsidRDefault="00B9328D" w:rsidP="00CF4B3F">
      <w:pPr>
        <w:pStyle w:val="TEKSTIIIII"/>
      </w:pPr>
      <w:r w:rsidRPr="004F2AC3">
        <w:t>-</w:t>
      </w:r>
      <w:r w:rsidR="00684E85" w:rsidRPr="004F2AC3">
        <w:t xml:space="preserve"> </w:t>
      </w:r>
      <w:r w:rsidRPr="004F2AC3">
        <w:t>Tipi i aktivitetit;</w:t>
      </w:r>
    </w:p>
    <w:p w14:paraId="22323E23" w14:textId="306C46DB" w:rsidR="00CF4B3F" w:rsidRPr="004F2AC3" w:rsidRDefault="00B9328D" w:rsidP="00CF4B3F">
      <w:pPr>
        <w:pStyle w:val="TEKSTIIIII"/>
      </w:pPr>
      <w:r w:rsidRPr="004F2AC3">
        <w:t>-</w:t>
      </w:r>
      <w:r w:rsidR="00684E85" w:rsidRPr="004F2AC3">
        <w:t xml:space="preserve"> </w:t>
      </w:r>
      <w:r w:rsidRPr="004F2AC3">
        <w:t>Periodiciteti i aktivitetit;</w:t>
      </w:r>
    </w:p>
    <w:p w14:paraId="7C868334" w14:textId="708F922E" w:rsidR="00CF4B3F" w:rsidRPr="004F2AC3" w:rsidRDefault="00CF4B3F" w:rsidP="00CF4B3F">
      <w:pPr>
        <w:pStyle w:val="TEKSTIIIII"/>
      </w:pPr>
      <w:r w:rsidRPr="004F2AC3">
        <w:t>-</w:t>
      </w:r>
      <w:r w:rsidR="00684E85" w:rsidRPr="004F2AC3">
        <w:t xml:space="preserve"> </w:t>
      </w:r>
      <w:r w:rsidRPr="004F2AC3">
        <w:t>Përqindja e të dhënave të siguruara nga burimi administrativ/vrojtimi</w:t>
      </w:r>
      <w:r w:rsidR="00B9328D" w:rsidRPr="004F2AC3">
        <w:t>;</w:t>
      </w:r>
    </w:p>
    <w:p w14:paraId="4F644E76" w14:textId="32F076E4" w:rsidR="00CF4B3F" w:rsidRPr="004F2AC3" w:rsidRDefault="00B9328D" w:rsidP="00CF4B3F">
      <w:pPr>
        <w:pStyle w:val="TEKSTIIIII"/>
      </w:pPr>
      <w:r w:rsidRPr="004F2AC3">
        <w:t>-</w:t>
      </w:r>
      <w:r w:rsidR="00684E85" w:rsidRPr="004F2AC3">
        <w:t xml:space="preserve"> </w:t>
      </w:r>
      <w:r w:rsidRPr="004F2AC3">
        <w:t>Treguesit statistikorë;</w:t>
      </w:r>
    </w:p>
    <w:p w14:paraId="5622E659" w14:textId="043F3CFF" w:rsidR="00CF4B3F" w:rsidRPr="004F2AC3" w:rsidRDefault="00CF4B3F" w:rsidP="00CF4B3F">
      <w:pPr>
        <w:pStyle w:val="TEKSTIIIII"/>
      </w:pPr>
      <w:r w:rsidRPr="004F2AC3">
        <w:t>-</w:t>
      </w:r>
      <w:r w:rsidR="00684E85" w:rsidRPr="004F2AC3">
        <w:t xml:space="preserve"> </w:t>
      </w:r>
      <w:r w:rsidRPr="004F2AC3">
        <w:t xml:space="preserve">Institucioni përgjegjës për prodhimin e të dhënave; </w:t>
      </w:r>
    </w:p>
    <w:p w14:paraId="13EBCA3D" w14:textId="55D395F9" w:rsidR="00CF4B3F" w:rsidRPr="004F2AC3" w:rsidRDefault="00CF4B3F" w:rsidP="00CF4B3F">
      <w:pPr>
        <w:pStyle w:val="TEKSTIIIII"/>
      </w:pPr>
      <w:r w:rsidRPr="004F2AC3">
        <w:t>-</w:t>
      </w:r>
      <w:r w:rsidR="00684E85" w:rsidRPr="004F2AC3">
        <w:t xml:space="preserve"> </w:t>
      </w:r>
      <w:r w:rsidRPr="004F2AC3">
        <w:t>Institucioni përgjeg</w:t>
      </w:r>
      <w:r w:rsidR="00B9328D" w:rsidRPr="004F2AC3">
        <w:t>jës për furnizimin me të dhëna;</w:t>
      </w:r>
    </w:p>
    <w:p w14:paraId="57BA3AD5" w14:textId="30C59EC2" w:rsidR="00CF4B3F" w:rsidRPr="004F2AC3" w:rsidRDefault="00CF4B3F" w:rsidP="00CF4B3F">
      <w:pPr>
        <w:pStyle w:val="TEKSTIIIII"/>
      </w:pPr>
      <w:r w:rsidRPr="004F2AC3">
        <w:t>-</w:t>
      </w:r>
      <w:r w:rsidR="00684E85" w:rsidRPr="004F2AC3">
        <w:t xml:space="preserve"> </w:t>
      </w:r>
      <w:r w:rsidRPr="004F2AC3">
        <w:t>Afat</w:t>
      </w:r>
      <w:r w:rsidR="00B9328D" w:rsidRPr="004F2AC3">
        <w:t>i i grumbullimit të të dhënave;</w:t>
      </w:r>
    </w:p>
    <w:p w14:paraId="1E6FF1D2" w14:textId="4361B3A9" w:rsidR="00CF4B3F" w:rsidRPr="004F2AC3" w:rsidRDefault="00CF4B3F" w:rsidP="00CF4B3F">
      <w:pPr>
        <w:pStyle w:val="TEKSTIIIII"/>
      </w:pPr>
      <w:r w:rsidRPr="004F2AC3">
        <w:t>-</w:t>
      </w:r>
      <w:r w:rsidR="00684E85" w:rsidRPr="004F2AC3">
        <w:t xml:space="preserve"> </w:t>
      </w:r>
      <w:r w:rsidRPr="004F2AC3">
        <w:t>Af</w:t>
      </w:r>
      <w:r w:rsidR="00B9328D" w:rsidRPr="004F2AC3">
        <w:t>ati i përpunimit të të dhënave;</w:t>
      </w:r>
    </w:p>
    <w:p w14:paraId="479CC31B" w14:textId="38E34EF1" w:rsidR="00CF4B3F" w:rsidRPr="004F2AC3" w:rsidRDefault="00CF4B3F" w:rsidP="00CF4B3F">
      <w:pPr>
        <w:pStyle w:val="TEKSTIIIII"/>
      </w:pPr>
      <w:r w:rsidRPr="004F2AC3">
        <w:t>-</w:t>
      </w:r>
      <w:r w:rsidR="00684E85" w:rsidRPr="004F2AC3">
        <w:t xml:space="preserve"> </w:t>
      </w:r>
      <w:r w:rsidRPr="004F2AC3">
        <w:t>Af</w:t>
      </w:r>
      <w:r w:rsidR="00B9328D" w:rsidRPr="004F2AC3">
        <w:t>ati i publikimit të të dhënave;</w:t>
      </w:r>
    </w:p>
    <w:p w14:paraId="63F5B707" w14:textId="6EEE17DE" w:rsidR="00CF4B3F" w:rsidRPr="004F2AC3" w:rsidRDefault="00CF4B3F" w:rsidP="00CF4B3F">
      <w:pPr>
        <w:pStyle w:val="TEKSTIIIII"/>
      </w:pPr>
      <w:r w:rsidRPr="004F2AC3">
        <w:t>-</w:t>
      </w:r>
      <w:r w:rsidR="00684E85" w:rsidRPr="004F2AC3">
        <w:t xml:space="preserve"> </w:t>
      </w:r>
      <w:r w:rsidRPr="004F2AC3">
        <w:t>Risqet dhe nivelet e risqev</w:t>
      </w:r>
      <w:r w:rsidR="00B9328D" w:rsidRPr="004F2AC3">
        <w:t>e;</w:t>
      </w:r>
    </w:p>
    <w:p w14:paraId="4F917338" w14:textId="5EA9866D" w:rsidR="000F566F" w:rsidRPr="004F2AC3" w:rsidRDefault="00CF4B3F" w:rsidP="00CF4B3F">
      <w:pPr>
        <w:pStyle w:val="TEKSTIIIII"/>
      </w:pPr>
      <w:r w:rsidRPr="004F2AC3">
        <w:t>-</w:t>
      </w:r>
      <w:r w:rsidR="00684E85" w:rsidRPr="004F2AC3">
        <w:t xml:space="preserve"> </w:t>
      </w:r>
      <w:r w:rsidRPr="004F2AC3">
        <w:t>Burimet e financimit.</w:t>
      </w:r>
    </w:p>
    <w:p w14:paraId="441EEAF5" w14:textId="7D8CA3CB" w:rsidR="000F566F" w:rsidRPr="004F2AC3" w:rsidRDefault="000F566F" w:rsidP="00CF4B3F">
      <w:pPr>
        <w:pStyle w:val="TEKSTIIIII"/>
        <w:rPr>
          <w:b/>
        </w:rPr>
      </w:pPr>
      <w:bookmarkStart w:id="4" w:name="_Toc215132187"/>
      <w:bookmarkStart w:id="5" w:name="_Toc89368108"/>
      <w:r w:rsidRPr="004F2AC3">
        <w:rPr>
          <w:b/>
        </w:rPr>
        <w:t xml:space="preserve">Fusha 1 </w:t>
      </w:r>
      <w:r w:rsidR="00D32864" w:rsidRPr="004F2AC3">
        <w:rPr>
          <w:b/>
        </w:rPr>
        <w:t>“</w:t>
      </w:r>
      <w:r w:rsidRPr="004F2AC3">
        <w:rPr>
          <w:b/>
        </w:rPr>
        <w:t>Statistikat demografike dhe sociale</w:t>
      </w:r>
      <w:r w:rsidR="00D32864" w:rsidRPr="004F2AC3">
        <w:rPr>
          <w:b/>
        </w:rPr>
        <w:t>”</w:t>
      </w:r>
      <w:bookmarkEnd w:id="4"/>
    </w:p>
    <w:p w14:paraId="3D1D5410" w14:textId="7930D703"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socia</w:t>
      </w:r>
      <w:r w:rsidR="00B9328D" w:rsidRPr="004F2AC3">
        <w:rPr>
          <w:rFonts w:ascii="Garamond" w:hAnsi="Garamond" w:cs="Times New Roman"/>
          <w:color w:val="000000" w:themeColor="text1"/>
          <w:sz w:val="24"/>
          <w:szCs w:val="24"/>
        </w:rPr>
        <w:t>le përfshijnë një gamë të gjerë</w:t>
      </w:r>
      <w:r w:rsidRPr="004F2AC3">
        <w:rPr>
          <w:rFonts w:ascii="Garamond" w:hAnsi="Garamond" w:cs="Times New Roman"/>
          <w:color w:val="000000" w:themeColor="text1"/>
          <w:sz w:val="24"/>
          <w:szCs w:val="24"/>
        </w:rPr>
        <w:t xml:space="preserve"> fushash që mbulojnë aspektet demografike dhe shoqërore të vendit, duke përfshirë</w:t>
      </w:r>
      <w:r w:rsidRPr="004F2AC3" w:rsidDel="00C374BF">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statistikat e popullsisë, tregut të punës dhe pagave, arsimit, shëndetësisë, të ardhurave dhe shpenzimeve të konsumit</w:t>
      </w:r>
      <w:r w:rsidR="00B9328D"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dhe përdorimit të kohës, mbrojtjes sociale, d</w:t>
      </w:r>
      <w:r w:rsidR="00B9328D" w:rsidRPr="004F2AC3">
        <w:rPr>
          <w:rFonts w:ascii="Garamond" w:hAnsi="Garamond" w:cs="Times New Roman"/>
          <w:color w:val="000000" w:themeColor="text1"/>
          <w:sz w:val="24"/>
          <w:szCs w:val="24"/>
        </w:rPr>
        <w:t>rejtësisë dhe krimit, kulturës.</w:t>
      </w:r>
    </w:p>
    <w:p w14:paraId="292EC168" w14:textId="4032726B"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Qëllimi kryesor i statistikave sociale është që të sigurojnë prodhimin e të dhënave cilësore, të besueshme dhe të disponueshme në kohë për treguesit statistikorë përkatës, të cilët mbështesin hartimin, zbatimin dhe monitorimin e politikave sociale dhe ekonomike. Nëpërmjet këtyre të dhënave synohet vlerësimi i</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 xml:space="preserve">ndikimit të këtyre politikave mbi </w:t>
      </w:r>
      <w:r w:rsidR="00B9328D" w:rsidRPr="004F2AC3">
        <w:rPr>
          <w:rFonts w:ascii="Garamond" w:hAnsi="Garamond" w:cs="Times New Roman"/>
          <w:color w:val="000000" w:themeColor="text1"/>
          <w:sz w:val="24"/>
          <w:szCs w:val="24"/>
        </w:rPr>
        <w:t>mirëqenien</w:t>
      </w:r>
      <w:r w:rsidRPr="004F2AC3">
        <w:rPr>
          <w:rFonts w:ascii="Garamond" w:hAnsi="Garamond" w:cs="Times New Roman"/>
          <w:color w:val="000000" w:themeColor="text1"/>
          <w:sz w:val="24"/>
          <w:szCs w:val="24"/>
        </w:rPr>
        <w:t xml:space="preserve"> e popullsisë dhe zhvillimin </w:t>
      </w:r>
      <w:r w:rsidR="00B9328D" w:rsidRPr="004F2AC3">
        <w:rPr>
          <w:rFonts w:ascii="Garamond" w:hAnsi="Garamond" w:cs="Times New Roman"/>
          <w:color w:val="000000" w:themeColor="text1"/>
          <w:sz w:val="24"/>
          <w:szCs w:val="24"/>
        </w:rPr>
        <w:t>e qëndrueshëm shoqëror në vend.</w:t>
      </w:r>
    </w:p>
    <w:p w14:paraId="01BE7339"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Objektivi kryesor për vitin 2026 për statistikat sociale do të jetë rritja e cilësisë dhe plotshmërisë së serive kohore për treguesit me frekuencë tremujore dhe vjetore, duke synuar rritjen e nivelit të përafrimit me </w:t>
      </w:r>
      <w:r w:rsidRPr="004F2AC3">
        <w:rPr>
          <w:rFonts w:ascii="Garamond" w:hAnsi="Garamond" w:cs="Times New Roman"/>
          <w:i/>
          <w:color w:val="000000" w:themeColor="text1"/>
          <w:sz w:val="24"/>
          <w:szCs w:val="24"/>
        </w:rPr>
        <w:t>acquis</w:t>
      </w:r>
      <w:r w:rsidRPr="004F2AC3">
        <w:rPr>
          <w:rFonts w:ascii="Garamond" w:hAnsi="Garamond" w:cs="Times New Roman"/>
          <w:color w:val="000000" w:themeColor="text1"/>
          <w:sz w:val="24"/>
          <w:szCs w:val="24"/>
        </w:rPr>
        <w:t xml:space="preserve"> përkatëse.</w:t>
      </w:r>
    </w:p>
    <w:p w14:paraId="02570D47" w14:textId="066FD936"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Një ndër aktivitetet kryesore në këtë fushë statistikore do të jetë përgatitja për vlerësimin e projeksioneve të popullsisë, bazuar në rekomandimet ndërkombëtare, llogaritja dhe vlerësimi i statistikave të diasporës shqiptare dhe kryerja e Vrojtimit të Grupimeve të Treguesve të Shumëfishtë (MICS) me fokus social, kryesisht të kushteve të jetesës, nënat dhe fëmijët, edukimin, shëndetësinë, si dhe shumë fusha të tjera. Tre aktivitete të rëndësishme që do të realizohen në këtë fushë do të jenë anketa Evropiane e Shëndetit (EHIS), anketa e Dhunës ndaj Grave dhe Vajzave dhe anketa e Përdorimit të Kohës. Ndër aktivitetet plotësisht të reja vlen të theksojmë Anketën e Turizmit në kuadër të Strategjisë Kombëtare për Zhvillimin e Turizmit 2025</w:t>
      </w:r>
      <w:r w:rsidR="00B9328D" w:rsidRPr="004F2AC3">
        <w:rPr>
          <w:rFonts w:ascii="Garamond" w:hAnsi="Garamond"/>
          <w:sz w:val="24"/>
          <w:szCs w:val="24"/>
        </w:rPr>
        <w:t>–</w:t>
      </w:r>
      <w:r w:rsidRPr="004F2AC3">
        <w:rPr>
          <w:rFonts w:ascii="Garamond" w:hAnsi="Garamond" w:cs="Times New Roman"/>
          <w:color w:val="000000" w:themeColor="text1"/>
          <w:sz w:val="24"/>
          <w:szCs w:val="24"/>
        </w:rPr>
        <w:t>2030. Gjithashtu, një tjetër aktivitet i rëndësishëm do të jetë kryerja e analizave të thelluara me tematikat përkatëse mbështetur në të dhënat e Censit të Popullsisë dhe Banesave 2023 jetë.</w:t>
      </w:r>
    </w:p>
    <w:p w14:paraId="60A51FC8" w14:textId="6C5D029A"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Ndër aktivitetet kryesore që pritet të realizohen gjatë vitit 2026 n</w:t>
      </w:r>
      <w:r w:rsidR="00B9328D" w:rsidRPr="004F2AC3">
        <w:rPr>
          <w:rFonts w:ascii="Garamond" w:hAnsi="Garamond" w:cs="Times New Roman"/>
          <w:color w:val="000000" w:themeColor="text1"/>
          <w:sz w:val="24"/>
          <w:szCs w:val="24"/>
        </w:rPr>
        <w:t>ë këtë fushë statistikore janë:</w:t>
      </w:r>
    </w:p>
    <w:p w14:paraId="39C114F7" w14:textId="079812D0" w:rsidR="000F566F" w:rsidRPr="004F2AC3" w:rsidRDefault="00CF4B3F" w:rsidP="00CF4B3F">
      <w:pPr>
        <w:pStyle w:val="TEKSTIIIII"/>
      </w:pPr>
      <w:r w:rsidRPr="004F2AC3">
        <w:rPr>
          <w:i/>
        </w:rPr>
        <w:t xml:space="preserve">- </w:t>
      </w:r>
      <w:r w:rsidR="000F566F" w:rsidRPr="004F2AC3">
        <w:rPr>
          <w:i/>
        </w:rPr>
        <w:t>Anketa mbi Dhunën ndaj Grave dhe Vajzave</w:t>
      </w:r>
      <w:r w:rsidR="000F566F" w:rsidRPr="004F2AC3">
        <w:t>, që synon mbledhjen e të dhënave gjithëpërfshirëse për vlerësimin e përhapjes dhe formave të dhunës me bazë gjinore;</w:t>
      </w:r>
    </w:p>
    <w:p w14:paraId="3F4E2DB5" w14:textId="58C48E68" w:rsidR="000F566F" w:rsidRPr="004F2AC3" w:rsidRDefault="00CF4B3F" w:rsidP="00CF4B3F">
      <w:pPr>
        <w:pStyle w:val="TEKSTIIIII"/>
      </w:pPr>
      <w:r w:rsidRPr="004F2AC3">
        <w:rPr>
          <w:i/>
        </w:rPr>
        <w:t xml:space="preserve">- </w:t>
      </w:r>
      <w:r w:rsidR="000F566F" w:rsidRPr="004F2AC3">
        <w:rPr>
          <w:i/>
        </w:rPr>
        <w:t>Anketa Evropiane e Shëndetit (EHIS),</w:t>
      </w:r>
      <w:r w:rsidR="000F566F" w:rsidRPr="004F2AC3">
        <w:t xml:space="preserve"> e cila do të sigurojë informacion të detajuar mbi statusin shëndetësor të popullsisë dhe faktorët e ndikimit mbi shëndetin;</w:t>
      </w:r>
    </w:p>
    <w:p w14:paraId="353C5AC3" w14:textId="03D335D3" w:rsidR="000F566F" w:rsidRPr="004F2AC3" w:rsidRDefault="00CF4B3F" w:rsidP="00CF4B3F">
      <w:pPr>
        <w:pStyle w:val="TEKSTIIIII"/>
      </w:pPr>
      <w:r w:rsidRPr="004F2AC3">
        <w:rPr>
          <w:i/>
        </w:rPr>
        <w:t xml:space="preserve">- </w:t>
      </w:r>
      <w:r w:rsidR="000F566F" w:rsidRPr="004F2AC3">
        <w:rPr>
          <w:i/>
        </w:rPr>
        <w:t>Anketa e Përdorimit të Kohës</w:t>
      </w:r>
      <w:r w:rsidR="000F566F" w:rsidRPr="004F2AC3">
        <w:t>, e cila do të mundësojë analiza të thelluara mbi shpërndarjen e kohës midis aktiviteteve të punës, kujdesit dhe kohës së lirë, si bazë për politika të barazisë gjinore dhe mirëqenies;</w:t>
      </w:r>
    </w:p>
    <w:p w14:paraId="6772B4CB" w14:textId="77777777" w:rsidR="000F566F" w:rsidRPr="004F2AC3" w:rsidRDefault="000F566F" w:rsidP="00CF4B3F">
      <w:pPr>
        <w:pStyle w:val="TEKSTIIIII"/>
      </w:pPr>
      <w:r w:rsidRPr="004F2AC3">
        <w:t>Përgatitja për vlerësimin e projeksioneve të popullsisë, bazuar në rekomandimet ndërkombëtare;</w:t>
      </w:r>
    </w:p>
    <w:p w14:paraId="368EB44D" w14:textId="77777777" w:rsidR="000F566F" w:rsidRPr="004F2AC3" w:rsidRDefault="000F566F" w:rsidP="00CF4B3F">
      <w:pPr>
        <w:pStyle w:val="TEKSTIIIII"/>
      </w:pPr>
      <w:r w:rsidRPr="004F2AC3">
        <w:t>Statistikat e Diasporës Shqiptare;</w:t>
      </w:r>
    </w:p>
    <w:p w14:paraId="1BA7BEAC" w14:textId="35A4712D" w:rsidR="000F566F" w:rsidRPr="004F2AC3" w:rsidRDefault="00CF4B3F" w:rsidP="00CF4B3F">
      <w:pPr>
        <w:pStyle w:val="TEKSTIIIII"/>
      </w:pPr>
      <w:r w:rsidRPr="004F2AC3">
        <w:rPr>
          <w:i/>
        </w:rPr>
        <w:t xml:space="preserve">- </w:t>
      </w:r>
      <w:r w:rsidR="000F566F" w:rsidRPr="004F2AC3">
        <w:rPr>
          <w:i/>
        </w:rPr>
        <w:t>Vrojtimi i Grupimeve të Treguesve të Shumëfishtë (MICS)</w:t>
      </w:r>
      <w:r w:rsidR="000F566F" w:rsidRPr="004F2AC3">
        <w:t xml:space="preserve"> me fokus në aspektet sociale, duke përfshirë kushtet e jetesës, nënat dhe fëmijët, arsimin, shëndetësinë dhe fusha të tjera të </w:t>
      </w:r>
      <w:r w:rsidR="00B9328D" w:rsidRPr="004F2AC3">
        <w:t>lidhura me zhvillimin njerëzor.</w:t>
      </w:r>
    </w:p>
    <w:p w14:paraId="0D4A9804"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Ndër aktivitetet e tjera, të reja, që do të realizohen gjatë vitit 2026, veçohet Anketa e Turizmit, e cila do të zhvillohet në kuadër të Strategjisë Kombëtare për Zhvillimin e Turizmit 2025–2030, me qëllim përmirësimin e treguesve të këtij sektori strategjik për ekonominë kombëtare.</w:t>
      </w:r>
    </w:p>
    <w:p w14:paraId="01B68888" w14:textId="717C1959"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Gjithashtu, një tjetër aktivitet</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i rëndësishëm për vitin 2026 do të jetë kryerja e analizave të thelluara tematike të bazuara në rezultatet e Censit të Popullsisë dhe Banesave 2023, të cilat do të fokusohen në fushat prioritare të zhvillimit demografik, strukturës familjare, kushteve të banimit dhe karakteristikave socio-ekonomike të popullsisë.</w:t>
      </w:r>
    </w:p>
    <w:p w14:paraId="52A069ED" w14:textId="2A6266FA"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Kryerja e këtyre aktiviteteve do të mbështetet nga burime </w:t>
      </w:r>
      <w:r w:rsidR="00B9328D" w:rsidRPr="004F2AC3">
        <w:rPr>
          <w:rFonts w:ascii="Garamond" w:hAnsi="Garamond" w:cs="Times New Roman"/>
          <w:color w:val="000000" w:themeColor="text1"/>
          <w:sz w:val="24"/>
          <w:szCs w:val="24"/>
        </w:rPr>
        <w:t>administrative</w:t>
      </w:r>
      <w:r w:rsidRPr="004F2AC3">
        <w:rPr>
          <w:rFonts w:ascii="Garamond" w:hAnsi="Garamond" w:cs="Times New Roman"/>
          <w:color w:val="000000" w:themeColor="text1"/>
          <w:sz w:val="24"/>
          <w:szCs w:val="24"/>
        </w:rPr>
        <w:t xml:space="preserve"> dhe</w:t>
      </w:r>
      <w:r w:rsidR="00B9328D" w:rsidRPr="004F2AC3">
        <w:rPr>
          <w:rFonts w:ascii="Garamond" w:hAnsi="Garamond" w:cs="Times New Roman"/>
          <w:color w:val="000000" w:themeColor="text1"/>
          <w:sz w:val="24"/>
          <w:szCs w:val="24"/>
        </w:rPr>
        <w:t xml:space="preserve"> vrojtime të kryera nga INSTAT-i.</w:t>
      </w:r>
    </w:p>
    <w:p w14:paraId="6F0C7C7E"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Vrojtimet që do të kryhen gjatë vitit 2026 paraqiten në tabelën e mëposhtme:</w:t>
      </w:r>
    </w:p>
    <w:p w14:paraId="4D10E4FC"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p>
    <w:p w14:paraId="1C2D7117" w14:textId="1DDB1DCA"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8</w:t>
      </w:r>
      <w:r w:rsidR="00B9328D"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Lista e vrojtimeve për </w:t>
      </w:r>
      <w:r w:rsidR="00B9328D" w:rsidRPr="004F2AC3">
        <w:rPr>
          <w:rFonts w:ascii="Garamond" w:hAnsi="Garamond" w:cs="Times New Roman"/>
          <w:b/>
          <w:color w:val="000000" w:themeColor="text1"/>
          <w:sz w:val="24"/>
          <w:szCs w:val="24"/>
        </w:rPr>
        <w:t xml:space="preserve">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B9328D" w:rsidRPr="004F2AC3">
        <w:rPr>
          <w:rFonts w:ascii="Garamond" w:hAnsi="Garamond" w:cs="Times New Roman"/>
          <w:b/>
          <w:color w:val="000000" w:themeColor="text1"/>
          <w:sz w:val="24"/>
          <w:szCs w:val="24"/>
        </w:rPr>
        <w:t xml:space="preserve">sociale </w:t>
      </w:r>
      <w:r w:rsidRPr="004F2AC3">
        <w:rPr>
          <w:rFonts w:ascii="Garamond" w:hAnsi="Garamond" w:cs="Times New Roman"/>
          <w:b/>
          <w:color w:val="000000" w:themeColor="text1"/>
          <w:sz w:val="24"/>
          <w:szCs w:val="24"/>
        </w:rPr>
        <w:t xml:space="preserve">dhe </w:t>
      </w:r>
      <w:r w:rsidR="00B9328D" w:rsidRPr="004F2AC3">
        <w:rPr>
          <w:rFonts w:ascii="Garamond" w:hAnsi="Garamond" w:cs="Times New Roman"/>
          <w:b/>
          <w:color w:val="000000" w:themeColor="text1"/>
          <w:sz w:val="24"/>
          <w:szCs w:val="24"/>
        </w:rPr>
        <w:t>demografike</w:t>
      </w:r>
      <w:r w:rsidR="00D32864" w:rsidRPr="004F2AC3">
        <w:rPr>
          <w:rFonts w:ascii="Garamond" w:hAnsi="Garamond" w:cs="Times New Roman"/>
          <w:b/>
          <w:color w:val="000000" w:themeColor="text1"/>
          <w:sz w:val="24"/>
          <w:szCs w:val="24"/>
        </w:rPr>
        <w:t>”</w:t>
      </w:r>
    </w:p>
    <w:tbl>
      <w:tblPr>
        <w:tblStyle w:val="ListTable3-Accent111"/>
        <w:tblW w:w="0" w:type="auto"/>
        <w:tblLook w:val="04A0" w:firstRow="1" w:lastRow="0" w:firstColumn="1" w:lastColumn="0" w:noHBand="0" w:noVBand="1"/>
      </w:tblPr>
      <w:tblGrid>
        <w:gridCol w:w="6771"/>
        <w:gridCol w:w="2207"/>
      </w:tblGrid>
      <w:tr w:rsidR="000F566F" w:rsidRPr="004F2AC3" w14:paraId="6F0D89B8" w14:textId="77777777" w:rsidTr="00B66BF4">
        <w:trPr>
          <w:cnfStyle w:val="100000000000" w:firstRow="1" w:lastRow="0" w:firstColumn="0" w:lastColumn="0" w:oddVBand="0" w:evenVBand="0" w:oddHBand="0" w:evenHBand="0" w:firstRowFirstColumn="0" w:firstRowLastColumn="0" w:lastRowFirstColumn="0" w:lastRowLastColumn="0"/>
          <w:trHeight w:val="256"/>
        </w:trPr>
        <w:tc>
          <w:tcPr>
            <w:cnfStyle w:val="001000000100" w:firstRow="0" w:lastRow="0" w:firstColumn="1" w:lastColumn="0" w:oddVBand="0" w:evenVBand="0" w:oddHBand="0" w:evenHBand="0" w:firstRowFirstColumn="1" w:firstRowLastColumn="0" w:lastRowFirstColumn="0" w:lastRowLastColumn="0"/>
            <w:tcW w:w="6771" w:type="dxa"/>
          </w:tcPr>
          <w:p w14:paraId="16583528" w14:textId="77777777" w:rsidR="000F566F" w:rsidRPr="004F2AC3" w:rsidRDefault="000F566F" w:rsidP="00CF4B3F">
            <w:pPr>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Vrojtimi</w:t>
            </w:r>
          </w:p>
        </w:tc>
        <w:tc>
          <w:tcPr>
            <w:tcW w:w="2207" w:type="dxa"/>
          </w:tcPr>
          <w:p w14:paraId="50FC030A" w14:textId="77777777" w:rsidR="000F566F" w:rsidRPr="004F2AC3" w:rsidRDefault="000F566F"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Burimi i financimit</w:t>
            </w:r>
          </w:p>
        </w:tc>
      </w:tr>
      <w:tr w:rsidR="000F566F" w:rsidRPr="004F2AC3" w14:paraId="38826A3E" w14:textId="77777777" w:rsidTr="00B66BF4">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6771" w:type="dxa"/>
          </w:tcPr>
          <w:p w14:paraId="7569580B" w14:textId="77777777"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1. Vrojtimi i grupimeve të treguesve të shumëfishtë (MICS)</w:t>
            </w:r>
          </w:p>
        </w:tc>
        <w:tc>
          <w:tcPr>
            <w:tcW w:w="2207" w:type="dxa"/>
          </w:tcPr>
          <w:p w14:paraId="6563961B" w14:textId="67CD09BF"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Buxhet shteti+</w:t>
            </w:r>
            <w:r w:rsidR="005B3A9C" w:rsidRPr="004F2AC3">
              <w:rPr>
                <w:rFonts w:ascii="Garamond" w:hAnsi="Garamond" w:cs="Times New Roman"/>
                <w:color w:val="000000" w:themeColor="text1"/>
                <w:sz w:val="20"/>
                <w:szCs w:val="24"/>
                <w:lang w:val="sq-AL"/>
              </w:rPr>
              <w:t>donatorë</w:t>
            </w:r>
          </w:p>
        </w:tc>
      </w:tr>
      <w:tr w:rsidR="000F566F" w:rsidRPr="004F2AC3" w14:paraId="5AA06FC2" w14:textId="77777777" w:rsidTr="00B66BF4">
        <w:trPr>
          <w:trHeight w:val="256"/>
        </w:trPr>
        <w:tc>
          <w:tcPr>
            <w:cnfStyle w:val="001000000000" w:firstRow="0" w:lastRow="0" w:firstColumn="1" w:lastColumn="0" w:oddVBand="0" w:evenVBand="0" w:oddHBand="0" w:evenHBand="0" w:firstRowFirstColumn="0" w:firstRowLastColumn="0" w:lastRowFirstColumn="0" w:lastRowLastColumn="0"/>
            <w:tcW w:w="6771" w:type="dxa"/>
          </w:tcPr>
          <w:p w14:paraId="7E329D98" w14:textId="77777777"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2. Vrojtimi i Forcës së Punës</w:t>
            </w:r>
          </w:p>
        </w:tc>
        <w:tc>
          <w:tcPr>
            <w:tcW w:w="2207" w:type="dxa"/>
          </w:tcPr>
          <w:p w14:paraId="76D4BE96"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Buxhet shteti</w:t>
            </w:r>
          </w:p>
        </w:tc>
      </w:tr>
      <w:tr w:rsidR="000F566F" w:rsidRPr="004F2AC3" w14:paraId="6F786B24" w14:textId="77777777" w:rsidTr="00B66BF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6771" w:type="dxa"/>
          </w:tcPr>
          <w:p w14:paraId="57EC5BA3" w14:textId="77777777"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3. Vrojtimi i Kostos së Punës</w:t>
            </w:r>
          </w:p>
        </w:tc>
        <w:tc>
          <w:tcPr>
            <w:tcW w:w="2207" w:type="dxa"/>
          </w:tcPr>
          <w:p w14:paraId="21846737"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Buxhet shteti</w:t>
            </w:r>
          </w:p>
        </w:tc>
      </w:tr>
      <w:tr w:rsidR="000F566F" w:rsidRPr="004F2AC3" w14:paraId="42A49972" w14:textId="77777777" w:rsidTr="00B66BF4">
        <w:trPr>
          <w:trHeight w:val="256"/>
        </w:trPr>
        <w:tc>
          <w:tcPr>
            <w:cnfStyle w:val="001000000000" w:firstRow="0" w:lastRow="0" w:firstColumn="1" w:lastColumn="0" w:oddVBand="0" w:evenVBand="0" w:oddHBand="0" w:evenHBand="0" w:firstRowFirstColumn="0" w:firstRowLastColumn="0" w:lastRowFirstColumn="0" w:lastRowLastColumn="0"/>
            <w:tcW w:w="6771" w:type="dxa"/>
          </w:tcPr>
          <w:p w14:paraId="79B32CD3" w14:textId="77777777"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4. Vrojtimi i Buxhetit të Njësive Ekonomike Familjare</w:t>
            </w:r>
          </w:p>
        </w:tc>
        <w:tc>
          <w:tcPr>
            <w:tcW w:w="2207" w:type="dxa"/>
          </w:tcPr>
          <w:p w14:paraId="69CB9874"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Buxhet shteti</w:t>
            </w:r>
          </w:p>
        </w:tc>
      </w:tr>
      <w:tr w:rsidR="000F566F" w:rsidRPr="004F2AC3" w14:paraId="6AED3CE2" w14:textId="77777777" w:rsidTr="00B66BF4">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6771" w:type="dxa"/>
          </w:tcPr>
          <w:p w14:paraId="3F9F7531" w14:textId="77777777"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5. Vrojtimi i të Ardhurave dhe Nivelit të Jetesës</w:t>
            </w:r>
          </w:p>
        </w:tc>
        <w:tc>
          <w:tcPr>
            <w:tcW w:w="2207" w:type="dxa"/>
          </w:tcPr>
          <w:p w14:paraId="635FBD47"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Buxhet shteti</w:t>
            </w:r>
          </w:p>
        </w:tc>
      </w:tr>
      <w:tr w:rsidR="000F566F" w:rsidRPr="004F2AC3" w14:paraId="760F78DB" w14:textId="77777777" w:rsidTr="00B66BF4">
        <w:trPr>
          <w:trHeight w:val="256"/>
        </w:trPr>
        <w:tc>
          <w:tcPr>
            <w:cnfStyle w:val="001000000000" w:firstRow="0" w:lastRow="0" w:firstColumn="1" w:lastColumn="0" w:oddVBand="0" w:evenVBand="0" w:oddHBand="0" w:evenHBand="0" w:firstRowFirstColumn="0" w:firstRowLastColumn="0" w:lastRowFirstColumn="0" w:lastRowLastColumn="0"/>
            <w:tcW w:w="6771" w:type="dxa"/>
          </w:tcPr>
          <w:p w14:paraId="2A45A01E" w14:textId="77777777"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6. Vrojtimi i Dhunës ndaj Grave dhe Vajzave</w:t>
            </w:r>
          </w:p>
        </w:tc>
        <w:tc>
          <w:tcPr>
            <w:tcW w:w="2207" w:type="dxa"/>
          </w:tcPr>
          <w:p w14:paraId="4C1C55AC" w14:textId="76C61BEF"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Buxhet shteti+</w:t>
            </w:r>
            <w:r w:rsidR="005B3A9C" w:rsidRPr="004F2AC3">
              <w:rPr>
                <w:rFonts w:ascii="Garamond" w:hAnsi="Garamond" w:cs="Times New Roman"/>
                <w:color w:val="000000" w:themeColor="text1"/>
                <w:sz w:val="20"/>
                <w:szCs w:val="24"/>
                <w:lang w:val="sq-AL"/>
              </w:rPr>
              <w:t>donatorë</w:t>
            </w:r>
          </w:p>
        </w:tc>
      </w:tr>
      <w:tr w:rsidR="000F566F" w:rsidRPr="004F2AC3" w14:paraId="4840132E" w14:textId="77777777" w:rsidTr="00B66BF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6771" w:type="dxa"/>
          </w:tcPr>
          <w:p w14:paraId="4A9C4D70" w14:textId="77777777"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7. Vrojtimi Evropian i Shëndetit (EHIS)</w:t>
            </w:r>
          </w:p>
        </w:tc>
        <w:tc>
          <w:tcPr>
            <w:tcW w:w="2207" w:type="dxa"/>
          </w:tcPr>
          <w:p w14:paraId="6953A078" w14:textId="40B065EE"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Buxhet shteti+</w:t>
            </w:r>
            <w:r w:rsidR="005B3A9C" w:rsidRPr="004F2AC3">
              <w:rPr>
                <w:rFonts w:ascii="Garamond" w:hAnsi="Garamond" w:cs="Times New Roman"/>
                <w:color w:val="000000" w:themeColor="text1"/>
                <w:sz w:val="20"/>
                <w:szCs w:val="24"/>
                <w:lang w:val="sq-AL"/>
              </w:rPr>
              <w:t>donatorë</w:t>
            </w:r>
          </w:p>
        </w:tc>
      </w:tr>
    </w:tbl>
    <w:p w14:paraId="5D2CA1A7"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p>
    <w:p w14:paraId="14426A9F" w14:textId="2E8E937A"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Niveli aktual i përputhshmërisë me rregulloret përkatëse të BE</w:t>
      </w:r>
      <w:r w:rsidR="00B9328D" w:rsidRPr="004F2AC3">
        <w:rPr>
          <w:rFonts w:ascii="Garamond" w:hAnsi="Garamond" w:cs="Times New Roman"/>
          <w:color w:val="000000" w:themeColor="text1"/>
          <w:sz w:val="24"/>
          <w:szCs w:val="24"/>
        </w:rPr>
        <w:t>-së</w:t>
      </w:r>
      <w:r w:rsidRPr="004F2AC3">
        <w:rPr>
          <w:rFonts w:ascii="Garamond" w:hAnsi="Garamond" w:cs="Times New Roman"/>
          <w:color w:val="000000" w:themeColor="text1"/>
          <w:sz w:val="24"/>
          <w:szCs w:val="24"/>
        </w:rPr>
        <w:t>, paraqitet në tabelën e mëposhtme:</w:t>
      </w:r>
    </w:p>
    <w:p w14:paraId="53011F44"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p>
    <w:p w14:paraId="6D1954CF" w14:textId="153B34A4"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Tabela nr. 9</w:t>
      </w:r>
      <w:r w:rsidR="00B9328D" w:rsidRPr="004F2AC3">
        <w:rPr>
          <w:rFonts w:ascii="Garamond" w:hAnsi="Garamond" w:cs="Times New Roman"/>
          <w:b/>
          <w:color w:val="000000" w:themeColor="text1"/>
          <w:sz w:val="24"/>
          <w:szCs w:val="24"/>
        </w:rPr>
        <w:t>:</w:t>
      </w:r>
      <w:r w:rsidR="00684E85" w:rsidRPr="004F2AC3">
        <w:rPr>
          <w:rFonts w:ascii="Garamond" w:hAnsi="Garamond" w:cs="Times New Roman"/>
          <w:b/>
          <w:color w:val="000000" w:themeColor="text1"/>
          <w:sz w:val="24"/>
          <w:szCs w:val="24"/>
        </w:rPr>
        <w:t xml:space="preserve"> </w:t>
      </w:r>
      <w:r w:rsidRPr="004F2AC3">
        <w:rPr>
          <w:rFonts w:ascii="Garamond" w:hAnsi="Garamond" w:cs="Times New Roman"/>
          <w:b/>
          <w:color w:val="000000" w:themeColor="text1"/>
          <w:sz w:val="24"/>
          <w:szCs w:val="24"/>
        </w:rPr>
        <w:t xml:space="preserve">Niveli i </w:t>
      </w:r>
      <w:r w:rsidR="00B9328D" w:rsidRPr="004F2AC3">
        <w:rPr>
          <w:rFonts w:ascii="Garamond" w:hAnsi="Garamond" w:cs="Times New Roman"/>
          <w:b/>
          <w:color w:val="000000" w:themeColor="text1"/>
          <w:sz w:val="24"/>
          <w:szCs w:val="24"/>
        </w:rPr>
        <w:t>përputhshmërisë</w:t>
      </w:r>
      <w:r w:rsidRPr="004F2AC3">
        <w:rPr>
          <w:rFonts w:ascii="Garamond" w:hAnsi="Garamond" w:cs="Times New Roman"/>
          <w:b/>
          <w:color w:val="000000" w:themeColor="text1"/>
          <w:sz w:val="24"/>
          <w:szCs w:val="24"/>
        </w:rPr>
        <w:t xml:space="preserve"> me </w:t>
      </w:r>
      <w:r w:rsidRPr="004F2AC3">
        <w:rPr>
          <w:rFonts w:ascii="Garamond" w:hAnsi="Garamond" w:cs="Times New Roman"/>
          <w:b/>
          <w:i/>
          <w:color w:val="000000" w:themeColor="text1"/>
          <w:sz w:val="24"/>
          <w:szCs w:val="24"/>
        </w:rPr>
        <w:t>acquis</w:t>
      </w:r>
      <w:r w:rsidRPr="004F2AC3">
        <w:rPr>
          <w:rFonts w:ascii="Garamond" w:hAnsi="Garamond" w:cs="Times New Roman"/>
          <w:b/>
          <w:color w:val="000000" w:themeColor="text1"/>
          <w:sz w:val="24"/>
          <w:szCs w:val="24"/>
        </w:rPr>
        <w:t xml:space="preserve"> </w:t>
      </w:r>
      <w:r w:rsidR="00B9328D" w:rsidRPr="004F2AC3">
        <w:rPr>
          <w:rFonts w:ascii="Garamond" w:hAnsi="Garamond" w:cs="Times New Roman"/>
          <w:b/>
          <w:color w:val="000000" w:themeColor="text1"/>
          <w:sz w:val="24"/>
          <w:szCs w:val="24"/>
        </w:rPr>
        <w:t>për</w:t>
      </w:r>
      <w:r w:rsidRPr="004F2AC3">
        <w:rPr>
          <w:rFonts w:ascii="Garamond" w:hAnsi="Garamond" w:cs="Times New Roman"/>
          <w:b/>
          <w:color w:val="000000" w:themeColor="text1"/>
          <w:sz w:val="24"/>
          <w:szCs w:val="24"/>
        </w:rPr>
        <w:t xml:space="preserve"> 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B9328D" w:rsidRPr="004F2AC3">
        <w:rPr>
          <w:rFonts w:ascii="Garamond" w:hAnsi="Garamond" w:cs="Times New Roman"/>
          <w:b/>
          <w:color w:val="000000" w:themeColor="text1"/>
          <w:sz w:val="24"/>
          <w:szCs w:val="24"/>
        </w:rPr>
        <w:t xml:space="preserve">sociale </w:t>
      </w:r>
      <w:r w:rsidRPr="004F2AC3">
        <w:rPr>
          <w:rFonts w:ascii="Garamond" w:hAnsi="Garamond" w:cs="Times New Roman"/>
          <w:b/>
          <w:color w:val="000000" w:themeColor="text1"/>
          <w:sz w:val="24"/>
          <w:szCs w:val="24"/>
        </w:rPr>
        <w:t xml:space="preserve">dhe </w:t>
      </w:r>
      <w:r w:rsidR="00B9328D" w:rsidRPr="004F2AC3">
        <w:rPr>
          <w:rFonts w:ascii="Garamond" w:hAnsi="Garamond" w:cs="Times New Roman"/>
          <w:b/>
          <w:color w:val="000000" w:themeColor="text1"/>
          <w:sz w:val="24"/>
          <w:szCs w:val="24"/>
        </w:rPr>
        <w:t>demografike</w:t>
      </w:r>
      <w:r w:rsidR="00D32864" w:rsidRPr="004F2AC3">
        <w:rPr>
          <w:rFonts w:ascii="Garamond" w:hAnsi="Garamond" w:cs="Times New Roman"/>
          <w:b/>
          <w:color w:val="000000" w:themeColor="text1"/>
          <w:sz w:val="24"/>
          <w:szCs w:val="24"/>
        </w:rPr>
        <w:t>”</w:t>
      </w:r>
    </w:p>
    <w:tbl>
      <w:tblPr>
        <w:tblStyle w:val="ListTable3-Accent1111"/>
        <w:tblW w:w="8980" w:type="dxa"/>
        <w:tblInd w:w="-5" w:type="dxa"/>
        <w:tblLook w:val="04A0" w:firstRow="1" w:lastRow="0" w:firstColumn="1" w:lastColumn="0" w:noHBand="0" w:noVBand="1"/>
      </w:tblPr>
      <w:tblGrid>
        <w:gridCol w:w="6902"/>
        <w:gridCol w:w="2078"/>
      </w:tblGrid>
      <w:tr w:rsidR="000F566F" w:rsidRPr="004F2AC3" w14:paraId="69BE9AED" w14:textId="77777777" w:rsidTr="00B66BF4">
        <w:trPr>
          <w:cnfStyle w:val="100000000000" w:firstRow="1" w:lastRow="0" w:firstColumn="0" w:lastColumn="0" w:oddVBand="0" w:evenVBand="0" w:oddHBand="0" w:evenHBand="0" w:firstRowFirstColumn="0" w:firstRowLastColumn="0" w:lastRowFirstColumn="0" w:lastRowLastColumn="0"/>
          <w:trHeight w:val="253"/>
        </w:trPr>
        <w:tc>
          <w:tcPr>
            <w:cnfStyle w:val="001000000100" w:firstRow="0" w:lastRow="0" w:firstColumn="1" w:lastColumn="0" w:oddVBand="0" w:evenVBand="0" w:oddHBand="0" w:evenHBand="0" w:firstRowFirstColumn="1" w:firstRowLastColumn="0" w:lastRowFirstColumn="0" w:lastRowLastColumn="0"/>
            <w:tcW w:w="6902" w:type="dxa"/>
            <w:vAlign w:val="center"/>
          </w:tcPr>
          <w:p w14:paraId="7FD7729F" w14:textId="5C9348E1" w:rsidR="000F566F" w:rsidRPr="004F2AC3" w:rsidRDefault="000F566F" w:rsidP="00CF4B3F">
            <w:pPr>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Tema/</w:t>
            </w:r>
            <w:r w:rsidR="00B9328D" w:rsidRPr="004F2AC3">
              <w:rPr>
                <w:rFonts w:ascii="Garamond" w:hAnsi="Garamond" w:cs="Times New Roman"/>
                <w:color w:val="000000" w:themeColor="text1"/>
                <w:sz w:val="20"/>
                <w:szCs w:val="24"/>
                <w:lang w:val="sq-AL"/>
              </w:rPr>
              <w:t>aktiviteti</w:t>
            </w:r>
          </w:p>
        </w:tc>
        <w:tc>
          <w:tcPr>
            <w:tcW w:w="2078" w:type="dxa"/>
            <w:vAlign w:val="center"/>
          </w:tcPr>
          <w:p w14:paraId="07552D7C" w14:textId="77777777" w:rsidR="000F566F" w:rsidRPr="004F2AC3" w:rsidRDefault="000F566F"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Niveli i përputhshmërisë</w:t>
            </w:r>
          </w:p>
        </w:tc>
      </w:tr>
      <w:tr w:rsidR="000F566F" w:rsidRPr="004F2AC3" w14:paraId="1C4D8160" w14:textId="77777777" w:rsidTr="00B66BF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504A6EBB" w14:textId="3FA3C3AA"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 xml:space="preserve">1. Statistikat e </w:t>
            </w:r>
            <w:r w:rsidR="005B3A9C" w:rsidRPr="004F2AC3">
              <w:rPr>
                <w:rFonts w:ascii="Garamond" w:hAnsi="Garamond" w:cs="Times New Roman"/>
                <w:b w:val="0"/>
                <w:color w:val="000000" w:themeColor="text1"/>
                <w:sz w:val="20"/>
                <w:szCs w:val="24"/>
                <w:lang w:val="sq-AL"/>
              </w:rPr>
              <w:t xml:space="preserve">popullsisë </w:t>
            </w:r>
            <w:r w:rsidRPr="004F2AC3">
              <w:rPr>
                <w:rFonts w:ascii="Garamond" w:hAnsi="Garamond" w:cs="Times New Roman"/>
                <w:b w:val="0"/>
                <w:color w:val="000000" w:themeColor="text1"/>
                <w:sz w:val="20"/>
                <w:szCs w:val="24"/>
                <w:lang w:val="sq-AL"/>
              </w:rPr>
              <w:t xml:space="preserve">dhe </w:t>
            </w:r>
            <w:r w:rsidR="005B3A9C" w:rsidRPr="004F2AC3">
              <w:rPr>
                <w:rFonts w:ascii="Garamond" w:hAnsi="Garamond" w:cs="Times New Roman"/>
                <w:b w:val="0"/>
                <w:color w:val="000000" w:themeColor="text1"/>
                <w:sz w:val="20"/>
                <w:szCs w:val="24"/>
                <w:lang w:val="sq-AL"/>
              </w:rPr>
              <w:t>migracionit ndërkombëtar</w:t>
            </w:r>
          </w:p>
        </w:tc>
        <w:tc>
          <w:tcPr>
            <w:tcW w:w="2078" w:type="dxa"/>
            <w:vAlign w:val="center"/>
          </w:tcPr>
          <w:p w14:paraId="5286E6B5"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I mesëm</w:t>
            </w:r>
          </w:p>
        </w:tc>
      </w:tr>
      <w:tr w:rsidR="000F566F" w:rsidRPr="004F2AC3" w14:paraId="4629A0BD" w14:textId="77777777" w:rsidTr="00B66BF4">
        <w:trPr>
          <w:trHeight w:val="253"/>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64690E9F" w14:textId="77777777"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2. Censi i Popullsisë dhe Banesave</w:t>
            </w:r>
          </w:p>
        </w:tc>
        <w:tc>
          <w:tcPr>
            <w:tcW w:w="2078" w:type="dxa"/>
            <w:vAlign w:val="center"/>
          </w:tcPr>
          <w:p w14:paraId="2D62E64B"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I mesëm</w:t>
            </w:r>
          </w:p>
        </w:tc>
      </w:tr>
      <w:tr w:rsidR="000F566F" w:rsidRPr="004F2AC3" w14:paraId="17CE7946" w14:textId="77777777" w:rsidTr="00B66BF4">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4608562A" w14:textId="13714B46"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 xml:space="preserve">3. Statistika të </w:t>
            </w:r>
            <w:r w:rsidR="005B3A9C" w:rsidRPr="004F2AC3">
              <w:rPr>
                <w:rFonts w:ascii="Garamond" w:hAnsi="Garamond" w:cs="Times New Roman"/>
                <w:b w:val="0"/>
                <w:color w:val="000000" w:themeColor="text1"/>
                <w:sz w:val="20"/>
                <w:szCs w:val="24"/>
                <w:lang w:val="sq-AL"/>
              </w:rPr>
              <w:t>punësimit dhe papunësisë</w:t>
            </w:r>
          </w:p>
        </w:tc>
        <w:tc>
          <w:tcPr>
            <w:tcW w:w="2078" w:type="dxa"/>
            <w:vAlign w:val="center"/>
          </w:tcPr>
          <w:p w14:paraId="48DE6B7D"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bCs/>
                <w:color w:val="000000" w:themeColor="text1"/>
                <w:sz w:val="20"/>
                <w:szCs w:val="24"/>
                <w:lang w:val="sq-AL"/>
              </w:rPr>
            </w:pPr>
            <w:r w:rsidRPr="004F2AC3">
              <w:rPr>
                <w:rFonts w:ascii="Garamond" w:hAnsi="Garamond" w:cs="Times New Roman"/>
                <w:bCs/>
                <w:color w:val="000000" w:themeColor="text1"/>
                <w:sz w:val="20"/>
                <w:szCs w:val="24"/>
                <w:lang w:val="sq-AL"/>
              </w:rPr>
              <w:t>I ulët</w:t>
            </w:r>
          </w:p>
        </w:tc>
      </w:tr>
      <w:tr w:rsidR="000F566F" w:rsidRPr="004F2AC3" w14:paraId="45C07E6F" w14:textId="77777777" w:rsidTr="00B66BF4">
        <w:trPr>
          <w:trHeight w:val="240"/>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670F2441" w14:textId="1BF0BE04"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 xml:space="preserve">4. Statistika mbi </w:t>
            </w:r>
            <w:r w:rsidR="005B3A9C" w:rsidRPr="004F2AC3">
              <w:rPr>
                <w:rFonts w:ascii="Garamond" w:hAnsi="Garamond" w:cs="Times New Roman"/>
                <w:b w:val="0"/>
                <w:color w:val="000000" w:themeColor="text1"/>
                <w:sz w:val="20"/>
                <w:szCs w:val="24"/>
                <w:lang w:val="sq-AL"/>
              </w:rPr>
              <w:t>koston e punës dhe të ardhurat nga puna</w:t>
            </w:r>
          </w:p>
        </w:tc>
        <w:tc>
          <w:tcPr>
            <w:tcW w:w="2078" w:type="dxa"/>
            <w:vAlign w:val="center"/>
          </w:tcPr>
          <w:p w14:paraId="4AEEC9CC"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bCs/>
                <w:color w:val="000000" w:themeColor="text1"/>
                <w:sz w:val="20"/>
                <w:szCs w:val="24"/>
                <w:lang w:val="sq-AL"/>
              </w:rPr>
            </w:pPr>
            <w:r w:rsidRPr="004F2AC3">
              <w:rPr>
                <w:rFonts w:ascii="Garamond" w:hAnsi="Garamond" w:cs="Times New Roman"/>
                <w:bCs/>
                <w:color w:val="000000" w:themeColor="text1"/>
                <w:sz w:val="20"/>
                <w:szCs w:val="24"/>
                <w:lang w:val="sq-AL"/>
              </w:rPr>
              <w:t>I mesëm</w:t>
            </w:r>
          </w:p>
        </w:tc>
      </w:tr>
      <w:tr w:rsidR="000F566F" w:rsidRPr="004F2AC3" w14:paraId="591EACD8" w14:textId="77777777" w:rsidTr="00B66BF4">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04BF54AD" w14:textId="6D31D905" w:rsidR="000F566F" w:rsidRPr="004F2AC3" w:rsidRDefault="00B9328D"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5. Statistika të Arsimit</w:t>
            </w:r>
          </w:p>
        </w:tc>
        <w:tc>
          <w:tcPr>
            <w:tcW w:w="2078" w:type="dxa"/>
            <w:vAlign w:val="center"/>
          </w:tcPr>
          <w:p w14:paraId="3B2016FD"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I mesëm</w:t>
            </w:r>
          </w:p>
        </w:tc>
      </w:tr>
      <w:tr w:rsidR="000F566F" w:rsidRPr="004F2AC3" w14:paraId="34399BC8" w14:textId="77777777" w:rsidTr="00B66BF4">
        <w:trPr>
          <w:trHeight w:val="253"/>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08D9B882" w14:textId="19A485EA"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 xml:space="preserve">6. Statistika të </w:t>
            </w:r>
            <w:r w:rsidR="005B3A9C" w:rsidRPr="004F2AC3">
              <w:rPr>
                <w:rFonts w:ascii="Garamond" w:hAnsi="Garamond" w:cs="Times New Roman"/>
                <w:b w:val="0"/>
                <w:color w:val="000000" w:themeColor="text1"/>
                <w:sz w:val="20"/>
                <w:szCs w:val="24"/>
                <w:lang w:val="sq-AL"/>
              </w:rPr>
              <w:t>shëndetësisë</w:t>
            </w:r>
          </w:p>
        </w:tc>
        <w:tc>
          <w:tcPr>
            <w:tcW w:w="2078" w:type="dxa"/>
            <w:vAlign w:val="center"/>
          </w:tcPr>
          <w:p w14:paraId="23880522"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I ulët</w:t>
            </w:r>
          </w:p>
        </w:tc>
      </w:tr>
      <w:tr w:rsidR="000F566F" w:rsidRPr="004F2AC3" w14:paraId="626288E6" w14:textId="77777777" w:rsidTr="00B66BF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211A0480" w14:textId="0001AC96" w:rsidR="000F566F" w:rsidRPr="004F2AC3" w:rsidRDefault="000F566F" w:rsidP="00B9328D">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 xml:space="preserve">7. Statistika të trajnimit dhe të mësuarit gjatë </w:t>
            </w:r>
            <w:r w:rsidR="00B9328D" w:rsidRPr="004F2AC3">
              <w:rPr>
                <w:rFonts w:ascii="Garamond" w:hAnsi="Garamond" w:cs="Times New Roman"/>
                <w:b w:val="0"/>
                <w:color w:val="000000" w:themeColor="text1"/>
                <w:sz w:val="20"/>
                <w:szCs w:val="24"/>
                <w:lang w:val="sq-AL"/>
              </w:rPr>
              <w:t xml:space="preserve">të </w:t>
            </w:r>
            <w:r w:rsidRPr="004F2AC3">
              <w:rPr>
                <w:rFonts w:ascii="Garamond" w:hAnsi="Garamond" w:cs="Times New Roman"/>
                <w:b w:val="0"/>
                <w:color w:val="000000" w:themeColor="text1"/>
                <w:sz w:val="20"/>
                <w:szCs w:val="24"/>
                <w:lang w:val="sq-AL"/>
              </w:rPr>
              <w:t>gjithë jetës</w:t>
            </w:r>
          </w:p>
        </w:tc>
        <w:tc>
          <w:tcPr>
            <w:tcW w:w="2078" w:type="dxa"/>
            <w:vAlign w:val="center"/>
          </w:tcPr>
          <w:p w14:paraId="7E2B68DB"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bCs/>
                <w:color w:val="000000" w:themeColor="text1"/>
                <w:sz w:val="20"/>
                <w:szCs w:val="24"/>
                <w:lang w:val="sq-AL"/>
              </w:rPr>
            </w:pPr>
            <w:r w:rsidRPr="004F2AC3">
              <w:rPr>
                <w:rFonts w:ascii="Garamond" w:hAnsi="Garamond" w:cs="Times New Roman"/>
                <w:bCs/>
                <w:color w:val="000000" w:themeColor="text1"/>
                <w:sz w:val="20"/>
                <w:szCs w:val="24"/>
                <w:lang w:val="sq-AL"/>
              </w:rPr>
              <w:t>I ulët</w:t>
            </w:r>
          </w:p>
        </w:tc>
      </w:tr>
      <w:tr w:rsidR="000F566F" w:rsidRPr="004F2AC3" w14:paraId="206DEAB8" w14:textId="77777777" w:rsidTr="00B66BF4">
        <w:trPr>
          <w:trHeight w:val="253"/>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792ADCC2" w14:textId="70395764"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 xml:space="preserve">8. Vrojtimi i të </w:t>
            </w:r>
            <w:r w:rsidR="005B3A9C" w:rsidRPr="004F2AC3">
              <w:rPr>
                <w:rFonts w:ascii="Garamond" w:hAnsi="Garamond" w:cs="Times New Roman"/>
                <w:b w:val="0"/>
                <w:color w:val="000000" w:themeColor="text1"/>
                <w:sz w:val="20"/>
                <w:szCs w:val="24"/>
                <w:lang w:val="sq-AL"/>
              </w:rPr>
              <w:t>ardhurave dhe nivelit të jetesës</w:t>
            </w:r>
          </w:p>
        </w:tc>
        <w:tc>
          <w:tcPr>
            <w:tcW w:w="2078" w:type="dxa"/>
            <w:vAlign w:val="center"/>
          </w:tcPr>
          <w:p w14:paraId="7C63EC51"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bCs/>
                <w:color w:val="000000" w:themeColor="text1"/>
                <w:sz w:val="20"/>
                <w:szCs w:val="24"/>
                <w:lang w:val="sq-AL"/>
              </w:rPr>
            </w:pPr>
            <w:r w:rsidRPr="004F2AC3">
              <w:rPr>
                <w:rFonts w:ascii="Garamond" w:hAnsi="Garamond" w:cs="Times New Roman"/>
                <w:bCs/>
                <w:color w:val="000000" w:themeColor="text1"/>
                <w:sz w:val="20"/>
                <w:szCs w:val="24"/>
                <w:lang w:val="sq-AL"/>
              </w:rPr>
              <w:t>I mesëm</w:t>
            </w:r>
          </w:p>
        </w:tc>
      </w:tr>
      <w:tr w:rsidR="000F566F" w:rsidRPr="004F2AC3" w14:paraId="032029A6" w14:textId="77777777" w:rsidTr="00B66BF4">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33D26219" w14:textId="10D20EE8"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 xml:space="preserve">9. Statistika të </w:t>
            </w:r>
            <w:r w:rsidR="005B3A9C" w:rsidRPr="004F2AC3">
              <w:rPr>
                <w:rFonts w:ascii="Garamond" w:hAnsi="Garamond" w:cs="Times New Roman"/>
                <w:b w:val="0"/>
                <w:color w:val="000000" w:themeColor="text1"/>
                <w:sz w:val="20"/>
                <w:szCs w:val="24"/>
                <w:lang w:val="sq-AL"/>
              </w:rPr>
              <w:t xml:space="preserve">mbrojtjes sociale </w:t>
            </w:r>
            <w:r w:rsidRPr="004F2AC3">
              <w:rPr>
                <w:rFonts w:ascii="Garamond" w:hAnsi="Garamond" w:cs="Times New Roman"/>
                <w:b w:val="0"/>
                <w:color w:val="000000" w:themeColor="text1"/>
                <w:sz w:val="20"/>
                <w:szCs w:val="24"/>
                <w:lang w:val="sq-AL"/>
              </w:rPr>
              <w:t>(ESSPROS)</w:t>
            </w:r>
          </w:p>
        </w:tc>
        <w:tc>
          <w:tcPr>
            <w:tcW w:w="2078" w:type="dxa"/>
            <w:vAlign w:val="center"/>
          </w:tcPr>
          <w:p w14:paraId="290A16F9"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I mesëm</w:t>
            </w:r>
          </w:p>
        </w:tc>
      </w:tr>
      <w:tr w:rsidR="000F566F" w:rsidRPr="004F2AC3" w14:paraId="074B1FBB" w14:textId="77777777" w:rsidTr="00B66BF4">
        <w:trPr>
          <w:trHeight w:val="240"/>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03EA7AF5" w14:textId="56C43D61"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 xml:space="preserve">10. Statistika të </w:t>
            </w:r>
            <w:r w:rsidR="005B3A9C" w:rsidRPr="004F2AC3">
              <w:rPr>
                <w:rFonts w:ascii="Garamond" w:hAnsi="Garamond" w:cs="Times New Roman"/>
                <w:b w:val="0"/>
                <w:color w:val="000000" w:themeColor="text1"/>
                <w:sz w:val="20"/>
                <w:szCs w:val="24"/>
                <w:lang w:val="sq-AL"/>
              </w:rPr>
              <w:t>drejtësisë dhe krimeve</w:t>
            </w:r>
          </w:p>
        </w:tc>
        <w:tc>
          <w:tcPr>
            <w:tcW w:w="2078" w:type="dxa"/>
            <w:vAlign w:val="center"/>
          </w:tcPr>
          <w:p w14:paraId="557BBE94"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bCs/>
                <w:color w:val="000000" w:themeColor="text1"/>
                <w:sz w:val="20"/>
                <w:szCs w:val="24"/>
                <w:lang w:val="sq-AL"/>
              </w:rPr>
            </w:pPr>
            <w:r w:rsidRPr="004F2AC3">
              <w:rPr>
                <w:rFonts w:ascii="Garamond" w:hAnsi="Garamond" w:cs="Times New Roman"/>
                <w:bCs/>
                <w:color w:val="000000" w:themeColor="text1"/>
                <w:sz w:val="20"/>
                <w:szCs w:val="24"/>
                <w:lang w:val="sq-AL"/>
              </w:rPr>
              <w:t>I mesëm</w:t>
            </w:r>
          </w:p>
        </w:tc>
      </w:tr>
      <w:tr w:rsidR="000F566F" w:rsidRPr="004F2AC3" w14:paraId="3C6676F7" w14:textId="77777777" w:rsidTr="00B66BF4">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902" w:type="dxa"/>
            <w:vAlign w:val="center"/>
          </w:tcPr>
          <w:p w14:paraId="680D09AB" w14:textId="49E5442D" w:rsidR="000F566F" w:rsidRPr="004F2AC3" w:rsidRDefault="000F566F" w:rsidP="00CF4B3F">
            <w:pPr>
              <w:rPr>
                <w:rFonts w:ascii="Garamond" w:hAnsi="Garamond" w:cs="Times New Roman"/>
                <w:b w:val="0"/>
                <w:color w:val="000000" w:themeColor="text1"/>
                <w:sz w:val="20"/>
                <w:szCs w:val="24"/>
                <w:lang w:val="sq-AL"/>
              </w:rPr>
            </w:pPr>
            <w:r w:rsidRPr="004F2AC3">
              <w:rPr>
                <w:rFonts w:ascii="Garamond" w:hAnsi="Garamond" w:cs="Times New Roman"/>
                <w:b w:val="0"/>
                <w:color w:val="000000" w:themeColor="text1"/>
                <w:sz w:val="20"/>
                <w:szCs w:val="24"/>
                <w:lang w:val="sq-AL"/>
              </w:rPr>
              <w:t xml:space="preserve">11. Statistika të </w:t>
            </w:r>
            <w:r w:rsidR="005B3A9C" w:rsidRPr="004F2AC3">
              <w:rPr>
                <w:rFonts w:ascii="Garamond" w:hAnsi="Garamond" w:cs="Times New Roman"/>
                <w:b w:val="0"/>
                <w:color w:val="000000" w:themeColor="text1"/>
                <w:sz w:val="20"/>
                <w:szCs w:val="24"/>
                <w:lang w:val="sq-AL"/>
              </w:rPr>
              <w:t>kulturës dhe sportit</w:t>
            </w:r>
          </w:p>
        </w:tc>
        <w:tc>
          <w:tcPr>
            <w:tcW w:w="2078" w:type="dxa"/>
            <w:vAlign w:val="center"/>
          </w:tcPr>
          <w:p w14:paraId="5738E2ED"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4"/>
                <w:lang w:val="sq-AL"/>
              </w:rPr>
            </w:pPr>
            <w:r w:rsidRPr="004F2AC3">
              <w:rPr>
                <w:rFonts w:ascii="Garamond" w:hAnsi="Garamond" w:cs="Times New Roman"/>
                <w:color w:val="000000" w:themeColor="text1"/>
                <w:sz w:val="20"/>
                <w:szCs w:val="24"/>
                <w:lang w:val="sq-AL"/>
              </w:rPr>
              <w:t>I ulët</w:t>
            </w:r>
          </w:p>
        </w:tc>
      </w:tr>
    </w:tbl>
    <w:p w14:paraId="41EEA58A"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7B5187BB" w14:textId="05DB5196"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Agjencia statistikore përgjegjëse: INSTAT</w:t>
      </w:r>
      <w:r w:rsidR="00B9328D" w:rsidRPr="004F2AC3">
        <w:rPr>
          <w:rFonts w:ascii="Garamond" w:hAnsi="Garamond" w:cs="Times New Roman"/>
          <w:color w:val="000000" w:themeColor="text1"/>
          <w:sz w:val="24"/>
          <w:szCs w:val="24"/>
        </w:rPr>
        <w:t>-i</w:t>
      </w:r>
      <w:r w:rsidR="005B3A9C" w:rsidRPr="004F2AC3">
        <w:rPr>
          <w:rFonts w:ascii="Garamond" w:hAnsi="Garamond" w:cs="Times New Roman"/>
          <w:color w:val="000000" w:themeColor="text1"/>
          <w:sz w:val="24"/>
          <w:szCs w:val="24"/>
        </w:rPr>
        <w:t>.</w:t>
      </w:r>
    </w:p>
    <w:p w14:paraId="01D100A8"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Kjo fushë përbëhet nga 9 tema statistikore:</w:t>
      </w:r>
    </w:p>
    <w:p w14:paraId="4A12D9EA" w14:textId="77777777" w:rsidR="000F566F"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Në tabelën nr. 8 paraqitet numri i aktiviteteve për kategoritë: periodiciteti/burimi i të dhënave/ institucioni përgjegjës. </w:t>
      </w:r>
    </w:p>
    <w:p w14:paraId="132C0355" w14:textId="77777777" w:rsidR="000C629F" w:rsidRDefault="000C629F" w:rsidP="000F566F">
      <w:pPr>
        <w:spacing w:after="0" w:line="240" w:lineRule="auto"/>
        <w:ind w:firstLine="284"/>
        <w:jc w:val="both"/>
        <w:rPr>
          <w:rFonts w:ascii="Garamond" w:hAnsi="Garamond" w:cs="Times New Roman"/>
          <w:color w:val="000000" w:themeColor="text1"/>
          <w:sz w:val="24"/>
          <w:szCs w:val="24"/>
        </w:rPr>
      </w:pPr>
    </w:p>
    <w:p w14:paraId="1A888C61" w14:textId="77777777" w:rsidR="000C629F" w:rsidRDefault="000C629F" w:rsidP="000F566F">
      <w:pPr>
        <w:spacing w:after="0" w:line="240" w:lineRule="auto"/>
        <w:ind w:firstLine="284"/>
        <w:jc w:val="both"/>
        <w:rPr>
          <w:rFonts w:ascii="Garamond" w:hAnsi="Garamond" w:cs="Times New Roman"/>
          <w:color w:val="000000" w:themeColor="text1"/>
          <w:sz w:val="24"/>
          <w:szCs w:val="24"/>
        </w:rPr>
      </w:pPr>
    </w:p>
    <w:p w14:paraId="3590F5F7" w14:textId="77777777" w:rsidR="000C629F" w:rsidRDefault="000C629F" w:rsidP="000F566F">
      <w:pPr>
        <w:spacing w:after="0" w:line="240" w:lineRule="auto"/>
        <w:ind w:firstLine="284"/>
        <w:jc w:val="both"/>
        <w:rPr>
          <w:rFonts w:ascii="Garamond" w:hAnsi="Garamond" w:cs="Times New Roman"/>
          <w:color w:val="000000" w:themeColor="text1"/>
          <w:sz w:val="24"/>
          <w:szCs w:val="24"/>
        </w:rPr>
      </w:pPr>
    </w:p>
    <w:p w14:paraId="3DD77A7B" w14:textId="77777777" w:rsidR="000C629F" w:rsidRPr="004F2AC3" w:rsidRDefault="000C629F" w:rsidP="000F566F">
      <w:pPr>
        <w:spacing w:after="0" w:line="240" w:lineRule="auto"/>
        <w:ind w:firstLine="284"/>
        <w:jc w:val="both"/>
        <w:rPr>
          <w:rFonts w:ascii="Garamond" w:hAnsi="Garamond" w:cs="Times New Roman"/>
          <w:color w:val="000000" w:themeColor="text1"/>
          <w:sz w:val="24"/>
          <w:szCs w:val="24"/>
        </w:rPr>
      </w:pPr>
    </w:p>
    <w:p w14:paraId="5903811D" w14:textId="77777777" w:rsidR="000F566F" w:rsidRPr="004F2AC3" w:rsidRDefault="000F566F" w:rsidP="000F566F">
      <w:pPr>
        <w:spacing w:after="0" w:line="240" w:lineRule="auto"/>
        <w:ind w:firstLine="284"/>
        <w:jc w:val="both"/>
        <w:rPr>
          <w:rFonts w:ascii="Garamond" w:hAnsi="Garamond" w:cs="Times New Roman"/>
          <w:b/>
          <w:i/>
          <w:color w:val="000000" w:themeColor="text1"/>
          <w:sz w:val="24"/>
          <w:szCs w:val="24"/>
        </w:rPr>
      </w:pPr>
      <w:bookmarkStart w:id="6" w:name="_Hlk182495761"/>
    </w:p>
    <w:p w14:paraId="767D1763" w14:textId="6237C223"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10</w:t>
      </w:r>
      <w:r w:rsidR="00B9328D"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Përmbledhje e numrit të aktiviteteve për </w:t>
      </w:r>
      <w:r w:rsidR="00B9328D" w:rsidRPr="004F2AC3">
        <w:rPr>
          <w:rFonts w:ascii="Garamond" w:hAnsi="Garamond" w:cs="Times New Roman"/>
          <w:b/>
          <w:color w:val="000000" w:themeColor="text1"/>
          <w:sz w:val="24"/>
          <w:szCs w:val="24"/>
        </w:rPr>
        <w:t xml:space="preserve">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B9328D" w:rsidRPr="004F2AC3">
        <w:rPr>
          <w:rFonts w:ascii="Garamond" w:hAnsi="Garamond" w:cs="Times New Roman"/>
          <w:b/>
          <w:color w:val="000000" w:themeColor="text1"/>
          <w:sz w:val="24"/>
          <w:szCs w:val="24"/>
        </w:rPr>
        <w:t xml:space="preserve">sociale </w:t>
      </w:r>
      <w:r w:rsidRPr="004F2AC3">
        <w:rPr>
          <w:rFonts w:ascii="Garamond" w:hAnsi="Garamond" w:cs="Times New Roman"/>
          <w:b/>
          <w:color w:val="000000" w:themeColor="text1"/>
          <w:sz w:val="24"/>
          <w:szCs w:val="24"/>
        </w:rPr>
        <w:t xml:space="preserve">dhe </w:t>
      </w:r>
      <w:r w:rsidR="00B9328D" w:rsidRPr="004F2AC3">
        <w:rPr>
          <w:rFonts w:ascii="Garamond" w:hAnsi="Garamond" w:cs="Times New Roman"/>
          <w:b/>
          <w:color w:val="000000" w:themeColor="text1"/>
          <w:sz w:val="24"/>
          <w:szCs w:val="24"/>
        </w:rPr>
        <w:t>demografike</w:t>
      </w:r>
      <w:r w:rsidR="00D32864" w:rsidRPr="004F2AC3">
        <w:rPr>
          <w:rFonts w:ascii="Garamond" w:hAnsi="Garamond" w:cs="Times New Roman"/>
          <w:b/>
          <w:color w:val="000000" w:themeColor="text1"/>
          <w:sz w:val="24"/>
          <w:szCs w:val="24"/>
        </w:rPr>
        <w:t>”</w:t>
      </w:r>
    </w:p>
    <w:tbl>
      <w:tblPr>
        <w:tblStyle w:val="LightList-Accent131"/>
        <w:tblW w:w="0" w:type="auto"/>
        <w:tblLook w:val="04A0" w:firstRow="1" w:lastRow="0" w:firstColumn="1" w:lastColumn="0" w:noHBand="0" w:noVBand="1"/>
      </w:tblPr>
      <w:tblGrid>
        <w:gridCol w:w="3444"/>
        <w:gridCol w:w="1239"/>
        <w:gridCol w:w="1530"/>
        <w:gridCol w:w="1460"/>
        <w:gridCol w:w="1909"/>
      </w:tblGrid>
      <w:tr w:rsidR="000F566F" w:rsidRPr="004F2AC3" w14:paraId="183D04A4" w14:textId="77777777" w:rsidTr="00B9328D">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0" w:type="auto"/>
          </w:tcPr>
          <w:bookmarkEnd w:id="6"/>
          <w:p w14:paraId="37F739B6" w14:textId="16DFE8DC" w:rsidR="000F566F" w:rsidRPr="004F2AC3" w:rsidRDefault="000F566F" w:rsidP="00CF4B3F">
            <w:pPr>
              <w:jc w:val="center"/>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1. Statistikat </w:t>
            </w:r>
            <w:r w:rsidR="00B9328D" w:rsidRPr="004F2AC3">
              <w:rPr>
                <w:rFonts w:ascii="Garamond" w:hAnsi="Garamond" w:cs="Times New Roman"/>
                <w:color w:val="000000" w:themeColor="text1"/>
                <w:sz w:val="16"/>
                <w:szCs w:val="16"/>
                <w:lang w:val="sq-AL"/>
              </w:rPr>
              <w:t xml:space="preserve">sociale </w:t>
            </w:r>
            <w:r w:rsidRPr="004F2AC3">
              <w:rPr>
                <w:rFonts w:ascii="Garamond" w:hAnsi="Garamond" w:cs="Times New Roman"/>
                <w:color w:val="000000" w:themeColor="text1"/>
                <w:sz w:val="16"/>
                <w:szCs w:val="16"/>
                <w:lang w:val="sq-AL"/>
              </w:rPr>
              <w:t xml:space="preserve">dhe </w:t>
            </w:r>
            <w:r w:rsidR="00B9328D" w:rsidRPr="004F2AC3">
              <w:rPr>
                <w:rFonts w:ascii="Garamond" w:hAnsi="Garamond" w:cs="Times New Roman"/>
                <w:color w:val="000000" w:themeColor="text1"/>
                <w:sz w:val="16"/>
                <w:szCs w:val="16"/>
                <w:lang w:val="sq-AL"/>
              </w:rPr>
              <w:t>demografike</w:t>
            </w:r>
          </w:p>
        </w:tc>
        <w:tc>
          <w:tcPr>
            <w:tcW w:w="0" w:type="auto"/>
          </w:tcPr>
          <w:p w14:paraId="226DC1A0" w14:textId="77777777" w:rsidR="000F566F" w:rsidRPr="004F2AC3" w:rsidRDefault="000F566F" w:rsidP="00CF4B3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Nr. i aktiviteteve</w:t>
            </w:r>
          </w:p>
          <w:p w14:paraId="67A9EE0A" w14:textId="3004C467" w:rsidR="000F566F" w:rsidRPr="004F2AC3" w:rsidRDefault="00B9328D" w:rsidP="00CF4B3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statistikore </w:t>
            </w:r>
            <w:r w:rsidR="000F566F" w:rsidRPr="004F2AC3">
              <w:rPr>
                <w:rFonts w:ascii="Garamond" w:hAnsi="Garamond" w:cs="Times New Roman"/>
                <w:color w:val="000000" w:themeColor="text1"/>
                <w:sz w:val="16"/>
                <w:szCs w:val="16"/>
                <w:lang w:val="sq-AL"/>
              </w:rPr>
              <w:t>(AS)</w:t>
            </w:r>
          </w:p>
        </w:tc>
        <w:tc>
          <w:tcPr>
            <w:tcW w:w="0" w:type="auto"/>
          </w:tcPr>
          <w:p w14:paraId="7D1DEA71" w14:textId="2A9D19AF" w:rsidR="000F566F" w:rsidRPr="004F2AC3" w:rsidRDefault="000F566F" w:rsidP="00CF4B3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Nr. AS/ </w:t>
            </w:r>
            <w:r w:rsidR="00B9328D" w:rsidRPr="004F2AC3">
              <w:rPr>
                <w:rFonts w:ascii="Garamond" w:hAnsi="Garamond" w:cs="Times New Roman"/>
                <w:color w:val="000000" w:themeColor="text1"/>
                <w:sz w:val="16"/>
                <w:szCs w:val="16"/>
                <w:lang w:val="sq-AL"/>
              </w:rPr>
              <w:t xml:space="preserve">periodiciteti </w:t>
            </w:r>
            <w:r w:rsidRPr="004F2AC3">
              <w:rPr>
                <w:rFonts w:ascii="Garamond" w:hAnsi="Garamond" w:cs="Times New Roman"/>
                <w:color w:val="000000" w:themeColor="text1"/>
                <w:sz w:val="16"/>
                <w:szCs w:val="16"/>
                <w:lang w:val="sq-AL"/>
              </w:rPr>
              <w:t>*</w:t>
            </w:r>
          </w:p>
          <w:p w14:paraId="7FB7F811" w14:textId="77777777" w:rsidR="000F566F" w:rsidRPr="004F2AC3" w:rsidRDefault="000F566F" w:rsidP="00CF4B3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p>
        </w:tc>
        <w:tc>
          <w:tcPr>
            <w:tcW w:w="0" w:type="auto"/>
          </w:tcPr>
          <w:p w14:paraId="4FB4B0AA" w14:textId="4207DC51" w:rsidR="000F566F" w:rsidRPr="004F2AC3" w:rsidRDefault="00B9328D" w:rsidP="00CF4B3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Nr. AS</w:t>
            </w:r>
            <w:r w:rsidR="000F566F" w:rsidRPr="004F2AC3">
              <w:rPr>
                <w:rFonts w:ascii="Garamond" w:hAnsi="Garamond" w:cs="Times New Roman"/>
                <w:color w:val="000000" w:themeColor="text1"/>
                <w:sz w:val="16"/>
                <w:szCs w:val="16"/>
                <w:lang w:val="sq-AL"/>
              </w:rPr>
              <w:t>/</w:t>
            </w:r>
          </w:p>
          <w:p w14:paraId="61EA59C6" w14:textId="352DFF72" w:rsidR="000F566F" w:rsidRPr="004F2AC3" w:rsidRDefault="00B9328D" w:rsidP="00CF4B3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burimi </w:t>
            </w:r>
            <w:r w:rsidR="000F566F" w:rsidRPr="004F2AC3">
              <w:rPr>
                <w:rFonts w:ascii="Garamond" w:hAnsi="Garamond" w:cs="Times New Roman"/>
                <w:color w:val="000000" w:themeColor="text1"/>
                <w:sz w:val="16"/>
                <w:szCs w:val="16"/>
                <w:lang w:val="sq-AL"/>
              </w:rPr>
              <w:t>i të dhënave**</w:t>
            </w:r>
          </w:p>
        </w:tc>
        <w:tc>
          <w:tcPr>
            <w:tcW w:w="0" w:type="auto"/>
          </w:tcPr>
          <w:p w14:paraId="7682EFF8" w14:textId="20960F4E" w:rsidR="000F566F" w:rsidRPr="004F2AC3" w:rsidRDefault="00B9328D" w:rsidP="00CF4B3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Nr. AS</w:t>
            </w:r>
            <w:r w:rsidR="000F566F" w:rsidRPr="004F2AC3">
              <w:rPr>
                <w:rFonts w:ascii="Garamond" w:hAnsi="Garamond" w:cs="Times New Roman"/>
                <w:color w:val="000000" w:themeColor="text1"/>
                <w:sz w:val="16"/>
                <w:szCs w:val="16"/>
                <w:lang w:val="sq-AL"/>
              </w:rPr>
              <w:t xml:space="preserve">/ </w:t>
            </w:r>
            <w:r w:rsidRPr="004F2AC3">
              <w:rPr>
                <w:rFonts w:ascii="Garamond" w:hAnsi="Garamond" w:cs="Times New Roman"/>
                <w:color w:val="000000" w:themeColor="text1"/>
                <w:sz w:val="16"/>
                <w:szCs w:val="16"/>
                <w:lang w:val="sq-AL"/>
              </w:rPr>
              <w:t xml:space="preserve">institucioni </w:t>
            </w:r>
            <w:r w:rsidR="000F566F" w:rsidRPr="004F2AC3">
              <w:rPr>
                <w:rFonts w:ascii="Garamond" w:hAnsi="Garamond" w:cs="Times New Roman"/>
                <w:color w:val="000000" w:themeColor="text1"/>
                <w:sz w:val="16"/>
                <w:szCs w:val="16"/>
                <w:lang w:val="sq-AL"/>
              </w:rPr>
              <w:t>përgjegjës</w:t>
            </w:r>
          </w:p>
        </w:tc>
      </w:tr>
      <w:tr w:rsidR="000F566F" w:rsidRPr="004F2AC3" w14:paraId="180AB822" w14:textId="77777777" w:rsidTr="00B9328D">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7E7D1AE" w14:textId="77777777" w:rsidR="000F566F" w:rsidRPr="004F2AC3" w:rsidRDefault="000F566F" w:rsidP="00CF4B3F">
            <w:pPr>
              <w:rPr>
                <w:rFonts w:ascii="Garamond" w:hAnsi="Garamond" w:cs="Times New Roman"/>
                <w:b w:val="0"/>
                <w:color w:val="000000" w:themeColor="text1"/>
                <w:sz w:val="16"/>
                <w:szCs w:val="16"/>
                <w:lang w:val="sq-AL"/>
              </w:rPr>
            </w:pPr>
            <w:r w:rsidRPr="004F2AC3">
              <w:rPr>
                <w:rFonts w:ascii="Garamond" w:hAnsi="Garamond" w:cs="Times New Roman"/>
                <w:b w:val="0"/>
                <w:color w:val="000000" w:themeColor="text1"/>
                <w:sz w:val="16"/>
                <w:szCs w:val="16"/>
                <w:lang w:val="sq-AL"/>
              </w:rPr>
              <w:t>1.1 Popullsia me vendbanim të zakonshëm në Shqipëri dhe jashtë saj</w:t>
            </w:r>
          </w:p>
        </w:tc>
        <w:tc>
          <w:tcPr>
            <w:tcW w:w="0" w:type="auto"/>
            <w:vAlign w:val="center"/>
          </w:tcPr>
          <w:p w14:paraId="1363F2B4" w14:textId="77777777" w:rsidR="000F566F" w:rsidRPr="004F2AC3" w:rsidRDefault="000F566F" w:rsidP="00CF4B3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9</w:t>
            </w:r>
          </w:p>
        </w:tc>
        <w:tc>
          <w:tcPr>
            <w:tcW w:w="0" w:type="auto"/>
            <w:vAlign w:val="center"/>
          </w:tcPr>
          <w:p w14:paraId="7C62ABD8" w14:textId="6F53E2A4"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w:t>
            </w:r>
            <w:r w:rsidR="00B9328D" w:rsidRPr="004F2AC3">
              <w:rPr>
                <w:rFonts w:ascii="Garamond" w:hAnsi="Garamond" w:cs="Times New Roman"/>
                <w:color w:val="000000" w:themeColor="text1"/>
                <w:sz w:val="16"/>
                <w:szCs w:val="16"/>
                <w:lang w:val="sq-AL"/>
              </w:rPr>
              <w:t xml:space="preserve"> – </w:t>
            </w:r>
            <w:r w:rsidRPr="004F2AC3">
              <w:rPr>
                <w:rFonts w:ascii="Garamond" w:hAnsi="Garamond" w:cs="Times New Roman"/>
                <w:color w:val="000000" w:themeColor="text1"/>
                <w:sz w:val="16"/>
                <w:szCs w:val="16"/>
                <w:lang w:val="sq-AL"/>
              </w:rPr>
              <w:t>T</w:t>
            </w:r>
          </w:p>
          <w:p w14:paraId="7067701B" w14:textId="4EBCE906"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5 </w:t>
            </w:r>
            <w:r w:rsidR="00B9328D" w:rsidRPr="004F2AC3">
              <w:rPr>
                <w:rFonts w:ascii="Garamond" w:hAnsi="Garamond" w:cs="Times New Roman"/>
                <w:color w:val="000000" w:themeColor="text1"/>
                <w:sz w:val="16"/>
                <w:szCs w:val="16"/>
                <w:lang w:val="sq-AL"/>
              </w:rPr>
              <w:t xml:space="preserve">– </w:t>
            </w:r>
            <w:r w:rsidRPr="004F2AC3">
              <w:rPr>
                <w:rFonts w:ascii="Garamond" w:hAnsi="Garamond" w:cs="Times New Roman"/>
                <w:color w:val="000000" w:themeColor="text1"/>
                <w:sz w:val="16"/>
                <w:szCs w:val="16"/>
                <w:lang w:val="sq-AL"/>
              </w:rPr>
              <w:t>V</w:t>
            </w:r>
          </w:p>
          <w:p w14:paraId="4B44B8B7" w14:textId="7E819159"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1 </w:t>
            </w:r>
            <w:r w:rsidR="00B9328D" w:rsidRPr="004F2AC3">
              <w:rPr>
                <w:rFonts w:ascii="Garamond" w:hAnsi="Garamond" w:cs="Times New Roman"/>
                <w:color w:val="000000" w:themeColor="text1"/>
                <w:sz w:val="16"/>
                <w:szCs w:val="16"/>
                <w:lang w:val="sq-AL"/>
              </w:rPr>
              <w:t xml:space="preserve">– </w:t>
            </w:r>
            <w:r w:rsidRPr="004F2AC3">
              <w:rPr>
                <w:rFonts w:ascii="Garamond" w:hAnsi="Garamond" w:cs="Times New Roman"/>
                <w:color w:val="000000" w:themeColor="text1"/>
                <w:sz w:val="16"/>
                <w:szCs w:val="16"/>
                <w:lang w:val="sq-AL"/>
              </w:rPr>
              <w:t>2V</w:t>
            </w:r>
          </w:p>
          <w:p w14:paraId="266F1687" w14:textId="65424251"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1 </w:t>
            </w:r>
            <w:r w:rsidR="00B9328D" w:rsidRPr="004F2AC3">
              <w:rPr>
                <w:rFonts w:ascii="Garamond" w:hAnsi="Garamond" w:cs="Times New Roman"/>
                <w:color w:val="000000" w:themeColor="text1"/>
                <w:sz w:val="16"/>
                <w:szCs w:val="16"/>
                <w:lang w:val="sq-AL"/>
              </w:rPr>
              <w:t xml:space="preserve">– </w:t>
            </w:r>
            <w:r w:rsidRPr="004F2AC3">
              <w:rPr>
                <w:rFonts w:ascii="Garamond" w:hAnsi="Garamond" w:cs="Times New Roman"/>
                <w:color w:val="000000" w:themeColor="text1"/>
                <w:sz w:val="16"/>
                <w:szCs w:val="16"/>
                <w:lang w:val="sq-AL"/>
              </w:rPr>
              <w:t>10V</w:t>
            </w:r>
          </w:p>
          <w:p w14:paraId="0EC00EEA" w14:textId="5303082B"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1 – </w:t>
            </w:r>
            <w:r w:rsidR="00B9328D" w:rsidRPr="004F2AC3">
              <w:rPr>
                <w:rFonts w:ascii="Garamond" w:hAnsi="Garamond" w:cs="Times New Roman"/>
                <w:color w:val="000000" w:themeColor="text1"/>
                <w:sz w:val="16"/>
                <w:szCs w:val="16"/>
                <w:lang w:val="sq-AL"/>
              </w:rPr>
              <w:t xml:space="preserve">I </w:t>
            </w:r>
            <w:r w:rsidRPr="004F2AC3">
              <w:rPr>
                <w:rFonts w:ascii="Garamond" w:hAnsi="Garamond" w:cs="Times New Roman"/>
                <w:color w:val="000000" w:themeColor="text1"/>
                <w:sz w:val="16"/>
                <w:szCs w:val="16"/>
                <w:lang w:val="sq-AL"/>
              </w:rPr>
              <w:t>papërcaktuar</w:t>
            </w:r>
          </w:p>
        </w:tc>
        <w:tc>
          <w:tcPr>
            <w:tcW w:w="0" w:type="auto"/>
            <w:vAlign w:val="center"/>
          </w:tcPr>
          <w:p w14:paraId="7908E0A0"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VS</w:t>
            </w:r>
          </w:p>
          <w:p w14:paraId="649E4E1D"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BA</w:t>
            </w:r>
          </w:p>
          <w:p w14:paraId="28278F45"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 VS+BA</w:t>
            </w:r>
          </w:p>
          <w:p w14:paraId="10B010A7"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 Cens</w:t>
            </w:r>
          </w:p>
        </w:tc>
        <w:tc>
          <w:tcPr>
            <w:tcW w:w="0" w:type="auto"/>
            <w:vAlign w:val="center"/>
          </w:tcPr>
          <w:p w14:paraId="4D7B8E30"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9 INSTAT</w:t>
            </w:r>
          </w:p>
        </w:tc>
      </w:tr>
      <w:tr w:rsidR="000F566F" w:rsidRPr="004F2AC3" w14:paraId="46F7683A" w14:textId="77777777" w:rsidTr="00B9328D">
        <w:trPr>
          <w:trHeight w:val="4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6E46AB05" w14:textId="77777777" w:rsidR="000F566F" w:rsidRPr="004F2AC3" w:rsidRDefault="000F566F" w:rsidP="00CF4B3F">
            <w:pPr>
              <w:rPr>
                <w:rFonts w:ascii="Garamond" w:hAnsi="Garamond" w:cs="Times New Roman"/>
                <w:b w:val="0"/>
                <w:color w:val="000000" w:themeColor="text1"/>
                <w:sz w:val="16"/>
                <w:szCs w:val="16"/>
                <w:lang w:val="sq-AL"/>
              </w:rPr>
            </w:pPr>
            <w:r w:rsidRPr="004F2AC3">
              <w:rPr>
                <w:rFonts w:ascii="Garamond" w:hAnsi="Garamond" w:cs="Times New Roman"/>
                <w:b w:val="0"/>
                <w:color w:val="000000" w:themeColor="text1"/>
                <w:sz w:val="16"/>
                <w:szCs w:val="16"/>
                <w:lang w:val="sq-AL"/>
              </w:rPr>
              <w:t>1.2 Puna dhe Kostot e Punës</w:t>
            </w:r>
          </w:p>
        </w:tc>
        <w:tc>
          <w:tcPr>
            <w:tcW w:w="0" w:type="auto"/>
            <w:vAlign w:val="center"/>
          </w:tcPr>
          <w:p w14:paraId="281BC146" w14:textId="77777777" w:rsidR="000F566F" w:rsidRPr="004F2AC3" w:rsidRDefault="000F566F" w:rsidP="00CF4B3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w:t>
            </w:r>
          </w:p>
        </w:tc>
        <w:tc>
          <w:tcPr>
            <w:tcW w:w="0" w:type="auto"/>
            <w:vAlign w:val="center"/>
          </w:tcPr>
          <w:p w14:paraId="4BD267FB" w14:textId="70163CAF"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3 </w:t>
            </w:r>
            <w:r w:rsidR="00B9328D" w:rsidRPr="004F2AC3">
              <w:rPr>
                <w:rFonts w:ascii="Garamond" w:hAnsi="Garamond" w:cs="Times New Roman"/>
                <w:color w:val="000000" w:themeColor="text1"/>
                <w:sz w:val="16"/>
                <w:szCs w:val="16"/>
                <w:lang w:val="sq-AL"/>
              </w:rPr>
              <w:t>–</w:t>
            </w:r>
            <w:r w:rsidRPr="004F2AC3">
              <w:rPr>
                <w:rFonts w:ascii="Garamond" w:hAnsi="Garamond" w:cs="Times New Roman"/>
                <w:color w:val="000000" w:themeColor="text1"/>
                <w:sz w:val="16"/>
                <w:szCs w:val="16"/>
                <w:lang w:val="sq-AL"/>
              </w:rPr>
              <w:t xml:space="preserve"> T</w:t>
            </w:r>
          </w:p>
          <w:p w14:paraId="61EBE1F2" w14:textId="4A957C34"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1 </w:t>
            </w:r>
            <w:r w:rsidR="00B9328D" w:rsidRPr="004F2AC3">
              <w:rPr>
                <w:rFonts w:ascii="Garamond" w:hAnsi="Garamond" w:cs="Times New Roman"/>
                <w:color w:val="000000" w:themeColor="text1"/>
                <w:sz w:val="16"/>
                <w:szCs w:val="16"/>
                <w:lang w:val="sq-AL"/>
              </w:rPr>
              <w:t>–</w:t>
            </w:r>
            <w:r w:rsidRPr="004F2AC3">
              <w:rPr>
                <w:rFonts w:ascii="Garamond" w:hAnsi="Garamond" w:cs="Times New Roman"/>
                <w:color w:val="000000" w:themeColor="text1"/>
                <w:sz w:val="16"/>
                <w:szCs w:val="16"/>
                <w:lang w:val="sq-AL"/>
              </w:rPr>
              <w:t xml:space="preserve"> 2V</w:t>
            </w:r>
          </w:p>
        </w:tc>
        <w:tc>
          <w:tcPr>
            <w:tcW w:w="0" w:type="auto"/>
            <w:vAlign w:val="center"/>
          </w:tcPr>
          <w:p w14:paraId="3147F1FB"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VS</w:t>
            </w:r>
          </w:p>
          <w:p w14:paraId="301B07B2"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BA</w:t>
            </w:r>
          </w:p>
        </w:tc>
        <w:tc>
          <w:tcPr>
            <w:tcW w:w="0" w:type="auto"/>
            <w:vAlign w:val="center"/>
          </w:tcPr>
          <w:p w14:paraId="18030584"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 INSTAT</w:t>
            </w:r>
          </w:p>
        </w:tc>
      </w:tr>
      <w:tr w:rsidR="000F566F" w:rsidRPr="004F2AC3" w14:paraId="444B584B" w14:textId="77777777" w:rsidTr="00B9328D">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1C6659A8" w14:textId="77777777" w:rsidR="000F566F" w:rsidRPr="004F2AC3" w:rsidRDefault="000F566F" w:rsidP="00CF4B3F">
            <w:pPr>
              <w:rPr>
                <w:rFonts w:ascii="Garamond" w:hAnsi="Garamond" w:cs="Times New Roman"/>
                <w:b w:val="0"/>
                <w:color w:val="000000" w:themeColor="text1"/>
                <w:sz w:val="16"/>
                <w:szCs w:val="16"/>
                <w:lang w:val="sq-AL"/>
              </w:rPr>
            </w:pPr>
            <w:r w:rsidRPr="004F2AC3">
              <w:rPr>
                <w:rFonts w:ascii="Garamond" w:hAnsi="Garamond" w:cs="Times New Roman"/>
                <w:b w:val="0"/>
                <w:color w:val="000000" w:themeColor="text1"/>
                <w:sz w:val="16"/>
                <w:szCs w:val="16"/>
                <w:lang w:val="sq-AL"/>
              </w:rPr>
              <w:t>1.3 Arsimi dhe trajnimet</w:t>
            </w:r>
          </w:p>
        </w:tc>
        <w:tc>
          <w:tcPr>
            <w:tcW w:w="0" w:type="auto"/>
            <w:shd w:val="clear" w:color="auto" w:fill="auto"/>
            <w:vAlign w:val="center"/>
          </w:tcPr>
          <w:p w14:paraId="1D8A3AAE" w14:textId="77777777" w:rsidR="000F566F" w:rsidRPr="004F2AC3" w:rsidRDefault="000F566F" w:rsidP="00CF4B3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w:t>
            </w:r>
          </w:p>
        </w:tc>
        <w:tc>
          <w:tcPr>
            <w:tcW w:w="0" w:type="auto"/>
            <w:shd w:val="clear" w:color="auto" w:fill="auto"/>
            <w:vAlign w:val="center"/>
          </w:tcPr>
          <w:p w14:paraId="5AF9E4F9"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 V</w:t>
            </w:r>
          </w:p>
        </w:tc>
        <w:tc>
          <w:tcPr>
            <w:tcW w:w="0" w:type="auto"/>
            <w:shd w:val="clear" w:color="auto" w:fill="auto"/>
            <w:vAlign w:val="center"/>
          </w:tcPr>
          <w:p w14:paraId="3FD21466"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BA</w:t>
            </w:r>
          </w:p>
        </w:tc>
        <w:tc>
          <w:tcPr>
            <w:tcW w:w="0" w:type="auto"/>
            <w:shd w:val="clear" w:color="auto" w:fill="auto"/>
            <w:vAlign w:val="center"/>
          </w:tcPr>
          <w:p w14:paraId="79657520"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INSTAT</w:t>
            </w:r>
          </w:p>
        </w:tc>
      </w:tr>
      <w:tr w:rsidR="000F566F" w:rsidRPr="004F2AC3" w14:paraId="62132430" w14:textId="77777777" w:rsidTr="00B9328D">
        <w:trPr>
          <w:trHeight w:val="452"/>
        </w:trPr>
        <w:tc>
          <w:tcPr>
            <w:cnfStyle w:val="001000000000" w:firstRow="0" w:lastRow="0" w:firstColumn="1" w:lastColumn="0" w:oddVBand="0" w:evenVBand="0" w:oddHBand="0" w:evenHBand="0" w:firstRowFirstColumn="0" w:firstRowLastColumn="0" w:lastRowFirstColumn="0" w:lastRowLastColumn="0"/>
            <w:tcW w:w="0" w:type="auto"/>
            <w:vAlign w:val="center"/>
          </w:tcPr>
          <w:p w14:paraId="1986FEE7" w14:textId="77777777" w:rsidR="000F566F" w:rsidRPr="004F2AC3" w:rsidRDefault="000F566F" w:rsidP="00CF4B3F">
            <w:pPr>
              <w:rPr>
                <w:rFonts w:ascii="Garamond" w:hAnsi="Garamond" w:cs="Times New Roman"/>
                <w:b w:val="0"/>
                <w:color w:val="000000" w:themeColor="text1"/>
                <w:sz w:val="16"/>
                <w:szCs w:val="16"/>
                <w:lang w:val="sq-AL"/>
              </w:rPr>
            </w:pPr>
            <w:r w:rsidRPr="004F2AC3">
              <w:rPr>
                <w:rFonts w:ascii="Garamond" w:hAnsi="Garamond" w:cs="Times New Roman"/>
                <w:b w:val="0"/>
                <w:color w:val="000000" w:themeColor="text1"/>
                <w:sz w:val="16"/>
                <w:szCs w:val="16"/>
                <w:lang w:val="sq-AL"/>
              </w:rPr>
              <w:t>1.4 Shëndetësia</w:t>
            </w:r>
          </w:p>
        </w:tc>
        <w:tc>
          <w:tcPr>
            <w:tcW w:w="0" w:type="auto"/>
            <w:vAlign w:val="center"/>
          </w:tcPr>
          <w:p w14:paraId="6AEDAC99" w14:textId="77777777" w:rsidR="000F566F" w:rsidRPr="004F2AC3" w:rsidRDefault="000F566F" w:rsidP="00CF4B3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w:t>
            </w:r>
          </w:p>
        </w:tc>
        <w:tc>
          <w:tcPr>
            <w:tcW w:w="0" w:type="auto"/>
            <w:vAlign w:val="center"/>
          </w:tcPr>
          <w:p w14:paraId="3B034AC4"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3 – V</w:t>
            </w:r>
          </w:p>
          <w:p w14:paraId="08580B50" w14:textId="712B7635"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w:t>
            </w:r>
            <w:r w:rsidR="00B9328D" w:rsidRPr="004F2AC3">
              <w:rPr>
                <w:rFonts w:ascii="Garamond" w:hAnsi="Garamond" w:cs="Times New Roman"/>
                <w:color w:val="000000" w:themeColor="text1"/>
                <w:sz w:val="16"/>
                <w:szCs w:val="16"/>
                <w:lang w:val="sq-AL"/>
              </w:rPr>
              <w:t xml:space="preserve"> –</w:t>
            </w:r>
            <w:r w:rsidRPr="004F2AC3">
              <w:rPr>
                <w:rFonts w:ascii="Garamond" w:hAnsi="Garamond" w:cs="Times New Roman"/>
                <w:color w:val="000000" w:themeColor="text1"/>
                <w:sz w:val="16"/>
                <w:szCs w:val="16"/>
                <w:lang w:val="sq-AL"/>
              </w:rPr>
              <w:t xml:space="preserve"> 6V</w:t>
            </w:r>
          </w:p>
        </w:tc>
        <w:tc>
          <w:tcPr>
            <w:tcW w:w="0" w:type="auto"/>
            <w:vAlign w:val="center"/>
          </w:tcPr>
          <w:p w14:paraId="34B6A1D4"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 VS</w:t>
            </w:r>
          </w:p>
          <w:p w14:paraId="5D6B0A78"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3 BA</w:t>
            </w:r>
          </w:p>
        </w:tc>
        <w:tc>
          <w:tcPr>
            <w:tcW w:w="0" w:type="auto"/>
            <w:vAlign w:val="center"/>
          </w:tcPr>
          <w:p w14:paraId="6E7D903B"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 INSTAT</w:t>
            </w:r>
          </w:p>
        </w:tc>
      </w:tr>
      <w:tr w:rsidR="000F566F" w:rsidRPr="004F2AC3" w14:paraId="64877CDB" w14:textId="77777777" w:rsidTr="00B9328D">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602FEA" w14:textId="77777777" w:rsidR="000F566F" w:rsidRPr="004F2AC3" w:rsidRDefault="000F566F" w:rsidP="00CF4B3F">
            <w:pPr>
              <w:rPr>
                <w:rFonts w:ascii="Garamond" w:hAnsi="Garamond" w:cs="Times New Roman"/>
                <w:b w:val="0"/>
                <w:color w:val="000000" w:themeColor="text1"/>
                <w:sz w:val="16"/>
                <w:szCs w:val="16"/>
                <w:lang w:val="sq-AL"/>
              </w:rPr>
            </w:pPr>
            <w:r w:rsidRPr="004F2AC3">
              <w:rPr>
                <w:rFonts w:ascii="Garamond" w:hAnsi="Garamond" w:cs="Times New Roman"/>
                <w:b w:val="0"/>
                <w:color w:val="000000" w:themeColor="text1"/>
                <w:sz w:val="16"/>
                <w:szCs w:val="16"/>
                <w:lang w:val="sq-AL"/>
              </w:rPr>
              <w:t>1.5 Të Ardhurat dhe Shpenzimet e Konsumit</w:t>
            </w:r>
          </w:p>
        </w:tc>
        <w:tc>
          <w:tcPr>
            <w:tcW w:w="0" w:type="auto"/>
            <w:vAlign w:val="center"/>
          </w:tcPr>
          <w:p w14:paraId="6C1ADBC1" w14:textId="77777777" w:rsidR="000F566F" w:rsidRPr="004F2AC3" w:rsidRDefault="000F566F" w:rsidP="00CF4B3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w:t>
            </w:r>
          </w:p>
        </w:tc>
        <w:tc>
          <w:tcPr>
            <w:tcW w:w="0" w:type="auto"/>
            <w:vAlign w:val="center"/>
          </w:tcPr>
          <w:p w14:paraId="5D6D5A58"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 V</w:t>
            </w:r>
          </w:p>
        </w:tc>
        <w:tc>
          <w:tcPr>
            <w:tcW w:w="0" w:type="auto"/>
            <w:vAlign w:val="center"/>
          </w:tcPr>
          <w:p w14:paraId="472FDD13"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VS</w:t>
            </w:r>
          </w:p>
        </w:tc>
        <w:tc>
          <w:tcPr>
            <w:tcW w:w="0" w:type="auto"/>
            <w:vAlign w:val="center"/>
          </w:tcPr>
          <w:p w14:paraId="12410C74"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INSTAT</w:t>
            </w:r>
          </w:p>
        </w:tc>
      </w:tr>
      <w:tr w:rsidR="000F566F" w:rsidRPr="004F2AC3" w14:paraId="7D4B93D4" w14:textId="77777777" w:rsidTr="00B9328D">
        <w:trPr>
          <w:trHeight w:val="452"/>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CDB8AC" w14:textId="77777777" w:rsidR="000F566F" w:rsidRPr="004F2AC3" w:rsidRDefault="000F566F" w:rsidP="00CF4B3F">
            <w:pPr>
              <w:rPr>
                <w:rFonts w:ascii="Garamond" w:hAnsi="Garamond" w:cs="Times New Roman"/>
                <w:b w:val="0"/>
                <w:color w:val="000000" w:themeColor="text1"/>
                <w:sz w:val="16"/>
                <w:szCs w:val="16"/>
                <w:lang w:val="sq-AL"/>
              </w:rPr>
            </w:pPr>
            <w:r w:rsidRPr="004F2AC3">
              <w:rPr>
                <w:rFonts w:ascii="Garamond" w:hAnsi="Garamond" w:cs="Times New Roman"/>
                <w:b w:val="0"/>
                <w:color w:val="000000" w:themeColor="text1"/>
                <w:sz w:val="16"/>
                <w:szCs w:val="16"/>
                <w:lang w:val="sq-AL"/>
              </w:rPr>
              <w:t>1.6 Mbrojtja Sociale</w:t>
            </w:r>
          </w:p>
        </w:tc>
        <w:tc>
          <w:tcPr>
            <w:tcW w:w="0" w:type="auto"/>
            <w:vAlign w:val="center"/>
          </w:tcPr>
          <w:p w14:paraId="3B327387" w14:textId="77777777" w:rsidR="000F566F" w:rsidRPr="004F2AC3" w:rsidRDefault="000F566F" w:rsidP="00CF4B3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w:t>
            </w:r>
          </w:p>
        </w:tc>
        <w:tc>
          <w:tcPr>
            <w:tcW w:w="0" w:type="auto"/>
            <w:vAlign w:val="center"/>
          </w:tcPr>
          <w:p w14:paraId="1986E21B"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1 - V</w:t>
            </w:r>
          </w:p>
          <w:p w14:paraId="669CD40A"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 – Tjetër</w:t>
            </w:r>
          </w:p>
        </w:tc>
        <w:tc>
          <w:tcPr>
            <w:tcW w:w="0" w:type="auto"/>
            <w:vAlign w:val="center"/>
          </w:tcPr>
          <w:p w14:paraId="297F603F"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BA</w:t>
            </w:r>
          </w:p>
        </w:tc>
        <w:tc>
          <w:tcPr>
            <w:tcW w:w="0" w:type="auto"/>
            <w:vAlign w:val="center"/>
          </w:tcPr>
          <w:p w14:paraId="169C17D9"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INSTAT</w:t>
            </w:r>
          </w:p>
        </w:tc>
      </w:tr>
      <w:tr w:rsidR="000F566F" w:rsidRPr="004F2AC3" w14:paraId="3021B369" w14:textId="77777777" w:rsidTr="00B9328D">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0" w:type="auto"/>
            <w:vAlign w:val="center"/>
          </w:tcPr>
          <w:p w14:paraId="57732E77" w14:textId="77777777" w:rsidR="000F566F" w:rsidRPr="004F2AC3" w:rsidRDefault="000F566F" w:rsidP="00CF4B3F">
            <w:pPr>
              <w:rPr>
                <w:rFonts w:ascii="Garamond" w:hAnsi="Garamond" w:cs="Times New Roman"/>
                <w:b w:val="0"/>
                <w:color w:val="000000" w:themeColor="text1"/>
                <w:sz w:val="16"/>
                <w:szCs w:val="16"/>
                <w:lang w:val="sq-AL"/>
              </w:rPr>
            </w:pPr>
            <w:r w:rsidRPr="004F2AC3">
              <w:rPr>
                <w:rFonts w:ascii="Garamond" w:hAnsi="Garamond" w:cs="Times New Roman"/>
                <w:b w:val="0"/>
                <w:color w:val="000000" w:themeColor="text1"/>
                <w:sz w:val="16"/>
                <w:szCs w:val="16"/>
                <w:lang w:val="sq-AL"/>
              </w:rPr>
              <w:t>1.7 Drejtësia dhe Krimi</w:t>
            </w:r>
          </w:p>
        </w:tc>
        <w:tc>
          <w:tcPr>
            <w:tcW w:w="0" w:type="auto"/>
            <w:vAlign w:val="center"/>
          </w:tcPr>
          <w:p w14:paraId="78CA6E35" w14:textId="77777777" w:rsidR="000F566F" w:rsidRPr="004F2AC3" w:rsidRDefault="000F566F" w:rsidP="00CF4B3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w:t>
            </w:r>
          </w:p>
        </w:tc>
        <w:tc>
          <w:tcPr>
            <w:tcW w:w="0" w:type="auto"/>
            <w:vAlign w:val="center"/>
          </w:tcPr>
          <w:p w14:paraId="08F2E570"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 – V</w:t>
            </w:r>
          </w:p>
        </w:tc>
        <w:tc>
          <w:tcPr>
            <w:tcW w:w="0" w:type="auto"/>
            <w:vAlign w:val="center"/>
          </w:tcPr>
          <w:p w14:paraId="6958A8AA"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 BA</w:t>
            </w:r>
          </w:p>
        </w:tc>
        <w:tc>
          <w:tcPr>
            <w:tcW w:w="0" w:type="auto"/>
            <w:vAlign w:val="center"/>
          </w:tcPr>
          <w:p w14:paraId="094B7DB1"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 INSTAT</w:t>
            </w:r>
          </w:p>
        </w:tc>
      </w:tr>
      <w:tr w:rsidR="000F566F" w:rsidRPr="004F2AC3" w14:paraId="0E9E8611" w14:textId="77777777" w:rsidTr="00B9328D">
        <w:trPr>
          <w:trHeight w:val="175"/>
        </w:trPr>
        <w:tc>
          <w:tcPr>
            <w:cnfStyle w:val="001000000000" w:firstRow="0" w:lastRow="0" w:firstColumn="1" w:lastColumn="0" w:oddVBand="0" w:evenVBand="0" w:oddHBand="0" w:evenHBand="0" w:firstRowFirstColumn="0" w:firstRowLastColumn="0" w:lastRowFirstColumn="0" w:lastRowLastColumn="0"/>
            <w:tcW w:w="0" w:type="auto"/>
            <w:vAlign w:val="center"/>
          </w:tcPr>
          <w:p w14:paraId="17ECA142" w14:textId="77777777" w:rsidR="000F566F" w:rsidRPr="004F2AC3" w:rsidRDefault="000F566F" w:rsidP="00CF4B3F">
            <w:pPr>
              <w:rPr>
                <w:rFonts w:ascii="Garamond" w:hAnsi="Garamond" w:cs="Times New Roman"/>
                <w:b w:val="0"/>
                <w:color w:val="000000" w:themeColor="text1"/>
                <w:sz w:val="16"/>
                <w:szCs w:val="16"/>
                <w:lang w:val="sq-AL"/>
              </w:rPr>
            </w:pPr>
            <w:r w:rsidRPr="004F2AC3">
              <w:rPr>
                <w:rFonts w:ascii="Garamond" w:hAnsi="Garamond" w:cs="Times New Roman"/>
                <w:b w:val="0"/>
                <w:color w:val="000000" w:themeColor="text1"/>
                <w:sz w:val="16"/>
                <w:szCs w:val="16"/>
                <w:lang w:val="sq-AL"/>
              </w:rPr>
              <w:t>1.8 Kultura</w:t>
            </w:r>
          </w:p>
        </w:tc>
        <w:tc>
          <w:tcPr>
            <w:tcW w:w="0" w:type="auto"/>
            <w:vAlign w:val="center"/>
          </w:tcPr>
          <w:p w14:paraId="6BF319D8" w14:textId="77777777" w:rsidR="000F566F" w:rsidRPr="004F2AC3" w:rsidRDefault="000F566F" w:rsidP="00CF4B3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w:t>
            </w:r>
          </w:p>
        </w:tc>
        <w:tc>
          <w:tcPr>
            <w:tcW w:w="0" w:type="auto"/>
            <w:vAlign w:val="center"/>
          </w:tcPr>
          <w:p w14:paraId="68336E80"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 – V</w:t>
            </w:r>
          </w:p>
        </w:tc>
        <w:tc>
          <w:tcPr>
            <w:tcW w:w="0" w:type="auto"/>
            <w:vAlign w:val="center"/>
          </w:tcPr>
          <w:p w14:paraId="1823083B"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BA</w:t>
            </w:r>
          </w:p>
          <w:p w14:paraId="12FF9036"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 VS+BA</w:t>
            </w:r>
          </w:p>
        </w:tc>
        <w:tc>
          <w:tcPr>
            <w:tcW w:w="0" w:type="auto"/>
            <w:vAlign w:val="center"/>
          </w:tcPr>
          <w:p w14:paraId="714C13BF"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4 INSTAT</w:t>
            </w:r>
          </w:p>
        </w:tc>
      </w:tr>
      <w:tr w:rsidR="000F566F" w:rsidRPr="004F2AC3" w14:paraId="50233C64" w14:textId="77777777" w:rsidTr="00B9328D">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8A016E" w14:textId="77777777" w:rsidR="000F566F" w:rsidRPr="004F2AC3" w:rsidRDefault="000F566F" w:rsidP="00CF4B3F">
            <w:pPr>
              <w:rPr>
                <w:rFonts w:ascii="Garamond" w:hAnsi="Garamond" w:cs="Times New Roman"/>
                <w:b w:val="0"/>
                <w:color w:val="000000" w:themeColor="text1"/>
                <w:sz w:val="16"/>
                <w:szCs w:val="16"/>
                <w:lang w:val="sq-AL"/>
              </w:rPr>
            </w:pPr>
            <w:r w:rsidRPr="004F2AC3">
              <w:rPr>
                <w:rFonts w:ascii="Garamond" w:hAnsi="Garamond" w:cs="Times New Roman"/>
                <w:b w:val="0"/>
                <w:color w:val="000000" w:themeColor="text1"/>
                <w:sz w:val="16"/>
                <w:szCs w:val="16"/>
                <w:lang w:val="sq-AL"/>
              </w:rPr>
              <w:t>1.9 Përdorimi i kohës</w:t>
            </w:r>
          </w:p>
        </w:tc>
        <w:tc>
          <w:tcPr>
            <w:tcW w:w="0" w:type="auto"/>
            <w:vAlign w:val="center"/>
          </w:tcPr>
          <w:p w14:paraId="3365CF33" w14:textId="77777777" w:rsidR="000F566F" w:rsidRPr="004F2AC3" w:rsidRDefault="000F566F" w:rsidP="00CF4B3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w:t>
            </w:r>
          </w:p>
        </w:tc>
        <w:tc>
          <w:tcPr>
            <w:tcW w:w="0" w:type="auto"/>
            <w:vAlign w:val="center"/>
          </w:tcPr>
          <w:p w14:paraId="63CAA347" w14:textId="47624030"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w:t>
            </w:r>
            <w:r w:rsidR="00B9328D" w:rsidRPr="004F2AC3">
              <w:rPr>
                <w:rFonts w:ascii="Garamond" w:hAnsi="Garamond" w:cs="Times New Roman"/>
                <w:color w:val="000000" w:themeColor="text1"/>
                <w:sz w:val="16"/>
                <w:szCs w:val="16"/>
                <w:lang w:val="sq-AL"/>
              </w:rPr>
              <w:t xml:space="preserve"> – </w:t>
            </w:r>
            <w:r w:rsidRPr="004F2AC3">
              <w:rPr>
                <w:rFonts w:ascii="Garamond" w:hAnsi="Garamond" w:cs="Times New Roman"/>
                <w:color w:val="000000" w:themeColor="text1"/>
                <w:sz w:val="16"/>
                <w:szCs w:val="16"/>
                <w:lang w:val="sq-AL"/>
              </w:rPr>
              <w:t>10V</w:t>
            </w:r>
          </w:p>
        </w:tc>
        <w:tc>
          <w:tcPr>
            <w:tcW w:w="0" w:type="auto"/>
            <w:vAlign w:val="center"/>
          </w:tcPr>
          <w:p w14:paraId="6FE6CD22"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 VS</w:t>
            </w:r>
          </w:p>
        </w:tc>
        <w:tc>
          <w:tcPr>
            <w:tcW w:w="0" w:type="auto"/>
            <w:vAlign w:val="center"/>
          </w:tcPr>
          <w:p w14:paraId="0458723D"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 INSTAT</w:t>
            </w:r>
          </w:p>
        </w:tc>
      </w:tr>
      <w:tr w:rsidR="000F566F" w:rsidRPr="004F2AC3" w14:paraId="5E5CD1F9" w14:textId="77777777" w:rsidTr="00E170CB">
        <w:trPr>
          <w:trHeight w:val="1168"/>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D0A4F0" w14:textId="77777777" w:rsidR="000F566F" w:rsidRPr="004F2AC3" w:rsidRDefault="000F566F" w:rsidP="00CF4B3F">
            <w:pPr>
              <w:rPr>
                <w:rFonts w:ascii="Garamond" w:hAnsi="Garamond" w:cs="Times New Roman"/>
                <w:b w:val="0"/>
                <w:color w:val="000000" w:themeColor="text1"/>
                <w:sz w:val="16"/>
                <w:szCs w:val="16"/>
                <w:lang w:val="sq-AL"/>
              </w:rPr>
            </w:pPr>
            <w:r w:rsidRPr="004F2AC3">
              <w:rPr>
                <w:rFonts w:ascii="Garamond" w:hAnsi="Garamond" w:cs="Times New Roman"/>
                <w:b w:val="0"/>
                <w:color w:val="000000" w:themeColor="text1"/>
                <w:sz w:val="16"/>
                <w:szCs w:val="16"/>
                <w:lang w:val="sq-AL"/>
              </w:rPr>
              <w:t>Gjithsej</w:t>
            </w:r>
          </w:p>
        </w:tc>
        <w:tc>
          <w:tcPr>
            <w:tcW w:w="0" w:type="auto"/>
            <w:vAlign w:val="center"/>
          </w:tcPr>
          <w:p w14:paraId="49547882" w14:textId="77777777" w:rsidR="000F566F" w:rsidRPr="004F2AC3" w:rsidRDefault="000F566F" w:rsidP="00CF4B3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32</w:t>
            </w:r>
          </w:p>
        </w:tc>
        <w:tc>
          <w:tcPr>
            <w:tcW w:w="0" w:type="auto"/>
            <w:vAlign w:val="center"/>
          </w:tcPr>
          <w:p w14:paraId="489FEDAA" w14:textId="32D2865C"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4 </w:t>
            </w:r>
            <w:r w:rsidR="00B9328D" w:rsidRPr="004F2AC3">
              <w:rPr>
                <w:rFonts w:ascii="Garamond" w:hAnsi="Garamond" w:cs="Times New Roman"/>
                <w:color w:val="000000" w:themeColor="text1"/>
                <w:sz w:val="16"/>
                <w:szCs w:val="16"/>
                <w:lang w:val="sq-AL"/>
              </w:rPr>
              <w:t>–</w:t>
            </w:r>
            <w:r w:rsidRPr="004F2AC3">
              <w:rPr>
                <w:rFonts w:ascii="Garamond" w:hAnsi="Garamond" w:cs="Times New Roman"/>
                <w:color w:val="000000" w:themeColor="text1"/>
                <w:sz w:val="16"/>
                <w:szCs w:val="16"/>
                <w:lang w:val="sq-AL"/>
              </w:rPr>
              <w:t xml:space="preserve"> T</w:t>
            </w:r>
          </w:p>
          <w:p w14:paraId="3A6D75D0" w14:textId="60E32740"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21 </w:t>
            </w:r>
            <w:r w:rsidR="00E170CB" w:rsidRPr="004F2AC3">
              <w:rPr>
                <w:rFonts w:ascii="Garamond" w:hAnsi="Garamond" w:cs="Times New Roman"/>
                <w:color w:val="000000" w:themeColor="text1"/>
                <w:sz w:val="16"/>
                <w:szCs w:val="16"/>
                <w:lang w:val="sq-AL"/>
              </w:rPr>
              <w:t>–</w:t>
            </w:r>
            <w:r w:rsidRPr="004F2AC3">
              <w:rPr>
                <w:rFonts w:ascii="Garamond" w:hAnsi="Garamond" w:cs="Times New Roman"/>
                <w:color w:val="000000" w:themeColor="text1"/>
                <w:sz w:val="16"/>
                <w:szCs w:val="16"/>
                <w:lang w:val="sq-AL"/>
              </w:rPr>
              <w:t xml:space="preserve"> V</w:t>
            </w:r>
          </w:p>
          <w:p w14:paraId="144D8B5A" w14:textId="6D7830F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2 </w:t>
            </w:r>
            <w:r w:rsidR="00E170CB" w:rsidRPr="004F2AC3">
              <w:rPr>
                <w:rFonts w:ascii="Garamond" w:hAnsi="Garamond" w:cs="Times New Roman"/>
                <w:color w:val="000000" w:themeColor="text1"/>
                <w:sz w:val="16"/>
                <w:szCs w:val="16"/>
                <w:lang w:val="sq-AL"/>
              </w:rPr>
              <w:t>–</w:t>
            </w:r>
            <w:r w:rsidRPr="004F2AC3">
              <w:rPr>
                <w:rFonts w:ascii="Garamond" w:hAnsi="Garamond" w:cs="Times New Roman"/>
                <w:color w:val="000000" w:themeColor="text1"/>
                <w:sz w:val="16"/>
                <w:szCs w:val="16"/>
                <w:lang w:val="sq-AL"/>
              </w:rPr>
              <w:t xml:space="preserve"> 2V</w:t>
            </w:r>
          </w:p>
          <w:p w14:paraId="7DE7A68D" w14:textId="555DEBD4"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 xml:space="preserve">1 </w:t>
            </w:r>
            <w:r w:rsidR="00E170CB" w:rsidRPr="004F2AC3">
              <w:rPr>
                <w:rFonts w:ascii="Garamond" w:hAnsi="Garamond" w:cs="Times New Roman"/>
                <w:color w:val="000000" w:themeColor="text1"/>
                <w:sz w:val="16"/>
                <w:szCs w:val="16"/>
                <w:lang w:val="sq-AL"/>
              </w:rPr>
              <w:t>–</w:t>
            </w:r>
            <w:r w:rsidRPr="004F2AC3">
              <w:rPr>
                <w:rFonts w:ascii="Garamond" w:hAnsi="Garamond" w:cs="Times New Roman"/>
                <w:color w:val="000000" w:themeColor="text1"/>
                <w:sz w:val="16"/>
                <w:szCs w:val="16"/>
                <w:lang w:val="sq-AL"/>
              </w:rPr>
              <w:t xml:space="preserve"> 6V</w:t>
            </w:r>
          </w:p>
          <w:p w14:paraId="3AED6B88" w14:textId="3B9F9399"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2</w:t>
            </w:r>
            <w:r w:rsidR="00E170CB" w:rsidRPr="004F2AC3">
              <w:rPr>
                <w:rFonts w:ascii="Garamond" w:hAnsi="Garamond" w:cs="Times New Roman"/>
                <w:color w:val="000000" w:themeColor="text1"/>
                <w:sz w:val="16"/>
                <w:szCs w:val="16"/>
                <w:lang w:val="sq-AL"/>
              </w:rPr>
              <w:t xml:space="preserve"> –</w:t>
            </w:r>
            <w:r w:rsidRPr="004F2AC3">
              <w:rPr>
                <w:rFonts w:ascii="Garamond" w:hAnsi="Garamond" w:cs="Times New Roman"/>
                <w:color w:val="000000" w:themeColor="text1"/>
                <w:sz w:val="16"/>
                <w:szCs w:val="16"/>
                <w:lang w:val="sq-AL"/>
              </w:rPr>
              <w:t xml:space="preserve"> 10 V</w:t>
            </w:r>
          </w:p>
          <w:p w14:paraId="41430112" w14:textId="2633CA70"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w:t>
            </w:r>
            <w:r w:rsidR="00E170CB" w:rsidRPr="004F2AC3">
              <w:rPr>
                <w:rFonts w:ascii="Garamond" w:hAnsi="Garamond" w:cs="Times New Roman"/>
                <w:color w:val="000000" w:themeColor="text1"/>
                <w:sz w:val="16"/>
                <w:szCs w:val="16"/>
                <w:lang w:val="sq-AL"/>
              </w:rPr>
              <w:t xml:space="preserve"> –</w:t>
            </w:r>
            <w:r w:rsidRPr="004F2AC3">
              <w:rPr>
                <w:rFonts w:ascii="Garamond" w:hAnsi="Garamond" w:cs="Times New Roman"/>
                <w:color w:val="000000" w:themeColor="text1"/>
                <w:sz w:val="16"/>
                <w:szCs w:val="16"/>
                <w:lang w:val="sq-AL"/>
              </w:rPr>
              <w:t xml:space="preserve"> Tjetër</w:t>
            </w:r>
          </w:p>
          <w:p w14:paraId="317AB014" w14:textId="76B1C106" w:rsidR="000F566F" w:rsidRPr="004F2AC3" w:rsidRDefault="00E170CB"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 – I papërcaktuar</w:t>
            </w:r>
          </w:p>
        </w:tc>
        <w:tc>
          <w:tcPr>
            <w:tcW w:w="0" w:type="auto"/>
            <w:vAlign w:val="center"/>
          </w:tcPr>
          <w:p w14:paraId="4AC1B2B3"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8 VS</w:t>
            </w:r>
          </w:p>
          <w:p w14:paraId="03F16927"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17 BA</w:t>
            </w:r>
          </w:p>
          <w:p w14:paraId="5F5BB4C3"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6 VS+BA</w:t>
            </w:r>
          </w:p>
          <w:p w14:paraId="5C329480"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1 Cens</w:t>
            </w:r>
          </w:p>
        </w:tc>
        <w:tc>
          <w:tcPr>
            <w:tcW w:w="0" w:type="auto"/>
            <w:vAlign w:val="center"/>
          </w:tcPr>
          <w:p w14:paraId="1B77CF6A"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16"/>
                <w:szCs w:val="16"/>
                <w:lang w:val="sq-AL"/>
              </w:rPr>
            </w:pPr>
            <w:r w:rsidRPr="004F2AC3">
              <w:rPr>
                <w:rFonts w:ascii="Garamond" w:hAnsi="Garamond" w:cs="Times New Roman"/>
                <w:color w:val="000000" w:themeColor="text1"/>
                <w:sz w:val="16"/>
                <w:szCs w:val="16"/>
                <w:lang w:val="sq-AL"/>
              </w:rPr>
              <w:t>32 INSTAT</w:t>
            </w:r>
          </w:p>
        </w:tc>
      </w:tr>
    </w:tbl>
    <w:p w14:paraId="29F02DB4" w14:textId="615F3EAE"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*M</w:t>
      </w:r>
      <w:r w:rsidR="00E170CB" w:rsidRPr="004F2AC3">
        <w:rPr>
          <w:rFonts w:ascii="Garamond" w:hAnsi="Garamond" w:cs="Times New Roman"/>
          <w:color w:val="000000" w:themeColor="text1"/>
          <w:sz w:val="24"/>
          <w:szCs w:val="24"/>
        </w:rPr>
        <w:t xml:space="preserve"> </w:t>
      </w:r>
      <w:r w:rsidR="00E170CB" w:rsidRPr="004F2AC3">
        <w:rPr>
          <w:rFonts w:ascii="Garamond" w:hAnsi="Garamond" w:cs="Times New Roman"/>
          <w:color w:val="000000" w:themeColor="text1"/>
          <w:sz w:val="16"/>
          <w:szCs w:val="16"/>
        </w:rPr>
        <w:t xml:space="preserve">– </w:t>
      </w:r>
      <w:r w:rsidRPr="004F2AC3">
        <w:rPr>
          <w:rFonts w:ascii="Garamond" w:hAnsi="Garamond" w:cs="Times New Roman"/>
          <w:color w:val="000000" w:themeColor="text1"/>
          <w:sz w:val="24"/>
          <w:szCs w:val="24"/>
        </w:rPr>
        <w:t>mujor; T</w:t>
      </w:r>
      <w:r w:rsidR="00E170CB" w:rsidRPr="004F2AC3">
        <w:rPr>
          <w:rFonts w:ascii="Garamond" w:hAnsi="Garamond" w:cs="Times New Roman"/>
          <w:color w:val="000000" w:themeColor="text1"/>
          <w:sz w:val="24"/>
          <w:szCs w:val="24"/>
        </w:rPr>
        <w:t xml:space="preserve"> </w:t>
      </w:r>
      <w:r w:rsidR="00E170CB" w:rsidRPr="004F2AC3">
        <w:rPr>
          <w:rFonts w:ascii="Garamond" w:hAnsi="Garamond" w:cs="Times New Roman"/>
          <w:color w:val="000000" w:themeColor="text1"/>
          <w:sz w:val="16"/>
          <w:szCs w:val="16"/>
        </w:rPr>
        <w:t xml:space="preserve">– </w:t>
      </w:r>
      <w:r w:rsidRPr="004F2AC3">
        <w:rPr>
          <w:rFonts w:ascii="Garamond" w:hAnsi="Garamond" w:cs="Times New Roman"/>
          <w:color w:val="000000" w:themeColor="text1"/>
          <w:sz w:val="24"/>
          <w:szCs w:val="24"/>
        </w:rPr>
        <w:t>Tremujor; V</w:t>
      </w:r>
      <w:r w:rsidR="00E170CB" w:rsidRPr="004F2AC3">
        <w:rPr>
          <w:rFonts w:ascii="Garamond" w:hAnsi="Garamond" w:cs="Times New Roman"/>
          <w:color w:val="000000" w:themeColor="text1"/>
          <w:sz w:val="24"/>
          <w:szCs w:val="24"/>
        </w:rPr>
        <w:t xml:space="preserve"> </w:t>
      </w:r>
      <w:r w:rsidR="00E170CB" w:rsidRPr="004F2AC3">
        <w:rPr>
          <w:rFonts w:ascii="Garamond" w:hAnsi="Garamond" w:cs="Times New Roman"/>
          <w:color w:val="000000" w:themeColor="text1"/>
          <w:sz w:val="16"/>
          <w:szCs w:val="16"/>
        </w:rPr>
        <w:t xml:space="preserve">– </w:t>
      </w:r>
      <w:r w:rsidRPr="004F2AC3">
        <w:rPr>
          <w:rFonts w:ascii="Garamond" w:hAnsi="Garamond" w:cs="Times New Roman"/>
          <w:color w:val="000000" w:themeColor="text1"/>
          <w:sz w:val="24"/>
          <w:szCs w:val="24"/>
        </w:rPr>
        <w:t xml:space="preserve">Vjetor; </w:t>
      </w:r>
    </w:p>
    <w:p w14:paraId="7E16099C" w14:textId="455397BE"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VS</w:t>
      </w:r>
      <w:r w:rsidR="00E170CB" w:rsidRPr="004F2AC3">
        <w:rPr>
          <w:rFonts w:ascii="Garamond" w:hAnsi="Garamond" w:cs="Times New Roman"/>
          <w:color w:val="000000" w:themeColor="text1"/>
          <w:sz w:val="24"/>
          <w:szCs w:val="24"/>
        </w:rPr>
        <w:t xml:space="preserve"> </w:t>
      </w:r>
      <w:r w:rsidR="00E170CB" w:rsidRPr="004F2AC3">
        <w:rPr>
          <w:rFonts w:ascii="Garamond" w:hAnsi="Garamond" w:cs="Times New Roman"/>
          <w:color w:val="000000" w:themeColor="text1"/>
          <w:sz w:val="16"/>
          <w:szCs w:val="16"/>
        </w:rPr>
        <w:t>–</w:t>
      </w:r>
      <w:r w:rsidR="00E170CB"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Vrojtim Statistikor; BA</w:t>
      </w:r>
      <w:r w:rsidR="00E170CB" w:rsidRPr="004F2AC3">
        <w:rPr>
          <w:rFonts w:ascii="Garamond" w:hAnsi="Garamond" w:cs="Times New Roman"/>
          <w:color w:val="000000" w:themeColor="text1"/>
          <w:sz w:val="24"/>
          <w:szCs w:val="24"/>
        </w:rPr>
        <w:t xml:space="preserve"> </w:t>
      </w:r>
      <w:r w:rsidR="00E170CB" w:rsidRPr="004F2AC3">
        <w:rPr>
          <w:rFonts w:ascii="Garamond" w:hAnsi="Garamond" w:cs="Times New Roman"/>
          <w:color w:val="000000" w:themeColor="text1"/>
          <w:sz w:val="16"/>
          <w:szCs w:val="16"/>
        </w:rPr>
        <w:t xml:space="preserve">– </w:t>
      </w:r>
      <w:r w:rsidRPr="004F2AC3">
        <w:rPr>
          <w:rFonts w:ascii="Garamond" w:hAnsi="Garamond" w:cs="Times New Roman"/>
          <w:color w:val="000000" w:themeColor="text1"/>
          <w:sz w:val="24"/>
          <w:szCs w:val="24"/>
        </w:rPr>
        <w:t>Burim Administrativ; NA</w:t>
      </w:r>
      <w:r w:rsidR="00E170CB" w:rsidRPr="004F2AC3">
        <w:rPr>
          <w:rFonts w:ascii="Garamond" w:hAnsi="Garamond" w:cs="Times New Roman"/>
          <w:color w:val="000000" w:themeColor="text1"/>
          <w:sz w:val="24"/>
          <w:szCs w:val="24"/>
        </w:rPr>
        <w:t xml:space="preserve"> </w:t>
      </w:r>
      <w:r w:rsidR="00E170CB" w:rsidRPr="004F2AC3">
        <w:rPr>
          <w:rFonts w:ascii="Garamond" w:hAnsi="Garamond" w:cs="Times New Roman"/>
          <w:color w:val="000000" w:themeColor="text1"/>
          <w:sz w:val="16"/>
          <w:szCs w:val="16"/>
        </w:rPr>
        <w:t>–</w:t>
      </w:r>
      <w:r w:rsidR="00E170CB"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Nuk aplikohet.</w:t>
      </w:r>
    </w:p>
    <w:p w14:paraId="2E7BA0DB"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highlight w:val="lightGray"/>
        </w:rPr>
      </w:pPr>
    </w:p>
    <w:p w14:paraId="57D6BCB6" w14:textId="07FC40C1" w:rsidR="000F566F" w:rsidRPr="004F2AC3" w:rsidRDefault="000F566F" w:rsidP="000F566F">
      <w:pPr>
        <w:spacing w:after="0" w:line="240" w:lineRule="auto"/>
        <w:ind w:firstLine="284"/>
        <w:rPr>
          <w:rFonts w:ascii="Garamond" w:hAnsi="Garamond" w:cs="Times New Roman"/>
          <w:i/>
          <w:color w:val="000000" w:themeColor="text1"/>
          <w:sz w:val="24"/>
          <w:szCs w:val="24"/>
        </w:rPr>
      </w:pPr>
      <w:r w:rsidRPr="004F2AC3">
        <w:rPr>
          <w:rFonts w:ascii="Garamond" w:hAnsi="Garamond" w:cs="Times New Roman"/>
          <w:i/>
          <w:color w:val="000000" w:themeColor="text1"/>
          <w:sz w:val="24"/>
          <w:szCs w:val="24"/>
        </w:rPr>
        <w:t>Figura nr. 2</w:t>
      </w:r>
      <w:r w:rsidR="00E170CB"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Statistikat Demografike dhe Sociale 2025</w:t>
      </w:r>
      <w:r w:rsidR="00E170CB" w:rsidRPr="004F2AC3">
        <w:rPr>
          <w:rFonts w:ascii="Garamond" w:hAnsi="Garamond" w:cs="Times New Roman"/>
          <w:color w:val="000000" w:themeColor="text1"/>
          <w:sz w:val="16"/>
          <w:szCs w:val="16"/>
        </w:rPr>
        <w:t>–</w:t>
      </w:r>
      <w:r w:rsidRPr="004F2AC3">
        <w:rPr>
          <w:rFonts w:ascii="Garamond" w:hAnsi="Garamond" w:cs="Times New Roman"/>
          <w:i/>
          <w:color w:val="000000" w:themeColor="text1"/>
          <w:sz w:val="24"/>
          <w:szCs w:val="24"/>
        </w:rPr>
        <w:t>2026</w:t>
      </w:r>
    </w:p>
    <w:p w14:paraId="64127313" w14:textId="77777777" w:rsidR="000F566F" w:rsidRPr="004F2AC3" w:rsidRDefault="000F566F" w:rsidP="000F566F">
      <w:pPr>
        <w:spacing w:after="0" w:line="240" w:lineRule="auto"/>
        <w:ind w:firstLine="284"/>
        <w:jc w:val="both"/>
        <w:rPr>
          <w:rFonts w:ascii="Garamond" w:hAnsi="Garamond" w:cs="Times New Roman"/>
          <w:b/>
          <w:color w:val="000000" w:themeColor="text1"/>
          <w:sz w:val="24"/>
          <w:szCs w:val="24"/>
          <w:highlight w:val="lightGray"/>
        </w:rPr>
      </w:pPr>
    </w:p>
    <w:p w14:paraId="32D57B64" w14:textId="77777777" w:rsidR="000F566F" w:rsidRPr="004F2AC3" w:rsidRDefault="000F566F" w:rsidP="00CF4B3F">
      <w:pPr>
        <w:spacing w:after="0" w:line="240" w:lineRule="auto"/>
        <w:jc w:val="center"/>
        <w:rPr>
          <w:rFonts w:ascii="Garamond" w:hAnsi="Garamond" w:cs="Times New Roman"/>
          <w:color w:val="000000" w:themeColor="text1"/>
          <w:sz w:val="24"/>
          <w:szCs w:val="24"/>
          <w:highlight w:val="lightGray"/>
        </w:rPr>
      </w:pPr>
      <w:r w:rsidRPr="004F2AC3">
        <w:rPr>
          <w:rFonts w:ascii="Garamond" w:hAnsi="Garamond" w:cs="Times New Roman"/>
          <w:noProof/>
          <w:color w:val="000000" w:themeColor="text1"/>
          <w:sz w:val="24"/>
          <w:szCs w:val="24"/>
          <w:lang w:eastAsia="sq-AL"/>
        </w:rPr>
        <w:drawing>
          <wp:inline distT="0" distB="0" distL="0" distR="0" wp14:anchorId="5D75F2A0" wp14:editId="10E9C0A0">
            <wp:extent cx="5866410" cy="2392878"/>
            <wp:effectExtent l="0" t="0" r="1270" b="7620"/>
            <wp:docPr id="5" name="Chart 5">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FD2B6C40-6DCD-4805-96E5-D0DA4642FC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2EB7CDA" w14:textId="77777777" w:rsidR="000F566F" w:rsidRPr="004F2AC3" w:rsidRDefault="000F566F" w:rsidP="000F566F">
      <w:pPr>
        <w:keepNext/>
        <w:keepLines/>
        <w:spacing w:after="0" w:line="240" w:lineRule="auto"/>
        <w:ind w:firstLine="284"/>
        <w:outlineLvl w:val="4"/>
        <w:rPr>
          <w:rFonts w:ascii="Garamond" w:eastAsia="Times New Roman" w:hAnsi="Garamond" w:cs="Times New Roman"/>
          <w:b/>
          <w:i/>
          <w:color w:val="000000" w:themeColor="text1"/>
          <w:sz w:val="24"/>
          <w:szCs w:val="24"/>
        </w:rPr>
      </w:pPr>
    </w:p>
    <w:p w14:paraId="184C2C51" w14:textId="3722C790" w:rsidR="00CF4B3F" w:rsidRPr="004F2AC3" w:rsidRDefault="000F566F" w:rsidP="00120F54">
      <w:pPr>
        <w:keepNext/>
        <w:keepLines/>
        <w:spacing w:after="0" w:line="240" w:lineRule="auto"/>
        <w:ind w:firstLine="284"/>
        <w:outlineLvl w:val="4"/>
        <w:rPr>
          <w:rFonts w:ascii="Garamond" w:eastAsia="Times New Roman" w:hAnsi="Garamond" w:cs="Times New Roman"/>
          <w:b/>
          <w:color w:val="000000" w:themeColor="text1"/>
          <w:sz w:val="24"/>
          <w:szCs w:val="24"/>
          <w:highlight w:val="lightGray"/>
        </w:rPr>
      </w:pPr>
      <w:r w:rsidRPr="004F2AC3">
        <w:rPr>
          <w:rFonts w:ascii="Garamond" w:eastAsia="Times New Roman" w:hAnsi="Garamond" w:cs="Times New Roman"/>
          <w:b/>
          <w:color w:val="000000" w:themeColor="text1"/>
          <w:sz w:val="24"/>
          <w:szCs w:val="24"/>
        </w:rPr>
        <w:t>Tema 1.1</w:t>
      </w:r>
      <w:r w:rsidR="00E170CB"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Popullsia me vendbanim të zakons</w:t>
      </w:r>
      <w:r w:rsidR="00E170CB" w:rsidRPr="004F2AC3">
        <w:rPr>
          <w:rFonts w:ascii="Garamond" w:eastAsia="Times New Roman" w:hAnsi="Garamond" w:cs="Times New Roman"/>
          <w:b/>
          <w:color w:val="000000" w:themeColor="text1"/>
          <w:sz w:val="24"/>
          <w:szCs w:val="24"/>
        </w:rPr>
        <w:t>hëm në Shqipëri dhe jashtë saj</w:t>
      </w:r>
      <w:r w:rsidR="00D32864" w:rsidRPr="004F2AC3">
        <w:rPr>
          <w:rFonts w:ascii="Garamond" w:eastAsia="Times New Roman" w:hAnsi="Garamond" w:cs="Times New Roman"/>
          <w:b/>
          <w:color w:val="000000" w:themeColor="text1"/>
          <w:sz w:val="24"/>
          <w:szCs w:val="24"/>
        </w:rPr>
        <w:t>”</w:t>
      </w:r>
      <w:r w:rsidR="00E170CB" w:rsidRPr="004F2AC3">
        <w:rPr>
          <w:rFonts w:ascii="Garamond" w:eastAsia="Times New Roman" w:hAnsi="Garamond" w:cs="Times New Roman"/>
          <w:b/>
          <w:color w:val="000000" w:themeColor="text1"/>
          <w:sz w:val="24"/>
          <w:szCs w:val="24"/>
        </w:rPr>
        <w:t>.</w:t>
      </w:r>
    </w:p>
    <w:p w14:paraId="239DF0C6" w14:textId="0657AD4A"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INSTAT, si institucioni përgjegjës prodhues, parashikon të kryejë aktivitete të fokusuara në tre nëntema: </w:t>
      </w:r>
      <w:r w:rsidRPr="004F2AC3">
        <w:rPr>
          <w:rFonts w:ascii="Garamond" w:hAnsi="Garamond" w:cs="Times New Roman"/>
          <w:i/>
          <w:color w:val="000000" w:themeColor="text1"/>
          <w:sz w:val="24"/>
          <w:szCs w:val="24"/>
        </w:rPr>
        <w:t xml:space="preserve">1.1.1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Demografi, migracion dhe projeksione</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w:t>
      </w:r>
      <w:r w:rsidRPr="004F2AC3">
        <w:rPr>
          <w:rFonts w:ascii="Garamond" w:hAnsi="Garamond" w:cs="Times New Roman"/>
          <w:i/>
          <w:color w:val="000000" w:themeColor="text1"/>
          <w:sz w:val="24"/>
          <w:szCs w:val="24"/>
        </w:rPr>
        <w:t xml:space="preserve">1.1.2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Censi </w:t>
      </w:r>
      <w:r w:rsidR="00A26622" w:rsidRPr="004F2AC3">
        <w:rPr>
          <w:rFonts w:ascii="Garamond" w:hAnsi="Garamond" w:cs="Times New Roman"/>
          <w:i/>
          <w:color w:val="000000" w:themeColor="text1"/>
          <w:sz w:val="24"/>
          <w:szCs w:val="24"/>
        </w:rPr>
        <w:t>i Popullsisë dhe Banesave, Azil</w:t>
      </w:r>
      <w:r w:rsidRPr="004F2AC3">
        <w:rPr>
          <w:rFonts w:ascii="Garamond" w:hAnsi="Garamond" w:cs="Times New Roman"/>
          <w:i/>
          <w:color w:val="000000" w:themeColor="text1"/>
          <w:sz w:val="24"/>
          <w:szCs w:val="24"/>
        </w:rPr>
        <w:t>kërkuesit dhe të huajt</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dhe </w:t>
      </w:r>
      <w:r w:rsidRPr="004F2AC3">
        <w:rPr>
          <w:rFonts w:ascii="Garamond" w:hAnsi="Garamond" w:cs="Times New Roman"/>
          <w:i/>
          <w:color w:val="000000" w:themeColor="text1"/>
          <w:sz w:val="24"/>
          <w:szCs w:val="24"/>
        </w:rPr>
        <w:t xml:space="preserve">1.1.3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Statistikat gjinore</w:t>
      </w:r>
      <w:r w:rsidR="00D32864" w:rsidRPr="004F2AC3">
        <w:rPr>
          <w:rFonts w:ascii="Garamond" w:hAnsi="Garamond" w:cs="Times New Roman"/>
          <w:i/>
          <w:color w:val="000000" w:themeColor="text1"/>
          <w:sz w:val="24"/>
          <w:szCs w:val="24"/>
        </w:rPr>
        <w:t>”</w:t>
      </w:r>
      <w:r w:rsidR="00E170CB" w:rsidRPr="004F2AC3">
        <w:rPr>
          <w:rFonts w:ascii="Garamond" w:hAnsi="Garamond" w:cs="Times New Roman"/>
          <w:color w:val="000000" w:themeColor="text1"/>
          <w:sz w:val="24"/>
          <w:szCs w:val="24"/>
        </w:rPr>
        <w:t>.</w:t>
      </w:r>
      <w:r w:rsidR="00684E85" w:rsidRPr="004F2AC3">
        <w:rPr>
          <w:rFonts w:ascii="Garamond" w:hAnsi="Garamond" w:cs="Times New Roman"/>
          <w:color w:val="000000" w:themeColor="text1"/>
          <w:sz w:val="24"/>
          <w:szCs w:val="24"/>
        </w:rPr>
        <w:t xml:space="preserve"> </w:t>
      </w:r>
    </w:p>
    <w:p w14:paraId="7D2AA6EE" w14:textId="7BA61645"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Në lidhje me nëntemën e parë do të kryhen tre aktivitete statistikore me frekuencë vjetore dhe tremujore. Prodhimi i statistikave të popullsisë dhe statistikave të migracionit kryhet me frekuencë vjetore. Ndërkohë, statistikat e ngjarjeve jetësore mbi numrin e lindjeve, vdekjeve dhe shtesa natyrore e popullsisë do të prodhohen me frekuencë tremujore. Për kryerjen e këtyre aktiviteteve do të përdoren burimet që INSTAT</w:t>
      </w:r>
      <w:r w:rsidR="00E170CB"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disponon si: </w:t>
      </w:r>
      <w:r w:rsidR="00E170CB" w:rsidRPr="004F2AC3">
        <w:rPr>
          <w:rFonts w:ascii="Garamond" w:hAnsi="Garamond" w:cs="Times New Roman"/>
          <w:color w:val="000000" w:themeColor="text1"/>
          <w:sz w:val="24"/>
          <w:szCs w:val="24"/>
        </w:rPr>
        <w:t xml:space="preserve">vrojtimi </w:t>
      </w:r>
      <w:r w:rsidRPr="004F2AC3">
        <w:rPr>
          <w:rFonts w:ascii="Garamond" w:hAnsi="Garamond" w:cs="Times New Roman"/>
          <w:color w:val="000000" w:themeColor="text1"/>
          <w:sz w:val="24"/>
          <w:szCs w:val="24"/>
        </w:rPr>
        <w:t>i Forcave të Punës dhe të dhënat administrative që merren nga Drejtoria e Përgjithshme e Gjendjes Civile. Gjithashtu, për plotësimin e informacionit integrohen të dhënat nga burime ndërkombëtare</w:t>
      </w:r>
      <w:r w:rsidR="00E170C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Eurostat, Departamenti i Çështjeve Ekonomike dhe Sociale në Kombet e Bashkuara (UNDESA), Programi i Zhvillimit në Kombet e Bashkuara (UNDP) dhe statistikat pasqyrë nga disa shtete të tjera. </w:t>
      </w:r>
    </w:p>
    <w:p w14:paraId="6852F1D8" w14:textId="31008B84"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Brenda kësaj nënteme INSTAT</w:t>
      </w:r>
      <w:r w:rsidR="00E170CB"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prodhojë statistikat e azilit dhe të huajve, me frekuencë vjetore, duke përdorur të dhënat administrative të marra nga Ministria e Punëve të Brendshme dhe Departam</w:t>
      </w:r>
      <w:r w:rsidR="00E170CB" w:rsidRPr="004F2AC3">
        <w:rPr>
          <w:rFonts w:ascii="Garamond" w:hAnsi="Garamond" w:cs="Times New Roman"/>
          <w:color w:val="000000" w:themeColor="text1"/>
          <w:sz w:val="24"/>
          <w:szCs w:val="24"/>
        </w:rPr>
        <w:t>enti i Kufirit dhe Migracionit.</w:t>
      </w:r>
    </w:p>
    <w:p w14:paraId="5114CF33" w14:textId="141ABF78"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Aktiviteti i projeksioneve </w:t>
      </w:r>
      <w:r w:rsidR="00E170CB" w:rsidRPr="004F2AC3">
        <w:rPr>
          <w:rFonts w:ascii="Garamond" w:hAnsi="Garamond" w:cs="Times New Roman"/>
          <w:color w:val="000000" w:themeColor="text1"/>
          <w:sz w:val="24"/>
          <w:szCs w:val="24"/>
        </w:rPr>
        <w:t>të popullsisë</w:t>
      </w:r>
      <w:r w:rsidRPr="004F2AC3">
        <w:rPr>
          <w:rFonts w:ascii="Garamond" w:hAnsi="Garamond" w:cs="Times New Roman"/>
          <w:color w:val="000000" w:themeColor="text1"/>
          <w:sz w:val="24"/>
          <w:szCs w:val="24"/>
        </w:rPr>
        <w:t xml:space="preserve"> jep informacion në lidhje me numrin e ardhshëm të popullsisë, strukturën demografike dhe shpërndarjen territoriale të banorëve, sipas hipotezave më të mundshme të prirjeve në sjelljet demografike.</w:t>
      </w:r>
    </w:p>
    <w:p w14:paraId="265DA84D" w14:textId="2B70E73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Gjithashtu, gjatë vitit 2026, do të përfundojë puna në terren i vrojtimit të Grupimeve të Treguesve të Shumëfishtë (MICS), i cili është planifikuar të realizohet gjatë periudhës </w:t>
      </w:r>
      <w:r w:rsidR="00E170CB" w:rsidRPr="004F2AC3">
        <w:rPr>
          <w:rFonts w:ascii="Garamond" w:hAnsi="Garamond" w:cs="Times New Roman"/>
          <w:color w:val="000000" w:themeColor="text1"/>
          <w:sz w:val="24"/>
          <w:szCs w:val="24"/>
        </w:rPr>
        <w:t>d</w:t>
      </w:r>
      <w:r w:rsidRPr="004F2AC3">
        <w:rPr>
          <w:rFonts w:ascii="Garamond" w:hAnsi="Garamond" w:cs="Times New Roman"/>
          <w:color w:val="000000" w:themeColor="text1"/>
          <w:sz w:val="24"/>
          <w:szCs w:val="24"/>
        </w:rPr>
        <w:t xml:space="preserve">hjetor 2025 </w:t>
      </w:r>
      <w:r w:rsidR="00E170CB" w:rsidRPr="004F2AC3">
        <w:rPr>
          <w:rFonts w:ascii="Garamond" w:hAnsi="Garamond" w:cs="Times New Roman"/>
          <w:color w:val="000000" w:themeColor="text1"/>
          <w:sz w:val="24"/>
          <w:szCs w:val="24"/>
        </w:rPr>
        <w:t>– j</w:t>
      </w:r>
      <w:r w:rsidRPr="004F2AC3">
        <w:rPr>
          <w:rFonts w:ascii="Garamond" w:hAnsi="Garamond" w:cs="Times New Roman"/>
          <w:color w:val="000000" w:themeColor="text1"/>
          <w:sz w:val="24"/>
          <w:szCs w:val="24"/>
        </w:rPr>
        <w:t>anar 2026, duke vijuar më tej me</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përpunimin dhe publikimi</w:t>
      </w:r>
      <w:r w:rsidR="00E170CB"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w:t>
      </w:r>
      <w:r w:rsidR="00E170CB"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të dhënave. Qëllimi kryesor i vrojtimit MICS është të sigurojë të dhëna të nevojshme, dhe me cilësi të lartë të një sërë treguesish të fushave të ndryshme me fokus fëmijët, kushtet sociale të jetesës, nënat dhe fëmijët, edukimin, shëndetësinë etj. Ky vrojtim pritet të realizohet nëpërmjet koordinimit ndërsektorial të INSTAT</w:t>
      </w:r>
      <w:r w:rsidR="00E170CB" w:rsidRPr="004F2AC3">
        <w:rPr>
          <w:rFonts w:ascii="Garamond" w:hAnsi="Garamond" w:cs="Times New Roman"/>
          <w:color w:val="000000" w:themeColor="text1"/>
          <w:sz w:val="24"/>
          <w:szCs w:val="24"/>
        </w:rPr>
        <w:t>-it</w:t>
      </w:r>
      <w:r w:rsidRPr="004F2AC3">
        <w:rPr>
          <w:rFonts w:ascii="Garamond" w:hAnsi="Garamond" w:cs="Times New Roman"/>
          <w:color w:val="000000" w:themeColor="text1"/>
          <w:sz w:val="24"/>
          <w:szCs w:val="24"/>
        </w:rPr>
        <w:t>.</w:t>
      </w:r>
    </w:p>
    <w:p w14:paraId="720E6477" w14:textId="009EB174"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Anketa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Dhuna ndaj Grave dhe Vajzave</w:t>
      </w:r>
      <w:r w:rsidR="00D32864" w:rsidRPr="004F2AC3">
        <w:rPr>
          <w:rFonts w:ascii="Garamond" w:hAnsi="Garamond" w:cs="Times New Roman"/>
          <w:color w:val="000000" w:themeColor="text1"/>
          <w:sz w:val="24"/>
          <w:szCs w:val="24"/>
        </w:rPr>
        <w:t>”</w:t>
      </w:r>
      <w:r w:rsidR="00E170CB"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do të kryhet</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në li</w:t>
      </w:r>
      <w:r w:rsidR="00E170CB" w:rsidRPr="004F2AC3">
        <w:rPr>
          <w:rFonts w:ascii="Garamond" w:hAnsi="Garamond" w:cs="Times New Roman"/>
          <w:color w:val="000000" w:themeColor="text1"/>
          <w:sz w:val="24"/>
          <w:szCs w:val="24"/>
        </w:rPr>
        <w:t>një me metodologjinë e Eurostat</w:t>
      </w:r>
      <w:r w:rsidRPr="004F2AC3">
        <w:rPr>
          <w:rFonts w:ascii="Garamond" w:hAnsi="Garamond" w:cs="Times New Roman"/>
          <w:color w:val="000000" w:themeColor="text1"/>
          <w:sz w:val="24"/>
          <w:szCs w:val="24"/>
        </w:rPr>
        <w:t>it. Objektivi i</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këtij vrojtimi kombëtar për dhunën ndaj grave dhe vajzave është mbledhja dhe krahasimi i të dhënave mbi përvojat personale të grave dhe vajzave për llojet e ndryshme të dhunës që mund të kenë përjetuar gjatë jetës së tyre dhe gjatë 12 muajve të fundit.</w:t>
      </w:r>
    </w:p>
    <w:p w14:paraId="2D3128E9" w14:textId="219159D2"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Treguesit kryesorë:</w:t>
      </w:r>
      <w:r w:rsidRPr="004F2AC3">
        <w:rPr>
          <w:rFonts w:ascii="Garamond" w:hAnsi="Garamond" w:cs="Times New Roman"/>
          <w:color w:val="000000" w:themeColor="text1"/>
          <w:sz w:val="24"/>
          <w:szCs w:val="24"/>
        </w:rPr>
        <w:t xml:space="preserve"> Tregues statistikorë mbi popullsinë më 1 </w:t>
      </w:r>
      <w:r w:rsidR="00E170CB" w:rsidRPr="004F2AC3">
        <w:rPr>
          <w:rFonts w:ascii="Garamond" w:hAnsi="Garamond" w:cs="Times New Roman"/>
          <w:color w:val="000000" w:themeColor="text1"/>
          <w:sz w:val="24"/>
          <w:szCs w:val="24"/>
        </w:rPr>
        <w:t>janar</w:t>
      </w:r>
      <w:r w:rsidRPr="004F2AC3">
        <w:rPr>
          <w:rFonts w:ascii="Garamond" w:hAnsi="Garamond" w:cs="Times New Roman"/>
          <w:color w:val="000000" w:themeColor="text1"/>
          <w:sz w:val="24"/>
          <w:szCs w:val="24"/>
        </w:rPr>
        <w:t>, të detajuar sipas grup</w:t>
      </w:r>
      <w:r w:rsidR="00E170C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moshës, gjinisë, qarqeve, si dhe tregues mbi komponentët e popullsisë</w:t>
      </w:r>
      <w:r w:rsidR="00E170C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lindshmëria, vdekshmëria, shtesa natyrore e popullsisë, migracioni i brendshëm dhe i jashtëm, numri i emigrantëve dhe imigrantëve bazuar në Vrojtimin e Forcave të Punës; Tregues statistikorë të lindshmërisë, vdekshmërisë, martesave dhe divorceve me frekuencë vjetore, si dhe numri i lindjeve dhe i vdekjeve (Shtesa Natyrore e Popullsisë) sipas qarqeve, me frekuencë tremujore; Tregues statistikorë të diasporës shqiptare sipas grup</w:t>
      </w:r>
      <w:r w:rsidR="00E170C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moshës, gjinisë dhe vendit të rezidencës; Tregues statistikorë të projeksioneve të popullsisë sipas grup</w:t>
      </w:r>
      <w:r w:rsidR="00E170C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moshës dhe gjinisë; Tregues statistikorë mbi </w:t>
      </w:r>
      <w:r w:rsidR="00A26622" w:rsidRPr="004F2AC3">
        <w:rPr>
          <w:rFonts w:ascii="Garamond" w:hAnsi="Garamond" w:cs="Times New Roman"/>
          <w:color w:val="000000" w:themeColor="text1"/>
          <w:sz w:val="24"/>
          <w:szCs w:val="24"/>
        </w:rPr>
        <w:t>azil</w:t>
      </w:r>
      <w:r w:rsidRPr="004F2AC3">
        <w:rPr>
          <w:rFonts w:ascii="Garamond" w:hAnsi="Garamond" w:cs="Times New Roman"/>
          <w:color w:val="000000" w:themeColor="text1"/>
          <w:sz w:val="24"/>
          <w:szCs w:val="24"/>
        </w:rPr>
        <w:t>kërkuesit dhe të huajt me leje qëndrimi në Shqipëri sipas grup</w:t>
      </w:r>
      <w:r w:rsidR="00E170C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moshës, gjinisë, motivit të lejes së qëndrimit dhe sipas vendit të origjinës.</w:t>
      </w:r>
      <w:bookmarkStart w:id="7" w:name="_Toc87780200"/>
      <w:bookmarkStart w:id="8" w:name="_Toc186909495"/>
      <w:bookmarkStart w:id="9" w:name="_Toc85380265"/>
      <w:bookmarkStart w:id="10" w:name="_Toc85376933"/>
    </w:p>
    <w:p w14:paraId="51FB39E7" w14:textId="514FA9F2"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r w:rsidRPr="004F2AC3">
        <w:rPr>
          <w:rFonts w:ascii="Garamond" w:eastAsia="Times New Roman" w:hAnsi="Garamond" w:cs="Times New Roman"/>
          <w:b/>
          <w:color w:val="000000" w:themeColor="text1"/>
          <w:sz w:val="24"/>
          <w:szCs w:val="24"/>
        </w:rPr>
        <w:t xml:space="preserve">Përputhshmëria me </w:t>
      </w:r>
      <w:r w:rsidRPr="004F2AC3">
        <w:rPr>
          <w:rFonts w:ascii="Garamond" w:eastAsia="Times New Roman" w:hAnsi="Garamond" w:cs="Times New Roman"/>
          <w:b/>
          <w:i/>
          <w:color w:val="000000" w:themeColor="text1"/>
          <w:sz w:val="24"/>
          <w:szCs w:val="24"/>
        </w:rPr>
        <w:t>acquis</w:t>
      </w:r>
      <w:bookmarkEnd w:id="7"/>
      <w:bookmarkEnd w:id="8"/>
      <w:bookmarkEnd w:id="9"/>
      <w:bookmarkEnd w:id="10"/>
      <w:r w:rsidRPr="004F2AC3">
        <w:rPr>
          <w:rFonts w:ascii="Garamond" w:eastAsia="Times New Roman" w:hAnsi="Garamond" w:cs="Times New Roman"/>
          <w:b/>
          <w:i/>
          <w:color w:val="000000" w:themeColor="text1"/>
          <w:sz w:val="24"/>
          <w:szCs w:val="24"/>
        </w:rPr>
        <w:t xml:space="preserve">: </w:t>
      </w:r>
      <w:r w:rsidRPr="004F2AC3">
        <w:rPr>
          <w:rFonts w:ascii="Garamond" w:eastAsia="Times New Roman" w:hAnsi="Garamond" w:cs="Times New Roman"/>
          <w:i/>
          <w:color w:val="000000" w:themeColor="text1"/>
          <w:sz w:val="24"/>
          <w:szCs w:val="24"/>
        </w:rPr>
        <w:t>Statistikat demografike, të migracionit dhe popullsisë</w:t>
      </w:r>
      <w:r w:rsidRPr="004F2AC3">
        <w:rPr>
          <w:rFonts w:ascii="Garamond" w:eastAsia="Times New Roman" w:hAnsi="Garamond" w:cs="Times New Roman"/>
          <w:color w:val="000000" w:themeColor="text1"/>
          <w:sz w:val="24"/>
          <w:szCs w:val="24"/>
        </w:rPr>
        <w:t xml:space="preserve"> janë pjesërisht të përputhshme me Rregulloren (BE) </w:t>
      </w:r>
      <w:r w:rsidR="00E170CB" w:rsidRPr="004F2AC3">
        <w:rPr>
          <w:rFonts w:ascii="Garamond" w:eastAsia="Times New Roman" w:hAnsi="Garamond" w:cs="Times New Roman"/>
          <w:color w:val="000000" w:themeColor="text1"/>
          <w:sz w:val="24"/>
          <w:szCs w:val="24"/>
        </w:rPr>
        <w:t>nr</w:t>
      </w:r>
      <w:r w:rsidRPr="004F2AC3">
        <w:rPr>
          <w:rFonts w:ascii="Garamond" w:eastAsia="Times New Roman" w:hAnsi="Garamond" w:cs="Times New Roman"/>
          <w:color w:val="000000" w:themeColor="text1"/>
          <w:sz w:val="24"/>
          <w:szCs w:val="24"/>
        </w:rPr>
        <w:t>. 1260/2013. Nga kjo rregullore lind nevoja për të prodhuar tabela më të detajuara për popullsinë me vendbanim të zakonshëm, lindjet e gjalla dhe vdekjet. Të dhënat demografike të siguruara nga INSTAT</w:t>
      </w:r>
      <w:r w:rsidR="00E170CB"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bazohen në përkufizimin e popullsisë banuese, nivelin rajonal NUTS dhe përkufizimet e ngjarjeve jetësore që janë plotësisht në përputhje me Rregulloren e BE </w:t>
      </w:r>
      <w:r w:rsidR="00E170CB"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 1260/2013.</w:t>
      </w:r>
    </w:p>
    <w:p w14:paraId="2DE922CB" w14:textId="7CD3343B"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r w:rsidRPr="004F2AC3">
        <w:rPr>
          <w:rFonts w:ascii="Garamond" w:eastAsia="Times New Roman" w:hAnsi="Garamond" w:cs="Times New Roman"/>
          <w:i/>
          <w:color w:val="000000" w:themeColor="text1"/>
          <w:sz w:val="24"/>
          <w:szCs w:val="24"/>
        </w:rPr>
        <w:t xml:space="preserve">Statistikat e Azilkërkuesve, </w:t>
      </w:r>
      <w:r w:rsidR="00E170CB" w:rsidRPr="004F2AC3">
        <w:rPr>
          <w:rFonts w:ascii="Garamond" w:eastAsia="Times New Roman" w:hAnsi="Garamond" w:cs="Times New Roman"/>
          <w:i/>
          <w:color w:val="000000" w:themeColor="text1"/>
          <w:sz w:val="24"/>
          <w:szCs w:val="24"/>
        </w:rPr>
        <w:t>l</w:t>
      </w:r>
      <w:r w:rsidRPr="004F2AC3">
        <w:rPr>
          <w:rFonts w:ascii="Garamond" w:eastAsia="Times New Roman" w:hAnsi="Garamond" w:cs="Times New Roman"/>
          <w:i/>
          <w:color w:val="000000" w:themeColor="text1"/>
          <w:sz w:val="24"/>
          <w:szCs w:val="24"/>
        </w:rPr>
        <w:t>ejeve të qëndrimit, dhe shtetësisë</w:t>
      </w:r>
      <w:r w:rsidRPr="004F2AC3">
        <w:rPr>
          <w:rFonts w:ascii="Garamond" w:eastAsia="Times New Roman" w:hAnsi="Garamond" w:cs="Times New Roman"/>
          <w:color w:val="000000" w:themeColor="text1"/>
          <w:sz w:val="24"/>
          <w:szCs w:val="24"/>
        </w:rPr>
        <w:t xml:space="preserve"> janë përfshirë për herë të parë në Programin e Statistikave Zyrtare 2017</w:t>
      </w:r>
      <w:r w:rsidR="00E170CB" w:rsidRPr="004F2AC3">
        <w:rPr>
          <w:rFonts w:ascii="Garamond"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2021. Lidhur me statistikat e azilkërkuesve dhe lejeve të qëndrimit edhe pse nuk janë në përputhje me rregulloren, INSTAT</w:t>
      </w:r>
      <w:r w:rsidR="00D630B4"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synon përshtatjen me Rregulloren (KE) </w:t>
      </w:r>
      <w:r w:rsidR="00D630B4"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w:t>
      </w:r>
      <w:r w:rsidR="00D630B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862/2007</w:t>
      </w:r>
      <w:r w:rsidR="00D630B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të Parlamentit Evropian dhe Këshillit</w:t>
      </w:r>
      <w:r w:rsidR="00D630B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datë 11 korrik 2007,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Mbi statistikat për migracionin dhe mbrojtjen ndërkombëtare</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nëpërmjet memorandumeve të bashkëpunimit me institucionet furnizuese të të dhënave administrative për të prodhuar statistika më të mira dhe cilësore për migracionin, azilkërkuesit dhe të huajt, synohet prodhimi i disa treguesve me qëllim transmetimin e tyre për herë të parë në Eurostat.</w:t>
      </w:r>
    </w:p>
    <w:p w14:paraId="6C1CE7BC" w14:textId="31A4E5A9"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1.2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Puna dhe Kostot e Punës</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 </w:t>
      </w:r>
    </w:p>
    <w:p w14:paraId="2BF3006C" w14:textId="21AEBD8D"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Tema 1.2 përbëhet nga dy nëntema: </w:t>
      </w:r>
      <w:r w:rsidRPr="004F2AC3">
        <w:rPr>
          <w:rFonts w:ascii="Garamond" w:hAnsi="Garamond" w:cs="Times New Roman"/>
          <w:i/>
          <w:color w:val="000000" w:themeColor="text1"/>
          <w:sz w:val="24"/>
          <w:szCs w:val="24"/>
        </w:rPr>
        <w:t xml:space="preserve">1.2.1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Punësimi dhe Papunësia</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dhe </w:t>
      </w:r>
      <w:r w:rsidRPr="004F2AC3">
        <w:rPr>
          <w:rFonts w:ascii="Garamond" w:hAnsi="Garamond" w:cs="Times New Roman"/>
          <w:i/>
          <w:color w:val="000000" w:themeColor="text1"/>
          <w:sz w:val="24"/>
          <w:szCs w:val="24"/>
        </w:rPr>
        <w:t xml:space="preserve">1.2.2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Kostoja e punës dhe të ardhurat nga puna</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Kjo temë siguron informacion tremujor dhe vjetor mbi karakteristikat e tregut të punës dhe variablave socio-demografikë të individëve dhe familjeve. Përgjegjës për prodhimin e statistikave sipas kësaj teme është INSTAT</w:t>
      </w:r>
      <w:r w:rsidR="00D630B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Për nëntemën e parë, INSTAT</w:t>
      </w:r>
      <w:r w:rsidR="00D630B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kryejë një aktivitet statistikor me frekuencë tremujore mbi statistikat e tregut të punës, për prodhimin e së cilave do të shfrytëzohen të dhënat nga vrojtimi i forcave të punës. Për nëntemën e dytë, INSTAT</w:t>
      </w:r>
      <w:r w:rsidR="00D630B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prodhojë statistikat mbi pagat me frekuencë tremujore dhe vjetore, si dhe vrojtimin e k</w:t>
      </w:r>
      <w:r w:rsidR="00D630B4" w:rsidRPr="004F2AC3">
        <w:rPr>
          <w:rFonts w:ascii="Garamond" w:hAnsi="Garamond" w:cs="Times New Roman"/>
          <w:color w:val="000000" w:themeColor="text1"/>
          <w:sz w:val="24"/>
          <w:szCs w:val="24"/>
        </w:rPr>
        <w:t>ostos së punës, për vitin 2025.</w:t>
      </w:r>
    </w:p>
    <w:p w14:paraId="24640315" w14:textId="038C815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Tregues statistikorë mbi forcat e punës, punësimin dhe papunësinë sipas gjinisë, aktivitetit ekonomik, grup-profesioneve, grup-moshave, nivelit arsimor, në nivel qarku; Tregues statistikorë mbi strukturën e kostos së punës sipas aktivitetit ekonomik, madhësisë dhe pronësisë së ndërmarrjes etj</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Tregues statistikorë admin</w:t>
      </w:r>
      <w:r w:rsidR="00D630B4" w:rsidRPr="004F2AC3">
        <w:rPr>
          <w:rFonts w:ascii="Garamond" w:hAnsi="Garamond" w:cs="Times New Roman"/>
          <w:color w:val="000000" w:themeColor="text1"/>
          <w:sz w:val="24"/>
          <w:szCs w:val="24"/>
        </w:rPr>
        <w:t>istrativ</w:t>
      </w:r>
      <w:r w:rsidRPr="004F2AC3">
        <w:rPr>
          <w:rFonts w:ascii="Garamond" w:hAnsi="Garamond" w:cs="Times New Roman"/>
          <w:color w:val="000000" w:themeColor="text1"/>
          <w:sz w:val="24"/>
          <w:szCs w:val="24"/>
        </w:rPr>
        <w:t xml:space="preserve"> mbi pagën mesatare mujore për të punësuarit me pagë në sektorin shtetëror dhe për të gjithë sektorët ekonomikë sipas aktiviteteve ekonomike dhe grup-profesioneve, hendekun gjinor në paga sipas aktiviteteve ekonomike dhe grup-profesioneve dhe treguesit e strukturës së të ardhurave nga puna.</w:t>
      </w:r>
    </w:p>
    <w:p w14:paraId="2BD6F9EC" w14:textId="5334203B"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lang w:eastAsia="en-GB"/>
        </w:rPr>
      </w:pPr>
      <w:r w:rsidRPr="004F2AC3">
        <w:rPr>
          <w:rFonts w:ascii="Garamond" w:hAnsi="Garamond" w:cs="Times New Roman"/>
          <w:b/>
          <w:bCs/>
          <w:iCs/>
          <w:color w:val="000000" w:themeColor="text1"/>
          <w:sz w:val="24"/>
          <w:szCs w:val="24"/>
        </w:rPr>
        <w:t xml:space="preserve">Përputhshmëria me </w:t>
      </w:r>
      <w:r w:rsidRPr="004F2AC3">
        <w:rPr>
          <w:rFonts w:ascii="Garamond" w:hAnsi="Garamond" w:cs="Times New Roman"/>
          <w:b/>
          <w:bCs/>
          <w:i/>
          <w:iCs/>
          <w:color w:val="000000" w:themeColor="text1"/>
          <w:sz w:val="24"/>
          <w:szCs w:val="24"/>
        </w:rPr>
        <w:t>acquis</w:t>
      </w:r>
      <w:r w:rsidRPr="004F2AC3">
        <w:rPr>
          <w:rFonts w:ascii="Garamond" w:hAnsi="Garamond" w:cs="Times New Roman"/>
          <w:b/>
          <w:bCs/>
          <w:iCs/>
          <w:color w:val="000000" w:themeColor="text1"/>
          <w:sz w:val="24"/>
          <w:szCs w:val="24"/>
        </w:rPr>
        <w:t xml:space="preserve">: </w:t>
      </w:r>
      <w:r w:rsidRPr="004F2AC3">
        <w:rPr>
          <w:rFonts w:ascii="Garamond" w:hAnsi="Garamond" w:cs="Times New Roman"/>
          <w:i/>
          <w:color w:val="000000" w:themeColor="text1"/>
          <w:sz w:val="24"/>
          <w:szCs w:val="24"/>
          <w:lang w:eastAsia="en-GB"/>
        </w:rPr>
        <w:t>Statistikat e forcave të punës</w:t>
      </w:r>
      <w:r w:rsidRPr="004F2AC3">
        <w:rPr>
          <w:rFonts w:ascii="Garamond" w:hAnsi="Garamond" w:cs="Times New Roman"/>
          <w:color w:val="000000" w:themeColor="text1"/>
          <w:sz w:val="24"/>
          <w:szCs w:val="24"/>
          <w:lang w:eastAsia="en-GB"/>
        </w:rPr>
        <w:t xml:space="preserve"> lidhur me punësimin dhe papunësinë bazohen në Rregulloren kuadër (KE) </w:t>
      </w:r>
      <w:r w:rsidR="00D630B4"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 xml:space="preserve">r. 1700/2019 dhe në rregulloret implementuese përkatëse. Aktualisht, niveli i përputhshmërisë me këto rregullore është i pjesshëm. Klasifikimet mbi të cilat bazohet përpunimi i të dhënave janë në përputhje përkatësisht me klasifikimet ISCO-08 për profesionet dhe NVE Rev2, për aktivitetet ekonomike. </w:t>
      </w:r>
    </w:p>
    <w:p w14:paraId="713E9C89" w14:textId="304907FB" w:rsidR="000F566F" w:rsidRPr="004F2AC3" w:rsidRDefault="000F566F" w:rsidP="000F566F">
      <w:pPr>
        <w:spacing w:after="0" w:line="240" w:lineRule="auto"/>
        <w:ind w:firstLine="284"/>
        <w:contextualSpacing/>
        <w:jc w:val="both"/>
        <w:rPr>
          <w:rFonts w:ascii="Garamond" w:hAnsi="Garamond" w:cs="Times New Roman"/>
          <w:b/>
          <w:bCs/>
          <w:iCs/>
          <w:color w:val="000000" w:themeColor="text1"/>
          <w:sz w:val="24"/>
          <w:szCs w:val="24"/>
        </w:rPr>
      </w:pPr>
      <w:r w:rsidRPr="004F2AC3">
        <w:rPr>
          <w:rFonts w:ascii="Garamond" w:hAnsi="Garamond" w:cs="Times New Roman"/>
          <w:i/>
          <w:color w:val="000000" w:themeColor="text1"/>
          <w:sz w:val="24"/>
          <w:szCs w:val="24"/>
          <w:lang w:eastAsia="en-GB"/>
        </w:rPr>
        <w:t>Statistikat strukturore mbi koston e punës dhe të ardhurave nga puna</w:t>
      </w:r>
      <w:r w:rsidRPr="004F2AC3">
        <w:rPr>
          <w:rFonts w:ascii="Garamond" w:hAnsi="Garamond" w:cs="Times New Roman"/>
          <w:color w:val="000000" w:themeColor="text1"/>
          <w:sz w:val="24"/>
          <w:szCs w:val="24"/>
          <w:lang w:eastAsia="en-GB"/>
        </w:rPr>
        <w:t xml:space="preserve"> bazohen në Rregulloret (KE) </w:t>
      </w:r>
      <w:r w:rsidR="00D630B4" w:rsidRPr="004F2AC3">
        <w:rPr>
          <w:rFonts w:ascii="Garamond" w:hAnsi="Garamond" w:cs="Times New Roman"/>
          <w:color w:val="000000" w:themeColor="text1"/>
          <w:sz w:val="24"/>
          <w:szCs w:val="24"/>
          <w:lang w:eastAsia="en-GB"/>
        </w:rPr>
        <w:t>nr. 530/1999</w:t>
      </w:r>
      <w:r w:rsidRPr="004F2AC3">
        <w:rPr>
          <w:rFonts w:ascii="Garamond" w:hAnsi="Garamond" w:cs="Times New Roman"/>
          <w:color w:val="000000" w:themeColor="text1"/>
          <w:sz w:val="24"/>
          <w:szCs w:val="24"/>
          <w:lang w:eastAsia="en-GB"/>
        </w:rPr>
        <w:t xml:space="preserve"> dhe </w:t>
      </w:r>
      <w:r w:rsidR="00D630B4"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r. 1737/2005</w:t>
      </w:r>
      <w:r w:rsidR="00D630B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Mbi Vrojtimin e Kostos së Punës 2024</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dhe janë</w:t>
      </w:r>
      <w:r w:rsidRPr="004F2AC3">
        <w:rPr>
          <w:rFonts w:ascii="Garamond" w:eastAsia="Times New Roman" w:hAnsi="Garamond" w:cs="Times New Roman"/>
          <w:color w:val="000000" w:themeColor="text1"/>
          <w:sz w:val="24"/>
          <w:szCs w:val="24"/>
        </w:rPr>
        <w:t xml:space="preserve"> pjesërisht në përputhje </w:t>
      </w:r>
      <w:r w:rsidRPr="000F1931">
        <w:rPr>
          <w:rFonts w:ascii="Garamond" w:eastAsia="Times New Roman" w:hAnsi="Garamond" w:cs="Times New Roman"/>
          <w:color w:val="000000" w:themeColor="text1"/>
          <w:sz w:val="24"/>
          <w:szCs w:val="24"/>
        </w:rPr>
        <w:t>me rregulloret përkatëse.</w:t>
      </w:r>
      <w:r w:rsidRPr="000F1931">
        <w:rPr>
          <w:rFonts w:ascii="Garamond" w:hAnsi="Garamond" w:cs="Times New Roman"/>
          <w:color w:val="000000" w:themeColor="text1"/>
          <w:sz w:val="24"/>
          <w:szCs w:val="24"/>
          <w:lang w:eastAsia="en-GB"/>
        </w:rPr>
        <w:t xml:space="preserve"> </w:t>
      </w:r>
    </w:p>
    <w:p w14:paraId="77430EB0" w14:textId="33555DEC"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1.3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Arsimi dhe trajnimet</w:t>
      </w:r>
      <w:r w:rsidR="00D32864" w:rsidRPr="004F2AC3">
        <w:rPr>
          <w:rFonts w:ascii="Garamond" w:eastAsia="Times New Roman" w:hAnsi="Garamond" w:cs="Times New Roman"/>
          <w:b/>
          <w:color w:val="000000" w:themeColor="text1"/>
          <w:sz w:val="24"/>
          <w:szCs w:val="24"/>
        </w:rPr>
        <w:t>”</w:t>
      </w:r>
    </w:p>
    <w:p w14:paraId="62976714"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Qëllimi kryesor i kësaj teme është që të sigurojë të dhëna të krahasueshme dhe të harmonizuara, në kohë dhe me cilësi të lartë mbi arsimin zyrtar publik dhe privat.</w:t>
      </w:r>
    </w:p>
    <w:p w14:paraId="655A4EE4" w14:textId="7BDF3DAC"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Kjo temë përbëhet nga 2 nëntema: </w:t>
      </w:r>
      <w:r w:rsidRPr="004F2AC3">
        <w:rPr>
          <w:rFonts w:ascii="Garamond" w:hAnsi="Garamond" w:cs="Times New Roman"/>
          <w:i/>
          <w:color w:val="000000" w:themeColor="text1"/>
          <w:sz w:val="24"/>
          <w:szCs w:val="24"/>
        </w:rPr>
        <w:t>1.3.1</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Arsimi</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e cila përfshin tre aktivitete statistikore me frekuencë vjetore, të cilat duhet të realizohen nga INSTAT</w:t>
      </w:r>
      <w:r w:rsidR="00D630B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statistika të regjistrimeve në arsim, statistika të diplomimeve në arsim dhe statistika të arsimit sipas fushave të studimit</w:t>
      </w:r>
      <w:r w:rsidR="00D630B4" w:rsidRPr="004F2AC3">
        <w:rPr>
          <w:rFonts w:ascii="Garamond" w:hAnsi="Garamond" w:cs="Times New Roman"/>
          <w:color w:val="000000" w:themeColor="text1"/>
          <w:sz w:val="24"/>
          <w:szCs w:val="24"/>
        </w:rPr>
        <w:t xml:space="preserve"> në arsimin e lartë</w:t>
      </w:r>
      <w:r w:rsidRPr="004F2AC3">
        <w:rPr>
          <w:rFonts w:ascii="Garamond" w:hAnsi="Garamond" w:cs="Times New Roman"/>
          <w:color w:val="000000" w:themeColor="text1"/>
          <w:sz w:val="24"/>
          <w:szCs w:val="24"/>
        </w:rPr>
        <w:t>. Të dhënat sigurohen nga Ministria e Arsimit</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 xml:space="preserve">dhe Ministria e Ekonomisë dhe Inovacionit, e cila mbulon statistikat mbi arsimin profesional; 1.3.2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Trajnimi profesional dhe të mësuarit gjatë gjithë jetës</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që përfshin kryesisht</w:t>
      </w:r>
      <w:r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statistika nga vrojtimi i arsimit të</w:t>
      </w:r>
      <w:r w:rsidR="00D630B4" w:rsidRPr="004F2AC3">
        <w:rPr>
          <w:rFonts w:ascii="Garamond" w:hAnsi="Garamond" w:cs="Times New Roman"/>
          <w:color w:val="000000" w:themeColor="text1"/>
          <w:sz w:val="24"/>
          <w:szCs w:val="24"/>
        </w:rPr>
        <w:t xml:space="preserve"> të rriturve, me periodicitet 5-</w:t>
      </w:r>
      <w:r w:rsidRPr="004F2AC3">
        <w:rPr>
          <w:rFonts w:ascii="Garamond" w:hAnsi="Garamond" w:cs="Times New Roman"/>
          <w:color w:val="000000" w:themeColor="text1"/>
          <w:sz w:val="24"/>
          <w:szCs w:val="24"/>
        </w:rPr>
        <w:t>vjeçar.</w:t>
      </w:r>
    </w:p>
    <w:p w14:paraId="54917EDB" w14:textId="0C439C9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INSTAT</w:t>
      </w:r>
      <w:r w:rsidR="00D630B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gjatë vitit 2026</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do vijojë punën për plotësimin dhe transmetimin e pyetësorëve të UNESCO </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OECD </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Eurostat me të dhëna të detajuara për arsimin, për vitin akademik 2024</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2025 për diplomimet dhe për vitin akademik 2025</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2026 për regjistrimet.</w:t>
      </w:r>
    </w:p>
    <w:p w14:paraId="6CBC8553" w14:textId="3D637E76"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Treguesit kryesorë:</w:t>
      </w:r>
      <w:r w:rsidRPr="004F2AC3">
        <w:rPr>
          <w:rFonts w:ascii="Garamond" w:hAnsi="Garamond" w:cs="Times New Roman"/>
          <w:color w:val="000000" w:themeColor="text1"/>
          <w:sz w:val="24"/>
          <w:szCs w:val="24"/>
        </w:rPr>
        <w:t xml:space="preserve"> Tregues statistikorë mbi regjistrimet që llogariten me bazë vjetore, sipas niveleve të arsimit, gjinisë, institucioneve publike/private, fushave të studimit (arsim i lartë), stafit mësimdhënës, qarqeve, etj</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Tregues statistikorë mbi diplomimet që llogariten me bazë vjetore, sipas niveleve të arsimit, gjinisë, institucioneve publike/private, qarqeve, fushave të studimit (arsimi lartë), etj</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Tregues statistikorë mbi shpenzimet gjithsej të buxhetit të shtetit për arsimin dhe përqindjen ndaj Prodhimit të Brendshëm Bruto (PBB); Tregues statistikorë</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mbi pjesëmarrjen e popullsisë 25</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64 vjeç në arsim dhe trajnim, sipas gjinisë, grup</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moshave dhe nivelit arsimor të arritur, të përllogaritur bazuar në Vrojtimin e Forcave të Punës. Tregues mbi arsimimin e të rriturve bazuar në Vrojtimin e Arsimit të të Rriturve.</w:t>
      </w:r>
    </w:p>
    <w:p w14:paraId="1753C554" w14:textId="3C13CD78" w:rsidR="000F566F" w:rsidRPr="004F2AC3" w:rsidRDefault="000F566F" w:rsidP="000F566F">
      <w:pPr>
        <w:spacing w:after="0" w:line="240" w:lineRule="auto"/>
        <w:ind w:firstLine="284"/>
        <w:jc w:val="both"/>
        <w:rPr>
          <w:rFonts w:ascii="Garamond" w:hAnsi="Garamond" w:cs="Times New Roman"/>
          <w:color w:val="000000" w:themeColor="text1"/>
          <w:sz w:val="24"/>
          <w:szCs w:val="24"/>
        </w:rPr>
      </w:pPr>
      <w:bookmarkStart w:id="11" w:name="_Toc85376950"/>
      <w:bookmarkStart w:id="12" w:name="_Toc85380282"/>
      <w:bookmarkStart w:id="13" w:name="_Toc186909512"/>
      <w:bookmarkStart w:id="14" w:name="_Toc87780216"/>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acquis</w:t>
      </w:r>
      <w:bookmarkEnd w:id="11"/>
      <w:bookmarkEnd w:id="12"/>
      <w:bookmarkEnd w:id="13"/>
      <w:bookmarkEnd w:id="14"/>
      <w:r w:rsidRPr="004F2AC3">
        <w:rPr>
          <w:rFonts w:ascii="Garamond" w:hAnsi="Garamond" w:cs="Times New Roman"/>
          <w:b/>
          <w:color w:val="000000" w:themeColor="text1"/>
          <w:sz w:val="24"/>
          <w:szCs w:val="24"/>
        </w:rPr>
        <w:t>:</w:t>
      </w:r>
      <w:r w:rsidRPr="004F2AC3">
        <w:rPr>
          <w:rFonts w:ascii="Garamond" w:hAnsi="Garamond" w:cs="Times New Roman"/>
          <w:color w:val="000000" w:themeColor="text1"/>
          <w:sz w:val="24"/>
          <w:szCs w:val="24"/>
        </w:rPr>
        <w:t xml:space="preserve"> </w:t>
      </w:r>
      <w:r w:rsidRPr="004F2AC3">
        <w:rPr>
          <w:rFonts w:ascii="Garamond" w:eastAsia="Times New Roman" w:hAnsi="Garamond" w:cs="Times New Roman"/>
          <w:i/>
          <w:color w:val="000000" w:themeColor="text1"/>
          <w:sz w:val="24"/>
          <w:szCs w:val="24"/>
        </w:rPr>
        <w:t>Statistikat e arsimit</w:t>
      </w:r>
      <w:r w:rsidRPr="004F2AC3">
        <w:rPr>
          <w:rFonts w:ascii="Garamond" w:eastAsia="Times New Roman" w:hAnsi="Garamond" w:cs="Times New Roman"/>
          <w:color w:val="000000" w:themeColor="text1"/>
          <w:sz w:val="24"/>
          <w:szCs w:val="24"/>
        </w:rPr>
        <w:t xml:space="preserve"> janë pjesërisht në përputhje me statistikat evropiane të kësaj fushe. INSTAT</w:t>
      </w:r>
      <w:r w:rsidR="00D630B4"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plotëson dhe transmeton në Eurostat pyetësorin e përbashkët UNESCO </w:t>
      </w:r>
      <w:r w:rsidR="00D630B4" w:rsidRPr="004F2AC3">
        <w:rPr>
          <w:rFonts w:ascii="Garamond"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OECD – Eurostat. Ndërkohë, duke filluar nga viti 2026, parashikohet</w:t>
      </w:r>
      <w:r w:rsidR="00684E85"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të përpilohen</w:t>
      </w:r>
      <w:r w:rsidR="00684E85"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të dhënat mbi të regjistruarit për herë të parë, lëvizshmërinë e të mësuarit, si dhe në përpilimin e pyetësorit me të dhëna rajonale.</w:t>
      </w:r>
    </w:p>
    <w:p w14:paraId="03C5EAE1" w14:textId="15E5258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Të dhënat e pyetësorit të përbashkët të UNESCO </w:t>
      </w:r>
      <w:r w:rsidR="00D630B4" w:rsidRPr="004F2AC3">
        <w:rPr>
          <w:rFonts w:ascii="Garamond"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OECD </w:t>
      </w:r>
      <w:r w:rsidR="00D630B4" w:rsidRPr="004F2AC3">
        <w:rPr>
          <w:rFonts w:ascii="Garamond"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Eurostat do të transmetohen në kohë në Eurostat në vitin 2026. Përpjekjet do të </w:t>
      </w:r>
      <w:r w:rsidR="00D630B4" w:rsidRPr="004F2AC3">
        <w:rPr>
          <w:rFonts w:ascii="Garamond" w:eastAsia="Times New Roman" w:hAnsi="Garamond" w:cs="Times New Roman"/>
          <w:color w:val="000000" w:themeColor="text1"/>
          <w:sz w:val="24"/>
          <w:szCs w:val="24"/>
        </w:rPr>
        <w:t>përqendrohen</w:t>
      </w:r>
      <w:r w:rsidRPr="004F2AC3">
        <w:rPr>
          <w:rFonts w:ascii="Garamond" w:eastAsia="Times New Roman" w:hAnsi="Garamond" w:cs="Times New Roman"/>
          <w:color w:val="000000" w:themeColor="text1"/>
          <w:sz w:val="24"/>
          <w:szCs w:val="24"/>
        </w:rPr>
        <w:t xml:space="preserve"> në përpilimin e të dhënave mbi të regjistruarit për herë të parë, lëvizshmërinë e të mësuarit, si dhe në përpilimin e pyetësorit me të dhëna rajonale.</w:t>
      </w:r>
    </w:p>
    <w:p w14:paraId="5AD07887" w14:textId="4641AD12"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r w:rsidRPr="004F2AC3">
        <w:rPr>
          <w:rFonts w:ascii="Garamond" w:hAnsi="Garamond" w:cs="Times New Roman"/>
          <w:i/>
          <w:color w:val="000000" w:themeColor="text1"/>
          <w:sz w:val="24"/>
          <w:szCs w:val="24"/>
        </w:rPr>
        <w:t>Statistikat e formimit profesional dhe të të mësuarit gjatë</w:t>
      </w:r>
      <w:r w:rsidR="00D630B4" w:rsidRPr="004F2AC3">
        <w:rPr>
          <w:rFonts w:ascii="Garamond" w:hAnsi="Garamond" w:cs="Times New Roman"/>
          <w:i/>
          <w:color w:val="000000" w:themeColor="text1"/>
          <w:sz w:val="24"/>
          <w:szCs w:val="24"/>
        </w:rPr>
        <w:t xml:space="preserve"> të</w:t>
      </w:r>
      <w:r w:rsidRPr="004F2AC3">
        <w:rPr>
          <w:rFonts w:ascii="Garamond" w:hAnsi="Garamond" w:cs="Times New Roman"/>
          <w:i/>
          <w:color w:val="000000" w:themeColor="text1"/>
          <w:sz w:val="24"/>
          <w:szCs w:val="24"/>
        </w:rPr>
        <w:t xml:space="preserve"> gjithë jetës</w:t>
      </w:r>
      <w:r w:rsidRPr="004F2AC3">
        <w:rPr>
          <w:rFonts w:ascii="Garamond" w:hAnsi="Garamond" w:cs="Times New Roman"/>
          <w:color w:val="000000" w:themeColor="text1"/>
          <w:sz w:val="24"/>
          <w:szCs w:val="24"/>
        </w:rPr>
        <w:t xml:space="preserve"> janë pjesërisht në përputhje me rregullore</w:t>
      </w:r>
      <w:r w:rsidR="00D630B4"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e Komisionit Evropian (KE) </w:t>
      </w:r>
      <w:r w:rsidR="00D630B4"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 452/2008</w:t>
      </w:r>
      <w:r w:rsidR="00D630B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prodhimin dhe zhvillimin e statistikave të arsimit dhe të të mësuarit</w:t>
      </w:r>
      <w:r w:rsidR="00D630B4" w:rsidRPr="004F2AC3">
        <w:rPr>
          <w:rFonts w:ascii="Garamond" w:eastAsia="Times New Roman" w:hAnsi="Garamond" w:cs="Times New Roman"/>
          <w:color w:val="000000" w:themeColor="text1"/>
          <w:sz w:val="24"/>
          <w:szCs w:val="24"/>
        </w:rPr>
        <w:t xml:space="preserve"> gjatë </w:t>
      </w:r>
      <w:r w:rsidRPr="004F2AC3">
        <w:rPr>
          <w:rFonts w:ascii="Garamond" w:eastAsia="Times New Roman" w:hAnsi="Garamond" w:cs="Times New Roman"/>
          <w:color w:val="000000" w:themeColor="text1"/>
          <w:sz w:val="24"/>
          <w:szCs w:val="24"/>
        </w:rPr>
        <w:t>gjithë jetës</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Shqipëria nuk ka kryer ende një Vrojtim të Formimit Profesional të Vazhdueshëm (CVTS) dhe nuk ka plane për ta zbatuar atë në një të ardhme të afërt.</w:t>
      </w:r>
    </w:p>
    <w:p w14:paraId="1EAD5D8D" w14:textId="6544F9BD"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1.4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Shëndetësia</w:t>
      </w:r>
      <w:r w:rsidR="00D32864" w:rsidRPr="004F2AC3">
        <w:rPr>
          <w:rFonts w:ascii="Garamond" w:eastAsia="Times New Roman" w:hAnsi="Garamond" w:cs="Times New Roman"/>
          <w:b/>
          <w:color w:val="000000" w:themeColor="text1"/>
          <w:sz w:val="24"/>
          <w:szCs w:val="24"/>
        </w:rPr>
        <w:t>”</w:t>
      </w:r>
    </w:p>
    <w:p w14:paraId="7BEAA44A"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Qëllimi kryesor i statistikave të shëndetësisë është që të sigurojnë të dhëna të krahasueshme dhe të harmonizuara, në kohë dhe me cilësi të lartë të treguesve statistikorë mbi shëndetin publik.</w:t>
      </w:r>
    </w:p>
    <w:p w14:paraId="73ADA251" w14:textId="199F93A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Kjo temë përbëhet nga nëntema </w:t>
      </w:r>
      <w:r w:rsidRPr="004F2AC3">
        <w:rPr>
          <w:rFonts w:ascii="Garamond" w:hAnsi="Garamond" w:cs="Times New Roman"/>
          <w:i/>
          <w:color w:val="000000" w:themeColor="text1"/>
          <w:sz w:val="24"/>
          <w:szCs w:val="24"/>
        </w:rPr>
        <w:t xml:space="preserve">1.4.1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Shëndeti publik</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dhe</w:t>
      </w:r>
      <w:r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 xml:space="preserve">nëntema </w:t>
      </w:r>
      <w:r w:rsidRPr="004F2AC3">
        <w:rPr>
          <w:rFonts w:ascii="Garamond" w:hAnsi="Garamond" w:cs="Times New Roman"/>
          <w:i/>
          <w:color w:val="000000" w:themeColor="text1"/>
          <w:sz w:val="24"/>
          <w:szCs w:val="24"/>
        </w:rPr>
        <w:t xml:space="preserve">1.4.2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Statistikat e shëndetit dhe sigurisë në punë</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Për realizimin e nëntemës së parë</w:t>
      </w:r>
      <w:r w:rsidR="00CF630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INSTAT</w:t>
      </w:r>
      <w:r w:rsidR="00CF630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kryejë dy aktiviteteve statistikore me frekuencë vjetore: statistikat mbi shkaqet e vdekjeve dhe statistikat mbi shëndetin publik. Për statistikat e shkaqeve të vdekjeve do të përdoret si burimi i të dhënave administrative Drejtoria e Përgjithshme e Gjendjes Civile. Statistikat e shkaqeve të vdekjeve janë përpunuar dhe publikuar</w:t>
      </w:r>
      <w:r w:rsidR="00CF630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duke u bazuar në klasifikimin e sëmundshmërisë ICD-9, kjo pasi mjekët ende përdorin këtë klasifikim në skedat e vdekjeve edhe pse tashmë është miratuar ICD-10. Gjithashtu</w:t>
      </w:r>
      <w:r w:rsidR="00CF630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në sistemin e gjendjes civile në të cilin</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regjistrohet skeda e vdekjes me</w:t>
      </w:r>
      <w:r w:rsidR="00CF6302" w:rsidRPr="004F2AC3">
        <w:rPr>
          <w:rFonts w:ascii="Garamond" w:hAnsi="Garamond" w:cs="Times New Roman"/>
          <w:color w:val="000000" w:themeColor="text1"/>
          <w:sz w:val="24"/>
          <w:szCs w:val="24"/>
        </w:rPr>
        <w:t xml:space="preserve"> shkakun e sëmu</w:t>
      </w:r>
      <w:r w:rsidRPr="004F2AC3">
        <w:rPr>
          <w:rFonts w:ascii="Garamond" w:hAnsi="Garamond" w:cs="Times New Roman"/>
          <w:color w:val="000000" w:themeColor="text1"/>
          <w:sz w:val="24"/>
          <w:szCs w:val="24"/>
        </w:rPr>
        <w:t xml:space="preserve">ndshmërisë, regjistrimi bëhet vetëm me numra, ndërkohë që klasifikimi i ICD-10 përdor </w:t>
      </w:r>
      <w:r w:rsidR="00CF6302" w:rsidRPr="004F2AC3">
        <w:rPr>
          <w:rFonts w:ascii="Garamond" w:hAnsi="Garamond" w:cs="Times New Roman"/>
          <w:color w:val="000000" w:themeColor="text1"/>
          <w:sz w:val="24"/>
          <w:szCs w:val="24"/>
        </w:rPr>
        <w:t>germa</w:t>
      </w:r>
      <w:r w:rsidRPr="004F2AC3">
        <w:rPr>
          <w:rFonts w:ascii="Garamond" w:hAnsi="Garamond" w:cs="Times New Roman"/>
          <w:color w:val="000000" w:themeColor="text1"/>
          <w:sz w:val="24"/>
          <w:szCs w:val="24"/>
        </w:rPr>
        <w:t xml:space="preserve"> dhe numra. </w:t>
      </w:r>
      <w:r w:rsidR="00CF6302" w:rsidRPr="004F2AC3">
        <w:rPr>
          <w:rFonts w:ascii="Garamond" w:hAnsi="Garamond" w:cs="Times New Roman"/>
          <w:color w:val="000000" w:themeColor="text1"/>
          <w:sz w:val="24"/>
          <w:szCs w:val="24"/>
        </w:rPr>
        <w:t>Me gjithë</w:t>
      </w:r>
      <w:r w:rsidRPr="004F2AC3">
        <w:rPr>
          <w:rFonts w:ascii="Garamond" w:hAnsi="Garamond" w:cs="Times New Roman"/>
          <w:color w:val="000000" w:themeColor="text1"/>
          <w:sz w:val="24"/>
          <w:szCs w:val="24"/>
        </w:rPr>
        <w:t xml:space="preserve"> problematikat, INSTAT</w:t>
      </w:r>
      <w:r w:rsidR="00CF630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në vitin 2025</w:t>
      </w:r>
      <w:r w:rsidR="00CF630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kreu për herë të parë një hartëzim të shkakut të vdekjes nga ICD-9 në ICD-10, duke grupuar sëmundjet në 20 grup</w:t>
      </w:r>
      <w:r w:rsidR="00CF630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sëmundje kryesore. Ky ushtrim do të kryhet dhe në vijim për të kuptuar konsistencën, saktësinë dhe tendencat kryesore. Për kryerjen e aktivitetit mbi statistikat e shëndetit publik do të përdoren të dhënat administrative që sigurohen nga Ministria e Shëndetësisë dhe </w:t>
      </w:r>
      <w:r w:rsidR="00CF6302" w:rsidRPr="004F2AC3">
        <w:rPr>
          <w:rFonts w:ascii="Garamond" w:hAnsi="Garamond" w:cs="Times New Roman"/>
          <w:color w:val="000000" w:themeColor="text1"/>
          <w:sz w:val="24"/>
          <w:szCs w:val="24"/>
        </w:rPr>
        <w:t>Mirëqenies</w:t>
      </w:r>
      <w:r w:rsidRPr="004F2AC3">
        <w:rPr>
          <w:rFonts w:ascii="Garamond" w:hAnsi="Garamond" w:cs="Times New Roman"/>
          <w:color w:val="000000" w:themeColor="text1"/>
          <w:sz w:val="24"/>
          <w:szCs w:val="24"/>
        </w:rPr>
        <w:t xml:space="preserve"> Sociale, Instituti i Shëndetit Publik dhe Fondi i Sigurimit të Detyrueshëm të Kujdesit Shëndetësor. Për realizimin e nëntemës së dytë, INSTAT</w:t>
      </w:r>
      <w:r w:rsidR="00CF630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kryejë aktivitetin mbi </w:t>
      </w:r>
      <w:r w:rsidR="00CF6302" w:rsidRPr="004F2AC3">
        <w:rPr>
          <w:rFonts w:ascii="Garamond" w:hAnsi="Garamond" w:cs="Times New Roman"/>
          <w:color w:val="000000" w:themeColor="text1"/>
          <w:sz w:val="24"/>
          <w:szCs w:val="24"/>
        </w:rPr>
        <w:t xml:space="preserve">statistikat </w:t>
      </w:r>
      <w:r w:rsidRPr="004F2AC3">
        <w:rPr>
          <w:rFonts w:ascii="Garamond" w:hAnsi="Garamond" w:cs="Times New Roman"/>
          <w:color w:val="000000" w:themeColor="text1"/>
          <w:sz w:val="24"/>
          <w:szCs w:val="24"/>
        </w:rPr>
        <w:t>e shëndetit dhe sigurisë në punë</w:t>
      </w:r>
      <w:r w:rsidR="00CF630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duke e pasuruar më tej me të dhëna nënfushën </w:t>
      </w:r>
      <w:r w:rsidR="00CF6302" w:rsidRPr="004F2AC3">
        <w:rPr>
          <w:rFonts w:ascii="Garamond" w:hAnsi="Garamond" w:cs="Times New Roman"/>
          <w:color w:val="000000" w:themeColor="text1"/>
          <w:sz w:val="24"/>
          <w:szCs w:val="24"/>
        </w:rPr>
        <w:t>e statistikave të shëndetësisë.</w:t>
      </w:r>
    </w:p>
    <w:p w14:paraId="6738EBF1" w14:textId="3A5C2979"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Treguesit kryesorë:</w:t>
      </w:r>
      <w:r w:rsidRPr="004F2AC3">
        <w:rPr>
          <w:rFonts w:ascii="Garamond" w:hAnsi="Garamond" w:cs="Times New Roman"/>
          <w:color w:val="000000" w:themeColor="text1"/>
          <w:sz w:val="24"/>
          <w:szCs w:val="24"/>
        </w:rPr>
        <w:t xml:space="preserve"> Tregues mbi shkaqet e vdekjeve me frekuencë vjetore sipas grup</w:t>
      </w:r>
      <w:r w:rsidR="00CF630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sëmundjeve bazuar në klasifikimin ndërkombëtar (ICD-9), sipas gjinisë, grup</w:t>
      </w:r>
      <w:r w:rsidR="00CF630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moshës dhe qarqeve; Tregues statistikorë mbi shërbimin e institucioneve me shtretër, konsultorin e gruas dhe fëmijës, aktivitetin e qendrave shëndetësore; abortet sipas grup</w:t>
      </w:r>
      <w:r w:rsidR="00CF630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moshave të nënës, nivelit arsimor të nënës; të dhëna mbi aftësinë e kufizuar; tregues mbi shënd</w:t>
      </w:r>
      <w:r w:rsidR="00CF6302" w:rsidRPr="004F2AC3">
        <w:rPr>
          <w:rFonts w:ascii="Garamond" w:hAnsi="Garamond" w:cs="Times New Roman"/>
          <w:color w:val="000000" w:themeColor="text1"/>
          <w:sz w:val="24"/>
          <w:szCs w:val="24"/>
        </w:rPr>
        <w:t>etin dhe sigurinë në punë, etj.</w:t>
      </w:r>
    </w:p>
    <w:p w14:paraId="0DC079C2" w14:textId="31C96E19"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bookmarkStart w:id="15" w:name="_Toc85376959"/>
      <w:bookmarkStart w:id="16" w:name="_Toc85380291"/>
      <w:bookmarkStart w:id="17" w:name="_Toc186909521"/>
      <w:bookmarkStart w:id="18" w:name="_Toc87780224"/>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acquis</w:t>
      </w:r>
      <w:bookmarkEnd w:id="15"/>
      <w:bookmarkEnd w:id="16"/>
      <w:bookmarkEnd w:id="17"/>
      <w:bookmarkEnd w:id="18"/>
      <w:r w:rsidRPr="004F2AC3">
        <w:rPr>
          <w:rFonts w:ascii="Garamond" w:hAnsi="Garamond" w:cs="Times New Roman"/>
          <w:b/>
          <w:color w:val="000000" w:themeColor="text1"/>
          <w:sz w:val="24"/>
          <w:szCs w:val="24"/>
        </w:rPr>
        <w:t xml:space="preserve">: </w:t>
      </w:r>
      <w:r w:rsidRPr="004F2AC3">
        <w:rPr>
          <w:rFonts w:ascii="Garamond" w:eastAsia="Times New Roman" w:hAnsi="Garamond" w:cs="Times New Roman"/>
          <w:color w:val="000000" w:themeColor="text1"/>
          <w:sz w:val="24"/>
          <w:szCs w:val="24"/>
        </w:rPr>
        <w:t xml:space="preserve">Përafrimi i statistikave të shkaqeve të vdekjeve është pjesërisht në linjë me Rregulloren e Komisionit (EU) </w:t>
      </w:r>
      <w:r w:rsidR="00CF6302"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 328/2011</w:t>
      </w:r>
      <w:r w:rsidR="00CF6302"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shëndetin publik dhe shkaqet e vdekjeve</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pasi INSTAT</w:t>
      </w:r>
      <w:r w:rsidR="00CF6302"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ende përdor klasifikimin ndërkombëtar ICD-9. Statistikat e shpenzimeve në shëndetësi, nuk janë akoma në përputhje me kërkesat e Rregullores (EC) </w:t>
      </w:r>
      <w:r w:rsidR="00CF6302"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 2015/359</w:t>
      </w:r>
      <w:r w:rsidR="00CF6302"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statistikat e shpenzimeve në shëndetësi</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w:t>
      </w:r>
    </w:p>
    <w:p w14:paraId="5C0F71C8" w14:textId="714F2F21"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1.5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Të ardhurat dhe shpenzimet e konsumit</w:t>
      </w:r>
      <w:r w:rsidR="00D32864" w:rsidRPr="004F2AC3">
        <w:rPr>
          <w:rFonts w:ascii="Garamond" w:eastAsia="Times New Roman" w:hAnsi="Garamond" w:cs="Times New Roman"/>
          <w:b/>
          <w:color w:val="000000" w:themeColor="text1"/>
          <w:sz w:val="24"/>
          <w:szCs w:val="24"/>
        </w:rPr>
        <w:t>”</w:t>
      </w:r>
      <w:r w:rsidR="00684E85" w:rsidRPr="004F2AC3">
        <w:rPr>
          <w:rFonts w:ascii="Garamond" w:eastAsia="Times New Roman" w:hAnsi="Garamond" w:cs="Times New Roman"/>
          <w:b/>
          <w:color w:val="000000" w:themeColor="text1"/>
          <w:sz w:val="24"/>
          <w:szCs w:val="24"/>
        </w:rPr>
        <w:t xml:space="preserve"> </w:t>
      </w:r>
    </w:p>
    <w:p w14:paraId="578CEB42" w14:textId="01A62D32"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bookmarkStart w:id="19" w:name="_Hlk182928853"/>
      <w:r w:rsidRPr="004F2AC3">
        <w:rPr>
          <w:rFonts w:ascii="Garamond" w:hAnsi="Garamond" w:cs="Times New Roman"/>
          <w:color w:val="000000" w:themeColor="text1"/>
          <w:sz w:val="24"/>
          <w:szCs w:val="24"/>
        </w:rPr>
        <w:t>Për të prodhuar statistikat e kësaj teme, nga INSTAT</w:t>
      </w:r>
      <w:r w:rsidR="00CF630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përdoren të dhënat nga realizimi i dy aktiviteteve statistikore me frekuencë vjetore: vrojtimi i buxhetit të NjEF</w:t>
      </w:r>
      <w:r w:rsidR="00CF6302" w:rsidRPr="004F2AC3">
        <w:rPr>
          <w:rFonts w:ascii="Garamond" w:hAnsi="Garamond" w:cs="Times New Roman"/>
          <w:color w:val="000000" w:themeColor="text1"/>
          <w:sz w:val="24"/>
          <w:szCs w:val="24"/>
        </w:rPr>
        <w:t>-</w:t>
      </w:r>
      <w:r w:rsidR="00355498" w:rsidRPr="004F2AC3">
        <w:rPr>
          <w:rFonts w:ascii="Garamond" w:hAnsi="Garamond" w:cs="Times New Roman"/>
          <w:color w:val="000000" w:themeColor="text1"/>
          <w:sz w:val="24"/>
          <w:szCs w:val="24"/>
        </w:rPr>
        <w:t>ve</w:t>
      </w:r>
      <w:r w:rsidRPr="004F2AC3">
        <w:rPr>
          <w:rFonts w:ascii="Garamond" w:hAnsi="Garamond" w:cs="Times New Roman"/>
          <w:color w:val="000000" w:themeColor="text1"/>
          <w:sz w:val="24"/>
          <w:szCs w:val="24"/>
        </w:rPr>
        <w:t>, objektiv i të cilit është sigurimi i të dhënave të harmonizuara mbi buxhetin e familjes dhe vrojtimi i të ardhurave dhe nivelit të jetesës, objektiv i të cilit është të sigurojë të dhëna të harmonizuara mbi të ardhurat e familjeve, përfshirjen sociale dhe kushtet e jetesës. Të dhënat e mbledhura nëpërmjet këtyre dy vrojtimeve do të sigurojnë informacion mbi buxhetin e NjEF</w:t>
      </w:r>
      <w:r w:rsidR="00CF6302" w:rsidRPr="004F2AC3">
        <w:rPr>
          <w:rFonts w:ascii="Garamond" w:hAnsi="Garamond" w:cs="Times New Roman"/>
          <w:color w:val="000000" w:themeColor="text1"/>
          <w:sz w:val="24"/>
          <w:szCs w:val="24"/>
        </w:rPr>
        <w:t>-</w:t>
      </w:r>
      <w:r w:rsidR="00355498"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të ardhurat, përfshirjen sociale, nivelin e jetesës, etj</w:t>
      </w:r>
      <w:r w:rsidRPr="004F2AC3">
        <w:rPr>
          <w:rFonts w:ascii="Garamond" w:eastAsia="Times New Roman" w:hAnsi="Garamond" w:cs="Times New Roman"/>
          <w:color w:val="000000" w:themeColor="text1"/>
          <w:sz w:val="24"/>
          <w:szCs w:val="24"/>
        </w:rPr>
        <w:t xml:space="preserve">. </w:t>
      </w:r>
    </w:p>
    <w:bookmarkEnd w:id="19"/>
    <w:p w14:paraId="542A2881" w14:textId="77777777" w:rsidR="000F566F" w:rsidRPr="004F2AC3" w:rsidRDefault="000F566F" w:rsidP="000F566F">
      <w:pPr>
        <w:spacing w:after="0" w:line="240" w:lineRule="auto"/>
        <w:ind w:firstLine="284"/>
        <w:jc w:val="both"/>
        <w:rPr>
          <w:rFonts w:ascii="Garamond" w:eastAsia="Calibri" w:hAnsi="Garamond" w:cs="Times New Roman"/>
          <w:color w:val="000000" w:themeColor="text1"/>
          <w:sz w:val="24"/>
          <w:szCs w:val="24"/>
          <w:lang w:eastAsia="en-GB"/>
        </w:rPr>
      </w:pPr>
      <w:r w:rsidRPr="004F2AC3">
        <w:rPr>
          <w:rFonts w:ascii="Garamond" w:eastAsia="Times New Roman" w:hAnsi="Garamond" w:cs="Times New Roman"/>
          <w:b/>
          <w:color w:val="000000" w:themeColor="text1"/>
          <w:sz w:val="24"/>
          <w:szCs w:val="24"/>
          <w:lang w:eastAsia="en-GB"/>
        </w:rPr>
        <w:t>Treguesit kryesorë:</w:t>
      </w:r>
      <w:r w:rsidRPr="004F2AC3">
        <w:rPr>
          <w:rFonts w:ascii="Garamond" w:eastAsia="Times New Roman" w:hAnsi="Garamond" w:cs="Times New Roman"/>
          <w:color w:val="000000" w:themeColor="text1"/>
          <w:sz w:val="24"/>
          <w:szCs w:val="24"/>
          <w:lang w:eastAsia="en-GB"/>
        </w:rPr>
        <w:t xml:space="preserve"> Tregues statistikorë mbi përshkrimin e nivelit dhe strukturës</w:t>
      </w:r>
      <w:r w:rsidRPr="004F2AC3">
        <w:rPr>
          <w:rFonts w:ascii="Garamond" w:eastAsia="Calibri" w:hAnsi="Garamond" w:cs="Times New Roman"/>
          <w:color w:val="000000" w:themeColor="text1"/>
          <w:sz w:val="24"/>
          <w:szCs w:val="24"/>
          <w:lang w:eastAsia="en-GB"/>
        </w:rPr>
        <w:t xml:space="preserve"> së shpenzimeve për konsum të Njësive Ekonomike Familjare (NjEF) në Shqipëri, si dhe të treguesve të tjerë me bazë shpenzimet e konsumit; Tregues mbi varfërinë dhe përjashtimin social, shpërndarjen e të ardhurave, pabarazinë dhe kushtet e banimit.</w:t>
      </w:r>
    </w:p>
    <w:p w14:paraId="7060BB6C" w14:textId="4AF3DD46"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bookmarkStart w:id="20" w:name="_Toc85376967"/>
      <w:bookmarkStart w:id="21" w:name="_Toc85380299"/>
      <w:bookmarkStart w:id="22" w:name="_Toc186909529"/>
      <w:bookmarkStart w:id="23" w:name="_Toc87780231"/>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acquis</w:t>
      </w:r>
      <w:bookmarkEnd w:id="20"/>
      <w:bookmarkEnd w:id="21"/>
      <w:bookmarkEnd w:id="22"/>
      <w:bookmarkEnd w:id="23"/>
      <w:r w:rsidRPr="004F2AC3">
        <w:rPr>
          <w:rFonts w:ascii="Garamond" w:hAnsi="Garamond" w:cs="Times New Roman"/>
          <w:b/>
          <w:color w:val="000000" w:themeColor="text1"/>
          <w:sz w:val="24"/>
          <w:szCs w:val="24"/>
        </w:rPr>
        <w:t xml:space="preserve">: </w:t>
      </w:r>
      <w:r w:rsidRPr="004F2AC3">
        <w:rPr>
          <w:rFonts w:ascii="Garamond" w:eastAsia="Times New Roman" w:hAnsi="Garamond" w:cs="Times New Roman"/>
          <w:i/>
          <w:color w:val="000000" w:themeColor="text1"/>
          <w:sz w:val="24"/>
          <w:szCs w:val="24"/>
        </w:rPr>
        <w:t>Vrojtimi i Buxhetit të Njësive Ekonomike Familjare</w:t>
      </w:r>
      <w:r w:rsidR="00684E85"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 xml:space="preserve">dhe </w:t>
      </w:r>
      <w:r w:rsidRPr="004F2AC3">
        <w:rPr>
          <w:rFonts w:ascii="Garamond" w:eastAsia="Times New Roman" w:hAnsi="Garamond" w:cs="Times New Roman"/>
          <w:i/>
          <w:color w:val="000000" w:themeColor="text1"/>
          <w:sz w:val="24"/>
          <w:szCs w:val="24"/>
        </w:rPr>
        <w:t xml:space="preserve">Vrojtimi i të Ardhurave dhe Nivelit të Jetesës </w:t>
      </w:r>
      <w:r w:rsidRPr="004F2AC3">
        <w:rPr>
          <w:rFonts w:ascii="Garamond" w:eastAsia="Times New Roman" w:hAnsi="Garamond" w:cs="Times New Roman"/>
          <w:color w:val="000000" w:themeColor="text1"/>
          <w:sz w:val="24"/>
          <w:szCs w:val="24"/>
        </w:rPr>
        <w:t xml:space="preserve">kryhen bazuar në rregulloren bazë të Komisionit </w:t>
      </w:r>
      <w:r w:rsidR="00355498" w:rsidRPr="004F2AC3">
        <w:rPr>
          <w:rFonts w:ascii="Garamond" w:eastAsia="Times New Roman" w:hAnsi="Garamond" w:cs="Times New Roman"/>
          <w:color w:val="000000" w:themeColor="text1"/>
          <w:sz w:val="24"/>
          <w:szCs w:val="24"/>
        </w:rPr>
        <w:t>Evropian</w:t>
      </w:r>
      <w:r w:rsidRPr="004F2AC3">
        <w:rPr>
          <w:rFonts w:ascii="Garamond" w:eastAsia="Times New Roman" w:hAnsi="Garamond" w:cs="Times New Roman"/>
          <w:color w:val="000000" w:themeColor="text1"/>
          <w:sz w:val="24"/>
          <w:szCs w:val="24"/>
        </w:rPr>
        <w:t xml:space="preserve"> (KE) 2019/1700</w:t>
      </w:r>
      <w:r w:rsidR="00355498"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statistikat lidhur me personat dhe familjet</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duke krijuar një kuadër ligjor të përbashkët lidhur me statistikat për njësitë ekonomike familjare dhe individët</w:t>
      </w:r>
      <w:r w:rsidR="00355498"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të mbledhura përmes kampioneve të zgjedhura.</w:t>
      </w:r>
    </w:p>
    <w:p w14:paraId="4A0300EA" w14:textId="5E7452C2"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r w:rsidRPr="004F2AC3">
        <w:rPr>
          <w:rFonts w:ascii="Garamond" w:eastAsia="Times New Roman" w:hAnsi="Garamond" w:cs="Times New Roman"/>
          <w:i/>
          <w:color w:val="000000" w:themeColor="text1"/>
          <w:sz w:val="24"/>
          <w:szCs w:val="24"/>
        </w:rPr>
        <w:t>Vrojtimi i Buxhetit të Njësive Ekonomike Familjare</w:t>
      </w:r>
      <w:r w:rsidR="00355498" w:rsidRPr="004F2AC3">
        <w:rPr>
          <w:rFonts w:ascii="Garamond" w:eastAsia="Times New Roman" w:hAnsi="Garamond" w:cs="Times New Roman"/>
          <w:i/>
          <w:color w:val="000000" w:themeColor="text1"/>
          <w:sz w:val="24"/>
          <w:szCs w:val="24"/>
        </w:rPr>
        <w:t>,</w:t>
      </w:r>
      <w:r w:rsidRPr="004F2AC3">
        <w:rPr>
          <w:rFonts w:ascii="Garamond" w:eastAsia="Times New Roman" w:hAnsi="Garamond" w:cs="Times New Roman"/>
          <w:color w:val="000000" w:themeColor="text1"/>
          <w:sz w:val="24"/>
          <w:szCs w:val="24"/>
        </w:rPr>
        <w:t xml:space="preserve"> gjithashtu</w:t>
      </w:r>
      <w:r w:rsidR="00355498"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bazohet në Marrëveshjen e Mirëkuptimit në nivel BE-je (</w:t>
      </w:r>
      <w:r w:rsidRPr="004F2AC3">
        <w:rPr>
          <w:rFonts w:ascii="Garamond" w:eastAsia="Times New Roman" w:hAnsi="Garamond" w:cs="Times New Roman"/>
          <w:i/>
          <w:color w:val="000000" w:themeColor="text1"/>
          <w:sz w:val="24"/>
          <w:szCs w:val="24"/>
        </w:rPr>
        <w:t>gentlemen’s agreement</w:t>
      </w:r>
      <w:r w:rsidRPr="004F2AC3">
        <w:rPr>
          <w:rFonts w:ascii="Garamond" w:eastAsia="Times New Roman" w:hAnsi="Garamond" w:cs="Times New Roman"/>
          <w:color w:val="000000" w:themeColor="text1"/>
          <w:sz w:val="24"/>
          <w:szCs w:val="24"/>
        </w:rPr>
        <w:t>), ku secili shtet anëtar vendos objektivat, metodologjinë dhe frekuencën e kryerjes së vrojtimit. Bazuar në këtë marrëveshje, plotshmëria e të dhënave të vrojtimit është në përputhje të plotë me objektivat e përcaktuara nga INSTAT</w:t>
      </w:r>
      <w:r w:rsidR="00355498"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w:t>
      </w:r>
    </w:p>
    <w:p w14:paraId="7046F363" w14:textId="1BDA6D73"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r w:rsidRPr="004F2AC3">
        <w:rPr>
          <w:rFonts w:ascii="Garamond" w:eastAsia="Times New Roman" w:hAnsi="Garamond" w:cs="Times New Roman"/>
          <w:i/>
          <w:color w:val="000000" w:themeColor="text1"/>
          <w:sz w:val="24"/>
          <w:szCs w:val="24"/>
        </w:rPr>
        <w:t>Vrojtimi i të Ardhurave dhe Nivelit të Jetesës</w:t>
      </w:r>
      <w:r w:rsidRPr="004F2AC3">
        <w:rPr>
          <w:rFonts w:ascii="Garamond" w:eastAsia="Times New Roman" w:hAnsi="Garamond" w:cs="Times New Roman"/>
          <w:color w:val="000000" w:themeColor="text1"/>
          <w:sz w:val="24"/>
          <w:szCs w:val="24"/>
        </w:rPr>
        <w:t xml:space="preserve"> kryhet bazuar edhe në rregullore të tjera të Komisionit Evropian që lidhen specifikisht me zbatimin e këtij vrojtimi si: </w:t>
      </w:r>
      <w:r w:rsidR="00355498" w:rsidRPr="004F2AC3">
        <w:rPr>
          <w:rFonts w:ascii="Garamond" w:eastAsia="Times New Roman" w:hAnsi="Garamond" w:cs="Times New Roman"/>
          <w:color w:val="000000" w:themeColor="text1"/>
          <w:sz w:val="24"/>
          <w:szCs w:val="24"/>
        </w:rPr>
        <w:t xml:space="preserve">Rregullorja </w:t>
      </w:r>
      <w:r w:rsidRPr="004F2AC3">
        <w:rPr>
          <w:rFonts w:ascii="Garamond" w:eastAsia="Times New Roman" w:hAnsi="Garamond" w:cs="Times New Roman"/>
          <w:color w:val="000000" w:themeColor="text1"/>
          <w:sz w:val="24"/>
          <w:szCs w:val="24"/>
        </w:rPr>
        <w:t>(BE) 2020/258</w:t>
      </w:r>
      <w:r w:rsidR="00355498"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të ardhurat dhe nivelin e jetesës</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dhe </w:t>
      </w:r>
      <w:r w:rsidR="00355498" w:rsidRPr="004F2AC3">
        <w:rPr>
          <w:rFonts w:ascii="Garamond" w:eastAsia="Times New Roman" w:hAnsi="Garamond" w:cs="Times New Roman"/>
          <w:color w:val="000000" w:themeColor="text1"/>
          <w:sz w:val="24"/>
          <w:szCs w:val="24"/>
        </w:rPr>
        <w:t xml:space="preserve">Rregullorja </w:t>
      </w:r>
      <w:r w:rsidRPr="004F2AC3">
        <w:rPr>
          <w:rFonts w:ascii="Garamond" w:eastAsia="Times New Roman" w:hAnsi="Garamond" w:cs="Times New Roman"/>
          <w:color w:val="000000" w:themeColor="text1"/>
          <w:sz w:val="24"/>
          <w:szCs w:val="24"/>
        </w:rPr>
        <w:t>(BE) 2019/2242</w:t>
      </w:r>
      <w:r w:rsidR="00355498"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Për rregullimin e disa specifikimeve lidhur me raportet e cilësisë dhe organizimin e vrojtimit mbi të </w:t>
      </w:r>
      <w:r w:rsidR="00355498" w:rsidRPr="004F2AC3">
        <w:rPr>
          <w:rFonts w:ascii="Garamond" w:eastAsia="Times New Roman" w:hAnsi="Garamond" w:cs="Times New Roman"/>
          <w:color w:val="000000" w:themeColor="text1"/>
          <w:sz w:val="24"/>
          <w:szCs w:val="24"/>
        </w:rPr>
        <w:t>ardhurat dhe nivelin e jetesës</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si dhe rregulloret shtesë që ndihmojnë në zbatimin e përvitshëm të këtij vrojtimi. Niveli i përputhsh</w:t>
      </w:r>
      <w:r w:rsidR="00355498" w:rsidRPr="004F2AC3">
        <w:rPr>
          <w:rFonts w:ascii="Garamond" w:eastAsia="Times New Roman" w:hAnsi="Garamond" w:cs="Times New Roman"/>
          <w:color w:val="000000" w:themeColor="text1"/>
          <w:sz w:val="24"/>
          <w:szCs w:val="24"/>
        </w:rPr>
        <w:t>m</w:t>
      </w:r>
      <w:r w:rsidRPr="004F2AC3">
        <w:rPr>
          <w:rFonts w:ascii="Garamond" w:eastAsia="Times New Roman" w:hAnsi="Garamond" w:cs="Times New Roman"/>
          <w:color w:val="000000" w:themeColor="text1"/>
          <w:sz w:val="24"/>
          <w:szCs w:val="24"/>
        </w:rPr>
        <w:t>ërisë me rregulloret përkatëse është i pjesshëm.</w:t>
      </w:r>
    </w:p>
    <w:p w14:paraId="69274DC9" w14:textId="24812A7E"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Tema 1.6</w:t>
      </w:r>
      <w:r w:rsidR="00355498" w:rsidRPr="004F2AC3">
        <w:rPr>
          <w:rFonts w:ascii="Garamond" w:eastAsia="Times New Roman" w:hAnsi="Garamond" w:cs="Times New Roman"/>
          <w:b/>
          <w:color w:val="000000" w:themeColor="text1"/>
          <w:sz w:val="24"/>
          <w:szCs w:val="24"/>
        </w:rPr>
        <w:t xml:space="preserve">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Mbrojtja sociale</w:t>
      </w:r>
      <w:r w:rsidR="00D32864" w:rsidRPr="004F2AC3">
        <w:rPr>
          <w:rFonts w:ascii="Garamond" w:eastAsia="Times New Roman" w:hAnsi="Garamond" w:cs="Times New Roman"/>
          <w:b/>
          <w:color w:val="000000" w:themeColor="text1"/>
          <w:sz w:val="24"/>
          <w:szCs w:val="24"/>
        </w:rPr>
        <w:t>”</w:t>
      </w:r>
    </w:p>
    <w:p w14:paraId="23E01108" w14:textId="6DFEAD0D"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Kjo temë përbëhet nga nëntemat </w:t>
      </w:r>
      <w:r w:rsidRPr="004F2AC3">
        <w:rPr>
          <w:rFonts w:ascii="Garamond" w:hAnsi="Garamond" w:cs="Times New Roman"/>
          <w:i/>
          <w:color w:val="000000" w:themeColor="text1"/>
          <w:sz w:val="24"/>
          <w:szCs w:val="24"/>
        </w:rPr>
        <w:t xml:space="preserve">1.6.1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Mbrojtja Sociale</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dhe </w:t>
      </w:r>
      <w:r w:rsidRPr="004F2AC3">
        <w:rPr>
          <w:rFonts w:ascii="Garamond" w:hAnsi="Garamond" w:cs="Times New Roman"/>
          <w:i/>
          <w:color w:val="000000" w:themeColor="text1"/>
          <w:sz w:val="24"/>
          <w:szCs w:val="24"/>
        </w:rPr>
        <w:t xml:space="preserve">1.6.2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ESSPROS</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w:t>
      </w:r>
      <w:r w:rsidR="00355498" w:rsidRPr="004F2AC3">
        <w:rPr>
          <w:rFonts w:ascii="Garamond" w:hAnsi="Garamond" w:cs="Times New Roman"/>
          <w:color w:val="000000" w:themeColor="text1"/>
          <w:sz w:val="24"/>
          <w:szCs w:val="24"/>
        </w:rPr>
        <w:t xml:space="preserve">statistikat e mbrojtjes sociale </w:t>
      </w:r>
      <w:r w:rsidRPr="004F2AC3">
        <w:rPr>
          <w:rFonts w:ascii="Garamond" w:hAnsi="Garamond" w:cs="Times New Roman"/>
          <w:color w:val="000000" w:themeColor="text1"/>
          <w:sz w:val="24"/>
          <w:szCs w:val="24"/>
        </w:rPr>
        <w:t>janë shum</w:t>
      </w:r>
      <w:r w:rsidR="00355498" w:rsidRPr="004F2AC3">
        <w:rPr>
          <w:rFonts w:ascii="Garamond" w:hAnsi="Garamond" w:cs="Times New Roman"/>
          <w:color w:val="000000" w:themeColor="text1"/>
          <w:sz w:val="24"/>
          <w:szCs w:val="24"/>
        </w:rPr>
        <w:t>ë</w:t>
      </w:r>
      <w:r w:rsidRPr="004F2AC3">
        <w:rPr>
          <w:rFonts w:ascii="Garamond" w:hAnsi="Garamond" w:cs="Times New Roman"/>
          <w:color w:val="000000" w:themeColor="text1"/>
          <w:sz w:val="24"/>
          <w:szCs w:val="24"/>
        </w:rPr>
        <w:t xml:space="preserve"> </w:t>
      </w:r>
      <w:r w:rsidR="00355498" w:rsidRPr="004F2AC3">
        <w:rPr>
          <w:rFonts w:ascii="Garamond" w:hAnsi="Garamond" w:cs="Times New Roman"/>
          <w:color w:val="000000" w:themeColor="text1"/>
          <w:sz w:val="24"/>
          <w:szCs w:val="24"/>
        </w:rPr>
        <w:t>t</w:t>
      </w:r>
      <w:r w:rsidRPr="004F2AC3">
        <w:rPr>
          <w:rFonts w:ascii="Garamond" w:hAnsi="Garamond" w:cs="Times New Roman"/>
          <w:color w:val="000000" w:themeColor="text1"/>
          <w:sz w:val="24"/>
          <w:szCs w:val="24"/>
        </w:rPr>
        <w:t>ë rëndësishme për të vlerësuar efektivitetin e masave dhe për të përmirësuar kushtet e jetesës së qytetarëve. Treguesit e mbrojtjes sociale përfaqësohen me të dhëna administrative që kanë të bëjnë me përfituesit në skemën e sigurimeve shoqërore, përfituesit në skemën e ndihmës ekonomike dhe të pagesës për aftësinë e kufizuar, përfituesit në pagesë papunësie, përfituesit në kujdesin rezidencial dhe atë ditor në qendrat e kujdesit social, si dhe nga treguesit për fëmijët. INSTAT</w:t>
      </w:r>
      <w:r w:rsidR="00355498"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prodhon të dhëna mbi mbrojtjen sociale në nivel vendi dhe në nivel qarku, të cilat publikohen çdo vit në faqen e </w:t>
      </w:r>
      <w:r w:rsidR="00355498" w:rsidRPr="004F2AC3">
        <w:rPr>
          <w:rFonts w:ascii="Garamond" w:hAnsi="Garamond" w:cs="Times New Roman"/>
          <w:i/>
          <w:color w:val="000000" w:themeColor="text1"/>
          <w:sz w:val="24"/>
          <w:szCs w:val="24"/>
        </w:rPr>
        <w:t>web</w:t>
      </w:r>
      <w:r w:rsidRPr="004F2AC3">
        <w:rPr>
          <w:rFonts w:ascii="Garamond" w:hAnsi="Garamond" w:cs="Times New Roman"/>
          <w:color w:val="000000" w:themeColor="text1"/>
          <w:sz w:val="24"/>
          <w:szCs w:val="24"/>
        </w:rPr>
        <w:t>-it të INSTAT</w:t>
      </w:r>
      <w:r w:rsidR="00355498" w:rsidRPr="004F2AC3">
        <w:rPr>
          <w:rFonts w:ascii="Garamond" w:hAnsi="Garamond" w:cs="Times New Roman"/>
          <w:color w:val="000000" w:themeColor="text1"/>
          <w:sz w:val="24"/>
          <w:szCs w:val="24"/>
        </w:rPr>
        <w:t>-it</w:t>
      </w:r>
      <w:r w:rsidRPr="004F2AC3">
        <w:rPr>
          <w:rFonts w:ascii="Garamond" w:hAnsi="Garamond" w:cs="Times New Roman"/>
          <w:color w:val="000000" w:themeColor="text1"/>
          <w:sz w:val="24"/>
          <w:szCs w:val="24"/>
        </w:rPr>
        <w:t xml:space="preserve"> dhe në Vjetarin Rajonal.</w:t>
      </w:r>
    </w:p>
    <w:p w14:paraId="65FA20CB" w14:textId="0F79E135"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Treguesit statistikorë nga sistemi ESSPROS (Statistikat e Integruara Evropiane të Mbrojtjes Sociale), përfaqësohen nga sistemi bazë që përfshin të dhëna vjetore mbi të ardhurat, shpenzimet dhe përfitimet në fushën e mbrojtjes sociale sipas skemave të ESSPROS dhe gjithsej. Këto tregues shërbejnë si instrument për të analizuar dhe krahasuar flukset financiare në fushën e mbrojtjes sociale,</w:t>
      </w:r>
      <w:r w:rsidR="00AB132E"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dhe</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gjithashtu</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nga modulet të cilat përmbajnë informacion shtesë statistikor mbi aspekte të veçanta të mbrojtjes sociale</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moduli i përfituesit dhe pensioneve dhe </w:t>
      </w:r>
      <w:r w:rsidRPr="004F2AC3">
        <w:rPr>
          <w:rFonts w:ascii="Garamond" w:hAnsi="Garamond" w:cs="Times New Roman"/>
          <w:bCs/>
          <w:color w:val="000000" w:themeColor="text1"/>
          <w:sz w:val="24"/>
          <w:szCs w:val="24"/>
        </w:rPr>
        <w:t>përfitimet neto të mbrojtjes sociale.</w:t>
      </w:r>
    </w:p>
    <w:p w14:paraId="47C8F120" w14:textId="7A1DCB73"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Treguesit kryesorë</w:t>
      </w:r>
      <w:r w:rsidRPr="004F2AC3">
        <w:rPr>
          <w:rFonts w:ascii="Garamond" w:hAnsi="Garamond" w:cs="Times New Roman"/>
          <w:color w:val="000000" w:themeColor="text1"/>
          <w:sz w:val="24"/>
          <w:szCs w:val="24"/>
        </w:rPr>
        <w:t>: Variablat kryesore nga të dhënat administrative mbi mbrojtjen sociale grupohen në këto kategori kryesore</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pagesa e papunësisë, pagesa e aftësisë së kufizuar, ndihma ekonomike, pensionet urbane dhe rurale, qendrat rezidenciale, fëmijë në përkujdesje shoqërore etj. Nga këto variabla dalin tregues</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skemat e mbrojtjes sociale, të ardhurat dhe shpenzimet për mbrojtjen sociale, përfitimet e mbrojtjes sociale sipas funksionit të kujdesit shëndetësor, aftësisë së kufizuar, pleqërisë, pensioneve familjare, familjes dhe fëmijëve, papunësisë, strehimit dhe përjashtimit social të prodhuar me zbatimin e plotë të sistemit ESSPROS, të cilët bëjnë të mundur arritjen e nivelit të plotë të përputhshmërisë me Sistemin e Integruar Evropian të Mbrojtjes Sociale.</w:t>
      </w:r>
    </w:p>
    <w:p w14:paraId="135640D0" w14:textId="53133316" w:rsidR="000F566F" w:rsidRPr="004F2AC3" w:rsidRDefault="000F566F" w:rsidP="00AB132E">
      <w:pPr>
        <w:spacing w:after="0" w:line="240" w:lineRule="auto"/>
        <w:ind w:firstLine="284"/>
        <w:jc w:val="both"/>
        <w:rPr>
          <w:rFonts w:ascii="Garamond" w:eastAsia="Times New Roman" w:hAnsi="Garamond" w:cs="Times New Roman"/>
          <w:color w:val="000000" w:themeColor="text1"/>
          <w:sz w:val="24"/>
          <w:szCs w:val="24"/>
        </w:rPr>
      </w:pPr>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 xml:space="preserve">acquis: </w:t>
      </w:r>
      <w:r w:rsidRPr="004F2AC3">
        <w:rPr>
          <w:rFonts w:ascii="Garamond" w:eastAsia="Times New Roman" w:hAnsi="Garamond" w:cs="Times New Roman"/>
          <w:color w:val="000000" w:themeColor="text1"/>
          <w:sz w:val="24"/>
          <w:szCs w:val="24"/>
        </w:rPr>
        <w:t xml:space="preserve">Të dhënat e Sistemit të Integruar Evropian për Mbrojtjen Sociale (ESSPROS) bazohen në Rregulloren e Parlamentit dhe Këshillit Evropian </w:t>
      </w:r>
      <w:r w:rsidR="00AB132E"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 458/2007</w:t>
      </w:r>
      <w:r w:rsidR="00AB132E"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sistemin evropian të statistikave të integruara të mbrojtjes sociale</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si dhe nga rregulloret e Komisionit </w:t>
      </w:r>
      <w:r w:rsidR="00AB132E"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 1322/2007</w:t>
      </w:r>
      <w:r w:rsidR="00AB132E"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formatin e duhur të transmetimit dhe kriteret e matjes së cilësisë së ESSPROS</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AB132E"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w:t>
      </w:r>
      <w:r w:rsidR="00AB132E"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10/2008</w:t>
      </w:r>
      <w:r w:rsidR="00AB132E"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Për klasifikimet dhe rregullat e </w:t>
      </w:r>
      <w:r w:rsidR="00AB132E" w:rsidRPr="004F2AC3">
        <w:rPr>
          <w:rFonts w:ascii="Garamond" w:eastAsia="Times New Roman" w:hAnsi="Garamond" w:cs="Times New Roman"/>
          <w:color w:val="000000" w:themeColor="text1"/>
          <w:sz w:val="24"/>
          <w:szCs w:val="24"/>
        </w:rPr>
        <w:t>shpërndarjes</w:t>
      </w:r>
      <w:r w:rsidRPr="004F2AC3">
        <w:rPr>
          <w:rFonts w:ascii="Garamond" w:eastAsia="Times New Roman" w:hAnsi="Garamond" w:cs="Times New Roman"/>
          <w:color w:val="000000" w:themeColor="text1"/>
          <w:sz w:val="24"/>
          <w:szCs w:val="24"/>
        </w:rPr>
        <w:t xml:space="preserve"> së statistikave të ESSPROS</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AB132E"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 110/2011</w:t>
      </w:r>
      <w:r w:rsidR="00AB132E"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formatin e duhur të transmetimit dhe kriteret e matjes së cilësisë së ESSPROS</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AB132E"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w:t>
      </w:r>
      <w:r w:rsidR="00AB132E"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263/2011</w:t>
      </w:r>
      <w:r w:rsidR="00AB132E"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lançimin e mbledhjes së plotë të të dhënave të ESSPROS</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Të dhënat e ESSPROS janë pjesërisht n</w:t>
      </w:r>
      <w:r w:rsidR="00AB132E" w:rsidRPr="004F2AC3">
        <w:rPr>
          <w:rFonts w:ascii="Garamond" w:eastAsia="Times New Roman" w:hAnsi="Garamond" w:cs="Times New Roman"/>
          <w:color w:val="000000" w:themeColor="text1"/>
          <w:sz w:val="24"/>
          <w:szCs w:val="24"/>
        </w:rPr>
        <w:t>ë përputhje me këto rregullore.</w:t>
      </w:r>
    </w:p>
    <w:p w14:paraId="6F0126C1" w14:textId="0EF5B2CE"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1.7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Drejtësia dhe Krimi</w:t>
      </w:r>
      <w:r w:rsidR="00D32864" w:rsidRPr="004F2AC3">
        <w:rPr>
          <w:rFonts w:ascii="Garamond" w:eastAsia="Times New Roman" w:hAnsi="Garamond" w:cs="Times New Roman"/>
          <w:b/>
          <w:color w:val="000000" w:themeColor="text1"/>
          <w:sz w:val="24"/>
          <w:szCs w:val="24"/>
        </w:rPr>
        <w:t>”</w:t>
      </w:r>
    </w:p>
    <w:p w14:paraId="1A38BDFD"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Të dhënat e drejtësisë dhe krimit, janë të bazuara në të dhëna zyrtare, të grupuara, nga burimet administrative.</w:t>
      </w:r>
    </w:p>
    <w:p w14:paraId="0DDD60C4" w14:textId="3A497B69"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Kjo temë përbëhet nga nëntema 1.7.1 </w:t>
      </w:r>
      <w:r w:rsidR="00D32864"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Statistikat e kriminalitetit dhe drejtësisë</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e cila do të zbatohet nga INSTAT</w:t>
      </w:r>
      <w:r w:rsidR="00AB132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nëpërmjet përmbushjes së aktiviteteve statistikore me frekuencë vjetore</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statistikat e kriminalitetit, veprave penale, procedimeve penale, statistikat e personave të dyshuar, të pandehur dhe të burgosur, statistikat e personave të dënuar dhe të personave të pafajshëm, si dhe zbatimi i klasifikimit ndërkombëtar të krimeve pë</w:t>
      </w:r>
      <w:r w:rsidR="00AB132E" w:rsidRPr="004F2AC3">
        <w:rPr>
          <w:rFonts w:ascii="Garamond" w:hAnsi="Garamond" w:cs="Times New Roman"/>
          <w:color w:val="000000" w:themeColor="text1"/>
          <w:sz w:val="24"/>
          <w:szCs w:val="24"/>
        </w:rPr>
        <w:t>r qëllime statistikore (ICCS)</w:t>
      </w:r>
      <w:r w:rsidR="00D32864" w:rsidRPr="004F2AC3">
        <w:rPr>
          <w:rFonts w:ascii="Garamond" w:hAnsi="Garamond" w:cs="Times New Roman"/>
          <w:color w:val="000000" w:themeColor="text1"/>
          <w:sz w:val="24"/>
          <w:szCs w:val="24"/>
        </w:rPr>
        <w:t>”</w:t>
      </w:r>
      <w:r w:rsidR="00AB132E" w:rsidRPr="004F2AC3">
        <w:rPr>
          <w:rFonts w:ascii="Garamond" w:hAnsi="Garamond" w:cs="Times New Roman"/>
          <w:color w:val="000000" w:themeColor="text1"/>
          <w:sz w:val="24"/>
          <w:szCs w:val="24"/>
        </w:rPr>
        <w:t>.</w:t>
      </w:r>
    </w:p>
    <w:p w14:paraId="00D5E81E" w14:textId="7CE10442"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Statistikat mbi veprat penale, të dëmtuarit dhe autorët do të prodhohen nëpërmjet përpunimit të të dhënave administrative të siguruara nga Drejtoria e Përgjithshme e Policisë; </w:t>
      </w:r>
      <w:r w:rsidR="00AB132E" w:rsidRPr="004F2AC3">
        <w:rPr>
          <w:rFonts w:ascii="Garamond" w:hAnsi="Garamond" w:cs="Times New Roman"/>
          <w:color w:val="000000" w:themeColor="text1"/>
          <w:sz w:val="24"/>
          <w:szCs w:val="24"/>
        </w:rPr>
        <w:t xml:space="preserve">statistikat </w:t>
      </w:r>
      <w:r w:rsidRPr="004F2AC3">
        <w:rPr>
          <w:rFonts w:ascii="Garamond" w:hAnsi="Garamond" w:cs="Times New Roman"/>
          <w:color w:val="000000" w:themeColor="text1"/>
          <w:sz w:val="24"/>
          <w:szCs w:val="24"/>
        </w:rPr>
        <w:t xml:space="preserve">mbi procedimet penale dhe të pandehurit do të prodhohen nëpërmjet përpunimit të të dhënave administrative të siguruara nga Prokuroria e Përgjithshme; </w:t>
      </w:r>
      <w:r w:rsidR="00AB132E" w:rsidRPr="004F2AC3">
        <w:rPr>
          <w:rFonts w:ascii="Garamond" w:hAnsi="Garamond" w:cs="Times New Roman"/>
          <w:color w:val="000000" w:themeColor="text1"/>
          <w:sz w:val="24"/>
          <w:szCs w:val="24"/>
        </w:rPr>
        <w:t xml:space="preserve">statistikat </w:t>
      </w:r>
      <w:r w:rsidRPr="004F2AC3">
        <w:rPr>
          <w:rFonts w:ascii="Garamond" w:hAnsi="Garamond" w:cs="Times New Roman"/>
          <w:color w:val="000000" w:themeColor="text1"/>
          <w:sz w:val="24"/>
          <w:szCs w:val="24"/>
        </w:rPr>
        <w:t xml:space="preserve">mbi të burgosurit do të nxirren nëpërmjet përpunimit të të dhënave administrative të siguruara nga Drejtoria e Përgjithshme e Burgjeve; </w:t>
      </w:r>
      <w:r w:rsidR="00AB132E" w:rsidRPr="004F2AC3">
        <w:rPr>
          <w:rFonts w:ascii="Garamond" w:hAnsi="Garamond" w:cs="Times New Roman"/>
          <w:color w:val="000000" w:themeColor="text1"/>
          <w:sz w:val="24"/>
          <w:szCs w:val="24"/>
        </w:rPr>
        <w:t xml:space="preserve">statistikat </w:t>
      </w:r>
      <w:r w:rsidRPr="004F2AC3">
        <w:rPr>
          <w:rFonts w:ascii="Garamond" w:hAnsi="Garamond" w:cs="Times New Roman"/>
          <w:color w:val="000000" w:themeColor="text1"/>
          <w:sz w:val="24"/>
          <w:szCs w:val="24"/>
        </w:rPr>
        <w:t>mbi të dënuarit dhe çështjet penale do të përgatiten nëpërmjet përpunimit të të dhënave administrative të siguru</w:t>
      </w:r>
      <w:r w:rsidR="00AB132E" w:rsidRPr="004F2AC3">
        <w:rPr>
          <w:rFonts w:ascii="Garamond" w:hAnsi="Garamond" w:cs="Times New Roman"/>
          <w:color w:val="000000" w:themeColor="text1"/>
          <w:sz w:val="24"/>
          <w:szCs w:val="24"/>
        </w:rPr>
        <w:t>ara nga Ministria e Drejtësisë.</w:t>
      </w:r>
    </w:p>
    <w:p w14:paraId="2936811F" w14:textId="3EDECF7E"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Gjatë vitit 2026, INSTAT</w:t>
      </w:r>
      <w:r w:rsidR="00AB132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punojë për plotësimin dhe transmetimin në Eurostat të pyetësorëve të përvitshëm mbi statistikat e krimeve. Gjithashtu</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do të realizohet dërgimi i pyetësorëve mbi sistemin e drejtësisë penale (UN-CTS)</w:t>
      </w:r>
      <w:r w:rsidRPr="004F2AC3">
        <w:rPr>
          <w:rFonts w:ascii="Garamond" w:hAnsi="Garamond"/>
          <w:color w:val="000000" w:themeColor="text1"/>
          <w:sz w:val="24"/>
          <w:szCs w:val="24"/>
        </w:rPr>
        <w:t xml:space="preserve"> </w:t>
      </w:r>
      <w:r w:rsidRPr="004F2AC3">
        <w:rPr>
          <w:rFonts w:ascii="Garamond" w:hAnsi="Garamond" w:cs="Times New Roman"/>
          <w:color w:val="000000" w:themeColor="text1"/>
          <w:sz w:val="24"/>
          <w:szCs w:val="24"/>
        </w:rPr>
        <w:t xml:space="preserve">në Kombet e Bashkuara dhe transmetimi me të dhëna rajonale të krimeve dhe trafikimin e </w:t>
      </w:r>
      <w:r w:rsidR="00AB132E" w:rsidRPr="004F2AC3">
        <w:rPr>
          <w:rFonts w:ascii="Garamond" w:hAnsi="Garamond" w:cs="Times New Roman"/>
          <w:color w:val="000000" w:themeColor="text1"/>
          <w:sz w:val="24"/>
          <w:szCs w:val="24"/>
        </w:rPr>
        <w:t>qenieve</w:t>
      </w:r>
      <w:r w:rsidRPr="004F2AC3">
        <w:rPr>
          <w:rFonts w:ascii="Garamond" w:hAnsi="Garamond" w:cs="Times New Roman"/>
          <w:color w:val="000000" w:themeColor="text1"/>
          <w:sz w:val="24"/>
          <w:szCs w:val="24"/>
        </w:rPr>
        <w:t xml:space="preserve"> njerëzore të kërkuara në Zyrën e Kombeve të Bashkuara mbi Drogën dhe Krimet (UNODC). </w:t>
      </w:r>
    </w:p>
    <w:p w14:paraId="2B043AE9" w14:textId="6BEBD05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 xml:space="preserve">Tregues statistikorë mbi veprat penale të evidentuara dhe personat e dëmtuar nga policia bazuar në nenet e Kodit Penal; personat e dyshuar nga policia në kryerjen e një vepre penale; </w:t>
      </w:r>
      <w:r w:rsidR="00AB132E" w:rsidRPr="004F2AC3">
        <w:rPr>
          <w:rFonts w:ascii="Garamond" w:hAnsi="Garamond" w:cs="Times New Roman"/>
          <w:color w:val="000000" w:themeColor="text1"/>
          <w:sz w:val="24"/>
          <w:szCs w:val="24"/>
        </w:rPr>
        <w:t xml:space="preserve">tregues </w:t>
      </w:r>
      <w:r w:rsidRPr="004F2AC3">
        <w:rPr>
          <w:rFonts w:ascii="Garamond" w:hAnsi="Garamond" w:cs="Times New Roman"/>
          <w:color w:val="000000" w:themeColor="text1"/>
          <w:sz w:val="24"/>
          <w:szCs w:val="24"/>
        </w:rPr>
        <w:t xml:space="preserve">statistikorë mbi procedime penale dhe të pandehur të regjistruar nga Prokuroria; </w:t>
      </w:r>
      <w:r w:rsidR="00AB132E" w:rsidRPr="004F2AC3">
        <w:rPr>
          <w:rFonts w:ascii="Garamond" w:hAnsi="Garamond" w:cs="Times New Roman"/>
          <w:color w:val="000000" w:themeColor="text1"/>
          <w:sz w:val="24"/>
          <w:szCs w:val="24"/>
        </w:rPr>
        <w:t xml:space="preserve">tregues </w:t>
      </w:r>
      <w:r w:rsidRPr="004F2AC3">
        <w:rPr>
          <w:rFonts w:ascii="Garamond" w:hAnsi="Garamond" w:cs="Times New Roman"/>
          <w:color w:val="000000" w:themeColor="text1"/>
          <w:sz w:val="24"/>
          <w:szCs w:val="24"/>
        </w:rPr>
        <w:t>statistikorë mbi të burgosurit sipas veprave specifike penale, grup</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moshës dhe gjinisë; të dënuarit me burg dhe të paraburgosur sipas gjinisë, veprave penale dhe grup</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moshës në burgje. Tregues statistikorë mbi çështje penale dhe të dënuarit nga Gjykatat e Shkallës së Parë, të ndarë sipas gjinisë, dy ndarjeve të mëdha moshore dhe veprave penale.</w:t>
      </w:r>
    </w:p>
    <w:p w14:paraId="5C54C7E9" w14:textId="77777777"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bookmarkStart w:id="24" w:name="_Toc85376983"/>
      <w:bookmarkStart w:id="25" w:name="_Toc85380315"/>
      <w:bookmarkStart w:id="26" w:name="_Toc186909545"/>
      <w:bookmarkStart w:id="27" w:name="_Toc87780247"/>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acquis</w:t>
      </w:r>
      <w:bookmarkEnd w:id="24"/>
      <w:bookmarkEnd w:id="25"/>
      <w:bookmarkEnd w:id="26"/>
      <w:bookmarkEnd w:id="27"/>
      <w:r w:rsidRPr="004F2AC3">
        <w:rPr>
          <w:rFonts w:ascii="Garamond" w:hAnsi="Garamond" w:cs="Times New Roman"/>
          <w:b/>
          <w:color w:val="000000" w:themeColor="text1"/>
          <w:sz w:val="24"/>
          <w:szCs w:val="24"/>
        </w:rPr>
        <w:t xml:space="preserve">: </w:t>
      </w:r>
      <w:r w:rsidRPr="004F2AC3">
        <w:rPr>
          <w:rFonts w:ascii="Garamond" w:eastAsia="Times New Roman" w:hAnsi="Garamond" w:cs="Times New Roman"/>
          <w:i/>
          <w:color w:val="000000" w:themeColor="text1"/>
          <w:sz w:val="24"/>
          <w:szCs w:val="24"/>
          <w:lang w:eastAsia="en-GB"/>
        </w:rPr>
        <w:t>Statistikat e drejtësisë dhe krimit</w:t>
      </w:r>
      <w:r w:rsidRPr="004F2AC3">
        <w:rPr>
          <w:rFonts w:ascii="Garamond" w:eastAsia="Times New Roman" w:hAnsi="Garamond" w:cs="Times New Roman"/>
          <w:color w:val="000000" w:themeColor="text1"/>
          <w:sz w:val="24"/>
          <w:szCs w:val="24"/>
          <w:lang w:eastAsia="en-GB"/>
        </w:rPr>
        <w:t xml:space="preserve"> bazohen në legjislacionin kombëtar dhe normat kombëtare të numërimit të veprave dhe personave në sistemin e drejtësisë. Kjo e bën të vështirë krahasueshmërinë e statistikave me ato të vendeve të tjera. Për këtë arsye, përfundimi dhe miratimi i Klasifikimit Ndërkombëtar të Statistikave të Krimeve për Qëllime Statistikore (ICCS) do të sigurojë një kornizë të unifikuar për prodhimin e statistikave të krahasueshme. </w:t>
      </w:r>
    </w:p>
    <w:p w14:paraId="20CF0C77" w14:textId="63001913"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1.8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Kultura</w:t>
      </w:r>
      <w:r w:rsidR="00D32864" w:rsidRPr="004F2AC3">
        <w:rPr>
          <w:rFonts w:ascii="Garamond" w:eastAsia="Times New Roman" w:hAnsi="Garamond" w:cs="Times New Roman"/>
          <w:b/>
          <w:color w:val="000000" w:themeColor="text1"/>
          <w:sz w:val="24"/>
          <w:szCs w:val="24"/>
        </w:rPr>
        <w:t>”</w:t>
      </w:r>
    </w:p>
    <w:p w14:paraId="421DECA6" w14:textId="090B359E" w:rsidR="000F566F" w:rsidRPr="004F2AC3" w:rsidRDefault="000F566F" w:rsidP="000F566F">
      <w:pPr>
        <w:keepNext/>
        <w:keepLines/>
        <w:spacing w:after="0" w:line="240" w:lineRule="auto"/>
        <w:ind w:firstLine="284"/>
        <w:jc w:val="both"/>
        <w:outlineLvl w:val="4"/>
        <w:rPr>
          <w:rFonts w:ascii="Garamond" w:hAnsi="Garamond" w:cs="Times New Roman"/>
          <w:color w:val="000000" w:themeColor="text1"/>
          <w:sz w:val="24"/>
          <w:szCs w:val="24"/>
        </w:rPr>
      </w:pPr>
      <w:r w:rsidRPr="004F2AC3">
        <w:rPr>
          <w:rFonts w:ascii="Garamond" w:eastAsia="Times New Roman" w:hAnsi="Garamond" w:cs="Times New Roman"/>
          <w:b/>
          <w:i/>
          <w:color w:val="000000" w:themeColor="text1"/>
          <w:sz w:val="24"/>
          <w:szCs w:val="24"/>
        </w:rPr>
        <w:t xml:space="preserve"> </w:t>
      </w:r>
      <w:r w:rsidRPr="004F2AC3">
        <w:rPr>
          <w:rFonts w:ascii="Garamond" w:hAnsi="Garamond" w:cs="Times New Roman"/>
          <w:color w:val="000000" w:themeColor="text1"/>
          <w:sz w:val="24"/>
          <w:szCs w:val="24"/>
        </w:rPr>
        <w:t>Statistikat e kulturës përftohen nga grumbullimi i informacionit në fusha të ndryshme, si</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fusha sociale, ekonomike, e biznesit dhe institucionale.</w:t>
      </w:r>
    </w:p>
    <w:p w14:paraId="110C77B8" w14:textId="2DA70E5A"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Kjo temë përbëhet nga nëntema 1.8.1 </w:t>
      </w:r>
      <w:r w:rsidR="00D32864"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Statistikat e Kulturës dhe Sportit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Statistikat e kulturës bazohen në burime administrative dhe në vrojtimet sociale dhe ekonomike që INSTAT</w:t>
      </w:r>
      <w:r w:rsidR="00AB132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kryen. Të dhënat administrative sigurohen nga Ministria e Turizmit, Kulturës dhe Sportit, të dhëna të cilat mbulojnë statistika mbi institucionet </w:t>
      </w:r>
      <w:r w:rsidR="00AB132E" w:rsidRPr="004F2AC3">
        <w:rPr>
          <w:rFonts w:ascii="Garamond" w:hAnsi="Garamond" w:cs="Times New Roman"/>
          <w:color w:val="000000" w:themeColor="text1"/>
          <w:sz w:val="24"/>
          <w:szCs w:val="24"/>
        </w:rPr>
        <w:t>qendrore</w:t>
      </w:r>
      <w:r w:rsidRPr="004F2AC3">
        <w:rPr>
          <w:rFonts w:ascii="Garamond" w:hAnsi="Garamond" w:cs="Times New Roman"/>
          <w:color w:val="000000" w:themeColor="text1"/>
          <w:sz w:val="24"/>
          <w:szCs w:val="24"/>
        </w:rPr>
        <w:t xml:space="preserve"> të artit dhe trashëgimisë kulturore</w:t>
      </w:r>
      <w:r w:rsidR="00AB132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dhe statistika lidhur me arsimin për fushën e kulturës. Vrojtimi i të ardhurave dhe nivelit të jetesës, vrojtimi i përdorimit të teknologjisë së informacionit dhe komunikimit (TIK), vrojtimi i forcave të punës, si dhe vrojtimi i çmimeve të konsumit, përdoren si burim për pasurimin e mëtejshëm të treguesve vjetorë të kulturës. Gjatë vitit 2026, INSTAT</w:t>
      </w:r>
      <w:r w:rsidR="00AB132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synon të prodhojë statistika mbi sportin, duke u bazuar në vrojtimet që INSTAT</w:t>
      </w:r>
      <w:r w:rsidR="00AB132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realizon. </w:t>
      </w:r>
    </w:p>
    <w:p w14:paraId="26599866" w14:textId="4C7C321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 xml:space="preserve">Tregues statistikorë mbi numrin e shfaqjeve dhe spektatorëve në institucionet qendrore të kulturës; numrin e vizitorëve vendas dhe të huaj në muze, kala dhe parqe arkeologjike; </w:t>
      </w:r>
      <w:r w:rsidR="00AB132E" w:rsidRPr="004F2AC3">
        <w:rPr>
          <w:rFonts w:ascii="Garamond" w:hAnsi="Garamond" w:cs="Times New Roman"/>
          <w:color w:val="000000" w:themeColor="text1"/>
          <w:sz w:val="24"/>
          <w:szCs w:val="24"/>
        </w:rPr>
        <w:t xml:space="preserve">tregues </w:t>
      </w:r>
      <w:r w:rsidRPr="004F2AC3">
        <w:rPr>
          <w:rFonts w:ascii="Garamond" w:hAnsi="Garamond" w:cs="Times New Roman"/>
          <w:color w:val="000000" w:themeColor="text1"/>
          <w:sz w:val="24"/>
          <w:szCs w:val="24"/>
        </w:rPr>
        <w:t xml:space="preserve">statistikorë mbi edukimin për fusha të lidhura me kulturën; punësimin në kulturë, lidhur me profesione dhe aktivitete ekonomike të lidhura me kulturën; </w:t>
      </w:r>
      <w:r w:rsidR="00AB132E" w:rsidRPr="004F2AC3">
        <w:rPr>
          <w:rFonts w:ascii="Garamond" w:hAnsi="Garamond" w:cs="Times New Roman"/>
          <w:color w:val="000000" w:themeColor="text1"/>
          <w:sz w:val="24"/>
          <w:szCs w:val="24"/>
        </w:rPr>
        <w:t xml:space="preserve">tregues </w:t>
      </w:r>
      <w:r w:rsidRPr="004F2AC3">
        <w:rPr>
          <w:rFonts w:ascii="Garamond" w:hAnsi="Garamond" w:cs="Times New Roman"/>
          <w:color w:val="000000" w:themeColor="text1"/>
          <w:sz w:val="24"/>
          <w:szCs w:val="24"/>
        </w:rPr>
        <w:t xml:space="preserve">statistikorë mbi përdorimin e internetit për qëllime kulturore, mbi indeksin e harmonizuar të </w:t>
      </w:r>
      <w:r w:rsidRPr="004F2AC3">
        <w:rPr>
          <w:rFonts w:ascii="Garamond" w:eastAsia="MingLiU-ExtB" w:hAnsi="Garamond" w:cs="Times New Roman"/>
          <w:color w:val="000000" w:themeColor="text1"/>
          <w:sz w:val="24"/>
          <w:szCs w:val="24"/>
        </w:rPr>
        <w:t xml:space="preserve">çmimeve të konsumit në shërbime dhe mallra kulturorë, mbi shpenzimet publike për argëtim, kulturë dhe çështje fetare, </w:t>
      </w:r>
      <w:r w:rsidRPr="004F2AC3">
        <w:rPr>
          <w:rFonts w:ascii="Garamond" w:hAnsi="Garamond" w:cs="Times New Roman"/>
          <w:color w:val="000000" w:themeColor="text1"/>
          <w:sz w:val="24"/>
          <w:szCs w:val="24"/>
        </w:rPr>
        <w:t>tregues mbi sportin, etj.</w:t>
      </w:r>
    </w:p>
    <w:p w14:paraId="497A0695" w14:textId="3483601A" w:rsidR="000F566F" w:rsidRPr="004F2AC3" w:rsidRDefault="000F566F" w:rsidP="00AB132E">
      <w:pPr>
        <w:spacing w:after="0" w:line="240" w:lineRule="auto"/>
        <w:ind w:firstLine="284"/>
        <w:jc w:val="both"/>
        <w:rPr>
          <w:rFonts w:ascii="Garamond" w:eastAsia="Times New Roman" w:hAnsi="Garamond" w:cs="Times New Roman"/>
          <w:color w:val="000000" w:themeColor="text1"/>
          <w:sz w:val="24"/>
          <w:szCs w:val="24"/>
        </w:rPr>
      </w:pPr>
      <w:bookmarkStart w:id="28" w:name="_Toc85376995"/>
      <w:bookmarkStart w:id="29" w:name="_Toc85380327"/>
      <w:bookmarkStart w:id="30" w:name="_Toc186909557"/>
      <w:bookmarkStart w:id="31" w:name="_Toc87780257"/>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acquis</w:t>
      </w:r>
      <w:bookmarkEnd w:id="28"/>
      <w:bookmarkEnd w:id="29"/>
      <w:bookmarkEnd w:id="30"/>
      <w:bookmarkEnd w:id="31"/>
      <w:r w:rsidRPr="004F2AC3">
        <w:rPr>
          <w:rFonts w:ascii="Garamond" w:hAnsi="Garamond" w:cs="Times New Roman"/>
          <w:b/>
          <w:color w:val="000000" w:themeColor="text1"/>
          <w:sz w:val="24"/>
          <w:szCs w:val="24"/>
        </w:rPr>
        <w:t xml:space="preserve">: </w:t>
      </w:r>
      <w:r w:rsidRPr="004F2AC3">
        <w:rPr>
          <w:rFonts w:ascii="Garamond" w:eastAsia="Times New Roman" w:hAnsi="Garamond" w:cs="Times New Roman"/>
          <w:i/>
          <w:color w:val="000000" w:themeColor="text1"/>
          <w:sz w:val="24"/>
          <w:szCs w:val="24"/>
        </w:rPr>
        <w:t>Statistikat e kulturës</w:t>
      </w:r>
      <w:r w:rsidRPr="004F2AC3">
        <w:rPr>
          <w:rFonts w:ascii="Garamond" w:eastAsia="Times New Roman" w:hAnsi="Garamond" w:cs="Times New Roman"/>
          <w:color w:val="000000" w:themeColor="text1"/>
          <w:sz w:val="24"/>
          <w:szCs w:val="24"/>
        </w:rPr>
        <w:t xml:space="preserve"> janë pjesërisht të përafruara me Rregulloren (BE) </w:t>
      </w:r>
      <w:r w:rsidR="00AB132E"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 1295/2013</w:t>
      </w:r>
      <w:r w:rsidR="00AB132E"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statistikat e kulturës</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Për zhvillimin e mëtejshëm të statistikave në linjë me rregulloren, INSTAT</w:t>
      </w:r>
      <w:r w:rsidR="00AB132E"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do të vijojë ndjekjen dhe konsultim</w:t>
      </w:r>
      <w:r w:rsidR="00AB132E" w:rsidRPr="004F2AC3">
        <w:rPr>
          <w:rFonts w:ascii="Garamond" w:eastAsia="Times New Roman" w:hAnsi="Garamond" w:cs="Times New Roman"/>
          <w:color w:val="000000" w:themeColor="text1"/>
          <w:sz w:val="24"/>
          <w:szCs w:val="24"/>
        </w:rPr>
        <w:t>in me metodologjinë e Eurostat.</w:t>
      </w:r>
    </w:p>
    <w:p w14:paraId="695B50A7" w14:textId="0067E411"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1.9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Përdorimi i kohës</w:t>
      </w:r>
      <w:r w:rsidR="00D32864" w:rsidRPr="004F2AC3">
        <w:rPr>
          <w:rFonts w:ascii="Garamond" w:eastAsia="Times New Roman" w:hAnsi="Garamond" w:cs="Times New Roman"/>
          <w:b/>
          <w:color w:val="000000" w:themeColor="text1"/>
          <w:sz w:val="24"/>
          <w:szCs w:val="24"/>
        </w:rPr>
        <w:t>”</w:t>
      </w:r>
    </w:p>
    <w:p w14:paraId="6F31FE4B" w14:textId="5CBB2F30" w:rsidR="000F566F" w:rsidRPr="004F2AC3" w:rsidRDefault="000F566F" w:rsidP="000F566F">
      <w:pPr>
        <w:spacing w:after="0" w:line="240" w:lineRule="auto"/>
        <w:ind w:firstLine="284"/>
        <w:jc w:val="both"/>
        <w:rPr>
          <w:rFonts w:ascii="Garamond" w:eastAsia="Calibri" w:hAnsi="Garamond" w:cs="Times New Roman"/>
          <w:color w:val="000000" w:themeColor="text1"/>
          <w:sz w:val="24"/>
          <w:szCs w:val="24"/>
          <w:lang w:eastAsia="en-GB"/>
        </w:rPr>
      </w:pPr>
      <w:r w:rsidRPr="004F2AC3">
        <w:rPr>
          <w:rFonts w:ascii="Garamond" w:hAnsi="Garamond" w:cs="Times New Roman"/>
          <w:color w:val="000000" w:themeColor="text1"/>
          <w:sz w:val="24"/>
          <w:szCs w:val="24"/>
        </w:rPr>
        <w:t>Për realizimin e kësaj teme statistikore, INSTAT</w:t>
      </w:r>
      <w:r w:rsidR="00AB132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kryen vrojtimin e përdorimit të kohës një herë në 10 vjet, objektiv i të cilit është matja e</w:t>
      </w:r>
      <w:r w:rsidRPr="004F2AC3">
        <w:rPr>
          <w:rFonts w:ascii="Garamond" w:eastAsia="Calibri" w:hAnsi="Garamond" w:cs="Times New Roman"/>
          <w:color w:val="000000" w:themeColor="text1"/>
          <w:sz w:val="24"/>
          <w:szCs w:val="24"/>
          <w:lang w:eastAsia="en-GB"/>
        </w:rPr>
        <w:t xml:space="preserve"> përdorimit të kohës</w:t>
      </w:r>
      <w:r w:rsidR="003F4F23" w:rsidRPr="004F2AC3">
        <w:rPr>
          <w:rFonts w:ascii="Garamond" w:eastAsia="Calibri" w:hAnsi="Garamond" w:cs="Times New Roman"/>
          <w:color w:val="000000" w:themeColor="text1"/>
          <w:sz w:val="24"/>
          <w:szCs w:val="24"/>
          <w:lang w:eastAsia="en-GB"/>
        </w:rPr>
        <w:t>,</w:t>
      </w:r>
      <w:r w:rsidRPr="004F2AC3">
        <w:rPr>
          <w:rFonts w:ascii="Garamond" w:eastAsia="Calibri" w:hAnsi="Garamond" w:cs="Times New Roman"/>
          <w:color w:val="000000" w:themeColor="text1"/>
          <w:sz w:val="24"/>
          <w:szCs w:val="24"/>
          <w:lang w:eastAsia="en-GB"/>
        </w:rPr>
        <w:t xml:space="preserve"> me qëllim realizimin e vlerësimeve përfaqësuese në nivel kombëtar për mënyrën se si e përdorin njerëzit kohën e tyre për aktivitete të ndryshme të jetës.</w:t>
      </w:r>
    </w:p>
    <w:p w14:paraId="6BF5651A" w14:textId="4769E723" w:rsidR="000F566F" w:rsidRPr="004F2AC3" w:rsidRDefault="000F566F" w:rsidP="000F566F">
      <w:pPr>
        <w:spacing w:after="0" w:line="240" w:lineRule="auto"/>
        <w:ind w:firstLine="284"/>
        <w:jc w:val="both"/>
        <w:rPr>
          <w:rFonts w:ascii="Garamond" w:eastAsia="Calibri" w:hAnsi="Garamond" w:cs="Times New Roman"/>
          <w:color w:val="000000" w:themeColor="text1"/>
          <w:sz w:val="24"/>
          <w:szCs w:val="24"/>
          <w:lang w:eastAsia="en-GB"/>
        </w:rPr>
      </w:pPr>
      <w:r w:rsidRPr="004F2AC3">
        <w:rPr>
          <w:rFonts w:ascii="Garamond" w:hAnsi="Garamond" w:cs="Times New Roman"/>
          <w:b/>
          <w:color w:val="000000" w:themeColor="text1"/>
          <w:sz w:val="24"/>
          <w:szCs w:val="24"/>
        </w:rPr>
        <w:t>Tregues kryesorë:</w:t>
      </w:r>
      <w:r w:rsidRPr="004F2AC3">
        <w:rPr>
          <w:rFonts w:ascii="Garamond" w:hAnsi="Garamond" w:cs="Times New Roman"/>
          <w:color w:val="000000" w:themeColor="text1"/>
          <w:sz w:val="24"/>
          <w:szCs w:val="24"/>
        </w:rPr>
        <w:t xml:space="preserve"> Si tregues </w:t>
      </w:r>
      <w:r w:rsidR="003F4F23" w:rsidRPr="004F2AC3">
        <w:rPr>
          <w:rFonts w:ascii="Garamond" w:hAnsi="Garamond" w:cs="Times New Roman"/>
          <w:color w:val="000000" w:themeColor="text1"/>
          <w:sz w:val="24"/>
          <w:szCs w:val="24"/>
        </w:rPr>
        <w:t>kryesorë</w:t>
      </w:r>
      <w:r w:rsidRPr="004F2AC3">
        <w:rPr>
          <w:rFonts w:ascii="Garamond" w:hAnsi="Garamond" w:cs="Times New Roman"/>
          <w:color w:val="000000" w:themeColor="text1"/>
          <w:sz w:val="24"/>
          <w:szCs w:val="24"/>
        </w:rPr>
        <w:t xml:space="preserve"> të këtij vrojtimi mund të përmendim </w:t>
      </w:r>
      <w:r w:rsidRPr="004F2AC3">
        <w:rPr>
          <w:rFonts w:ascii="Garamond" w:eastAsia="Calibri" w:hAnsi="Garamond" w:cs="Times New Roman"/>
          <w:color w:val="000000" w:themeColor="text1"/>
          <w:sz w:val="24"/>
          <w:szCs w:val="24"/>
          <w:lang w:eastAsia="en-GB"/>
        </w:rPr>
        <w:t>treguesit mbi shkallët e pjesëmarrjes në aktivitetet kryesore, si dhe koha mesatare e shpenzuar në to.</w:t>
      </w:r>
    </w:p>
    <w:p w14:paraId="403478FA" w14:textId="45797779"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acquis</w:t>
      </w:r>
      <w:r w:rsidRPr="004F2AC3">
        <w:rPr>
          <w:rFonts w:ascii="Garamond" w:hAnsi="Garamond" w:cs="Times New Roman"/>
          <w:b/>
          <w:color w:val="000000" w:themeColor="text1"/>
          <w:sz w:val="24"/>
          <w:szCs w:val="24"/>
        </w:rPr>
        <w:t xml:space="preserve">: </w:t>
      </w:r>
      <w:r w:rsidRPr="004F2AC3">
        <w:rPr>
          <w:rFonts w:ascii="Garamond" w:eastAsia="Times New Roman" w:hAnsi="Garamond" w:cs="Times New Roman"/>
          <w:color w:val="000000" w:themeColor="text1"/>
          <w:sz w:val="24"/>
          <w:szCs w:val="24"/>
        </w:rPr>
        <w:t>Vrojtimi i Përdorimit të Kohës bazohet në Marrëveshjen e Mirëkuptimit në nivel BE-je (</w:t>
      </w:r>
      <w:r w:rsidRPr="004F2AC3">
        <w:rPr>
          <w:rFonts w:ascii="Garamond" w:eastAsia="Times New Roman" w:hAnsi="Garamond" w:cs="Times New Roman"/>
          <w:i/>
          <w:color w:val="000000" w:themeColor="text1"/>
          <w:sz w:val="24"/>
          <w:szCs w:val="24"/>
        </w:rPr>
        <w:t>gentlemen’s agreement</w:t>
      </w:r>
      <w:r w:rsidRPr="004F2AC3">
        <w:rPr>
          <w:rFonts w:ascii="Garamond" w:eastAsia="Times New Roman" w:hAnsi="Garamond" w:cs="Times New Roman"/>
          <w:color w:val="000000" w:themeColor="text1"/>
          <w:sz w:val="24"/>
          <w:szCs w:val="24"/>
        </w:rPr>
        <w:t>), ku secili shtet anëtar vendos objektivat, metodologjinë dhe frekuencën e kryerjes së vrojtimit. Bazuar në këtë marrëveshje, plotshmëria e të dhënave të vrojtimit është në përputhje me objektivat e përcaktuara nga INSTAT</w:t>
      </w:r>
      <w:r w:rsidR="003F4F23"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w:t>
      </w:r>
    </w:p>
    <w:p w14:paraId="21487661" w14:textId="0B4E224F" w:rsidR="000F566F" w:rsidRPr="004F2AC3" w:rsidRDefault="000F566F" w:rsidP="000F566F">
      <w:pPr>
        <w:keepNext/>
        <w:keepLines/>
        <w:spacing w:after="0" w:line="240" w:lineRule="auto"/>
        <w:ind w:firstLine="284"/>
        <w:outlineLvl w:val="1"/>
        <w:rPr>
          <w:rFonts w:ascii="Garamond" w:eastAsia="Times New Roman" w:hAnsi="Garamond" w:cs="Times New Roman"/>
          <w:b/>
          <w:bCs/>
          <w:color w:val="000000" w:themeColor="text1"/>
          <w:sz w:val="24"/>
          <w:szCs w:val="24"/>
        </w:rPr>
      </w:pPr>
      <w:bookmarkStart w:id="32" w:name="_Toc215132188"/>
      <w:r w:rsidRPr="004F2AC3">
        <w:rPr>
          <w:rFonts w:ascii="Garamond" w:eastAsia="Times New Roman" w:hAnsi="Garamond" w:cs="Times New Roman"/>
          <w:b/>
          <w:bCs/>
          <w:color w:val="000000" w:themeColor="text1"/>
          <w:sz w:val="24"/>
          <w:szCs w:val="24"/>
        </w:rPr>
        <w:t xml:space="preserve">Fusha 2 </w:t>
      </w:r>
      <w:r w:rsidR="00D32864" w:rsidRPr="004F2AC3">
        <w:rPr>
          <w:rFonts w:ascii="Garamond" w:eastAsia="Times New Roman" w:hAnsi="Garamond" w:cs="Times New Roman"/>
          <w:b/>
          <w:bCs/>
          <w:color w:val="000000" w:themeColor="text1"/>
          <w:sz w:val="24"/>
          <w:szCs w:val="24"/>
        </w:rPr>
        <w:t>“</w:t>
      </w:r>
      <w:r w:rsidRPr="004F2AC3">
        <w:rPr>
          <w:rFonts w:ascii="Garamond" w:eastAsia="Times New Roman" w:hAnsi="Garamond" w:cs="Times New Roman"/>
          <w:b/>
          <w:bCs/>
          <w:color w:val="000000" w:themeColor="text1"/>
          <w:sz w:val="24"/>
          <w:szCs w:val="24"/>
        </w:rPr>
        <w:t>Statistikat Ekonomike</w:t>
      </w:r>
      <w:r w:rsidR="00D32864" w:rsidRPr="004F2AC3">
        <w:rPr>
          <w:rFonts w:ascii="Garamond" w:eastAsia="Times New Roman" w:hAnsi="Garamond" w:cs="Times New Roman"/>
          <w:b/>
          <w:bCs/>
          <w:color w:val="000000" w:themeColor="text1"/>
          <w:sz w:val="24"/>
          <w:szCs w:val="24"/>
        </w:rPr>
        <w:t>”</w:t>
      </w:r>
      <w:bookmarkEnd w:id="32"/>
    </w:p>
    <w:p w14:paraId="73F2366F"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ekonomike përfshijnë temat statistikore si: Statistikat Makroekonomike, Statistikat Financiare të Qeverisë, Fiskale dhe Sektorit Publik dhe Statistikat e Biznesit, të cilat luajnë një rol të rëndësishëm në hartimin e politikave ekonomike dhe përbëjnë bazën kryesore të informacionit për analiza të mëtejshme mbi zhvillimin dhe ndryshimet strukturore të ekonomisë së vendit.</w:t>
      </w:r>
    </w:p>
    <w:p w14:paraId="2E1F404E"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Qëllimi kryesor i statistikave ekonomike është që të sigurojnë të dhëna në kohë dhe me cilësi të lartë të treguesve statistikorë, të cilët ndihmojnë në hartimin e politikave ekonomike, si dhe në monitorimin dhe menaxhimin e këtyre fushave.</w:t>
      </w:r>
    </w:p>
    <w:p w14:paraId="7FF2AD19" w14:textId="7370F1E5"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Objektivi kryesor për vitin 2026 për statistikat ekonomike është realizimi i të gjithë objektivave sipas Programit të Statistikave Zyrtare 2022</w:t>
      </w:r>
      <w:r w:rsidR="003F4F23"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2026</w:t>
      </w:r>
      <w:r w:rsidR="00D449AF"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me fokus rritjen e cilësisë dhe plotshmërisë së serive kohore për treguesit me frekuencë mujore, tremujore dhe vjetore, duke synuar rritjen e nivelit të përafrimit me </w:t>
      </w:r>
      <w:r w:rsidRPr="004F2AC3">
        <w:rPr>
          <w:rFonts w:ascii="Garamond" w:hAnsi="Garamond" w:cs="Times New Roman"/>
          <w:i/>
          <w:color w:val="000000" w:themeColor="text1"/>
          <w:sz w:val="24"/>
          <w:szCs w:val="24"/>
        </w:rPr>
        <w:t>acquis</w:t>
      </w:r>
      <w:r w:rsidRPr="004F2AC3">
        <w:rPr>
          <w:rFonts w:ascii="Garamond" w:hAnsi="Garamond" w:cs="Times New Roman"/>
          <w:color w:val="000000" w:themeColor="text1"/>
          <w:sz w:val="24"/>
          <w:szCs w:val="24"/>
        </w:rPr>
        <w:t xml:space="preserve"> përkatëse. Ndër zhvillimet e reja të parashikuara në vitin 2026, do të jetë zbatimi i përmirësimeve metodologjike, përpilimi i treguesve të rinj statistikorë, zgjerim i serive kohore, në terma vjetorë dhe tremujorë, ku synohet integrimi i të gjithë përmirësimeve të ndërmarra në këtë fushë me asistencën e Eurost</w:t>
      </w:r>
      <w:r w:rsidR="00D449AF" w:rsidRPr="004F2AC3">
        <w:rPr>
          <w:rFonts w:ascii="Garamond" w:hAnsi="Garamond" w:cs="Times New Roman"/>
          <w:color w:val="000000" w:themeColor="text1"/>
          <w:sz w:val="24"/>
          <w:szCs w:val="24"/>
        </w:rPr>
        <w:t>atit.</w:t>
      </w:r>
    </w:p>
    <w:p w14:paraId="1BE7A433" w14:textId="553B14E3"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Do të synohet përdorimi gjithnjë e në rritje i burimeve administrative për prodhimin e statistikave ekonomike, me qëllim kryesor uljen e kostos së mbledhjes së të dhënave, zvogëlimin e ngarkesës për ndërmarrjet dhe rritjen e efikasitetit në proceset statistikore. Ky drejtim strategjik do të mundësojë një sistem më të qëndrueshëm, më ekonomik dhe më të përshtatur me standardet e BE-së, por </w:t>
      </w:r>
      <w:r w:rsidR="00D449AF" w:rsidRPr="004F2AC3">
        <w:rPr>
          <w:rFonts w:ascii="Garamond" w:hAnsi="Garamond" w:cs="Times New Roman"/>
          <w:color w:val="000000" w:themeColor="text1"/>
          <w:sz w:val="24"/>
          <w:szCs w:val="24"/>
        </w:rPr>
        <w:t>aktivitetet</w:t>
      </w:r>
      <w:r w:rsidRPr="004F2AC3">
        <w:rPr>
          <w:rFonts w:ascii="Garamond" w:hAnsi="Garamond" w:cs="Times New Roman"/>
          <w:color w:val="000000" w:themeColor="text1"/>
          <w:sz w:val="24"/>
          <w:szCs w:val="24"/>
        </w:rPr>
        <w:t xml:space="preserve"> do të plotësohen edhe me vrojtimet statistikore, për informacione të munguara nga burimet administrative. Vrojtimet</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që do të realizohen gjatë vitit 2026 paraqiten në tabelën e mëposhtme:</w:t>
      </w:r>
    </w:p>
    <w:p w14:paraId="209305C8"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p>
    <w:p w14:paraId="4351878C" w14:textId="60D67650" w:rsidR="000F566F" w:rsidRPr="004F2AC3" w:rsidRDefault="000F566F" w:rsidP="000F566F">
      <w:pPr>
        <w:spacing w:after="0" w:line="240" w:lineRule="auto"/>
        <w:ind w:firstLine="284"/>
        <w:contextualSpacing/>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11</w:t>
      </w:r>
      <w:r w:rsidR="00D449AF" w:rsidRPr="004F2AC3">
        <w:rPr>
          <w:rFonts w:ascii="Garamond" w:hAnsi="Garamond" w:cs="Times New Roman"/>
          <w:b/>
          <w:color w:val="000000" w:themeColor="text1"/>
          <w:sz w:val="24"/>
          <w:szCs w:val="24"/>
        </w:rPr>
        <w:t>:</w:t>
      </w:r>
      <w:r w:rsidR="00684E85" w:rsidRPr="004F2AC3">
        <w:rPr>
          <w:rFonts w:ascii="Garamond" w:hAnsi="Garamond" w:cs="Times New Roman"/>
          <w:b/>
          <w:color w:val="000000" w:themeColor="text1"/>
          <w:sz w:val="24"/>
          <w:szCs w:val="24"/>
        </w:rPr>
        <w:t xml:space="preserve"> </w:t>
      </w:r>
      <w:r w:rsidRPr="004F2AC3">
        <w:rPr>
          <w:rFonts w:ascii="Garamond" w:hAnsi="Garamond" w:cs="Times New Roman"/>
          <w:b/>
          <w:color w:val="000000" w:themeColor="text1"/>
          <w:sz w:val="24"/>
          <w:szCs w:val="24"/>
        </w:rPr>
        <w:t xml:space="preserve">Lista e vrojtimeve për 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5B3A9C" w:rsidRPr="004F2AC3">
        <w:rPr>
          <w:rFonts w:ascii="Garamond" w:hAnsi="Garamond" w:cs="Times New Roman"/>
          <w:b/>
          <w:color w:val="000000" w:themeColor="text1"/>
          <w:sz w:val="24"/>
          <w:szCs w:val="24"/>
        </w:rPr>
        <w:t>ekonomike</w:t>
      </w:r>
      <w:r w:rsidR="00D32864" w:rsidRPr="004F2AC3">
        <w:rPr>
          <w:rFonts w:ascii="Garamond" w:hAnsi="Garamond" w:cs="Times New Roman"/>
          <w:b/>
          <w:color w:val="000000" w:themeColor="text1"/>
          <w:sz w:val="24"/>
          <w:szCs w:val="24"/>
        </w:rPr>
        <w:t>”</w:t>
      </w:r>
    </w:p>
    <w:tbl>
      <w:tblPr>
        <w:tblStyle w:val="ListTable3-Accent111"/>
        <w:tblW w:w="0" w:type="auto"/>
        <w:tblLook w:val="04A0" w:firstRow="1" w:lastRow="0" w:firstColumn="1" w:lastColumn="0" w:noHBand="0" w:noVBand="1"/>
      </w:tblPr>
      <w:tblGrid>
        <w:gridCol w:w="7083"/>
        <w:gridCol w:w="1933"/>
      </w:tblGrid>
      <w:tr w:rsidR="000F566F" w:rsidRPr="004F2AC3" w14:paraId="55FCC973" w14:textId="77777777" w:rsidTr="00B66B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83" w:type="dxa"/>
          </w:tcPr>
          <w:p w14:paraId="29C9E10C" w14:textId="77777777" w:rsidR="000F566F" w:rsidRPr="004F2AC3" w:rsidRDefault="000F566F" w:rsidP="00B66BF4">
            <w:pPr>
              <w:ind w:firstLine="284"/>
              <w:contextualSpacing/>
              <w:jc w:val="both"/>
              <w:rPr>
                <w:rFonts w:ascii="Garamond" w:eastAsia="MS Mincho" w:hAnsi="Garamond" w:cs="Times New Roman"/>
                <w:color w:val="000000" w:themeColor="text1"/>
                <w:sz w:val="20"/>
                <w:szCs w:val="20"/>
                <w:lang w:val="sq-AL"/>
              </w:rPr>
            </w:pPr>
            <w:r w:rsidRPr="004F2AC3">
              <w:rPr>
                <w:rFonts w:ascii="Garamond" w:eastAsia="MS Mincho" w:hAnsi="Garamond" w:cs="Times New Roman"/>
                <w:color w:val="000000" w:themeColor="text1"/>
                <w:sz w:val="20"/>
                <w:szCs w:val="20"/>
                <w:lang w:val="sq-AL"/>
              </w:rPr>
              <w:t>Vrojtimi</w:t>
            </w:r>
          </w:p>
        </w:tc>
        <w:tc>
          <w:tcPr>
            <w:tcW w:w="1933" w:type="dxa"/>
          </w:tcPr>
          <w:p w14:paraId="40CB655F" w14:textId="77777777" w:rsidR="000F566F" w:rsidRPr="004F2AC3" w:rsidRDefault="000F566F" w:rsidP="00B66BF4">
            <w:pPr>
              <w:ind w:firstLine="284"/>
              <w:contextualSpacing/>
              <w:jc w:val="right"/>
              <w:cnfStyle w:val="100000000000" w:firstRow="1" w:lastRow="0" w:firstColumn="0" w:lastColumn="0" w:oddVBand="0" w:evenVBand="0" w:oddHBand="0" w:evenHBand="0" w:firstRowFirstColumn="0" w:firstRowLastColumn="0" w:lastRowFirstColumn="0" w:lastRowLastColumn="0"/>
              <w:rPr>
                <w:rFonts w:ascii="Garamond" w:eastAsia="MS Mincho" w:hAnsi="Garamond" w:cs="Times New Roman"/>
                <w:color w:val="000000" w:themeColor="text1"/>
                <w:sz w:val="20"/>
                <w:szCs w:val="20"/>
                <w:lang w:val="sq-AL"/>
              </w:rPr>
            </w:pPr>
            <w:r w:rsidRPr="004F2AC3">
              <w:rPr>
                <w:rFonts w:ascii="Garamond" w:eastAsia="MS Mincho" w:hAnsi="Garamond" w:cs="Times New Roman"/>
                <w:color w:val="000000" w:themeColor="text1"/>
                <w:sz w:val="20"/>
                <w:szCs w:val="20"/>
                <w:lang w:val="sq-AL"/>
              </w:rPr>
              <w:t>Burimi i financimit</w:t>
            </w:r>
          </w:p>
        </w:tc>
      </w:tr>
      <w:tr w:rsidR="000F566F" w:rsidRPr="004F2AC3" w14:paraId="63623609"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5DC915BF" w14:textId="77777777" w:rsidR="000F566F" w:rsidRPr="004F2AC3" w:rsidRDefault="000F566F" w:rsidP="00B66BF4">
            <w:pPr>
              <w:ind w:firstLine="284"/>
              <w:contextualSpacing/>
              <w:jc w:val="both"/>
              <w:rPr>
                <w:rFonts w:ascii="Garamond" w:eastAsia="MS Mincho" w:hAnsi="Garamond" w:cs="Times New Roman"/>
                <w:b w:val="0"/>
                <w:color w:val="000000" w:themeColor="text1"/>
                <w:sz w:val="20"/>
                <w:szCs w:val="20"/>
                <w:lang w:val="sq-AL"/>
              </w:rPr>
            </w:pPr>
            <w:r w:rsidRPr="004F2AC3">
              <w:rPr>
                <w:rFonts w:ascii="Garamond" w:eastAsia="MS Mincho" w:hAnsi="Garamond" w:cs="Times New Roman"/>
                <w:b w:val="0"/>
                <w:color w:val="000000" w:themeColor="text1"/>
                <w:sz w:val="20"/>
                <w:szCs w:val="20"/>
                <w:lang w:val="sq-AL"/>
              </w:rPr>
              <w:t>1. Vrojtimi strukturor i ndërmarrjeve</w:t>
            </w:r>
          </w:p>
        </w:tc>
        <w:tc>
          <w:tcPr>
            <w:tcW w:w="1933" w:type="dxa"/>
          </w:tcPr>
          <w:p w14:paraId="0654197B" w14:textId="77777777" w:rsidR="000F566F" w:rsidRPr="004F2AC3" w:rsidRDefault="000F566F" w:rsidP="00B66BF4">
            <w:pPr>
              <w:ind w:firstLine="284"/>
              <w:contextualSpacing/>
              <w:jc w:val="right"/>
              <w:cnfStyle w:val="000000100000" w:firstRow="0" w:lastRow="0" w:firstColumn="0" w:lastColumn="0" w:oddVBand="0" w:evenVBand="0" w:oddHBand="1" w:evenHBand="0" w:firstRowFirstColumn="0" w:firstRowLastColumn="0" w:lastRowFirstColumn="0" w:lastRowLastColumn="0"/>
              <w:rPr>
                <w:rFonts w:ascii="Garamond" w:eastAsia="MS Mincho" w:hAnsi="Garamond" w:cs="Times New Roman"/>
                <w:color w:val="000000" w:themeColor="text1"/>
                <w:sz w:val="20"/>
                <w:szCs w:val="20"/>
                <w:lang w:val="sq-AL"/>
              </w:rPr>
            </w:pPr>
            <w:r w:rsidRPr="004F2AC3">
              <w:rPr>
                <w:rFonts w:ascii="Garamond" w:eastAsia="MS Mincho" w:hAnsi="Garamond" w:cs="Times New Roman"/>
                <w:color w:val="000000" w:themeColor="text1"/>
                <w:sz w:val="20"/>
                <w:szCs w:val="20"/>
                <w:lang w:val="sq-AL"/>
              </w:rPr>
              <w:t>Buxhet shteti</w:t>
            </w:r>
          </w:p>
        </w:tc>
      </w:tr>
      <w:tr w:rsidR="000F566F" w:rsidRPr="004F2AC3" w14:paraId="3382A45C"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49BFD382" w14:textId="77777777" w:rsidR="000F566F" w:rsidRPr="004F2AC3" w:rsidRDefault="000F566F" w:rsidP="00B66BF4">
            <w:pPr>
              <w:ind w:firstLine="284"/>
              <w:contextualSpacing/>
              <w:jc w:val="both"/>
              <w:rPr>
                <w:rFonts w:ascii="Garamond" w:eastAsia="MS Mincho" w:hAnsi="Garamond" w:cs="Times New Roman"/>
                <w:b w:val="0"/>
                <w:color w:val="000000" w:themeColor="text1"/>
                <w:sz w:val="20"/>
                <w:szCs w:val="20"/>
                <w:lang w:val="sq-AL"/>
              </w:rPr>
            </w:pPr>
            <w:r w:rsidRPr="004F2AC3">
              <w:rPr>
                <w:rFonts w:ascii="Garamond" w:eastAsia="MS Mincho" w:hAnsi="Garamond" w:cs="Times New Roman"/>
                <w:b w:val="0"/>
                <w:color w:val="000000" w:themeColor="text1"/>
                <w:sz w:val="20"/>
                <w:szCs w:val="20"/>
                <w:lang w:val="sq-AL"/>
              </w:rPr>
              <w:t>2. Vrojtimi i produkteve industriale</w:t>
            </w:r>
          </w:p>
        </w:tc>
        <w:tc>
          <w:tcPr>
            <w:tcW w:w="1933" w:type="dxa"/>
          </w:tcPr>
          <w:p w14:paraId="5F21ECB4" w14:textId="77777777" w:rsidR="000F566F" w:rsidRPr="004F2AC3" w:rsidRDefault="000F566F" w:rsidP="00B66BF4">
            <w:pPr>
              <w:ind w:firstLine="284"/>
              <w:contextualSpacing/>
              <w:jc w:val="right"/>
              <w:cnfStyle w:val="000000000000" w:firstRow="0" w:lastRow="0" w:firstColumn="0" w:lastColumn="0" w:oddVBand="0" w:evenVBand="0" w:oddHBand="0" w:evenHBand="0" w:firstRowFirstColumn="0" w:firstRowLastColumn="0" w:lastRowFirstColumn="0" w:lastRowLastColumn="0"/>
              <w:rPr>
                <w:rFonts w:ascii="Garamond" w:eastAsia="MS Mincho" w:hAnsi="Garamond" w:cs="Times New Roman"/>
                <w:color w:val="000000" w:themeColor="text1"/>
                <w:sz w:val="20"/>
                <w:szCs w:val="20"/>
                <w:lang w:val="sq-AL"/>
              </w:rPr>
            </w:pPr>
            <w:r w:rsidRPr="004F2AC3">
              <w:rPr>
                <w:rFonts w:ascii="Garamond" w:eastAsia="MS Mincho" w:hAnsi="Garamond" w:cs="Times New Roman"/>
                <w:color w:val="000000" w:themeColor="text1"/>
                <w:sz w:val="20"/>
                <w:szCs w:val="20"/>
                <w:lang w:val="sq-AL"/>
              </w:rPr>
              <w:t>Buxhet shteti</w:t>
            </w:r>
          </w:p>
        </w:tc>
      </w:tr>
      <w:tr w:rsidR="000F566F" w:rsidRPr="004F2AC3" w14:paraId="4B5178EF"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35E837A3" w14:textId="77777777" w:rsidR="000F566F" w:rsidRPr="004F2AC3" w:rsidRDefault="000F566F" w:rsidP="00B66BF4">
            <w:pPr>
              <w:ind w:firstLine="284"/>
              <w:contextualSpacing/>
              <w:jc w:val="both"/>
              <w:rPr>
                <w:rFonts w:ascii="Garamond" w:eastAsia="MS Mincho" w:hAnsi="Garamond" w:cs="Times New Roman"/>
                <w:b w:val="0"/>
                <w:color w:val="000000" w:themeColor="text1"/>
                <w:sz w:val="20"/>
                <w:szCs w:val="20"/>
                <w:lang w:val="sq-AL"/>
              </w:rPr>
            </w:pPr>
            <w:r w:rsidRPr="004F2AC3">
              <w:rPr>
                <w:rFonts w:ascii="Garamond" w:eastAsia="MS Mincho" w:hAnsi="Garamond" w:cs="Times New Roman"/>
                <w:b w:val="0"/>
                <w:color w:val="000000" w:themeColor="text1"/>
                <w:sz w:val="20"/>
                <w:szCs w:val="20"/>
                <w:lang w:val="sq-AL"/>
              </w:rPr>
              <w:t>3. Vrojtimi tremujor pranë ndërmarrjeve</w:t>
            </w:r>
          </w:p>
        </w:tc>
        <w:tc>
          <w:tcPr>
            <w:tcW w:w="1933" w:type="dxa"/>
          </w:tcPr>
          <w:p w14:paraId="28AB365E" w14:textId="77777777" w:rsidR="000F566F" w:rsidRPr="004F2AC3" w:rsidRDefault="000F566F" w:rsidP="00B66BF4">
            <w:pPr>
              <w:ind w:firstLine="284"/>
              <w:contextualSpacing/>
              <w:jc w:val="right"/>
              <w:cnfStyle w:val="000000100000" w:firstRow="0" w:lastRow="0" w:firstColumn="0" w:lastColumn="0" w:oddVBand="0" w:evenVBand="0" w:oddHBand="1" w:evenHBand="0" w:firstRowFirstColumn="0" w:firstRowLastColumn="0" w:lastRowFirstColumn="0" w:lastRowLastColumn="0"/>
              <w:rPr>
                <w:rFonts w:ascii="Garamond" w:eastAsia="MS Mincho" w:hAnsi="Garamond" w:cs="Times New Roman"/>
                <w:color w:val="000000" w:themeColor="text1"/>
                <w:sz w:val="20"/>
                <w:szCs w:val="20"/>
                <w:lang w:val="sq-AL"/>
              </w:rPr>
            </w:pPr>
            <w:r w:rsidRPr="004F2AC3">
              <w:rPr>
                <w:rFonts w:ascii="Garamond" w:eastAsia="MS Mincho" w:hAnsi="Garamond" w:cs="Times New Roman"/>
                <w:color w:val="000000" w:themeColor="text1"/>
                <w:sz w:val="20"/>
                <w:szCs w:val="20"/>
                <w:lang w:val="sq-AL"/>
              </w:rPr>
              <w:t>Buxhet shteti</w:t>
            </w:r>
          </w:p>
        </w:tc>
      </w:tr>
      <w:tr w:rsidR="000F566F" w:rsidRPr="004F2AC3" w14:paraId="4A75A090"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0F9938ED" w14:textId="77777777" w:rsidR="000F566F" w:rsidRPr="004F2AC3" w:rsidRDefault="000F566F" w:rsidP="00B66BF4">
            <w:pPr>
              <w:ind w:firstLine="284"/>
              <w:contextualSpacing/>
              <w:jc w:val="both"/>
              <w:rPr>
                <w:rFonts w:ascii="Garamond" w:eastAsia="MS Mincho" w:hAnsi="Garamond" w:cs="Times New Roman"/>
                <w:b w:val="0"/>
                <w:color w:val="000000" w:themeColor="text1"/>
                <w:sz w:val="20"/>
                <w:szCs w:val="20"/>
                <w:lang w:val="sq-AL"/>
              </w:rPr>
            </w:pPr>
            <w:r w:rsidRPr="004F2AC3">
              <w:rPr>
                <w:rFonts w:ascii="Garamond" w:eastAsia="MS Mincho" w:hAnsi="Garamond" w:cs="Times New Roman"/>
                <w:b w:val="0"/>
                <w:color w:val="000000" w:themeColor="text1"/>
                <w:sz w:val="20"/>
                <w:szCs w:val="20"/>
                <w:lang w:val="sq-AL"/>
              </w:rPr>
              <w:t>4. Vrojtimi i çmimeve të prodhimit</w:t>
            </w:r>
          </w:p>
        </w:tc>
        <w:tc>
          <w:tcPr>
            <w:tcW w:w="1933" w:type="dxa"/>
          </w:tcPr>
          <w:p w14:paraId="0429963F" w14:textId="77777777" w:rsidR="000F566F" w:rsidRPr="004F2AC3" w:rsidRDefault="000F566F" w:rsidP="00B66BF4">
            <w:pPr>
              <w:ind w:firstLine="284"/>
              <w:contextualSpacing/>
              <w:jc w:val="right"/>
              <w:cnfStyle w:val="000000000000" w:firstRow="0" w:lastRow="0" w:firstColumn="0" w:lastColumn="0" w:oddVBand="0" w:evenVBand="0" w:oddHBand="0" w:evenHBand="0" w:firstRowFirstColumn="0" w:firstRowLastColumn="0" w:lastRowFirstColumn="0" w:lastRowLastColumn="0"/>
              <w:rPr>
                <w:rFonts w:ascii="Garamond" w:eastAsia="MS Mincho" w:hAnsi="Garamond" w:cs="Times New Roman"/>
                <w:color w:val="000000" w:themeColor="text1"/>
                <w:sz w:val="20"/>
                <w:szCs w:val="20"/>
                <w:lang w:val="sq-AL"/>
              </w:rPr>
            </w:pPr>
            <w:r w:rsidRPr="004F2AC3">
              <w:rPr>
                <w:rFonts w:ascii="Garamond" w:eastAsia="MS Mincho" w:hAnsi="Garamond" w:cs="Times New Roman"/>
                <w:color w:val="000000" w:themeColor="text1"/>
                <w:sz w:val="20"/>
                <w:szCs w:val="20"/>
                <w:lang w:val="sq-AL"/>
              </w:rPr>
              <w:t>Buxhet shteti</w:t>
            </w:r>
          </w:p>
        </w:tc>
      </w:tr>
      <w:tr w:rsidR="000F566F" w:rsidRPr="004F2AC3" w14:paraId="10D18A8E"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1D9D9E90" w14:textId="77777777" w:rsidR="000F566F" w:rsidRPr="004F2AC3" w:rsidRDefault="000F566F" w:rsidP="00B66BF4">
            <w:pPr>
              <w:ind w:firstLine="284"/>
              <w:contextualSpacing/>
              <w:jc w:val="both"/>
              <w:rPr>
                <w:rFonts w:ascii="Garamond" w:eastAsia="MS Mincho" w:hAnsi="Garamond" w:cs="Times New Roman"/>
                <w:b w:val="0"/>
                <w:color w:val="000000" w:themeColor="text1"/>
                <w:sz w:val="20"/>
                <w:szCs w:val="20"/>
                <w:lang w:val="sq-AL"/>
              </w:rPr>
            </w:pPr>
            <w:r w:rsidRPr="004F2AC3">
              <w:rPr>
                <w:rFonts w:ascii="Garamond" w:eastAsia="MS Mincho" w:hAnsi="Garamond" w:cs="Times New Roman"/>
                <w:b w:val="0"/>
                <w:color w:val="000000" w:themeColor="text1"/>
                <w:sz w:val="20"/>
                <w:szCs w:val="20"/>
                <w:lang w:val="sq-AL"/>
              </w:rPr>
              <w:t>5. Vrojtimi i çmimeve të importit</w:t>
            </w:r>
          </w:p>
        </w:tc>
        <w:tc>
          <w:tcPr>
            <w:tcW w:w="1933" w:type="dxa"/>
          </w:tcPr>
          <w:p w14:paraId="42D8C385" w14:textId="77777777" w:rsidR="000F566F" w:rsidRPr="004F2AC3" w:rsidRDefault="000F566F" w:rsidP="00B66BF4">
            <w:pPr>
              <w:ind w:firstLine="284"/>
              <w:contextualSpacing/>
              <w:jc w:val="right"/>
              <w:cnfStyle w:val="000000100000" w:firstRow="0" w:lastRow="0" w:firstColumn="0" w:lastColumn="0" w:oddVBand="0" w:evenVBand="0" w:oddHBand="1" w:evenHBand="0" w:firstRowFirstColumn="0" w:firstRowLastColumn="0" w:lastRowFirstColumn="0" w:lastRowLastColumn="0"/>
              <w:rPr>
                <w:rFonts w:ascii="Garamond" w:eastAsia="MS Mincho" w:hAnsi="Garamond" w:cs="Times New Roman"/>
                <w:color w:val="000000" w:themeColor="text1"/>
                <w:sz w:val="20"/>
                <w:szCs w:val="20"/>
                <w:lang w:val="sq-AL"/>
              </w:rPr>
            </w:pPr>
            <w:r w:rsidRPr="004F2AC3">
              <w:rPr>
                <w:rFonts w:ascii="Garamond" w:eastAsia="MS Mincho" w:hAnsi="Garamond" w:cs="Times New Roman"/>
                <w:color w:val="000000" w:themeColor="text1"/>
                <w:sz w:val="20"/>
                <w:szCs w:val="20"/>
                <w:lang w:val="sq-AL"/>
              </w:rPr>
              <w:t>Buxhet shteti</w:t>
            </w:r>
          </w:p>
        </w:tc>
      </w:tr>
      <w:tr w:rsidR="000F566F" w:rsidRPr="004F2AC3" w14:paraId="719A6F9E"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51BD16C4" w14:textId="77777777" w:rsidR="000F566F" w:rsidRPr="004F2AC3" w:rsidRDefault="000F566F" w:rsidP="00B66BF4">
            <w:pPr>
              <w:ind w:firstLine="284"/>
              <w:contextualSpacing/>
              <w:jc w:val="both"/>
              <w:rPr>
                <w:rFonts w:ascii="Garamond" w:eastAsia="MS Mincho" w:hAnsi="Garamond" w:cs="Times New Roman"/>
                <w:b w:val="0"/>
                <w:color w:val="000000" w:themeColor="text1"/>
                <w:sz w:val="20"/>
                <w:szCs w:val="20"/>
                <w:lang w:val="sq-AL"/>
              </w:rPr>
            </w:pPr>
            <w:r w:rsidRPr="004F2AC3">
              <w:rPr>
                <w:rFonts w:ascii="Garamond" w:eastAsia="MS Mincho" w:hAnsi="Garamond" w:cs="Times New Roman"/>
                <w:b w:val="0"/>
                <w:color w:val="000000" w:themeColor="text1"/>
                <w:sz w:val="20"/>
                <w:szCs w:val="20"/>
                <w:lang w:val="sq-AL"/>
              </w:rPr>
              <w:t>6. Vrojtimi i kostos në ndërtim (në banesa)</w:t>
            </w:r>
          </w:p>
        </w:tc>
        <w:tc>
          <w:tcPr>
            <w:tcW w:w="1933" w:type="dxa"/>
          </w:tcPr>
          <w:p w14:paraId="5E1F4B59" w14:textId="77777777" w:rsidR="000F566F" w:rsidRPr="004F2AC3" w:rsidRDefault="000F566F" w:rsidP="00B66BF4">
            <w:pPr>
              <w:ind w:firstLine="284"/>
              <w:contextualSpacing/>
              <w:jc w:val="right"/>
              <w:cnfStyle w:val="000000000000" w:firstRow="0" w:lastRow="0" w:firstColumn="0" w:lastColumn="0" w:oddVBand="0" w:evenVBand="0" w:oddHBand="0" w:evenHBand="0" w:firstRowFirstColumn="0" w:firstRowLastColumn="0" w:lastRowFirstColumn="0" w:lastRowLastColumn="0"/>
              <w:rPr>
                <w:rFonts w:ascii="Garamond" w:eastAsia="MS Mincho" w:hAnsi="Garamond" w:cs="Times New Roman"/>
                <w:color w:val="000000" w:themeColor="text1"/>
                <w:sz w:val="20"/>
                <w:szCs w:val="20"/>
                <w:lang w:val="sq-AL"/>
              </w:rPr>
            </w:pPr>
            <w:r w:rsidRPr="004F2AC3">
              <w:rPr>
                <w:rFonts w:ascii="Garamond" w:eastAsia="MS Mincho" w:hAnsi="Garamond" w:cs="Times New Roman"/>
                <w:color w:val="000000" w:themeColor="text1"/>
                <w:sz w:val="20"/>
                <w:szCs w:val="20"/>
                <w:lang w:val="sq-AL"/>
              </w:rPr>
              <w:t>Buxhet shteti</w:t>
            </w:r>
          </w:p>
        </w:tc>
      </w:tr>
    </w:tbl>
    <w:p w14:paraId="4CB8FBE1"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p>
    <w:p w14:paraId="7A19A8AC" w14:textId="1D33E7F5" w:rsidR="000F566F" w:rsidRPr="004F2AC3" w:rsidRDefault="000F566F" w:rsidP="00D449A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Ndër zhvillimet e reja të parashikuara në vitin 2026, do të jetë zbatimi i përmirësimeve metodologjike, përpilimi i treguesve të rinj statistikorë, zgjerim i serive kohore, në terma vjetorë dhe tremujorë, ku synohet integrimi i të gjithë përmirësimeve të ndërmarra në këtë fus</w:t>
      </w:r>
      <w:r w:rsidR="00D449AF" w:rsidRPr="004F2AC3">
        <w:rPr>
          <w:rFonts w:ascii="Garamond" w:hAnsi="Garamond" w:cs="Times New Roman"/>
          <w:color w:val="000000" w:themeColor="text1"/>
          <w:sz w:val="24"/>
          <w:szCs w:val="24"/>
        </w:rPr>
        <w:t>hë me asistencën e Eurostatit.</w:t>
      </w:r>
    </w:p>
    <w:p w14:paraId="4568D1FC" w14:textId="06D932B8"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bookmarkStart w:id="33" w:name="_Hlk213082376"/>
      <w:r w:rsidRPr="004F2AC3">
        <w:rPr>
          <w:rFonts w:ascii="Garamond" w:hAnsi="Garamond" w:cs="Times New Roman"/>
          <w:color w:val="000000" w:themeColor="text1"/>
          <w:sz w:val="24"/>
          <w:szCs w:val="24"/>
        </w:rPr>
        <w:t>Niveli aktual i përputhshmërisë me rregulloret përkatëse të BE</w:t>
      </w:r>
      <w:r w:rsidR="00D449AF" w:rsidRPr="004F2AC3">
        <w:rPr>
          <w:rFonts w:ascii="Garamond" w:hAnsi="Garamond" w:cs="Times New Roman"/>
          <w:color w:val="000000" w:themeColor="text1"/>
          <w:sz w:val="24"/>
          <w:szCs w:val="24"/>
        </w:rPr>
        <w:t>-së</w:t>
      </w:r>
      <w:r w:rsidRPr="004F2AC3">
        <w:rPr>
          <w:rFonts w:ascii="Garamond" w:hAnsi="Garamond" w:cs="Times New Roman"/>
          <w:color w:val="000000" w:themeColor="text1"/>
          <w:sz w:val="24"/>
          <w:szCs w:val="24"/>
        </w:rPr>
        <w:t>, paraqitet në tabelën e mëposhtme:</w:t>
      </w:r>
    </w:p>
    <w:bookmarkEnd w:id="33"/>
    <w:p w14:paraId="614C81FE" w14:textId="77777777" w:rsidR="000F566F" w:rsidRPr="004F2AC3" w:rsidRDefault="000F566F" w:rsidP="000F566F">
      <w:pPr>
        <w:spacing w:after="0" w:line="240" w:lineRule="auto"/>
        <w:ind w:firstLine="284"/>
        <w:jc w:val="both"/>
        <w:rPr>
          <w:rFonts w:ascii="Garamond" w:hAnsi="Garamond" w:cs="Times New Roman"/>
          <w:b/>
          <w:bCs/>
          <w:iCs/>
          <w:color w:val="000000" w:themeColor="text1"/>
          <w:sz w:val="24"/>
          <w:szCs w:val="24"/>
        </w:rPr>
      </w:pPr>
    </w:p>
    <w:p w14:paraId="4F23D81F" w14:textId="768A465E"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w:t>
      </w:r>
      <w:r w:rsidR="00D449AF" w:rsidRPr="004F2AC3">
        <w:rPr>
          <w:rFonts w:ascii="Garamond" w:hAnsi="Garamond" w:cs="Times New Roman"/>
          <w:b/>
          <w:color w:val="000000" w:themeColor="text1"/>
          <w:sz w:val="24"/>
          <w:szCs w:val="24"/>
        </w:rPr>
        <w:t xml:space="preserve"> </w:t>
      </w:r>
      <w:r w:rsidRPr="004F2AC3">
        <w:rPr>
          <w:rFonts w:ascii="Garamond" w:hAnsi="Garamond" w:cs="Times New Roman"/>
          <w:b/>
          <w:color w:val="000000" w:themeColor="text1"/>
          <w:sz w:val="24"/>
          <w:szCs w:val="24"/>
        </w:rPr>
        <w:t>12</w:t>
      </w:r>
      <w:r w:rsidR="00D449AF"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Niveli i përputhshmërisë me </w:t>
      </w:r>
      <w:r w:rsidRPr="004F2AC3">
        <w:rPr>
          <w:rFonts w:ascii="Garamond" w:hAnsi="Garamond" w:cs="Times New Roman"/>
          <w:b/>
          <w:i/>
          <w:color w:val="000000" w:themeColor="text1"/>
          <w:sz w:val="24"/>
          <w:szCs w:val="24"/>
        </w:rPr>
        <w:t>acquis</w:t>
      </w:r>
      <w:r w:rsidRPr="004F2AC3">
        <w:rPr>
          <w:rFonts w:ascii="Garamond" w:hAnsi="Garamond" w:cs="Times New Roman"/>
          <w:b/>
          <w:color w:val="000000" w:themeColor="text1"/>
          <w:sz w:val="24"/>
          <w:szCs w:val="24"/>
        </w:rPr>
        <w:t xml:space="preserve"> për 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5B3A9C" w:rsidRPr="004F2AC3">
        <w:rPr>
          <w:rFonts w:ascii="Garamond" w:hAnsi="Garamond" w:cs="Times New Roman"/>
          <w:b/>
          <w:color w:val="000000" w:themeColor="text1"/>
          <w:sz w:val="24"/>
          <w:szCs w:val="24"/>
        </w:rPr>
        <w:t>ekonomike</w:t>
      </w:r>
      <w:r w:rsidR="00D32864" w:rsidRPr="004F2AC3">
        <w:rPr>
          <w:rFonts w:ascii="Garamond" w:hAnsi="Garamond" w:cs="Times New Roman"/>
          <w:b/>
          <w:color w:val="000000" w:themeColor="text1"/>
          <w:sz w:val="24"/>
          <w:szCs w:val="24"/>
        </w:rPr>
        <w:t>”</w:t>
      </w:r>
    </w:p>
    <w:tbl>
      <w:tblPr>
        <w:tblStyle w:val="ListTable3-Accent111"/>
        <w:tblW w:w="0" w:type="auto"/>
        <w:tblLook w:val="04A0" w:firstRow="1" w:lastRow="0" w:firstColumn="1" w:lastColumn="0" w:noHBand="0" w:noVBand="1"/>
      </w:tblPr>
      <w:tblGrid>
        <w:gridCol w:w="7366"/>
        <w:gridCol w:w="1650"/>
      </w:tblGrid>
      <w:tr w:rsidR="000F566F" w:rsidRPr="004F2AC3" w14:paraId="3B00E532" w14:textId="77777777" w:rsidTr="00B66B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366" w:type="dxa"/>
          </w:tcPr>
          <w:p w14:paraId="2D26F7DA" w14:textId="26914CFC" w:rsidR="000F566F" w:rsidRPr="004F2AC3" w:rsidRDefault="000F566F" w:rsidP="00B66BF4">
            <w:pPr>
              <w:ind w:firstLine="284"/>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Tema/</w:t>
            </w:r>
            <w:r w:rsidR="00D449AF" w:rsidRPr="004F2AC3">
              <w:rPr>
                <w:rFonts w:ascii="Garamond" w:hAnsi="Garamond" w:cs="Times New Roman"/>
                <w:color w:val="000000" w:themeColor="text1"/>
                <w:sz w:val="20"/>
                <w:szCs w:val="20"/>
                <w:lang w:val="sq-AL"/>
              </w:rPr>
              <w:t>aktiviteti</w:t>
            </w:r>
          </w:p>
        </w:tc>
        <w:tc>
          <w:tcPr>
            <w:tcW w:w="1650" w:type="dxa"/>
          </w:tcPr>
          <w:p w14:paraId="4AFF30D3" w14:textId="77777777" w:rsidR="000F566F" w:rsidRPr="004F2AC3" w:rsidRDefault="000F566F" w:rsidP="00B66BF4">
            <w:pPr>
              <w:ind w:firstLine="284"/>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Niveli i përputhshmërisë</w:t>
            </w:r>
          </w:p>
        </w:tc>
      </w:tr>
      <w:tr w:rsidR="000F566F" w:rsidRPr="004F2AC3" w14:paraId="29906D24"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2C658123" w14:textId="77777777"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1. Sistemi Evropian i Llogarive</w:t>
            </w:r>
          </w:p>
        </w:tc>
        <w:tc>
          <w:tcPr>
            <w:tcW w:w="1650" w:type="dxa"/>
          </w:tcPr>
          <w:p w14:paraId="4D17EA9D"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35B515C1" w14:textId="77777777" w:rsidTr="00B66BF4">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24B7CB55" w14:textId="500938D1"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2. Llogaritë </w:t>
            </w:r>
            <w:r w:rsidR="005B3A9C" w:rsidRPr="004F2AC3">
              <w:rPr>
                <w:rFonts w:ascii="Garamond" w:hAnsi="Garamond" w:cs="Times New Roman"/>
                <w:b w:val="0"/>
                <w:color w:val="000000" w:themeColor="text1"/>
                <w:sz w:val="20"/>
                <w:szCs w:val="20"/>
                <w:lang w:val="sq-AL"/>
              </w:rPr>
              <w:t>sektoriale vjetore</w:t>
            </w:r>
          </w:p>
        </w:tc>
        <w:tc>
          <w:tcPr>
            <w:tcW w:w="1650" w:type="dxa"/>
          </w:tcPr>
          <w:p w14:paraId="3A0039C5" w14:textId="73BA961A" w:rsidR="000F566F" w:rsidRPr="004F2AC3" w:rsidRDefault="000F566F" w:rsidP="00B66BF4">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w:t>
            </w:r>
            <w:r w:rsidR="00D449AF" w:rsidRPr="004F2AC3">
              <w:rPr>
                <w:rFonts w:ascii="Garamond" w:hAnsi="Garamond" w:cs="Times New Roman"/>
                <w:color w:val="000000" w:themeColor="text1"/>
                <w:sz w:val="20"/>
                <w:szCs w:val="20"/>
                <w:lang w:val="sq-AL"/>
              </w:rPr>
              <w:t xml:space="preserve"> </w:t>
            </w:r>
            <w:r w:rsidRPr="004F2AC3">
              <w:rPr>
                <w:rFonts w:ascii="Garamond" w:hAnsi="Garamond" w:cs="Times New Roman"/>
                <w:color w:val="000000" w:themeColor="text1"/>
                <w:sz w:val="20"/>
                <w:szCs w:val="20"/>
                <w:lang w:val="sq-AL"/>
              </w:rPr>
              <w:t>mesëm</w:t>
            </w:r>
          </w:p>
        </w:tc>
      </w:tr>
      <w:tr w:rsidR="000F566F" w:rsidRPr="004F2AC3" w14:paraId="47BD855B"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7F10691F" w14:textId="30383C08"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3. Llogaritë Kombëtare </w:t>
            </w:r>
            <w:r w:rsidR="005B3A9C" w:rsidRPr="004F2AC3">
              <w:rPr>
                <w:rFonts w:ascii="Garamond" w:hAnsi="Garamond" w:cs="Times New Roman"/>
                <w:b w:val="0"/>
                <w:color w:val="000000" w:themeColor="text1"/>
                <w:sz w:val="20"/>
                <w:szCs w:val="20"/>
                <w:lang w:val="sq-AL"/>
              </w:rPr>
              <w:t xml:space="preserve">vjetore dhe tremujore – Agregatët kryesorë </w:t>
            </w:r>
          </w:p>
        </w:tc>
        <w:tc>
          <w:tcPr>
            <w:tcW w:w="1650" w:type="dxa"/>
          </w:tcPr>
          <w:p w14:paraId="339DCC90"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2FE05963" w14:textId="77777777" w:rsidTr="00B66BF4">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4CB1D41E" w14:textId="68E1597D"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4. Tabelat </w:t>
            </w:r>
            <w:r w:rsidR="005B3A9C" w:rsidRPr="004F2AC3">
              <w:rPr>
                <w:rFonts w:ascii="Garamond" w:hAnsi="Garamond" w:cs="Times New Roman"/>
                <w:b w:val="0"/>
                <w:color w:val="000000" w:themeColor="text1"/>
                <w:sz w:val="20"/>
                <w:szCs w:val="20"/>
                <w:lang w:val="sq-AL"/>
              </w:rPr>
              <w:t xml:space="preserve">burim </w:t>
            </w:r>
            <w:r w:rsidRPr="004F2AC3">
              <w:rPr>
                <w:rFonts w:ascii="Garamond" w:hAnsi="Garamond" w:cs="Times New Roman"/>
                <w:b w:val="0"/>
                <w:color w:val="000000" w:themeColor="text1"/>
                <w:sz w:val="20"/>
                <w:szCs w:val="20"/>
                <w:lang w:val="sq-AL"/>
              </w:rPr>
              <w:t xml:space="preserve">– Përdorime dhe </w:t>
            </w:r>
            <w:r w:rsidR="005B3A9C" w:rsidRPr="004F2AC3">
              <w:rPr>
                <w:rFonts w:ascii="Garamond" w:hAnsi="Garamond" w:cs="Times New Roman"/>
                <w:b w:val="0"/>
                <w:color w:val="000000" w:themeColor="text1"/>
                <w:sz w:val="20"/>
                <w:szCs w:val="20"/>
                <w:lang w:val="sq-AL"/>
              </w:rPr>
              <w:t>input-output</w:t>
            </w:r>
          </w:p>
        </w:tc>
        <w:tc>
          <w:tcPr>
            <w:tcW w:w="1650" w:type="dxa"/>
          </w:tcPr>
          <w:p w14:paraId="5D23577E" w14:textId="77777777" w:rsidR="000F566F" w:rsidRPr="004F2AC3" w:rsidRDefault="000F566F" w:rsidP="00B66BF4">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lartë</w:t>
            </w:r>
          </w:p>
        </w:tc>
      </w:tr>
      <w:tr w:rsidR="000F566F" w:rsidRPr="004F2AC3" w14:paraId="42A82C2B"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4CD1F1EC" w14:textId="77777777"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5. Llogaritë Rajonale</w:t>
            </w:r>
          </w:p>
        </w:tc>
        <w:tc>
          <w:tcPr>
            <w:tcW w:w="1650" w:type="dxa"/>
          </w:tcPr>
          <w:p w14:paraId="2D3AC519"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04ABD34C" w14:textId="77777777" w:rsidTr="00B66BF4">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48B35087" w14:textId="65F4BB95"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6. Llogaritë </w:t>
            </w:r>
            <w:r w:rsidR="005B3A9C" w:rsidRPr="004F2AC3">
              <w:rPr>
                <w:rFonts w:ascii="Garamond" w:hAnsi="Garamond" w:cs="Times New Roman"/>
                <w:b w:val="0"/>
                <w:color w:val="000000" w:themeColor="text1"/>
                <w:sz w:val="20"/>
                <w:szCs w:val="20"/>
                <w:lang w:val="sq-AL"/>
              </w:rPr>
              <w:t xml:space="preserve">financiare </w:t>
            </w:r>
          </w:p>
        </w:tc>
        <w:tc>
          <w:tcPr>
            <w:tcW w:w="1650" w:type="dxa"/>
          </w:tcPr>
          <w:p w14:paraId="22251BE5" w14:textId="77777777" w:rsidR="000F566F" w:rsidRPr="004F2AC3" w:rsidRDefault="000F566F" w:rsidP="00B66BF4">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145964EE"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4ED5B970" w14:textId="380B6591"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7. Treguesit </w:t>
            </w:r>
            <w:r w:rsidR="005B3A9C" w:rsidRPr="004F2AC3">
              <w:rPr>
                <w:rFonts w:ascii="Garamond" w:hAnsi="Garamond" w:cs="Times New Roman"/>
                <w:b w:val="0"/>
                <w:color w:val="000000" w:themeColor="text1"/>
                <w:sz w:val="20"/>
                <w:szCs w:val="20"/>
                <w:lang w:val="sq-AL"/>
              </w:rPr>
              <w:t>monetarë dhe financiarë</w:t>
            </w:r>
          </w:p>
        </w:tc>
        <w:tc>
          <w:tcPr>
            <w:tcW w:w="1650" w:type="dxa"/>
          </w:tcPr>
          <w:p w14:paraId="7837EBAE"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lartë</w:t>
            </w:r>
          </w:p>
        </w:tc>
      </w:tr>
      <w:tr w:rsidR="000F566F" w:rsidRPr="004F2AC3" w14:paraId="7F4B4D0F" w14:textId="77777777" w:rsidTr="00B66BF4">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4481B589" w14:textId="4724E907"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8. Statistikat </w:t>
            </w:r>
            <w:r w:rsidR="005B3A9C" w:rsidRPr="004F2AC3">
              <w:rPr>
                <w:rFonts w:ascii="Garamond" w:hAnsi="Garamond" w:cs="Times New Roman"/>
                <w:b w:val="0"/>
                <w:color w:val="000000" w:themeColor="text1"/>
                <w:sz w:val="20"/>
                <w:szCs w:val="20"/>
                <w:lang w:val="sq-AL"/>
              </w:rPr>
              <w:t xml:space="preserve">financiare të qeverisë - </w:t>
            </w:r>
            <w:r w:rsidRPr="004F2AC3">
              <w:rPr>
                <w:rFonts w:ascii="Garamond" w:hAnsi="Garamond" w:cs="Times New Roman"/>
                <w:b w:val="0"/>
                <w:color w:val="000000" w:themeColor="text1"/>
                <w:sz w:val="20"/>
                <w:szCs w:val="20"/>
                <w:lang w:val="sq-AL"/>
              </w:rPr>
              <w:t>Metodologjia</w:t>
            </w:r>
          </w:p>
        </w:tc>
        <w:tc>
          <w:tcPr>
            <w:tcW w:w="1650" w:type="dxa"/>
          </w:tcPr>
          <w:p w14:paraId="3F1E0FA7" w14:textId="77777777" w:rsidR="000F566F" w:rsidRPr="004F2AC3" w:rsidRDefault="000F566F" w:rsidP="00B66BF4">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7C667BB3"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06D83F06" w14:textId="53153EEF"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9. Statistikat </w:t>
            </w:r>
            <w:r w:rsidR="005B3A9C" w:rsidRPr="004F2AC3">
              <w:rPr>
                <w:rFonts w:ascii="Garamond" w:hAnsi="Garamond" w:cs="Times New Roman"/>
                <w:b w:val="0"/>
                <w:color w:val="000000" w:themeColor="text1"/>
                <w:sz w:val="20"/>
                <w:szCs w:val="20"/>
                <w:lang w:val="sq-AL"/>
              </w:rPr>
              <w:t xml:space="preserve">financiare të qeverisë </w:t>
            </w:r>
            <w:r w:rsidRPr="004F2AC3">
              <w:rPr>
                <w:rFonts w:ascii="Garamond" w:hAnsi="Garamond" w:cs="Times New Roman"/>
                <w:b w:val="0"/>
                <w:color w:val="000000" w:themeColor="text1"/>
                <w:sz w:val="20"/>
                <w:szCs w:val="20"/>
                <w:lang w:val="sq-AL"/>
              </w:rPr>
              <w:t>- Prodhimi i të dhënave</w:t>
            </w:r>
          </w:p>
        </w:tc>
        <w:tc>
          <w:tcPr>
            <w:tcW w:w="1650" w:type="dxa"/>
          </w:tcPr>
          <w:p w14:paraId="30F68559"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6F9C2287" w14:textId="77777777" w:rsidTr="00B66BF4">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02A4701A" w14:textId="7BBB3F3F"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10. Statistikat </w:t>
            </w:r>
            <w:r w:rsidR="005B3A9C" w:rsidRPr="004F2AC3">
              <w:rPr>
                <w:rFonts w:ascii="Garamond" w:hAnsi="Garamond" w:cs="Times New Roman"/>
                <w:b w:val="0"/>
                <w:color w:val="000000" w:themeColor="text1"/>
                <w:sz w:val="20"/>
                <w:szCs w:val="20"/>
                <w:lang w:val="sq-AL"/>
              </w:rPr>
              <w:t xml:space="preserve">financiare të qeverisë </w:t>
            </w:r>
            <w:r w:rsidRPr="004F2AC3">
              <w:rPr>
                <w:rFonts w:ascii="Garamond" w:hAnsi="Garamond" w:cs="Times New Roman"/>
                <w:b w:val="0"/>
                <w:color w:val="000000" w:themeColor="text1"/>
                <w:sz w:val="20"/>
                <w:szCs w:val="20"/>
                <w:lang w:val="sq-AL"/>
              </w:rPr>
              <w:t>– Metodologjia II</w:t>
            </w:r>
            <w:r w:rsidR="00684E85" w:rsidRPr="004F2AC3">
              <w:rPr>
                <w:rFonts w:ascii="Garamond" w:hAnsi="Garamond" w:cs="Times New Roman"/>
                <w:b w:val="0"/>
                <w:color w:val="000000" w:themeColor="text1"/>
                <w:sz w:val="20"/>
                <w:szCs w:val="20"/>
                <w:lang w:val="sq-AL"/>
              </w:rPr>
              <w:t xml:space="preserve"> </w:t>
            </w:r>
          </w:p>
        </w:tc>
        <w:tc>
          <w:tcPr>
            <w:tcW w:w="1650" w:type="dxa"/>
          </w:tcPr>
          <w:p w14:paraId="796D4279" w14:textId="77777777" w:rsidR="000F566F" w:rsidRPr="004F2AC3" w:rsidRDefault="000F566F" w:rsidP="00B66BF4">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6115B7D4"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53E58EA7" w14:textId="24D66595"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11. Regjistri i </w:t>
            </w:r>
            <w:r w:rsidR="005B3A9C" w:rsidRPr="004F2AC3">
              <w:rPr>
                <w:rFonts w:ascii="Garamond" w:hAnsi="Garamond" w:cs="Times New Roman"/>
                <w:b w:val="0"/>
                <w:color w:val="000000" w:themeColor="text1"/>
                <w:sz w:val="20"/>
                <w:szCs w:val="20"/>
                <w:lang w:val="sq-AL"/>
              </w:rPr>
              <w:t>ndërmarrjeve dhe njësitë statistikore</w:t>
            </w:r>
          </w:p>
        </w:tc>
        <w:tc>
          <w:tcPr>
            <w:tcW w:w="1650" w:type="dxa"/>
          </w:tcPr>
          <w:p w14:paraId="289E6F04"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35CD3BEF" w14:textId="77777777" w:rsidTr="00B66BF4">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193A35E1" w14:textId="587BE6F3"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12. Statistikat </w:t>
            </w:r>
            <w:r w:rsidR="005B3A9C" w:rsidRPr="004F2AC3">
              <w:rPr>
                <w:rFonts w:ascii="Garamond" w:hAnsi="Garamond" w:cs="Times New Roman"/>
                <w:b w:val="0"/>
                <w:color w:val="000000" w:themeColor="text1"/>
                <w:sz w:val="20"/>
                <w:szCs w:val="20"/>
                <w:lang w:val="sq-AL"/>
              </w:rPr>
              <w:t>strukturore të ndërmarrjeve</w:t>
            </w:r>
          </w:p>
        </w:tc>
        <w:tc>
          <w:tcPr>
            <w:tcW w:w="1650" w:type="dxa"/>
          </w:tcPr>
          <w:p w14:paraId="6931C7DC" w14:textId="77777777" w:rsidR="000F566F" w:rsidRPr="004F2AC3" w:rsidRDefault="000F566F" w:rsidP="00B66BF4">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566277C2"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1D8100B7" w14:textId="54A2E15C"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13. Statistikat e </w:t>
            </w:r>
            <w:r w:rsidR="005B3A9C" w:rsidRPr="004F2AC3">
              <w:rPr>
                <w:rFonts w:ascii="Garamond" w:hAnsi="Garamond" w:cs="Times New Roman"/>
                <w:b w:val="0"/>
                <w:color w:val="000000" w:themeColor="text1"/>
                <w:sz w:val="20"/>
                <w:szCs w:val="20"/>
                <w:lang w:val="sq-AL"/>
              </w:rPr>
              <w:t xml:space="preserve">produkteve industriale </w:t>
            </w:r>
            <w:r w:rsidRPr="004F2AC3">
              <w:rPr>
                <w:rFonts w:ascii="Garamond" w:hAnsi="Garamond" w:cs="Times New Roman"/>
                <w:b w:val="0"/>
                <w:color w:val="000000" w:themeColor="text1"/>
                <w:sz w:val="20"/>
                <w:szCs w:val="20"/>
                <w:lang w:val="sq-AL"/>
              </w:rPr>
              <w:t>(PRODCOM)</w:t>
            </w:r>
          </w:p>
        </w:tc>
        <w:tc>
          <w:tcPr>
            <w:tcW w:w="1650" w:type="dxa"/>
          </w:tcPr>
          <w:p w14:paraId="79052B7E"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plotë</w:t>
            </w:r>
          </w:p>
        </w:tc>
      </w:tr>
      <w:tr w:rsidR="000F566F" w:rsidRPr="004F2AC3" w14:paraId="6B40878A" w14:textId="77777777" w:rsidTr="00B66BF4">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1A993867" w14:textId="06A4AFE4" w:rsidR="000F566F" w:rsidRPr="004F2AC3" w:rsidRDefault="000F566F" w:rsidP="00B66BF4">
            <w:pPr>
              <w:ind w:firstLine="284"/>
              <w:rPr>
                <w:rFonts w:ascii="Garamond" w:hAnsi="Garamond" w:cs="Times New Roman"/>
                <w:b w:val="0"/>
                <w:color w:val="000000" w:themeColor="text1"/>
                <w:sz w:val="20"/>
                <w:szCs w:val="20"/>
                <w:highlight w:val="yellow"/>
                <w:lang w:val="sq-AL"/>
              </w:rPr>
            </w:pPr>
            <w:r w:rsidRPr="004F2AC3">
              <w:rPr>
                <w:rFonts w:ascii="Garamond" w:hAnsi="Garamond" w:cs="Times New Roman"/>
                <w:b w:val="0"/>
                <w:color w:val="000000" w:themeColor="text1"/>
                <w:sz w:val="20"/>
                <w:szCs w:val="20"/>
                <w:lang w:val="sq-AL"/>
              </w:rPr>
              <w:t xml:space="preserve">14. Statistikat </w:t>
            </w:r>
            <w:r w:rsidR="005B3A9C" w:rsidRPr="004F2AC3">
              <w:rPr>
                <w:rFonts w:ascii="Garamond" w:hAnsi="Garamond" w:cs="Times New Roman"/>
                <w:b w:val="0"/>
                <w:color w:val="000000" w:themeColor="text1"/>
                <w:sz w:val="20"/>
                <w:szCs w:val="20"/>
                <w:lang w:val="sq-AL"/>
              </w:rPr>
              <w:t>afatshkurtra të ndërmarrjeve</w:t>
            </w:r>
          </w:p>
        </w:tc>
        <w:tc>
          <w:tcPr>
            <w:tcW w:w="1650" w:type="dxa"/>
          </w:tcPr>
          <w:p w14:paraId="0315829E" w14:textId="77777777" w:rsidR="000F566F" w:rsidRPr="004F2AC3" w:rsidRDefault="000F566F" w:rsidP="00B66BF4">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ulët</w:t>
            </w:r>
          </w:p>
        </w:tc>
      </w:tr>
      <w:tr w:rsidR="000F566F" w:rsidRPr="004F2AC3" w14:paraId="3E9BC5D4"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shd w:val="clear" w:color="auto" w:fill="auto"/>
          </w:tcPr>
          <w:p w14:paraId="259CB66B" w14:textId="1E553509"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15. Statistikat e </w:t>
            </w:r>
            <w:r w:rsidR="005B3A9C" w:rsidRPr="004F2AC3">
              <w:rPr>
                <w:rFonts w:ascii="Garamond" w:hAnsi="Garamond" w:cs="Times New Roman"/>
                <w:b w:val="0"/>
                <w:color w:val="000000" w:themeColor="text1"/>
                <w:sz w:val="20"/>
                <w:szCs w:val="20"/>
                <w:lang w:val="sq-AL"/>
              </w:rPr>
              <w:t>regjistrave të biznesit</w:t>
            </w:r>
          </w:p>
        </w:tc>
        <w:tc>
          <w:tcPr>
            <w:tcW w:w="1650" w:type="dxa"/>
          </w:tcPr>
          <w:p w14:paraId="080EE60A"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bl>
    <w:p w14:paraId="3EE8E6F8"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p>
    <w:p w14:paraId="07F19DED" w14:textId="690DE17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Agjencitë statistikore përgjegjëse</w:t>
      </w:r>
      <w:r w:rsidRPr="004F2AC3">
        <w:rPr>
          <w:rFonts w:ascii="Garamond" w:hAnsi="Garamond" w:cs="Times New Roman"/>
          <w:color w:val="000000" w:themeColor="text1"/>
          <w:sz w:val="24"/>
          <w:szCs w:val="24"/>
        </w:rPr>
        <w:t>: INSTAT</w:t>
      </w:r>
      <w:r w:rsidR="00D449AF"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Banka e Shqipërisë dhe Ministria e Financave.</w:t>
      </w:r>
    </w:p>
    <w:p w14:paraId="5B443ACD" w14:textId="3F37733D"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Në tabelën e mëposhtme (</w:t>
      </w:r>
      <w:r w:rsidR="00D449AF" w:rsidRPr="004F2AC3">
        <w:rPr>
          <w:rFonts w:ascii="Garamond" w:hAnsi="Garamond" w:cs="Times New Roman"/>
          <w:color w:val="000000" w:themeColor="text1"/>
          <w:sz w:val="24"/>
          <w:szCs w:val="24"/>
        </w:rPr>
        <w:t xml:space="preserve">tabela </w:t>
      </w:r>
      <w:r w:rsidRPr="004F2AC3">
        <w:rPr>
          <w:rFonts w:ascii="Garamond" w:hAnsi="Garamond" w:cs="Times New Roman"/>
          <w:color w:val="000000" w:themeColor="text1"/>
          <w:sz w:val="24"/>
          <w:szCs w:val="24"/>
        </w:rPr>
        <w:t>nr. 11) paraqitet numri i aktiviteteve të kësaj fushe, për kategoritë: per</w:t>
      </w:r>
      <w:r w:rsidR="00D449AF" w:rsidRPr="004F2AC3">
        <w:rPr>
          <w:rFonts w:ascii="Garamond" w:hAnsi="Garamond" w:cs="Times New Roman"/>
          <w:color w:val="000000" w:themeColor="text1"/>
          <w:sz w:val="24"/>
          <w:szCs w:val="24"/>
        </w:rPr>
        <w:t>iodiciteti/burimi i të dhënave/</w:t>
      </w:r>
      <w:r w:rsidRPr="004F2AC3">
        <w:rPr>
          <w:rFonts w:ascii="Garamond" w:hAnsi="Garamond" w:cs="Times New Roman"/>
          <w:color w:val="000000" w:themeColor="text1"/>
          <w:sz w:val="24"/>
          <w:szCs w:val="24"/>
        </w:rPr>
        <w:t>institucioni përgjegjës.</w:t>
      </w:r>
    </w:p>
    <w:p w14:paraId="6390C308" w14:textId="77777777" w:rsidR="000F566F" w:rsidRPr="004F2AC3" w:rsidRDefault="000F566F" w:rsidP="000F566F">
      <w:pPr>
        <w:spacing w:after="0" w:line="240" w:lineRule="auto"/>
        <w:ind w:firstLine="284"/>
        <w:jc w:val="both"/>
        <w:rPr>
          <w:rFonts w:ascii="Garamond" w:hAnsi="Garamond" w:cs="Times New Roman"/>
          <w:b/>
          <w:i/>
          <w:color w:val="000000" w:themeColor="text1"/>
          <w:sz w:val="24"/>
          <w:szCs w:val="24"/>
        </w:rPr>
      </w:pPr>
    </w:p>
    <w:p w14:paraId="102A36DD" w14:textId="3665802D"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i/>
          <w:color w:val="000000" w:themeColor="text1"/>
          <w:sz w:val="24"/>
          <w:szCs w:val="24"/>
        </w:rPr>
        <w:t xml:space="preserve"> </w:t>
      </w:r>
      <w:r w:rsidRPr="004F2AC3">
        <w:rPr>
          <w:rFonts w:ascii="Garamond" w:hAnsi="Garamond" w:cs="Times New Roman"/>
          <w:b/>
          <w:color w:val="000000" w:themeColor="text1"/>
          <w:sz w:val="24"/>
          <w:szCs w:val="24"/>
        </w:rPr>
        <w:t>Tabela nr. 13</w:t>
      </w:r>
      <w:r w:rsidR="00D449AF"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Përmbledhje e numrit të aktiviteteve për </w:t>
      </w:r>
      <w:r w:rsidR="00D449AF" w:rsidRPr="004F2AC3">
        <w:rPr>
          <w:rFonts w:ascii="Garamond" w:hAnsi="Garamond" w:cs="Times New Roman"/>
          <w:b/>
          <w:color w:val="000000" w:themeColor="text1"/>
          <w:sz w:val="24"/>
          <w:szCs w:val="24"/>
        </w:rPr>
        <w:t xml:space="preserve">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5B3A9C" w:rsidRPr="004F2AC3">
        <w:rPr>
          <w:rFonts w:ascii="Garamond" w:hAnsi="Garamond" w:cs="Times New Roman"/>
          <w:b/>
          <w:color w:val="000000" w:themeColor="text1"/>
          <w:sz w:val="24"/>
          <w:szCs w:val="24"/>
        </w:rPr>
        <w:t>ekonomike</w:t>
      </w:r>
      <w:r w:rsidR="00D32864" w:rsidRPr="004F2AC3">
        <w:rPr>
          <w:rFonts w:ascii="Garamond" w:hAnsi="Garamond" w:cs="Times New Roman"/>
          <w:b/>
          <w:color w:val="000000" w:themeColor="text1"/>
          <w:sz w:val="24"/>
          <w:szCs w:val="24"/>
        </w:rPr>
        <w:t>”</w:t>
      </w:r>
    </w:p>
    <w:tbl>
      <w:tblPr>
        <w:tblStyle w:val="LightList-Accent113"/>
        <w:tblW w:w="9021" w:type="dxa"/>
        <w:tblInd w:w="108" w:type="dxa"/>
        <w:tblBorders>
          <w:insideH w:val="single" w:sz="8" w:space="0" w:color="4F81BD"/>
        </w:tblBorders>
        <w:tblLayout w:type="fixed"/>
        <w:tblLook w:val="04A0" w:firstRow="1" w:lastRow="0" w:firstColumn="1" w:lastColumn="0" w:noHBand="0" w:noVBand="1"/>
      </w:tblPr>
      <w:tblGrid>
        <w:gridCol w:w="2276"/>
        <w:gridCol w:w="1333"/>
        <w:gridCol w:w="1356"/>
        <w:gridCol w:w="1940"/>
        <w:gridCol w:w="2116"/>
      </w:tblGrid>
      <w:tr w:rsidR="000F566F" w:rsidRPr="004F2AC3" w14:paraId="3CDF7A27" w14:textId="77777777" w:rsidTr="00B66BF4">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2276" w:type="dxa"/>
          </w:tcPr>
          <w:p w14:paraId="3E87644C" w14:textId="73EAEA1A" w:rsidR="000F566F" w:rsidRPr="004F2AC3" w:rsidRDefault="000F566F" w:rsidP="00CF4B3F">
            <w:pPr>
              <w:jc w:val="center"/>
              <w:rPr>
                <w:rFonts w:ascii="Garamond" w:hAnsi="Garamond"/>
                <w:color w:val="000000" w:themeColor="text1"/>
                <w:lang w:val="sq-AL"/>
              </w:rPr>
            </w:pPr>
            <w:r w:rsidRPr="004F2AC3">
              <w:rPr>
                <w:rFonts w:ascii="Garamond" w:hAnsi="Garamond"/>
                <w:color w:val="000000" w:themeColor="text1"/>
                <w:lang w:val="sq-AL"/>
              </w:rPr>
              <w:t xml:space="preserve">2. Statistikat </w:t>
            </w:r>
            <w:r w:rsidR="00D449AF" w:rsidRPr="004F2AC3">
              <w:rPr>
                <w:rFonts w:ascii="Garamond" w:hAnsi="Garamond"/>
                <w:color w:val="000000" w:themeColor="text1"/>
                <w:lang w:val="sq-AL"/>
              </w:rPr>
              <w:t>ekonomike</w:t>
            </w:r>
          </w:p>
        </w:tc>
        <w:tc>
          <w:tcPr>
            <w:tcW w:w="1333" w:type="dxa"/>
          </w:tcPr>
          <w:p w14:paraId="6B1F914C" w14:textId="77777777" w:rsidR="000F566F" w:rsidRPr="004F2AC3" w:rsidRDefault="000F566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Nr. i aktiviteteve</w:t>
            </w:r>
          </w:p>
          <w:p w14:paraId="3515FAB5" w14:textId="77777777" w:rsidR="000F566F" w:rsidRPr="004F2AC3" w:rsidRDefault="000F566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Statistikore (AS)</w:t>
            </w:r>
          </w:p>
        </w:tc>
        <w:tc>
          <w:tcPr>
            <w:tcW w:w="1356" w:type="dxa"/>
          </w:tcPr>
          <w:p w14:paraId="273FD363" w14:textId="6C8B2973" w:rsidR="000F566F" w:rsidRPr="004F2AC3" w:rsidRDefault="00D449A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Nr. AS</w:t>
            </w:r>
            <w:r w:rsidR="000F566F" w:rsidRPr="004F2AC3">
              <w:rPr>
                <w:rFonts w:ascii="Garamond" w:hAnsi="Garamond"/>
                <w:color w:val="000000" w:themeColor="text1"/>
                <w:lang w:val="sq-AL"/>
              </w:rPr>
              <w:t xml:space="preserve">/ </w:t>
            </w:r>
            <w:r w:rsidRPr="004F2AC3">
              <w:rPr>
                <w:rFonts w:ascii="Garamond" w:hAnsi="Garamond"/>
                <w:color w:val="000000" w:themeColor="text1"/>
                <w:lang w:val="sq-AL"/>
              </w:rPr>
              <w:t xml:space="preserve">periodiciteti </w:t>
            </w:r>
            <w:r w:rsidR="000F566F" w:rsidRPr="004F2AC3">
              <w:rPr>
                <w:rFonts w:ascii="Garamond" w:hAnsi="Garamond"/>
                <w:color w:val="000000" w:themeColor="text1"/>
                <w:lang w:val="sq-AL"/>
              </w:rPr>
              <w:t>*</w:t>
            </w:r>
          </w:p>
          <w:p w14:paraId="569D4A71" w14:textId="77777777" w:rsidR="000F566F" w:rsidRPr="004F2AC3" w:rsidRDefault="000F566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lang w:val="sq-AL"/>
              </w:rPr>
            </w:pPr>
          </w:p>
        </w:tc>
        <w:tc>
          <w:tcPr>
            <w:tcW w:w="1940" w:type="dxa"/>
          </w:tcPr>
          <w:p w14:paraId="6B3DA3D8" w14:textId="721EAB4B" w:rsidR="000F566F" w:rsidRPr="004F2AC3" w:rsidRDefault="000F566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Nr. A</w:t>
            </w:r>
            <w:r w:rsidR="00D449AF" w:rsidRPr="004F2AC3">
              <w:rPr>
                <w:rFonts w:ascii="Garamond" w:hAnsi="Garamond"/>
                <w:color w:val="000000" w:themeColor="text1"/>
                <w:lang w:val="sq-AL"/>
              </w:rPr>
              <w:t>S</w:t>
            </w:r>
            <w:r w:rsidRPr="004F2AC3">
              <w:rPr>
                <w:rFonts w:ascii="Garamond" w:hAnsi="Garamond"/>
                <w:color w:val="000000" w:themeColor="text1"/>
                <w:lang w:val="sq-AL"/>
              </w:rPr>
              <w:t>/</w:t>
            </w:r>
          </w:p>
          <w:p w14:paraId="36C38AA8" w14:textId="3D7116BF" w:rsidR="000F566F" w:rsidRPr="004F2AC3" w:rsidRDefault="00D449A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 xml:space="preserve">burimi </w:t>
            </w:r>
            <w:r w:rsidR="000F566F" w:rsidRPr="004F2AC3">
              <w:rPr>
                <w:rFonts w:ascii="Garamond" w:hAnsi="Garamond"/>
                <w:color w:val="000000" w:themeColor="text1"/>
                <w:lang w:val="sq-AL"/>
              </w:rPr>
              <w:t>i të dhënave**</w:t>
            </w:r>
          </w:p>
          <w:p w14:paraId="06AB2C2C" w14:textId="77777777" w:rsidR="000F566F" w:rsidRPr="004F2AC3" w:rsidRDefault="000F566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lang w:val="sq-AL"/>
              </w:rPr>
            </w:pPr>
          </w:p>
        </w:tc>
        <w:tc>
          <w:tcPr>
            <w:tcW w:w="2116" w:type="dxa"/>
          </w:tcPr>
          <w:p w14:paraId="6FCA3EFE" w14:textId="468DCD9A" w:rsidR="000F566F" w:rsidRPr="004F2AC3" w:rsidRDefault="00D449A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lang w:val="sq-AL" w:eastAsia="ja-JP"/>
              </w:rPr>
            </w:pPr>
            <w:r w:rsidRPr="004F2AC3">
              <w:rPr>
                <w:rFonts w:ascii="Garamond" w:hAnsi="Garamond"/>
                <w:color w:val="000000" w:themeColor="text1"/>
                <w:lang w:val="sq-AL"/>
              </w:rPr>
              <w:t xml:space="preserve">Nr. AS/institucioni </w:t>
            </w:r>
            <w:r w:rsidR="000F566F" w:rsidRPr="004F2AC3">
              <w:rPr>
                <w:rFonts w:ascii="Garamond" w:hAnsi="Garamond"/>
                <w:color w:val="000000" w:themeColor="text1"/>
                <w:lang w:val="sq-AL"/>
              </w:rPr>
              <w:t>përgjegjës</w:t>
            </w:r>
          </w:p>
        </w:tc>
      </w:tr>
      <w:tr w:rsidR="000F566F" w:rsidRPr="004F2AC3" w14:paraId="48190EEF" w14:textId="77777777" w:rsidTr="00B66BF4">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2276" w:type="dxa"/>
            <w:vAlign w:val="center"/>
          </w:tcPr>
          <w:p w14:paraId="645E08F3" w14:textId="77777777" w:rsidR="000F566F" w:rsidRPr="004F2AC3" w:rsidRDefault="000F566F" w:rsidP="00CF4B3F">
            <w:pPr>
              <w:rPr>
                <w:rFonts w:ascii="Garamond" w:hAnsi="Garamond"/>
                <w:b w:val="0"/>
                <w:color w:val="000000" w:themeColor="text1"/>
                <w:lang w:val="sq-AL"/>
              </w:rPr>
            </w:pPr>
            <w:r w:rsidRPr="004F2AC3">
              <w:rPr>
                <w:rFonts w:ascii="Garamond" w:hAnsi="Garamond"/>
                <w:b w:val="0"/>
                <w:color w:val="000000" w:themeColor="text1"/>
                <w:lang w:val="sq-AL"/>
              </w:rPr>
              <w:t>2.1 Makroekonomike</w:t>
            </w:r>
          </w:p>
        </w:tc>
        <w:tc>
          <w:tcPr>
            <w:tcW w:w="1333" w:type="dxa"/>
            <w:vAlign w:val="center"/>
          </w:tcPr>
          <w:p w14:paraId="068A49DE"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6</w:t>
            </w:r>
          </w:p>
        </w:tc>
        <w:tc>
          <w:tcPr>
            <w:tcW w:w="1356" w:type="dxa"/>
            <w:vAlign w:val="center"/>
          </w:tcPr>
          <w:p w14:paraId="0240793B" w14:textId="008696E1"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1</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T</w:t>
            </w:r>
          </w:p>
          <w:p w14:paraId="7E778D05" w14:textId="0FF4B9FD"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5</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V</w:t>
            </w:r>
          </w:p>
        </w:tc>
        <w:tc>
          <w:tcPr>
            <w:tcW w:w="1940" w:type="dxa"/>
            <w:vAlign w:val="center"/>
          </w:tcPr>
          <w:p w14:paraId="4B69E8B0"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6 VS+BA</w:t>
            </w:r>
          </w:p>
        </w:tc>
        <w:tc>
          <w:tcPr>
            <w:tcW w:w="2116" w:type="dxa"/>
            <w:vAlign w:val="center"/>
          </w:tcPr>
          <w:p w14:paraId="391079AF"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6 INSTAT</w:t>
            </w:r>
          </w:p>
        </w:tc>
      </w:tr>
      <w:tr w:rsidR="000F566F" w:rsidRPr="004F2AC3" w14:paraId="14869172" w14:textId="77777777" w:rsidTr="00B66BF4">
        <w:trPr>
          <w:trHeight w:val="16"/>
        </w:trPr>
        <w:tc>
          <w:tcPr>
            <w:cnfStyle w:val="001000000000" w:firstRow="0" w:lastRow="0" w:firstColumn="1" w:lastColumn="0" w:oddVBand="0" w:evenVBand="0" w:oddHBand="0" w:evenHBand="0" w:firstRowFirstColumn="0" w:firstRowLastColumn="0" w:lastRowFirstColumn="0" w:lastRowLastColumn="0"/>
            <w:tcW w:w="2276" w:type="dxa"/>
            <w:vAlign w:val="center"/>
          </w:tcPr>
          <w:p w14:paraId="045EB0EF" w14:textId="77777777" w:rsidR="000F566F" w:rsidRPr="004F2AC3" w:rsidRDefault="000F566F" w:rsidP="00CF4B3F">
            <w:pPr>
              <w:rPr>
                <w:rFonts w:ascii="Garamond" w:hAnsi="Garamond"/>
                <w:b w:val="0"/>
                <w:color w:val="000000" w:themeColor="text1"/>
                <w:lang w:val="sq-AL"/>
              </w:rPr>
            </w:pPr>
            <w:r w:rsidRPr="004F2AC3">
              <w:rPr>
                <w:rFonts w:ascii="Garamond" w:hAnsi="Garamond"/>
                <w:b w:val="0"/>
                <w:color w:val="000000" w:themeColor="text1"/>
                <w:lang w:val="sq-AL"/>
              </w:rPr>
              <w:t>2.2 Statistikat Financiare të Qeverisë, Fiskale dhe të Sektorit Publik</w:t>
            </w:r>
          </w:p>
        </w:tc>
        <w:tc>
          <w:tcPr>
            <w:tcW w:w="1333" w:type="dxa"/>
            <w:vAlign w:val="center"/>
          </w:tcPr>
          <w:p w14:paraId="3FB66697"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6</w:t>
            </w:r>
          </w:p>
        </w:tc>
        <w:tc>
          <w:tcPr>
            <w:tcW w:w="1356" w:type="dxa"/>
            <w:vAlign w:val="center"/>
          </w:tcPr>
          <w:p w14:paraId="538A774F" w14:textId="11DC48B2"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1</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M</w:t>
            </w:r>
          </w:p>
          <w:p w14:paraId="02100458" w14:textId="6490ED19"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1</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T</w:t>
            </w:r>
          </w:p>
          <w:p w14:paraId="3B835400" w14:textId="633BF6A1"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V</w:t>
            </w:r>
          </w:p>
          <w:p w14:paraId="383A480A" w14:textId="6F4216C9"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6M</w:t>
            </w:r>
          </w:p>
        </w:tc>
        <w:tc>
          <w:tcPr>
            <w:tcW w:w="1940" w:type="dxa"/>
            <w:vAlign w:val="center"/>
          </w:tcPr>
          <w:p w14:paraId="2EEA6F6A"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4 BA</w:t>
            </w:r>
          </w:p>
          <w:p w14:paraId="72C10FCB"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eastAsia="ja-JP"/>
              </w:rPr>
            </w:pPr>
            <w:r w:rsidRPr="004F2AC3">
              <w:rPr>
                <w:rFonts w:ascii="Garamond" w:hAnsi="Garamond"/>
                <w:color w:val="000000" w:themeColor="text1"/>
                <w:lang w:val="sq-AL"/>
              </w:rPr>
              <w:t>2- Tjetër</w:t>
            </w:r>
          </w:p>
        </w:tc>
        <w:tc>
          <w:tcPr>
            <w:tcW w:w="2116" w:type="dxa"/>
            <w:vAlign w:val="center"/>
          </w:tcPr>
          <w:p w14:paraId="7387DA3A"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 BSH</w:t>
            </w:r>
          </w:p>
          <w:p w14:paraId="3DCBCA19"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 MFE</w:t>
            </w:r>
          </w:p>
          <w:p w14:paraId="4E14F1A1"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 INSTAT</w:t>
            </w:r>
          </w:p>
        </w:tc>
      </w:tr>
      <w:tr w:rsidR="000F566F" w:rsidRPr="004F2AC3" w14:paraId="0FA7F997" w14:textId="77777777" w:rsidTr="00B66BF4">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2276" w:type="dxa"/>
            <w:vAlign w:val="center"/>
          </w:tcPr>
          <w:p w14:paraId="098681BB" w14:textId="77777777" w:rsidR="000F566F" w:rsidRPr="004F2AC3" w:rsidRDefault="000F566F" w:rsidP="00CF4B3F">
            <w:pPr>
              <w:rPr>
                <w:rFonts w:ascii="Garamond" w:hAnsi="Garamond"/>
                <w:b w:val="0"/>
                <w:color w:val="000000" w:themeColor="text1"/>
                <w:lang w:val="sq-AL"/>
              </w:rPr>
            </w:pPr>
            <w:r w:rsidRPr="004F2AC3">
              <w:rPr>
                <w:rFonts w:ascii="Garamond" w:hAnsi="Garamond"/>
                <w:b w:val="0"/>
                <w:color w:val="000000" w:themeColor="text1"/>
                <w:lang w:val="sq-AL"/>
              </w:rPr>
              <w:t>2.3. Statistikat e Biznesit</w:t>
            </w:r>
          </w:p>
        </w:tc>
        <w:tc>
          <w:tcPr>
            <w:tcW w:w="1333" w:type="dxa"/>
            <w:vAlign w:val="center"/>
          </w:tcPr>
          <w:p w14:paraId="082BA912"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8</w:t>
            </w:r>
          </w:p>
        </w:tc>
        <w:tc>
          <w:tcPr>
            <w:tcW w:w="1356" w:type="dxa"/>
            <w:vAlign w:val="center"/>
          </w:tcPr>
          <w:p w14:paraId="0E01CB9E" w14:textId="3E40432E"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1</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M</w:t>
            </w:r>
          </w:p>
          <w:p w14:paraId="75ED2916" w14:textId="6D7E568F"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T</w:t>
            </w:r>
          </w:p>
          <w:p w14:paraId="264E3624" w14:textId="5FDAD651"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 xml:space="preserve">4 </w:t>
            </w:r>
            <w:r w:rsidR="00D449AF" w:rsidRPr="004F2AC3">
              <w:rPr>
                <w:rFonts w:ascii="Garamond" w:hAnsi="Garamond"/>
                <w:color w:val="000000" w:themeColor="text1"/>
                <w:lang w:val="sq-AL"/>
              </w:rPr>
              <w:t>–</w:t>
            </w:r>
            <w:r w:rsidRPr="004F2AC3">
              <w:rPr>
                <w:rFonts w:ascii="Garamond" w:hAnsi="Garamond"/>
                <w:color w:val="000000" w:themeColor="text1"/>
                <w:lang w:val="sq-AL"/>
              </w:rPr>
              <w:t xml:space="preserve"> V</w:t>
            </w:r>
          </w:p>
          <w:p w14:paraId="217FD461" w14:textId="65B71A94"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1</w:t>
            </w:r>
            <w:r w:rsidR="00D449AF" w:rsidRPr="004F2AC3">
              <w:rPr>
                <w:rFonts w:ascii="Garamond" w:hAnsi="Garamond"/>
                <w:color w:val="000000" w:themeColor="text1"/>
                <w:lang w:val="sq-AL"/>
              </w:rPr>
              <w:t>–</w:t>
            </w:r>
            <w:r w:rsidRPr="004F2AC3">
              <w:rPr>
                <w:rFonts w:ascii="Garamond" w:hAnsi="Garamond"/>
                <w:color w:val="000000" w:themeColor="text1"/>
                <w:lang w:val="sq-AL"/>
              </w:rPr>
              <w:t xml:space="preserve"> rastësisht</w:t>
            </w:r>
          </w:p>
        </w:tc>
        <w:tc>
          <w:tcPr>
            <w:tcW w:w="1940" w:type="dxa"/>
            <w:vAlign w:val="center"/>
          </w:tcPr>
          <w:p w14:paraId="400343C9"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3 VS</w:t>
            </w:r>
          </w:p>
          <w:p w14:paraId="584C58D9"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1 BA</w:t>
            </w:r>
          </w:p>
          <w:p w14:paraId="03F96D14"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4 VS+BA</w:t>
            </w:r>
          </w:p>
          <w:p w14:paraId="12DA4F7E"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p>
        </w:tc>
        <w:tc>
          <w:tcPr>
            <w:tcW w:w="2116" w:type="dxa"/>
            <w:vAlign w:val="center"/>
          </w:tcPr>
          <w:p w14:paraId="5C28433A"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8 INSTAT</w:t>
            </w:r>
          </w:p>
        </w:tc>
      </w:tr>
      <w:tr w:rsidR="000F566F" w:rsidRPr="004F2AC3" w14:paraId="3BA178C6" w14:textId="77777777" w:rsidTr="00B66BF4">
        <w:trPr>
          <w:trHeight w:val="16"/>
        </w:trPr>
        <w:tc>
          <w:tcPr>
            <w:cnfStyle w:val="001000000000" w:firstRow="0" w:lastRow="0" w:firstColumn="1" w:lastColumn="0" w:oddVBand="0" w:evenVBand="0" w:oddHBand="0" w:evenHBand="0" w:firstRowFirstColumn="0" w:firstRowLastColumn="0" w:lastRowFirstColumn="0" w:lastRowLastColumn="0"/>
            <w:tcW w:w="2276" w:type="dxa"/>
            <w:vAlign w:val="center"/>
          </w:tcPr>
          <w:p w14:paraId="3A1ED073" w14:textId="77777777" w:rsidR="000F566F" w:rsidRPr="004F2AC3" w:rsidRDefault="000F566F" w:rsidP="00CF4B3F">
            <w:pPr>
              <w:rPr>
                <w:rFonts w:ascii="Garamond" w:hAnsi="Garamond"/>
                <w:b w:val="0"/>
                <w:color w:val="000000" w:themeColor="text1"/>
                <w:lang w:val="sq-AL"/>
              </w:rPr>
            </w:pPr>
          </w:p>
          <w:p w14:paraId="4B2FA744" w14:textId="77777777" w:rsidR="000F566F" w:rsidRPr="004F2AC3" w:rsidRDefault="000F566F" w:rsidP="00CF4B3F">
            <w:pPr>
              <w:rPr>
                <w:rFonts w:ascii="Garamond" w:hAnsi="Garamond"/>
                <w:b w:val="0"/>
                <w:color w:val="000000" w:themeColor="text1"/>
                <w:lang w:val="sq-AL"/>
              </w:rPr>
            </w:pPr>
          </w:p>
          <w:p w14:paraId="7E30AD39" w14:textId="77777777" w:rsidR="000F566F" w:rsidRPr="004F2AC3" w:rsidRDefault="000F566F" w:rsidP="00CF4B3F">
            <w:pPr>
              <w:rPr>
                <w:rFonts w:ascii="Garamond" w:hAnsi="Garamond"/>
                <w:b w:val="0"/>
                <w:color w:val="000000" w:themeColor="text1"/>
                <w:lang w:val="sq-AL"/>
              </w:rPr>
            </w:pPr>
          </w:p>
          <w:p w14:paraId="2C725586" w14:textId="77777777" w:rsidR="000F566F" w:rsidRPr="004F2AC3" w:rsidRDefault="000F566F" w:rsidP="00CF4B3F">
            <w:pPr>
              <w:rPr>
                <w:rFonts w:ascii="Garamond" w:hAnsi="Garamond"/>
                <w:b w:val="0"/>
                <w:color w:val="000000" w:themeColor="text1"/>
                <w:lang w:val="sq-AL"/>
              </w:rPr>
            </w:pPr>
            <w:r w:rsidRPr="004F2AC3">
              <w:rPr>
                <w:rFonts w:ascii="Garamond" w:hAnsi="Garamond"/>
                <w:b w:val="0"/>
                <w:color w:val="000000" w:themeColor="text1"/>
                <w:lang w:val="sq-AL"/>
              </w:rPr>
              <w:t>Gjithsej</w:t>
            </w:r>
          </w:p>
        </w:tc>
        <w:tc>
          <w:tcPr>
            <w:tcW w:w="1333" w:type="dxa"/>
            <w:vAlign w:val="center"/>
          </w:tcPr>
          <w:p w14:paraId="3947CC39"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20</w:t>
            </w:r>
          </w:p>
        </w:tc>
        <w:tc>
          <w:tcPr>
            <w:tcW w:w="1356" w:type="dxa"/>
            <w:vAlign w:val="center"/>
          </w:tcPr>
          <w:p w14:paraId="127278AF" w14:textId="02F06DBD"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M</w:t>
            </w:r>
          </w:p>
          <w:p w14:paraId="4C8C7A1C" w14:textId="6D50161B"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4</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T</w:t>
            </w:r>
          </w:p>
          <w:p w14:paraId="44356847" w14:textId="2FEBC9DF"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11</w:t>
            </w:r>
            <w:r w:rsidR="00D449AF" w:rsidRPr="004F2AC3">
              <w:rPr>
                <w:rFonts w:ascii="Garamond" w:hAnsi="Garamond"/>
                <w:color w:val="000000" w:themeColor="text1"/>
                <w:lang w:val="sq-AL"/>
              </w:rPr>
              <w:t xml:space="preserve"> – </w:t>
            </w:r>
            <w:r w:rsidRPr="004F2AC3">
              <w:rPr>
                <w:rFonts w:ascii="Garamond" w:hAnsi="Garamond"/>
                <w:color w:val="000000" w:themeColor="text1"/>
                <w:lang w:val="sq-AL"/>
              </w:rPr>
              <w:t>V</w:t>
            </w:r>
          </w:p>
          <w:p w14:paraId="4FEE390B"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2- 6M</w:t>
            </w:r>
          </w:p>
          <w:p w14:paraId="010F3F41"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1-Rastësisht</w:t>
            </w:r>
          </w:p>
        </w:tc>
        <w:tc>
          <w:tcPr>
            <w:tcW w:w="1940" w:type="dxa"/>
            <w:vAlign w:val="center"/>
          </w:tcPr>
          <w:p w14:paraId="40FA5570"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3 VS</w:t>
            </w:r>
          </w:p>
          <w:p w14:paraId="5EAC85B3"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5 BA</w:t>
            </w:r>
          </w:p>
          <w:p w14:paraId="1B920B6E"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10 VS+BA</w:t>
            </w:r>
          </w:p>
          <w:p w14:paraId="4CCD47E9"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2-Tjetër</w:t>
            </w:r>
          </w:p>
          <w:p w14:paraId="7A4CA463"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p>
        </w:tc>
        <w:tc>
          <w:tcPr>
            <w:tcW w:w="2116" w:type="dxa"/>
            <w:vAlign w:val="center"/>
          </w:tcPr>
          <w:p w14:paraId="694B55A2"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16 INSTAT</w:t>
            </w:r>
          </w:p>
          <w:p w14:paraId="0A2128CF"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 BSH</w:t>
            </w:r>
          </w:p>
          <w:p w14:paraId="35273177"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lang w:val="sq-AL"/>
              </w:rPr>
            </w:pPr>
            <w:r w:rsidRPr="004F2AC3">
              <w:rPr>
                <w:rFonts w:ascii="Garamond" w:hAnsi="Garamond"/>
                <w:color w:val="000000" w:themeColor="text1"/>
                <w:lang w:val="sq-AL"/>
              </w:rPr>
              <w:t>2 MFE</w:t>
            </w:r>
          </w:p>
        </w:tc>
      </w:tr>
    </w:tbl>
    <w:p w14:paraId="3CA315E7" w14:textId="14F780EC"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*M</w:t>
      </w:r>
      <w:r w:rsidR="00D449AF" w:rsidRPr="004F2AC3">
        <w:rPr>
          <w:rFonts w:ascii="Garamond" w:hAnsi="Garamond" w:cs="Times New Roman"/>
          <w:color w:val="000000" w:themeColor="text1"/>
          <w:sz w:val="24"/>
          <w:szCs w:val="24"/>
        </w:rPr>
        <w:t xml:space="preserve"> </w:t>
      </w:r>
      <w:r w:rsidR="00D449AF" w:rsidRPr="004F2AC3">
        <w:rPr>
          <w:rFonts w:ascii="Garamond" w:hAnsi="Garamond"/>
          <w:color w:val="000000" w:themeColor="text1"/>
        </w:rPr>
        <w:t>–</w:t>
      </w:r>
      <w:r w:rsidR="00D449AF"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mujor; T</w:t>
      </w:r>
      <w:r w:rsidR="00D449AF" w:rsidRPr="004F2AC3">
        <w:rPr>
          <w:rFonts w:ascii="Garamond" w:hAnsi="Garamond" w:cs="Times New Roman"/>
          <w:color w:val="000000" w:themeColor="text1"/>
          <w:sz w:val="24"/>
          <w:szCs w:val="24"/>
        </w:rPr>
        <w:t xml:space="preserve"> </w:t>
      </w:r>
      <w:r w:rsidR="00D449AF" w:rsidRPr="004F2AC3">
        <w:rPr>
          <w:rFonts w:ascii="Garamond" w:hAnsi="Garamond"/>
          <w:color w:val="000000" w:themeColor="text1"/>
        </w:rPr>
        <w:t xml:space="preserve">– </w:t>
      </w:r>
      <w:r w:rsidRPr="004F2AC3">
        <w:rPr>
          <w:rFonts w:ascii="Garamond" w:hAnsi="Garamond" w:cs="Times New Roman"/>
          <w:color w:val="000000" w:themeColor="text1"/>
          <w:sz w:val="24"/>
          <w:szCs w:val="24"/>
        </w:rPr>
        <w:t>Tremujor; V</w:t>
      </w:r>
      <w:r w:rsidR="00D449AF" w:rsidRPr="004F2AC3">
        <w:rPr>
          <w:rFonts w:ascii="Garamond" w:hAnsi="Garamond" w:cs="Times New Roman"/>
          <w:color w:val="000000" w:themeColor="text1"/>
          <w:sz w:val="24"/>
          <w:szCs w:val="24"/>
        </w:rPr>
        <w:t xml:space="preserve"> </w:t>
      </w:r>
      <w:r w:rsidR="00D449AF" w:rsidRPr="004F2AC3">
        <w:rPr>
          <w:rFonts w:ascii="Garamond" w:hAnsi="Garamond"/>
          <w:color w:val="000000" w:themeColor="text1"/>
        </w:rPr>
        <w:t xml:space="preserve">– </w:t>
      </w:r>
      <w:r w:rsidRPr="004F2AC3">
        <w:rPr>
          <w:rFonts w:ascii="Garamond" w:hAnsi="Garamond" w:cs="Times New Roman"/>
          <w:color w:val="000000" w:themeColor="text1"/>
          <w:sz w:val="24"/>
          <w:szCs w:val="24"/>
        </w:rPr>
        <w:t xml:space="preserve">Vjetor; </w:t>
      </w:r>
    </w:p>
    <w:p w14:paraId="32FAEF08" w14:textId="696290CF" w:rsidR="000F566F" w:rsidRPr="004F2AC3" w:rsidRDefault="000F566F" w:rsidP="00DC0AAE">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VS</w:t>
      </w:r>
      <w:r w:rsidR="00D449AF" w:rsidRPr="004F2AC3">
        <w:rPr>
          <w:rFonts w:ascii="Garamond" w:hAnsi="Garamond" w:cs="Times New Roman"/>
          <w:color w:val="000000" w:themeColor="text1"/>
          <w:sz w:val="24"/>
          <w:szCs w:val="24"/>
        </w:rPr>
        <w:t xml:space="preserve"> </w:t>
      </w:r>
      <w:r w:rsidR="00D449AF" w:rsidRPr="004F2AC3">
        <w:rPr>
          <w:rFonts w:ascii="Garamond" w:hAnsi="Garamond"/>
          <w:color w:val="000000" w:themeColor="text1"/>
        </w:rPr>
        <w:t xml:space="preserve">– </w:t>
      </w:r>
      <w:r w:rsidRPr="004F2AC3">
        <w:rPr>
          <w:rFonts w:ascii="Garamond" w:hAnsi="Garamond" w:cs="Times New Roman"/>
          <w:color w:val="000000" w:themeColor="text1"/>
          <w:sz w:val="24"/>
          <w:szCs w:val="24"/>
        </w:rPr>
        <w:t>Vrojtim Statistikor; BA</w:t>
      </w:r>
      <w:r w:rsidR="00D449AF" w:rsidRPr="004F2AC3">
        <w:rPr>
          <w:rFonts w:ascii="Garamond" w:hAnsi="Garamond" w:cs="Times New Roman"/>
          <w:color w:val="000000" w:themeColor="text1"/>
          <w:sz w:val="24"/>
          <w:szCs w:val="24"/>
        </w:rPr>
        <w:t xml:space="preserve"> </w:t>
      </w:r>
      <w:r w:rsidR="00D449AF" w:rsidRPr="004F2AC3">
        <w:rPr>
          <w:rFonts w:ascii="Garamond" w:hAnsi="Garamond"/>
          <w:color w:val="000000" w:themeColor="text1"/>
        </w:rPr>
        <w:t xml:space="preserve">– </w:t>
      </w:r>
      <w:r w:rsidRPr="004F2AC3">
        <w:rPr>
          <w:rFonts w:ascii="Garamond" w:hAnsi="Garamond" w:cs="Times New Roman"/>
          <w:color w:val="000000" w:themeColor="text1"/>
          <w:sz w:val="24"/>
          <w:szCs w:val="24"/>
        </w:rPr>
        <w:t>Burim Administrativ; NA</w:t>
      </w:r>
      <w:r w:rsidR="00D449AF" w:rsidRPr="004F2AC3">
        <w:rPr>
          <w:rFonts w:ascii="Garamond" w:hAnsi="Garamond" w:cs="Times New Roman"/>
          <w:color w:val="000000" w:themeColor="text1"/>
          <w:sz w:val="24"/>
          <w:szCs w:val="24"/>
        </w:rPr>
        <w:t xml:space="preserve"> </w:t>
      </w:r>
      <w:r w:rsidR="00D449AF" w:rsidRPr="004F2AC3">
        <w:rPr>
          <w:rFonts w:ascii="Garamond" w:hAnsi="Garamond"/>
          <w:color w:val="000000" w:themeColor="text1"/>
        </w:rPr>
        <w:t xml:space="preserve">– </w:t>
      </w:r>
      <w:r w:rsidRPr="004F2AC3">
        <w:rPr>
          <w:rFonts w:ascii="Garamond" w:hAnsi="Garamond" w:cs="Times New Roman"/>
          <w:color w:val="000000" w:themeColor="text1"/>
          <w:sz w:val="24"/>
          <w:szCs w:val="24"/>
        </w:rPr>
        <w:t>Nuk apliko</w:t>
      </w:r>
      <w:r w:rsidR="00DC0AAE" w:rsidRPr="004F2AC3">
        <w:rPr>
          <w:rFonts w:ascii="Garamond" w:hAnsi="Garamond" w:cs="Times New Roman"/>
          <w:color w:val="000000" w:themeColor="text1"/>
          <w:sz w:val="24"/>
          <w:szCs w:val="24"/>
        </w:rPr>
        <w:t>het.</w:t>
      </w:r>
    </w:p>
    <w:p w14:paraId="5FB0D328"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1DA189CA" w14:textId="4110A3FB" w:rsidR="000F566F" w:rsidRPr="004F2AC3" w:rsidRDefault="000F566F" w:rsidP="000F566F">
      <w:pPr>
        <w:spacing w:after="0" w:line="240" w:lineRule="auto"/>
        <w:ind w:firstLine="284"/>
        <w:jc w:val="both"/>
        <w:rPr>
          <w:rFonts w:ascii="Garamond" w:hAnsi="Garamond" w:cs="Times New Roman"/>
          <w:i/>
          <w:color w:val="000000" w:themeColor="text1"/>
          <w:sz w:val="24"/>
          <w:szCs w:val="24"/>
        </w:rPr>
      </w:pPr>
      <w:r w:rsidRPr="004F2AC3">
        <w:rPr>
          <w:rFonts w:ascii="Garamond" w:hAnsi="Garamond" w:cs="Times New Roman"/>
          <w:i/>
          <w:color w:val="000000" w:themeColor="text1"/>
          <w:sz w:val="24"/>
          <w:szCs w:val="24"/>
        </w:rPr>
        <w:t>Figura nr. 3</w:t>
      </w:r>
      <w:r w:rsidR="00DC0AAE"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Statistikat </w:t>
      </w:r>
      <w:r w:rsidR="005B3A9C" w:rsidRPr="004F2AC3">
        <w:rPr>
          <w:rFonts w:ascii="Garamond" w:hAnsi="Garamond" w:cs="Times New Roman"/>
          <w:i/>
          <w:color w:val="000000" w:themeColor="text1"/>
          <w:sz w:val="24"/>
          <w:szCs w:val="24"/>
        </w:rPr>
        <w:t xml:space="preserve">ekonomike </w:t>
      </w:r>
      <w:r w:rsidRPr="004F2AC3">
        <w:rPr>
          <w:rFonts w:ascii="Garamond" w:hAnsi="Garamond" w:cs="Times New Roman"/>
          <w:i/>
          <w:color w:val="000000" w:themeColor="text1"/>
          <w:sz w:val="24"/>
          <w:szCs w:val="24"/>
        </w:rPr>
        <w:t>2025</w:t>
      </w:r>
      <w:r w:rsidR="00D449AF" w:rsidRPr="004F2AC3">
        <w:rPr>
          <w:rFonts w:ascii="Garamond" w:hAnsi="Garamond"/>
          <w:i/>
          <w:color w:val="000000" w:themeColor="text1"/>
        </w:rPr>
        <w:t>–</w:t>
      </w:r>
      <w:r w:rsidRPr="004F2AC3">
        <w:rPr>
          <w:rFonts w:ascii="Garamond" w:hAnsi="Garamond" w:cs="Times New Roman"/>
          <w:i/>
          <w:color w:val="000000" w:themeColor="text1"/>
          <w:sz w:val="24"/>
          <w:szCs w:val="24"/>
        </w:rPr>
        <w:t>2026</w:t>
      </w:r>
    </w:p>
    <w:p w14:paraId="592FBF35"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17C73045"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noProof/>
          <w:color w:val="000000" w:themeColor="text1"/>
          <w:sz w:val="24"/>
          <w:szCs w:val="24"/>
          <w:lang w:eastAsia="sq-AL"/>
        </w:rPr>
        <w:drawing>
          <wp:inline distT="0" distB="0" distL="0" distR="0" wp14:anchorId="728F75B1" wp14:editId="04A2F0A7">
            <wp:extent cx="5765470" cy="2861953"/>
            <wp:effectExtent l="0" t="0" r="6985" b="0"/>
            <wp:docPr id="6" name="Chart 6">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D2F5A623-D97A-4DC0-9C86-07D8B48AD2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F937CA4"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6821748B" w14:textId="59DEBB6B"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Fusha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Statistikat ekonomike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përbëhet nga 3 tema statistikore:</w:t>
      </w:r>
    </w:p>
    <w:p w14:paraId="6680F7F2"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7CB4FDFD" w14:textId="603EFE88"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2.1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Makroekonomike</w:t>
      </w:r>
      <w:r w:rsidR="00D32864" w:rsidRPr="004F2AC3">
        <w:rPr>
          <w:rFonts w:ascii="Garamond" w:eastAsia="Times New Roman" w:hAnsi="Garamond" w:cs="Times New Roman"/>
          <w:b/>
          <w:color w:val="000000" w:themeColor="text1"/>
          <w:sz w:val="24"/>
          <w:szCs w:val="24"/>
        </w:rPr>
        <w:t>”</w:t>
      </w:r>
    </w:p>
    <w:p w14:paraId="4680D583" w14:textId="115A5B1E"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Në këtë temë përfshihen statistikat e </w:t>
      </w:r>
      <w:r w:rsidR="004B40CE" w:rsidRPr="004F2AC3">
        <w:rPr>
          <w:rFonts w:ascii="Garamond" w:hAnsi="Garamond" w:cs="Times New Roman"/>
          <w:color w:val="000000" w:themeColor="text1"/>
          <w:sz w:val="24"/>
          <w:szCs w:val="24"/>
        </w:rPr>
        <w:t>llogarive kombëtare</w:t>
      </w:r>
      <w:r w:rsidR="00D449AF" w:rsidRPr="004F2AC3">
        <w:rPr>
          <w:rFonts w:ascii="Garamond" w:hAnsi="Garamond" w:cs="Times New Roman"/>
          <w:color w:val="000000" w:themeColor="text1"/>
          <w:sz w:val="24"/>
          <w:szCs w:val="24"/>
        </w:rPr>
        <w:t>, si: llogaritë jo</w:t>
      </w:r>
      <w:r w:rsidRPr="004F2AC3">
        <w:rPr>
          <w:rFonts w:ascii="Garamond" w:hAnsi="Garamond" w:cs="Times New Roman"/>
          <w:color w:val="000000" w:themeColor="text1"/>
          <w:sz w:val="24"/>
          <w:szCs w:val="24"/>
        </w:rPr>
        <w:t>financiare sipas sektorëve institucionalë, prodhimi i brendshëm bruto në terma tremujorë dhe vjetorë, tabelat burime-përdorime dhe llogaritë rajonale.</w:t>
      </w:r>
    </w:p>
    <w:p w14:paraId="578BCD24" w14:textId="33ECBC2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Llogaritë </w:t>
      </w:r>
      <w:r w:rsidR="004B40CE" w:rsidRPr="004F2AC3">
        <w:rPr>
          <w:rFonts w:ascii="Garamond" w:hAnsi="Garamond" w:cs="Times New Roman"/>
          <w:color w:val="000000" w:themeColor="text1"/>
          <w:sz w:val="24"/>
          <w:szCs w:val="24"/>
        </w:rPr>
        <w:t xml:space="preserve">kombëtare </w:t>
      </w:r>
      <w:r w:rsidRPr="004F2AC3">
        <w:rPr>
          <w:rFonts w:ascii="Garamond" w:hAnsi="Garamond" w:cs="Times New Roman"/>
          <w:color w:val="000000" w:themeColor="text1"/>
          <w:sz w:val="24"/>
          <w:szCs w:val="24"/>
        </w:rPr>
        <w:t>pasqyrojnë zhvillimet makro-ekonomike të një vendi dhe i ofrojnë përdoruesve treguesit kryesorë dhe informacionin bazë për zhvillimin ekonomik të tij. Këto statistika tregojnë se sa është kapaciteti prodhues i vendit, sa konsumohet, investohet dhe shkëmbehet me vendet e tjera të botës. Vlerësimi i këtyre treguesve realizohet duke përdorur informacionin e siguruar nga burime të ndryshme statistikore dhe administrative. Kjo temë statistikore përbëhet nga këto nëntema:</w:t>
      </w:r>
    </w:p>
    <w:p w14:paraId="2949D404" w14:textId="58C0DDCD" w:rsidR="000F566F" w:rsidRPr="004F2AC3" w:rsidRDefault="00D449A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2.1.1</w:t>
      </w:r>
      <w:r w:rsidR="004B40CE" w:rsidRPr="004F2AC3">
        <w:rPr>
          <w:rFonts w:ascii="Garamond" w:hAnsi="Garamond" w:cs="Times New Roman"/>
          <w:i/>
          <w:color w:val="000000" w:themeColor="text1"/>
          <w:sz w:val="24"/>
          <w:szCs w:val="24"/>
        </w:rPr>
        <w:t xml:space="preserve"> “</w:t>
      </w:r>
      <w:r w:rsidRPr="004F2AC3">
        <w:rPr>
          <w:rFonts w:ascii="Garamond" w:hAnsi="Garamond" w:cs="Times New Roman"/>
          <w:i/>
          <w:color w:val="000000" w:themeColor="text1"/>
          <w:sz w:val="24"/>
          <w:szCs w:val="24"/>
        </w:rPr>
        <w:t>Llogaritë jo</w:t>
      </w:r>
      <w:r w:rsidR="000F566F" w:rsidRPr="004F2AC3">
        <w:rPr>
          <w:rFonts w:ascii="Garamond" w:hAnsi="Garamond" w:cs="Times New Roman"/>
          <w:i/>
          <w:color w:val="000000" w:themeColor="text1"/>
          <w:sz w:val="24"/>
          <w:szCs w:val="24"/>
        </w:rPr>
        <w:t>financiare sipas sektorëve institucionalë në terma vjetorë</w:t>
      </w:r>
      <w:r w:rsidR="00D32864"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 paraqesin një pasqyrë koherente të të gjithë proceseve ekonomike dhe ndërveprimet e sektorëve të ndryshëm në ekonomi, duke përfshirë lidhjet midis ekonomisë kombëtare si një e tërë dhe pjesës tjetër të botës. Aktualisht, INSTAT</w:t>
      </w:r>
      <w:r w:rsidRPr="004F2AC3">
        <w:rPr>
          <w:rFonts w:ascii="Garamond" w:hAnsi="Garamond" w:cs="Times New Roman"/>
          <w:color w:val="000000" w:themeColor="text1"/>
          <w:sz w:val="24"/>
          <w:szCs w:val="24"/>
        </w:rPr>
        <w:t>-i publikon llogaritë jo</w:t>
      </w:r>
      <w:r w:rsidR="000F566F" w:rsidRPr="004F2AC3">
        <w:rPr>
          <w:rFonts w:ascii="Garamond" w:hAnsi="Garamond" w:cs="Times New Roman"/>
          <w:color w:val="000000" w:themeColor="text1"/>
          <w:sz w:val="24"/>
          <w:szCs w:val="24"/>
        </w:rPr>
        <w:t>financiare sipas sektorëve institucionalë në terma vjetorë, sipas Sistemit Evropian të Llogarive (</w:t>
      </w:r>
      <w:r w:rsidR="00DC0AAE" w:rsidRPr="004F2AC3">
        <w:rPr>
          <w:rFonts w:ascii="Garamond" w:hAnsi="Garamond" w:cs="Times New Roman"/>
          <w:color w:val="000000" w:themeColor="text1"/>
          <w:sz w:val="24"/>
          <w:szCs w:val="24"/>
        </w:rPr>
        <w:t>ESA2010), në seri kohore 2013–</w:t>
      </w:r>
      <w:r w:rsidR="000F566F" w:rsidRPr="004F2AC3">
        <w:rPr>
          <w:rFonts w:ascii="Garamond" w:hAnsi="Garamond" w:cs="Times New Roman"/>
          <w:color w:val="000000" w:themeColor="text1"/>
          <w:sz w:val="24"/>
          <w:szCs w:val="24"/>
        </w:rPr>
        <w:t>2024</w:t>
      </w:r>
      <w:r w:rsidR="004B40CE"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 </w:t>
      </w:r>
      <w:r w:rsidR="00DC0AAE" w:rsidRPr="004F2AC3">
        <w:rPr>
          <w:rFonts w:ascii="Garamond" w:hAnsi="Garamond" w:cs="Times New Roman"/>
          <w:color w:val="000000" w:themeColor="text1"/>
          <w:sz w:val="24"/>
          <w:szCs w:val="24"/>
        </w:rPr>
        <w:t>gjysmë</w:t>
      </w:r>
      <w:r w:rsidR="000F566F" w:rsidRPr="004F2AC3">
        <w:rPr>
          <w:rFonts w:ascii="Garamond" w:hAnsi="Garamond" w:cs="Times New Roman"/>
          <w:color w:val="000000" w:themeColor="text1"/>
          <w:sz w:val="24"/>
          <w:szCs w:val="24"/>
        </w:rPr>
        <w:t xml:space="preserve"> final. Nën asistencën e programit IPA 2022 shumëpërfitues, në vitin 2026 do të punohet për z</w:t>
      </w:r>
      <w:r w:rsidR="00DC0AAE" w:rsidRPr="004F2AC3">
        <w:rPr>
          <w:rFonts w:ascii="Garamond" w:hAnsi="Garamond" w:cs="Times New Roman"/>
          <w:color w:val="000000" w:themeColor="text1"/>
          <w:sz w:val="24"/>
          <w:szCs w:val="24"/>
        </w:rPr>
        <w:t>gjerimin e serisë kohore 2010–</w:t>
      </w:r>
      <w:r w:rsidR="000F566F" w:rsidRPr="004F2AC3">
        <w:rPr>
          <w:rFonts w:ascii="Garamond" w:hAnsi="Garamond" w:cs="Times New Roman"/>
          <w:color w:val="000000" w:themeColor="text1"/>
          <w:sz w:val="24"/>
          <w:szCs w:val="24"/>
        </w:rPr>
        <w:t>2012, përpilimin p</w:t>
      </w:r>
      <w:r w:rsidRPr="004F2AC3">
        <w:rPr>
          <w:rFonts w:ascii="Garamond" w:hAnsi="Garamond" w:cs="Times New Roman"/>
          <w:color w:val="000000" w:themeColor="text1"/>
          <w:sz w:val="24"/>
          <w:szCs w:val="24"/>
        </w:rPr>
        <w:t>ër herë të parë të llogarive jo</w:t>
      </w:r>
      <w:r w:rsidR="000F566F" w:rsidRPr="004F2AC3">
        <w:rPr>
          <w:rFonts w:ascii="Garamond" w:hAnsi="Garamond" w:cs="Times New Roman"/>
          <w:color w:val="000000" w:themeColor="text1"/>
          <w:sz w:val="24"/>
          <w:szCs w:val="24"/>
        </w:rPr>
        <w:t>financiare sipas sektorëve institucionalë në terma</w:t>
      </w:r>
      <w:r w:rsidR="004B40CE" w:rsidRPr="004F2AC3">
        <w:rPr>
          <w:rFonts w:ascii="Garamond" w:hAnsi="Garamond" w:cs="Times New Roman"/>
          <w:color w:val="000000" w:themeColor="text1"/>
          <w:sz w:val="24"/>
          <w:szCs w:val="24"/>
        </w:rPr>
        <w:t xml:space="preserve"> tremujore, duke filluar nga T1–</w:t>
      </w:r>
      <w:r w:rsidR="000F566F" w:rsidRPr="004F2AC3">
        <w:rPr>
          <w:rFonts w:ascii="Garamond" w:hAnsi="Garamond" w:cs="Times New Roman"/>
          <w:color w:val="000000" w:themeColor="text1"/>
          <w:sz w:val="24"/>
          <w:szCs w:val="24"/>
        </w:rPr>
        <w:t xml:space="preserve">2022, duke rritur nivelin e plotshmërisë së tabelave sipas programit të transmetimit ESA 2010 dhe në përmbushje së detyrimeve për </w:t>
      </w:r>
      <w:r w:rsidR="00D32864" w:rsidRPr="004F2AC3">
        <w:rPr>
          <w:rFonts w:ascii="Garamond" w:hAnsi="Garamond" w:cs="Times New Roman"/>
          <w:color w:val="000000" w:themeColor="text1"/>
          <w:sz w:val="24"/>
          <w:szCs w:val="24"/>
        </w:rPr>
        <w:t>“</w:t>
      </w:r>
      <w:r w:rsidR="000F566F" w:rsidRPr="004F2AC3">
        <w:rPr>
          <w:rFonts w:ascii="Garamond" w:hAnsi="Garamond" w:cs="Times New Roman"/>
          <w:i/>
          <w:color w:val="000000" w:themeColor="text1"/>
          <w:sz w:val="24"/>
          <w:szCs w:val="24"/>
        </w:rPr>
        <w:t>Closing benchmark</w:t>
      </w:r>
      <w:r w:rsidR="00D32864"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 të </w:t>
      </w:r>
      <w:r w:rsidR="00DC0AAE" w:rsidRPr="004F2AC3">
        <w:rPr>
          <w:rFonts w:ascii="Garamond" w:hAnsi="Garamond" w:cs="Times New Roman"/>
          <w:color w:val="000000" w:themeColor="text1"/>
          <w:sz w:val="24"/>
          <w:szCs w:val="24"/>
        </w:rPr>
        <w:t>k</w:t>
      </w:r>
      <w:r w:rsidR="000F566F" w:rsidRPr="004F2AC3">
        <w:rPr>
          <w:rFonts w:ascii="Garamond" w:hAnsi="Garamond" w:cs="Times New Roman"/>
          <w:color w:val="000000" w:themeColor="text1"/>
          <w:sz w:val="24"/>
          <w:szCs w:val="24"/>
        </w:rPr>
        <w:t xml:space="preserve">apitullit 18 </w:t>
      </w:r>
      <w:r w:rsidR="00D32864"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Statistikat</w:t>
      </w:r>
      <w:r w:rsidR="00D32864" w:rsidRPr="004F2AC3">
        <w:rPr>
          <w:rFonts w:ascii="Garamond" w:hAnsi="Garamond" w:cs="Times New Roman"/>
          <w:color w:val="000000" w:themeColor="text1"/>
          <w:sz w:val="24"/>
          <w:szCs w:val="24"/>
        </w:rPr>
        <w:t>”</w:t>
      </w:r>
      <w:r w:rsidR="004B40CE"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 në kuadër të procesit të integrimit evropian.</w:t>
      </w:r>
    </w:p>
    <w:p w14:paraId="1057738D" w14:textId="647F21E2"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2.1.2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Llogaritë </w:t>
      </w:r>
      <w:r w:rsidR="004B40CE" w:rsidRPr="004F2AC3">
        <w:rPr>
          <w:rFonts w:ascii="Garamond" w:hAnsi="Garamond" w:cs="Times New Roman"/>
          <w:i/>
          <w:color w:val="000000" w:themeColor="text1"/>
          <w:sz w:val="24"/>
          <w:szCs w:val="24"/>
        </w:rPr>
        <w:t>kombëtare tremujore dhe vjetore</w:t>
      </w:r>
      <w:r w:rsidRPr="004F2AC3">
        <w:rPr>
          <w:rFonts w:ascii="Garamond" w:hAnsi="Garamond" w:cs="Times New Roman"/>
          <w:i/>
          <w:color w:val="000000" w:themeColor="text1"/>
          <w:sz w:val="24"/>
          <w:szCs w:val="24"/>
        </w:rPr>
        <w:t>, agregatët kryesorë</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e cila ndahet në dy aktivitete kryesore, duke u bazuar në frekuencën e treguesit: llogaritë kombëtare tremujore dhe llogaritë kombëtare vjetore. Llogaritë kombëtare tremujore pasqyrojnë në frekuencë tremujore ecurinë e treguesit të produktit të Brendshëm Bruto (PBB), i vlerësuar me metodën e prodhimit dhe metodën e shpenzimeve. Aktualisht, INSTAT</w:t>
      </w:r>
      <w:r w:rsidR="0031427F"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publikon PB</w:t>
      </w:r>
      <w:r w:rsidR="004B40CE" w:rsidRPr="004F2AC3">
        <w:rPr>
          <w:rFonts w:ascii="Garamond" w:hAnsi="Garamond" w:cs="Times New Roman"/>
          <w:color w:val="000000" w:themeColor="text1"/>
          <w:sz w:val="24"/>
          <w:szCs w:val="24"/>
        </w:rPr>
        <w:t>B</w:t>
      </w:r>
      <w:r w:rsidR="00C61C99" w:rsidRPr="004F2AC3">
        <w:rPr>
          <w:rFonts w:ascii="Garamond" w:hAnsi="Garamond" w:cs="Times New Roman"/>
          <w:color w:val="000000" w:themeColor="text1"/>
          <w:sz w:val="24"/>
          <w:szCs w:val="24"/>
        </w:rPr>
        <w:t>-në</w:t>
      </w:r>
      <w:r w:rsidR="004B40CE" w:rsidRPr="004F2AC3">
        <w:rPr>
          <w:rFonts w:ascii="Garamond" w:hAnsi="Garamond" w:cs="Times New Roman"/>
          <w:color w:val="000000" w:themeColor="text1"/>
          <w:sz w:val="24"/>
          <w:szCs w:val="24"/>
        </w:rPr>
        <w:t xml:space="preserve"> tremujore</w:t>
      </w:r>
      <w:r w:rsidR="00C61C99" w:rsidRPr="004F2AC3">
        <w:rPr>
          <w:rFonts w:ascii="Garamond" w:hAnsi="Garamond" w:cs="Times New Roman"/>
          <w:color w:val="000000" w:themeColor="text1"/>
          <w:sz w:val="24"/>
          <w:szCs w:val="24"/>
        </w:rPr>
        <w:t>,</w:t>
      </w:r>
      <w:r w:rsidR="004B40CE" w:rsidRPr="004F2AC3">
        <w:rPr>
          <w:rFonts w:ascii="Garamond" w:hAnsi="Garamond" w:cs="Times New Roman"/>
          <w:color w:val="000000" w:themeColor="text1"/>
          <w:sz w:val="24"/>
          <w:szCs w:val="24"/>
        </w:rPr>
        <w:t xml:space="preserve"> duke filluar nga T1–</w:t>
      </w:r>
      <w:r w:rsidRPr="004F2AC3">
        <w:rPr>
          <w:rFonts w:ascii="Garamond" w:hAnsi="Garamond" w:cs="Times New Roman"/>
          <w:color w:val="000000" w:themeColor="text1"/>
          <w:sz w:val="24"/>
          <w:szCs w:val="24"/>
        </w:rPr>
        <w:t>1995</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C61C99" w:rsidRPr="004F2AC3">
        <w:rPr>
          <w:rFonts w:ascii="Garamond" w:hAnsi="Garamond" w:cs="Times New Roman"/>
          <w:color w:val="000000" w:themeColor="text1"/>
          <w:sz w:val="24"/>
          <w:szCs w:val="24"/>
        </w:rPr>
        <w:t xml:space="preserve">llogaritë </w:t>
      </w:r>
      <w:r w:rsidRPr="004F2AC3">
        <w:rPr>
          <w:rFonts w:ascii="Garamond" w:hAnsi="Garamond" w:cs="Times New Roman"/>
          <w:color w:val="000000" w:themeColor="text1"/>
          <w:sz w:val="24"/>
          <w:szCs w:val="24"/>
        </w:rPr>
        <w:t>kombëtare vjetore pasqyrojnë në frekuencë vjetore treguesin e Produktit të Brendshëm Bruto (PBB), i vlerësuar me metodën e prodhimit, të shpenzimeve dhe të të ardhurave. Vlerësimi i të dhënave bazohet në kombinimin e burimeve të siguruara nga INSTAT</w:t>
      </w:r>
      <w:r w:rsidR="00C61C99"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Ministria e Financave, Drejtoria e Përgjithshme e Tatimeve, Qendra Kombëtare e Biznesit, Banka e Shqipërisë, Autoriteti i Mbikëqyrjes Financiare, Korporata Elektroenergjitike Shqiptare, Operatori i Shpërndarjes së Energjisë Elektrike, Agjencia Kombëtare e Burimeve Natyrore, në varësi të frekuencës së treguesit.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po punon intensivisht nën asistencën e programit IPA 2022 shumëpërfituese,</w:t>
      </w:r>
      <w:r w:rsidRPr="004F2AC3">
        <w:rPr>
          <w:rFonts w:ascii="Garamond" w:hAnsi="Garamond"/>
          <w:color w:val="000000" w:themeColor="text1"/>
          <w:sz w:val="24"/>
          <w:szCs w:val="24"/>
        </w:rPr>
        <w:t xml:space="preserve"> </w:t>
      </w:r>
      <w:r w:rsidRPr="004F2AC3">
        <w:rPr>
          <w:rFonts w:ascii="Garamond" w:hAnsi="Garamond" w:cs="Times New Roman"/>
          <w:color w:val="000000" w:themeColor="text1"/>
          <w:sz w:val="24"/>
          <w:szCs w:val="24"/>
        </w:rPr>
        <w:t>që gjatë vitit 2026 të prodhojë për herë të parë treguesit e punësimit në konceptet e llogarive kombëtare, në terma tremujorë dhe në zbatimin e përmirësimeve metodologjike në përpilimin e treguesve të PBB</w:t>
      </w:r>
      <w:r w:rsidR="00C61C99" w:rsidRPr="004F2AC3">
        <w:rPr>
          <w:rFonts w:ascii="Garamond" w:hAnsi="Garamond" w:cs="Times New Roman"/>
          <w:color w:val="000000" w:themeColor="text1"/>
          <w:sz w:val="24"/>
          <w:szCs w:val="24"/>
        </w:rPr>
        <w:t>-së</w:t>
      </w:r>
      <w:r w:rsidRPr="004F2AC3">
        <w:rPr>
          <w:rFonts w:ascii="Garamond" w:hAnsi="Garamond" w:cs="Times New Roman"/>
          <w:color w:val="000000" w:themeColor="text1"/>
          <w:sz w:val="24"/>
          <w:szCs w:val="24"/>
        </w:rPr>
        <w:t xml:space="preserve"> tremujore. Kjo arritje përmbush detyrimet në fushën e statistikave makroekonomike për rritjen e nivelit të përputhshmërisë me kërkesat e BE</w:t>
      </w:r>
      <w:r w:rsidR="00C61C99" w:rsidRPr="004F2AC3">
        <w:rPr>
          <w:rFonts w:ascii="Garamond" w:hAnsi="Garamond" w:cs="Times New Roman"/>
          <w:color w:val="000000" w:themeColor="text1"/>
          <w:sz w:val="24"/>
          <w:szCs w:val="24"/>
        </w:rPr>
        <w:t>-së</w:t>
      </w:r>
      <w:r w:rsidRPr="004F2AC3">
        <w:rPr>
          <w:rFonts w:ascii="Garamond" w:hAnsi="Garamond" w:cs="Times New Roman"/>
          <w:color w:val="000000" w:themeColor="text1"/>
          <w:sz w:val="24"/>
          <w:szCs w:val="24"/>
        </w:rPr>
        <w:t xml:space="preserve"> sipas programit të transmetimit ESA 2010, në kuadër të procesit të integrimit evropian.</w:t>
      </w:r>
    </w:p>
    <w:p w14:paraId="05F89063" w14:textId="1AE8AD64"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2.1.3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Tabelat </w:t>
      </w:r>
      <w:r w:rsidR="00C61C99" w:rsidRPr="004F2AC3">
        <w:rPr>
          <w:rFonts w:ascii="Garamond" w:hAnsi="Garamond" w:cs="Times New Roman"/>
          <w:i/>
          <w:color w:val="000000" w:themeColor="text1"/>
          <w:sz w:val="24"/>
          <w:szCs w:val="24"/>
        </w:rPr>
        <w:t>burime</w:t>
      </w:r>
      <w:r w:rsidR="00C61C99" w:rsidRPr="004F2AC3">
        <w:rPr>
          <w:rFonts w:ascii="Garamond" w:hAnsi="Garamond" w:cs="Times New Roman"/>
          <w:color w:val="000000" w:themeColor="text1"/>
          <w:sz w:val="24"/>
          <w:szCs w:val="24"/>
        </w:rPr>
        <w:t>–</w:t>
      </w:r>
      <w:r w:rsidR="00C61C99" w:rsidRPr="004F2AC3">
        <w:rPr>
          <w:rFonts w:ascii="Garamond" w:hAnsi="Garamond" w:cs="Times New Roman"/>
          <w:i/>
          <w:color w:val="000000" w:themeColor="text1"/>
          <w:sz w:val="24"/>
          <w:szCs w:val="24"/>
        </w:rPr>
        <w:t>përdorime dhe tabelat input</w:t>
      </w:r>
      <w:r w:rsidR="00C61C99" w:rsidRPr="004F2AC3">
        <w:rPr>
          <w:rFonts w:ascii="Garamond" w:hAnsi="Garamond" w:cs="Times New Roman"/>
          <w:color w:val="000000" w:themeColor="text1"/>
          <w:sz w:val="24"/>
          <w:szCs w:val="24"/>
        </w:rPr>
        <w:t>–</w:t>
      </w:r>
      <w:r w:rsidR="00C61C99" w:rsidRPr="004F2AC3">
        <w:rPr>
          <w:rFonts w:ascii="Garamond" w:hAnsi="Garamond" w:cs="Times New Roman"/>
          <w:i/>
          <w:color w:val="000000" w:themeColor="text1"/>
          <w:sz w:val="24"/>
          <w:szCs w:val="24"/>
        </w:rPr>
        <w:t>output</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pasqyrojnë në mënyrë të detajuar qarkullimin e produkteve dhe shërbimeve sipas aktiviteteve ekonomike gjatë vitit. Nga ana e burimeve paraqitet outputi, importet, marzhet tregtare dhe të transportit, ndërsa nga ana e përdorimeve paraqitet konsumi ndërmjetës, konsumi final, formimi bruto i kapitalit fiks dhe eksportet. Këto tabela prodhohen me frekuencë vjetore nëpërmjet përpunimit të të dhënave administrative dhe të dhënave të mbledhura nga vrojtimet statistikore. Gjithashtu</w:t>
      </w:r>
      <w:r w:rsidR="00DC0AA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me</w:t>
      </w:r>
      <w:r w:rsidR="00DC0AAE"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asistencën e programit shumëpërfitues IPA 2022, gjatë vitit 2026 do të vazhdojë puna në</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përmirësimet metodologjike për rritjen e nivelit të përputhshmërisë me ESA 2010 pë</w:t>
      </w:r>
      <w:r w:rsidR="00C61C99" w:rsidRPr="004F2AC3">
        <w:rPr>
          <w:rFonts w:ascii="Garamond" w:hAnsi="Garamond" w:cs="Times New Roman"/>
          <w:color w:val="000000" w:themeColor="text1"/>
          <w:sz w:val="24"/>
          <w:szCs w:val="24"/>
        </w:rPr>
        <w:t>r përpilimin e këtyre tabelave.</w:t>
      </w:r>
    </w:p>
    <w:p w14:paraId="2BC7E73B" w14:textId="615B63C4"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2.1.4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Llogaritë </w:t>
      </w:r>
      <w:r w:rsidR="00C61C99" w:rsidRPr="004F2AC3">
        <w:rPr>
          <w:rFonts w:ascii="Garamond" w:hAnsi="Garamond" w:cs="Times New Roman"/>
          <w:i/>
          <w:color w:val="000000" w:themeColor="text1"/>
          <w:sz w:val="24"/>
          <w:szCs w:val="24"/>
        </w:rPr>
        <w:t>rajonale</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pasqyrojnë zhvillimet makroekonomike sipas rajoneve statistikore të një vendi dhe i ofrojnë përdoruesve treguesit kryesorë dhe informacionin bazë për zhvillimin ekonomik rajonal. Këto statistika janë me frekuencë vjetore dhe prodhohen nëpërmjet kombinimit të të dhënave administrative dhe të dhënave të siguruara nga vrojtimet statistikore që zhvillon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Llogaritë </w:t>
      </w:r>
      <w:r w:rsidR="00C61C99" w:rsidRPr="004F2AC3">
        <w:rPr>
          <w:rFonts w:ascii="Garamond" w:hAnsi="Garamond" w:cs="Times New Roman"/>
          <w:color w:val="000000" w:themeColor="text1"/>
          <w:sz w:val="24"/>
          <w:szCs w:val="24"/>
        </w:rPr>
        <w:t xml:space="preserve">rajonale </w:t>
      </w:r>
      <w:r w:rsidRPr="004F2AC3">
        <w:rPr>
          <w:rFonts w:ascii="Garamond" w:hAnsi="Garamond" w:cs="Times New Roman"/>
          <w:color w:val="000000" w:themeColor="text1"/>
          <w:sz w:val="24"/>
          <w:szCs w:val="24"/>
        </w:rPr>
        <w:t>mbështeten në klasifikimin sipas rajoneve statistikore në nivel</w:t>
      </w:r>
      <w:r w:rsidR="00C61C99" w:rsidRPr="004F2AC3">
        <w:rPr>
          <w:rFonts w:ascii="Garamond" w:hAnsi="Garamond" w:cs="Times New Roman"/>
          <w:color w:val="000000" w:themeColor="text1"/>
          <w:sz w:val="24"/>
          <w:szCs w:val="24"/>
        </w:rPr>
        <w:t>et</w:t>
      </w:r>
      <w:r w:rsidRPr="004F2AC3">
        <w:rPr>
          <w:rFonts w:ascii="Garamond" w:hAnsi="Garamond" w:cs="Times New Roman"/>
          <w:color w:val="000000" w:themeColor="text1"/>
          <w:sz w:val="24"/>
          <w:szCs w:val="24"/>
        </w:rPr>
        <w:t xml:space="preserve"> 1, 2 dhe 3, i cili bazohet në Nomenklaturën e Njësive Territoriale për Statistikat (NUTS) të Bashkimit Evropian. Në vitin 2026</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fokusi do të jetë në drejtim të</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zbatimit të përmirësimeve metodologjike të tregue</w:t>
      </w:r>
      <w:r w:rsidR="00DC0AAE" w:rsidRPr="004F2AC3">
        <w:rPr>
          <w:rFonts w:ascii="Garamond" w:hAnsi="Garamond" w:cs="Times New Roman"/>
          <w:color w:val="000000" w:themeColor="text1"/>
          <w:sz w:val="24"/>
          <w:szCs w:val="24"/>
        </w:rPr>
        <w:t>s</w:t>
      </w:r>
      <w:r w:rsidRPr="004F2AC3">
        <w:rPr>
          <w:rFonts w:ascii="Garamond" w:hAnsi="Garamond" w:cs="Times New Roman"/>
          <w:color w:val="000000" w:themeColor="text1"/>
          <w:sz w:val="24"/>
          <w:szCs w:val="24"/>
        </w:rPr>
        <w:t>ve të llogarive rajonale dhe në përmirësimin e treguesve</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formimi bruto i kapitalit, të ardhurat e familjeve dhe kompensimi i punonjësve, në nivel rajonal, sipas kërkesave të programit të transmetimit ESA 2010 për llogaritë rajonale.</w:t>
      </w:r>
    </w:p>
    <w:p w14:paraId="2EFE7DEE" w14:textId="252AA3D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Seti i plotë i llogarive</w:t>
      </w:r>
      <w:r w:rsidRPr="004F2AC3">
        <w:rPr>
          <w:rFonts w:ascii="Garamond" w:hAnsi="Garamond" w:cs="Times New Roman"/>
          <w:b/>
          <w:color w:val="000000" w:themeColor="text1"/>
          <w:sz w:val="24"/>
          <w:szCs w:val="24"/>
        </w:rPr>
        <w:t xml:space="preserve"> </w:t>
      </w:r>
      <w:r w:rsidRPr="004F2AC3">
        <w:rPr>
          <w:rFonts w:ascii="Garamond" w:hAnsi="Garamond" w:cs="Times New Roman"/>
          <w:color w:val="000000" w:themeColor="text1"/>
          <w:sz w:val="24"/>
          <w:szCs w:val="24"/>
        </w:rPr>
        <w:t>sipas sektorëve institucionalë në terma vjetorë: Seti eksperimental i llogarive</w:t>
      </w:r>
      <w:r w:rsidRPr="004F2AC3">
        <w:rPr>
          <w:rFonts w:ascii="Garamond" w:hAnsi="Garamond" w:cs="Times New Roman"/>
          <w:b/>
          <w:color w:val="000000" w:themeColor="text1"/>
          <w:sz w:val="24"/>
          <w:szCs w:val="24"/>
        </w:rPr>
        <w:t xml:space="preserve"> </w:t>
      </w:r>
      <w:r w:rsidRPr="004F2AC3">
        <w:rPr>
          <w:rFonts w:ascii="Garamond" w:hAnsi="Garamond" w:cs="Times New Roman"/>
          <w:color w:val="000000" w:themeColor="text1"/>
          <w:sz w:val="24"/>
          <w:szCs w:val="24"/>
        </w:rPr>
        <w:t>sipas sektorëve institucionalë në terma tremujorë: PBB</w:t>
      </w:r>
      <w:r w:rsidR="00C61C99" w:rsidRPr="004F2AC3">
        <w:rPr>
          <w:rFonts w:ascii="Garamond" w:hAnsi="Garamond" w:cs="Times New Roman"/>
          <w:color w:val="000000" w:themeColor="text1"/>
          <w:sz w:val="24"/>
          <w:szCs w:val="24"/>
        </w:rPr>
        <w:t>-ja</w:t>
      </w:r>
      <w:r w:rsidRPr="004F2AC3">
        <w:rPr>
          <w:rFonts w:ascii="Garamond" w:hAnsi="Garamond" w:cs="Times New Roman"/>
          <w:color w:val="000000" w:themeColor="text1"/>
          <w:sz w:val="24"/>
          <w:szCs w:val="24"/>
        </w:rPr>
        <w:t xml:space="preserve"> vjetore me metodën e prodhimit, metodën e shpenzimeve dhe të ardhurave; PBB</w:t>
      </w:r>
      <w:r w:rsidR="00C61C99" w:rsidRPr="004F2AC3">
        <w:rPr>
          <w:rFonts w:ascii="Garamond" w:hAnsi="Garamond" w:cs="Times New Roman"/>
          <w:color w:val="000000" w:themeColor="text1"/>
          <w:sz w:val="24"/>
          <w:szCs w:val="24"/>
        </w:rPr>
        <w:t>-ja</w:t>
      </w:r>
      <w:r w:rsidRPr="004F2AC3">
        <w:rPr>
          <w:rFonts w:ascii="Garamond" w:hAnsi="Garamond" w:cs="Times New Roman"/>
          <w:color w:val="000000" w:themeColor="text1"/>
          <w:sz w:val="24"/>
          <w:szCs w:val="24"/>
        </w:rPr>
        <w:t xml:space="preserve"> tremujore me metodën e prodhimit dhe shpenzimeve, me çmime korrente, çmimet e vitit të mëparshëm dhe </w:t>
      </w:r>
      <w:r w:rsidR="00D32864"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të lidhura zinxhir</w:t>
      </w:r>
      <w:r w:rsidR="00D32864" w:rsidRPr="004F2AC3">
        <w:rPr>
          <w:rFonts w:ascii="Garamond" w:hAnsi="Garamond" w:cs="Times New Roman"/>
          <w:color w:val="000000" w:themeColor="text1"/>
          <w:sz w:val="24"/>
          <w:szCs w:val="24"/>
        </w:rPr>
        <w:t>”</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sipas aktivitetit ekonomik, të përshtatura dhe jo të përshtat</w:t>
      </w:r>
      <w:r w:rsidR="00C61C99" w:rsidRPr="004F2AC3">
        <w:rPr>
          <w:rFonts w:ascii="Garamond" w:hAnsi="Garamond" w:cs="Times New Roman"/>
          <w:color w:val="000000" w:themeColor="text1"/>
          <w:sz w:val="24"/>
          <w:szCs w:val="24"/>
        </w:rPr>
        <w:t>ura sezonalisht; Tabelat burime–</w:t>
      </w:r>
      <w:r w:rsidRPr="004F2AC3">
        <w:rPr>
          <w:rFonts w:ascii="Garamond" w:hAnsi="Garamond" w:cs="Times New Roman"/>
          <w:color w:val="000000" w:themeColor="text1"/>
          <w:sz w:val="24"/>
          <w:szCs w:val="24"/>
        </w:rPr>
        <w:t>përdorime me çmime korrente dhe me çmimet e vit</w:t>
      </w:r>
      <w:r w:rsidR="00C61C99" w:rsidRPr="004F2AC3">
        <w:rPr>
          <w:rFonts w:ascii="Garamond" w:hAnsi="Garamond" w:cs="Times New Roman"/>
          <w:color w:val="000000" w:themeColor="text1"/>
          <w:sz w:val="24"/>
          <w:szCs w:val="24"/>
        </w:rPr>
        <w:t>it të mëparshëm; Tabela input–</w:t>
      </w:r>
      <w:r w:rsidRPr="004F2AC3">
        <w:rPr>
          <w:rFonts w:ascii="Garamond" w:hAnsi="Garamond" w:cs="Times New Roman"/>
          <w:color w:val="000000" w:themeColor="text1"/>
          <w:sz w:val="24"/>
          <w:szCs w:val="24"/>
        </w:rPr>
        <w:t xml:space="preserve">output, prodhim i brendshëm, importe me çmime bazë; Treguesi i PBB-së dhe i Vlerës së Shtuar Bruto (VSHB-së) sipas rajoneve statistikore, dhe degëve kryesore të ekonomisë në seri kohore; Vlerësim i PBB-së dhe PBB-së për frymë, sipas rajoneve statistikore, dhe aktiviteteve ekonomike; Vlerësimi i PBB-së për frymë sipas rajoneve statistikore </w:t>
      </w:r>
      <w:r w:rsidR="00C61C99" w:rsidRPr="004F2AC3">
        <w:rPr>
          <w:rFonts w:ascii="Garamond" w:hAnsi="Garamond" w:cs="Times New Roman"/>
          <w:color w:val="000000" w:themeColor="text1"/>
          <w:sz w:val="24"/>
          <w:szCs w:val="24"/>
        </w:rPr>
        <w:t>shprehur në termat e paritetit.</w:t>
      </w:r>
    </w:p>
    <w:p w14:paraId="7431CF7A" w14:textId="05439D87"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hAnsi="Garamond" w:cs="Times New Roman"/>
          <w:b/>
          <w:bCs/>
          <w:color w:val="000000" w:themeColor="text1"/>
          <w:sz w:val="24"/>
          <w:szCs w:val="24"/>
        </w:rPr>
        <w:t xml:space="preserve">Përputhshmëria </w:t>
      </w:r>
      <w:r w:rsidRPr="004F2AC3">
        <w:rPr>
          <w:rFonts w:ascii="Garamond" w:eastAsia="Times New Roman" w:hAnsi="Garamond" w:cs="Times New Roman"/>
          <w:b/>
          <w:color w:val="000000" w:themeColor="text1"/>
          <w:sz w:val="24"/>
          <w:szCs w:val="24"/>
        </w:rPr>
        <w:t xml:space="preserve">me </w:t>
      </w:r>
      <w:r w:rsidRPr="004F2AC3">
        <w:rPr>
          <w:rFonts w:ascii="Garamond" w:eastAsia="Times New Roman" w:hAnsi="Garamond" w:cs="Times New Roman"/>
          <w:b/>
          <w:i/>
          <w:color w:val="000000" w:themeColor="text1"/>
          <w:sz w:val="24"/>
          <w:szCs w:val="24"/>
        </w:rPr>
        <w:t>acquis</w:t>
      </w:r>
      <w:r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lang w:eastAsia="ja-JP"/>
        </w:rPr>
        <w:t>Eurostat</w:t>
      </w:r>
      <w:r w:rsidR="00DC0AAE" w:rsidRPr="004F2AC3">
        <w:rPr>
          <w:rFonts w:ascii="Garamond" w:eastAsia="Times New Roman" w:hAnsi="Garamond" w:cs="Times New Roman"/>
          <w:color w:val="000000" w:themeColor="text1"/>
          <w:sz w:val="24"/>
          <w:szCs w:val="24"/>
          <w:lang w:eastAsia="ja-JP"/>
        </w:rPr>
        <w:t>i</w:t>
      </w:r>
      <w:r w:rsidRPr="004F2AC3">
        <w:rPr>
          <w:rFonts w:ascii="Garamond" w:eastAsia="Times New Roman" w:hAnsi="Garamond" w:cs="Times New Roman"/>
          <w:color w:val="000000" w:themeColor="text1"/>
          <w:sz w:val="24"/>
          <w:szCs w:val="24"/>
          <w:lang w:eastAsia="ja-JP"/>
        </w:rPr>
        <w:t xml:space="preserve"> vlerëson </w:t>
      </w:r>
      <w:r w:rsidR="00C61C99" w:rsidRPr="004F2AC3">
        <w:rPr>
          <w:rFonts w:ascii="Garamond" w:eastAsia="Times New Roman" w:hAnsi="Garamond" w:cs="Times New Roman"/>
          <w:color w:val="000000" w:themeColor="text1"/>
          <w:sz w:val="24"/>
          <w:szCs w:val="24"/>
          <w:lang w:eastAsia="ja-JP"/>
        </w:rPr>
        <w:t xml:space="preserve">llogaritë kombëtare </w:t>
      </w:r>
      <w:r w:rsidRPr="004F2AC3">
        <w:rPr>
          <w:rFonts w:ascii="Garamond" w:eastAsia="Times New Roman" w:hAnsi="Garamond" w:cs="Times New Roman"/>
          <w:color w:val="000000" w:themeColor="text1"/>
          <w:sz w:val="24"/>
          <w:szCs w:val="24"/>
          <w:lang w:eastAsia="ja-JP"/>
        </w:rPr>
        <w:t xml:space="preserve">pjesërisht në përputhje me kërkesat e </w:t>
      </w:r>
      <w:r w:rsidRPr="004F2AC3">
        <w:rPr>
          <w:rFonts w:ascii="Garamond" w:eastAsia="Times New Roman" w:hAnsi="Garamond" w:cs="Times New Roman"/>
          <w:i/>
          <w:color w:val="000000" w:themeColor="text1"/>
          <w:sz w:val="24"/>
          <w:szCs w:val="24"/>
          <w:lang w:eastAsia="ja-JP"/>
        </w:rPr>
        <w:t>acquis communautaire</w:t>
      </w:r>
      <w:r w:rsidRPr="004F2AC3">
        <w:rPr>
          <w:rFonts w:ascii="Garamond" w:eastAsia="Times New Roman" w:hAnsi="Garamond" w:cs="Times New Roman"/>
          <w:color w:val="000000" w:themeColor="text1"/>
          <w:sz w:val="24"/>
          <w:szCs w:val="24"/>
          <w:lang w:eastAsia="ja-JP"/>
        </w:rPr>
        <w:t>. Në kuadër të programit të monitorimit të përputhshmërisë, Shqipëria</w:t>
      </w:r>
      <w:r w:rsidR="00C61C99" w:rsidRPr="004F2AC3">
        <w:rPr>
          <w:rFonts w:ascii="Garamond" w:eastAsia="Times New Roman" w:hAnsi="Garamond" w:cs="Times New Roman"/>
          <w:color w:val="000000" w:themeColor="text1"/>
          <w:sz w:val="24"/>
          <w:szCs w:val="24"/>
          <w:lang w:eastAsia="ja-JP"/>
        </w:rPr>
        <w:t>,</w:t>
      </w:r>
      <w:r w:rsidRPr="004F2AC3">
        <w:rPr>
          <w:rFonts w:ascii="Garamond" w:eastAsia="Times New Roman" w:hAnsi="Garamond" w:cs="Times New Roman"/>
          <w:color w:val="000000" w:themeColor="text1"/>
          <w:sz w:val="24"/>
          <w:szCs w:val="24"/>
          <w:lang w:eastAsia="ja-JP"/>
        </w:rPr>
        <w:t xml:space="preserve"> nën mbështetjen</w:t>
      </w:r>
      <w:r w:rsidR="00684E85" w:rsidRPr="004F2AC3">
        <w:rPr>
          <w:rFonts w:ascii="Garamond" w:eastAsia="Times New Roman" w:hAnsi="Garamond" w:cs="Times New Roman"/>
          <w:color w:val="000000" w:themeColor="text1"/>
          <w:sz w:val="24"/>
          <w:szCs w:val="24"/>
          <w:lang w:eastAsia="ja-JP"/>
        </w:rPr>
        <w:t xml:space="preserve"> </w:t>
      </w:r>
      <w:r w:rsidR="00DC0AAE" w:rsidRPr="004F2AC3">
        <w:rPr>
          <w:rFonts w:ascii="Garamond" w:eastAsia="Times New Roman" w:hAnsi="Garamond" w:cs="Times New Roman"/>
          <w:color w:val="000000" w:themeColor="text1"/>
          <w:sz w:val="24"/>
          <w:szCs w:val="24"/>
          <w:lang w:eastAsia="ja-JP"/>
        </w:rPr>
        <w:t>teknike të Eurostat</w:t>
      </w:r>
      <w:r w:rsidRPr="004F2AC3">
        <w:rPr>
          <w:rFonts w:ascii="Garamond" w:eastAsia="Times New Roman" w:hAnsi="Garamond" w:cs="Times New Roman"/>
          <w:color w:val="000000" w:themeColor="text1"/>
          <w:sz w:val="24"/>
          <w:szCs w:val="24"/>
          <w:lang w:eastAsia="ja-JP"/>
        </w:rPr>
        <w:t xml:space="preserve">it, ka rritur në mënyrë të ndjeshme nivelin e harmonizimit të statistikave të </w:t>
      </w:r>
      <w:r w:rsidR="00C61C99" w:rsidRPr="004F2AC3">
        <w:rPr>
          <w:rFonts w:ascii="Garamond" w:eastAsia="Times New Roman" w:hAnsi="Garamond" w:cs="Times New Roman"/>
          <w:color w:val="000000" w:themeColor="text1"/>
          <w:sz w:val="24"/>
          <w:szCs w:val="24"/>
          <w:lang w:eastAsia="ja-JP"/>
        </w:rPr>
        <w:t xml:space="preserve">llogarive kombëtare </w:t>
      </w:r>
      <w:r w:rsidRPr="004F2AC3">
        <w:rPr>
          <w:rFonts w:ascii="Garamond" w:eastAsia="Times New Roman" w:hAnsi="Garamond" w:cs="Times New Roman"/>
          <w:color w:val="000000" w:themeColor="text1"/>
          <w:sz w:val="24"/>
          <w:szCs w:val="24"/>
          <w:lang w:eastAsia="ja-JP"/>
        </w:rPr>
        <w:t>me standardet evropiane. Këto përmirësime janë reflektuar në rritjen e plotshmërisë së treguesve statistikorë, zgjerimin e serive kohore dhe përmirësimet metodologjike të zbatuara. Gjatë vitit 2026</w:t>
      </w:r>
      <w:r w:rsidR="00C61C99" w:rsidRPr="004F2AC3">
        <w:rPr>
          <w:rFonts w:ascii="Garamond" w:eastAsia="Times New Roman" w:hAnsi="Garamond" w:cs="Times New Roman"/>
          <w:color w:val="000000" w:themeColor="text1"/>
          <w:sz w:val="24"/>
          <w:szCs w:val="24"/>
          <w:lang w:eastAsia="ja-JP"/>
        </w:rPr>
        <w:t>,</w:t>
      </w:r>
      <w:r w:rsidRPr="004F2AC3">
        <w:rPr>
          <w:rFonts w:ascii="Garamond" w:eastAsia="Times New Roman" w:hAnsi="Garamond" w:cs="Times New Roman"/>
          <w:color w:val="000000" w:themeColor="text1"/>
          <w:sz w:val="24"/>
          <w:szCs w:val="24"/>
          <w:lang w:eastAsia="ja-JP"/>
        </w:rPr>
        <w:t xml:space="preserve"> parashikohet të miratohet </w:t>
      </w:r>
      <w:r w:rsidR="00C61C99" w:rsidRPr="004F2AC3">
        <w:rPr>
          <w:rFonts w:ascii="Garamond" w:eastAsia="Calibri" w:hAnsi="Garamond" w:cs="Times New Roman"/>
          <w:color w:val="000000" w:themeColor="text1"/>
          <w:sz w:val="24"/>
          <w:szCs w:val="24"/>
        </w:rPr>
        <w:t xml:space="preserve">projektudhëzimi </w:t>
      </w:r>
      <w:r w:rsidRPr="004F2AC3">
        <w:rPr>
          <w:rFonts w:ascii="Garamond" w:eastAsia="Calibri" w:hAnsi="Garamond" w:cs="Times New Roman"/>
          <w:color w:val="000000" w:themeColor="text1"/>
          <w:sz w:val="24"/>
          <w:szCs w:val="24"/>
        </w:rPr>
        <w:t xml:space="preserve">i </w:t>
      </w:r>
      <w:r w:rsidR="00DC0AAE" w:rsidRPr="004F2AC3">
        <w:rPr>
          <w:rFonts w:ascii="Garamond" w:eastAsia="Calibri" w:hAnsi="Garamond" w:cs="Times New Roman"/>
          <w:color w:val="000000" w:themeColor="text1"/>
          <w:sz w:val="24"/>
          <w:szCs w:val="24"/>
        </w:rPr>
        <w:t xml:space="preserve">drejtorit të përgjithshëm </w:t>
      </w:r>
      <w:r w:rsidRPr="004F2AC3">
        <w:rPr>
          <w:rFonts w:ascii="Garamond" w:eastAsia="Calibri" w:hAnsi="Garamond" w:cs="Times New Roman"/>
          <w:color w:val="000000" w:themeColor="text1"/>
          <w:sz w:val="24"/>
          <w:szCs w:val="24"/>
        </w:rPr>
        <w:t>të INSTAT</w:t>
      </w:r>
      <w:r w:rsidR="00DC0AAE" w:rsidRPr="004F2AC3">
        <w:rPr>
          <w:rFonts w:ascii="Garamond" w:eastAsia="Calibri" w:hAnsi="Garamond" w:cs="Times New Roman"/>
          <w:color w:val="000000" w:themeColor="text1"/>
          <w:sz w:val="24"/>
          <w:szCs w:val="24"/>
        </w:rPr>
        <w:t>-it</w:t>
      </w:r>
      <w:r w:rsidR="00C61C99"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 </w:t>
      </w:r>
      <w:r w:rsidR="00D32864"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Për zbatimin e Rregullores 1889/2002</w:t>
      </w:r>
      <w:r w:rsidR="00C61C99"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 në lidhje me shpërndarjen e shërbimeve të ndërmjetësimit financiar të matur në mënyrë indirekte (FISIM) brenda Sistemit Evropian të Llogarive Kombëtare dhe Rajonale (ESA 2010)</w:t>
      </w:r>
      <w:r w:rsidR="00D32864"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w:t>
      </w:r>
    </w:p>
    <w:p w14:paraId="093416DA" w14:textId="28E796F0"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2.2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Statistikat financiare të qeverisë, fiskale dhe të sektorit publik</w:t>
      </w:r>
      <w:r w:rsidR="00D32864" w:rsidRPr="004F2AC3">
        <w:rPr>
          <w:rFonts w:ascii="Garamond" w:eastAsia="Times New Roman" w:hAnsi="Garamond" w:cs="Times New Roman"/>
          <w:b/>
          <w:color w:val="000000" w:themeColor="text1"/>
          <w:sz w:val="24"/>
          <w:szCs w:val="24"/>
        </w:rPr>
        <w:t>”</w:t>
      </w:r>
    </w:p>
    <w:p w14:paraId="2E5D5568" w14:textId="3241557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Për prodhimin e statistikave të kësaj teme janë përgjegjës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Banka e Shqipërisë dhe Ministria e Financave, sipas nëntemave si vijon:</w:t>
      </w:r>
    </w:p>
    <w:p w14:paraId="4DA230B3" w14:textId="15374463"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2.2.1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Llogaritë financiare sipas </w:t>
      </w:r>
      <w:r w:rsidR="00C61C99" w:rsidRPr="004F2AC3">
        <w:rPr>
          <w:rFonts w:ascii="Garamond" w:hAnsi="Garamond" w:cs="Times New Roman"/>
          <w:i/>
          <w:color w:val="000000" w:themeColor="text1"/>
          <w:sz w:val="24"/>
          <w:szCs w:val="24"/>
        </w:rPr>
        <w:t>sektorëve institucionalë</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 janë një sistem statistikor i integruar, që pasqyron marrëdhëniet financiare ndërmjet sektorëve të ekonomisë. Këto statistika paraqesin një pamje të plotë dhe gjithëpërfshirëse të situatës financiare dhe marrëdhënieve financiare në ekonomi, për</w:t>
      </w:r>
      <w:r w:rsidR="00DC0AAE"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sa i përket sektorëve ekonomikë dhe instrumenteve financiare, pë</w:t>
      </w:r>
      <w:r w:rsidR="00D449AF" w:rsidRPr="004F2AC3">
        <w:rPr>
          <w:rFonts w:ascii="Garamond" w:hAnsi="Garamond" w:cs="Times New Roman"/>
          <w:color w:val="000000" w:themeColor="text1"/>
          <w:sz w:val="24"/>
          <w:szCs w:val="24"/>
        </w:rPr>
        <w:t>rfshirë edhe marrëdhëniet me jo</w:t>
      </w:r>
      <w:r w:rsidRPr="004F2AC3">
        <w:rPr>
          <w:rFonts w:ascii="Garamond" w:hAnsi="Garamond" w:cs="Times New Roman"/>
          <w:color w:val="000000" w:themeColor="text1"/>
          <w:sz w:val="24"/>
          <w:szCs w:val="24"/>
        </w:rPr>
        <w:t>rezidentët. Llogaritë financiare ofrojnë një pasqyrë mbi aktivitetet dhe strukturën e sistemit financiar</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duke identifikuar kanalet kryesore të përdorura për të përftuar dhe investuar burimet financiare.</w:t>
      </w:r>
    </w:p>
    <w:p w14:paraId="62332C86" w14:textId="3A7E5406"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Llogaritë financiare sipas sektorëve institucionalë, me frekuencë vjetore, hartohen nga Banka e Shqipërisë. Për hartimin dhe raportimin e tyre, Banka mbështetet në standardet metodologjike ndërkombëtare mbi të cilat është ngritur dhe funksionon hartimi dhe raportimi i llogarive financiare në vendet anëtare të Bashkimit </w:t>
      </w:r>
      <w:r w:rsidR="00C61C99" w:rsidRPr="004F2AC3">
        <w:rPr>
          <w:rFonts w:ascii="Garamond" w:hAnsi="Garamond" w:cs="Times New Roman"/>
          <w:color w:val="000000" w:themeColor="text1"/>
          <w:sz w:val="24"/>
          <w:szCs w:val="24"/>
        </w:rPr>
        <w:t>Evropian, si më poshtë:</w:t>
      </w:r>
    </w:p>
    <w:p w14:paraId="6040074A" w14:textId="4F06E20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Sistemi Evropian i Llogarive Kombëtare, ESA 2010;</w:t>
      </w:r>
    </w:p>
    <w:p w14:paraId="13649055" w14:textId="038E2DF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Manuali mbi Burimet dhe Metodat e Hartimit të Llogarive Financiare </w:t>
      </w:r>
      <w:r w:rsidR="00DC0AA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Edicioni i Dytë;</w:t>
      </w:r>
    </w:p>
    <w:p w14:paraId="1401B651" w14:textId="63FE0488"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Rregullorja 549/2013 (BE) mbi sistemin Evropian të Llogarive Kombëtare dhe Rajonale në Bashkimin Evropian.</w:t>
      </w:r>
    </w:p>
    <w:p w14:paraId="20BC0610" w14:textId="0BDC2A3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Hartimi i të dhënave bazohet në kombinimin e burimeve të siguruara nga Banka e Shqipërisë, INSTAT</w:t>
      </w:r>
      <w:r w:rsidR="00C61C99"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Ministria e Financave, Qendra Kombëtare e Biznesit, Autoriteti i Mbikëqyrjes Financiare dhe burime të tjera administrative. Të dhënat merren në mënyrë direkte nga institucionet raportuese si burim primar, ose në mënyrë indirekte nga informacioni kundërparti. Për mbledhjen e të dhënave primare, statistikat e llogarive financiare përdorin gjerësisht të dhënat, të cilat Banka e Shqipërisë i mbledh nëpërmjet sistemit të unifikuar të raportimit rregullator (ERRS) dhe raportimeve të tjera në Bankën e Shqipërisë. Ndërkohë që burimet suplementare përdoren për të plotësuar mangësitë në burimet primare ose për të përmirësuar cilësinë e statistikave. Banka e Shqipërisë bashkëpunon me Institutin e Statistikave dhe Ministrinë e Financave në mënyrë që të përdoren maksimalisht dhe në mënyrë eficiente të dhënat administrative, veçanërisht për hartimin e të dhënave të sektorit të qeverisë së përgjithshme dhe ko</w:t>
      </w:r>
      <w:r w:rsidR="00D449AF" w:rsidRPr="004F2AC3">
        <w:rPr>
          <w:rFonts w:ascii="Garamond" w:hAnsi="Garamond" w:cs="Times New Roman"/>
          <w:color w:val="000000" w:themeColor="text1"/>
          <w:sz w:val="24"/>
          <w:szCs w:val="24"/>
        </w:rPr>
        <w:t>rporatave jo</w:t>
      </w:r>
      <w:r w:rsidRPr="004F2AC3">
        <w:rPr>
          <w:rFonts w:ascii="Garamond" w:hAnsi="Garamond" w:cs="Times New Roman"/>
          <w:color w:val="000000" w:themeColor="text1"/>
          <w:sz w:val="24"/>
          <w:szCs w:val="24"/>
        </w:rPr>
        <w:t>financiare.</w:t>
      </w:r>
    </w:p>
    <w:p w14:paraId="684155F9" w14:textId="6D5CAAB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2.2.2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Tregues </w:t>
      </w:r>
      <w:r w:rsidR="00C61C99" w:rsidRPr="004F2AC3">
        <w:rPr>
          <w:rFonts w:ascii="Garamond" w:hAnsi="Garamond" w:cs="Times New Roman"/>
          <w:i/>
          <w:color w:val="000000" w:themeColor="text1"/>
          <w:sz w:val="24"/>
          <w:szCs w:val="24"/>
        </w:rPr>
        <w:t>monetarë dhe financiarë</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Banka e Shqipërisë prodhon dhe publikon treguesit monetarë me frekuencë mujore dhe tremujore, që lidhen me agregatët monetarë, depozitat, kreditë, normat e interesit, si dhe bilancet sektoriale dhe paraqitjet monetare të </w:t>
      </w:r>
      <w:r w:rsidR="00DC0AAE" w:rsidRPr="004F2AC3">
        <w:rPr>
          <w:rFonts w:ascii="Garamond" w:hAnsi="Garamond" w:cs="Times New Roman"/>
          <w:color w:val="000000" w:themeColor="text1"/>
          <w:sz w:val="24"/>
          <w:szCs w:val="24"/>
        </w:rPr>
        <w:t>korporatave</w:t>
      </w:r>
      <w:r w:rsidRPr="004F2AC3">
        <w:rPr>
          <w:rFonts w:ascii="Garamond" w:hAnsi="Garamond" w:cs="Times New Roman"/>
          <w:color w:val="000000" w:themeColor="text1"/>
          <w:sz w:val="24"/>
          <w:szCs w:val="24"/>
        </w:rPr>
        <w:t xml:space="preserve"> depozituese. Për përgatitjen e statistikave monetare dhe financiare si burim informacioni shërbejnë pasqyrat financiare të Bankës së Shqipërisë, sistemi raportues i unifikuar rre</w:t>
      </w:r>
      <w:r w:rsidR="00C61C99" w:rsidRPr="004F2AC3">
        <w:rPr>
          <w:rFonts w:ascii="Garamond" w:hAnsi="Garamond" w:cs="Times New Roman"/>
          <w:color w:val="000000" w:themeColor="text1"/>
          <w:sz w:val="24"/>
          <w:szCs w:val="24"/>
        </w:rPr>
        <w:t>gullator (ERRS) për bankat para</w:t>
      </w:r>
      <w:r w:rsidRPr="004F2AC3">
        <w:rPr>
          <w:rFonts w:ascii="Garamond" w:hAnsi="Garamond" w:cs="Times New Roman"/>
          <w:color w:val="000000" w:themeColor="text1"/>
          <w:sz w:val="24"/>
          <w:szCs w:val="24"/>
        </w:rPr>
        <w:t xml:space="preserve">depozituese, sistemi raportues për shoqëritë e kursim-kreditit dhe unionet e tyre, sistemi raportues </w:t>
      </w:r>
      <w:r w:rsidR="00D449AF" w:rsidRPr="004F2AC3">
        <w:rPr>
          <w:rFonts w:ascii="Garamond" w:hAnsi="Garamond" w:cs="Times New Roman"/>
          <w:color w:val="000000" w:themeColor="text1"/>
          <w:sz w:val="24"/>
          <w:szCs w:val="24"/>
        </w:rPr>
        <w:t>nga institucionet financiare jo</w:t>
      </w:r>
      <w:r w:rsidRPr="004F2AC3">
        <w:rPr>
          <w:rFonts w:ascii="Garamond" w:hAnsi="Garamond" w:cs="Times New Roman"/>
          <w:color w:val="000000" w:themeColor="text1"/>
          <w:sz w:val="24"/>
          <w:szCs w:val="24"/>
        </w:rPr>
        <w:t xml:space="preserve">banka, si dhe informacion i mbledhur nga Autoriteti për </w:t>
      </w:r>
      <w:r w:rsidR="00C61C99" w:rsidRPr="004F2AC3">
        <w:rPr>
          <w:rFonts w:ascii="Garamond" w:hAnsi="Garamond" w:cs="Times New Roman"/>
          <w:color w:val="000000" w:themeColor="text1"/>
          <w:sz w:val="24"/>
          <w:szCs w:val="24"/>
        </w:rPr>
        <w:t xml:space="preserve">Mbikëqyrjen </w:t>
      </w:r>
      <w:r w:rsidRPr="004F2AC3">
        <w:rPr>
          <w:rFonts w:ascii="Garamond" w:hAnsi="Garamond" w:cs="Times New Roman"/>
          <w:color w:val="000000" w:themeColor="text1"/>
          <w:sz w:val="24"/>
          <w:szCs w:val="24"/>
        </w:rPr>
        <w:t>Financiare, në përputhje me formatet metodologjike dhe udhëzimet e Bankës së Shqipërisë për kompanitë e sigurimit, fondet e pensioneve dhe fondet e investimeve. Në kuadër të harmonizimit të standardeve të raportimit me kërkesat e BE-së, statistikat e normave të interesit të Institucioneve Monetare Financiare (bankat e nivelit të dytë) hartohen bazuar në rregulloren nr. 48/2017</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raportimet në Bankën e Shqipërisë të statistikave të normave të interesit</w:t>
      </w:r>
      <w:r w:rsidR="00D32864" w:rsidRPr="004F2AC3">
        <w:rPr>
          <w:rFonts w:ascii="Garamond" w:hAnsi="Garamond" w:cs="Times New Roman"/>
          <w:color w:val="000000" w:themeColor="text1"/>
          <w:sz w:val="24"/>
          <w:szCs w:val="24"/>
        </w:rPr>
        <w:t>”</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e cila përafron Rregulloren (KE) </w:t>
      </w:r>
      <w:r w:rsidR="00DC0AAE"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 1072/2003, 24.9.2013 (ECB/2013/34), ndryshuar me rregulloren e Bankës Qendrore Evropiane të datës 8.7.2014</w:t>
      </w:r>
      <w:r w:rsidR="00DC0AA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(ECB/2014/30).</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 xml:space="preserve">Në </w:t>
      </w:r>
      <w:r w:rsidR="00DC0AAE" w:rsidRPr="004F2AC3">
        <w:rPr>
          <w:rFonts w:ascii="Garamond" w:hAnsi="Garamond" w:cs="Times New Roman"/>
          <w:color w:val="000000" w:themeColor="text1"/>
          <w:sz w:val="24"/>
          <w:szCs w:val="24"/>
        </w:rPr>
        <w:t>d</w:t>
      </w:r>
      <w:r w:rsidRPr="004F2AC3">
        <w:rPr>
          <w:rFonts w:ascii="Garamond" w:hAnsi="Garamond" w:cs="Times New Roman"/>
          <w:color w:val="000000" w:themeColor="text1"/>
          <w:sz w:val="24"/>
          <w:szCs w:val="24"/>
        </w:rPr>
        <w:t>hjetor të vitit 2021</w:t>
      </w:r>
      <w:r w:rsidR="00DC0AA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u miratua rregullorja nr.</w:t>
      </w:r>
      <w:r w:rsidR="00DC0AAE"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 xml:space="preserve">73, datë 22.12.2021,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raportimet në Bankën e Shqipërisë të zërave të bilancit të institucioneve të kreditit dhe të institucioneve monetare financiare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e cila përafroi rregullo</w:t>
      </w:r>
      <w:r w:rsidR="00C61C99" w:rsidRPr="004F2AC3">
        <w:rPr>
          <w:rFonts w:ascii="Garamond" w:hAnsi="Garamond" w:cs="Times New Roman"/>
          <w:color w:val="000000" w:themeColor="text1"/>
          <w:sz w:val="24"/>
          <w:szCs w:val="24"/>
        </w:rPr>
        <w:t>ren e Bankës Qendrore Evropiane</w:t>
      </w:r>
      <w:r w:rsidRPr="004F2AC3">
        <w:rPr>
          <w:rFonts w:ascii="Garamond" w:hAnsi="Garamond" w:cs="Times New Roman"/>
          <w:color w:val="000000" w:themeColor="text1"/>
          <w:sz w:val="24"/>
          <w:szCs w:val="24"/>
        </w:rPr>
        <w:t xml:space="preserve"> (BE) </w:t>
      </w:r>
      <w:r w:rsidR="00C61C9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 2021/379.</w:t>
      </w:r>
    </w:p>
    <w:p w14:paraId="2D8C1A35" w14:textId="65017F2C"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2.2.3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w:t>
      </w:r>
      <w:r w:rsidR="00C61C99" w:rsidRPr="004F2AC3">
        <w:rPr>
          <w:rFonts w:ascii="Garamond" w:hAnsi="Garamond" w:cs="Times New Roman"/>
          <w:i/>
          <w:color w:val="000000" w:themeColor="text1"/>
          <w:sz w:val="24"/>
          <w:szCs w:val="24"/>
        </w:rPr>
        <w:t xml:space="preserve">financiare të qeverisë </w:t>
      </w:r>
      <w:r w:rsidRPr="004F2AC3">
        <w:rPr>
          <w:rFonts w:ascii="Garamond" w:hAnsi="Garamond" w:cs="Times New Roman"/>
          <w:i/>
          <w:color w:val="000000" w:themeColor="text1"/>
          <w:sz w:val="24"/>
          <w:szCs w:val="24"/>
        </w:rPr>
        <w:t xml:space="preserve">sipas GFSM 2014 dhe </w:t>
      </w:r>
      <w:r w:rsidR="00C61C99" w:rsidRPr="004F2AC3">
        <w:rPr>
          <w:rFonts w:ascii="Garamond" w:hAnsi="Garamond" w:cs="Times New Roman"/>
          <w:i/>
          <w:color w:val="000000" w:themeColor="text1"/>
          <w:sz w:val="24"/>
          <w:szCs w:val="24"/>
        </w:rPr>
        <w:t>pasqyrat financiare të konsoliduara të qeverisë</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është nëntemë e cila mbulohet nga Ministria e Financave në bashkëpunim me INSTAT</w:t>
      </w:r>
      <w:r w:rsidR="00C61C99" w:rsidRPr="004F2AC3">
        <w:rPr>
          <w:rFonts w:ascii="Garamond" w:hAnsi="Garamond" w:cs="Times New Roman"/>
          <w:color w:val="000000" w:themeColor="text1"/>
          <w:sz w:val="24"/>
          <w:szCs w:val="24"/>
        </w:rPr>
        <w:t>-in</w:t>
      </w:r>
      <w:r w:rsidRPr="004F2AC3">
        <w:rPr>
          <w:rFonts w:ascii="Garamond" w:hAnsi="Garamond" w:cs="Times New Roman"/>
          <w:color w:val="000000" w:themeColor="text1"/>
          <w:sz w:val="24"/>
          <w:szCs w:val="24"/>
        </w:rPr>
        <w:t xml:space="preserve"> dhe Bankën e Shqipërisë. Kjo ministri, nën cilësinë e agjencisë statistikore, kryen aktivitetin e prodhimit të statistikave financiare të qeverisë sipas GFSM 2014 dhe pasqyrave financiare të konsoliduara të qeverisë, të cilat publikohen me frekuencë vjetore. Prodhimi i këtyre statistikave mundësohet nëpërmjet përpunimit të informacionit të ofruar nga njësitë e qeverisjes së përgjithshme (institucione qendrore, vendore dhe fondet speciale).</w:t>
      </w:r>
    </w:p>
    <w:p w14:paraId="72D63A8B" w14:textId="1ED99D35" w:rsidR="000F566F" w:rsidRPr="004F2AC3" w:rsidRDefault="000F566F" w:rsidP="000F566F">
      <w:pPr>
        <w:spacing w:after="0" w:line="240" w:lineRule="auto"/>
        <w:ind w:firstLine="284"/>
        <w:jc w:val="both"/>
        <w:rPr>
          <w:rFonts w:ascii="Garamond" w:hAnsi="Garamond" w:cs="Times New Roman"/>
          <w:i/>
          <w:color w:val="000000" w:themeColor="text1"/>
          <w:sz w:val="24"/>
          <w:szCs w:val="24"/>
        </w:rPr>
      </w:pPr>
      <w:r w:rsidRPr="004F2AC3">
        <w:rPr>
          <w:rFonts w:ascii="Garamond" w:hAnsi="Garamond" w:cs="Times New Roman"/>
          <w:i/>
          <w:color w:val="000000" w:themeColor="text1"/>
          <w:sz w:val="24"/>
          <w:szCs w:val="24"/>
        </w:rPr>
        <w:t xml:space="preserve">2.2.4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e </w:t>
      </w:r>
      <w:r w:rsidR="00C61C99" w:rsidRPr="004F2AC3">
        <w:rPr>
          <w:rFonts w:ascii="Garamond" w:hAnsi="Garamond" w:cs="Times New Roman"/>
          <w:i/>
          <w:color w:val="000000" w:themeColor="text1"/>
          <w:sz w:val="24"/>
          <w:szCs w:val="24"/>
        </w:rPr>
        <w:t xml:space="preserve">borxhit </w:t>
      </w:r>
      <w:r w:rsidRPr="004F2AC3">
        <w:rPr>
          <w:rFonts w:ascii="Garamond" w:hAnsi="Garamond" w:cs="Times New Roman"/>
          <w:i/>
          <w:color w:val="000000" w:themeColor="text1"/>
          <w:sz w:val="24"/>
          <w:szCs w:val="24"/>
        </w:rPr>
        <w:t>të sektorit buxhetor të qeverisë dhe borxhit të garantuar</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është nëntemë e cila mbulohet</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gjithashtu</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nga Ministria e Financave</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duke prodhuar statistikat e borxhit të sektorit buxhetor të qeverisë dhe borxhit të garantuar, me frekuencë tremujore dhe vjetore. Ministria përdor të dhënat që disponon INSTAT</w:t>
      </w:r>
      <w:r w:rsidR="00C61C99"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dhe nga Banka e Shqipërisë për prodhimin e këtyre statistikave.</w:t>
      </w:r>
    </w:p>
    <w:p w14:paraId="1F90D7CA" w14:textId="6F2139F8"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2.2.5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w:t>
      </w:r>
      <w:r w:rsidR="00C61C99" w:rsidRPr="004F2AC3">
        <w:rPr>
          <w:rFonts w:ascii="Garamond" w:hAnsi="Garamond" w:cs="Times New Roman"/>
          <w:i/>
          <w:color w:val="000000" w:themeColor="text1"/>
          <w:sz w:val="24"/>
          <w:szCs w:val="24"/>
        </w:rPr>
        <w:t xml:space="preserve">financiare të qeverisë </w:t>
      </w:r>
      <w:r w:rsidRPr="004F2AC3">
        <w:rPr>
          <w:rFonts w:ascii="Garamond" w:hAnsi="Garamond" w:cs="Times New Roman"/>
          <w:i/>
          <w:color w:val="000000" w:themeColor="text1"/>
          <w:sz w:val="24"/>
          <w:szCs w:val="24"/>
        </w:rPr>
        <w:t>sipas ESA 2010</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është nëntemë e cila mbulohet nga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në bashkëpunim të ngushtë me Ministrinë e Financave dhe Bankën e Shqipërisë.</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Të dhënat janë me frekuencë tremujore dhe vjetore referuar Programi</w:t>
      </w:r>
      <w:r w:rsidR="00C61C99" w:rsidRPr="004F2AC3">
        <w:rPr>
          <w:rFonts w:ascii="Garamond" w:hAnsi="Garamond" w:cs="Times New Roman"/>
          <w:color w:val="000000" w:themeColor="text1"/>
          <w:sz w:val="24"/>
          <w:szCs w:val="24"/>
        </w:rPr>
        <w:t>t</w:t>
      </w:r>
      <w:r w:rsidRPr="004F2AC3">
        <w:rPr>
          <w:rFonts w:ascii="Garamond" w:hAnsi="Garamond" w:cs="Times New Roman"/>
          <w:color w:val="000000" w:themeColor="text1"/>
          <w:sz w:val="24"/>
          <w:szCs w:val="24"/>
        </w:rPr>
        <w:t xml:space="preserve"> të Transmetimit ESA 2010. Statistikat </w:t>
      </w:r>
      <w:r w:rsidR="00C61C99" w:rsidRPr="004F2AC3">
        <w:rPr>
          <w:rFonts w:ascii="Garamond" w:hAnsi="Garamond" w:cs="Times New Roman"/>
          <w:color w:val="000000" w:themeColor="text1"/>
          <w:sz w:val="24"/>
          <w:szCs w:val="24"/>
        </w:rPr>
        <w:t xml:space="preserve">financiare </w:t>
      </w:r>
      <w:r w:rsidRPr="004F2AC3">
        <w:rPr>
          <w:rFonts w:ascii="Garamond" w:hAnsi="Garamond" w:cs="Times New Roman"/>
          <w:color w:val="000000" w:themeColor="text1"/>
          <w:sz w:val="24"/>
          <w:szCs w:val="24"/>
        </w:rPr>
        <w:t xml:space="preserve">të </w:t>
      </w:r>
      <w:r w:rsidR="00C61C99" w:rsidRPr="004F2AC3">
        <w:rPr>
          <w:rFonts w:ascii="Garamond" w:hAnsi="Garamond" w:cs="Times New Roman"/>
          <w:color w:val="000000" w:themeColor="text1"/>
          <w:sz w:val="24"/>
          <w:szCs w:val="24"/>
        </w:rPr>
        <w:t xml:space="preserve">qeverisë </w:t>
      </w:r>
      <w:r w:rsidRPr="004F2AC3">
        <w:rPr>
          <w:rFonts w:ascii="Garamond" w:hAnsi="Garamond" w:cs="Times New Roman"/>
          <w:color w:val="000000" w:themeColor="text1"/>
          <w:sz w:val="24"/>
          <w:szCs w:val="24"/>
        </w:rPr>
        <w:t xml:space="preserve">vlerësohen nëpërmjet përpunimit të informacionit të marrë për të gjitha njësitë e klasifikuara në </w:t>
      </w:r>
      <w:r w:rsidR="00C61C99" w:rsidRPr="004F2AC3">
        <w:rPr>
          <w:rFonts w:ascii="Garamond" w:hAnsi="Garamond" w:cs="Times New Roman"/>
          <w:color w:val="000000" w:themeColor="text1"/>
          <w:sz w:val="24"/>
          <w:szCs w:val="24"/>
        </w:rPr>
        <w:t xml:space="preserve">sektorin e qeverisjes së përgjithshme </w:t>
      </w:r>
      <w:r w:rsidRPr="004F2AC3">
        <w:rPr>
          <w:rFonts w:ascii="Garamond" w:hAnsi="Garamond" w:cs="Times New Roman"/>
          <w:color w:val="000000" w:themeColor="text1"/>
          <w:sz w:val="24"/>
          <w:szCs w:val="24"/>
        </w:rPr>
        <w:t xml:space="preserve">(S.13) sipas metodologjisë ESA 2010. Vlerësimet janë të ndara dhe sipas nënsektorëve të qeverisë: </w:t>
      </w:r>
      <w:r w:rsidR="00C61C99" w:rsidRPr="004F2AC3">
        <w:rPr>
          <w:rFonts w:ascii="Garamond" w:hAnsi="Garamond" w:cs="Times New Roman"/>
          <w:color w:val="000000" w:themeColor="text1"/>
          <w:sz w:val="24"/>
          <w:szCs w:val="24"/>
        </w:rPr>
        <w:t xml:space="preserve">qeveria qendrore </w:t>
      </w:r>
      <w:r w:rsidRPr="004F2AC3">
        <w:rPr>
          <w:rFonts w:ascii="Garamond" w:hAnsi="Garamond" w:cs="Times New Roman"/>
          <w:color w:val="000000" w:themeColor="text1"/>
          <w:sz w:val="24"/>
          <w:szCs w:val="24"/>
        </w:rPr>
        <w:t xml:space="preserve">(S.1311), </w:t>
      </w:r>
      <w:r w:rsidR="00C61C99" w:rsidRPr="004F2AC3">
        <w:rPr>
          <w:rFonts w:ascii="Garamond" w:hAnsi="Garamond" w:cs="Times New Roman"/>
          <w:color w:val="000000" w:themeColor="text1"/>
          <w:sz w:val="24"/>
          <w:szCs w:val="24"/>
        </w:rPr>
        <w:t xml:space="preserve">qeveria federale </w:t>
      </w:r>
      <w:r w:rsidRPr="004F2AC3">
        <w:rPr>
          <w:rFonts w:ascii="Garamond" w:hAnsi="Garamond" w:cs="Times New Roman"/>
          <w:color w:val="000000" w:themeColor="text1"/>
          <w:sz w:val="24"/>
          <w:szCs w:val="24"/>
        </w:rPr>
        <w:t xml:space="preserve">(S.1312), </w:t>
      </w:r>
      <w:r w:rsidR="00C61C99" w:rsidRPr="004F2AC3">
        <w:rPr>
          <w:rFonts w:ascii="Garamond" w:hAnsi="Garamond" w:cs="Times New Roman"/>
          <w:color w:val="000000" w:themeColor="text1"/>
          <w:sz w:val="24"/>
          <w:szCs w:val="24"/>
        </w:rPr>
        <w:t xml:space="preserve">qeveria lokale </w:t>
      </w:r>
      <w:r w:rsidRPr="004F2AC3">
        <w:rPr>
          <w:rFonts w:ascii="Garamond" w:hAnsi="Garamond" w:cs="Times New Roman"/>
          <w:color w:val="000000" w:themeColor="text1"/>
          <w:sz w:val="24"/>
          <w:szCs w:val="24"/>
        </w:rPr>
        <w:t xml:space="preserve">(S.1313) dhe </w:t>
      </w:r>
      <w:r w:rsidR="00C61C99" w:rsidRPr="004F2AC3">
        <w:rPr>
          <w:rFonts w:ascii="Garamond" w:hAnsi="Garamond" w:cs="Times New Roman"/>
          <w:color w:val="000000" w:themeColor="text1"/>
          <w:sz w:val="24"/>
          <w:szCs w:val="24"/>
        </w:rPr>
        <w:t xml:space="preserve">fondet e sigurimeve </w:t>
      </w:r>
      <w:r w:rsidRPr="004F2AC3">
        <w:rPr>
          <w:rFonts w:ascii="Garamond" w:hAnsi="Garamond" w:cs="Times New Roman"/>
          <w:color w:val="000000" w:themeColor="text1"/>
          <w:sz w:val="24"/>
          <w:szCs w:val="24"/>
        </w:rPr>
        <w:t>(S.1314). Aktualisht, INSTAT</w:t>
      </w:r>
      <w:r w:rsidR="00C61C99"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kryen përpilimin e tabelave mbi statistikat financiare të qeverisë sipas ESA 2010 dhe i transmeton në Eurostat me statusin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publikim</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w:t>
      </w:r>
    </w:p>
    <w:p w14:paraId="12B32C70" w14:textId="4DC4B9BC"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2.2.6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Procedura e </w:t>
      </w:r>
      <w:r w:rsidR="00C61C99" w:rsidRPr="004F2AC3">
        <w:rPr>
          <w:rFonts w:ascii="Garamond" w:hAnsi="Garamond" w:cs="Times New Roman"/>
          <w:i/>
          <w:color w:val="000000" w:themeColor="text1"/>
          <w:sz w:val="24"/>
          <w:szCs w:val="24"/>
        </w:rPr>
        <w:t>deficitit të tejkaluar</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është nëntemë e cila mbulohet</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gjithashtu</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nga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në bashkëpunim të ngushtë me Ministrinë e Financave dhe Bankën e Shqipërisë. INSTAT</w:t>
      </w:r>
      <w:r w:rsidR="00DC0AAE" w:rsidRPr="004F2AC3">
        <w:rPr>
          <w:rFonts w:ascii="Garamond" w:hAnsi="Garamond" w:cs="Times New Roman"/>
          <w:color w:val="000000" w:themeColor="text1"/>
          <w:sz w:val="24"/>
          <w:szCs w:val="24"/>
        </w:rPr>
        <w:t>-i</w:t>
      </w:r>
      <w:r w:rsidR="00C61C99" w:rsidRPr="004F2AC3">
        <w:rPr>
          <w:rFonts w:ascii="Garamond" w:hAnsi="Garamond" w:cs="Times New Roman"/>
          <w:color w:val="000000" w:themeColor="text1"/>
          <w:sz w:val="24"/>
          <w:szCs w:val="24"/>
        </w:rPr>
        <w:t xml:space="preserve"> kryen aktivitetin </w:t>
      </w:r>
      <w:r w:rsidRPr="004F2AC3">
        <w:rPr>
          <w:rFonts w:ascii="Garamond" w:hAnsi="Garamond" w:cs="Times New Roman"/>
          <w:color w:val="000000" w:themeColor="text1"/>
          <w:sz w:val="24"/>
          <w:szCs w:val="24"/>
        </w:rPr>
        <w:t>statistikor mbi tabelat e procedurës së deficitit të tejkaluar sipas formatit të përcaktuar nga Eurostat</w:t>
      </w:r>
      <w:r w:rsidR="00C61C99"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duke ndjekur metodologjinë ESA 2010. Aktualisht, INSTAT</w:t>
      </w:r>
      <w:r w:rsidR="00C61C99"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kryen përpilimin e tabelave të procedurës së defiçitit të tejkaluar</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sipas ESA 2010 dhe i transmeton në Eurostat me statusin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publikim</w:t>
      </w:r>
      <w:r w:rsidR="00D32864" w:rsidRPr="004F2AC3">
        <w:rPr>
          <w:rFonts w:ascii="Garamond" w:hAnsi="Garamond" w:cs="Times New Roman"/>
          <w:color w:val="000000" w:themeColor="text1"/>
          <w:sz w:val="24"/>
          <w:szCs w:val="24"/>
        </w:rPr>
        <w:t>”</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Këto të dhëna transmetohen dy herë në vit </w:t>
      </w:r>
      <w:r w:rsidR="00C61C99" w:rsidRPr="004F2AC3">
        <w:rPr>
          <w:rFonts w:ascii="Garamond" w:hAnsi="Garamond" w:cs="Times New Roman"/>
          <w:color w:val="000000" w:themeColor="text1"/>
          <w:sz w:val="24"/>
          <w:szCs w:val="24"/>
        </w:rPr>
        <w:t xml:space="preserve">prill/tetor </w:t>
      </w:r>
      <w:r w:rsidRPr="004F2AC3">
        <w:rPr>
          <w:rFonts w:ascii="Garamond" w:hAnsi="Garamond" w:cs="Times New Roman"/>
          <w:color w:val="000000" w:themeColor="text1"/>
          <w:sz w:val="24"/>
          <w:szCs w:val="24"/>
        </w:rPr>
        <w:t>sikurse kërkohet nga Eurostat</w:t>
      </w:r>
      <w:r w:rsidR="00C61C99"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për vendet kandidate të Bashkimit Evropian. Nën mbështetjen</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e pr</w:t>
      </w:r>
      <w:r w:rsidR="005B3A9C" w:rsidRPr="004F2AC3">
        <w:rPr>
          <w:rFonts w:ascii="Garamond" w:hAnsi="Garamond" w:cs="Times New Roman"/>
          <w:color w:val="000000" w:themeColor="text1"/>
          <w:sz w:val="24"/>
          <w:szCs w:val="24"/>
        </w:rPr>
        <w:t>ogramit IPA 2022 shumëpërfitues</w:t>
      </w:r>
      <w:r w:rsidRPr="004F2AC3">
        <w:rPr>
          <w:rFonts w:ascii="Garamond" w:hAnsi="Garamond" w:cs="Times New Roman"/>
          <w:color w:val="000000" w:themeColor="text1"/>
          <w:sz w:val="24"/>
          <w:szCs w:val="24"/>
        </w:rPr>
        <w:t>, do të vazhdojë puna</w:t>
      </w:r>
      <w:r w:rsidR="00C61C9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në drejtim të përmirësimeve metodologjike për rritjen e nivelit të përputhshmërisë me ESA 2010 për përpilimin e këtyre tabelave, në mbështetje edhe të detyrimeve që rrjedhin nga procesi i Integrimit Evropian, me fokus të veçantë plotësimin 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Piketave </w:t>
      </w:r>
      <w:r w:rsidR="00C61C99" w:rsidRPr="004F2AC3">
        <w:rPr>
          <w:rFonts w:ascii="Garamond" w:hAnsi="Garamond" w:cs="Times New Roman"/>
          <w:color w:val="000000" w:themeColor="text1"/>
          <w:sz w:val="24"/>
          <w:szCs w:val="24"/>
        </w:rPr>
        <w:t>mbyllëse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për kapitullin 18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Statistikat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p>
    <w:p w14:paraId="7EBC862C" w14:textId="5FAE6106"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 xml:space="preserve">Përgatitja e informacionit shpjegues metodologjik; Tregues statistikorë mbi </w:t>
      </w:r>
      <w:r w:rsidR="00C61C99" w:rsidRPr="004F2AC3">
        <w:rPr>
          <w:rFonts w:ascii="Garamond" w:hAnsi="Garamond" w:cs="Times New Roman"/>
          <w:color w:val="000000" w:themeColor="text1"/>
          <w:sz w:val="24"/>
          <w:szCs w:val="24"/>
        </w:rPr>
        <w:t xml:space="preserve">llogaritë </w:t>
      </w:r>
      <w:r w:rsidRPr="004F2AC3">
        <w:rPr>
          <w:rFonts w:ascii="Garamond" w:hAnsi="Garamond" w:cs="Times New Roman"/>
          <w:color w:val="000000" w:themeColor="text1"/>
          <w:sz w:val="24"/>
          <w:szCs w:val="24"/>
        </w:rPr>
        <w:t>financiare të sektorit të korporatave financi</w:t>
      </w:r>
      <w:r w:rsidR="00D449AF" w:rsidRPr="004F2AC3">
        <w:rPr>
          <w:rFonts w:ascii="Garamond" w:hAnsi="Garamond" w:cs="Times New Roman"/>
          <w:color w:val="000000" w:themeColor="text1"/>
          <w:sz w:val="24"/>
          <w:szCs w:val="24"/>
        </w:rPr>
        <w:t>are, të jo</w:t>
      </w:r>
      <w:r w:rsidRPr="004F2AC3">
        <w:rPr>
          <w:rFonts w:ascii="Garamond" w:hAnsi="Garamond" w:cs="Times New Roman"/>
          <w:color w:val="000000" w:themeColor="text1"/>
          <w:sz w:val="24"/>
          <w:szCs w:val="24"/>
        </w:rPr>
        <w:t>rezidentëve (pjesës tjetër të botës), të sektorit të qeverisë së përgjiths</w:t>
      </w:r>
      <w:r w:rsidR="00D449AF" w:rsidRPr="004F2AC3">
        <w:rPr>
          <w:rFonts w:ascii="Garamond" w:hAnsi="Garamond" w:cs="Times New Roman"/>
          <w:color w:val="000000" w:themeColor="text1"/>
          <w:sz w:val="24"/>
          <w:szCs w:val="24"/>
        </w:rPr>
        <w:t>hme, sektorit të korporatave jo</w:t>
      </w:r>
      <w:r w:rsidRPr="004F2AC3">
        <w:rPr>
          <w:rFonts w:ascii="Garamond" w:hAnsi="Garamond" w:cs="Times New Roman"/>
          <w:color w:val="000000" w:themeColor="text1"/>
          <w:sz w:val="24"/>
          <w:szCs w:val="24"/>
        </w:rPr>
        <w:t xml:space="preserve">financiare, të ekonomive familjare dhe institucioneve jo me qëllim fitimi, në shërbim të ekonomive familjare; Tregues statistikorë mbi agregatët monetarë; </w:t>
      </w:r>
      <w:r w:rsidR="00C61C99" w:rsidRPr="004F2AC3">
        <w:rPr>
          <w:rFonts w:ascii="Garamond" w:hAnsi="Garamond" w:cs="Times New Roman"/>
          <w:color w:val="000000" w:themeColor="text1"/>
          <w:sz w:val="24"/>
          <w:szCs w:val="24"/>
        </w:rPr>
        <w:t xml:space="preserve">bilancin </w:t>
      </w:r>
      <w:r w:rsidRPr="004F2AC3">
        <w:rPr>
          <w:rFonts w:ascii="Garamond" w:hAnsi="Garamond" w:cs="Times New Roman"/>
          <w:color w:val="000000" w:themeColor="text1"/>
          <w:sz w:val="24"/>
          <w:szCs w:val="24"/>
        </w:rPr>
        <w:t>sektorial dhe paraqitjen monetare të bankës qendrore, të bankave paradepozituese të bankave të tjera depozituese; paraqitjen monetare të korporatave depozituese; depozitat e përfshira në paranë e gjerë; kredinë për ekonominë; Tregues statistikorë mbi normat e interesit për dep</w:t>
      </w:r>
      <w:r w:rsidR="005B3A9C" w:rsidRPr="004F2AC3">
        <w:rPr>
          <w:rFonts w:ascii="Garamond" w:hAnsi="Garamond" w:cs="Times New Roman"/>
          <w:color w:val="000000" w:themeColor="text1"/>
          <w:sz w:val="24"/>
          <w:szCs w:val="24"/>
        </w:rPr>
        <w:t>ozitat e reja, huat</w:t>
      </w:r>
      <w:r w:rsidRPr="004F2AC3">
        <w:rPr>
          <w:rFonts w:ascii="Garamond" w:hAnsi="Garamond" w:cs="Times New Roman"/>
          <w:color w:val="000000" w:themeColor="text1"/>
          <w:sz w:val="24"/>
          <w:szCs w:val="24"/>
        </w:rPr>
        <w:t xml:space="preserve"> e reja, depozitat gjendje në fund të periudhës, kreditë gjendje në fund të periudhës; Tregues statistikorë mbi bilancin sektorial dhe paraqitjen monetare të korporatave të tjera financiare. Tregues statistikorë financiare të qeverisë sipas GFSM 2014 dhe mbi pasqyrat financiare të konsoliduara të qeverisë; Informacion mbi borxhin e qeverisë q</w:t>
      </w:r>
      <w:r w:rsidR="00DC0AAE"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ndrore buxhetore dhe borxhin e garantuar sipas instrumenteve, maturimit dhe monedhës, tipit të interesit, koncensionalitetit</w:t>
      </w:r>
      <w:r w:rsidR="00DC0AA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dhe borxhin e pushtetit lokal ndaj sektorit bankar (kredi). Tregues statistikorë financiare të qeverisë sipas ESA 2010; Informacion mbi treguesit e borxhit të qeverisë të tabelave të procedurës së deficitit të tejkaluar etj.</w:t>
      </w:r>
    </w:p>
    <w:p w14:paraId="21743CBF" w14:textId="299E2332"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lang w:eastAsia="ja-JP"/>
        </w:rPr>
      </w:pPr>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acquis</w:t>
      </w:r>
      <w:r w:rsidRPr="004F2AC3">
        <w:rPr>
          <w:rFonts w:ascii="Garamond" w:hAnsi="Garamond" w:cs="Times New Roman"/>
          <w:b/>
          <w:color w:val="000000" w:themeColor="text1"/>
          <w:sz w:val="24"/>
          <w:szCs w:val="24"/>
        </w:rPr>
        <w:t xml:space="preserve">: </w:t>
      </w:r>
      <w:r w:rsidRPr="004F2AC3">
        <w:rPr>
          <w:rFonts w:ascii="Garamond" w:eastAsia="Times New Roman" w:hAnsi="Garamond" w:cs="Times New Roman"/>
          <w:color w:val="000000" w:themeColor="text1"/>
          <w:sz w:val="24"/>
          <w:szCs w:val="24"/>
          <w:lang w:eastAsia="ja-JP"/>
        </w:rPr>
        <w:t>Mbështetur në programin e monitorimit të përputhshmërisë, Eurosta</w:t>
      </w:r>
      <w:r w:rsidR="00F6672B" w:rsidRPr="004F2AC3">
        <w:rPr>
          <w:rFonts w:ascii="Garamond" w:eastAsia="Times New Roman" w:hAnsi="Garamond" w:cs="Times New Roman"/>
          <w:color w:val="000000" w:themeColor="text1"/>
          <w:sz w:val="24"/>
          <w:szCs w:val="24"/>
          <w:lang w:eastAsia="ja-JP"/>
        </w:rPr>
        <w:t>t</w:t>
      </w:r>
      <w:r w:rsidRPr="004F2AC3">
        <w:rPr>
          <w:rFonts w:ascii="Garamond" w:eastAsia="Times New Roman" w:hAnsi="Garamond" w:cs="Times New Roman"/>
          <w:color w:val="000000" w:themeColor="text1"/>
          <w:sz w:val="24"/>
          <w:szCs w:val="24"/>
          <w:lang w:eastAsia="ja-JP"/>
        </w:rPr>
        <w:t>i vlerëson mesatarisht të përputhshëm nivelin e zbatimit</w:t>
      </w:r>
      <w:r w:rsidR="00684E85" w:rsidRPr="004F2AC3">
        <w:rPr>
          <w:rFonts w:ascii="Garamond" w:eastAsia="Times New Roman" w:hAnsi="Garamond" w:cs="Times New Roman"/>
          <w:color w:val="000000" w:themeColor="text1"/>
          <w:sz w:val="24"/>
          <w:szCs w:val="24"/>
          <w:lang w:eastAsia="ja-JP"/>
        </w:rPr>
        <w:t xml:space="preserve"> </w:t>
      </w:r>
      <w:r w:rsidRPr="004F2AC3">
        <w:rPr>
          <w:rFonts w:ascii="Garamond" w:eastAsia="Times New Roman" w:hAnsi="Garamond" w:cs="Times New Roman"/>
          <w:color w:val="000000" w:themeColor="text1"/>
          <w:sz w:val="24"/>
          <w:szCs w:val="24"/>
          <w:lang w:eastAsia="ja-JP"/>
        </w:rPr>
        <w:t xml:space="preserve">të ESA 2010 në </w:t>
      </w:r>
      <w:r w:rsidR="00F6672B" w:rsidRPr="004F2AC3">
        <w:rPr>
          <w:rFonts w:ascii="Garamond" w:eastAsia="Times New Roman" w:hAnsi="Garamond" w:cs="Times New Roman"/>
          <w:color w:val="000000" w:themeColor="text1"/>
          <w:sz w:val="24"/>
          <w:szCs w:val="24"/>
          <w:lang w:eastAsia="ja-JP"/>
        </w:rPr>
        <w:t>llogaritë financiare të qeverisë</w:t>
      </w:r>
      <w:r w:rsidRPr="004F2AC3">
        <w:rPr>
          <w:rFonts w:ascii="Garamond" w:eastAsia="Times New Roman" w:hAnsi="Garamond" w:cs="Times New Roman"/>
          <w:color w:val="000000" w:themeColor="text1"/>
          <w:sz w:val="24"/>
          <w:szCs w:val="24"/>
          <w:lang w:eastAsia="ja-JP"/>
        </w:rPr>
        <w:t>. INSTAT</w:t>
      </w:r>
      <w:r w:rsidR="00F6672B" w:rsidRPr="004F2AC3">
        <w:rPr>
          <w:rFonts w:ascii="Garamond" w:eastAsia="Times New Roman" w:hAnsi="Garamond" w:cs="Times New Roman"/>
          <w:color w:val="000000" w:themeColor="text1"/>
          <w:sz w:val="24"/>
          <w:szCs w:val="24"/>
          <w:lang w:eastAsia="ja-JP"/>
        </w:rPr>
        <w:t>-i</w:t>
      </w:r>
      <w:r w:rsidRPr="004F2AC3">
        <w:rPr>
          <w:rFonts w:ascii="Garamond" w:eastAsia="Times New Roman" w:hAnsi="Garamond" w:cs="Times New Roman"/>
          <w:color w:val="000000" w:themeColor="text1"/>
          <w:sz w:val="24"/>
          <w:szCs w:val="24"/>
          <w:lang w:eastAsia="ja-JP"/>
        </w:rPr>
        <w:t xml:space="preserve"> do të punojë në drejtim të rritjes së përputhshmërisë së kuadrit ligjor dhe të intensifikimit të bashkëpunimit ndërinstitucional</w:t>
      </w:r>
      <w:r w:rsidR="00F6672B" w:rsidRPr="004F2AC3">
        <w:rPr>
          <w:rFonts w:ascii="Garamond" w:eastAsia="Times New Roman" w:hAnsi="Garamond" w:cs="Times New Roman"/>
          <w:color w:val="000000" w:themeColor="text1"/>
          <w:sz w:val="24"/>
          <w:szCs w:val="24"/>
          <w:lang w:eastAsia="ja-JP"/>
        </w:rPr>
        <w:t>,</w:t>
      </w:r>
      <w:r w:rsidRPr="004F2AC3">
        <w:rPr>
          <w:rFonts w:ascii="Garamond" w:eastAsia="Times New Roman" w:hAnsi="Garamond" w:cs="Times New Roman"/>
          <w:color w:val="000000" w:themeColor="text1"/>
          <w:sz w:val="24"/>
          <w:szCs w:val="24"/>
          <w:lang w:eastAsia="ja-JP"/>
        </w:rPr>
        <w:t xml:space="preserve"> me qëllim përpilimin e tabelave të statistikave financiare të qeverisë (GFS (angl.)) dhe tabelave të procedurës së deficitit të tejkaluar (EDP (angl.))</w:t>
      </w:r>
      <w:r w:rsidR="00F6672B" w:rsidRPr="004F2AC3">
        <w:rPr>
          <w:rFonts w:ascii="Garamond" w:eastAsia="Times New Roman" w:hAnsi="Garamond" w:cs="Times New Roman"/>
          <w:color w:val="000000" w:themeColor="text1"/>
          <w:sz w:val="24"/>
          <w:szCs w:val="24"/>
          <w:lang w:eastAsia="ja-JP"/>
        </w:rPr>
        <w:t>,</w:t>
      </w:r>
      <w:r w:rsidRPr="004F2AC3">
        <w:rPr>
          <w:rFonts w:ascii="Garamond" w:eastAsia="Times New Roman" w:hAnsi="Garamond" w:cs="Times New Roman"/>
          <w:color w:val="000000" w:themeColor="text1"/>
          <w:sz w:val="24"/>
          <w:szCs w:val="24"/>
          <w:lang w:eastAsia="ja-JP"/>
        </w:rPr>
        <w:t xml:space="preserve"> sipas standardeve evropiane. Statistikat monetare hartohen në përputhje të plotë me standardet ndërkombëtare bazuar në manualin e Statistikave Monetare dhe Financiare, FMN 2016 dhe manualin e Statistikave të Institucioneve Monetare Financiare, ECB, 2019.</w:t>
      </w:r>
    </w:p>
    <w:p w14:paraId="791BDA35" w14:textId="783397DB"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2.3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Statistikat e </w:t>
      </w:r>
      <w:r w:rsidR="00F6672B" w:rsidRPr="004F2AC3">
        <w:rPr>
          <w:rFonts w:ascii="Garamond" w:eastAsia="Times New Roman" w:hAnsi="Garamond" w:cs="Times New Roman"/>
          <w:b/>
          <w:color w:val="000000" w:themeColor="text1"/>
          <w:sz w:val="24"/>
          <w:szCs w:val="24"/>
        </w:rPr>
        <w:t>biznesit</w:t>
      </w:r>
      <w:r w:rsidR="00D32864" w:rsidRPr="004F2AC3">
        <w:rPr>
          <w:rFonts w:ascii="Garamond" w:eastAsia="Times New Roman" w:hAnsi="Garamond" w:cs="Times New Roman"/>
          <w:b/>
          <w:color w:val="000000" w:themeColor="text1"/>
          <w:sz w:val="24"/>
          <w:szCs w:val="24"/>
        </w:rPr>
        <w:t>”</w:t>
      </w:r>
    </w:p>
    <w:p w14:paraId="3C8F0AE2" w14:textId="16D6818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bookmarkStart w:id="34" w:name="_Hlk168042020"/>
      <w:r w:rsidRPr="004F2AC3">
        <w:rPr>
          <w:rFonts w:ascii="Garamond" w:hAnsi="Garamond" w:cs="Times New Roman"/>
          <w:color w:val="000000" w:themeColor="text1"/>
          <w:sz w:val="24"/>
          <w:szCs w:val="24"/>
        </w:rPr>
        <w:t xml:space="preserve">Statistikat e </w:t>
      </w:r>
      <w:r w:rsidR="00F6672B" w:rsidRPr="004F2AC3">
        <w:rPr>
          <w:rFonts w:ascii="Garamond" w:hAnsi="Garamond" w:cs="Times New Roman"/>
          <w:color w:val="000000" w:themeColor="text1"/>
          <w:sz w:val="24"/>
          <w:szCs w:val="24"/>
        </w:rPr>
        <w:t xml:space="preserve">biznesit </w:t>
      </w:r>
      <w:r w:rsidRPr="004F2AC3">
        <w:rPr>
          <w:rFonts w:ascii="Garamond" w:hAnsi="Garamond" w:cs="Times New Roman"/>
          <w:color w:val="000000" w:themeColor="text1"/>
          <w:sz w:val="24"/>
          <w:szCs w:val="24"/>
        </w:rPr>
        <w:t>prodhohen nga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w:t>
      </w:r>
      <w:bookmarkStart w:id="35" w:name="_Hlk167892093"/>
      <w:r w:rsidR="00F6672B" w:rsidRPr="004F2AC3">
        <w:rPr>
          <w:rFonts w:ascii="Garamond" w:hAnsi="Garamond" w:cs="Times New Roman"/>
          <w:color w:val="000000" w:themeColor="text1"/>
          <w:sz w:val="24"/>
          <w:szCs w:val="24"/>
        </w:rPr>
        <w:t>he ndahen në nëntemat, si vijon:</w:t>
      </w:r>
    </w:p>
    <w:p w14:paraId="56A15299" w14:textId="3DD6995E"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2.3.1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w:t>
      </w:r>
      <w:r w:rsidR="00F6672B" w:rsidRPr="004F2AC3">
        <w:rPr>
          <w:rFonts w:ascii="Garamond" w:hAnsi="Garamond" w:cs="Times New Roman"/>
          <w:i/>
          <w:color w:val="000000" w:themeColor="text1"/>
          <w:sz w:val="24"/>
          <w:szCs w:val="24"/>
        </w:rPr>
        <w:t>strukturore të ndërmarrjeve</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kryen vrojtimin vjetor pranë ndërmarrjeve ekonomike, për prodhimin e statistikave strukturore në nivel kombëtar dhe rajonal për treguesit kryesorë. Për të siguruar vazhdimësinë dhe përmirësimin e cilësisë së treguesve statistikorë të ndërmarrjeve, INSTAT</w:t>
      </w:r>
      <w:r w:rsidR="00F6672B"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po përdor gjithnjë e më shumë burimet administrative për kontrollin, llogaritjen dhe publikimin e të dhënave. Gjatë vitit 2025</w:t>
      </w:r>
      <w:r w:rsidR="00DC0AA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prodhoi për herë të parë dhe transmetoi në Eurostat treguesit paraprakë të statistikave strukturore të ndërmarrjeve, duke përdorur burimet administrative. Gjithashtu,</w:t>
      </w:r>
      <w:r w:rsidRPr="004F2AC3">
        <w:rPr>
          <w:rFonts w:ascii="Garamond" w:hAnsi="Garamond"/>
          <w:color w:val="000000" w:themeColor="text1"/>
          <w:sz w:val="24"/>
          <w:szCs w:val="24"/>
        </w:rPr>
        <w:t xml:space="preserve"> </w:t>
      </w:r>
      <w:r w:rsidRPr="004F2AC3">
        <w:rPr>
          <w:rFonts w:ascii="Garamond" w:hAnsi="Garamond" w:cs="Times New Roman"/>
          <w:color w:val="000000" w:themeColor="text1"/>
          <w:sz w:val="24"/>
          <w:szCs w:val="24"/>
        </w:rPr>
        <w:t>puna u përqendrua në zgjerimin e mbulimit të aktiviteteve ekonomike</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me qëllim përafrimin e statistikave strukturore të ndërmarrjeve me Rregulloren Evropiane të Statistikave të Biznesit, </w:t>
      </w:r>
      <w:r w:rsidR="00F6672B" w:rsidRPr="004F2AC3">
        <w:rPr>
          <w:rFonts w:ascii="Garamond" w:hAnsi="Garamond" w:cs="Times New Roman"/>
          <w:color w:val="000000" w:themeColor="text1"/>
          <w:sz w:val="24"/>
          <w:szCs w:val="24"/>
        </w:rPr>
        <w:t>konkretisht</w:t>
      </w:r>
      <w:r w:rsidRPr="004F2AC3">
        <w:rPr>
          <w:rFonts w:ascii="Garamond" w:hAnsi="Garamond" w:cs="Times New Roman"/>
          <w:color w:val="000000" w:themeColor="text1"/>
          <w:sz w:val="24"/>
          <w:szCs w:val="24"/>
        </w:rPr>
        <w:t>, në kampionin e zgjedhur u përfshinë rreth 80% e aktiviteteve ekonomike në nivelin 3-shifror sipas klasifikimit NACE Rev. 2.</w:t>
      </w:r>
    </w:p>
    <w:p w14:paraId="05EA90E7" w14:textId="62786875"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Gjatë</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vitit 2026</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puna do të fokusohet në analizën e këtyre të dhënave me synimin për të kaluar në nivel 4-shifror për zgjedhjen e kampionit të vrojtimit strukturor të ndërmarrjeve. Gjithashtu</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do të analizohen burimet e mundshme administrative në dispozicion, me qëllim zgjerimin e mbulimit të statistikave strukturore të ndërmarrjeve për sa i përket aktivitetit ekonomik, duke përfshirë për herë të parë edhe ndërmarrjet financiare. Gjatë vitit 2026</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do të vijojë puna për analizën e statistikave rajonale dhe vlerësimin e situatës aktuale për prodhimin e statistikave rajonale të biznesit në nivel të disagreguar.</w:t>
      </w:r>
    </w:p>
    <w:p w14:paraId="12C58ED1" w14:textId="35787B9E"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2.3.2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mbi </w:t>
      </w:r>
      <w:r w:rsidR="00F6672B" w:rsidRPr="004F2AC3">
        <w:rPr>
          <w:rFonts w:ascii="Garamond" w:hAnsi="Garamond" w:cs="Times New Roman"/>
          <w:i/>
          <w:color w:val="000000" w:themeColor="text1"/>
          <w:sz w:val="24"/>
          <w:szCs w:val="24"/>
        </w:rPr>
        <w:t xml:space="preserve">produktet industriale të ndërmarrjeve </w:t>
      </w:r>
      <w:r w:rsidRPr="004F2AC3">
        <w:rPr>
          <w:rFonts w:ascii="Garamond" w:hAnsi="Garamond" w:cs="Times New Roman"/>
          <w:i/>
          <w:color w:val="000000" w:themeColor="text1"/>
          <w:sz w:val="24"/>
          <w:szCs w:val="24"/>
        </w:rPr>
        <w:t>(PRODCOM)</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këto statistika, të cilat prodhohen nga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janë rezultat i të dhënave nga vrojtimi vjetor që kryhet për listën e produkteve industriale. Gjatë vitit 2026 do të punohet me vrojtimin, publikimin dhe transmetimin e rregullt të treguesve sasior të produkteve industriale.</w:t>
      </w:r>
    </w:p>
    <w:bookmarkEnd w:id="34"/>
    <w:bookmarkEnd w:id="35"/>
    <w:p w14:paraId="0A4C414B" w14:textId="1847642A" w:rsidR="000F566F" w:rsidRPr="004F2AC3" w:rsidRDefault="000F566F" w:rsidP="00F6672B">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2.3.3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w:t>
      </w:r>
      <w:r w:rsidR="00F6672B" w:rsidRPr="004F2AC3">
        <w:rPr>
          <w:rFonts w:ascii="Garamond" w:hAnsi="Garamond" w:cs="Times New Roman"/>
          <w:i/>
          <w:color w:val="000000" w:themeColor="text1"/>
          <w:sz w:val="24"/>
          <w:szCs w:val="24"/>
        </w:rPr>
        <w:t>afatshkurtra të ndërmarrjeve</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ku përfshihen tre aktivitete statistikore që kryen INSTAT</w:t>
      </w:r>
      <w:r w:rsidR="00F6672B" w:rsidRPr="004F2AC3">
        <w:rPr>
          <w:rFonts w:ascii="Garamond" w:hAnsi="Garamond" w:cs="Times New Roman"/>
          <w:color w:val="000000" w:themeColor="text1"/>
          <w:sz w:val="24"/>
          <w:szCs w:val="24"/>
        </w:rPr>
        <w:t xml:space="preserve">-i: </w:t>
      </w:r>
      <w:r w:rsidRPr="004F2AC3">
        <w:rPr>
          <w:rFonts w:ascii="Garamond" w:hAnsi="Garamond" w:cs="Times New Roman"/>
          <w:i/>
          <w:color w:val="000000" w:themeColor="text1"/>
          <w:sz w:val="24"/>
          <w:szCs w:val="24"/>
        </w:rPr>
        <w:t>Statistikat afatshkurtra të ndërmarrjeve ekonomike</w:t>
      </w:r>
      <w:r w:rsidRPr="004F2AC3">
        <w:rPr>
          <w:rFonts w:ascii="Garamond" w:hAnsi="Garamond" w:cs="Times New Roman"/>
          <w:color w:val="000000" w:themeColor="text1"/>
          <w:sz w:val="24"/>
          <w:szCs w:val="24"/>
        </w:rPr>
        <w:t xml:space="preserve"> </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Gjatë vitit 2026, burimet administrative do të vazhdojnë të përdoren për analizën dhe prod</w:t>
      </w:r>
      <w:r w:rsidR="00F6672B" w:rsidRPr="004F2AC3">
        <w:rPr>
          <w:rFonts w:ascii="Garamond" w:hAnsi="Garamond" w:cs="Times New Roman"/>
          <w:color w:val="000000" w:themeColor="text1"/>
          <w:sz w:val="24"/>
          <w:szCs w:val="24"/>
        </w:rPr>
        <w:t>himin e treguesve afatshkurtër.</w:t>
      </w:r>
    </w:p>
    <w:p w14:paraId="2A71984A" w14:textId="1AFBBA7E"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Për informacionin që nuk mund të sigurohet përmes burimeve administrative, do të realizohet vrojtimi me metodën CAPI</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përmes kontakteve të drejtpërdrejta me ndërmarrjet. Gjatë këtij viti parashikohet të prodhohen dhe transmetohen të dhënat me frekuencë mujore të shitjeve neto për aktivitetin </w:t>
      </w:r>
      <w:r w:rsidR="00F6672B" w:rsidRPr="004F2AC3">
        <w:rPr>
          <w:rFonts w:ascii="Garamond" w:hAnsi="Garamond" w:cs="Times New Roman"/>
          <w:color w:val="000000" w:themeColor="text1"/>
          <w:sz w:val="24"/>
          <w:szCs w:val="24"/>
        </w:rPr>
        <w:t>tregti me pakicë</w:t>
      </w:r>
      <w:r w:rsidRPr="004F2AC3">
        <w:rPr>
          <w:rFonts w:ascii="Garamond" w:hAnsi="Garamond" w:cs="Times New Roman"/>
          <w:color w:val="000000" w:themeColor="text1"/>
          <w:sz w:val="24"/>
          <w:szCs w:val="24"/>
        </w:rPr>
        <w:t xml:space="preserve">, në përputhje me </w:t>
      </w:r>
      <w:r w:rsidR="00F6672B" w:rsidRPr="004F2AC3">
        <w:rPr>
          <w:rFonts w:ascii="Garamond" w:hAnsi="Garamond" w:cs="Times New Roman"/>
          <w:color w:val="000000" w:themeColor="text1"/>
          <w:sz w:val="24"/>
          <w:szCs w:val="24"/>
        </w:rPr>
        <w:t xml:space="preserve">rregulloren </w:t>
      </w:r>
      <w:r w:rsidRPr="004F2AC3">
        <w:rPr>
          <w:rFonts w:ascii="Garamond" w:hAnsi="Garamond" w:cs="Times New Roman"/>
          <w:color w:val="000000" w:themeColor="text1"/>
          <w:sz w:val="24"/>
          <w:szCs w:val="24"/>
        </w:rPr>
        <w:t>për Statistikat E</w:t>
      </w:r>
      <w:r w:rsidR="00DC0AAE" w:rsidRPr="004F2AC3">
        <w:rPr>
          <w:rFonts w:ascii="Garamond" w:hAnsi="Garamond" w:cs="Times New Roman"/>
          <w:color w:val="000000" w:themeColor="text1"/>
          <w:sz w:val="24"/>
          <w:szCs w:val="24"/>
        </w:rPr>
        <w:t>v</w:t>
      </w:r>
      <w:r w:rsidRPr="004F2AC3">
        <w:rPr>
          <w:rFonts w:ascii="Garamond" w:hAnsi="Garamond" w:cs="Times New Roman"/>
          <w:color w:val="000000" w:themeColor="text1"/>
          <w:sz w:val="24"/>
          <w:szCs w:val="24"/>
        </w:rPr>
        <w:t>ropiane. Gjithashtu, në kuadër të programit IPA 2022 shumëpërfitues për statistikat afatshkurtra</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punojë</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gjithashtu</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në analizën e grupeve të reja, të cilat duhet të përfshihen tek shërbimet, pasi ende ky sektor nuk është 100% i mbuluar në përputhje me </w:t>
      </w:r>
      <w:r w:rsidR="00F6672B" w:rsidRPr="004F2AC3">
        <w:rPr>
          <w:rFonts w:ascii="Garamond" w:hAnsi="Garamond" w:cs="Times New Roman"/>
          <w:color w:val="000000" w:themeColor="text1"/>
          <w:sz w:val="24"/>
          <w:szCs w:val="24"/>
        </w:rPr>
        <w:t xml:space="preserve">rregulloren </w:t>
      </w:r>
      <w:r w:rsidRPr="004F2AC3">
        <w:rPr>
          <w:rFonts w:ascii="Garamond" w:hAnsi="Garamond" w:cs="Times New Roman"/>
          <w:color w:val="000000" w:themeColor="text1"/>
          <w:sz w:val="24"/>
          <w:szCs w:val="24"/>
        </w:rPr>
        <w:t>për Statistikat E</w:t>
      </w:r>
      <w:r w:rsidR="00DC0AAE" w:rsidRPr="004F2AC3">
        <w:rPr>
          <w:rFonts w:ascii="Garamond" w:hAnsi="Garamond" w:cs="Times New Roman"/>
          <w:color w:val="000000" w:themeColor="text1"/>
          <w:sz w:val="24"/>
          <w:szCs w:val="24"/>
        </w:rPr>
        <w:t>v</w:t>
      </w:r>
      <w:r w:rsidRPr="004F2AC3">
        <w:rPr>
          <w:rFonts w:ascii="Garamond" w:hAnsi="Garamond" w:cs="Times New Roman"/>
          <w:color w:val="000000" w:themeColor="text1"/>
          <w:sz w:val="24"/>
          <w:szCs w:val="24"/>
        </w:rPr>
        <w:t>ropiane.</w:t>
      </w:r>
    </w:p>
    <w:p w14:paraId="62EC11A4" w14:textId="7B711C1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Vrojtimi për statistikat e çmimeve në ndërmarrjet ekonomike</w:t>
      </w:r>
      <w:r w:rsidRPr="004F2AC3">
        <w:rPr>
          <w:rFonts w:ascii="Garamond" w:hAnsi="Garamond" w:cs="Times New Roman"/>
          <w:color w:val="000000" w:themeColor="text1"/>
          <w:sz w:val="24"/>
          <w:szCs w:val="24"/>
        </w:rPr>
        <w:t xml:space="preserve"> - Gjatë vitit 2025</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dhënat nga vrojtimi i çmimeve të prodhimit dhe vrojtimi i çmimeve të importit janë mbledhur me frekuencë mujore dhe</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publikimi gjatë vitit 2026 do jetë me frekuencë mujore.</w:t>
      </w:r>
    </w:p>
    <w:p w14:paraId="156DBAB7" w14:textId="355CA538"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Për </w:t>
      </w:r>
      <w:r w:rsidRPr="004F2AC3">
        <w:rPr>
          <w:rFonts w:ascii="Garamond" w:hAnsi="Garamond" w:cs="Times New Roman"/>
          <w:i/>
          <w:color w:val="000000" w:themeColor="text1"/>
          <w:sz w:val="24"/>
          <w:szCs w:val="24"/>
        </w:rPr>
        <w:t>statistikat mbi lejet e ndërtimit, të miratuara në territorin e Republikës së Shqipërisë</w:t>
      </w:r>
      <w:r w:rsidRPr="004F2AC3">
        <w:rPr>
          <w:rFonts w:ascii="Garamond" w:hAnsi="Garamond" w:cs="Times New Roman"/>
          <w:color w:val="000000" w:themeColor="text1"/>
          <w:sz w:val="24"/>
          <w:szCs w:val="24"/>
        </w:rPr>
        <w:t xml:space="preserve">, me frekuencë tremujore, janë përdorur të dhënat administrative nga njësitë e vetëqeverisjes vendore dhe të INSTAT-it. Që prej vitit 2025 ka filluar mbledhja e të dhënave për lejet e ndërtimit në dy forma: përmes dërgimit të të dhënave nga zyrat rajonale dhe përmes pyetësorit </w:t>
      </w:r>
      <w:r w:rsidRPr="004F2AC3">
        <w:rPr>
          <w:rFonts w:ascii="Garamond" w:hAnsi="Garamond" w:cs="Times New Roman"/>
          <w:i/>
          <w:color w:val="000000" w:themeColor="text1"/>
          <w:sz w:val="24"/>
          <w:szCs w:val="24"/>
        </w:rPr>
        <w:t>online</w:t>
      </w:r>
      <w:r w:rsidRPr="004F2AC3">
        <w:rPr>
          <w:rFonts w:ascii="Garamond" w:hAnsi="Garamond" w:cs="Times New Roman"/>
          <w:color w:val="000000" w:themeColor="text1"/>
          <w:sz w:val="24"/>
          <w:szCs w:val="24"/>
        </w:rPr>
        <w:t xml:space="preserve"> të plotësuar nga ana e Bashkive, në </w:t>
      </w:r>
      <w:r w:rsidRPr="004F2AC3">
        <w:rPr>
          <w:rFonts w:ascii="Garamond" w:hAnsi="Garamond" w:cs="Times New Roman"/>
          <w:i/>
          <w:color w:val="000000" w:themeColor="text1"/>
          <w:sz w:val="24"/>
          <w:szCs w:val="24"/>
        </w:rPr>
        <w:t>link</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un e vënë në dispozicion nga INSTAT</w:t>
      </w:r>
      <w:r w:rsidR="00F6672B"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Në kuadër të përafrimit me </w:t>
      </w:r>
      <w:r w:rsidR="00F6672B" w:rsidRPr="004F2AC3">
        <w:rPr>
          <w:rFonts w:ascii="Garamond" w:hAnsi="Garamond" w:cs="Times New Roman"/>
          <w:color w:val="000000" w:themeColor="text1"/>
          <w:sz w:val="24"/>
          <w:szCs w:val="24"/>
        </w:rPr>
        <w:t>rregulloren evropiane</w:t>
      </w:r>
      <w:r w:rsidRPr="004F2AC3">
        <w:rPr>
          <w:rFonts w:ascii="Garamond" w:hAnsi="Garamond" w:cs="Times New Roman"/>
          <w:color w:val="000000" w:themeColor="text1"/>
          <w:sz w:val="24"/>
          <w:szCs w:val="24"/>
        </w:rPr>
        <w:t>,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fillojë punën për mbledhjen dhe përpunimin e të dhënave për dy tregues të rinj mbi lejet e ndërtimit: fillimi i punimeve të ndërtimit dhe përfundimi i punimeve (sipërfaqja e përdorshme).</w:t>
      </w:r>
    </w:p>
    <w:p w14:paraId="2DA0B4CE" w14:textId="5D6323F9"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2.3.4 Statistikat e </w:t>
      </w:r>
      <w:r w:rsidR="00F6672B" w:rsidRPr="004F2AC3">
        <w:rPr>
          <w:rFonts w:ascii="Garamond" w:hAnsi="Garamond" w:cs="Times New Roman"/>
          <w:i/>
          <w:color w:val="000000" w:themeColor="text1"/>
          <w:sz w:val="24"/>
          <w:szCs w:val="24"/>
        </w:rPr>
        <w:t xml:space="preserve">regjistrave të biznesit </w:t>
      </w:r>
      <w:r w:rsidRPr="004F2AC3">
        <w:rPr>
          <w:rFonts w:ascii="Garamond" w:hAnsi="Garamond" w:cs="Times New Roman"/>
          <w:color w:val="000000" w:themeColor="text1"/>
          <w:sz w:val="24"/>
          <w:szCs w:val="24"/>
        </w:rPr>
        <w:t>përfshijnë aktivitetet mbi mbledhjen dhe përpunimin e të dhënave administrative dhe statistikore për përditësimin e tyre.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mirëmban dhe përditëson: Regjistrin e Ndërmarrjeve, Regjistrin e Njësive Lokale dhe Regjistrin e Grupeve të Ndërmarrjeve.</w:t>
      </w:r>
      <w:r w:rsidRPr="004F2AC3">
        <w:rPr>
          <w:rFonts w:ascii="Garamond" w:hAnsi="Garamond"/>
          <w:color w:val="000000" w:themeColor="text1"/>
          <w:sz w:val="24"/>
          <w:szCs w:val="24"/>
        </w:rPr>
        <w:t xml:space="preserve"> </w:t>
      </w:r>
      <w:r w:rsidR="00F6672B" w:rsidRPr="004F2AC3">
        <w:rPr>
          <w:rFonts w:ascii="Garamond" w:hAnsi="Garamond" w:cs="Times New Roman"/>
          <w:color w:val="000000" w:themeColor="text1"/>
          <w:sz w:val="24"/>
          <w:szCs w:val="24"/>
        </w:rPr>
        <w:t>Gjatë vitit 2026, INSTAT-i</w:t>
      </w:r>
      <w:r w:rsidRPr="004F2AC3">
        <w:rPr>
          <w:rFonts w:ascii="Garamond" w:hAnsi="Garamond" w:cs="Times New Roman"/>
          <w:color w:val="000000" w:themeColor="text1"/>
          <w:sz w:val="24"/>
          <w:szCs w:val="24"/>
        </w:rPr>
        <w:t xml:space="preserve"> do të analizojë implementimin e NVE Rev 2.1</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në Regjistrin Statistikor të </w:t>
      </w:r>
      <w:r w:rsidR="00DC0AAE" w:rsidRPr="004F2AC3">
        <w:rPr>
          <w:rFonts w:ascii="Garamond" w:hAnsi="Garamond" w:cs="Times New Roman"/>
          <w:color w:val="000000" w:themeColor="text1"/>
          <w:sz w:val="24"/>
          <w:szCs w:val="24"/>
        </w:rPr>
        <w:t>Bizneseve</w:t>
      </w:r>
      <w:r w:rsidRPr="004F2AC3">
        <w:rPr>
          <w:rFonts w:ascii="Garamond" w:hAnsi="Garamond" w:cs="Times New Roman"/>
          <w:color w:val="000000" w:themeColor="text1"/>
          <w:sz w:val="24"/>
          <w:szCs w:val="24"/>
        </w:rPr>
        <w:t xml:space="preserve"> 2025, do të realizojë kodifikimin e dyfishtë NVe Rev2-Nve Rev 2.1 dhe do të vlerësojë cilësinë e tyre. Kodifikimi i dyfishtë në NVE Rev.2 dhe NVE Rev 2.1 d</w:t>
      </w:r>
      <w:r w:rsidR="00F6672B" w:rsidRPr="004F2AC3">
        <w:rPr>
          <w:rFonts w:ascii="Garamond" w:hAnsi="Garamond" w:cs="Times New Roman"/>
          <w:color w:val="000000" w:themeColor="text1"/>
          <w:sz w:val="24"/>
          <w:szCs w:val="24"/>
        </w:rPr>
        <w:t>o të realizohet për katër vite.</w:t>
      </w:r>
    </w:p>
    <w:p w14:paraId="094510C4" w14:textId="37D1CCB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Lidhur me aktivitetin e regjistrit të ndërmarrjeve, gjatë vitit 2026,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përditësojë Regjistrin e Ndërmarrjeve për qëllime të metodologjisë së vrojtimeve statistikore. Burimet kryesore do të jenë institucionet</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Drejtoria e Përgjithshme e Tatimeve, Qendra Kombëtare e Biznesit, Banka e Shqipërisë, Drejtoria e Përgjithshme e Doganave dhe të dhënat e vrojtimeve të INSTAT</w:t>
      </w:r>
      <w:r w:rsidR="00DC0AAE" w:rsidRPr="004F2AC3">
        <w:rPr>
          <w:rFonts w:ascii="Garamond" w:hAnsi="Garamond" w:cs="Times New Roman"/>
          <w:color w:val="000000" w:themeColor="text1"/>
          <w:sz w:val="24"/>
          <w:szCs w:val="24"/>
        </w:rPr>
        <w:t>-it</w:t>
      </w:r>
      <w:r w:rsidRPr="004F2AC3">
        <w:rPr>
          <w:rFonts w:ascii="Garamond" w:hAnsi="Garamond" w:cs="Times New Roman"/>
          <w:color w:val="000000" w:themeColor="text1"/>
          <w:sz w:val="24"/>
          <w:szCs w:val="24"/>
        </w:rPr>
        <w:t>.</w:t>
      </w:r>
    </w:p>
    <w:p w14:paraId="39A0DF15" w14:textId="617C3325"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Sa i përket aktivitetit të regjistrit të njësive lokale, ky regjistër është ndërtuar në vitin 2010 dhe përditësohet çdo vit. Vrojtimi i regjistrave të biznesit i zhvilluar në vitin 2024 shërbeu</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për përditësimin e tij gjatë vitit 2025 dhe përmirësimin e cilësisë. Gjatë vitit 2026, burimet administrative do të analizohen dhe do të organizohen takime me institucionet për të siguru</w:t>
      </w:r>
      <w:r w:rsidR="00F6672B" w:rsidRPr="004F2AC3">
        <w:rPr>
          <w:rFonts w:ascii="Garamond" w:hAnsi="Garamond" w:cs="Times New Roman"/>
          <w:color w:val="000000" w:themeColor="text1"/>
          <w:sz w:val="24"/>
          <w:szCs w:val="24"/>
        </w:rPr>
        <w:t>ar informacionin e domosdoshëm.</w:t>
      </w:r>
    </w:p>
    <w:p w14:paraId="6B9B0517"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Regjistri i grupeve të ndërmarrjeve shumëkombëshe është ndërtuar në vitin 2018. Për shkak të globalizimit, krahasueshmëria ndërkombëtare e të dhënave statistikore është bërë shumë e rëndësishme dhe vrojtimi i regjistrave të biznesit shërben për përditësimin e tij. Gjatë vitit 2026 do të analizohen burimet administrative dhe alternative për përditësimin e tij.</w:t>
      </w:r>
    </w:p>
    <w:p w14:paraId="351F22BD" w14:textId="65948FF9"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Në ku</w:t>
      </w:r>
      <w:r w:rsidR="00EA1400">
        <w:rPr>
          <w:rFonts w:ascii="Garamond" w:hAnsi="Garamond" w:cs="Times New Roman"/>
          <w:color w:val="000000" w:themeColor="text1"/>
          <w:sz w:val="24"/>
          <w:szCs w:val="24"/>
        </w:rPr>
        <w:t>a</w:t>
      </w:r>
      <w:r w:rsidRPr="004F2AC3">
        <w:rPr>
          <w:rFonts w:ascii="Garamond" w:hAnsi="Garamond" w:cs="Times New Roman"/>
          <w:color w:val="000000" w:themeColor="text1"/>
          <w:sz w:val="24"/>
          <w:szCs w:val="24"/>
        </w:rPr>
        <w:t>dër të sigurimit të burimeve për përditësimin e regjistrave t</w:t>
      </w:r>
      <w:r w:rsidR="00D449AF" w:rsidRPr="004F2AC3">
        <w:rPr>
          <w:rFonts w:ascii="Garamond" w:hAnsi="Garamond" w:cs="Times New Roman"/>
          <w:color w:val="000000" w:themeColor="text1"/>
          <w:sz w:val="24"/>
          <w:szCs w:val="24"/>
        </w:rPr>
        <w:t>ë</w:t>
      </w:r>
      <w:r w:rsidRPr="004F2AC3">
        <w:rPr>
          <w:rFonts w:ascii="Garamond" w:hAnsi="Garamond" w:cs="Times New Roman"/>
          <w:color w:val="000000" w:themeColor="text1"/>
          <w:sz w:val="24"/>
          <w:szCs w:val="24"/>
        </w:rPr>
        <w:t xml:space="preserve"> biznesit do të rishikohet dhe memorandumi i bashkëpunimit me QKB</w:t>
      </w:r>
      <w:r w:rsidR="00F6672B" w:rsidRPr="004F2AC3">
        <w:rPr>
          <w:rFonts w:ascii="Garamond" w:hAnsi="Garamond" w:cs="Times New Roman"/>
          <w:color w:val="000000" w:themeColor="text1"/>
          <w:sz w:val="24"/>
          <w:szCs w:val="24"/>
        </w:rPr>
        <w:t>-në</w:t>
      </w:r>
      <w:r w:rsidRPr="004F2AC3">
        <w:rPr>
          <w:rFonts w:ascii="Garamond" w:hAnsi="Garamond" w:cs="Times New Roman"/>
          <w:color w:val="000000" w:themeColor="text1"/>
          <w:sz w:val="24"/>
          <w:szCs w:val="24"/>
        </w:rPr>
        <w:t>.</w:t>
      </w:r>
    </w:p>
    <w:p w14:paraId="06848F58" w14:textId="2F34C14A"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lang w:eastAsia="en-GB"/>
        </w:rPr>
      </w:pPr>
      <w:r w:rsidRPr="004F2AC3">
        <w:rPr>
          <w:rFonts w:ascii="Garamond" w:eastAsia="Times New Roman" w:hAnsi="Garamond" w:cs="Times New Roman"/>
          <w:color w:val="000000" w:themeColor="text1"/>
          <w:sz w:val="24"/>
          <w:szCs w:val="24"/>
          <w:lang w:eastAsia="en-GB"/>
        </w:rPr>
        <w:t>Vlerësimi i përputhshmërisë së regjistrave me rregulloret përkatëse të BE-së ka treguar se disa nga variablat e detyrueshëm, të përcaktuar në Rregulloren (BE) 2019/2152, mungojnë ose janë të paplotë për disa njësi statistikore, përfshirë grupet e ndërmarrjeve, ndërmarrjet, njësitë ligjore dhe njësitë lokale. INSTAT</w:t>
      </w:r>
      <w:r w:rsidR="00DC0AAE" w:rsidRPr="004F2AC3">
        <w:rPr>
          <w:rFonts w:ascii="Garamond" w:eastAsia="Times New Roman" w:hAnsi="Garamond" w:cs="Times New Roman"/>
          <w:color w:val="000000" w:themeColor="text1"/>
          <w:sz w:val="24"/>
          <w:szCs w:val="24"/>
          <w:lang w:eastAsia="en-GB"/>
        </w:rPr>
        <w:t>-i,</w:t>
      </w:r>
      <w:r w:rsidRPr="004F2AC3">
        <w:rPr>
          <w:rFonts w:ascii="Garamond" w:eastAsia="Times New Roman" w:hAnsi="Garamond" w:cs="Times New Roman"/>
          <w:color w:val="000000" w:themeColor="text1"/>
          <w:sz w:val="24"/>
          <w:szCs w:val="24"/>
          <w:lang w:eastAsia="en-GB"/>
        </w:rPr>
        <w:t xml:space="preserve"> gjatë vitit 2026</w:t>
      </w:r>
      <w:r w:rsidR="00DC0AAE" w:rsidRPr="004F2AC3">
        <w:rPr>
          <w:rFonts w:ascii="Garamond" w:eastAsia="Times New Roman" w:hAnsi="Garamond" w:cs="Times New Roman"/>
          <w:color w:val="000000" w:themeColor="text1"/>
          <w:sz w:val="24"/>
          <w:szCs w:val="24"/>
          <w:lang w:eastAsia="en-GB"/>
        </w:rPr>
        <w:t>,</w:t>
      </w:r>
      <w:r w:rsidRPr="004F2AC3">
        <w:rPr>
          <w:rFonts w:ascii="Garamond" w:eastAsia="Times New Roman" w:hAnsi="Garamond" w:cs="Times New Roman"/>
          <w:color w:val="000000" w:themeColor="text1"/>
          <w:sz w:val="24"/>
          <w:szCs w:val="24"/>
          <w:lang w:eastAsia="en-GB"/>
        </w:rPr>
        <w:t xml:space="preserve"> do të vijojë punën për të rritur nivelin e përputhshmërisë dhe në bashkëpunim me ekspertët suedezë do të zhvillojë një sistem të ri që do të mundësojë mirëmbajtjen dhe përditësimin automatik të të dhënave.</w:t>
      </w:r>
    </w:p>
    <w:p w14:paraId="267BDEEA" w14:textId="7C0BBBC1"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lang w:eastAsia="en-GB"/>
        </w:rPr>
      </w:pPr>
      <w:r w:rsidRPr="004F2AC3">
        <w:rPr>
          <w:rFonts w:ascii="Garamond" w:hAnsi="Garamond" w:cs="Times New Roman"/>
          <w:color w:val="000000" w:themeColor="text1"/>
          <w:sz w:val="24"/>
          <w:szCs w:val="24"/>
        </w:rPr>
        <w:t>Që prej vitit 2024 dhe në vazhdimësi, janë prodhuar dhe transmetuar sipas kërkesave të</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Eurostat</w:t>
      </w:r>
      <w:r w:rsidR="00F6672B" w:rsidRPr="004F2AC3">
        <w:rPr>
          <w:rFonts w:ascii="Garamond" w:hAnsi="Garamond" w:cs="Times New Roman"/>
          <w:color w:val="000000" w:themeColor="text1"/>
          <w:sz w:val="24"/>
          <w:szCs w:val="24"/>
        </w:rPr>
        <w:t>it</w:t>
      </w:r>
      <w:r w:rsidRPr="004F2AC3">
        <w:rPr>
          <w:rFonts w:ascii="Garamond" w:hAnsi="Garamond" w:cs="Times New Roman"/>
          <w:color w:val="000000" w:themeColor="text1"/>
          <w:sz w:val="24"/>
          <w:szCs w:val="24"/>
        </w:rPr>
        <w:t xml:space="preserve"> të dhënat tremujore mbi ngjarjet demografike të ndërmarrjeve si regjistrimet (ndërmarrjet e reja të krijuara gjatë vitit) dhe falimentimet. Gjithashtu, gjatë vitit 2025 janë përgatitur treguesit vjetorë mbi ngjarjet demografike të ndërmarrjeve nga regjistrat e biznesit sipas kërkesave të rregullores EBS: </w:t>
      </w:r>
      <w:r w:rsidRPr="004F2AC3">
        <w:rPr>
          <w:rFonts w:ascii="Garamond" w:hAnsi="Garamond" w:cs="Times New Roman"/>
          <w:i/>
          <w:color w:val="000000" w:themeColor="text1"/>
          <w:sz w:val="24"/>
          <w:szCs w:val="24"/>
        </w:rPr>
        <w:t xml:space="preserve">Ndërmarrjet aktive gjithsej, </w:t>
      </w:r>
      <w:bookmarkStart w:id="36" w:name="_Hlk202964193"/>
      <w:r w:rsidRPr="004F2AC3">
        <w:rPr>
          <w:rFonts w:ascii="Garamond" w:hAnsi="Garamond" w:cs="Times New Roman"/>
          <w:i/>
          <w:color w:val="000000" w:themeColor="text1"/>
          <w:sz w:val="24"/>
          <w:szCs w:val="24"/>
        </w:rPr>
        <w:t xml:space="preserve">të punësuar gjithsej </w:t>
      </w:r>
      <w:r w:rsidRPr="004F2AC3">
        <w:rPr>
          <w:rFonts w:ascii="Garamond" w:hAnsi="Garamond" w:cs="Times New Roman"/>
          <w:color w:val="000000" w:themeColor="text1"/>
          <w:sz w:val="24"/>
          <w:szCs w:val="24"/>
        </w:rPr>
        <w:t>dhe të punësuar me pagesë, sipas aktivitetit</w:t>
      </w:r>
      <w:r w:rsidR="00F6672B" w:rsidRPr="004F2AC3">
        <w:rPr>
          <w:rFonts w:ascii="Garamond" w:hAnsi="Garamond" w:cs="Times New Roman"/>
          <w:color w:val="000000" w:themeColor="text1"/>
          <w:sz w:val="24"/>
          <w:szCs w:val="24"/>
        </w:rPr>
        <w:t xml:space="preserve"> ekonomik (deri në nivel grupi),</w:t>
      </w:r>
      <w:r w:rsidRPr="004F2AC3">
        <w:rPr>
          <w:rFonts w:ascii="Garamond" w:hAnsi="Garamond" w:cs="Times New Roman"/>
          <w:color w:val="000000" w:themeColor="text1"/>
          <w:sz w:val="24"/>
          <w:szCs w:val="24"/>
        </w:rPr>
        <w:t xml:space="preserve"> dhe formës ligjore dhe madhësisë së ndërmarrjes</w:t>
      </w:r>
      <w:bookmarkEnd w:id="36"/>
      <w:r w:rsidRPr="004F2AC3">
        <w:rPr>
          <w:rFonts w:ascii="Garamond" w:hAnsi="Garamond" w:cs="Times New Roman"/>
          <w:color w:val="000000" w:themeColor="text1"/>
          <w:sz w:val="24"/>
          <w:szCs w:val="24"/>
        </w:rPr>
        <w:t xml:space="preserve">; </w:t>
      </w:r>
      <w:r w:rsidRPr="004F2AC3">
        <w:rPr>
          <w:rFonts w:ascii="Garamond" w:hAnsi="Garamond" w:cs="Times New Roman"/>
          <w:i/>
          <w:color w:val="000000" w:themeColor="text1"/>
          <w:sz w:val="24"/>
          <w:szCs w:val="24"/>
        </w:rPr>
        <w:t>Ndërmarrjet e reja,</w:t>
      </w:r>
      <w:r w:rsidRPr="004F2AC3">
        <w:rPr>
          <w:rFonts w:ascii="Garamond" w:hAnsi="Garamond" w:cs="Times New Roman"/>
          <w:color w:val="000000" w:themeColor="text1"/>
          <w:sz w:val="24"/>
          <w:szCs w:val="24"/>
        </w:rPr>
        <w:t xml:space="preserve"> të punësuar gjithsej dhe të punësuar me pagesë, sipas aktivitetit ekonomik (deri në nivel grupi), dhe formës ligjore dhe madhësisë së ndërmarrjes; </w:t>
      </w:r>
      <w:r w:rsidRPr="004F2AC3">
        <w:rPr>
          <w:rFonts w:ascii="Garamond" w:hAnsi="Garamond" w:cs="Times New Roman"/>
          <w:i/>
          <w:color w:val="000000" w:themeColor="text1"/>
          <w:sz w:val="24"/>
          <w:szCs w:val="24"/>
        </w:rPr>
        <w:t>Ndërmarrjet e mbyllura,</w:t>
      </w:r>
      <w:r w:rsidRPr="004F2AC3">
        <w:rPr>
          <w:rFonts w:ascii="Garamond" w:hAnsi="Garamond" w:cs="Times New Roman"/>
          <w:color w:val="000000" w:themeColor="text1"/>
          <w:sz w:val="24"/>
          <w:szCs w:val="24"/>
        </w:rPr>
        <w:t xml:space="preserve"> të punësuar gjithsej dhe të punësuar me pagesë, sipas aktivitetit ekonomik (deri në nivel grupi) dhe formës ligjore dhe madhësisë së ndërmarrjes; </w:t>
      </w:r>
      <w:r w:rsidRPr="004F2AC3">
        <w:rPr>
          <w:rFonts w:ascii="Garamond" w:hAnsi="Garamond" w:cs="Times New Roman"/>
          <w:i/>
          <w:color w:val="000000" w:themeColor="text1"/>
          <w:sz w:val="24"/>
          <w:szCs w:val="24"/>
        </w:rPr>
        <w:t>Ndërmarrjet e mbijetuara</w:t>
      </w:r>
      <w:r w:rsidRPr="004F2AC3">
        <w:rPr>
          <w:rFonts w:ascii="Garamond" w:hAnsi="Garamond" w:cs="Times New Roman"/>
          <w:color w:val="000000" w:themeColor="text1"/>
          <w:sz w:val="24"/>
          <w:szCs w:val="24"/>
        </w:rPr>
        <w:t xml:space="preserve"> (1</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3 vjet), të punësuar gjithsej në vitin e krijimit dhe në vitin e raportimit, sipas aktivitetit ekonomik (deri në nivel grupi) dhe madhësisë së ndërmarrjes; Tregues demografikë për ndërmarrjet që kanë të punësuar me pagesë. </w:t>
      </w:r>
    </w:p>
    <w:p w14:paraId="79237678"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Gjatë vitit 2026 do të punohet për përpunimin dhe prodhimin e treguesve që lidhen me ngjarjet demografike sipas rajoneve, si dhe ngjarjet demografike të ndërmarrjeve me ritme të shpejta rritjeje (</w:t>
      </w:r>
      <w:r w:rsidRPr="004F2AC3">
        <w:rPr>
          <w:rFonts w:ascii="Garamond" w:hAnsi="Garamond" w:cs="Times New Roman"/>
          <w:i/>
          <w:color w:val="000000" w:themeColor="text1"/>
          <w:sz w:val="24"/>
          <w:szCs w:val="24"/>
        </w:rPr>
        <w:t>high-growth enterprises</w:t>
      </w:r>
      <w:r w:rsidRPr="004F2AC3">
        <w:rPr>
          <w:rFonts w:ascii="Garamond" w:hAnsi="Garamond" w:cs="Times New Roman"/>
          <w:color w:val="000000" w:themeColor="text1"/>
          <w:sz w:val="24"/>
          <w:szCs w:val="24"/>
        </w:rPr>
        <w:t>).</w:t>
      </w:r>
    </w:p>
    <w:p w14:paraId="6084D406" w14:textId="4E9E2D9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Treguesit kryesorë:</w:t>
      </w:r>
      <w:r w:rsidRPr="004F2AC3">
        <w:rPr>
          <w:rFonts w:ascii="Garamond" w:hAnsi="Garamond" w:cs="Times New Roman"/>
          <w:color w:val="000000" w:themeColor="text1"/>
          <w:sz w:val="24"/>
          <w:szCs w:val="24"/>
        </w:rPr>
        <w:t xml:space="preserve"> Tregues mbi aktivitetet ekonomike, punësimin, të ardhurat dhe shpenzimet, investimet, dhe të dhëna specifike për ndërtimin, tregtinë dhe bar-kafetë e restorantet, etj</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Tregues statistikorë kryesorë ekonomikë në nivel rajonal; Tregues në volum dhe vlerë mbi produktet industriale; Tregues statistikorë mbi aktivitetin ekonomik, shitjet, prodhimin, numrin e personave të punësuar, fondin e pagave, treguesit specifikë të ndërtimit, si dhe statistikat e grupeve kryesore industriale; Tregues mbi numrin, sipërfaqen dhe vlerën e lejeve të ndërtimit të miratuara në territorin e Republikës së Shqipërisë; Tregues lidhur me regjistrat e biznesit, si numrin e ndërmarrjeve dhe njësive lokale, pronësinë, formën ligjore, tregues të ngjarjeve demografike, aktivitetin ekonomik, xhiro vjetore, të punësuar gjithsej dhe të punësuar me pagesë, si dhe tregues të tjerë për përditësimin dhe matjen e cilësisë së regjistrave statistikorë të njësive ekonomike.</w:t>
      </w:r>
    </w:p>
    <w:p w14:paraId="62C6E2E3" w14:textId="1B5FB1FE"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acquis</w:t>
      </w:r>
      <w:r w:rsidRPr="004F2AC3">
        <w:rPr>
          <w:rFonts w:ascii="Garamond" w:hAnsi="Garamond" w:cs="Times New Roman"/>
          <w:b/>
          <w:bCs/>
          <w:iCs/>
          <w:color w:val="000000" w:themeColor="text1"/>
          <w:sz w:val="24"/>
          <w:szCs w:val="24"/>
        </w:rPr>
        <w:t xml:space="preserve">: </w:t>
      </w:r>
      <w:r w:rsidRPr="004F2AC3">
        <w:rPr>
          <w:rFonts w:ascii="Garamond" w:hAnsi="Garamond" w:cs="Times New Roman"/>
          <w:bCs/>
          <w:i/>
          <w:iCs/>
          <w:color w:val="000000" w:themeColor="text1"/>
          <w:sz w:val="24"/>
          <w:szCs w:val="24"/>
        </w:rPr>
        <w:t>Statistikat e biznesit</w:t>
      </w:r>
      <w:r w:rsidRPr="004F2AC3">
        <w:rPr>
          <w:rFonts w:ascii="Garamond" w:hAnsi="Garamond" w:cs="Times New Roman"/>
          <w:bCs/>
          <w:iCs/>
          <w:color w:val="000000" w:themeColor="text1"/>
          <w:sz w:val="24"/>
          <w:szCs w:val="24"/>
        </w:rPr>
        <w:t xml:space="preserve"> vlerësohen nga Eurostat</w:t>
      </w:r>
      <w:r w:rsidR="00F6672B" w:rsidRPr="004F2AC3">
        <w:rPr>
          <w:rFonts w:ascii="Garamond" w:hAnsi="Garamond" w:cs="Times New Roman"/>
          <w:bCs/>
          <w:iCs/>
          <w:color w:val="000000" w:themeColor="text1"/>
          <w:sz w:val="24"/>
          <w:szCs w:val="24"/>
        </w:rPr>
        <w:t>i</w:t>
      </w:r>
      <w:r w:rsidRPr="004F2AC3">
        <w:rPr>
          <w:rFonts w:ascii="Garamond" w:hAnsi="Garamond" w:cs="Times New Roman"/>
          <w:bCs/>
          <w:iCs/>
          <w:color w:val="000000" w:themeColor="text1"/>
          <w:sz w:val="24"/>
          <w:szCs w:val="24"/>
        </w:rPr>
        <w:t xml:space="preserve"> si pjesërisht në përputhje me Rregulloren (EC) </w:t>
      </w:r>
      <w:r w:rsidR="00DC0AAE" w:rsidRPr="004F2AC3">
        <w:rPr>
          <w:rFonts w:ascii="Garamond" w:hAnsi="Garamond" w:cs="Times New Roman"/>
          <w:bCs/>
          <w:iCs/>
          <w:color w:val="000000" w:themeColor="text1"/>
          <w:sz w:val="24"/>
          <w:szCs w:val="24"/>
        </w:rPr>
        <w:t>n</w:t>
      </w:r>
      <w:r w:rsidRPr="004F2AC3">
        <w:rPr>
          <w:rFonts w:ascii="Garamond" w:hAnsi="Garamond" w:cs="Times New Roman"/>
          <w:bCs/>
          <w:iCs/>
          <w:color w:val="000000" w:themeColor="text1"/>
          <w:sz w:val="24"/>
          <w:szCs w:val="24"/>
        </w:rPr>
        <w:t>r. 2019/2152</w:t>
      </w:r>
      <w:r w:rsidR="00DC0AAE" w:rsidRPr="004F2AC3">
        <w:rPr>
          <w:rFonts w:ascii="Garamond" w:hAnsi="Garamond" w:cs="Times New Roman"/>
          <w:bCs/>
          <w:iCs/>
          <w:color w:val="000000" w:themeColor="text1"/>
          <w:sz w:val="24"/>
          <w:szCs w:val="24"/>
        </w:rPr>
        <w:t>,</w:t>
      </w:r>
      <w:r w:rsidRPr="004F2AC3">
        <w:rPr>
          <w:rFonts w:ascii="Garamond" w:hAnsi="Garamond" w:cs="Times New Roman"/>
          <w:bCs/>
          <w:iCs/>
          <w:color w:val="000000" w:themeColor="text1"/>
          <w:sz w:val="24"/>
          <w:szCs w:val="24"/>
        </w:rPr>
        <w:t xml:space="preserve"> </w:t>
      </w:r>
      <w:r w:rsidR="00D32864" w:rsidRPr="004F2AC3">
        <w:rPr>
          <w:rFonts w:ascii="Garamond" w:hAnsi="Garamond" w:cs="Times New Roman"/>
          <w:bCs/>
          <w:iCs/>
          <w:color w:val="000000" w:themeColor="text1"/>
          <w:sz w:val="24"/>
          <w:szCs w:val="24"/>
        </w:rPr>
        <w:t>“</w:t>
      </w:r>
      <w:r w:rsidRPr="004F2AC3">
        <w:rPr>
          <w:rFonts w:ascii="Garamond" w:hAnsi="Garamond" w:cs="Times New Roman"/>
          <w:bCs/>
          <w:iCs/>
          <w:color w:val="000000" w:themeColor="text1"/>
          <w:sz w:val="24"/>
          <w:szCs w:val="24"/>
        </w:rPr>
        <w:t>Për statistikat evropiane të biznesit</w:t>
      </w:r>
      <w:r w:rsidR="00D32864" w:rsidRPr="004F2AC3">
        <w:rPr>
          <w:rFonts w:ascii="Garamond" w:hAnsi="Garamond" w:cs="Times New Roman"/>
          <w:bCs/>
          <w:iCs/>
          <w:color w:val="000000" w:themeColor="text1"/>
          <w:sz w:val="24"/>
          <w:szCs w:val="24"/>
        </w:rPr>
        <w:t>”</w:t>
      </w:r>
      <w:r w:rsidRPr="004F2AC3">
        <w:rPr>
          <w:rFonts w:ascii="Garamond" w:hAnsi="Garamond" w:cs="Times New Roman"/>
          <w:bCs/>
          <w:iCs/>
          <w:color w:val="000000" w:themeColor="text1"/>
          <w:sz w:val="24"/>
          <w:szCs w:val="24"/>
        </w:rPr>
        <w:t xml:space="preserve"> dhe rregulloret</w:t>
      </w:r>
      <w:r w:rsidR="00F6672B" w:rsidRPr="004F2AC3">
        <w:rPr>
          <w:rFonts w:ascii="Garamond" w:hAnsi="Garamond" w:cs="Times New Roman"/>
          <w:bCs/>
          <w:iCs/>
          <w:color w:val="000000" w:themeColor="text1"/>
          <w:sz w:val="24"/>
          <w:szCs w:val="24"/>
        </w:rPr>
        <w:t xml:space="preserve"> e</w:t>
      </w:r>
      <w:r w:rsidRPr="004F2AC3">
        <w:rPr>
          <w:rFonts w:ascii="Garamond" w:hAnsi="Garamond" w:cs="Times New Roman"/>
          <w:bCs/>
          <w:iCs/>
          <w:color w:val="000000" w:themeColor="text1"/>
          <w:sz w:val="24"/>
          <w:szCs w:val="24"/>
        </w:rPr>
        <w:t xml:space="preserve"> tjera zbatuese të saj, ndërkohë që zbatojnë të njëjtat përkufizime dhe klasifikime. </w:t>
      </w:r>
      <w:r w:rsidRPr="004F2AC3">
        <w:rPr>
          <w:rFonts w:ascii="Garamond" w:eastAsia="Times New Roman" w:hAnsi="Garamond" w:cs="Times New Roman"/>
          <w:color w:val="000000" w:themeColor="text1"/>
          <w:sz w:val="24"/>
          <w:szCs w:val="24"/>
        </w:rPr>
        <w:t xml:space="preserve">Projekte statistikore të ndryshme të programeve IPA shumëpërfitues, kanë ndihmuar dhe vazhdojnë të ndihmojnë në zhvillimin e statistikave të biznesit. Gjatë vitit 2026 parashikohet të miratohet </w:t>
      </w:r>
      <w:r w:rsidR="00F6672B" w:rsidRPr="004F2AC3">
        <w:rPr>
          <w:rFonts w:ascii="Garamond" w:eastAsia="Times New Roman" w:hAnsi="Garamond" w:cs="Times New Roman"/>
          <w:color w:val="000000" w:themeColor="text1"/>
          <w:sz w:val="24"/>
          <w:szCs w:val="24"/>
        </w:rPr>
        <w:t xml:space="preserve">projektudhëzimi </w:t>
      </w:r>
      <w:r w:rsidRPr="004F2AC3">
        <w:rPr>
          <w:rFonts w:ascii="Garamond" w:eastAsia="Times New Roman" w:hAnsi="Garamond" w:cs="Times New Roman"/>
          <w:color w:val="000000" w:themeColor="text1"/>
          <w:sz w:val="24"/>
          <w:szCs w:val="24"/>
        </w:rPr>
        <w:t xml:space="preserve">i </w:t>
      </w:r>
      <w:r w:rsidR="00DC0AAE" w:rsidRPr="004F2AC3">
        <w:rPr>
          <w:rFonts w:ascii="Garamond" w:eastAsia="Times New Roman" w:hAnsi="Garamond" w:cs="Times New Roman"/>
          <w:color w:val="000000" w:themeColor="text1"/>
          <w:sz w:val="24"/>
          <w:szCs w:val="24"/>
        </w:rPr>
        <w:t xml:space="preserve">drejtorit të përgjithshëm </w:t>
      </w:r>
      <w:r w:rsidRPr="004F2AC3">
        <w:rPr>
          <w:rFonts w:ascii="Garamond" w:eastAsia="Times New Roman" w:hAnsi="Garamond" w:cs="Times New Roman"/>
          <w:color w:val="000000" w:themeColor="text1"/>
          <w:sz w:val="24"/>
          <w:szCs w:val="24"/>
        </w:rPr>
        <w:t>të INSTAT</w:t>
      </w:r>
      <w:r w:rsidR="00DC0AAE" w:rsidRPr="004F2AC3">
        <w:rPr>
          <w:rFonts w:ascii="Garamond" w:eastAsia="Times New Roman" w:hAnsi="Garamond" w:cs="Times New Roman"/>
          <w:color w:val="000000" w:themeColor="text1"/>
          <w:sz w:val="24"/>
          <w:szCs w:val="24"/>
        </w:rPr>
        <w:t>-it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Për zbatimin e </w:t>
      </w:r>
      <w:r w:rsidR="00F6672B" w:rsidRPr="004F2AC3">
        <w:rPr>
          <w:rFonts w:ascii="Garamond" w:eastAsia="Times New Roman" w:hAnsi="Garamond" w:cs="Times New Roman"/>
          <w:color w:val="000000" w:themeColor="text1"/>
          <w:sz w:val="24"/>
          <w:szCs w:val="24"/>
        </w:rPr>
        <w:t xml:space="preserve">rregullores </w:t>
      </w:r>
      <w:r w:rsidRPr="004F2AC3">
        <w:rPr>
          <w:rFonts w:ascii="Garamond" w:eastAsia="Times New Roman" w:hAnsi="Garamond" w:cs="Times New Roman"/>
          <w:color w:val="000000" w:themeColor="text1"/>
          <w:sz w:val="24"/>
          <w:szCs w:val="24"/>
        </w:rPr>
        <w:t xml:space="preserve">së </w:t>
      </w:r>
      <w:r w:rsidR="00F6672B" w:rsidRPr="004F2AC3">
        <w:rPr>
          <w:rFonts w:ascii="Garamond" w:eastAsia="Times New Roman" w:hAnsi="Garamond" w:cs="Times New Roman"/>
          <w:color w:val="000000" w:themeColor="text1"/>
          <w:sz w:val="24"/>
          <w:szCs w:val="24"/>
        </w:rPr>
        <w:t>statistikave të biznesit</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w:t>
      </w:r>
    </w:p>
    <w:p w14:paraId="74A990C0" w14:textId="70C1A142" w:rsidR="000F566F" w:rsidRPr="004F2AC3" w:rsidRDefault="000F566F" w:rsidP="000F566F">
      <w:pPr>
        <w:keepNext/>
        <w:keepLines/>
        <w:spacing w:after="0" w:line="240" w:lineRule="auto"/>
        <w:ind w:firstLine="284"/>
        <w:outlineLvl w:val="1"/>
        <w:rPr>
          <w:rFonts w:ascii="Garamond" w:eastAsia="Times New Roman" w:hAnsi="Garamond" w:cs="Times New Roman"/>
          <w:b/>
          <w:bCs/>
          <w:color w:val="000000" w:themeColor="text1"/>
          <w:sz w:val="24"/>
          <w:szCs w:val="24"/>
        </w:rPr>
      </w:pPr>
      <w:bookmarkStart w:id="37" w:name="_Toc215132189"/>
      <w:r w:rsidRPr="004F2AC3">
        <w:rPr>
          <w:rFonts w:ascii="Garamond" w:eastAsia="Times New Roman" w:hAnsi="Garamond" w:cs="Times New Roman"/>
          <w:b/>
          <w:bCs/>
          <w:color w:val="000000" w:themeColor="text1"/>
          <w:sz w:val="24"/>
          <w:szCs w:val="24"/>
        </w:rPr>
        <w:t xml:space="preserve">Fusha 3 </w:t>
      </w:r>
      <w:r w:rsidR="00D32864" w:rsidRPr="004F2AC3">
        <w:rPr>
          <w:rFonts w:ascii="Garamond" w:eastAsia="Times New Roman" w:hAnsi="Garamond" w:cs="Times New Roman"/>
          <w:b/>
          <w:bCs/>
          <w:color w:val="000000" w:themeColor="text1"/>
          <w:sz w:val="24"/>
          <w:szCs w:val="24"/>
        </w:rPr>
        <w:t>“</w:t>
      </w:r>
      <w:r w:rsidRPr="004F2AC3">
        <w:rPr>
          <w:rFonts w:ascii="Garamond" w:eastAsia="Times New Roman" w:hAnsi="Garamond" w:cs="Times New Roman"/>
          <w:b/>
          <w:bCs/>
          <w:color w:val="000000" w:themeColor="text1"/>
          <w:sz w:val="24"/>
          <w:szCs w:val="24"/>
        </w:rPr>
        <w:t xml:space="preserve">Statistikat </w:t>
      </w:r>
      <w:r w:rsidR="00F6672B" w:rsidRPr="004F2AC3">
        <w:rPr>
          <w:rFonts w:ascii="Garamond" w:eastAsia="Times New Roman" w:hAnsi="Garamond" w:cs="Times New Roman"/>
          <w:b/>
          <w:bCs/>
          <w:color w:val="000000" w:themeColor="text1"/>
          <w:sz w:val="24"/>
          <w:szCs w:val="24"/>
        </w:rPr>
        <w:t>sektoriale</w:t>
      </w:r>
      <w:r w:rsidR="00D32864" w:rsidRPr="004F2AC3">
        <w:rPr>
          <w:rFonts w:ascii="Garamond" w:eastAsia="Times New Roman" w:hAnsi="Garamond" w:cs="Times New Roman"/>
          <w:b/>
          <w:bCs/>
          <w:color w:val="000000" w:themeColor="text1"/>
          <w:sz w:val="24"/>
          <w:szCs w:val="24"/>
        </w:rPr>
        <w:t>”</w:t>
      </w:r>
      <w:bookmarkEnd w:id="37"/>
    </w:p>
    <w:p w14:paraId="28230B3E" w14:textId="1C120BF4"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sektoriale përfshijnë një sërë nënfushash heterogjene</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statistikat e bujqësisë, peshkimit dhe pyjeve, statistikat e energjisë, transportit, turizmit, statistikat mbi tregtinë e jashtme dhe bilancin e pagesave, statistikat e çmimeve, shkencës,</w:t>
      </w:r>
      <w:r w:rsidR="00DC0AAE"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teknologjisë dhe</w:t>
      </w:r>
      <w:r w:rsidR="00684E85" w:rsidRPr="004F2AC3">
        <w:rPr>
          <w:rFonts w:ascii="Garamond" w:hAnsi="Garamond" w:cs="Times New Roman"/>
          <w:color w:val="000000" w:themeColor="text1"/>
          <w:sz w:val="24"/>
          <w:szCs w:val="24"/>
        </w:rPr>
        <w:t xml:space="preserve"> </w:t>
      </w:r>
      <w:r w:rsidR="00F6672B" w:rsidRPr="004F2AC3">
        <w:rPr>
          <w:rFonts w:ascii="Garamond" w:hAnsi="Garamond" w:cs="Times New Roman"/>
          <w:color w:val="000000" w:themeColor="text1"/>
          <w:sz w:val="24"/>
          <w:szCs w:val="24"/>
        </w:rPr>
        <w:t>inovacionit.</w:t>
      </w:r>
    </w:p>
    <w:p w14:paraId="63730CE2" w14:textId="4883DB3C"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Qëllimi kryesor i statistikave sektoriale është që të sigurojnë të dhëna në kohë dhe me cilësi të treguesve statistikorë, të cilët ndihmojnë në hartimin e politikave të përbashkëta mbi fushat e sipërpërmendura, si dhe në mon</w:t>
      </w:r>
      <w:r w:rsidR="00F6672B" w:rsidRPr="004F2AC3">
        <w:rPr>
          <w:rFonts w:ascii="Garamond" w:hAnsi="Garamond" w:cs="Times New Roman"/>
          <w:color w:val="000000" w:themeColor="text1"/>
          <w:sz w:val="24"/>
          <w:szCs w:val="24"/>
        </w:rPr>
        <w:t>itorimin dhe menaxhimin e tyre.</w:t>
      </w:r>
    </w:p>
    <w:p w14:paraId="4FC21F41" w14:textId="2DC072AB"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Objektivi kryesor për vitin 2026, për statistikat sektoriale, është realizimi i të gjithë objektivave sipas Programit të Statistikave Zyrtare 2022</w:t>
      </w:r>
      <w:r w:rsidR="00F6672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2026, me fokus </w:t>
      </w:r>
      <w:bookmarkStart w:id="38" w:name="_Hlk214396067"/>
      <w:r w:rsidRPr="004F2AC3">
        <w:rPr>
          <w:rFonts w:ascii="Garamond" w:hAnsi="Garamond" w:cs="Times New Roman"/>
          <w:color w:val="000000" w:themeColor="text1"/>
          <w:sz w:val="24"/>
          <w:szCs w:val="24"/>
        </w:rPr>
        <w:t xml:space="preserve">rritjen e cilësisë dhe plotshmërisë së serive kohore për treguesit me frekuencë mujore, tremujore dhe vjetore, duke synuar rritjen e nivelit të përafrimit me </w:t>
      </w:r>
      <w:r w:rsidRPr="004F2AC3">
        <w:rPr>
          <w:rFonts w:ascii="Garamond" w:hAnsi="Garamond" w:cs="Times New Roman"/>
          <w:i/>
          <w:color w:val="000000" w:themeColor="text1"/>
          <w:sz w:val="24"/>
          <w:szCs w:val="24"/>
        </w:rPr>
        <w:t>acquis</w:t>
      </w:r>
      <w:r w:rsidRPr="004F2AC3">
        <w:rPr>
          <w:rFonts w:ascii="Garamond" w:hAnsi="Garamond" w:cs="Times New Roman"/>
          <w:color w:val="000000" w:themeColor="text1"/>
          <w:sz w:val="24"/>
          <w:szCs w:val="24"/>
        </w:rPr>
        <w:t xml:space="preserve"> përkatëse</w:t>
      </w:r>
      <w:bookmarkEnd w:id="38"/>
      <w:r w:rsidRPr="004F2AC3">
        <w:rPr>
          <w:rFonts w:ascii="Garamond" w:hAnsi="Garamond" w:cs="Times New Roman"/>
          <w:color w:val="000000" w:themeColor="text1"/>
          <w:sz w:val="24"/>
          <w:szCs w:val="24"/>
        </w:rPr>
        <w:t>. Aktivitetet kryesore të parashikuara për vitin 2026 janë:</w:t>
      </w:r>
    </w:p>
    <w:p w14:paraId="6535E2B1" w14:textId="260DF04D" w:rsidR="000F566F" w:rsidRPr="004F2AC3" w:rsidRDefault="00CF4B3F" w:rsidP="00CF4B3F">
      <w:pPr>
        <w:pStyle w:val="TEKSTIIIII"/>
      </w:pPr>
      <w:r w:rsidRPr="004F2AC3">
        <w:t xml:space="preserve">- </w:t>
      </w:r>
      <w:r w:rsidR="000F566F" w:rsidRPr="004F2AC3">
        <w:t>Realizimi në kohë dhe me cilësi i Censit të Bujqësisë, si një aktivitet sfidues dhe shumë i rëndësishëm për politikbërje</w:t>
      </w:r>
      <w:r w:rsidR="008E6071" w:rsidRPr="004F2AC3">
        <w:t>n</w:t>
      </w:r>
      <w:r w:rsidR="000F566F" w:rsidRPr="004F2AC3">
        <w:t>;</w:t>
      </w:r>
    </w:p>
    <w:p w14:paraId="5F469796" w14:textId="0230A884" w:rsidR="000F566F" w:rsidRPr="004F2AC3" w:rsidRDefault="00CF4B3F" w:rsidP="00CF4B3F">
      <w:pPr>
        <w:pStyle w:val="TEKSTIIIII"/>
      </w:pPr>
      <w:r w:rsidRPr="004F2AC3">
        <w:t xml:space="preserve">- </w:t>
      </w:r>
      <w:r w:rsidR="000F566F" w:rsidRPr="004F2AC3">
        <w:t>Në lidhje me aktivitetin e Transportit, parashikohet realizimi i vrojtimit të plotë për transportin rrugor të mallrave, pas fazës pilot, si dhe zgjerimi i transmetimit të treguesve në Eurostat për transportin dhe sigurinë rrugore;</w:t>
      </w:r>
    </w:p>
    <w:p w14:paraId="323235ED" w14:textId="363AA09E" w:rsidR="000F566F" w:rsidRPr="004F2AC3" w:rsidRDefault="00CF4B3F" w:rsidP="00CF4B3F">
      <w:pPr>
        <w:pStyle w:val="TEKSTIIIII"/>
      </w:pPr>
      <w:r w:rsidRPr="004F2AC3">
        <w:t xml:space="preserve">- </w:t>
      </w:r>
      <w:r w:rsidR="000F566F" w:rsidRPr="004F2AC3">
        <w:t>Për statistikat e Turizmit, përveç përmirësimit të statistikave ekzistuese të akomodimit, do të zhvillohen vrojtime të reja në ndërmarrjet e turizmit dhe në destinacione turistike (qarqe, pika kufitare, kroçiera) për matjen e ndikimit ekonomik të turizmit;</w:t>
      </w:r>
    </w:p>
    <w:p w14:paraId="4B4B962B" w14:textId="3467E9FE" w:rsidR="000F566F" w:rsidRPr="004F2AC3" w:rsidRDefault="00CF4B3F" w:rsidP="00CF4B3F">
      <w:pPr>
        <w:pStyle w:val="TEKSTIIIII"/>
      </w:pPr>
      <w:r w:rsidRPr="004F2AC3">
        <w:t xml:space="preserve">- </w:t>
      </w:r>
      <w:r w:rsidR="000F566F" w:rsidRPr="004F2AC3">
        <w:t>Në lidhje me shkencën, teknologjinë dhe inovacionin, INSTAT</w:t>
      </w:r>
      <w:r w:rsidR="00DC0AAE" w:rsidRPr="004F2AC3">
        <w:t>-i</w:t>
      </w:r>
      <w:r w:rsidR="000F566F" w:rsidRPr="004F2AC3">
        <w:t xml:space="preserve"> do të përpunojë të dhënat e </w:t>
      </w:r>
      <w:r w:rsidR="008E6071" w:rsidRPr="004F2AC3">
        <w:t xml:space="preserve">vrojtimit të inovacionit </w:t>
      </w:r>
      <w:r w:rsidR="000F566F" w:rsidRPr="004F2AC3">
        <w:t>(CIS 2024) dhe do të publikojë treguesit për periudhën 2022–2024. Do të mblidhen të dhëna mbi fondet për kërkim shkencor (GBARD) dhe do të zhvillohen vrojtime vjetore për teknologjinë e informacionit dhe komunikimit (TIK) në ndërmarrje dhe në njësitë ekonomike familjare, në përputhje me rregulloret e BE-së.</w:t>
      </w:r>
    </w:p>
    <w:p w14:paraId="2DCCDDFE"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276D221B"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Vrojtimet që do të realizohen gjatë vitit 2026 paraqiten në tabelën e mëposhtme:</w:t>
      </w:r>
    </w:p>
    <w:p w14:paraId="20C22E91"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p>
    <w:p w14:paraId="54813276" w14:textId="45756BA4"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14</w:t>
      </w:r>
      <w:r w:rsidR="00DC0AAE"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Lista e vrojtimeve për 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8E6071" w:rsidRPr="004F2AC3">
        <w:rPr>
          <w:rFonts w:ascii="Garamond" w:hAnsi="Garamond" w:cs="Times New Roman"/>
          <w:b/>
          <w:color w:val="000000" w:themeColor="text1"/>
          <w:sz w:val="24"/>
          <w:szCs w:val="24"/>
        </w:rPr>
        <w:t>sektoriale</w:t>
      </w:r>
      <w:r w:rsidR="00D32864" w:rsidRPr="004F2AC3">
        <w:rPr>
          <w:rFonts w:ascii="Garamond" w:hAnsi="Garamond" w:cs="Times New Roman"/>
          <w:b/>
          <w:color w:val="000000" w:themeColor="text1"/>
          <w:sz w:val="24"/>
          <w:szCs w:val="24"/>
        </w:rPr>
        <w:t>”</w:t>
      </w:r>
    </w:p>
    <w:tbl>
      <w:tblPr>
        <w:tblStyle w:val="ListTable3-Accent112"/>
        <w:tblW w:w="0" w:type="auto"/>
        <w:tblLook w:val="04A0" w:firstRow="1" w:lastRow="0" w:firstColumn="1" w:lastColumn="0" w:noHBand="0" w:noVBand="1"/>
      </w:tblPr>
      <w:tblGrid>
        <w:gridCol w:w="7083"/>
        <w:gridCol w:w="1933"/>
      </w:tblGrid>
      <w:tr w:rsidR="000F566F" w:rsidRPr="004F2AC3" w14:paraId="77063F16" w14:textId="77777777" w:rsidTr="00B66B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83" w:type="dxa"/>
          </w:tcPr>
          <w:p w14:paraId="7B79C523" w14:textId="77777777" w:rsidR="000F566F" w:rsidRPr="004F2AC3" w:rsidRDefault="000F566F" w:rsidP="00CF4B3F">
            <w:pPr>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 xml:space="preserve">Vrojtimi </w:t>
            </w:r>
          </w:p>
        </w:tc>
        <w:tc>
          <w:tcPr>
            <w:tcW w:w="1933" w:type="dxa"/>
          </w:tcPr>
          <w:p w14:paraId="098CBB9D" w14:textId="77777777" w:rsidR="000F566F" w:rsidRPr="004F2AC3" w:rsidRDefault="000F566F"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Burimi i financimit</w:t>
            </w:r>
          </w:p>
        </w:tc>
      </w:tr>
      <w:tr w:rsidR="000F566F" w:rsidRPr="004F2AC3" w14:paraId="0A935D4D"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45AF3304" w14:textId="77777777"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1. Vrojtimi vjetor në bujqësi</w:t>
            </w:r>
          </w:p>
        </w:tc>
        <w:tc>
          <w:tcPr>
            <w:tcW w:w="1933" w:type="dxa"/>
          </w:tcPr>
          <w:p w14:paraId="6D44FC63"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235D350B"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526F05D9" w14:textId="77777777"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2. Vrojtimi mbi sipërfaqen e mbjellë</w:t>
            </w:r>
          </w:p>
        </w:tc>
        <w:tc>
          <w:tcPr>
            <w:tcW w:w="1933" w:type="dxa"/>
          </w:tcPr>
          <w:p w14:paraId="08403C7D"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08D94A39"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49C8B239" w14:textId="77777777"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3. Vrojtimi i përdorimit të lëndës drusore në industri</w:t>
            </w:r>
          </w:p>
        </w:tc>
        <w:tc>
          <w:tcPr>
            <w:tcW w:w="1933" w:type="dxa"/>
          </w:tcPr>
          <w:p w14:paraId="336A1CA2"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5B62AC5D"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1301183E" w14:textId="77777777"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4. Vrojtimi mujor mbi monitorimin e aktivitetit të thertoreve për gjedhë, derra dhe të imta</w:t>
            </w:r>
          </w:p>
        </w:tc>
        <w:tc>
          <w:tcPr>
            <w:tcW w:w="1933" w:type="dxa"/>
          </w:tcPr>
          <w:p w14:paraId="2C0BCA75"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1DA39083"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737B5F06" w14:textId="77777777"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5. Vrojtimi mujor mbi monitorimin e aktivitetit të thertoreve të shpendëve</w:t>
            </w:r>
          </w:p>
        </w:tc>
        <w:tc>
          <w:tcPr>
            <w:tcW w:w="1933" w:type="dxa"/>
          </w:tcPr>
          <w:p w14:paraId="5EF950F4"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2313D39E"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26EBAC56" w14:textId="77777777"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6. Vrojtimi mujor i aktivitetit të pularive për prodhimin e vezëve (konsum njerëzor)</w:t>
            </w:r>
          </w:p>
        </w:tc>
        <w:tc>
          <w:tcPr>
            <w:tcW w:w="1933" w:type="dxa"/>
          </w:tcPr>
          <w:p w14:paraId="3A3F224E"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64099BAA"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4AAA209A" w14:textId="422C4795"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 xml:space="preserve">7. Vrojtimi mujor i </w:t>
            </w:r>
            <w:r w:rsidR="008E6071" w:rsidRPr="004F2AC3">
              <w:rPr>
                <w:rFonts w:ascii="Garamond" w:eastAsia="Times New Roman" w:hAnsi="Garamond" w:cs="Times New Roman"/>
                <w:b w:val="0"/>
                <w:color w:val="000000" w:themeColor="text1"/>
                <w:sz w:val="20"/>
                <w:szCs w:val="20"/>
                <w:lang w:val="sq-AL"/>
              </w:rPr>
              <w:t xml:space="preserve">qumështit </w:t>
            </w:r>
            <w:r w:rsidRPr="004F2AC3">
              <w:rPr>
                <w:rFonts w:ascii="Garamond" w:eastAsia="Times New Roman" w:hAnsi="Garamond" w:cs="Times New Roman"/>
                <w:b w:val="0"/>
                <w:color w:val="000000" w:themeColor="text1"/>
                <w:sz w:val="20"/>
                <w:szCs w:val="20"/>
                <w:lang w:val="sq-AL"/>
              </w:rPr>
              <w:t>të</w:t>
            </w:r>
            <w:r w:rsidR="00684E85" w:rsidRPr="004F2AC3">
              <w:rPr>
                <w:rFonts w:ascii="Garamond" w:eastAsia="Times New Roman" w:hAnsi="Garamond" w:cs="Times New Roman"/>
                <w:b w:val="0"/>
                <w:color w:val="000000" w:themeColor="text1"/>
                <w:sz w:val="20"/>
                <w:szCs w:val="20"/>
                <w:lang w:val="sq-AL"/>
              </w:rPr>
              <w:t xml:space="preserve"> </w:t>
            </w:r>
            <w:r w:rsidRPr="004F2AC3">
              <w:rPr>
                <w:rFonts w:ascii="Garamond" w:eastAsia="Times New Roman" w:hAnsi="Garamond" w:cs="Times New Roman"/>
                <w:b w:val="0"/>
                <w:color w:val="000000" w:themeColor="text1"/>
                <w:sz w:val="20"/>
                <w:szCs w:val="20"/>
                <w:lang w:val="sq-AL"/>
              </w:rPr>
              <w:t>grumbulluar (</w:t>
            </w:r>
            <w:r w:rsidR="008E6071" w:rsidRPr="004F2AC3">
              <w:rPr>
                <w:rFonts w:ascii="Garamond" w:eastAsia="Times New Roman" w:hAnsi="Garamond" w:cs="Times New Roman"/>
                <w:b w:val="0"/>
                <w:color w:val="000000" w:themeColor="text1"/>
                <w:sz w:val="20"/>
                <w:szCs w:val="20"/>
                <w:lang w:val="sq-AL"/>
              </w:rPr>
              <w:t>qumështi i lopës</w:t>
            </w:r>
            <w:r w:rsidRPr="004F2AC3">
              <w:rPr>
                <w:rFonts w:ascii="Garamond" w:eastAsia="Times New Roman" w:hAnsi="Garamond" w:cs="Times New Roman"/>
                <w:b w:val="0"/>
                <w:color w:val="000000" w:themeColor="text1"/>
                <w:sz w:val="20"/>
                <w:szCs w:val="20"/>
                <w:lang w:val="sq-AL"/>
              </w:rPr>
              <w:t>) dhe produkteve të prodhuara</w:t>
            </w:r>
          </w:p>
        </w:tc>
        <w:tc>
          <w:tcPr>
            <w:tcW w:w="1933" w:type="dxa"/>
          </w:tcPr>
          <w:p w14:paraId="7BB1835E"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56E66865"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5FA5C5F6" w14:textId="77777777"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8. Vrojtimi vjetor në të gjitha fabrikat dhe baxhot që grumbullojnë dhe përpunojnë qumësht</w:t>
            </w:r>
          </w:p>
        </w:tc>
        <w:tc>
          <w:tcPr>
            <w:tcW w:w="1933" w:type="dxa"/>
          </w:tcPr>
          <w:p w14:paraId="75A85C36"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54EB9E61"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603FD05E" w14:textId="7EDADFFD"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 xml:space="preserve">9. Vrojtimi i </w:t>
            </w:r>
            <w:r w:rsidR="008E6071" w:rsidRPr="004F2AC3">
              <w:rPr>
                <w:rFonts w:ascii="Garamond" w:eastAsia="Times New Roman" w:hAnsi="Garamond" w:cs="Times New Roman"/>
                <w:b w:val="0"/>
                <w:color w:val="000000" w:themeColor="text1"/>
                <w:sz w:val="20"/>
                <w:szCs w:val="20"/>
                <w:lang w:val="sq-AL"/>
              </w:rPr>
              <w:t>çmimeve bujqësore</w:t>
            </w:r>
          </w:p>
        </w:tc>
        <w:tc>
          <w:tcPr>
            <w:tcW w:w="1933" w:type="dxa"/>
          </w:tcPr>
          <w:p w14:paraId="0B2992A6"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18461235"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6E27D24A" w14:textId="7EA2B889"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 xml:space="preserve">10. Vrojtimi i </w:t>
            </w:r>
            <w:r w:rsidR="008E6071" w:rsidRPr="004F2AC3">
              <w:rPr>
                <w:rFonts w:ascii="Garamond" w:eastAsia="Times New Roman" w:hAnsi="Garamond" w:cs="Times New Roman"/>
                <w:b w:val="0"/>
                <w:color w:val="000000" w:themeColor="text1"/>
                <w:sz w:val="20"/>
                <w:szCs w:val="20"/>
                <w:lang w:val="sq-AL"/>
              </w:rPr>
              <w:t>strukturave akomoduese</w:t>
            </w:r>
          </w:p>
        </w:tc>
        <w:tc>
          <w:tcPr>
            <w:tcW w:w="1933" w:type="dxa"/>
          </w:tcPr>
          <w:p w14:paraId="08BB6609"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1BE24238"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533531CD" w14:textId="182B8347"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11. Vrojtimi pranë ndërmarrjeve në fushën e turizmit</w:t>
            </w:r>
            <w:r w:rsidR="00684E85" w:rsidRPr="004F2AC3">
              <w:rPr>
                <w:rFonts w:ascii="Garamond" w:eastAsia="Times New Roman" w:hAnsi="Garamond" w:cs="Times New Roman"/>
                <w:b w:val="0"/>
                <w:color w:val="000000" w:themeColor="text1"/>
                <w:sz w:val="20"/>
                <w:szCs w:val="20"/>
                <w:lang w:val="sq-AL"/>
              </w:rPr>
              <w:t xml:space="preserve"> </w:t>
            </w:r>
          </w:p>
        </w:tc>
        <w:tc>
          <w:tcPr>
            <w:tcW w:w="1933" w:type="dxa"/>
          </w:tcPr>
          <w:p w14:paraId="3AC4684E"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4A64434A"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52131591" w14:textId="69909E1F" w:rsidR="000F566F" w:rsidRPr="004F2AC3" w:rsidRDefault="000F566F" w:rsidP="00DC0AAE">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 xml:space="preserve">12. Vrojtimi i </w:t>
            </w:r>
            <w:r w:rsidR="008E6071" w:rsidRPr="004F2AC3">
              <w:rPr>
                <w:rFonts w:ascii="Garamond" w:eastAsia="Times New Roman" w:hAnsi="Garamond" w:cs="Times New Roman"/>
                <w:b w:val="0"/>
                <w:color w:val="000000" w:themeColor="text1"/>
                <w:sz w:val="20"/>
                <w:szCs w:val="20"/>
                <w:lang w:val="sq-AL"/>
              </w:rPr>
              <w:t xml:space="preserve">turizmit në familje </w:t>
            </w:r>
            <w:r w:rsidR="00D32864" w:rsidRPr="004F2AC3">
              <w:rPr>
                <w:rFonts w:ascii="Garamond" w:eastAsia="Times New Roman" w:hAnsi="Garamond" w:cs="Times New Roman"/>
                <w:b w:val="0"/>
                <w:color w:val="000000" w:themeColor="text1"/>
                <w:sz w:val="20"/>
                <w:szCs w:val="20"/>
                <w:lang w:val="sq-AL"/>
              </w:rPr>
              <w:t>“</w:t>
            </w:r>
            <w:r w:rsidRPr="004F2AC3">
              <w:rPr>
                <w:rFonts w:ascii="Garamond" w:eastAsia="Times New Roman" w:hAnsi="Garamond" w:cs="Times New Roman"/>
                <w:b w:val="0"/>
                <w:color w:val="000000" w:themeColor="text1"/>
                <w:sz w:val="20"/>
                <w:szCs w:val="20"/>
                <w:lang w:val="sq-AL"/>
              </w:rPr>
              <w:t xml:space="preserve">Pushime dhe </w:t>
            </w:r>
            <w:r w:rsidR="008E6071" w:rsidRPr="004F2AC3">
              <w:rPr>
                <w:rFonts w:ascii="Garamond" w:eastAsia="Times New Roman" w:hAnsi="Garamond" w:cs="Times New Roman"/>
                <w:b w:val="0"/>
                <w:color w:val="000000" w:themeColor="text1"/>
                <w:sz w:val="20"/>
                <w:szCs w:val="20"/>
                <w:lang w:val="sq-AL"/>
              </w:rPr>
              <w:t>udhëtime</w:t>
            </w:r>
            <w:r w:rsidR="00D32864" w:rsidRPr="004F2AC3">
              <w:rPr>
                <w:rFonts w:ascii="Garamond" w:eastAsia="Times New Roman" w:hAnsi="Garamond" w:cs="Times New Roman"/>
                <w:b w:val="0"/>
                <w:color w:val="000000" w:themeColor="text1"/>
                <w:sz w:val="20"/>
                <w:szCs w:val="20"/>
                <w:lang w:val="sq-AL"/>
              </w:rPr>
              <w:t>”</w:t>
            </w:r>
          </w:p>
        </w:tc>
        <w:tc>
          <w:tcPr>
            <w:tcW w:w="1933" w:type="dxa"/>
          </w:tcPr>
          <w:p w14:paraId="412F307F"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6CCEBDBD"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03764ED8" w14:textId="77777777"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13. Vrojtimi mbi cilësinë e shërbimeve në turizëm në qarqe</w:t>
            </w:r>
          </w:p>
        </w:tc>
        <w:tc>
          <w:tcPr>
            <w:tcW w:w="1933" w:type="dxa"/>
          </w:tcPr>
          <w:p w14:paraId="6CBB6997"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053BEB43"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5251ED7A" w14:textId="6E6EDE5A" w:rsidR="000F566F" w:rsidRPr="004F2AC3" w:rsidRDefault="000F566F" w:rsidP="008E6071">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14. Vrojtimi i vizitorëve në kro</w:t>
            </w:r>
            <w:r w:rsidR="008E6071" w:rsidRPr="004F2AC3">
              <w:rPr>
                <w:rFonts w:ascii="Garamond" w:eastAsia="Times New Roman" w:hAnsi="Garamond" w:cs="Times New Roman"/>
                <w:b w:val="0"/>
                <w:color w:val="000000" w:themeColor="text1"/>
                <w:sz w:val="20"/>
                <w:szCs w:val="20"/>
                <w:lang w:val="sq-AL"/>
              </w:rPr>
              <w:t>ç</w:t>
            </w:r>
            <w:r w:rsidRPr="004F2AC3">
              <w:rPr>
                <w:rFonts w:ascii="Garamond" w:eastAsia="Times New Roman" w:hAnsi="Garamond" w:cs="Times New Roman"/>
                <w:b w:val="0"/>
                <w:color w:val="000000" w:themeColor="text1"/>
                <w:sz w:val="20"/>
                <w:szCs w:val="20"/>
                <w:lang w:val="sq-AL"/>
              </w:rPr>
              <w:t>iera</w:t>
            </w:r>
          </w:p>
        </w:tc>
        <w:tc>
          <w:tcPr>
            <w:tcW w:w="1933" w:type="dxa"/>
          </w:tcPr>
          <w:p w14:paraId="2C1037DD"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4F5D15EF"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66BD11E0" w14:textId="347D1BB2" w:rsidR="000F566F" w:rsidRPr="004F2AC3" w:rsidRDefault="000F566F" w:rsidP="008E6071">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15. Vrojtimi i vizitor</w:t>
            </w:r>
            <w:r w:rsidR="008E6071" w:rsidRPr="004F2AC3">
              <w:rPr>
                <w:rFonts w:ascii="Garamond" w:eastAsia="Times New Roman" w:hAnsi="Garamond" w:cs="Times New Roman"/>
                <w:b w:val="0"/>
                <w:color w:val="000000" w:themeColor="text1"/>
                <w:sz w:val="20"/>
                <w:szCs w:val="20"/>
                <w:lang w:val="sq-AL"/>
              </w:rPr>
              <w:t>ë</w:t>
            </w:r>
            <w:r w:rsidRPr="004F2AC3">
              <w:rPr>
                <w:rFonts w:ascii="Garamond" w:eastAsia="Times New Roman" w:hAnsi="Garamond" w:cs="Times New Roman"/>
                <w:b w:val="0"/>
                <w:color w:val="000000" w:themeColor="text1"/>
                <w:sz w:val="20"/>
                <w:szCs w:val="20"/>
                <w:lang w:val="sq-AL"/>
              </w:rPr>
              <w:t>ve të huaj në pikat kufitare</w:t>
            </w:r>
            <w:r w:rsidR="00DC0AAE" w:rsidRPr="004F2AC3">
              <w:rPr>
                <w:rFonts w:ascii="Garamond" w:eastAsia="Times New Roman" w:hAnsi="Garamond" w:cs="Times New Roman"/>
                <w:b w:val="0"/>
                <w:color w:val="000000" w:themeColor="text1"/>
                <w:sz w:val="20"/>
                <w:szCs w:val="20"/>
                <w:lang w:val="sq-AL"/>
              </w:rPr>
              <w:t xml:space="preserve"> </w:t>
            </w:r>
            <w:r w:rsidRPr="004F2AC3">
              <w:rPr>
                <w:rFonts w:ascii="Garamond" w:eastAsia="Times New Roman" w:hAnsi="Garamond" w:cs="Times New Roman"/>
                <w:b w:val="0"/>
                <w:color w:val="000000" w:themeColor="text1"/>
                <w:sz w:val="20"/>
                <w:szCs w:val="20"/>
                <w:lang w:val="sq-AL"/>
              </w:rPr>
              <w:t>(hyrës</w:t>
            </w:r>
            <w:r w:rsidR="008E6071" w:rsidRPr="004F2AC3">
              <w:rPr>
                <w:rFonts w:ascii="Garamond" w:hAnsi="Garamond" w:cs="Times New Roman"/>
                <w:b w:val="0"/>
                <w:color w:val="000000" w:themeColor="text1"/>
                <w:sz w:val="20"/>
                <w:szCs w:val="20"/>
                <w:lang w:val="sq-AL"/>
              </w:rPr>
              <w:t>–</w:t>
            </w:r>
            <w:r w:rsidRPr="004F2AC3">
              <w:rPr>
                <w:rFonts w:ascii="Garamond" w:eastAsia="Times New Roman" w:hAnsi="Garamond" w:cs="Times New Roman"/>
                <w:b w:val="0"/>
                <w:color w:val="000000" w:themeColor="text1"/>
                <w:sz w:val="20"/>
                <w:szCs w:val="20"/>
                <w:lang w:val="sq-AL"/>
              </w:rPr>
              <w:t>dalës)</w:t>
            </w:r>
          </w:p>
        </w:tc>
        <w:tc>
          <w:tcPr>
            <w:tcW w:w="1933" w:type="dxa"/>
          </w:tcPr>
          <w:p w14:paraId="7E63A27A"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269B600C"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411F5627" w14:textId="4535126F" w:rsidR="000F566F" w:rsidRPr="004F2AC3" w:rsidRDefault="000F566F" w:rsidP="00CF4B3F">
            <w:pPr>
              <w:rPr>
                <w:rFonts w:ascii="Garamond" w:eastAsia="Times New Roman"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 xml:space="preserve">16. Vrojtimi i </w:t>
            </w:r>
            <w:r w:rsidR="008E6071" w:rsidRPr="004F2AC3">
              <w:rPr>
                <w:rFonts w:ascii="Garamond" w:eastAsia="Times New Roman" w:hAnsi="Garamond" w:cs="Times New Roman"/>
                <w:b w:val="0"/>
                <w:color w:val="000000" w:themeColor="text1"/>
                <w:sz w:val="20"/>
                <w:szCs w:val="20"/>
                <w:lang w:val="sq-AL"/>
              </w:rPr>
              <w:t>çmimeve të konsumit</w:t>
            </w:r>
          </w:p>
        </w:tc>
        <w:tc>
          <w:tcPr>
            <w:tcW w:w="1933" w:type="dxa"/>
          </w:tcPr>
          <w:p w14:paraId="6A38F852"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525E704A"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31C0624F" w14:textId="3C3643F2"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17. Vrojtimi i </w:t>
            </w:r>
            <w:r w:rsidR="008E6071" w:rsidRPr="004F2AC3">
              <w:rPr>
                <w:rFonts w:ascii="Garamond" w:hAnsi="Garamond" w:cs="Times New Roman"/>
                <w:b w:val="0"/>
                <w:color w:val="000000" w:themeColor="text1"/>
                <w:sz w:val="20"/>
                <w:szCs w:val="20"/>
                <w:lang w:val="sq-AL"/>
              </w:rPr>
              <w:t>paritetit të fuqisë blerëse</w:t>
            </w:r>
          </w:p>
        </w:tc>
        <w:tc>
          <w:tcPr>
            <w:tcW w:w="1933" w:type="dxa"/>
          </w:tcPr>
          <w:p w14:paraId="3C884226"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Komisioni Evropian</w:t>
            </w:r>
          </w:p>
        </w:tc>
      </w:tr>
      <w:tr w:rsidR="000F566F" w:rsidRPr="004F2AC3" w14:paraId="0178760A"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0C06A17A" w14:textId="1E7450E2"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18. Vrojtimi mbi </w:t>
            </w:r>
            <w:r w:rsidR="008E6071" w:rsidRPr="004F2AC3">
              <w:rPr>
                <w:rFonts w:ascii="Garamond" w:hAnsi="Garamond" w:cs="Times New Roman"/>
                <w:b w:val="0"/>
                <w:color w:val="000000" w:themeColor="text1"/>
                <w:sz w:val="20"/>
                <w:szCs w:val="20"/>
                <w:lang w:val="sq-AL"/>
              </w:rPr>
              <w:t>inovacionin</w:t>
            </w:r>
          </w:p>
        </w:tc>
        <w:tc>
          <w:tcPr>
            <w:tcW w:w="1933" w:type="dxa"/>
          </w:tcPr>
          <w:p w14:paraId="756D6995"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5689AEBA" w14:textId="77777777" w:rsidTr="00B66BF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083" w:type="dxa"/>
          </w:tcPr>
          <w:p w14:paraId="05550952" w14:textId="57CDDC4D"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19. Vrojtimi i TIK</w:t>
            </w:r>
            <w:r w:rsidR="00DC0AAE" w:rsidRPr="004F2AC3">
              <w:rPr>
                <w:rFonts w:ascii="Garamond" w:hAnsi="Garamond" w:cs="Times New Roman"/>
                <w:b w:val="0"/>
                <w:color w:val="000000" w:themeColor="text1"/>
                <w:sz w:val="20"/>
                <w:szCs w:val="20"/>
                <w:lang w:val="sq-AL"/>
              </w:rPr>
              <w:t>-ut</w:t>
            </w:r>
            <w:r w:rsidRPr="004F2AC3">
              <w:rPr>
                <w:rFonts w:ascii="Garamond" w:hAnsi="Garamond" w:cs="Times New Roman"/>
                <w:b w:val="0"/>
                <w:color w:val="000000" w:themeColor="text1"/>
                <w:sz w:val="20"/>
                <w:szCs w:val="20"/>
                <w:lang w:val="sq-AL"/>
              </w:rPr>
              <w:t xml:space="preserve"> në </w:t>
            </w:r>
            <w:r w:rsidR="008E6071" w:rsidRPr="004F2AC3">
              <w:rPr>
                <w:rFonts w:ascii="Garamond" w:hAnsi="Garamond" w:cs="Times New Roman"/>
                <w:b w:val="0"/>
                <w:color w:val="000000" w:themeColor="text1"/>
                <w:sz w:val="20"/>
                <w:szCs w:val="20"/>
                <w:lang w:val="sq-AL"/>
              </w:rPr>
              <w:t>ndërmarrje</w:t>
            </w:r>
          </w:p>
        </w:tc>
        <w:tc>
          <w:tcPr>
            <w:tcW w:w="1933" w:type="dxa"/>
          </w:tcPr>
          <w:p w14:paraId="2A533E4C"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5688DC21"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7B00EA33" w14:textId="6E3838BF"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20. Vrojtimi i TIK</w:t>
            </w:r>
            <w:r w:rsidR="00DC0AAE" w:rsidRPr="004F2AC3">
              <w:rPr>
                <w:rFonts w:ascii="Garamond" w:hAnsi="Garamond" w:cs="Times New Roman"/>
                <w:b w:val="0"/>
                <w:color w:val="000000" w:themeColor="text1"/>
                <w:sz w:val="20"/>
                <w:szCs w:val="20"/>
                <w:lang w:val="sq-AL"/>
              </w:rPr>
              <w:t>-ut</w:t>
            </w:r>
            <w:r w:rsidRPr="004F2AC3">
              <w:rPr>
                <w:rFonts w:ascii="Garamond" w:hAnsi="Garamond" w:cs="Times New Roman"/>
                <w:b w:val="0"/>
                <w:color w:val="000000" w:themeColor="text1"/>
                <w:sz w:val="20"/>
                <w:szCs w:val="20"/>
                <w:lang w:val="sq-AL"/>
              </w:rPr>
              <w:t xml:space="preserve"> në </w:t>
            </w:r>
            <w:r w:rsidR="008E6071" w:rsidRPr="004F2AC3">
              <w:rPr>
                <w:rFonts w:ascii="Garamond" w:hAnsi="Garamond" w:cs="Times New Roman"/>
                <w:b w:val="0"/>
                <w:color w:val="000000" w:themeColor="text1"/>
                <w:sz w:val="20"/>
                <w:szCs w:val="20"/>
                <w:lang w:val="sq-AL"/>
              </w:rPr>
              <w:t>familje</w:t>
            </w:r>
          </w:p>
        </w:tc>
        <w:tc>
          <w:tcPr>
            <w:tcW w:w="1933" w:type="dxa"/>
          </w:tcPr>
          <w:p w14:paraId="6D2599C4"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r w:rsidR="000F566F" w:rsidRPr="004F2AC3" w14:paraId="193429D4"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5B71B56E" w14:textId="28EEB44A"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21. Vrojtimi i Transportit </w:t>
            </w:r>
            <w:r w:rsidR="008E6071" w:rsidRPr="004F2AC3">
              <w:rPr>
                <w:rFonts w:ascii="Garamond" w:hAnsi="Garamond" w:cs="Times New Roman"/>
                <w:b w:val="0"/>
                <w:color w:val="000000" w:themeColor="text1"/>
                <w:sz w:val="20"/>
                <w:szCs w:val="20"/>
                <w:lang w:val="sq-AL"/>
              </w:rPr>
              <w:t>rrugor të mallrave</w:t>
            </w:r>
          </w:p>
        </w:tc>
        <w:tc>
          <w:tcPr>
            <w:tcW w:w="1933" w:type="dxa"/>
          </w:tcPr>
          <w:p w14:paraId="344A15D4"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bl>
    <w:p w14:paraId="01356C42"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7986C2F7" w14:textId="07862885"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Niveli aktual i përputhshmërisë me rregulloret përkatëse të BE</w:t>
      </w:r>
      <w:r w:rsidR="008E6071" w:rsidRPr="004F2AC3">
        <w:rPr>
          <w:rFonts w:ascii="Garamond" w:hAnsi="Garamond" w:cs="Times New Roman"/>
          <w:color w:val="000000" w:themeColor="text1"/>
          <w:sz w:val="24"/>
          <w:szCs w:val="24"/>
        </w:rPr>
        <w:t>-së</w:t>
      </w:r>
      <w:r w:rsidRPr="004F2AC3">
        <w:rPr>
          <w:rFonts w:ascii="Garamond" w:hAnsi="Garamond" w:cs="Times New Roman"/>
          <w:color w:val="000000" w:themeColor="text1"/>
          <w:sz w:val="24"/>
          <w:szCs w:val="24"/>
        </w:rPr>
        <w:t>, paraqitet në tabelën e mëposhtme:</w:t>
      </w:r>
    </w:p>
    <w:p w14:paraId="41F27744"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4B860CD8" w14:textId="632EE61F"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w:t>
      </w:r>
      <w:r w:rsidR="00DC0AAE" w:rsidRPr="004F2AC3">
        <w:rPr>
          <w:rFonts w:ascii="Garamond" w:hAnsi="Garamond" w:cs="Times New Roman"/>
          <w:b/>
          <w:color w:val="000000" w:themeColor="text1"/>
          <w:sz w:val="24"/>
          <w:szCs w:val="24"/>
        </w:rPr>
        <w:t xml:space="preserve"> </w:t>
      </w:r>
      <w:r w:rsidRPr="004F2AC3">
        <w:rPr>
          <w:rFonts w:ascii="Garamond" w:hAnsi="Garamond" w:cs="Times New Roman"/>
          <w:b/>
          <w:color w:val="000000" w:themeColor="text1"/>
          <w:sz w:val="24"/>
          <w:szCs w:val="24"/>
        </w:rPr>
        <w:t>15</w:t>
      </w:r>
      <w:r w:rsidR="00DC0AAE"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Niveli i përputhshmërisë me </w:t>
      </w:r>
      <w:r w:rsidRPr="004F2AC3">
        <w:rPr>
          <w:rFonts w:ascii="Garamond" w:hAnsi="Garamond" w:cs="Times New Roman"/>
          <w:b/>
          <w:i/>
          <w:color w:val="000000" w:themeColor="text1"/>
          <w:sz w:val="24"/>
          <w:szCs w:val="24"/>
        </w:rPr>
        <w:t>acquis</w:t>
      </w:r>
      <w:r w:rsidRPr="004F2AC3">
        <w:rPr>
          <w:rFonts w:ascii="Garamond" w:hAnsi="Garamond" w:cs="Times New Roman"/>
          <w:b/>
          <w:color w:val="000000" w:themeColor="text1"/>
          <w:sz w:val="24"/>
          <w:szCs w:val="24"/>
        </w:rPr>
        <w:t xml:space="preserve"> për 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8E6071" w:rsidRPr="004F2AC3">
        <w:rPr>
          <w:rFonts w:ascii="Garamond" w:hAnsi="Garamond" w:cs="Times New Roman"/>
          <w:b/>
          <w:color w:val="000000" w:themeColor="text1"/>
          <w:sz w:val="24"/>
          <w:szCs w:val="24"/>
        </w:rPr>
        <w:t>sektoriale</w:t>
      </w:r>
      <w:r w:rsidR="00D32864" w:rsidRPr="004F2AC3">
        <w:rPr>
          <w:rFonts w:ascii="Garamond" w:hAnsi="Garamond" w:cs="Times New Roman"/>
          <w:b/>
          <w:color w:val="000000" w:themeColor="text1"/>
          <w:sz w:val="24"/>
          <w:szCs w:val="24"/>
        </w:rPr>
        <w:t>”</w:t>
      </w:r>
    </w:p>
    <w:tbl>
      <w:tblPr>
        <w:tblStyle w:val="ListTable3-Accent112"/>
        <w:tblW w:w="0" w:type="auto"/>
        <w:tblLook w:val="04A0" w:firstRow="1" w:lastRow="0" w:firstColumn="1" w:lastColumn="0" w:noHBand="0" w:noVBand="1"/>
      </w:tblPr>
      <w:tblGrid>
        <w:gridCol w:w="7083"/>
        <w:gridCol w:w="1933"/>
      </w:tblGrid>
      <w:tr w:rsidR="000F566F" w:rsidRPr="004F2AC3" w14:paraId="21FE9EB0" w14:textId="77777777" w:rsidTr="00B66B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83" w:type="dxa"/>
          </w:tcPr>
          <w:p w14:paraId="70A79940" w14:textId="77777777" w:rsidR="000F566F" w:rsidRPr="004F2AC3" w:rsidRDefault="000F566F" w:rsidP="00CF4B3F">
            <w:pPr>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Tema/aktiviteti</w:t>
            </w:r>
          </w:p>
        </w:tc>
        <w:tc>
          <w:tcPr>
            <w:tcW w:w="1933" w:type="dxa"/>
          </w:tcPr>
          <w:p w14:paraId="68AF23D5" w14:textId="77777777" w:rsidR="000F566F" w:rsidRPr="004F2AC3" w:rsidRDefault="000F566F"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Niveli i përputhshmërisë</w:t>
            </w:r>
          </w:p>
        </w:tc>
      </w:tr>
      <w:tr w:rsidR="000F566F" w:rsidRPr="004F2AC3" w14:paraId="407985F7"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401A8687" w14:textId="760C72B9"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 Statistikat dhe </w:t>
            </w:r>
            <w:r w:rsidR="008E6071" w:rsidRPr="004F2AC3">
              <w:rPr>
                <w:rFonts w:ascii="Garamond" w:hAnsi="Garamond" w:cs="Times New Roman"/>
                <w:b w:val="0"/>
                <w:color w:val="000000" w:themeColor="text1"/>
                <w:sz w:val="20"/>
                <w:szCs w:val="20"/>
                <w:lang w:val="sq-AL"/>
              </w:rPr>
              <w:t>llogaritë e pyjeve</w:t>
            </w:r>
          </w:p>
        </w:tc>
        <w:tc>
          <w:tcPr>
            <w:tcW w:w="1933" w:type="dxa"/>
          </w:tcPr>
          <w:p w14:paraId="54A7B28C"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ulët</w:t>
            </w:r>
          </w:p>
        </w:tc>
      </w:tr>
      <w:tr w:rsidR="000F566F" w:rsidRPr="004F2AC3" w14:paraId="14FBF0C4"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11153E28" w14:textId="00966ABA"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2. Statistikat e </w:t>
            </w:r>
            <w:r w:rsidR="008E6071" w:rsidRPr="004F2AC3">
              <w:rPr>
                <w:rFonts w:ascii="Garamond" w:hAnsi="Garamond" w:cs="Times New Roman"/>
                <w:b w:val="0"/>
                <w:color w:val="000000" w:themeColor="text1"/>
                <w:sz w:val="20"/>
                <w:szCs w:val="20"/>
                <w:lang w:val="sq-AL"/>
              </w:rPr>
              <w:t>produkteve bimore</w:t>
            </w:r>
          </w:p>
        </w:tc>
        <w:tc>
          <w:tcPr>
            <w:tcW w:w="1933" w:type="dxa"/>
          </w:tcPr>
          <w:p w14:paraId="76FE4DCF"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36C4109A"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20505EB4" w14:textId="603F2565"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3. Statistikat e </w:t>
            </w:r>
            <w:r w:rsidR="008E6071" w:rsidRPr="004F2AC3">
              <w:rPr>
                <w:rFonts w:ascii="Garamond" w:hAnsi="Garamond" w:cs="Times New Roman"/>
                <w:b w:val="0"/>
                <w:color w:val="000000" w:themeColor="text1"/>
                <w:sz w:val="20"/>
                <w:szCs w:val="20"/>
                <w:lang w:val="sq-AL"/>
              </w:rPr>
              <w:t xml:space="preserve">blegtorisë, mishit dhe vezëve </w:t>
            </w:r>
          </w:p>
        </w:tc>
        <w:tc>
          <w:tcPr>
            <w:tcW w:w="1933" w:type="dxa"/>
          </w:tcPr>
          <w:p w14:paraId="464DEE84"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ulët</w:t>
            </w:r>
          </w:p>
        </w:tc>
      </w:tr>
      <w:tr w:rsidR="000F566F" w:rsidRPr="004F2AC3" w14:paraId="7E4B3719"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1ABDA4D6" w14:textId="0B77BFF2"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4. Statistikat e </w:t>
            </w:r>
            <w:r w:rsidR="008E6071" w:rsidRPr="004F2AC3">
              <w:rPr>
                <w:rFonts w:ascii="Garamond" w:hAnsi="Garamond" w:cs="Times New Roman"/>
                <w:b w:val="0"/>
                <w:color w:val="000000" w:themeColor="text1"/>
                <w:sz w:val="20"/>
                <w:szCs w:val="20"/>
                <w:lang w:val="sq-AL"/>
              </w:rPr>
              <w:t xml:space="preserve">qumështit dhe nënprodukteve </w:t>
            </w:r>
            <w:r w:rsidRPr="004F2AC3">
              <w:rPr>
                <w:rFonts w:ascii="Garamond" w:hAnsi="Garamond" w:cs="Times New Roman"/>
                <w:b w:val="0"/>
                <w:color w:val="000000" w:themeColor="text1"/>
                <w:sz w:val="20"/>
                <w:szCs w:val="20"/>
                <w:lang w:val="sq-AL"/>
              </w:rPr>
              <w:t xml:space="preserve">të tij </w:t>
            </w:r>
          </w:p>
        </w:tc>
        <w:tc>
          <w:tcPr>
            <w:tcW w:w="1933" w:type="dxa"/>
          </w:tcPr>
          <w:p w14:paraId="786964C1"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ulët</w:t>
            </w:r>
          </w:p>
        </w:tc>
      </w:tr>
      <w:tr w:rsidR="000F566F" w:rsidRPr="004F2AC3" w14:paraId="51001C1D"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268DA502" w14:textId="7C1A7F4E"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5. Llogaritë dhe </w:t>
            </w:r>
            <w:r w:rsidR="008E6071" w:rsidRPr="004F2AC3">
              <w:rPr>
                <w:rFonts w:ascii="Garamond" w:hAnsi="Garamond" w:cs="Times New Roman"/>
                <w:b w:val="0"/>
                <w:color w:val="000000" w:themeColor="text1"/>
                <w:sz w:val="20"/>
                <w:szCs w:val="20"/>
                <w:lang w:val="sq-AL"/>
              </w:rPr>
              <w:t>çmimet në bujqësi</w:t>
            </w:r>
          </w:p>
        </w:tc>
        <w:tc>
          <w:tcPr>
            <w:tcW w:w="1933" w:type="dxa"/>
          </w:tcPr>
          <w:p w14:paraId="22FFF8FF"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ulët</w:t>
            </w:r>
          </w:p>
        </w:tc>
      </w:tr>
      <w:tr w:rsidR="000F566F" w:rsidRPr="004F2AC3" w14:paraId="7F2BA486"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0C435756" w14:textId="1B6B4741"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6. Statistikat e </w:t>
            </w:r>
            <w:r w:rsidR="008E6071" w:rsidRPr="004F2AC3">
              <w:rPr>
                <w:rFonts w:ascii="Garamond" w:hAnsi="Garamond" w:cs="Times New Roman"/>
                <w:b w:val="0"/>
                <w:color w:val="000000" w:themeColor="text1"/>
                <w:sz w:val="20"/>
                <w:szCs w:val="20"/>
                <w:lang w:val="sq-AL"/>
              </w:rPr>
              <w:t xml:space="preserve">peshkimit </w:t>
            </w:r>
          </w:p>
        </w:tc>
        <w:tc>
          <w:tcPr>
            <w:tcW w:w="1933" w:type="dxa"/>
          </w:tcPr>
          <w:p w14:paraId="0E7A26B5"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lartë</w:t>
            </w:r>
          </w:p>
        </w:tc>
      </w:tr>
      <w:tr w:rsidR="000F566F" w:rsidRPr="004F2AC3" w14:paraId="20C2026B"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4853A06A" w14:textId="53AA1BA8"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7. Statistikat e </w:t>
            </w:r>
            <w:r w:rsidR="008E6071" w:rsidRPr="004F2AC3">
              <w:rPr>
                <w:rFonts w:ascii="Garamond" w:hAnsi="Garamond" w:cs="Times New Roman"/>
                <w:b w:val="0"/>
                <w:color w:val="000000" w:themeColor="text1"/>
                <w:sz w:val="20"/>
                <w:szCs w:val="20"/>
                <w:lang w:val="sq-AL"/>
              </w:rPr>
              <w:t>prodhimeve organike në bujqësi</w:t>
            </w:r>
          </w:p>
        </w:tc>
        <w:tc>
          <w:tcPr>
            <w:tcW w:w="1933" w:type="dxa"/>
          </w:tcPr>
          <w:p w14:paraId="4B3DE689"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068F6C8C"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4DE384E2" w14:textId="170FAFCD"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8. Statistikat e </w:t>
            </w:r>
            <w:r w:rsidR="008E6071" w:rsidRPr="004F2AC3">
              <w:rPr>
                <w:rFonts w:ascii="Garamond" w:hAnsi="Garamond" w:cs="Times New Roman"/>
                <w:b w:val="0"/>
                <w:color w:val="000000" w:themeColor="text1"/>
                <w:sz w:val="20"/>
                <w:szCs w:val="20"/>
                <w:lang w:val="sq-AL"/>
              </w:rPr>
              <w:t>agromjedisit</w:t>
            </w:r>
          </w:p>
        </w:tc>
        <w:tc>
          <w:tcPr>
            <w:tcW w:w="1933" w:type="dxa"/>
          </w:tcPr>
          <w:p w14:paraId="2C6DACEB"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ulët</w:t>
            </w:r>
          </w:p>
        </w:tc>
      </w:tr>
      <w:tr w:rsidR="000F566F" w:rsidRPr="004F2AC3" w14:paraId="6AD6953F"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4743DAAD" w14:textId="5879C9D5"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9. Statistikat e </w:t>
            </w:r>
            <w:r w:rsidR="008E6071" w:rsidRPr="004F2AC3">
              <w:rPr>
                <w:rFonts w:ascii="Garamond" w:hAnsi="Garamond" w:cs="Times New Roman"/>
                <w:b w:val="0"/>
                <w:color w:val="000000" w:themeColor="text1"/>
                <w:sz w:val="20"/>
                <w:szCs w:val="20"/>
                <w:lang w:val="sq-AL"/>
              </w:rPr>
              <w:t>energ</w:t>
            </w:r>
            <w:r w:rsidRPr="004F2AC3">
              <w:rPr>
                <w:rFonts w:ascii="Garamond" w:hAnsi="Garamond" w:cs="Times New Roman"/>
                <w:b w:val="0"/>
                <w:color w:val="000000" w:themeColor="text1"/>
                <w:sz w:val="20"/>
                <w:szCs w:val="20"/>
                <w:lang w:val="sq-AL"/>
              </w:rPr>
              <w:t xml:space="preserve">jisë </w:t>
            </w:r>
            <w:r w:rsidR="00DC0AAE" w:rsidRPr="004F2AC3">
              <w:rPr>
                <w:rFonts w:ascii="Garamond" w:hAnsi="Garamond" w:cs="Times New Roman"/>
                <w:b w:val="0"/>
                <w:color w:val="000000" w:themeColor="text1"/>
                <w:sz w:val="20"/>
                <w:szCs w:val="20"/>
                <w:lang w:val="sq-AL"/>
              </w:rPr>
              <w:t>–</w:t>
            </w:r>
            <w:r w:rsidRPr="004F2AC3">
              <w:rPr>
                <w:rFonts w:ascii="Garamond" w:hAnsi="Garamond" w:cs="Times New Roman"/>
                <w:b w:val="0"/>
                <w:color w:val="000000" w:themeColor="text1"/>
                <w:sz w:val="20"/>
                <w:szCs w:val="20"/>
                <w:lang w:val="sq-AL"/>
              </w:rPr>
              <w:t xml:space="preserve"> Prodhimi</w:t>
            </w:r>
          </w:p>
        </w:tc>
        <w:tc>
          <w:tcPr>
            <w:tcW w:w="1933" w:type="dxa"/>
          </w:tcPr>
          <w:p w14:paraId="1128F1F2"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plotë</w:t>
            </w:r>
          </w:p>
        </w:tc>
      </w:tr>
      <w:tr w:rsidR="000F566F" w:rsidRPr="004F2AC3" w14:paraId="384D4F0C"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452884E7" w14:textId="1BE56888"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10. Statistikat e </w:t>
            </w:r>
            <w:r w:rsidR="008E6071" w:rsidRPr="004F2AC3">
              <w:rPr>
                <w:rFonts w:ascii="Garamond" w:hAnsi="Garamond" w:cs="Times New Roman"/>
                <w:b w:val="0"/>
                <w:color w:val="000000" w:themeColor="text1"/>
                <w:sz w:val="20"/>
                <w:szCs w:val="20"/>
                <w:lang w:val="sq-AL"/>
              </w:rPr>
              <w:t xml:space="preserve">energjisë </w:t>
            </w:r>
            <w:r w:rsidRPr="004F2AC3">
              <w:rPr>
                <w:rFonts w:ascii="Garamond" w:hAnsi="Garamond" w:cs="Times New Roman"/>
                <w:b w:val="0"/>
                <w:color w:val="000000" w:themeColor="text1"/>
                <w:sz w:val="20"/>
                <w:szCs w:val="20"/>
                <w:lang w:val="sq-AL"/>
              </w:rPr>
              <w:t xml:space="preserve">– Metodologjia dhe </w:t>
            </w:r>
            <w:r w:rsidR="008E6071" w:rsidRPr="004F2AC3">
              <w:rPr>
                <w:rFonts w:ascii="Garamond" w:hAnsi="Garamond" w:cs="Times New Roman"/>
                <w:b w:val="0"/>
                <w:color w:val="000000" w:themeColor="text1"/>
                <w:sz w:val="20"/>
                <w:szCs w:val="20"/>
                <w:lang w:val="sq-AL"/>
              </w:rPr>
              <w:t>zhvillimet</w:t>
            </w:r>
          </w:p>
        </w:tc>
        <w:tc>
          <w:tcPr>
            <w:tcW w:w="1933" w:type="dxa"/>
          </w:tcPr>
          <w:p w14:paraId="3E7F64DD"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1228F023"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08DE5442" w14:textId="77777777" w:rsidR="000F566F" w:rsidRPr="004F2AC3" w:rsidRDefault="000F566F" w:rsidP="00CF4B3F">
            <w:pPr>
              <w:rPr>
                <w:rFonts w:ascii="Garamond" w:hAnsi="Garamond" w:cs="Times New Roman"/>
                <w:b w:val="0"/>
                <w:color w:val="000000" w:themeColor="text1"/>
                <w:sz w:val="20"/>
                <w:szCs w:val="20"/>
                <w:highlight w:val="yellow"/>
                <w:lang w:val="sq-AL"/>
              </w:rPr>
            </w:pPr>
            <w:r w:rsidRPr="004F2AC3">
              <w:rPr>
                <w:rFonts w:ascii="Garamond" w:hAnsi="Garamond" w:cs="Times New Roman"/>
                <w:b w:val="0"/>
                <w:color w:val="000000" w:themeColor="text1"/>
                <w:sz w:val="20"/>
                <w:szCs w:val="20"/>
                <w:lang w:val="sq-AL"/>
              </w:rPr>
              <w:t>11. Statistikat e Transportit Rrugor të Mallrave</w:t>
            </w:r>
          </w:p>
        </w:tc>
        <w:tc>
          <w:tcPr>
            <w:tcW w:w="1933" w:type="dxa"/>
          </w:tcPr>
          <w:p w14:paraId="545313BC"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papërputhshëm</w:t>
            </w:r>
          </w:p>
        </w:tc>
      </w:tr>
      <w:tr w:rsidR="000F566F" w:rsidRPr="004F2AC3" w14:paraId="4602BD65"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47912437" w14:textId="77777777"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12. Statistikat e Transportit Hekurudhor</w:t>
            </w:r>
          </w:p>
        </w:tc>
        <w:tc>
          <w:tcPr>
            <w:tcW w:w="1933" w:type="dxa"/>
          </w:tcPr>
          <w:p w14:paraId="26271FFC"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papërputhshëm</w:t>
            </w:r>
          </w:p>
        </w:tc>
      </w:tr>
      <w:tr w:rsidR="000F566F" w:rsidRPr="004F2AC3" w14:paraId="04EBA6FF"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7228A407" w14:textId="77777777"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13. Statistikat e Transportit Detar</w:t>
            </w:r>
          </w:p>
        </w:tc>
        <w:tc>
          <w:tcPr>
            <w:tcW w:w="1933" w:type="dxa"/>
          </w:tcPr>
          <w:p w14:paraId="1C29A6AB"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papërputhshëm</w:t>
            </w:r>
          </w:p>
        </w:tc>
      </w:tr>
      <w:tr w:rsidR="000F566F" w:rsidRPr="004F2AC3" w14:paraId="4F987A30"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5F7232F1" w14:textId="77777777"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14. Statistikat e Transportit Ajror</w:t>
            </w:r>
          </w:p>
        </w:tc>
        <w:tc>
          <w:tcPr>
            <w:tcW w:w="1933" w:type="dxa"/>
          </w:tcPr>
          <w:p w14:paraId="3B192B22"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papërputhshëm</w:t>
            </w:r>
          </w:p>
        </w:tc>
      </w:tr>
      <w:tr w:rsidR="000F566F" w:rsidRPr="004F2AC3" w14:paraId="18752B50"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27945E2D" w14:textId="5E893657"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15. Statistikat e </w:t>
            </w:r>
            <w:r w:rsidR="008E6071" w:rsidRPr="004F2AC3">
              <w:rPr>
                <w:rFonts w:ascii="Garamond" w:hAnsi="Garamond" w:cs="Times New Roman"/>
                <w:b w:val="0"/>
                <w:color w:val="000000" w:themeColor="text1"/>
                <w:sz w:val="20"/>
                <w:szCs w:val="20"/>
                <w:lang w:val="sq-AL"/>
              </w:rPr>
              <w:t xml:space="preserve">transportit </w:t>
            </w:r>
            <w:r w:rsidRPr="004F2AC3">
              <w:rPr>
                <w:rFonts w:ascii="Garamond" w:hAnsi="Garamond" w:cs="Times New Roman"/>
                <w:b w:val="0"/>
                <w:color w:val="000000" w:themeColor="text1"/>
                <w:sz w:val="20"/>
                <w:szCs w:val="20"/>
                <w:lang w:val="sq-AL"/>
              </w:rPr>
              <w:t>– Pyetësori i përbashkët Eurostat/ITF/UNECE</w:t>
            </w:r>
          </w:p>
        </w:tc>
        <w:tc>
          <w:tcPr>
            <w:tcW w:w="1933" w:type="dxa"/>
          </w:tcPr>
          <w:p w14:paraId="01EDBCEB"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4BB60EE9" w14:textId="77777777" w:rsidTr="00B66BF4">
        <w:tc>
          <w:tcPr>
            <w:cnfStyle w:val="001000000000" w:firstRow="0" w:lastRow="0" w:firstColumn="1" w:lastColumn="0" w:oddVBand="0" w:evenVBand="0" w:oddHBand="0" w:evenHBand="0" w:firstRowFirstColumn="0" w:firstRowLastColumn="0" w:lastRowFirstColumn="0" w:lastRowLastColumn="0"/>
            <w:tcW w:w="7083" w:type="dxa"/>
          </w:tcPr>
          <w:p w14:paraId="620B486C" w14:textId="4837E4F0"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16. Statistikat e </w:t>
            </w:r>
            <w:r w:rsidR="008E6071" w:rsidRPr="004F2AC3">
              <w:rPr>
                <w:rFonts w:ascii="Garamond" w:hAnsi="Garamond" w:cs="Times New Roman"/>
                <w:b w:val="0"/>
                <w:color w:val="000000" w:themeColor="text1"/>
                <w:sz w:val="20"/>
                <w:szCs w:val="20"/>
                <w:lang w:val="sq-AL"/>
              </w:rPr>
              <w:t xml:space="preserve">transportit </w:t>
            </w:r>
            <w:r w:rsidR="00DC0AAE" w:rsidRPr="004F2AC3">
              <w:rPr>
                <w:rFonts w:ascii="Garamond" w:hAnsi="Garamond" w:cs="Times New Roman"/>
                <w:b w:val="0"/>
                <w:color w:val="000000" w:themeColor="text1"/>
                <w:sz w:val="20"/>
                <w:szCs w:val="20"/>
                <w:lang w:val="sq-AL"/>
              </w:rPr>
              <w:t>–</w:t>
            </w:r>
            <w:r w:rsidRPr="004F2AC3">
              <w:rPr>
                <w:rFonts w:ascii="Garamond" w:hAnsi="Garamond" w:cs="Times New Roman"/>
                <w:b w:val="0"/>
                <w:color w:val="000000" w:themeColor="text1"/>
                <w:sz w:val="20"/>
                <w:szCs w:val="20"/>
                <w:lang w:val="sq-AL"/>
              </w:rPr>
              <w:t xml:space="preserve"> Rajonale</w:t>
            </w:r>
          </w:p>
        </w:tc>
        <w:tc>
          <w:tcPr>
            <w:tcW w:w="1933" w:type="dxa"/>
          </w:tcPr>
          <w:p w14:paraId="65E63617"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lartë</w:t>
            </w:r>
          </w:p>
        </w:tc>
      </w:tr>
      <w:tr w:rsidR="000F566F" w:rsidRPr="004F2AC3" w14:paraId="1EF961EF"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2266D278" w14:textId="77777777" w:rsidR="000F566F" w:rsidRPr="004F2AC3" w:rsidRDefault="000F566F" w:rsidP="00CF4B3F">
            <w:pPr>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17. Statistikat e Turizmit </w:t>
            </w:r>
          </w:p>
        </w:tc>
        <w:tc>
          <w:tcPr>
            <w:tcW w:w="1933" w:type="dxa"/>
          </w:tcPr>
          <w:p w14:paraId="5DA5068E"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r w:rsidRPr="004F2AC3" w:rsidDel="00CB67BA">
              <w:rPr>
                <w:rFonts w:ascii="Garamond" w:hAnsi="Garamond" w:cs="Times New Roman"/>
                <w:color w:val="000000" w:themeColor="text1"/>
                <w:sz w:val="20"/>
                <w:szCs w:val="20"/>
                <w:lang w:val="sq-AL"/>
              </w:rPr>
              <w:t xml:space="preserve"> </w:t>
            </w:r>
          </w:p>
        </w:tc>
      </w:tr>
    </w:tbl>
    <w:p w14:paraId="602EDA53"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007A8D74" w14:textId="4CEA6814"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Agjencitë statistikore përgjegjëse</w:t>
      </w:r>
      <w:r w:rsidRPr="004F2AC3">
        <w:rPr>
          <w:rFonts w:ascii="Garamond" w:hAnsi="Garamond" w:cs="Times New Roman"/>
          <w:color w:val="000000" w:themeColor="text1"/>
          <w:sz w:val="24"/>
          <w:szCs w:val="24"/>
        </w:rPr>
        <w:t>: INSTAT</w:t>
      </w:r>
      <w:r w:rsidR="00DC0AAE"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Banka e Shqipërisë, Agjencia Kombëtare e Burimeve Natyrore.</w:t>
      </w:r>
    </w:p>
    <w:p w14:paraId="789152CF" w14:textId="6D6EF79B"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Në tabelën e mëposhtme (</w:t>
      </w:r>
      <w:r w:rsidR="008E6071" w:rsidRPr="004F2AC3">
        <w:rPr>
          <w:rFonts w:ascii="Garamond" w:hAnsi="Garamond" w:cs="Times New Roman"/>
          <w:color w:val="000000" w:themeColor="text1"/>
          <w:sz w:val="24"/>
          <w:szCs w:val="24"/>
        </w:rPr>
        <w:t xml:space="preserve">tabela </w:t>
      </w:r>
      <w:r w:rsidRPr="004F2AC3">
        <w:rPr>
          <w:rFonts w:ascii="Garamond" w:hAnsi="Garamond" w:cs="Times New Roman"/>
          <w:color w:val="000000" w:themeColor="text1"/>
          <w:sz w:val="24"/>
          <w:szCs w:val="24"/>
        </w:rPr>
        <w:t>nr. 14) paraqitet numri i aktiviteteve të kësaj fushe, për kategoritë: per</w:t>
      </w:r>
      <w:r w:rsidR="00D32864" w:rsidRPr="004F2AC3">
        <w:rPr>
          <w:rFonts w:ascii="Garamond" w:hAnsi="Garamond" w:cs="Times New Roman"/>
          <w:color w:val="000000" w:themeColor="text1"/>
          <w:sz w:val="24"/>
          <w:szCs w:val="24"/>
        </w:rPr>
        <w:t>iodiciteti/burimi i të dhënave/</w:t>
      </w:r>
      <w:r w:rsidRPr="004F2AC3">
        <w:rPr>
          <w:rFonts w:ascii="Garamond" w:hAnsi="Garamond" w:cs="Times New Roman"/>
          <w:color w:val="000000" w:themeColor="text1"/>
          <w:sz w:val="24"/>
          <w:szCs w:val="24"/>
        </w:rPr>
        <w:t>institucioni përgjegjës.</w:t>
      </w:r>
    </w:p>
    <w:p w14:paraId="7A22CDD3" w14:textId="408F9EF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60D37BF2" w14:textId="23254DEB" w:rsidR="008E6071" w:rsidRPr="004F2AC3" w:rsidRDefault="008E6071" w:rsidP="000F566F">
      <w:pPr>
        <w:spacing w:after="0" w:line="240" w:lineRule="auto"/>
        <w:ind w:firstLine="284"/>
        <w:jc w:val="both"/>
        <w:rPr>
          <w:rFonts w:ascii="Garamond" w:hAnsi="Garamond" w:cs="Times New Roman"/>
          <w:color w:val="000000" w:themeColor="text1"/>
          <w:sz w:val="24"/>
          <w:szCs w:val="24"/>
        </w:rPr>
      </w:pPr>
    </w:p>
    <w:p w14:paraId="692B0171" w14:textId="77777777" w:rsidR="008E6071" w:rsidRPr="004F2AC3" w:rsidRDefault="008E6071" w:rsidP="000F566F">
      <w:pPr>
        <w:spacing w:after="0" w:line="240" w:lineRule="auto"/>
        <w:ind w:firstLine="284"/>
        <w:jc w:val="both"/>
        <w:rPr>
          <w:rFonts w:ascii="Garamond" w:hAnsi="Garamond" w:cs="Times New Roman"/>
          <w:color w:val="000000" w:themeColor="text1"/>
          <w:sz w:val="24"/>
          <w:szCs w:val="24"/>
        </w:rPr>
      </w:pPr>
    </w:p>
    <w:p w14:paraId="243F2259" w14:textId="0BDDA2FF"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16</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Përmbledhje e numrit të aktiviteteve për </w:t>
      </w:r>
      <w:r w:rsidR="00D32864" w:rsidRPr="004F2AC3">
        <w:rPr>
          <w:rFonts w:ascii="Garamond" w:hAnsi="Garamond" w:cs="Times New Roman"/>
          <w:b/>
          <w:color w:val="000000" w:themeColor="text1"/>
          <w:sz w:val="24"/>
          <w:szCs w:val="24"/>
        </w:rPr>
        <w:t>f</w:t>
      </w:r>
      <w:r w:rsidRPr="004F2AC3">
        <w:rPr>
          <w:rFonts w:ascii="Garamond" w:hAnsi="Garamond" w:cs="Times New Roman"/>
          <w:b/>
          <w:color w:val="000000" w:themeColor="text1"/>
          <w:sz w:val="24"/>
          <w:szCs w:val="24"/>
        </w:rPr>
        <w:t xml:space="preserve">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8E6071" w:rsidRPr="004F2AC3">
        <w:rPr>
          <w:rFonts w:ascii="Garamond" w:hAnsi="Garamond" w:cs="Times New Roman"/>
          <w:b/>
          <w:color w:val="000000" w:themeColor="text1"/>
          <w:sz w:val="24"/>
          <w:szCs w:val="24"/>
        </w:rPr>
        <w:t>sektoriale</w:t>
      </w:r>
      <w:r w:rsidR="00D32864" w:rsidRPr="004F2AC3">
        <w:rPr>
          <w:rFonts w:ascii="Garamond" w:hAnsi="Garamond" w:cs="Times New Roman"/>
          <w:b/>
          <w:color w:val="000000" w:themeColor="text1"/>
          <w:sz w:val="24"/>
          <w:szCs w:val="24"/>
        </w:rPr>
        <w:t>”</w:t>
      </w:r>
    </w:p>
    <w:tbl>
      <w:tblPr>
        <w:tblStyle w:val="LightList-Accent113"/>
        <w:tblW w:w="0" w:type="auto"/>
        <w:tblLook w:val="04A0" w:firstRow="1" w:lastRow="0" w:firstColumn="1" w:lastColumn="0" w:noHBand="0" w:noVBand="1"/>
      </w:tblPr>
      <w:tblGrid>
        <w:gridCol w:w="2594"/>
        <w:gridCol w:w="1427"/>
        <w:gridCol w:w="1724"/>
        <w:gridCol w:w="1629"/>
        <w:gridCol w:w="2208"/>
      </w:tblGrid>
      <w:tr w:rsidR="000F566F" w:rsidRPr="004F2AC3" w14:paraId="5767D7E3" w14:textId="77777777" w:rsidTr="00B66BF4">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tcPr>
          <w:p w14:paraId="25156C34" w14:textId="1B274BF9" w:rsidR="000F566F" w:rsidRPr="004F2AC3" w:rsidRDefault="000F566F" w:rsidP="00CF4B3F">
            <w:pPr>
              <w:tabs>
                <w:tab w:val="right" w:pos="2243"/>
              </w:tabs>
              <w:rPr>
                <w:rFonts w:ascii="Garamond" w:hAnsi="Garamond"/>
                <w:color w:val="000000" w:themeColor="text1"/>
                <w:szCs w:val="24"/>
                <w:lang w:val="sq-AL"/>
              </w:rPr>
            </w:pPr>
            <w:r w:rsidRPr="004F2AC3">
              <w:rPr>
                <w:rFonts w:ascii="Garamond" w:hAnsi="Garamond"/>
                <w:color w:val="000000" w:themeColor="text1"/>
                <w:szCs w:val="24"/>
                <w:lang w:val="sq-AL"/>
              </w:rPr>
              <w:t xml:space="preserve">3. Statistikat </w:t>
            </w:r>
            <w:r w:rsidR="00D32864" w:rsidRPr="004F2AC3">
              <w:rPr>
                <w:rFonts w:ascii="Garamond" w:hAnsi="Garamond"/>
                <w:color w:val="000000" w:themeColor="text1"/>
                <w:szCs w:val="24"/>
                <w:lang w:val="sq-AL"/>
              </w:rPr>
              <w:t>sektoriale</w:t>
            </w:r>
          </w:p>
        </w:tc>
        <w:tc>
          <w:tcPr>
            <w:tcW w:w="0" w:type="auto"/>
          </w:tcPr>
          <w:p w14:paraId="41E4BF63" w14:textId="77777777" w:rsidR="000F566F" w:rsidRPr="004F2AC3" w:rsidRDefault="000F566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Nr. i aktiviteteve</w:t>
            </w:r>
          </w:p>
          <w:p w14:paraId="7F8F1127" w14:textId="37FCDF1B" w:rsidR="000F566F" w:rsidRPr="004F2AC3" w:rsidRDefault="00D32864"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 xml:space="preserve">statistikore </w:t>
            </w:r>
            <w:r w:rsidR="000F566F" w:rsidRPr="004F2AC3">
              <w:rPr>
                <w:rFonts w:ascii="Garamond" w:hAnsi="Garamond"/>
                <w:color w:val="000000" w:themeColor="text1"/>
                <w:szCs w:val="24"/>
                <w:lang w:val="sq-AL"/>
              </w:rPr>
              <w:t>(AS)</w:t>
            </w:r>
          </w:p>
        </w:tc>
        <w:tc>
          <w:tcPr>
            <w:tcW w:w="0" w:type="auto"/>
          </w:tcPr>
          <w:p w14:paraId="2E91FD5B" w14:textId="4C74CC61" w:rsidR="000F566F" w:rsidRPr="004F2AC3" w:rsidRDefault="00D32864"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Nr. AS</w:t>
            </w:r>
            <w:r w:rsidR="000F566F" w:rsidRPr="004F2AC3">
              <w:rPr>
                <w:rFonts w:ascii="Garamond" w:hAnsi="Garamond"/>
                <w:color w:val="000000" w:themeColor="text1"/>
                <w:szCs w:val="24"/>
                <w:lang w:val="sq-AL"/>
              </w:rPr>
              <w:t xml:space="preserve">/ </w:t>
            </w:r>
            <w:r w:rsidRPr="004F2AC3">
              <w:rPr>
                <w:rFonts w:ascii="Garamond" w:hAnsi="Garamond"/>
                <w:color w:val="000000" w:themeColor="text1"/>
                <w:szCs w:val="24"/>
                <w:lang w:val="sq-AL"/>
              </w:rPr>
              <w:t xml:space="preserve">periodiciteti </w:t>
            </w:r>
            <w:r w:rsidR="000F566F" w:rsidRPr="004F2AC3">
              <w:rPr>
                <w:rFonts w:ascii="Garamond" w:hAnsi="Garamond"/>
                <w:color w:val="000000" w:themeColor="text1"/>
                <w:szCs w:val="24"/>
                <w:lang w:val="sq-AL"/>
              </w:rPr>
              <w:t>*</w:t>
            </w:r>
          </w:p>
          <w:p w14:paraId="31B14D06" w14:textId="77777777" w:rsidR="000F566F" w:rsidRPr="004F2AC3" w:rsidRDefault="000F566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p>
        </w:tc>
        <w:tc>
          <w:tcPr>
            <w:tcW w:w="0" w:type="auto"/>
          </w:tcPr>
          <w:p w14:paraId="79E4A529" w14:textId="09006C9D" w:rsidR="000F566F" w:rsidRPr="004F2AC3" w:rsidRDefault="00D32864"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Nr. AS</w:t>
            </w:r>
            <w:r w:rsidR="000F566F" w:rsidRPr="004F2AC3">
              <w:rPr>
                <w:rFonts w:ascii="Garamond" w:hAnsi="Garamond"/>
                <w:color w:val="000000" w:themeColor="text1"/>
                <w:szCs w:val="24"/>
                <w:lang w:val="sq-AL"/>
              </w:rPr>
              <w:t xml:space="preserve">/ </w:t>
            </w:r>
          </w:p>
          <w:p w14:paraId="53A108C2" w14:textId="0F36D1F0" w:rsidR="000F566F" w:rsidRPr="004F2AC3" w:rsidRDefault="00D32864"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 xml:space="preserve">burimi </w:t>
            </w:r>
            <w:r w:rsidR="000F566F" w:rsidRPr="004F2AC3">
              <w:rPr>
                <w:rFonts w:ascii="Garamond" w:hAnsi="Garamond"/>
                <w:color w:val="000000" w:themeColor="text1"/>
                <w:szCs w:val="24"/>
                <w:lang w:val="sq-AL"/>
              </w:rPr>
              <w:t>i të dhënave**</w:t>
            </w:r>
          </w:p>
          <w:p w14:paraId="63D9E5D9" w14:textId="77777777" w:rsidR="000F566F" w:rsidRPr="004F2AC3" w:rsidRDefault="000F566F"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p>
        </w:tc>
        <w:tc>
          <w:tcPr>
            <w:tcW w:w="0" w:type="auto"/>
          </w:tcPr>
          <w:p w14:paraId="39539AD6" w14:textId="6CE38FA0" w:rsidR="000F566F" w:rsidRPr="004F2AC3" w:rsidRDefault="00D32864" w:rsidP="00CF4B3F">
            <w:pP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 xml:space="preserve">Nr. AS/institucioni </w:t>
            </w:r>
            <w:r w:rsidR="000F566F" w:rsidRPr="004F2AC3">
              <w:rPr>
                <w:rFonts w:ascii="Garamond" w:hAnsi="Garamond"/>
                <w:color w:val="000000" w:themeColor="text1"/>
                <w:szCs w:val="24"/>
                <w:lang w:val="sq-AL"/>
              </w:rPr>
              <w:t>përgjegjës</w:t>
            </w:r>
          </w:p>
        </w:tc>
      </w:tr>
      <w:tr w:rsidR="000F566F" w:rsidRPr="004F2AC3" w14:paraId="2F8563CC" w14:textId="77777777" w:rsidTr="00B66B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D1F8A1" w14:textId="2A14EF41"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 xml:space="preserve">3.1 Statistikat e </w:t>
            </w:r>
            <w:r w:rsidR="008E6071" w:rsidRPr="004F2AC3">
              <w:rPr>
                <w:rFonts w:ascii="Garamond" w:hAnsi="Garamond"/>
                <w:b w:val="0"/>
                <w:color w:val="000000" w:themeColor="text1"/>
                <w:szCs w:val="24"/>
                <w:lang w:val="sq-AL"/>
              </w:rPr>
              <w:t>bujqësisë</w:t>
            </w:r>
            <w:r w:rsidRPr="004F2AC3">
              <w:rPr>
                <w:rFonts w:ascii="Garamond" w:hAnsi="Garamond"/>
                <w:b w:val="0"/>
                <w:color w:val="000000" w:themeColor="text1"/>
                <w:szCs w:val="24"/>
                <w:lang w:val="sq-AL"/>
              </w:rPr>
              <w:t xml:space="preserve">, </w:t>
            </w:r>
            <w:r w:rsidR="008E6071" w:rsidRPr="004F2AC3">
              <w:rPr>
                <w:rFonts w:ascii="Garamond" w:hAnsi="Garamond"/>
                <w:b w:val="0"/>
                <w:color w:val="000000" w:themeColor="text1"/>
                <w:szCs w:val="24"/>
                <w:lang w:val="sq-AL"/>
              </w:rPr>
              <w:t xml:space="preserve">peshkimit </w:t>
            </w:r>
            <w:r w:rsidRPr="004F2AC3">
              <w:rPr>
                <w:rFonts w:ascii="Garamond" w:hAnsi="Garamond"/>
                <w:b w:val="0"/>
                <w:color w:val="000000" w:themeColor="text1"/>
                <w:szCs w:val="24"/>
                <w:lang w:val="sq-AL"/>
              </w:rPr>
              <w:t xml:space="preserve">dhe </w:t>
            </w:r>
            <w:r w:rsidR="008E6071" w:rsidRPr="004F2AC3">
              <w:rPr>
                <w:rFonts w:ascii="Garamond" w:hAnsi="Garamond"/>
                <w:b w:val="0"/>
                <w:color w:val="000000" w:themeColor="text1"/>
                <w:szCs w:val="24"/>
                <w:lang w:val="sq-AL"/>
              </w:rPr>
              <w:t>pyjeve</w:t>
            </w:r>
          </w:p>
        </w:tc>
        <w:tc>
          <w:tcPr>
            <w:tcW w:w="0" w:type="auto"/>
            <w:vAlign w:val="center"/>
          </w:tcPr>
          <w:p w14:paraId="233C182C"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20</w:t>
            </w:r>
          </w:p>
        </w:tc>
        <w:tc>
          <w:tcPr>
            <w:tcW w:w="0" w:type="auto"/>
            <w:vAlign w:val="center"/>
          </w:tcPr>
          <w:p w14:paraId="53782819" w14:textId="27B79CCC"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5</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M</w:t>
            </w:r>
          </w:p>
          <w:p w14:paraId="43A7384C" w14:textId="6BBA0A9F"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w:t>
            </w:r>
          </w:p>
          <w:p w14:paraId="0127A710" w14:textId="0F39B6A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13</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V</w:t>
            </w:r>
          </w:p>
          <w:p w14:paraId="6940B00E" w14:textId="3DCE9BC8"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10V</w:t>
            </w:r>
          </w:p>
        </w:tc>
        <w:tc>
          <w:tcPr>
            <w:tcW w:w="0" w:type="auto"/>
            <w:vAlign w:val="center"/>
          </w:tcPr>
          <w:p w14:paraId="71AEFF79"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9 VS</w:t>
            </w:r>
          </w:p>
          <w:p w14:paraId="618BA9F5"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10 BA</w:t>
            </w:r>
          </w:p>
          <w:p w14:paraId="46041683"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 Cens</w:t>
            </w:r>
          </w:p>
        </w:tc>
        <w:tc>
          <w:tcPr>
            <w:tcW w:w="0" w:type="auto"/>
            <w:vAlign w:val="center"/>
          </w:tcPr>
          <w:p w14:paraId="25E078C2"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20 INSTAT</w:t>
            </w:r>
          </w:p>
        </w:tc>
      </w:tr>
      <w:tr w:rsidR="000F566F" w:rsidRPr="004F2AC3" w14:paraId="7A52BF41" w14:textId="77777777" w:rsidTr="00B66BF4">
        <w:trPr>
          <w:trHeight w:val="144"/>
        </w:trPr>
        <w:tc>
          <w:tcPr>
            <w:cnfStyle w:val="001000000000" w:firstRow="0" w:lastRow="0" w:firstColumn="1" w:lastColumn="0" w:oddVBand="0" w:evenVBand="0" w:oddHBand="0" w:evenHBand="0" w:firstRowFirstColumn="0" w:firstRowLastColumn="0" w:lastRowFirstColumn="0" w:lastRowLastColumn="0"/>
            <w:tcW w:w="0" w:type="auto"/>
            <w:vAlign w:val="center"/>
          </w:tcPr>
          <w:p w14:paraId="2B52613A" w14:textId="77777777"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3.2 Energjia</w:t>
            </w:r>
          </w:p>
        </w:tc>
        <w:tc>
          <w:tcPr>
            <w:tcW w:w="0" w:type="auto"/>
            <w:vAlign w:val="center"/>
          </w:tcPr>
          <w:p w14:paraId="1268B8ED"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w:t>
            </w:r>
          </w:p>
        </w:tc>
        <w:tc>
          <w:tcPr>
            <w:tcW w:w="0" w:type="auto"/>
            <w:vAlign w:val="center"/>
          </w:tcPr>
          <w:p w14:paraId="568B212E" w14:textId="386F4CD6"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w:t>
            </w:r>
          </w:p>
          <w:p w14:paraId="3284CDAF" w14:textId="4CE730A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V</w:t>
            </w:r>
          </w:p>
        </w:tc>
        <w:tc>
          <w:tcPr>
            <w:tcW w:w="0" w:type="auto"/>
            <w:vAlign w:val="center"/>
          </w:tcPr>
          <w:p w14:paraId="2BD38299"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 BA</w:t>
            </w:r>
          </w:p>
        </w:tc>
        <w:tc>
          <w:tcPr>
            <w:tcW w:w="0" w:type="auto"/>
            <w:vAlign w:val="center"/>
          </w:tcPr>
          <w:p w14:paraId="6C46011E"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 AKBN</w:t>
            </w:r>
          </w:p>
          <w:p w14:paraId="54A5DE6C"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 INSTAT</w:t>
            </w:r>
          </w:p>
        </w:tc>
      </w:tr>
      <w:tr w:rsidR="000F566F" w:rsidRPr="004F2AC3" w14:paraId="77E27F4C" w14:textId="77777777" w:rsidTr="00B66B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8021A4" w14:textId="77777777"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3.3 Transporti</w:t>
            </w:r>
          </w:p>
        </w:tc>
        <w:tc>
          <w:tcPr>
            <w:tcW w:w="0" w:type="auto"/>
            <w:vAlign w:val="center"/>
          </w:tcPr>
          <w:p w14:paraId="75976252"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w:t>
            </w:r>
          </w:p>
        </w:tc>
        <w:tc>
          <w:tcPr>
            <w:tcW w:w="0" w:type="auto"/>
            <w:vAlign w:val="center"/>
          </w:tcPr>
          <w:p w14:paraId="4BA3EA82" w14:textId="46B809B6"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M</w:t>
            </w:r>
          </w:p>
          <w:p w14:paraId="6A686DD7" w14:textId="11433148"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w:t>
            </w:r>
          </w:p>
          <w:p w14:paraId="434AD188" w14:textId="1845197C"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V</w:t>
            </w:r>
          </w:p>
        </w:tc>
        <w:tc>
          <w:tcPr>
            <w:tcW w:w="0" w:type="auto"/>
            <w:vAlign w:val="center"/>
          </w:tcPr>
          <w:p w14:paraId="285534FC"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 VS</w:t>
            </w:r>
          </w:p>
          <w:p w14:paraId="67DE7492"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3 BA</w:t>
            </w:r>
          </w:p>
        </w:tc>
        <w:tc>
          <w:tcPr>
            <w:tcW w:w="0" w:type="auto"/>
            <w:vAlign w:val="center"/>
          </w:tcPr>
          <w:p w14:paraId="5C2AFAC0"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 INSTAT</w:t>
            </w:r>
          </w:p>
        </w:tc>
      </w:tr>
      <w:tr w:rsidR="000F566F" w:rsidRPr="004F2AC3" w14:paraId="0BA37B74" w14:textId="77777777" w:rsidTr="00B66BF4">
        <w:trPr>
          <w:trHeight w:val="144"/>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3A87DC" w14:textId="77777777"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3.4 Turizmi</w:t>
            </w:r>
          </w:p>
        </w:tc>
        <w:tc>
          <w:tcPr>
            <w:tcW w:w="0" w:type="auto"/>
            <w:vAlign w:val="center"/>
          </w:tcPr>
          <w:p w14:paraId="2B7AE980"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7</w:t>
            </w:r>
          </w:p>
        </w:tc>
        <w:tc>
          <w:tcPr>
            <w:tcW w:w="0" w:type="auto"/>
            <w:vAlign w:val="center"/>
          </w:tcPr>
          <w:p w14:paraId="255CA087" w14:textId="2A8AAB80"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M</w:t>
            </w:r>
          </w:p>
          <w:p w14:paraId="6D872A64" w14:textId="606B2A32"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w:t>
            </w:r>
          </w:p>
          <w:p w14:paraId="757225E0"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 – V</w:t>
            </w:r>
          </w:p>
          <w:p w14:paraId="372403C7"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3 – I papërcaktuar</w:t>
            </w:r>
          </w:p>
        </w:tc>
        <w:tc>
          <w:tcPr>
            <w:tcW w:w="0" w:type="auto"/>
            <w:vAlign w:val="center"/>
          </w:tcPr>
          <w:p w14:paraId="7BB1B771"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6 VS</w:t>
            </w:r>
          </w:p>
          <w:p w14:paraId="6BD75532"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 BA</w:t>
            </w:r>
          </w:p>
        </w:tc>
        <w:tc>
          <w:tcPr>
            <w:tcW w:w="0" w:type="auto"/>
            <w:vAlign w:val="center"/>
          </w:tcPr>
          <w:p w14:paraId="3EEC55C7"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7 INSTAT</w:t>
            </w:r>
          </w:p>
        </w:tc>
      </w:tr>
      <w:tr w:rsidR="000F566F" w:rsidRPr="004F2AC3" w14:paraId="5889667B" w14:textId="77777777" w:rsidTr="00B66B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Align w:val="center"/>
          </w:tcPr>
          <w:p w14:paraId="19C3C18C" w14:textId="77777777"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3.5 Tregtia e Jashtme</w:t>
            </w:r>
          </w:p>
        </w:tc>
        <w:tc>
          <w:tcPr>
            <w:tcW w:w="0" w:type="auto"/>
            <w:vAlign w:val="center"/>
          </w:tcPr>
          <w:p w14:paraId="05E4D860"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w:t>
            </w:r>
          </w:p>
        </w:tc>
        <w:tc>
          <w:tcPr>
            <w:tcW w:w="0" w:type="auto"/>
            <w:vAlign w:val="center"/>
          </w:tcPr>
          <w:p w14:paraId="374D9D6A" w14:textId="4CFB17E2"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M</w:t>
            </w:r>
          </w:p>
          <w:p w14:paraId="379CAA60" w14:textId="09E66B95"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w:t>
            </w:r>
          </w:p>
          <w:p w14:paraId="1040E790" w14:textId="609F464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V</w:t>
            </w:r>
          </w:p>
        </w:tc>
        <w:tc>
          <w:tcPr>
            <w:tcW w:w="0" w:type="auto"/>
            <w:vAlign w:val="center"/>
          </w:tcPr>
          <w:p w14:paraId="25004C1E"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 BA</w:t>
            </w:r>
          </w:p>
          <w:p w14:paraId="1774D558"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 VS+BA</w:t>
            </w:r>
          </w:p>
        </w:tc>
        <w:tc>
          <w:tcPr>
            <w:tcW w:w="0" w:type="auto"/>
            <w:vAlign w:val="center"/>
          </w:tcPr>
          <w:p w14:paraId="78295E84"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 INSTAT</w:t>
            </w:r>
          </w:p>
          <w:p w14:paraId="661BEE14"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 BSH</w:t>
            </w:r>
          </w:p>
        </w:tc>
      </w:tr>
      <w:tr w:rsidR="000F566F" w:rsidRPr="004F2AC3" w14:paraId="6DBF5D53" w14:textId="77777777" w:rsidTr="00B66BF4">
        <w:trPr>
          <w:trHeight w:val="144"/>
        </w:trPr>
        <w:tc>
          <w:tcPr>
            <w:cnfStyle w:val="001000000000" w:firstRow="0" w:lastRow="0" w:firstColumn="1" w:lastColumn="0" w:oddVBand="0" w:evenVBand="0" w:oddHBand="0" w:evenHBand="0" w:firstRowFirstColumn="0" w:firstRowLastColumn="0" w:lastRowFirstColumn="0" w:lastRowLastColumn="0"/>
            <w:tcW w:w="0" w:type="auto"/>
            <w:vAlign w:val="center"/>
          </w:tcPr>
          <w:p w14:paraId="2A2D6822" w14:textId="1F5C3A0A"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 xml:space="preserve">3.6 Bilanci i </w:t>
            </w:r>
            <w:r w:rsidR="008E6071" w:rsidRPr="004F2AC3">
              <w:rPr>
                <w:rFonts w:ascii="Garamond" w:hAnsi="Garamond"/>
                <w:b w:val="0"/>
                <w:color w:val="000000" w:themeColor="text1"/>
                <w:szCs w:val="24"/>
                <w:lang w:val="sq-AL"/>
              </w:rPr>
              <w:t>pagesave</w:t>
            </w:r>
          </w:p>
        </w:tc>
        <w:tc>
          <w:tcPr>
            <w:tcW w:w="0" w:type="auto"/>
            <w:vAlign w:val="center"/>
          </w:tcPr>
          <w:p w14:paraId="2B00A5F6"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5</w:t>
            </w:r>
          </w:p>
        </w:tc>
        <w:tc>
          <w:tcPr>
            <w:tcW w:w="0" w:type="auto"/>
            <w:vAlign w:val="center"/>
          </w:tcPr>
          <w:p w14:paraId="52EB9E64" w14:textId="7D50BC90"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M</w:t>
            </w:r>
          </w:p>
          <w:p w14:paraId="34283BDE" w14:textId="2182349C"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3</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w:t>
            </w:r>
          </w:p>
        </w:tc>
        <w:tc>
          <w:tcPr>
            <w:tcW w:w="0" w:type="auto"/>
            <w:vAlign w:val="center"/>
          </w:tcPr>
          <w:p w14:paraId="068D8FD0"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 BA</w:t>
            </w:r>
          </w:p>
          <w:p w14:paraId="7FD2E212"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3 VS+BA</w:t>
            </w:r>
          </w:p>
        </w:tc>
        <w:tc>
          <w:tcPr>
            <w:tcW w:w="0" w:type="auto"/>
            <w:vAlign w:val="center"/>
          </w:tcPr>
          <w:p w14:paraId="5837BFA1"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5 BSH</w:t>
            </w:r>
          </w:p>
        </w:tc>
      </w:tr>
      <w:tr w:rsidR="000F566F" w:rsidRPr="004F2AC3" w14:paraId="2FB4208A" w14:textId="77777777" w:rsidTr="00B66B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6C3130" w14:textId="77777777"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3.7 Çmimet</w:t>
            </w:r>
          </w:p>
        </w:tc>
        <w:tc>
          <w:tcPr>
            <w:tcW w:w="0" w:type="auto"/>
            <w:vAlign w:val="center"/>
          </w:tcPr>
          <w:p w14:paraId="0EA7D7FB"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5</w:t>
            </w:r>
          </w:p>
        </w:tc>
        <w:tc>
          <w:tcPr>
            <w:tcW w:w="0" w:type="auto"/>
            <w:vAlign w:val="center"/>
          </w:tcPr>
          <w:p w14:paraId="58156DFB" w14:textId="4CE4AB6B"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3</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M</w:t>
            </w:r>
          </w:p>
          <w:p w14:paraId="4929200F" w14:textId="2CAF0E64"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w:t>
            </w:r>
          </w:p>
          <w:p w14:paraId="49BFAC2D" w14:textId="09372DA6"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V</w:t>
            </w:r>
          </w:p>
        </w:tc>
        <w:tc>
          <w:tcPr>
            <w:tcW w:w="0" w:type="auto"/>
            <w:vAlign w:val="center"/>
          </w:tcPr>
          <w:p w14:paraId="593D142F"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 VS</w:t>
            </w:r>
          </w:p>
          <w:p w14:paraId="173C471D"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 BA</w:t>
            </w:r>
          </w:p>
        </w:tc>
        <w:tc>
          <w:tcPr>
            <w:tcW w:w="0" w:type="auto"/>
            <w:vAlign w:val="center"/>
          </w:tcPr>
          <w:p w14:paraId="7E80D68F"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5 INSTAT</w:t>
            </w:r>
          </w:p>
        </w:tc>
      </w:tr>
      <w:tr w:rsidR="000F566F" w:rsidRPr="004F2AC3" w14:paraId="45F10E08" w14:textId="77777777" w:rsidTr="00B66BF4">
        <w:trPr>
          <w:trHeight w:val="144"/>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119E3" w14:textId="30C86BA4"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 xml:space="preserve">3.8 Shkenca, </w:t>
            </w:r>
            <w:r w:rsidR="008E6071" w:rsidRPr="004F2AC3">
              <w:rPr>
                <w:rFonts w:ascii="Garamond" w:hAnsi="Garamond"/>
                <w:b w:val="0"/>
                <w:color w:val="000000" w:themeColor="text1"/>
                <w:szCs w:val="24"/>
                <w:lang w:val="sq-AL"/>
              </w:rPr>
              <w:t xml:space="preserve">teknologjia </w:t>
            </w:r>
            <w:r w:rsidRPr="004F2AC3">
              <w:rPr>
                <w:rFonts w:ascii="Garamond" w:hAnsi="Garamond"/>
                <w:b w:val="0"/>
                <w:color w:val="000000" w:themeColor="text1"/>
                <w:szCs w:val="24"/>
                <w:lang w:val="sq-AL"/>
              </w:rPr>
              <w:t xml:space="preserve">dhe </w:t>
            </w:r>
            <w:r w:rsidR="008E6071" w:rsidRPr="004F2AC3">
              <w:rPr>
                <w:rFonts w:ascii="Garamond" w:hAnsi="Garamond"/>
                <w:b w:val="0"/>
                <w:color w:val="000000" w:themeColor="text1"/>
                <w:szCs w:val="24"/>
                <w:lang w:val="sq-AL"/>
              </w:rPr>
              <w:t>inovacioni</w:t>
            </w:r>
          </w:p>
        </w:tc>
        <w:tc>
          <w:tcPr>
            <w:tcW w:w="0" w:type="auto"/>
            <w:vAlign w:val="center"/>
          </w:tcPr>
          <w:p w14:paraId="3E5AE571"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5</w:t>
            </w:r>
          </w:p>
        </w:tc>
        <w:tc>
          <w:tcPr>
            <w:tcW w:w="0" w:type="auto"/>
            <w:vAlign w:val="center"/>
          </w:tcPr>
          <w:p w14:paraId="402100EF" w14:textId="69DF8A88"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3</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V</w:t>
            </w:r>
          </w:p>
          <w:p w14:paraId="4D2DA558" w14:textId="7435986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eastAsia="Meiryo" w:hAnsi="Garamond"/>
                <w:color w:val="000000" w:themeColor="text1"/>
                <w:szCs w:val="24"/>
                <w:lang w:val="sq-AL"/>
              </w:rPr>
            </w:pPr>
            <w:r w:rsidRPr="004F2AC3">
              <w:rPr>
                <w:rFonts w:ascii="Garamond" w:hAnsi="Garamond"/>
                <w:color w:val="000000" w:themeColor="text1"/>
                <w:szCs w:val="24"/>
                <w:lang w:val="sq-AL"/>
              </w:rPr>
              <w:t>2</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2V</w:t>
            </w:r>
          </w:p>
        </w:tc>
        <w:tc>
          <w:tcPr>
            <w:tcW w:w="0" w:type="auto"/>
            <w:vAlign w:val="center"/>
          </w:tcPr>
          <w:p w14:paraId="6B2CF69C"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 VS</w:t>
            </w:r>
          </w:p>
          <w:p w14:paraId="36FDB01D"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 VS+BA</w:t>
            </w:r>
          </w:p>
        </w:tc>
        <w:tc>
          <w:tcPr>
            <w:tcW w:w="0" w:type="auto"/>
            <w:vAlign w:val="center"/>
          </w:tcPr>
          <w:p w14:paraId="3D5A22AD" w14:textId="77777777" w:rsidR="000F566F" w:rsidRPr="004F2AC3" w:rsidRDefault="000F566F" w:rsidP="00CF4B3F">
            <w:pP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5 INSTAT</w:t>
            </w:r>
          </w:p>
        </w:tc>
      </w:tr>
      <w:tr w:rsidR="000F566F" w:rsidRPr="004F2AC3" w14:paraId="2B26A7EC" w14:textId="77777777" w:rsidTr="00B66B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Align w:val="center"/>
          </w:tcPr>
          <w:p w14:paraId="4BB411D0" w14:textId="77777777"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Gjithsej</w:t>
            </w:r>
          </w:p>
        </w:tc>
        <w:tc>
          <w:tcPr>
            <w:tcW w:w="0" w:type="auto"/>
            <w:vAlign w:val="center"/>
          </w:tcPr>
          <w:p w14:paraId="561C2849"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54</w:t>
            </w:r>
          </w:p>
        </w:tc>
        <w:tc>
          <w:tcPr>
            <w:tcW w:w="0" w:type="auto"/>
            <w:vAlign w:val="center"/>
          </w:tcPr>
          <w:p w14:paraId="11425C8D" w14:textId="3F0EC0D1"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14</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M</w:t>
            </w:r>
          </w:p>
          <w:p w14:paraId="39E55382" w14:textId="42BCD2C1"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w:t>
            </w:r>
          </w:p>
          <w:p w14:paraId="2DC1643D" w14:textId="7D1DBC05"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23</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V</w:t>
            </w:r>
          </w:p>
          <w:p w14:paraId="6F2F52F8" w14:textId="6B464D60"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2V</w:t>
            </w:r>
          </w:p>
          <w:p w14:paraId="058EF9FF"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 – 10V</w:t>
            </w:r>
          </w:p>
          <w:p w14:paraId="59194F87"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3 – I papërcaktuar</w:t>
            </w:r>
          </w:p>
        </w:tc>
        <w:tc>
          <w:tcPr>
            <w:tcW w:w="0" w:type="auto"/>
            <w:vAlign w:val="center"/>
          </w:tcPr>
          <w:p w14:paraId="3B0CC81B"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24 VS</w:t>
            </w:r>
          </w:p>
          <w:p w14:paraId="74659A62"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23 BA</w:t>
            </w:r>
          </w:p>
          <w:p w14:paraId="78E094FD"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6 VS+BA</w:t>
            </w:r>
          </w:p>
          <w:p w14:paraId="5AC0A39F"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 Cens</w:t>
            </w:r>
          </w:p>
        </w:tc>
        <w:tc>
          <w:tcPr>
            <w:tcW w:w="0" w:type="auto"/>
            <w:vAlign w:val="center"/>
          </w:tcPr>
          <w:p w14:paraId="2B51F264"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45 INSTAT</w:t>
            </w:r>
          </w:p>
          <w:p w14:paraId="01CCA1D3"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7 BSH</w:t>
            </w:r>
          </w:p>
          <w:p w14:paraId="2268D7AC" w14:textId="77777777" w:rsidR="000F566F" w:rsidRPr="004F2AC3" w:rsidRDefault="000F566F" w:rsidP="00CF4B3F">
            <w:pP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2AKBN</w:t>
            </w:r>
          </w:p>
        </w:tc>
      </w:tr>
    </w:tbl>
    <w:p w14:paraId="0504C954" w14:textId="032417F9"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*M</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mujor; T</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Tremujor; V</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 xml:space="preserve">Vjetor; </w:t>
      </w:r>
    </w:p>
    <w:p w14:paraId="23AC3EA9" w14:textId="7F99771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VS</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 xml:space="preserve">Vrojtim </w:t>
      </w:r>
      <w:r w:rsidR="008E6071" w:rsidRPr="004F2AC3">
        <w:rPr>
          <w:rFonts w:ascii="Garamond" w:hAnsi="Garamond" w:cs="Times New Roman"/>
          <w:color w:val="000000" w:themeColor="text1"/>
          <w:sz w:val="24"/>
          <w:szCs w:val="24"/>
        </w:rPr>
        <w:t>statistikor</w:t>
      </w:r>
      <w:r w:rsidRPr="004F2AC3">
        <w:rPr>
          <w:rFonts w:ascii="Garamond" w:hAnsi="Garamond" w:cs="Times New Roman"/>
          <w:color w:val="000000" w:themeColor="text1"/>
          <w:sz w:val="24"/>
          <w:szCs w:val="24"/>
        </w:rPr>
        <w:t>; BA</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 xml:space="preserve">Burim </w:t>
      </w:r>
      <w:r w:rsidR="008E6071" w:rsidRPr="004F2AC3">
        <w:rPr>
          <w:rFonts w:ascii="Garamond" w:hAnsi="Garamond" w:cs="Times New Roman"/>
          <w:color w:val="000000" w:themeColor="text1"/>
          <w:sz w:val="24"/>
          <w:szCs w:val="24"/>
        </w:rPr>
        <w:t>administrativ</w:t>
      </w:r>
      <w:r w:rsidRPr="004F2AC3">
        <w:rPr>
          <w:rFonts w:ascii="Garamond" w:hAnsi="Garamond" w:cs="Times New Roman"/>
          <w:color w:val="000000" w:themeColor="text1"/>
          <w:sz w:val="24"/>
          <w:szCs w:val="24"/>
        </w:rPr>
        <w:t>; NA</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Nuk aplikohet.</w:t>
      </w:r>
    </w:p>
    <w:p w14:paraId="21EC9424" w14:textId="77777777"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p>
    <w:p w14:paraId="4A1F7D61" w14:textId="42ED7945" w:rsidR="000F566F" w:rsidRPr="004F2AC3" w:rsidRDefault="000F566F" w:rsidP="000F566F">
      <w:pPr>
        <w:spacing w:after="0" w:line="240" w:lineRule="auto"/>
        <w:ind w:firstLine="284"/>
        <w:jc w:val="both"/>
        <w:rPr>
          <w:rFonts w:ascii="Garamond" w:hAnsi="Garamond" w:cs="Times New Roman"/>
          <w:i/>
          <w:color w:val="000000" w:themeColor="text1"/>
          <w:sz w:val="24"/>
          <w:szCs w:val="24"/>
        </w:rPr>
      </w:pPr>
      <w:r w:rsidRPr="004F2AC3">
        <w:rPr>
          <w:rFonts w:ascii="Garamond" w:hAnsi="Garamond" w:cs="Times New Roman"/>
          <w:i/>
          <w:color w:val="000000" w:themeColor="text1"/>
          <w:sz w:val="24"/>
          <w:szCs w:val="24"/>
        </w:rPr>
        <w:t>Figura nr. 4</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Statistikat </w:t>
      </w:r>
      <w:r w:rsidR="00795E6B" w:rsidRPr="004F2AC3">
        <w:rPr>
          <w:rFonts w:ascii="Garamond" w:hAnsi="Garamond" w:cs="Times New Roman"/>
          <w:i/>
          <w:color w:val="000000" w:themeColor="text1"/>
          <w:sz w:val="24"/>
          <w:szCs w:val="24"/>
        </w:rPr>
        <w:t xml:space="preserve">sektoriale </w:t>
      </w:r>
      <w:r w:rsidRPr="004F2AC3">
        <w:rPr>
          <w:rFonts w:ascii="Garamond" w:hAnsi="Garamond" w:cs="Times New Roman"/>
          <w:i/>
          <w:color w:val="000000" w:themeColor="text1"/>
          <w:sz w:val="24"/>
          <w:szCs w:val="24"/>
        </w:rPr>
        <w:t>2025</w:t>
      </w:r>
      <w:r w:rsidR="00D32864" w:rsidRPr="004F2AC3">
        <w:rPr>
          <w:rFonts w:ascii="Garamond" w:hAnsi="Garamond"/>
          <w:i/>
          <w:color w:val="000000" w:themeColor="text1"/>
          <w:szCs w:val="24"/>
        </w:rPr>
        <w:t>–</w:t>
      </w:r>
      <w:r w:rsidRPr="004F2AC3">
        <w:rPr>
          <w:rFonts w:ascii="Garamond" w:hAnsi="Garamond" w:cs="Times New Roman"/>
          <w:i/>
          <w:color w:val="000000" w:themeColor="text1"/>
          <w:sz w:val="24"/>
          <w:szCs w:val="24"/>
        </w:rPr>
        <w:t>2026</w:t>
      </w:r>
    </w:p>
    <w:p w14:paraId="3519C915"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3943F21C"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noProof/>
          <w:color w:val="000000" w:themeColor="text1"/>
          <w:sz w:val="24"/>
          <w:szCs w:val="24"/>
          <w:lang w:eastAsia="sq-AL"/>
        </w:rPr>
        <w:drawing>
          <wp:inline distT="0" distB="0" distL="0" distR="0" wp14:anchorId="79F6F920" wp14:editId="7DD4510D">
            <wp:extent cx="5925185" cy="2140647"/>
            <wp:effectExtent l="0" t="0" r="0" b="0"/>
            <wp:docPr id="7" name="Chart 7">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31D150B7-3FCC-46E4-B104-037A1FA6F4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EAC00F2"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27AD4FE2"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3EDE5044" w14:textId="7D2F9889"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Fusha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Statistikat sektoriale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përbëhet nga 8 tema statistikore:</w:t>
      </w:r>
    </w:p>
    <w:p w14:paraId="71BA1F43"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0C4E3006" w14:textId="3F26A21D"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3.1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Statistikat e </w:t>
      </w:r>
      <w:r w:rsidR="00795E6B" w:rsidRPr="004F2AC3">
        <w:rPr>
          <w:rFonts w:ascii="Garamond" w:eastAsia="Times New Roman" w:hAnsi="Garamond" w:cs="Times New Roman"/>
          <w:b/>
          <w:color w:val="000000" w:themeColor="text1"/>
          <w:sz w:val="24"/>
          <w:szCs w:val="24"/>
        </w:rPr>
        <w:t>bujqësisë, peshkimit dhe pyjeve</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 </w:t>
      </w:r>
    </w:p>
    <w:p w14:paraId="2E951233" w14:textId="41DE8AE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Kjo temë përfshin nëntemat</w:t>
      </w:r>
      <w:r w:rsidR="00795E6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w:t>
      </w:r>
    </w:p>
    <w:p w14:paraId="27E7F4F6" w14:textId="083FFA26"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3.1.1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Statistikat e pyjeve</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për prodhimin e statistikave të kësaj kategorie me frekuencë vjetore,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mbledh dhe përpunon të dhëna administrative nga Ministria e</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Mjedisit dhe Agjencia Kombëtare e Pyjeve, si dhe realizon vrojtimin vjetor mbi përdorimin e lëndës drusore në industri.</w:t>
      </w:r>
    </w:p>
    <w:p w14:paraId="08AD5152" w14:textId="3A691772"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3.1.2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e </w:t>
      </w:r>
      <w:r w:rsidR="00795E6B" w:rsidRPr="004F2AC3">
        <w:rPr>
          <w:rFonts w:ascii="Garamond" w:hAnsi="Garamond" w:cs="Times New Roman"/>
          <w:i/>
          <w:color w:val="000000" w:themeColor="text1"/>
          <w:sz w:val="24"/>
          <w:szCs w:val="24"/>
        </w:rPr>
        <w:t>bujqësisë</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nëndarja sipas specifikave që </w:t>
      </w:r>
      <w:r w:rsidR="00795E6B" w:rsidRPr="004F2AC3">
        <w:rPr>
          <w:rFonts w:ascii="Garamond" w:hAnsi="Garamond" w:cs="Times New Roman"/>
          <w:color w:val="000000" w:themeColor="text1"/>
          <w:sz w:val="24"/>
          <w:szCs w:val="24"/>
        </w:rPr>
        <w:t>kjo temë mbulon është si vijon:</w:t>
      </w:r>
    </w:p>
    <w:p w14:paraId="7C1562FE" w14:textId="0072822E"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Statistikat e produkteve bimore</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është përgjegjës për prodhimin e statistikave të kësaj kategorie. Në këtë kuadër,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bashkëpunon ngushtë me Ministrinë e Bujqësisë dhe Zhvillimit Rural për sigurimin e të dhënave nga vrojtimi vjetor në bujqësi, i cili realizohet nga ministria me mbështetjen metodologjike të INSTAT</w:t>
      </w:r>
      <w:r w:rsidR="00D32864" w:rsidRPr="004F2AC3">
        <w:rPr>
          <w:rFonts w:ascii="Garamond" w:hAnsi="Garamond" w:cs="Times New Roman"/>
          <w:color w:val="000000" w:themeColor="text1"/>
          <w:sz w:val="24"/>
          <w:szCs w:val="24"/>
        </w:rPr>
        <w:t>-it</w:t>
      </w:r>
      <w:r w:rsidR="00795E6B" w:rsidRPr="004F2AC3">
        <w:rPr>
          <w:rFonts w:ascii="Garamond" w:hAnsi="Garamond" w:cs="Times New Roman"/>
          <w:color w:val="000000" w:themeColor="text1"/>
          <w:sz w:val="24"/>
          <w:szCs w:val="24"/>
        </w:rPr>
        <w:t>.</w:t>
      </w:r>
    </w:p>
    <w:p w14:paraId="5B83B0EB" w14:textId="05104FE4"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Gjatë vitit 2026, do të vazhdojë puna për</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realizimin e aktivitetit mbi statistikat e produkteve bimore të gjeneruara nga vrojtimi mbi sipërfaqen e mbjellë, i cili</w:t>
      </w:r>
      <w:r w:rsidR="00795E6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gjithashtu</w:t>
      </w:r>
      <w:r w:rsidR="00795E6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realizohet nga bashkëpunimi me Ministrinë e Bujqësisë dhe Zhvillimit Rural me mbështetjen metodologjike të INSTAT</w:t>
      </w:r>
      <w:r w:rsidR="00D32864" w:rsidRPr="004F2AC3">
        <w:rPr>
          <w:rFonts w:ascii="Garamond" w:hAnsi="Garamond" w:cs="Times New Roman"/>
          <w:color w:val="000000" w:themeColor="text1"/>
          <w:sz w:val="24"/>
          <w:szCs w:val="24"/>
        </w:rPr>
        <w:t>-it</w:t>
      </w:r>
      <w:r w:rsidR="00795E6B" w:rsidRPr="004F2AC3">
        <w:rPr>
          <w:rFonts w:ascii="Garamond" w:hAnsi="Garamond" w:cs="Times New Roman"/>
          <w:color w:val="000000" w:themeColor="text1"/>
          <w:sz w:val="24"/>
          <w:szCs w:val="24"/>
        </w:rPr>
        <w:t>.</w:t>
      </w:r>
    </w:p>
    <w:p w14:paraId="662710F1" w14:textId="633BF0CE"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Statistikat e blegtorisë, mishit dhe vezëve –</w:t>
      </w:r>
      <w:r w:rsidRPr="004F2AC3">
        <w:rPr>
          <w:rFonts w:ascii="Garamond" w:hAnsi="Garamond" w:cs="Times New Roman"/>
          <w:color w:val="000000" w:themeColor="text1"/>
          <w:sz w:val="24"/>
          <w:szCs w:val="24"/>
        </w:rPr>
        <w:t xml:space="preserve"> Këto statistika do të sigurohen nga burimi administrativ dhe vrojtimi vjetor në bujqësi.</w:t>
      </w:r>
      <w:r w:rsidR="00795E6B"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Sipas metodologjisë së përkatëse, mbledhja e të dhënave do të kryhet nga Ministria e Bujqësisë dhe Zhvillimit Rural, ndërsa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kryejë përpunimin e tyre, si institucioni prodhues i statistikave zyrtare. Përveç këtyre dy aktiviteteve, me qëllim sigurimin e treguesve me frekuencë mujore,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kryejë aktivitetin mbi statistikat e blegtorisë, mishit dhe vezëve, të siguruara nga vrojtimet mujore mbi monitorimin e aktivitetit të thertoreve (për gjedhë, derra dhe të imta dhe shpendë) dhe aktivitetit të pularive për prodhimin e vezëve (konsum njerëzor).</w:t>
      </w:r>
    </w:p>
    <w:p w14:paraId="03C1EB22" w14:textId="7D6A64BE"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Statistikat e qumështit dhe nënprodukteve të tij</w:t>
      </w:r>
      <w:r w:rsidRPr="004F2AC3">
        <w:rPr>
          <w:rFonts w:ascii="Garamond" w:hAnsi="Garamond" w:cs="Times New Roman"/>
          <w:color w:val="000000" w:themeColor="text1"/>
          <w:sz w:val="24"/>
          <w:szCs w:val="24"/>
        </w:rPr>
        <w:t xml:space="preserve"> </w:t>
      </w:r>
      <w:r w:rsidR="00795E6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Për prodhimin e këtyre statistikave</w:t>
      </w:r>
      <w:r w:rsidR="00795E6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kryejë dy aktivitete: vrojtimi vjetor në të gjitha fabrikat dhe baxhot që grumbullojnë dhe përpunojnë qumësht, si dhe vrojtimi mujor në fabrikat që përpunojnë qumështin e lopës. Paralelisht, do të mblidhen</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dhe përpunohen statistikat vjetore të qumështit dhe nënprodukteve të tij, të sigu</w:t>
      </w:r>
      <w:r w:rsidR="00795E6B" w:rsidRPr="004F2AC3">
        <w:rPr>
          <w:rFonts w:ascii="Garamond" w:hAnsi="Garamond" w:cs="Times New Roman"/>
          <w:color w:val="000000" w:themeColor="text1"/>
          <w:sz w:val="24"/>
          <w:szCs w:val="24"/>
        </w:rPr>
        <w:t>ruara nga burimi administrativ.</w:t>
      </w:r>
    </w:p>
    <w:p w14:paraId="41663B50" w14:textId="6CA45A74"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Statistikat strukturore të fermës</w:t>
      </w:r>
      <w:r w:rsidRPr="004F2AC3">
        <w:rPr>
          <w:rFonts w:ascii="Garamond" w:hAnsi="Garamond" w:cs="Times New Roman"/>
          <w:color w:val="000000" w:themeColor="text1"/>
          <w:sz w:val="24"/>
          <w:szCs w:val="24"/>
        </w:rPr>
        <w:t xml:space="preserve"> – Aktiviteti përfshin përpunimin në tërësi të të dhënave të siguruara nga Censi i Bujqësisë dhe Fermave Bujqësore. Nëpërmjet kryerjes së këtij aktiviteti madhor, si dhe vrojtimeve të tjera ndërmjet dy censeve, sigurohet informacion thelbësor në aspektet e përgjithshme statistikore</w:t>
      </w:r>
      <w:r w:rsidR="00795E6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tilla si</w:t>
      </w:r>
      <w:r w:rsidR="00795E6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toka, blegtoria, forca e punës bujqësore dhe aktivitete të tjera fitimprurëse, masat e zhvillimit rural, makineritë dhe pajisjet, ujitja, strehimi i kafshëve, administrimi i plehut, administrimi </w:t>
      </w:r>
      <w:r w:rsidR="00795E6B" w:rsidRPr="004F2AC3">
        <w:rPr>
          <w:rFonts w:ascii="Garamond" w:hAnsi="Garamond" w:cs="Times New Roman"/>
          <w:color w:val="000000" w:themeColor="text1"/>
          <w:sz w:val="24"/>
          <w:szCs w:val="24"/>
        </w:rPr>
        <w:t>i tokës, vreshtat dhe pemëtaria.</w:t>
      </w:r>
    </w:p>
    <w:p w14:paraId="09FE3C3D" w14:textId="3BE9254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Llogaritë ekonomike në bujqësi</w:t>
      </w:r>
      <w:r w:rsidRPr="004F2AC3">
        <w:rPr>
          <w:rFonts w:ascii="Garamond" w:hAnsi="Garamond" w:cs="Times New Roman"/>
          <w:color w:val="000000" w:themeColor="text1"/>
          <w:sz w:val="24"/>
          <w:szCs w:val="24"/>
        </w:rPr>
        <w:t xml:space="preserve"> – Ky aktivitet mbështetet në të dhëna administrative dhe në vrojtime statistikore</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në të cilin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kryen në përmbushje të këtij aktiviteti, si vrojtimet mujore të çmimeve, vrojtimi i prodhimeve bujqësore, vrojtimi tremujor i çmimeve të inputeve në bujqësi dhe vrojtimi tremujor i kafshëve për mbarështim.</w:t>
      </w:r>
    </w:p>
    <w:p w14:paraId="7959B145" w14:textId="3A6AFB85"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3.1.3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Statistikat e peshkimit</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për realizimin objektivave të së cilës,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kryejë aktivitetet: Statistikat e peshkimit të siguruara nga burimi administrativ, për prodhimin e statistikave mbi prodhimin e peshkut me frekuencë tremujore, dhe aktivitetin mbi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Statistikat e peshkimit dhe akuakulturës</w:t>
      </w:r>
      <w:r w:rsidR="00795E6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siguruara nga burimi administrativ për prodhimin e statistikave me frekuencë vjetore. </w:t>
      </w:r>
    </w:p>
    <w:p w14:paraId="00F29E5B" w14:textId="1F654EE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3.1.4</w:t>
      </w:r>
      <w:r w:rsidR="00795E6B" w:rsidRPr="004F2AC3">
        <w:rPr>
          <w:rFonts w:ascii="Garamond" w:hAnsi="Garamond" w:cs="Times New Roman"/>
          <w:i/>
          <w:color w:val="000000" w:themeColor="text1"/>
          <w:sz w:val="24"/>
          <w:szCs w:val="24"/>
        </w:rPr>
        <w:t xml:space="preserve"> “</w:t>
      </w:r>
      <w:r w:rsidRPr="004F2AC3">
        <w:rPr>
          <w:rFonts w:ascii="Garamond" w:hAnsi="Garamond" w:cs="Times New Roman"/>
          <w:i/>
          <w:color w:val="000000" w:themeColor="text1"/>
          <w:sz w:val="24"/>
          <w:szCs w:val="24"/>
        </w:rPr>
        <w:t>Statistikat e prodhimeve organike në bujqësi</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të siguruara nga burimi administrativ do të mblidhen gjatë vitit 2026, sipas legjislacionit shqiptar dhe do të publikohen ba</w:t>
      </w:r>
      <w:r w:rsidR="00795E6B" w:rsidRPr="004F2AC3">
        <w:rPr>
          <w:rFonts w:ascii="Garamond" w:hAnsi="Garamond" w:cs="Times New Roman"/>
          <w:color w:val="000000" w:themeColor="text1"/>
          <w:sz w:val="24"/>
          <w:szCs w:val="24"/>
        </w:rPr>
        <w:t>zuar në kërkesat ndërkombëtare.</w:t>
      </w:r>
    </w:p>
    <w:p w14:paraId="76B1A6F4" w14:textId="3FD05DF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3.1.5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Statistikat e agromjedisit</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të siguruara nga burimi administrativ. Për realizimin e këtij aktiviteti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kryejë përpunimin e të dhënave të marra nga Ministria e Bujqësisë dhe Zhvillimit Rural për prodhimin e indikatorëve përkatës.</w:t>
      </w:r>
    </w:p>
    <w:p w14:paraId="185ECAB1" w14:textId="07236C65"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Tregues statistikor mbi pyjet, kullotat; të dhënat kadastrale të fondit për pyjet, kullotat dhe kundërvajtjet në pyje, strukturën dhe bilancet në pyje e kullota, si dhe bilanci burim</w:t>
      </w:r>
      <w:r w:rsidR="00795E6B"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përdorim i produkteve pyjore; Tregues statistikorë mbi sipërfaqen, prodhimin, rendimentin dhe përmbajtjen e lagështisë për drithërat dhe bishtajoret, në nivel kombëtar dhe rajonal; bimët e tjera të mbjella në tokë arë, në nivel rajonal; pemët frutore, vreshtat, agrumet dhe ullirin, në nivel rajonal; Tregues statistikorë mbi: numrin e krerëve, prodhimin e mishit sipas kategorive të blegtorisë dhe produktet e tjera blegtorale; strukturën e blegtorisë dhe shpendëve, peshën e gjallë dhe peshë e therur sipas kategorive statistikore përkatëse të therura në fermë/thertore; Tregues</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 xml:space="preserve">statistikorë mbi numrin e shpendëve të therur gjatë vitit në thertore sipas llojeve, peshën e gjallë dhe peshën e therur; Tregues statistikorë mbi prodhimin e shpendëve dhe vezëve për treg; Tregues statistikorë mbi qumështin dhe produktet e tij sipas përmbajtjes së yndyrës dhe proteinave, mbi strukturën e fabrikave dhe baxhove që grumbullojnë dhe përpunojnë qumësht; Tregues statistikorë mbi sasinë e qumështit të lopës të grumbulluar, si dhe sasinë e nënprodukteve kryesore të prodhuara; Tregues statistikorë mbi sasinë e qumështit të prodhuar në fermë sipas llojeve: lopë, dele, dhi, me periodicitet vjetor në nivel qarku dhe bashkie; Tregues statistikorë mbi llogaritë ekonomike në bujqësi; Indeksi i çmimeve të produkteve bujqësore; Indeksi i çmimeve të inputeve në bujqësi; Tregues statistikorë mbi prodhimin e peshkut, molusqeve, strukturën e ndërmarrjeve prodhuese, si dhe numrin e të punësuarve; peshkimin detar sipas porteve; numrin e anijeve dhe zënien e peshkut sipas porteve; Tregues statistikorë për peshkimin në ujërat e brendshme dhe për numrin e subjekteve që ushtrojnë aktivitet në akuakulturë dhe molusqe; Tregues statistikorë mbi sasitë e zënies së peshkut sipas kategorive ujore; Tregues statistikorë mbi operatorë organikë të regjistruar dhe </w:t>
      </w:r>
      <w:r w:rsidR="00795E6B" w:rsidRPr="004F2AC3">
        <w:rPr>
          <w:rFonts w:ascii="Garamond" w:hAnsi="Garamond" w:cs="Times New Roman"/>
          <w:color w:val="000000" w:themeColor="text1"/>
          <w:sz w:val="24"/>
          <w:szCs w:val="24"/>
        </w:rPr>
        <w:t>certifikuar</w:t>
      </w:r>
      <w:r w:rsidRPr="004F2AC3">
        <w:rPr>
          <w:rFonts w:ascii="Garamond" w:hAnsi="Garamond" w:cs="Times New Roman"/>
          <w:color w:val="000000" w:themeColor="text1"/>
          <w:sz w:val="24"/>
          <w:szCs w:val="24"/>
        </w:rPr>
        <w:t>, si prodhues, përpunues, importues dhe të tjerë gjatë vitit referues, si dhe të rinj</w:t>
      </w:r>
      <w:r w:rsidR="00795E6B" w:rsidRPr="004F2AC3">
        <w:rPr>
          <w:rFonts w:ascii="Garamond" w:hAnsi="Garamond" w:cs="Times New Roman"/>
          <w:color w:val="000000" w:themeColor="text1"/>
          <w:sz w:val="24"/>
          <w:szCs w:val="24"/>
        </w:rPr>
        <w:t xml:space="preserve"> të</w:t>
      </w:r>
      <w:r w:rsidRPr="004F2AC3">
        <w:rPr>
          <w:rFonts w:ascii="Garamond" w:hAnsi="Garamond" w:cs="Times New Roman"/>
          <w:color w:val="000000" w:themeColor="text1"/>
          <w:sz w:val="24"/>
          <w:szCs w:val="24"/>
        </w:rPr>
        <w:t xml:space="preserve"> regjistruar gjatë vitit apo të larguar,</w:t>
      </w:r>
      <w:r w:rsidR="00D32864"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 xml:space="preserve">të cilët nuk kanë plotësuar kriteret e </w:t>
      </w:r>
      <w:r w:rsidR="00795E6B" w:rsidRPr="004F2AC3">
        <w:rPr>
          <w:rFonts w:ascii="Garamond" w:hAnsi="Garamond" w:cs="Times New Roman"/>
          <w:color w:val="000000" w:themeColor="text1"/>
          <w:sz w:val="24"/>
          <w:szCs w:val="24"/>
        </w:rPr>
        <w:t>certifikimit</w:t>
      </w:r>
      <w:r w:rsidRPr="004F2AC3">
        <w:rPr>
          <w:rFonts w:ascii="Garamond" w:hAnsi="Garamond" w:cs="Times New Roman"/>
          <w:color w:val="000000" w:themeColor="text1"/>
          <w:sz w:val="24"/>
          <w:szCs w:val="24"/>
        </w:rPr>
        <w:t xml:space="preserve"> me periodicitet vjetor; sipërfaqet organike të </w:t>
      </w:r>
      <w:r w:rsidR="00D32864" w:rsidRPr="004F2AC3">
        <w:rPr>
          <w:rFonts w:ascii="Garamond" w:hAnsi="Garamond" w:cs="Times New Roman"/>
          <w:color w:val="000000" w:themeColor="text1"/>
          <w:sz w:val="24"/>
          <w:szCs w:val="24"/>
        </w:rPr>
        <w:t>c</w:t>
      </w:r>
      <w:r w:rsidRPr="004F2AC3">
        <w:rPr>
          <w:rFonts w:ascii="Garamond" w:hAnsi="Garamond" w:cs="Times New Roman"/>
          <w:color w:val="000000" w:themeColor="text1"/>
          <w:sz w:val="24"/>
          <w:szCs w:val="24"/>
        </w:rPr>
        <w:t xml:space="preserve">ertifikuara dhe në proces konvertimi dhe prodhimet organike bimore me periodicitet vjetor; blegtorinë e </w:t>
      </w:r>
      <w:r w:rsidR="00D32864" w:rsidRPr="004F2AC3">
        <w:rPr>
          <w:rFonts w:ascii="Garamond" w:hAnsi="Garamond" w:cs="Times New Roman"/>
          <w:color w:val="000000" w:themeColor="text1"/>
          <w:sz w:val="24"/>
          <w:szCs w:val="24"/>
        </w:rPr>
        <w:t>c</w:t>
      </w:r>
      <w:r w:rsidRPr="004F2AC3">
        <w:rPr>
          <w:rFonts w:ascii="Garamond" w:hAnsi="Garamond" w:cs="Times New Roman"/>
          <w:color w:val="000000" w:themeColor="text1"/>
          <w:sz w:val="24"/>
          <w:szCs w:val="24"/>
        </w:rPr>
        <w:t>ertifikuar, prodhimin e produkteve organike me origjinë blegtorale me periodicitet vjetor; përpunimin e produkteve organike sipas aktivitetit ekonomik; Tregues statistikorë mbi sasinë e plehrave</w:t>
      </w:r>
      <w:r w:rsidR="005D681C" w:rsidRPr="004F2AC3">
        <w:rPr>
          <w:rFonts w:ascii="Garamond" w:hAnsi="Garamond" w:cs="Times New Roman"/>
          <w:color w:val="000000" w:themeColor="text1"/>
          <w:sz w:val="24"/>
          <w:szCs w:val="24"/>
        </w:rPr>
        <w:t xml:space="preserve"> kimike të përdorura sipas grup-</w:t>
      </w:r>
      <w:r w:rsidRPr="004F2AC3">
        <w:rPr>
          <w:rFonts w:ascii="Garamond" w:hAnsi="Garamond" w:cs="Times New Roman"/>
          <w:color w:val="000000" w:themeColor="text1"/>
          <w:sz w:val="24"/>
          <w:szCs w:val="24"/>
        </w:rPr>
        <w:t>kulturave periodicitet vjetor; sipërfaqet e plehëruara me plehra kimike periodicitet vjetor; sasinë e pest</w:t>
      </w:r>
      <w:r w:rsidR="005D681C" w:rsidRPr="004F2AC3">
        <w:rPr>
          <w:rFonts w:ascii="Garamond" w:hAnsi="Garamond" w:cs="Times New Roman"/>
          <w:color w:val="000000" w:themeColor="text1"/>
          <w:sz w:val="24"/>
          <w:szCs w:val="24"/>
        </w:rPr>
        <w:t>icideve të përdorura sipas grup-</w:t>
      </w:r>
      <w:r w:rsidRPr="004F2AC3">
        <w:rPr>
          <w:rFonts w:ascii="Garamond" w:hAnsi="Garamond" w:cs="Times New Roman"/>
          <w:color w:val="000000" w:themeColor="text1"/>
          <w:sz w:val="24"/>
          <w:szCs w:val="24"/>
        </w:rPr>
        <w:t>kulturave me periodicitet vjetor; sipërfaqet e trajtuara me pesticide sipas</w:t>
      </w:r>
      <w:r w:rsidR="005D681C" w:rsidRPr="004F2AC3">
        <w:rPr>
          <w:rFonts w:ascii="Garamond" w:hAnsi="Garamond" w:cs="Times New Roman"/>
          <w:color w:val="000000" w:themeColor="text1"/>
          <w:sz w:val="24"/>
          <w:szCs w:val="24"/>
        </w:rPr>
        <w:t xml:space="preserve"> llojit të pesticideve dhe grup-</w:t>
      </w:r>
      <w:r w:rsidRPr="004F2AC3">
        <w:rPr>
          <w:rFonts w:ascii="Garamond" w:hAnsi="Garamond" w:cs="Times New Roman"/>
          <w:color w:val="000000" w:themeColor="text1"/>
          <w:sz w:val="24"/>
          <w:szCs w:val="24"/>
        </w:rPr>
        <w:t>kulturave me periodicitet vjetor; Tregues statistikorë mbi mbulimin dhe përdorimin e tokës me periodicitet vjetor; tokën e punueshme, livadhet dhe kullotat, tokën e zënë me pemëtore (pemë frutore, ullinj, agrume dhe vreshta) dhe tokë tjetër jobujqësore me periodicitet vjetor.</w:t>
      </w:r>
    </w:p>
    <w:p w14:paraId="0792A479" w14:textId="36DC7F59"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eastAsia="Times New Roman" w:hAnsi="Garamond" w:cs="Times New Roman"/>
          <w:b/>
          <w:color w:val="000000" w:themeColor="text1"/>
          <w:sz w:val="24"/>
          <w:szCs w:val="24"/>
          <w:lang w:eastAsia="en-GB"/>
        </w:rPr>
        <w:t xml:space="preserve">Përputhshmëria me </w:t>
      </w:r>
      <w:r w:rsidRPr="004F2AC3">
        <w:rPr>
          <w:rFonts w:ascii="Garamond" w:eastAsia="Times New Roman" w:hAnsi="Garamond" w:cs="Times New Roman"/>
          <w:b/>
          <w:i/>
          <w:color w:val="000000" w:themeColor="text1"/>
          <w:sz w:val="24"/>
          <w:szCs w:val="24"/>
          <w:lang w:eastAsia="en-GB"/>
        </w:rPr>
        <w:t>acquis</w:t>
      </w:r>
      <w:r w:rsidRPr="004F2AC3">
        <w:rPr>
          <w:rFonts w:ascii="Garamond" w:eastAsia="Times New Roman" w:hAnsi="Garamond" w:cs="Times New Roman"/>
          <w:b/>
          <w:color w:val="000000" w:themeColor="text1"/>
          <w:sz w:val="24"/>
          <w:szCs w:val="24"/>
          <w:lang w:eastAsia="en-GB"/>
        </w:rPr>
        <w:t xml:space="preserve">: </w:t>
      </w:r>
      <w:r w:rsidRPr="004F2AC3">
        <w:rPr>
          <w:rFonts w:ascii="Garamond" w:eastAsia="Times New Roman" w:hAnsi="Garamond" w:cs="Times New Roman"/>
          <w:i/>
          <w:color w:val="000000" w:themeColor="text1"/>
          <w:sz w:val="24"/>
          <w:szCs w:val="24"/>
          <w:lang w:eastAsia="en-GB"/>
        </w:rPr>
        <w:t>Statistikat në fushën e prodhimit bimor</w:t>
      </w:r>
      <w:r w:rsidRPr="004F2AC3">
        <w:rPr>
          <w:rFonts w:ascii="Garamond" w:eastAsia="Times New Roman" w:hAnsi="Garamond" w:cs="Times New Roman"/>
          <w:color w:val="000000" w:themeColor="text1"/>
          <w:sz w:val="24"/>
          <w:szCs w:val="24"/>
          <w:lang w:eastAsia="en-GB"/>
        </w:rPr>
        <w:t>, në vitin 2026 do të realizohen duke zbatuar metodologjitë sipas standardeve evropiane, bazuar në Rregulloren e re (BE) 2022/2379</w:t>
      </w:r>
      <w:r w:rsidR="005D681C" w:rsidRPr="004F2AC3">
        <w:rPr>
          <w:rFonts w:ascii="Garamond" w:eastAsia="Times New Roman" w:hAnsi="Garamond" w:cs="Times New Roman"/>
          <w:color w:val="000000" w:themeColor="text1"/>
          <w:sz w:val="24"/>
          <w:szCs w:val="24"/>
          <w:lang w:eastAsia="en-GB"/>
        </w:rPr>
        <w:t>,</w:t>
      </w:r>
      <w:r w:rsidRPr="004F2AC3">
        <w:rPr>
          <w:rFonts w:ascii="Garamond" w:eastAsia="Times New Roman" w:hAnsi="Garamond" w:cs="Times New Roman"/>
          <w:color w:val="000000" w:themeColor="text1"/>
          <w:sz w:val="24"/>
          <w:szCs w:val="24"/>
          <w:lang w:eastAsia="en-GB"/>
        </w:rPr>
        <w:t xml:space="preserve"> të Parlamentit Evropian dhe </w:t>
      </w:r>
      <w:r w:rsidR="005D681C" w:rsidRPr="004F2AC3">
        <w:rPr>
          <w:rFonts w:ascii="Garamond" w:eastAsia="Times New Roman" w:hAnsi="Garamond" w:cs="Times New Roman"/>
          <w:color w:val="000000" w:themeColor="text1"/>
          <w:sz w:val="24"/>
          <w:szCs w:val="24"/>
          <w:lang w:eastAsia="en-GB"/>
        </w:rPr>
        <w:t>të</w:t>
      </w:r>
      <w:r w:rsidRPr="004F2AC3">
        <w:rPr>
          <w:rFonts w:ascii="Garamond" w:eastAsia="Times New Roman" w:hAnsi="Garamond" w:cs="Times New Roman"/>
          <w:color w:val="000000" w:themeColor="text1"/>
          <w:sz w:val="24"/>
          <w:szCs w:val="24"/>
          <w:lang w:eastAsia="en-GB"/>
        </w:rPr>
        <w:t xml:space="preserve"> Këshillit </w:t>
      </w:r>
      <w:r w:rsidR="00D32864" w:rsidRPr="004F2AC3">
        <w:rPr>
          <w:rFonts w:ascii="Garamond" w:eastAsia="Times New Roman" w:hAnsi="Garamond" w:cs="Times New Roman"/>
          <w:color w:val="000000" w:themeColor="text1"/>
          <w:sz w:val="24"/>
          <w:szCs w:val="24"/>
          <w:lang w:eastAsia="en-GB"/>
        </w:rPr>
        <w:t>“</w:t>
      </w:r>
      <w:r w:rsidRPr="004F2AC3">
        <w:rPr>
          <w:rFonts w:ascii="Garamond" w:eastAsia="Times New Roman" w:hAnsi="Garamond" w:cs="Times New Roman"/>
          <w:color w:val="000000" w:themeColor="text1"/>
          <w:sz w:val="24"/>
          <w:szCs w:val="24"/>
          <w:lang w:eastAsia="en-GB"/>
        </w:rPr>
        <w:t xml:space="preserve">Për </w:t>
      </w:r>
      <w:r w:rsidR="005D681C" w:rsidRPr="004F2AC3">
        <w:rPr>
          <w:rFonts w:ascii="Garamond" w:eastAsia="Times New Roman" w:hAnsi="Garamond" w:cs="Times New Roman"/>
          <w:color w:val="000000" w:themeColor="text1"/>
          <w:sz w:val="24"/>
          <w:szCs w:val="24"/>
          <w:lang w:eastAsia="en-GB"/>
        </w:rPr>
        <w:t xml:space="preserve">statistikat </w:t>
      </w:r>
      <w:r w:rsidRPr="004F2AC3">
        <w:rPr>
          <w:rFonts w:ascii="Garamond" w:eastAsia="Times New Roman" w:hAnsi="Garamond" w:cs="Times New Roman"/>
          <w:color w:val="000000" w:themeColor="text1"/>
          <w:sz w:val="24"/>
          <w:szCs w:val="24"/>
          <w:lang w:eastAsia="en-GB"/>
        </w:rPr>
        <w:t xml:space="preserve">e </w:t>
      </w:r>
      <w:r w:rsidR="005D681C" w:rsidRPr="004F2AC3">
        <w:rPr>
          <w:rFonts w:ascii="Garamond" w:eastAsia="Times New Roman" w:hAnsi="Garamond" w:cs="Times New Roman"/>
          <w:color w:val="000000" w:themeColor="text1"/>
          <w:sz w:val="24"/>
          <w:szCs w:val="24"/>
          <w:lang w:eastAsia="en-GB"/>
        </w:rPr>
        <w:t>inputeve dhe outputeve bujqësore</w:t>
      </w:r>
      <w:r w:rsidR="00D32864" w:rsidRPr="004F2AC3">
        <w:rPr>
          <w:rFonts w:ascii="Garamond" w:eastAsia="Times New Roman" w:hAnsi="Garamond" w:cs="Times New Roman"/>
          <w:color w:val="000000" w:themeColor="text1"/>
          <w:sz w:val="24"/>
          <w:szCs w:val="24"/>
          <w:lang w:eastAsia="en-GB"/>
        </w:rPr>
        <w:t>”</w:t>
      </w:r>
      <w:r w:rsidRPr="004F2AC3">
        <w:rPr>
          <w:rFonts w:ascii="Garamond" w:eastAsia="Times New Roman" w:hAnsi="Garamond" w:cs="Times New Roman"/>
          <w:color w:val="000000" w:themeColor="text1"/>
          <w:sz w:val="24"/>
          <w:szCs w:val="24"/>
          <w:lang w:eastAsia="en-GB"/>
        </w:rPr>
        <w:t xml:space="preserve"> (SAIO). Kjo rregullore shfuqizon Rregulloren (KE) </w:t>
      </w:r>
      <w:r w:rsidR="00D32864" w:rsidRPr="004F2AC3">
        <w:rPr>
          <w:rFonts w:ascii="Garamond" w:eastAsia="Times New Roman" w:hAnsi="Garamond" w:cs="Times New Roman"/>
          <w:color w:val="000000" w:themeColor="text1"/>
          <w:sz w:val="24"/>
          <w:szCs w:val="24"/>
          <w:lang w:eastAsia="en-GB"/>
        </w:rPr>
        <w:t>n</w:t>
      </w:r>
      <w:r w:rsidRPr="004F2AC3">
        <w:rPr>
          <w:rFonts w:ascii="Garamond" w:eastAsia="Times New Roman" w:hAnsi="Garamond" w:cs="Times New Roman"/>
          <w:color w:val="000000" w:themeColor="text1"/>
          <w:sz w:val="24"/>
          <w:szCs w:val="24"/>
          <w:lang w:eastAsia="en-GB"/>
        </w:rPr>
        <w:t>r. 543/2009</w:t>
      </w:r>
      <w:r w:rsidR="00D32864" w:rsidRPr="004F2AC3">
        <w:rPr>
          <w:rFonts w:ascii="Garamond" w:eastAsia="Times New Roman" w:hAnsi="Garamond" w:cs="Times New Roman"/>
          <w:color w:val="000000" w:themeColor="text1"/>
          <w:sz w:val="24"/>
          <w:szCs w:val="24"/>
          <w:lang w:eastAsia="en-GB"/>
        </w:rPr>
        <w:t>,</w:t>
      </w:r>
      <w:r w:rsidRPr="004F2AC3">
        <w:rPr>
          <w:rFonts w:ascii="Garamond" w:eastAsia="Times New Roman" w:hAnsi="Garamond" w:cs="Times New Roman"/>
          <w:color w:val="000000" w:themeColor="text1"/>
          <w:sz w:val="24"/>
          <w:szCs w:val="24"/>
          <w:lang w:eastAsia="en-GB"/>
        </w:rPr>
        <w:t xml:space="preserve"> </w:t>
      </w:r>
      <w:r w:rsidR="00D32864" w:rsidRPr="004F2AC3">
        <w:rPr>
          <w:rFonts w:ascii="Garamond" w:eastAsia="Times New Roman" w:hAnsi="Garamond" w:cs="Times New Roman"/>
          <w:color w:val="000000" w:themeColor="text1"/>
          <w:sz w:val="24"/>
          <w:szCs w:val="24"/>
          <w:lang w:eastAsia="en-GB"/>
        </w:rPr>
        <w:t>“</w:t>
      </w:r>
      <w:r w:rsidRPr="004F2AC3">
        <w:rPr>
          <w:rFonts w:ascii="Garamond" w:eastAsia="Times New Roman" w:hAnsi="Garamond" w:cs="Times New Roman"/>
          <w:color w:val="000000" w:themeColor="text1"/>
          <w:sz w:val="24"/>
          <w:szCs w:val="24"/>
          <w:lang w:eastAsia="en-GB"/>
        </w:rPr>
        <w:t>Për statistikat vjetore të bimëve</w:t>
      </w:r>
      <w:r w:rsidR="00D32864" w:rsidRPr="004F2AC3">
        <w:rPr>
          <w:rFonts w:ascii="Garamond" w:eastAsia="Times New Roman" w:hAnsi="Garamond" w:cs="Times New Roman"/>
          <w:color w:val="000000" w:themeColor="text1"/>
          <w:sz w:val="24"/>
          <w:szCs w:val="24"/>
          <w:lang w:eastAsia="en-GB"/>
        </w:rPr>
        <w:t>”</w:t>
      </w:r>
      <w:r w:rsidRPr="004F2AC3">
        <w:rPr>
          <w:rFonts w:ascii="Garamond" w:eastAsia="Times New Roman" w:hAnsi="Garamond" w:cs="Times New Roman"/>
          <w:color w:val="000000" w:themeColor="text1"/>
          <w:sz w:val="24"/>
          <w:szCs w:val="24"/>
          <w:lang w:eastAsia="en-GB"/>
        </w:rPr>
        <w:t xml:space="preserve">. Aktualisht niveli i përputhshmërisë me </w:t>
      </w:r>
      <w:r w:rsidRPr="004F2AC3">
        <w:rPr>
          <w:rFonts w:ascii="Garamond" w:eastAsia="Times New Roman" w:hAnsi="Garamond" w:cs="Times New Roman"/>
          <w:i/>
          <w:color w:val="000000" w:themeColor="text1"/>
          <w:sz w:val="24"/>
          <w:szCs w:val="24"/>
          <w:lang w:eastAsia="en-GB"/>
        </w:rPr>
        <w:t>acquis</w:t>
      </w:r>
      <w:r w:rsidRPr="004F2AC3">
        <w:rPr>
          <w:rFonts w:ascii="Garamond" w:eastAsia="Times New Roman" w:hAnsi="Garamond" w:cs="Times New Roman"/>
          <w:color w:val="000000" w:themeColor="text1"/>
          <w:sz w:val="24"/>
          <w:szCs w:val="24"/>
          <w:lang w:eastAsia="en-GB"/>
        </w:rPr>
        <w:t xml:space="preserve"> është i pjesshëm. Po ashtu, dispozitat për prodhimin organik, të cilat më parë janë mbuluar nga Rregullorja (KE) </w:t>
      </w:r>
      <w:r w:rsidR="00D32864" w:rsidRPr="004F2AC3">
        <w:rPr>
          <w:rFonts w:ascii="Garamond" w:eastAsia="Times New Roman" w:hAnsi="Garamond" w:cs="Times New Roman"/>
          <w:color w:val="000000" w:themeColor="text1"/>
          <w:sz w:val="24"/>
          <w:szCs w:val="24"/>
          <w:lang w:eastAsia="en-GB"/>
        </w:rPr>
        <w:t>n</w:t>
      </w:r>
      <w:r w:rsidRPr="004F2AC3">
        <w:rPr>
          <w:rFonts w:ascii="Garamond" w:eastAsia="Times New Roman" w:hAnsi="Garamond" w:cs="Times New Roman"/>
          <w:color w:val="000000" w:themeColor="text1"/>
          <w:sz w:val="24"/>
          <w:szCs w:val="24"/>
          <w:lang w:eastAsia="en-GB"/>
        </w:rPr>
        <w:t>r. 834/2007, përfshihen brenda kuadrit të SAIO</w:t>
      </w:r>
      <w:r w:rsidR="005D681C" w:rsidRPr="004F2AC3">
        <w:rPr>
          <w:rFonts w:ascii="Garamond" w:eastAsia="Times New Roman" w:hAnsi="Garamond" w:cs="Times New Roman"/>
          <w:color w:val="000000" w:themeColor="text1"/>
          <w:sz w:val="24"/>
          <w:szCs w:val="24"/>
          <w:lang w:eastAsia="en-GB"/>
        </w:rPr>
        <w:t>-së</w:t>
      </w:r>
      <w:r w:rsidRPr="004F2AC3">
        <w:rPr>
          <w:rFonts w:ascii="Garamond" w:eastAsia="Times New Roman" w:hAnsi="Garamond" w:cs="Times New Roman"/>
          <w:color w:val="000000" w:themeColor="text1"/>
          <w:sz w:val="24"/>
          <w:szCs w:val="24"/>
          <w:lang w:eastAsia="en-GB"/>
        </w:rPr>
        <w:t xml:space="preserve"> dhe përputhshmëria është e pjesshme. </w:t>
      </w:r>
    </w:p>
    <w:p w14:paraId="1FBC63F7" w14:textId="591E054F"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lang w:eastAsia="en-GB"/>
        </w:rPr>
      </w:pPr>
      <w:r w:rsidRPr="004F2AC3">
        <w:rPr>
          <w:rFonts w:ascii="Garamond" w:eastAsia="Times New Roman" w:hAnsi="Garamond" w:cs="Times New Roman"/>
          <w:color w:val="000000" w:themeColor="text1"/>
          <w:sz w:val="24"/>
          <w:szCs w:val="24"/>
          <w:lang w:eastAsia="en-GB"/>
        </w:rPr>
        <w:t xml:space="preserve"> </w:t>
      </w:r>
      <w:r w:rsidRPr="004F2AC3">
        <w:rPr>
          <w:rFonts w:ascii="Garamond" w:hAnsi="Garamond" w:cs="Times New Roman"/>
          <w:i/>
          <w:color w:val="000000" w:themeColor="text1"/>
          <w:sz w:val="24"/>
          <w:szCs w:val="24"/>
          <w:lang w:eastAsia="en-GB"/>
        </w:rPr>
        <w:t>Statistikat e blegtorisë, mishit dhe vezëve</w:t>
      </w:r>
      <w:r w:rsidRPr="004F2AC3">
        <w:rPr>
          <w:rFonts w:ascii="Garamond" w:hAnsi="Garamond" w:cs="Times New Roman"/>
          <w:color w:val="000000" w:themeColor="text1"/>
          <w:sz w:val="24"/>
          <w:szCs w:val="24"/>
          <w:lang w:eastAsia="en-GB"/>
        </w:rPr>
        <w:t xml:space="preserve"> në vitin 2026 do të mblidhen bazuar në Rregulloren e re (BE) 2022/2379</w:t>
      </w:r>
      <w:r w:rsidR="005D681C"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të Parlamentit Evropian dhe </w:t>
      </w:r>
      <w:r w:rsidR="005D681C" w:rsidRPr="004F2AC3">
        <w:rPr>
          <w:rFonts w:ascii="Garamond" w:hAnsi="Garamond" w:cs="Times New Roman"/>
          <w:color w:val="000000" w:themeColor="text1"/>
          <w:sz w:val="24"/>
          <w:szCs w:val="24"/>
          <w:lang w:eastAsia="en-GB"/>
        </w:rPr>
        <w:t>të</w:t>
      </w:r>
      <w:r w:rsidRPr="004F2AC3">
        <w:rPr>
          <w:rFonts w:ascii="Garamond" w:hAnsi="Garamond" w:cs="Times New Roman"/>
          <w:color w:val="000000" w:themeColor="text1"/>
          <w:sz w:val="24"/>
          <w:szCs w:val="24"/>
          <w:lang w:eastAsia="en-GB"/>
        </w:rPr>
        <w:t xml:space="preserve"> Këshillit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Për </w:t>
      </w:r>
      <w:r w:rsidR="005D681C" w:rsidRPr="004F2AC3">
        <w:rPr>
          <w:rFonts w:ascii="Garamond" w:hAnsi="Garamond" w:cs="Times New Roman"/>
          <w:color w:val="000000" w:themeColor="text1"/>
          <w:sz w:val="24"/>
          <w:szCs w:val="24"/>
          <w:lang w:eastAsia="en-GB"/>
        </w:rPr>
        <w:t>statistikat e inputeve dhe outputeve bujqësore</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(SAIO), që shfuqizon Rregulloren (KE) </w:t>
      </w:r>
      <w:r w:rsidR="005D681C"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r. 1165/2008</w:t>
      </w:r>
      <w:r w:rsidR="005D681C"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të Parlamentit Evropian dhe</w:t>
      </w:r>
      <w:r w:rsidR="00684E85" w:rsidRPr="004F2AC3">
        <w:rPr>
          <w:rFonts w:ascii="Garamond" w:hAnsi="Garamond" w:cs="Times New Roman"/>
          <w:color w:val="000000" w:themeColor="text1"/>
          <w:sz w:val="24"/>
          <w:szCs w:val="24"/>
          <w:lang w:eastAsia="en-GB"/>
        </w:rPr>
        <w:t xml:space="preserve"> </w:t>
      </w:r>
      <w:r w:rsidR="005D681C" w:rsidRPr="004F2AC3">
        <w:rPr>
          <w:rFonts w:ascii="Garamond" w:hAnsi="Garamond" w:cs="Times New Roman"/>
          <w:color w:val="000000" w:themeColor="text1"/>
          <w:sz w:val="24"/>
          <w:szCs w:val="24"/>
          <w:lang w:eastAsia="en-GB"/>
        </w:rPr>
        <w:t xml:space="preserve">të </w:t>
      </w:r>
      <w:r w:rsidRPr="004F2AC3">
        <w:rPr>
          <w:rFonts w:ascii="Garamond" w:hAnsi="Garamond" w:cs="Times New Roman"/>
          <w:color w:val="000000" w:themeColor="text1"/>
          <w:sz w:val="24"/>
          <w:szCs w:val="24"/>
          <w:lang w:eastAsia="en-GB"/>
        </w:rPr>
        <w:t xml:space="preserve">Këshillit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Për statistikat e blegtorisë dhe të mishit</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Aktualisht niveli i përputhshmërisë me </w:t>
      </w:r>
      <w:r w:rsidRPr="004F2AC3">
        <w:rPr>
          <w:rFonts w:ascii="Garamond" w:hAnsi="Garamond" w:cs="Times New Roman"/>
          <w:i/>
          <w:color w:val="000000" w:themeColor="text1"/>
          <w:sz w:val="24"/>
          <w:szCs w:val="24"/>
          <w:lang w:eastAsia="en-GB"/>
        </w:rPr>
        <w:t>acquis</w:t>
      </w:r>
      <w:r w:rsidR="005D681C" w:rsidRPr="004F2AC3">
        <w:rPr>
          <w:rFonts w:ascii="Garamond" w:hAnsi="Garamond" w:cs="Times New Roman"/>
          <w:color w:val="000000" w:themeColor="text1"/>
          <w:sz w:val="24"/>
          <w:szCs w:val="24"/>
          <w:lang w:eastAsia="en-GB"/>
        </w:rPr>
        <w:t xml:space="preserve"> është i pjesshëm.</w:t>
      </w:r>
    </w:p>
    <w:p w14:paraId="1953C271" w14:textId="71568704"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lang w:eastAsia="en-GB"/>
        </w:rPr>
      </w:pPr>
      <w:r w:rsidRPr="004F2AC3">
        <w:rPr>
          <w:rFonts w:ascii="Garamond" w:hAnsi="Garamond" w:cs="Times New Roman"/>
          <w:i/>
          <w:color w:val="000000" w:themeColor="text1"/>
          <w:sz w:val="24"/>
          <w:szCs w:val="24"/>
          <w:lang w:eastAsia="en-GB"/>
        </w:rPr>
        <w:t>Statistikat e qumështit dhe nënprodukteve të qumështit</w:t>
      </w:r>
      <w:r w:rsidR="005D681C" w:rsidRPr="004F2AC3">
        <w:rPr>
          <w:rFonts w:ascii="Garamond" w:hAnsi="Garamond" w:cs="Times New Roman"/>
          <w:i/>
          <w:color w:val="000000" w:themeColor="text1"/>
          <w:sz w:val="24"/>
          <w:szCs w:val="24"/>
          <w:lang w:eastAsia="en-GB"/>
        </w:rPr>
        <w:t>,</w:t>
      </w:r>
      <w:r w:rsidRPr="004F2AC3">
        <w:rPr>
          <w:rFonts w:ascii="Garamond" w:hAnsi="Garamond" w:cs="Times New Roman"/>
          <w:color w:val="000000" w:themeColor="text1"/>
          <w:sz w:val="24"/>
          <w:szCs w:val="24"/>
          <w:lang w:eastAsia="en-GB"/>
        </w:rPr>
        <w:t xml:space="preserve"> duke filluar nga viti 2026</w:t>
      </w:r>
      <w:r w:rsidR="005D681C"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do të mblidhen bazuar në Rregulloren e re (BE) 2022/2379</w:t>
      </w:r>
      <w:r w:rsidR="005D681C"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të Parlamentit Evropian dhe </w:t>
      </w:r>
      <w:r w:rsidR="005D681C" w:rsidRPr="004F2AC3">
        <w:rPr>
          <w:rFonts w:ascii="Garamond" w:hAnsi="Garamond" w:cs="Times New Roman"/>
          <w:color w:val="000000" w:themeColor="text1"/>
          <w:sz w:val="24"/>
          <w:szCs w:val="24"/>
          <w:lang w:eastAsia="en-GB"/>
        </w:rPr>
        <w:t xml:space="preserve">të </w:t>
      </w:r>
      <w:r w:rsidRPr="004F2AC3">
        <w:rPr>
          <w:rFonts w:ascii="Garamond" w:hAnsi="Garamond" w:cs="Times New Roman"/>
          <w:color w:val="000000" w:themeColor="text1"/>
          <w:sz w:val="24"/>
          <w:szCs w:val="24"/>
          <w:lang w:eastAsia="en-GB"/>
        </w:rPr>
        <w:t>Këshillit</w:t>
      </w:r>
      <w:r w:rsidR="00684E85"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Për </w:t>
      </w:r>
      <w:r w:rsidR="005D681C" w:rsidRPr="004F2AC3">
        <w:rPr>
          <w:rFonts w:ascii="Garamond" w:hAnsi="Garamond" w:cs="Times New Roman"/>
          <w:color w:val="000000" w:themeColor="text1"/>
          <w:sz w:val="24"/>
          <w:szCs w:val="24"/>
          <w:lang w:eastAsia="en-GB"/>
        </w:rPr>
        <w:t xml:space="preserve">statistikat e inputeve </w:t>
      </w:r>
      <w:r w:rsidRPr="004F2AC3">
        <w:rPr>
          <w:rFonts w:ascii="Garamond" w:hAnsi="Garamond" w:cs="Times New Roman"/>
          <w:color w:val="000000" w:themeColor="text1"/>
          <w:sz w:val="24"/>
          <w:szCs w:val="24"/>
          <w:lang w:eastAsia="en-GB"/>
        </w:rPr>
        <w:t xml:space="preserve">dhe </w:t>
      </w:r>
      <w:r w:rsidR="005D681C" w:rsidRPr="004F2AC3">
        <w:rPr>
          <w:rFonts w:ascii="Garamond" w:hAnsi="Garamond" w:cs="Times New Roman"/>
          <w:color w:val="000000" w:themeColor="text1"/>
          <w:sz w:val="24"/>
          <w:szCs w:val="24"/>
          <w:lang w:eastAsia="en-GB"/>
        </w:rPr>
        <w:t>outputeve bujqësore</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(SAIO), që shfuqizon Rregulloren </w:t>
      </w:r>
      <w:r w:rsidR="005D681C"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r. 1165/2008</w:t>
      </w:r>
      <w:r w:rsidR="005D681C"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5D681C" w:rsidRPr="004F2AC3">
        <w:rPr>
          <w:rFonts w:ascii="Garamond" w:hAnsi="Garamond" w:cs="Times New Roman"/>
          <w:color w:val="000000" w:themeColor="text1"/>
          <w:sz w:val="24"/>
          <w:szCs w:val="24"/>
          <w:lang w:eastAsia="en-GB"/>
        </w:rPr>
        <w:t>të</w:t>
      </w:r>
      <w:r w:rsidRPr="004F2AC3">
        <w:rPr>
          <w:rFonts w:ascii="Garamond" w:hAnsi="Garamond" w:cs="Times New Roman"/>
          <w:color w:val="000000" w:themeColor="text1"/>
          <w:sz w:val="24"/>
          <w:szCs w:val="24"/>
          <w:lang w:eastAsia="en-GB"/>
        </w:rPr>
        <w:t xml:space="preserve"> Parlamentit Evropian dhe </w:t>
      </w:r>
      <w:r w:rsidR="005D681C" w:rsidRPr="004F2AC3">
        <w:rPr>
          <w:rFonts w:ascii="Garamond" w:hAnsi="Garamond" w:cs="Times New Roman"/>
          <w:color w:val="000000" w:themeColor="text1"/>
          <w:sz w:val="24"/>
          <w:szCs w:val="24"/>
          <w:lang w:eastAsia="en-GB"/>
        </w:rPr>
        <w:t>të</w:t>
      </w:r>
      <w:r w:rsidRPr="004F2AC3">
        <w:rPr>
          <w:rFonts w:ascii="Garamond" w:hAnsi="Garamond" w:cs="Times New Roman"/>
          <w:color w:val="000000" w:themeColor="text1"/>
          <w:sz w:val="24"/>
          <w:szCs w:val="24"/>
          <w:lang w:eastAsia="en-GB"/>
        </w:rPr>
        <w:t xml:space="preserve"> Këshillit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Për </w:t>
      </w:r>
      <w:r w:rsidR="005D681C" w:rsidRPr="004F2AC3">
        <w:rPr>
          <w:rFonts w:ascii="Garamond" w:hAnsi="Garamond" w:cs="Times New Roman"/>
          <w:color w:val="000000" w:themeColor="text1"/>
          <w:sz w:val="24"/>
          <w:szCs w:val="24"/>
          <w:lang w:eastAsia="en-GB"/>
        </w:rPr>
        <w:t>statistikat e blegtorisë dhe të mishit</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si dhe Direktiva 96/16/KE në vrojtimet statistikore për qumështin dhe produktet e tij. Aktualisht niveli i përputhshmërisë me </w:t>
      </w:r>
      <w:r w:rsidRPr="004F2AC3">
        <w:rPr>
          <w:rFonts w:ascii="Garamond" w:hAnsi="Garamond" w:cs="Times New Roman"/>
          <w:i/>
          <w:color w:val="000000" w:themeColor="text1"/>
          <w:sz w:val="24"/>
          <w:szCs w:val="24"/>
          <w:lang w:eastAsia="en-GB"/>
        </w:rPr>
        <w:t>acquis</w:t>
      </w:r>
      <w:r w:rsidRPr="004F2AC3">
        <w:rPr>
          <w:rFonts w:ascii="Garamond" w:hAnsi="Garamond" w:cs="Times New Roman"/>
          <w:color w:val="000000" w:themeColor="text1"/>
          <w:sz w:val="24"/>
          <w:szCs w:val="24"/>
          <w:lang w:eastAsia="en-GB"/>
        </w:rPr>
        <w:t xml:space="preserve"> është i pjesshëm.</w:t>
      </w:r>
    </w:p>
    <w:p w14:paraId="3D571602" w14:textId="6F53F78C"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lang w:eastAsia="en-GB"/>
        </w:rPr>
      </w:pPr>
      <w:r w:rsidRPr="004F2AC3">
        <w:rPr>
          <w:rFonts w:ascii="Garamond" w:hAnsi="Garamond" w:cs="Times New Roman"/>
          <w:i/>
          <w:color w:val="000000" w:themeColor="text1"/>
          <w:sz w:val="24"/>
          <w:szCs w:val="24"/>
          <w:lang w:eastAsia="en-GB"/>
        </w:rPr>
        <w:t>Statistikat e strukturës së njësive ekonomike bujqësore</w:t>
      </w:r>
      <w:r w:rsidRPr="004F2AC3">
        <w:rPr>
          <w:rFonts w:ascii="Garamond" w:hAnsi="Garamond" w:cs="Times New Roman"/>
          <w:color w:val="000000" w:themeColor="text1"/>
          <w:sz w:val="24"/>
          <w:szCs w:val="24"/>
          <w:lang w:eastAsia="en-GB"/>
        </w:rPr>
        <w:t>. INSTAT</w:t>
      </w:r>
      <w:r w:rsidR="00D32864" w:rsidRPr="004F2AC3">
        <w:rPr>
          <w:rFonts w:ascii="Garamond" w:hAnsi="Garamond" w:cs="Times New Roman"/>
          <w:color w:val="000000" w:themeColor="text1"/>
          <w:sz w:val="24"/>
          <w:szCs w:val="24"/>
          <w:lang w:eastAsia="en-GB"/>
        </w:rPr>
        <w:t>-i</w:t>
      </w:r>
      <w:r w:rsidRPr="004F2AC3">
        <w:rPr>
          <w:rFonts w:ascii="Garamond" w:hAnsi="Garamond" w:cs="Times New Roman"/>
          <w:color w:val="000000" w:themeColor="text1"/>
          <w:sz w:val="24"/>
          <w:szCs w:val="24"/>
          <w:lang w:eastAsia="en-GB"/>
        </w:rPr>
        <w:t xml:space="preserve"> do të punojë për përafrimin e këtyre statistikave me rregulloren e re: Rregullorja (BE) 2018/1091 e Parlamentit Evropian dhe e Këshillit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Për </w:t>
      </w:r>
      <w:r w:rsidR="005D681C" w:rsidRPr="004F2AC3">
        <w:rPr>
          <w:rFonts w:ascii="Garamond" w:hAnsi="Garamond" w:cs="Times New Roman"/>
          <w:color w:val="000000" w:themeColor="text1"/>
          <w:sz w:val="24"/>
          <w:szCs w:val="24"/>
          <w:lang w:eastAsia="en-GB"/>
        </w:rPr>
        <w:t>statistikat e integruara të fermave</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Përkufizimet që do të përdoren do të jenë në pë</w:t>
      </w:r>
      <w:r w:rsidR="005D681C" w:rsidRPr="004F2AC3">
        <w:rPr>
          <w:rFonts w:ascii="Garamond" w:hAnsi="Garamond" w:cs="Times New Roman"/>
          <w:color w:val="000000" w:themeColor="text1"/>
          <w:sz w:val="24"/>
          <w:szCs w:val="24"/>
          <w:lang w:eastAsia="en-GB"/>
        </w:rPr>
        <w:t>rputhje me rregulloret e KE-së.</w:t>
      </w:r>
    </w:p>
    <w:p w14:paraId="50F423F7" w14:textId="116A0D5A"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lang w:eastAsia="en-GB"/>
        </w:rPr>
      </w:pPr>
      <w:r w:rsidRPr="004F2AC3">
        <w:rPr>
          <w:rFonts w:ascii="Garamond" w:hAnsi="Garamond" w:cs="Times New Roman"/>
          <w:i/>
          <w:color w:val="000000" w:themeColor="text1"/>
          <w:sz w:val="24"/>
          <w:szCs w:val="24"/>
          <w:lang w:eastAsia="en-GB"/>
        </w:rPr>
        <w:t>Llogaritë ekonomike në bujqësi dhe çmimet</w:t>
      </w:r>
      <w:r w:rsidR="005D681C" w:rsidRPr="004F2AC3">
        <w:rPr>
          <w:rFonts w:ascii="Garamond" w:hAnsi="Garamond" w:cs="Times New Roman"/>
          <w:i/>
          <w:color w:val="000000" w:themeColor="text1"/>
          <w:sz w:val="24"/>
          <w:szCs w:val="24"/>
          <w:lang w:eastAsia="en-GB"/>
        </w:rPr>
        <w:t>,</w:t>
      </w:r>
      <w:r w:rsidRPr="004F2AC3">
        <w:rPr>
          <w:rFonts w:ascii="Garamond" w:hAnsi="Garamond" w:cs="Times New Roman"/>
          <w:color w:val="000000" w:themeColor="text1"/>
          <w:sz w:val="24"/>
          <w:szCs w:val="24"/>
          <w:lang w:eastAsia="en-GB"/>
        </w:rPr>
        <w:t xml:space="preserve"> duke filluar nga viti 2026</w:t>
      </w:r>
      <w:r w:rsidR="005D681C"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do të mblidhen dhe llogariten bazuar në Rregulloren e re (BE) 2022/2379</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të Parlamentit Evropian dhe </w:t>
      </w:r>
      <w:r w:rsidR="005D681C" w:rsidRPr="004F2AC3">
        <w:rPr>
          <w:rFonts w:ascii="Garamond" w:hAnsi="Garamond" w:cs="Times New Roman"/>
          <w:color w:val="000000" w:themeColor="text1"/>
          <w:sz w:val="24"/>
          <w:szCs w:val="24"/>
          <w:lang w:eastAsia="en-GB"/>
        </w:rPr>
        <w:t>të</w:t>
      </w:r>
      <w:r w:rsidRPr="004F2AC3">
        <w:rPr>
          <w:rFonts w:ascii="Garamond" w:hAnsi="Garamond" w:cs="Times New Roman"/>
          <w:color w:val="000000" w:themeColor="text1"/>
          <w:sz w:val="24"/>
          <w:szCs w:val="24"/>
          <w:lang w:eastAsia="en-GB"/>
        </w:rPr>
        <w:t xml:space="preserve"> Këshillit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Për </w:t>
      </w:r>
      <w:r w:rsidR="005D681C" w:rsidRPr="004F2AC3">
        <w:rPr>
          <w:rFonts w:ascii="Garamond" w:hAnsi="Garamond" w:cs="Times New Roman"/>
          <w:color w:val="000000" w:themeColor="text1"/>
          <w:sz w:val="24"/>
          <w:szCs w:val="24"/>
          <w:lang w:eastAsia="en-GB"/>
        </w:rPr>
        <w:t xml:space="preserve">statistikat e inputeve </w:t>
      </w:r>
      <w:r w:rsidRPr="004F2AC3">
        <w:rPr>
          <w:rFonts w:ascii="Garamond" w:hAnsi="Garamond" w:cs="Times New Roman"/>
          <w:color w:val="000000" w:themeColor="text1"/>
          <w:sz w:val="24"/>
          <w:szCs w:val="24"/>
          <w:lang w:eastAsia="en-GB"/>
        </w:rPr>
        <w:t xml:space="preserve">dhe </w:t>
      </w:r>
      <w:r w:rsidR="005D681C" w:rsidRPr="004F2AC3">
        <w:rPr>
          <w:rFonts w:ascii="Garamond" w:hAnsi="Garamond" w:cs="Times New Roman"/>
          <w:color w:val="000000" w:themeColor="text1"/>
          <w:sz w:val="24"/>
          <w:szCs w:val="24"/>
          <w:lang w:eastAsia="en-GB"/>
        </w:rPr>
        <w:t>outputeve b</w:t>
      </w:r>
      <w:r w:rsidRPr="004F2AC3">
        <w:rPr>
          <w:rFonts w:ascii="Garamond" w:hAnsi="Garamond" w:cs="Times New Roman"/>
          <w:color w:val="000000" w:themeColor="text1"/>
          <w:sz w:val="24"/>
          <w:szCs w:val="24"/>
          <w:lang w:eastAsia="en-GB"/>
        </w:rPr>
        <w:t>ujqësore</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(SAIO), që plotëson Rregulloren e (KE) </w:t>
      </w:r>
      <w:r w:rsidR="00D32864"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r. 138/2004</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5D681C" w:rsidRPr="004F2AC3">
        <w:rPr>
          <w:rFonts w:ascii="Garamond" w:hAnsi="Garamond" w:cs="Times New Roman"/>
          <w:color w:val="000000" w:themeColor="text1"/>
          <w:sz w:val="24"/>
          <w:szCs w:val="24"/>
          <w:lang w:eastAsia="en-GB"/>
        </w:rPr>
        <w:t>të</w:t>
      </w:r>
      <w:r w:rsidRPr="004F2AC3">
        <w:rPr>
          <w:rFonts w:ascii="Garamond" w:hAnsi="Garamond" w:cs="Times New Roman"/>
          <w:color w:val="000000" w:themeColor="text1"/>
          <w:sz w:val="24"/>
          <w:szCs w:val="24"/>
          <w:lang w:eastAsia="en-GB"/>
        </w:rPr>
        <w:t xml:space="preserve"> Parlamentit Evropian dhe </w:t>
      </w:r>
      <w:r w:rsidR="005D681C" w:rsidRPr="004F2AC3">
        <w:rPr>
          <w:rFonts w:ascii="Garamond" w:hAnsi="Garamond" w:cs="Times New Roman"/>
          <w:color w:val="000000" w:themeColor="text1"/>
          <w:sz w:val="24"/>
          <w:szCs w:val="24"/>
          <w:lang w:eastAsia="en-GB"/>
        </w:rPr>
        <w:t xml:space="preserve">të </w:t>
      </w:r>
      <w:r w:rsidRPr="004F2AC3">
        <w:rPr>
          <w:rFonts w:ascii="Garamond" w:hAnsi="Garamond" w:cs="Times New Roman"/>
          <w:color w:val="000000" w:themeColor="text1"/>
          <w:sz w:val="24"/>
          <w:szCs w:val="24"/>
          <w:lang w:eastAsia="en-GB"/>
        </w:rPr>
        <w:t xml:space="preserve">Këshillit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Për </w:t>
      </w:r>
      <w:r w:rsidR="005D681C" w:rsidRPr="004F2AC3">
        <w:rPr>
          <w:rFonts w:ascii="Garamond" w:hAnsi="Garamond" w:cs="Times New Roman"/>
          <w:color w:val="000000" w:themeColor="text1"/>
          <w:sz w:val="24"/>
          <w:szCs w:val="24"/>
          <w:lang w:eastAsia="en-GB"/>
        </w:rPr>
        <w:t>llogaritë ekonomike në bujqësi</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Në zbatim të kërkesave të kësaj rregulloreje, llogaritë ekonomike në bujqësi dhe çmimet klasifikohen si pjesërisht të përafruara me </w:t>
      </w:r>
      <w:r w:rsidRPr="004F2AC3">
        <w:rPr>
          <w:rFonts w:ascii="Garamond" w:hAnsi="Garamond" w:cs="Times New Roman"/>
          <w:i/>
          <w:color w:val="000000" w:themeColor="text1"/>
          <w:sz w:val="24"/>
          <w:szCs w:val="24"/>
          <w:lang w:eastAsia="en-GB"/>
        </w:rPr>
        <w:t>acquis</w:t>
      </w:r>
      <w:r w:rsidRPr="004F2AC3">
        <w:rPr>
          <w:rFonts w:ascii="Garamond" w:hAnsi="Garamond" w:cs="Times New Roman"/>
          <w:color w:val="000000" w:themeColor="text1"/>
          <w:sz w:val="24"/>
          <w:szCs w:val="24"/>
          <w:lang w:eastAsia="en-GB"/>
        </w:rPr>
        <w:t xml:space="preserve">. </w:t>
      </w:r>
      <w:r w:rsidRPr="004F2AC3">
        <w:rPr>
          <w:rFonts w:ascii="Garamond" w:hAnsi="Garamond" w:cs="Times New Roman"/>
          <w:i/>
          <w:color w:val="000000" w:themeColor="text1"/>
          <w:sz w:val="24"/>
          <w:szCs w:val="24"/>
          <w:lang w:eastAsia="en-GB"/>
        </w:rPr>
        <w:t>Indeksi i Çmimeve të Prodhimeve Bujqësore</w:t>
      </w:r>
      <w:r w:rsidRPr="004F2AC3">
        <w:rPr>
          <w:rFonts w:ascii="Garamond" w:hAnsi="Garamond" w:cs="Times New Roman"/>
          <w:color w:val="000000" w:themeColor="text1"/>
          <w:sz w:val="24"/>
          <w:szCs w:val="24"/>
          <w:lang w:eastAsia="en-GB"/>
        </w:rPr>
        <w:t xml:space="preserve"> publikohet në përputhje me rregulloren e KE</w:t>
      </w:r>
      <w:r w:rsidR="005D681C" w:rsidRPr="004F2AC3">
        <w:rPr>
          <w:rFonts w:ascii="Garamond" w:hAnsi="Garamond" w:cs="Times New Roman"/>
          <w:color w:val="000000" w:themeColor="text1"/>
          <w:sz w:val="24"/>
          <w:szCs w:val="24"/>
          <w:lang w:eastAsia="en-GB"/>
        </w:rPr>
        <w:t>-së</w:t>
      </w:r>
      <w:r w:rsidRPr="004F2AC3">
        <w:rPr>
          <w:rFonts w:ascii="Garamond" w:hAnsi="Garamond" w:cs="Times New Roman"/>
          <w:color w:val="000000" w:themeColor="text1"/>
          <w:sz w:val="24"/>
          <w:szCs w:val="24"/>
          <w:lang w:eastAsia="en-GB"/>
        </w:rPr>
        <w:t xml:space="preserve"> me periodicitet vjetor dhe tremujor.</w:t>
      </w:r>
    </w:p>
    <w:p w14:paraId="4114A162" w14:textId="67CF0C20"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lang w:eastAsia="en-GB"/>
        </w:rPr>
      </w:pPr>
      <w:r w:rsidRPr="004F2AC3">
        <w:rPr>
          <w:rFonts w:ascii="Garamond" w:hAnsi="Garamond" w:cs="Times New Roman"/>
          <w:i/>
          <w:color w:val="000000" w:themeColor="text1"/>
          <w:sz w:val="24"/>
          <w:szCs w:val="24"/>
          <w:lang w:eastAsia="en-GB"/>
        </w:rPr>
        <w:t xml:space="preserve">Statistikat e peshkimit </w:t>
      </w:r>
      <w:r w:rsidRPr="004F2AC3">
        <w:rPr>
          <w:rFonts w:ascii="Garamond" w:hAnsi="Garamond" w:cs="Times New Roman"/>
          <w:color w:val="000000" w:themeColor="text1"/>
          <w:sz w:val="24"/>
          <w:szCs w:val="24"/>
          <w:lang w:eastAsia="en-GB"/>
        </w:rPr>
        <w:t>bazohen në rekomandimet e FAO-s dhe rregulloret: R</w:t>
      </w:r>
      <w:r w:rsidR="00D32864" w:rsidRPr="004F2AC3">
        <w:rPr>
          <w:rFonts w:ascii="Garamond" w:hAnsi="Garamond" w:cs="Times New Roman"/>
          <w:color w:val="000000" w:themeColor="text1"/>
          <w:sz w:val="24"/>
          <w:szCs w:val="24"/>
          <w:lang w:eastAsia="en-GB"/>
        </w:rPr>
        <w:t>r</w:t>
      </w:r>
      <w:r w:rsidRPr="004F2AC3">
        <w:rPr>
          <w:rFonts w:ascii="Garamond" w:hAnsi="Garamond" w:cs="Times New Roman"/>
          <w:color w:val="000000" w:themeColor="text1"/>
          <w:sz w:val="24"/>
          <w:szCs w:val="24"/>
          <w:lang w:eastAsia="en-GB"/>
        </w:rPr>
        <w:t xml:space="preserve">egullorja (EC) </w:t>
      </w:r>
      <w:r w:rsidR="00D32864"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 xml:space="preserve">r. 216/2009 mbi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Statistikat e </w:t>
      </w:r>
      <w:r w:rsidR="005D681C" w:rsidRPr="004F2AC3">
        <w:rPr>
          <w:rFonts w:ascii="Garamond" w:hAnsi="Garamond" w:cs="Times New Roman"/>
          <w:color w:val="000000" w:themeColor="text1"/>
          <w:sz w:val="24"/>
          <w:szCs w:val="24"/>
          <w:lang w:eastAsia="en-GB"/>
        </w:rPr>
        <w:t>zënieve të peshkut</w:t>
      </w:r>
      <w:r w:rsidRPr="004F2AC3">
        <w:rPr>
          <w:rFonts w:ascii="Garamond" w:hAnsi="Garamond" w:cs="Times New Roman"/>
          <w:color w:val="000000" w:themeColor="text1"/>
          <w:sz w:val="24"/>
          <w:szCs w:val="24"/>
          <w:lang w:eastAsia="en-GB"/>
        </w:rPr>
        <w:t>, për peshkimin në zona të caktuara përveç Atlantikut të Veriut</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dhe R</w:t>
      </w:r>
      <w:r w:rsidR="00D32864" w:rsidRPr="004F2AC3">
        <w:rPr>
          <w:rFonts w:ascii="Garamond" w:hAnsi="Garamond" w:cs="Times New Roman"/>
          <w:color w:val="000000" w:themeColor="text1"/>
          <w:sz w:val="24"/>
          <w:szCs w:val="24"/>
          <w:lang w:eastAsia="en-GB"/>
        </w:rPr>
        <w:t>r</w:t>
      </w:r>
      <w:r w:rsidRPr="004F2AC3">
        <w:rPr>
          <w:rFonts w:ascii="Garamond" w:hAnsi="Garamond" w:cs="Times New Roman"/>
          <w:color w:val="000000" w:themeColor="text1"/>
          <w:sz w:val="24"/>
          <w:szCs w:val="24"/>
          <w:lang w:eastAsia="en-GB"/>
        </w:rPr>
        <w:t xml:space="preserve">egullorja (KE) </w:t>
      </w:r>
      <w:r w:rsidR="00D32864"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r. 762/2008</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mbi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Statistikat e </w:t>
      </w:r>
      <w:r w:rsidR="005D681C" w:rsidRPr="004F2AC3">
        <w:rPr>
          <w:rFonts w:ascii="Garamond" w:hAnsi="Garamond" w:cs="Times New Roman"/>
          <w:color w:val="000000" w:themeColor="text1"/>
          <w:sz w:val="24"/>
          <w:szCs w:val="24"/>
          <w:lang w:eastAsia="en-GB"/>
        </w:rPr>
        <w:t>akuakulturës</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Niveli i përputhshmërisë me rregulloret e KE-së është i pjesshëm.</w:t>
      </w:r>
    </w:p>
    <w:p w14:paraId="4F800098" w14:textId="4F3CFFFA" w:rsidR="000F566F" w:rsidRPr="004F2AC3" w:rsidRDefault="00D32864"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lang w:eastAsia="en-GB"/>
        </w:rPr>
        <w:t>Certifikimi</w:t>
      </w:r>
      <w:r w:rsidR="000F566F" w:rsidRPr="004F2AC3">
        <w:rPr>
          <w:rFonts w:ascii="Garamond" w:hAnsi="Garamond" w:cs="Times New Roman"/>
          <w:i/>
          <w:color w:val="000000" w:themeColor="text1"/>
          <w:sz w:val="24"/>
          <w:szCs w:val="24"/>
          <w:lang w:eastAsia="en-GB"/>
        </w:rPr>
        <w:t xml:space="preserve"> i fermave organike</w:t>
      </w:r>
      <w:r w:rsidR="000F566F" w:rsidRPr="004F2AC3">
        <w:rPr>
          <w:rFonts w:ascii="Garamond" w:hAnsi="Garamond" w:cs="Times New Roman"/>
          <w:color w:val="000000" w:themeColor="text1"/>
          <w:sz w:val="24"/>
          <w:szCs w:val="24"/>
        </w:rPr>
        <w:t xml:space="preserve"> bimore dhe blegtorale nga trupat e </w:t>
      </w:r>
      <w:r w:rsidR="005D681C" w:rsidRPr="004F2AC3">
        <w:rPr>
          <w:rFonts w:ascii="Garamond" w:hAnsi="Garamond" w:cs="Times New Roman"/>
          <w:color w:val="000000" w:themeColor="text1"/>
          <w:sz w:val="24"/>
          <w:szCs w:val="24"/>
        </w:rPr>
        <w:t>certifikimit</w:t>
      </w:r>
      <w:r w:rsidR="000F566F" w:rsidRPr="004F2AC3">
        <w:rPr>
          <w:rFonts w:ascii="Garamond" w:hAnsi="Garamond" w:cs="Times New Roman"/>
          <w:color w:val="000000" w:themeColor="text1"/>
          <w:sz w:val="24"/>
          <w:szCs w:val="24"/>
        </w:rPr>
        <w:t xml:space="preserve"> bazohet në </w:t>
      </w:r>
      <w:r w:rsidR="005D681C" w:rsidRPr="004F2AC3">
        <w:rPr>
          <w:rFonts w:ascii="Garamond" w:hAnsi="Garamond" w:cs="Times New Roman"/>
          <w:color w:val="000000" w:themeColor="text1"/>
          <w:sz w:val="24"/>
          <w:szCs w:val="24"/>
        </w:rPr>
        <w:t>ligjin nr</w:t>
      </w:r>
      <w:r w:rsidR="000F566F" w:rsidRPr="004F2AC3">
        <w:rPr>
          <w:rFonts w:ascii="Garamond" w:hAnsi="Garamond" w:cs="Times New Roman"/>
          <w:color w:val="000000" w:themeColor="text1"/>
          <w:sz w:val="24"/>
          <w:szCs w:val="24"/>
        </w:rPr>
        <w:t>. 104/2024</w:t>
      </w:r>
      <w:r w:rsidR="005D681C"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Për </w:t>
      </w:r>
      <w:r w:rsidR="005D681C" w:rsidRPr="004F2AC3">
        <w:rPr>
          <w:rFonts w:ascii="Garamond" w:hAnsi="Garamond" w:cs="Times New Roman"/>
          <w:color w:val="000000" w:themeColor="text1"/>
          <w:sz w:val="24"/>
          <w:szCs w:val="24"/>
        </w:rPr>
        <w:t>prodhimin biologjik, etiketimin e produkteve biologjike dhe kontrollin e tyre</w:t>
      </w:r>
      <w:r w:rsidRPr="004F2AC3">
        <w:rPr>
          <w:rFonts w:ascii="Garamond" w:hAnsi="Garamond" w:cs="Times New Roman"/>
          <w:color w:val="000000" w:themeColor="text1"/>
          <w:sz w:val="24"/>
          <w:szCs w:val="24"/>
        </w:rPr>
        <w:t>”</w:t>
      </w:r>
      <w:r w:rsidR="005D681C"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 e përafruar me R</w:t>
      </w:r>
      <w:r w:rsidRPr="004F2AC3">
        <w:rPr>
          <w:rFonts w:ascii="Garamond" w:hAnsi="Garamond" w:cs="Times New Roman"/>
          <w:color w:val="000000" w:themeColor="text1"/>
          <w:sz w:val="24"/>
          <w:szCs w:val="24"/>
        </w:rPr>
        <w:t>r</w:t>
      </w:r>
      <w:r w:rsidR="000F566F" w:rsidRPr="004F2AC3">
        <w:rPr>
          <w:rFonts w:ascii="Garamond" w:hAnsi="Garamond" w:cs="Times New Roman"/>
          <w:color w:val="000000" w:themeColor="text1"/>
          <w:sz w:val="24"/>
          <w:szCs w:val="24"/>
        </w:rPr>
        <w:t xml:space="preserve">egulloren (KE) </w:t>
      </w:r>
      <w:r w:rsidRPr="004F2AC3">
        <w:rPr>
          <w:rFonts w:ascii="Garamond" w:hAnsi="Garamond" w:cs="Times New Roman"/>
          <w:color w:val="000000" w:themeColor="text1"/>
          <w:sz w:val="24"/>
          <w:szCs w:val="24"/>
        </w:rPr>
        <w:t>n</w:t>
      </w:r>
      <w:r w:rsidR="000F566F" w:rsidRPr="004F2AC3">
        <w:rPr>
          <w:rFonts w:ascii="Garamond" w:hAnsi="Garamond" w:cs="Times New Roman"/>
          <w:color w:val="000000" w:themeColor="text1"/>
          <w:sz w:val="24"/>
          <w:szCs w:val="24"/>
        </w:rPr>
        <w:t xml:space="preserve">r. 834/2007, 28 </w:t>
      </w:r>
      <w:r w:rsidRPr="004F2AC3">
        <w:rPr>
          <w:rFonts w:ascii="Garamond" w:hAnsi="Garamond" w:cs="Times New Roman"/>
          <w:color w:val="000000" w:themeColor="text1"/>
          <w:sz w:val="24"/>
          <w:szCs w:val="24"/>
        </w:rPr>
        <w:t>q</w:t>
      </w:r>
      <w:r w:rsidR="000F566F" w:rsidRPr="004F2AC3">
        <w:rPr>
          <w:rFonts w:ascii="Garamond" w:hAnsi="Garamond" w:cs="Times New Roman"/>
          <w:color w:val="000000" w:themeColor="text1"/>
          <w:sz w:val="24"/>
          <w:szCs w:val="24"/>
        </w:rPr>
        <w:t>ershor 2007</w:t>
      </w:r>
      <w:r w:rsidR="005D681C"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 mbi </w:t>
      </w:r>
      <w:r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Produktet </w:t>
      </w:r>
      <w:r w:rsidR="005D681C" w:rsidRPr="004F2AC3">
        <w:rPr>
          <w:rFonts w:ascii="Garamond" w:hAnsi="Garamond" w:cs="Times New Roman"/>
          <w:color w:val="000000" w:themeColor="text1"/>
          <w:sz w:val="24"/>
          <w:szCs w:val="24"/>
        </w:rPr>
        <w:t xml:space="preserve">organike dhe etiketimin </w:t>
      </w:r>
      <w:r w:rsidR="000F566F" w:rsidRPr="004F2AC3">
        <w:rPr>
          <w:rFonts w:ascii="Garamond" w:hAnsi="Garamond" w:cs="Times New Roman"/>
          <w:color w:val="000000" w:themeColor="text1"/>
          <w:sz w:val="24"/>
          <w:szCs w:val="24"/>
        </w:rPr>
        <w:t xml:space="preserve">e </w:t>
      </w:r>
      <w:r w:rsidR="005D681C" w:rsidRPr="004F2AC3">
        <w:rPr>
          <w:rFonts w:ascii="Garamond" w:hAnsi="Garamond" w:cs="Times New Roman"/>
          <w:color w:val="000000" w:themeColor="text1"/>
          <w:sz w:val="24"/>
          <w:szCs w:val="24"/>
        </w:rPr>
        <w:t>produkteve organike</w:t>
      </w:r>
      <w:r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Duke filluar nga viti 2026, informacioni mbi prodhimin organik do të përfshihet në kuadrin e Rregullores së re (BE) 2022/2379</w:t>
      </w:r>
      <w:r w:rsidR="005D681C"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 të Parlamentit Evropian dhe Këshillit, </w:t>
      </w:r>
      <w:r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rPr>
        <w:t xml:space="preserve">Për </w:t>
      </w:r>
      <w:r w:rsidR="005D681C" w:rsidRPr="004F2AC3">
        <w:rPr>
          <w:rFonts w:ascii="Garamond" w:hAnsi="Garamond" w:cs="Times New Roman"/>
          <w:color w:val="000000" w:themeColor="text1"/>
          <w:sz w:val="24"/>
          <w:szCs w:val="24"/>
        </w:rPr>
        <w:t xml:space="preserve">statistikat </w:t>
      </w:r>
      <w:r w:rsidR="000F566F" w:rsidRPr="004F2AC3">
        <w:rPr>
          <w:rFonts w:ascii="Garamond" w:hAnsi="Garamond" w:cs="Times New Roman"/>
          <w:color w:val="000000" w:themeColor="text1"/>
          <w:sz w:val="24"/>
          <w:szCs w:val="24"/>
        </w:rPr>
        <w:t xml:space="preserve">e </w:t>
      </w:r>
      <w:r w:rsidR="005D681C" w:rsidRPr="004F2AC3">
        <w:rPr>
          <w:rFonts w:ascii="Garamond" w:hAnsi="Garamond" w:cs="Times New Roman"/>
          <w:color w:val="000000" w:themeColor="text1"/>
          <w:sz w:val="24"/>
          <w:szCs w:val="24"/>
        </w:rPr>
        <w:t>inputeve dhe outputeve bujqësore</w:t>
      </w:r>
      <w:r w:rsidRPr="004F2AC3">
        <w:rPr>
          <w:rFonts w:ascii="Garamond" w:hAnsi="Garamond" w:cs="Times New Roman"/>
          <w:color w:val="000000" w:themeColor="text1"/>
          <w:sz w:val="24"/>
          <w:szCs w:val="24"/>
        </w:rPr>
        <w:t>”</w:t>
      </w:r>
      <w:r w:rsidR="000F566F" w:rsidRPr="004F2AC3">
        <w:rPr>
          <w:rFonts w:ascii="Garamond" w:hAnsi="Garamond" w:cs="Times New Roman"/>
          <w:color w:val="000000" w:themeColor="text1"/>
          <w:sz w:val="24"/>
          <w:szCs w:val="24"/>
          <w:lang w:eastAsia="en-GB"/>
        </w:rPr>
        <w:t xml:space="preserve"> </w:t>
      </w:r>
      <w:r w:rsidR="000F566F" w:rsidRPr="004F2AC3">
        <w:rPr>
          <w:rFonts w:ascii="Garamond" w:hAnsi="Garamond" w:cs="Times New Roman"/>
          <w:color w:val="000000" w:themeColor="text1"/>
          <w:sz w:val="24"/>
          <w:szCs w:val="24"/>
        </w:rPr>
        <w:t>(SAIO).</w:t>
      </w:r>
    </w:p>
    <w:p w14:paraId="7CA3B8CF" w14:textId="0A7EDF79"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lang w:eastAsia="en-GB"/>
        </w:rPr>
      </w:pPr>
      <w:r w:rsidRPr="004F2AC3">
        <w:rPr>
          <w:rFonts w:ascii="Garamond" w:eastAsia="Times New Roman" w:hAnsi="Garamond" w:cs="Times New Roman"/>
          <w:i/>
          <w:color w:val="000000" w:themeColor="text1"/>
          <w:sz w:val="24"/>
          <w:szCs w:val="24"/>
        </w:rPr>
        <w:t>Statistikat e agromjedisit</w:t>
      </w:r>
      <w:r w:rsidR="005D681C" w:rsidRPr="004F2AC3">
        <w:rPr>
          <w:rFonts w:ascii="Garamond" w:eastAsia="Times New Roman" w:hAnsi="Garamond" w:cs="Times New Roman"/>
          <w:i/>
          <w:color w:val="000000" w:themeColor="text1"/>
          <w:sz w:val="24"/>
          <w:szCs w:val="24"/>
        </w:rPr>
        <w:t>,</w:t>
      </w:r>
      <w:r w:rsidRPr="004F2AC3">
        <w:rPr>
          <w:rFonts w:ascii="Garamond" w:eastAsia="Times New Roman" w:hAnsi="Garamond" w:cs="Times New Roman"/>
          <w:color w:val="000000" w:themeColor="text1"/>
          <w:sz w:val="24"/>
          <w:szCs w:val="24"/>
        </w:rPr>
        <w:t xml:space="preserve"> </w:t>
      </w:r>
      <w:r w:rsidRPr="004F2AC3">
        <w:rPr>
          <w:rFonts w:ascii="Garamond" w:hAnsi="Garamond" w:cs="Times New Roman"/>
          <w:color w:val="000000" w:themeColor="text1"/>
          <w:sz w:val="24"/>
          <w:szCs w:val="24"/>
          <w:lang w:eastAsia="en-GB"/>
        </w:rPr>
        <w:t>duke filluar nga viti 2026</w:t>
      </w:r>
      <w:r w:rsidR="005D681C"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do të mblidhen bazuar në Rregulloren e re (BE) 2022/2379</w:t>
      </w:r>
      <w:r w:rsidR="005D681C"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të Parlamentit Evropian dhe </w:t>
      </w:r>
      <w:r w:rsidR="005D681C" w:rsidRPr="004F2AC3">
        <w:rPr>
          <w:rFonts w:ascii="Garamond" w:hAnsi="Garamond" w:cs="Times New Roman"/>
          <w:color w:val="000000" w:themeColor="text1"/>
          <w:sz w:val="24"/>
          <w:szCs w:val="24"/>
          <w:lang w:eastAsia="en-GB"/>
        </w:rPr>
        <w:t>të</w:t>
      </w:r>
      <w:r w:rsidRPr="004F2AC3">
        <w:rPr>
          <w:rFonts w:ascii="Garamond" w:hAnsi="Garamond" w:cs="Times New Roman"/>
          <w:color w:val="000000" w:themeColor="text1"/>
          <w:sz w:val="24"/>
          <w:szCs w:val="24"/>
          <w:lang w:eastAsia="en-GB"/>
        </w:rPr>
        <w:t xml:space="preserve"> Këshillit</w:t>
      </w:r>
      <w:r w:rsidR="00684E85"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Për </w:t>
      </w:r>
      <w:r w:rsidR="005D681C" w:rsidRPr="004F2AC3">
        <w:rPr>
          <w:rFonts w:ascii="Garamond" w:hAnsi="Garamond" w:cs="Times New Roman"/>
          <w:color w:val="000000" w:themeColor="text1"/>
          <w:sz w:val="24"/>
          <w:szCs w:val="24"/>
          <w:lang w:eastAsia="en-GB"/>
        </w:rPr>
        <w:t>statistikat e inputeve dhe outputeve bujqësore</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(SAIO), që shfuqizon </w:t>
      </w:r>
      <w:r w:rsidRPr="004F2AC3">
        <w:rPr>
          <w:rFonts w:ascii="Garamond" w:eastAsia="Times New Roman" w:hAnsi="Garamond" w:cs="Times New Roman"/>
          <w:color w:val="000000" w:themeColor="text1"/>
          <w:sz w:val="24"/>
          <w:szCs w:val="24"/>
        </w:rPr>
        <w:t>Rregulloren</w:t>
      </w:r>
      <w:r w:rsidR="005D681C" w:rsidRPr="004F2AC3">
        <w:rPr>
          <w:rFonts w:ascii="Garamond" w:eastAsia="Times New Roman" w:hAnsi="Garamond" w:cs="Times New Roman"/>
          <w:color w:val="000000" w:themeColor="text1"/>
          <w:sz w:val="24"/>
          <w:szCs w:val="24"/>
        </w:rPr>
        <w:t xml:space="preserve"> (KE) </w:t>
      </w:r>
      <w:r w:rsidR="00D32864"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 1185/2009</w:t>
      </w:r>
      <w:r w:rsidR="005D681C"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5D681C" w:rsidRPr="004F2AC3">
        <w:rPr>
          <w:rFonts w:ascii="Garamond" w:eastAsia="Times New Roman" w:hAnsi="Garamond" w:cs="Times New Roman"/>
          <w:color w:val="000000" w:themeColor="text1"/>
          <w:sz w:val="24"/>
          <w:szCs w:val="24"/>
        </w:rPr>
        <w:t>të</w:t>
      </w:r>
      <w:r w:rsidRPr="004F2AC3">
        <w:rPr>
          <w:rFonts w:ascii="Garamond" w:eastAsia="Times New Roman" w:hAnsi="Garamond" w:cs="Times New Roman"/>
          <w:color w:val="000000" w:themeColor="text1"/>
          <w:sz w:val="24"/>
          <w:szCs w:val="24"/>
        </w:rPr>
        <w:t xml:space="preserve"> Parlamentit Evropian dhe </w:t>
      </w:r>
      <w:r w:rsidR="005D681C" w:rsidRPr="004F2AC3">
        <w:rPr>
          <w:rFonts w:ascii="Garamond" w:eastAsia="Times New Roman" w:hAnsi="Garamond" w:cs="Times New Roman"/>
          <w:color w:val="000000" w:themeColor="text1"/>
          <w:sz w:val="24"/>
          <w:szCs w:val="24"/>
        </w:rPr>
        <w:t>të</w:t>
      </w:r>
      <w:r w:rsidRPr="004F2AC3">
        <w:rPr>
          <w:rFonts w:ascii="Garamond" w:eastAsia="Times New Roman" w:hAnsi="Garamond" w:cs="Times New Roman"/>
          <w:color w:val="000000" w:themeColor="text1"/>
          <w:sz w:val="24"/>
          <w:szCs w:val="24"/>
        </w:rPr>
        <w:t xml:space="preserve"> Këshillit</w:t>
      </w:r>
      <w:r w:rsidR="005D681C"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Për </w:t>
      </w:r>
      <w:r w:rsidR="005D681C" w:rsidRPr="004F2AC3">
        <w:rPr>
          <w:rFonts w:ascii="Garamond" w:eastAsia="Times New Roman" w:hAnsi="Garamond" w:cs="Times New Roman"/>
          <w:color w:val="000000" w:themeColor="text1"/>
          <w:sz w:val="24"/>
          <w:szCs w:val="24"/>
        </w:rPr>
        <w:t>statistikat mbi pesticidet</w:t>
      </w:r>
      <w:r w:rsidR="00D32864" w:rsidRPr="004F2AC3">
        <w:rPr>
          <w:rFonts w:ascii="Garamond" w:eastAsia="Times New Roman" w:hAnsi="Garamond" w:cs="Times New Roman"/>
          <w:color w:val="000000" w:themeColor="text1"/>
          <w:sz w:val="24"/>
          <w:szCs w:val="24"/>
        </w:rPr>
        <w:t>”</w:t>
      </w:r>
      <w:r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lang w:eastAsia="en-GB"/>
        </w:rPr>
        <w:t xml:space="preserve"> Aktualisht niveli i përputhshmërisë me </w:t>
      </w:r>
      <w:r w:rsidRPr="004F2AC3">
        <w:rPr>
          <w:rFonts w:ascii="Garamond" w:hAnsi="Garamond" w:cs="Times New Roman"/>
          <w:i/>
          <w:color w:val="000000" w:themeColor="text1"/>
          <w:sz w:val="24"/>
          <w:szCs w:val="24"/>
          <w:lang w:eastAsia="en-GB"/>
        </w:rPr>
        <w:t>acquis</w:t>
      </w:r>
      <w:r w:rsidRPr="004F2AC3">
        <w:rPr>
          <w:rFonts w:ascii="Garamond" w:hAnsi="Garamond" w:cs="Times New Roman"/>
          <w:color w:val="000000" w:themeColor="text1"/>
          <w:sz w:val="24"/>
          <w:szCs w:val="24"/>
          <w:lang w:eastAsia="en-GB"/>
        </w:rPr>
        <w:t xml:space="preserve"> është i pjesshëm.</w:t>
      </w:r>
    </w:p>
    <w:p w14:paraId="02983412" w14:textId="683BA1C8"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3.2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Energjia</w:t>
      </w:r>
      <w:r w:rsidR="00D32864" w:rsidRPr="004F2AC3">
        <w:rPr>
          <w:rFonts w:ascii="Garamond" w:eastAsia="Times New Roman" w:hAnsi="Garamond" w:cs="Times New Roman"/>
          <w:b/>
          <w:color w:val="000000" w:themeColor="text1"/>
          <w:sz w:val="24"/>
          <w:szCs w:val="24"/>
        </w:rPr>
        <w:t>”</w:t>
      </w:r>
    </w:p>
    <w:p w14:paraId="2412490B" w14:textId="594DD129"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Kjo temë përmban nëntemën 3.2.1 </w:t>
      </w:r>
      <w:r w:rsidR="00D32864"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 xml:space="preserve">Statistikat e </w:t>
      </w:r>
      <w:r w:rsidR="005D681C" w:rsidRPr="004F2AC3">
        <w:rPr>
          <w:rFonts w:ascii="Garamond" w:hAnsi="Garamond" w:cs="Times New Roman"/>
          <w:i/>
          <w:color w:val="000000" w:themeColor="text1"/>
          <w:sz w:val="24"/>
          <w:szCs w:val="24"/>
        </w:rPr>
        <w:t>energjisë</w:t>
      </w:r>
      <w:r w:rsidR="005D681C"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prodhimi</w:t>
      </w:r>
      <w:r w:rsidR="00D32864" w:rsidRPr="004F2AC3">
        <w:rPr>
          <w:rFonts w:ascii="Garamond" w:hAnsi="Garamond" w:cs="Times New Roman"/>
          <w:i/>
          <w:color w:val="000000" w:themeColor="text1"/>
          <w:sz w:val="24"/>
          <w:szCs w:val="24"/>
        </w:rPr>
        <w:t>”</w:t>
      </w:r>
    </w:p>
    <w:p w14:paraId="6C88EECE" w14:textId="37E5EAE5"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Prodhimi i statistikave të energjisë në Agjencinë Kombëtare të Burimeve Natyrore do të mbështetet nga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në cilësinë e koordinatorit të Sistemit Kombëtar Statistikor. AKBN</w:t>
      </w:r>
      <w:r w:rsidR="00D32864" w:rsidRPr="004F2AC3">
        <w:rPr>
          <w:rFonts w:ascii="Garamond" w:hAnsi="Garamond" w:cs="Times New Roman"/>
          <w:color w:val="000000" w:themeColor="text1"/>
          <w:sz w:val="24"/>
          <w:szCs w:val="24"/>
        </w:rPr>
        <w:t>-ja</w:t>
      </w:r>
      <w:r w:rsidRPr="004F2AC3">
        <w:rPr>
          <w:rFonts w:ascii="Garamond" w:hAnsi="Garamond" w:cs="Times New Roman"/>
          <w:color w:val="000000" w:themeColor="text1"/>
          <w:sz w:val="24"/>
          <w:szCs w:val="24"/>
        </w:rPr>
        <w:t xml:space="preserve"> do të prodhojë dhe publikojë statistikat në volum të Bilancit të Përgjithshëm të Energjisë me frekuencë vjetore, si dhe </w:t>
      </w:r>
      <w:r w:rsidR="005D681C" w:rsidRPr="004F2AC3">
        <w:rPr>
          <w:rFonts w:ascii="Garamond" w:hAnsi="Garamond" w:cs="Times New Roman"/>
          <w:color w:val="000000" w:themeColor="text1"/>
          <w:sz w:val="24"/>
          <w:szCs w:val="24"/>
        </w:rPr>
        <w:t>qymyrit, naftës, gazit, energjisë elektrike dhe burimeve të rinovueshme</w:t>
      </w:r>
      <w:r w:rsidRPr="004F2AC3">
        <w:rPr>
          <w:rFonts w:ascii="Garamond" w:hAnsi="Garamond" w:cs="Times New Roman"/>
          <w:color w:val="000000" w:themeColor="text1"/>
          <w:sz w:val="24"/>
          <w:szCs w:val="24"/>
        </w:rPr>
        <w:t>, me frekuencë tremujore, aktivitete për të cilat kontribuojnë me të dhëna administrative</w:t>
      </w:r>
      <w:r w:rsidR="005D681C"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Ministria e Infrastrukturës dhe Energjisë, Ministria e Mjedisit, Operatori i Sistemit të Transmetimit, Operatori i Shpërndarjes së Energjisë Elektrike, Korporata </w:t>
      </w:r>
      <w:r w:rsidR="005D681C" w:rsidRPr="004F2AC3">
        <w:rPr>
          <w:rFonts w:ascii="Garamond" w:hAnsi="Garamond" w:cs="Times New Roman"/>
          <w:color w:val="000000" w:themeColor="text1"/>
          <w:sz w:val="24"/>
          <w:szCs w:val="24"/>
        </w:rPr>
        <w:t>Energjetike</w:t>
      </w:r>
      <w:r w:rsidRPr="004F2AC3">
        <w:rPr>
          <w:rFonts w:ascii="Garamond" w:hAnsi="Garamond" w:cs="Times New Roman"/>
          <w:color w:val="000000" w:themeColor="text1"/>
          <w:sz w:val="24"/>
          <w:szCs w:val="24"/>
        </w:rPr>
        <w:t xml:space="preserve"> Shqiptare, Enti Rregullator i Energjisë, Albpetrol sh</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a</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Drejtoria e Përgjithshme e Dogana</w:t>
      </w:r>
      <w:r w:rsidR="005D681C" w:rsidRPr="004F2AC3">
        <w:rPr>
          <w:rFonts w:ascii="Garamond" w:hAnsi="Garamond" w:cs="Times New Roman"/>
          <w:color w:val="000000" w:themeColor="text1"/>
          <w:sz w:val="24"/>
          <w:szCs w:val="24"/>
        </w:rPr>
        <w:t>ve, bashkitë e Shqipërisë, etj.</w:t>
      </w:r>
    </w:p>
    <w:p w14:paraId="5C3E5470" w14:textId="43CE5D8D"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vazhdojë të publikojë me periodicitet tremujor statistikat e bilancit të energjisë elektrike.</w:t>
      </w:r>
    </w:p>
    <w:p w14:paraId="5E3A336A" w14:textId="631B6DD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Përmirësimet në kuadër të </w:t>
      </w:r>
      <w:r w:rsidR="005D681C" w:rsidRPr="004F2AC3">
        <w:rPr>
          <w:rFonts w:ascii="Garamond" w:hAnsi="Garamond" w:cs="Times New Roman"/>
          <w:color w:val="000000" w:themeColor="text1"/>
          <w:sz w:val="24"/>
          <w:szCs w:val="24"/>
        </w:rPr>
        <w:t>përafrimit</w:t>
      </w:r>
      <w:r w:rsidRPr="004F2AC3">
        <w:rPr>
          <w:rFonts w:ascii="Garamond" w:hAnsi="Garamond" w:cs="Times New Roman"/>
          <w:color w:val="000000" w:themeColor="text1"/>
          <w:sz w:val="24"/>
          <w:szCs w:val="24"/>
        </w:rPr>
        <w:t xml:space="preserve"> me rregulloret gjatë vitit 2026 do të fokusohen në rritjen e numrit të treguesve të transmetuar në Eurostat, si dhe në cilësinë e të dhënave të transmetuara.</w:t>
      </w:r>
    </w:p>
    <w:p w14:paraId="79D34478" w14:textId="3500AF4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 xml:space="preserve">Tregues statistikorë mbi prodhimin neto vendas të energjisë elektrike, qymyrit, naftës dhe gazit, si dhe importin dhe eksportin bruto të energjisë elektrike, qymyrit dhe produkteve të naftës, humbjet në rrjet të </w:t>
      </w:r>
      <w:r w:rsidR="00D32864" w:rsidRPr="004F2AC3">
        <w:rPr>
          <w:rFonts w:ascii="Garamond" w:hAnsi="Garamond" w:cs="Times New Roman"/>
          <w:color w:val="000000" w:themeColor="text1"/>
          <w:sz w:val="24"/>
          <w:szCs w:val="24"/>
        </w:rPr>
        <w:t>energjisë</w:t>
      </w:r>
      <w:r w:rsidRPr="004F2AC3">
        <w:rPr>
          <w:rFonts w:ascii="Garamond" w:hAnsi="Garamond" w:cs="Times New Roman"/>
          <w:color w:val="000000" w:themeColor="text1"/>
          <w:sz w:val="24"/>
          <w:szCs w:val="24"/>
        </w:rPr>
        <w:t xml:space="preserve"> elektrike, si edhe konsumin e tyre final në vendin tonë; Tregues statistikorë mbi bilancin </w:t>
      </w:r>
      <w:r w:rsidR="00D32864" w:rsidRPr="004F2AC3">
        <w:rPr>
          <w:rFonts w:ascii="Garamond" w:hAnsi="Garamond" w:cs="Times New Roman"/>
          <w:color w:val="000000" w:themeColor="text1"/>
          <w:sz w:val="24"/>
          <w:szCs w:val="24"/>
        </w:rPr>
        <w:t>energjetik</w:t>
      </w:r>
      <w:r w:rsidRPr="004F2AC3">
        <w:rPr>
          <w:rFonts w:ascii="Garamond" w:hAnsi="Garamond" w:cs="Times New Roman"/>
          <w:color w:val="000000" w:themeColor="text1"/>
          <w:sz w:val="24"/>
          <w:szCs w:val="24"/>
        </w:rPr>
        <w:t>, i cili paraqet situatën aktuale në sektorin e energjisë në vend për origjinën dhe përdorimin specifik sipas burimeve të energjisë, duke siguruar të dhëna mbi konsumin e energjisë për banorë, intensitetin e energjisë, kontributin e burimeve të rinovueshme në konsumin final, etj.</w:t>
      </w:r>
    </w:p>
    <w:p w14:paraId="38F69D11" w14:textId="5CECD9F5"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eastAsia="Times New Roman" w:hAnsi="Garamond" w:cs="Times New Roman"/>
          <w:b/>
          <w:bCs/>
          <w:iCs/>
          <w:color w:val="000000" w:themeColor="text1"/>
          <w:sz w:val="24"/>
          <w:szCs w:val="24"/>
        </w:rPr>
        <w:t xml:space="preserve">Përputhshmëria me </w:t>
      </w:r>
      <w:r w:rsidRPr="004F2AC3">
        <w:rPr>
          <w:rFonts w:ascii="Garamond" w:eastAsia="Times New Roman" w:hAnsi="Garamond" w:cs="Times New Roman"/>
          <w:b/>
          <w:bCs/>
          <w:i/>
          <w:iCs/>
          <w:color w:val="000000" w:themeColor="text1"/>
          <w:sz w:val="24"/>
          <w:szCs w:val="24"/>
        </w:rPr>
        <w:t>acquis</w:t>
      </w:r>
      <w:r w:rsidRPr="004F2AC3">
        <w:rPr>
          <w:rFonts w:ascii="Garamond" w:eastAsia="Times New Roman" w:hAnsi="Garamond" w:cs="Times New Roman"/>
          <w:b/>
          <w:bCs/>
          <w:iCs/>
          <w:color w:val="000000" w:themeColor="text1"/>
          <w:sz w:val="24"/>
          <w:szCs w:val="24"/>
        </w:rPr>
        <w:t xml:space="preserve">: </w:t>
      </w:r>
      <w:r w:rsidRPr="004F2AC3">
        <w:rPr>
          <w:rFonts w:ascii="Garamond" w:eastAsia="Times New Roman" w:hAnsi="Garamond" w:cs="Times New Roman"/>
          <w:bCs/>
          <w:i/>
          <w:iCs/>
          <w:color w:val="000000" w:themeColor="text1"/>
          <w:sz w:val="24"/>
          <w:szCs w:val="24"/>
        </w:rPr>
        <w:t xml:space="preserve">Statistikat e </w:t>
      </w:r>
      <w:r w:rsidR="009944EF" w:rsidRPr="004F2AC3">
        <w:rPr>
          <w:rFonts w:ascii="Garamond" w:eastAsia="Times New Roman" w:hAnsi="Garamond" w:cs="Times New Roman"/>
          <w:bCs/>
          <w:i/>
          <w:iCs/>
          <w:color w:val="000000" w:themeColor="text1"/>
          <w:sz w:val="24"/>
          <w:szCs w:val="24"/>
        </w:rPr>
        <w:t xml:space="preserve">energjisë </w:t>
      </w:r>
      <w:r w:rsidRPr="004F2AC3">
        <w:rPr>
          <w:rFonts w:ascii="Garamond" w:eastAsia="Times New Roman" w:hAnsi="Garamond" w:cs="Times New Roman"/>
          <w:bCs/>
          <w:iCs/>
          <w:color w:val="000000" w:themeColor="text1"/>
          <w:sz w:val="24"/>
          <w:szCs w:val="24"/>
        </w:rPr>
        <w:t xml:space="preserve">janë pjesërisht të përafruara me Rregulloren (KE) </w:t>
      </w:r>
      <w:r w:rsidR="009944EF" w:rsidRPr="004F2AC3">
        <w:rPr>
          <w:rFonts w:ascii="Garamond" w:eastAsia="Times New Roman" w:hAnsi="Garamond" w:cs="Times New Roman"/>
          <w:bCs/>
          <w:iCs/>
          <w:color w:val="000000" w:themeColor="text1"/>
          <w:sz w:val="24"/>
          <w:szCs w:val="24"/>
        </w:rPr>
        <w:t>nr</w:t>
      </w:r>
      <w:r w:rsidRPr="004F2AC3">
        <w:rPr>
          <w:rFonts w:ascii="Garamond" w:eastAsia="Times New Roman" w:hAnsi="Garamond" w:cs="Times New Roman"/>
          <w:bCs/>
          <w:iCs/>
          <w:color w:val="000000" w:themeColor="text1"/>
          <w:sz w:val="24"/>
          <w:szCs w:val="24"/>
        </w:rPr>
        <w:t>. 1099/2008</w:t>
      </w:r>
      <w:r w:rsidR="009944EF" w:rsidRPr="004F2AC3">
        <w:rPr>
          <w:rFonts w:ascii="Garamond" w:eastAsia="Times New Roman" w:hAnsi="Garamond" w:cs="Times New Roman"/>
          <w:bCs/>
          <w:iCs/>
          <w:color w:val="000000" w:themeColor="text1"/>
          <w:sz w:val="24"/>
          <w:szCs w:val="24"/>
        </w:rPr>
        <w:t>,</w:t>
      </w:r>
      <w:r w:rsidRPr="004F2AC3">
        <w:rPr>
          <w:rFonts w:ascii="Garamond" w:eastAsia="Times New Roman" w:hAnsi="Garamond" w:cs="Times New Roman"/>
          <w:bCs/>
          <w:iCs/>
          <w:color w:val="000000" w:themeColor="text1"/>
          <w:sz w:val="24"/>
          <w:szCs w:val="24"/>
        </w:rPr>
        <w:t xml:space="preserve"> të</w:t>
      </w:r>
      <w:r w:rsidRPr="004F2AC3">
        <w:rPr>
          <w:rFonts w:ascii="Garamond" w:hAnsi="Garamond" w:cs="Times New Roman"/>
          <w:color w:val="000000" w:themeColor="text1"/>
          <w:sz w:val="24"/>
          <w:szCs w:val="24"/>
        </w:rPr>
        <w:t xml:space="preserve"> Parlamenti</w:t>
      </w:r>
      <w:r w:rsidR="009944EF" w:rsidRPr="004F2AC3">
        <w:rPr>
          <w:rFonts w:ascii="Garamond" w:hAnsi="Garamond" w:cs="Times New Roman"/>
          <w:color w:val="000000" w:themeColor="text1"/>
          <w:sz w:val="24"/>
          <w:szCs w:val="24"/>
        </w:rPr>
        <w:t xml:space="preserve">t Evropian dhe të Këshillit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statistikat e energjisë</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Një numër i madh i treguesve mbi statistikat e energjisë transmetohen aktualisht në Eurostat përmes pyetësorëve të </w:t>
      </w:r>
      <w:r w:rsidR="009944EF" w:rsidRPr="004F2AC3">
        <w:rPr>
          <w:rFonts w:ascii="Garamond" w:hAnsi="Garamond" w:cs="Times New Roman"/>
          <w:color w:val="000000" w:themeColor="text1"/>
          <w:sz w:val="24"/>
          <w:szCs w:val="24"/>
        </w:rPr>
        <w:t>energjisë</w:t>
      </w:r>
      <w:r w:rsidRPr="004F2AC3">
        <w:rPr>
          <w:rFonts w:ascii="Garamond" w:hAnsi="Garamond" w:cs="Times New Roman"/>
          <w:color w:val="000000" w:themeColor="text1"/>
          <w:sz w:val="24"/>
          <w:szCs w:val="24"/>
        </w:rPr>
        <w:t>. Përmirësimi dhe rritja e cilësisë dhe numrit të treguesve të transmetuar në Eurostat, përmirësimi i mbledhjes së të dhënave të produkteve të naftës, si dhe përpilimi i konsumit final sipas sektorëve është një nga prioritetet kryesore në të ardhmen.</w:t>
      </w:r>
    </w:p>
    <w:p w14:paraId="23C1A741" w14:textId="21EEEC45"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3.3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Transporti</w:t>
      </w:r>
      <w:r w:rsidR="00D32864" w:rsidRPr="004F2AC3">
        <w:rPr>
          <w:rFonts w:ascii="Garamond" w:eastAsia="Times New Roman" w:hAnsi="Garamond" w:cs="Times New Roman"/>
          <w:b/>
          <w:color w:val="000000" w:themeColor="text1"/>
          <w:sz w:val="24"/>
          <w:szCs w:val="24"/>
        </w:rPr>
        <w:t>”</w:t>
      </w:r>
    </w:p>
    <w:p w14:paraId="573A21C8" w14:textId="5B482C33"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Tema e statistikave të transportit përfshin dy nëntema: 3.3.1 </w:t>
      </w:r>
      <w:r w:rsidR="00D32864"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 xml:space="preserve">Statistikat e </w:t>
      </w:r>
      <w:r w:rsidR="009944EF" w:rsidRPr="004F2AC3">
        <w:rPr>
          <w:rFonts w:ascii="Garamond" w:hAnsi="Garamond" w:cs="Times New Roman"/>
          <w:i/>
          <w:color w:val="000000" w:themeColor="text1"/>
          <w:sz w:val="24"/>
          <w:szCs w:val="24"/>
        </w:rPr>
        <w:t>transportit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dhe 3.3.2 </w:t>
      </w:r>
      <w:r w:rsidR="00D32864"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Statistikat mbi sigurinë në transport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Statistikat e nëntemës së parë kanë përkatësisht frekuencë tremujore dhe vjetore, të cilat prodhohen nga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duke kryer publikimin e statistikave mbi transportin ajror, detar, hekurudhor dhe rrugo</w:t>
      </w:r>
      <w:r w:rsidR="009944EF" w:rsidRPr="004F2AC3">
        <w:rPr>
          <w:rFonts w:ascii="Garamond" w:hAnsi="Garamond" w:cs="Times New Roman"/>
          <w:color w:val="000000" w:themeColor="text1"/>
          <w:sz w:val="24"/>
          <w:szCs w:val="24"/>
        </w:rPr>
        <w:t>r,</w:t>
      </w:r>
      <w:r w:rsidRPr="004F2AC3">
        <w:rPr>
          <w:rFonts w:ascii="Garamond" w:hAnsi="Garamond" w:cs="Times New Roman"/>
          <w:color w:val="000000" w:themeColor="text1"/>
          <w:sz w:val="24"/>
          <w:szCs w:val="24"/>
        </w:rPr>
        <w:t xml:space="preserve"> dhe publikimin e statistika</w:t>
      </w:r>
      <w:r w:rsidR="009944EF" w:rsidRPr="004F2AC3">
        <w:rPr>
          <w:rFonts w:ascii="Garamond" w:hAnsi="Garamond" w:cs="Times New Roman"/>
          <w:color w:val="000000" w:themeColor="text1"/>
          <w:sz w:val="24"/>
          <w:szCs w:val="24"/>
        </w:rPr>
        <w:t>ve</w:t>
      </w:r>
      <w:r w:rsidRPr="004F2AC3">
        <w:rPr>
          <w:rFonts w:ascii="Garamond" w:hAnsi="Garamond" w:cs="Times New Roman"/>
          <w:color w:val="000000" w:themeColor="text1"/>
          <w:sz w:val="24"/>
          <w:szCs w:val="24"/>
        </w:rPr>
        <w:t xml:space="preserve"> mbi karakteristikat e mjeteve të transportit rrugor. Për realizimin dhe publikimin e këtyre statistikave,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përpunon të dhënat administrative të marra nga Ministria e Infrastrukturës dhe Energjisë, si dhe nga Drejtoria e Përgjithshme e Shërbimeve të Transportit Rrugor. Për</w:t>
      </w:r>
      <w:r w:rsidR="00D32864"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sa i takon nëntemës së dytë</w:t>
      </w:r>
      <w:r w:rsidR="009944EF"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kryen aktivitetin statistikor me frekuencë mujore të statistikave mbi aksidentet rrugore dhe prodhon tregues vjetor për këto aksidente. Për realizimin e këtyre statistikave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përpunon të dhënat administrative të siguruara nga Drejtoria e Përgjithshme e Policisë së Shtetit dhe Ministria e</w:t>
      </w:r>
      <w:r w:rsidR="009944EF" w:rsidRPr="004F2AC3">
        <w:rPr>
          <w:rFonts w:ascii="Garamond" w:hAnsi="Garamond" w:cs="Times New Roman"/>
          <w:color w:val="000000" w:themeColor="text1"/>
          <w:sz w:val="24"/>
          <w:szCs w:val="24"/>
        </w:rPr>
        <w:t xml:space="preserve"> Infrastrukturës dhe Energjisë.</w:t>
      </w:r>
    </w:p>
    <w:p w14:paraId="6C2EE632" w14:textId="5C2CC005"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Gjatë vitit 2026 do të do të prodhohen treguesit mbi llojet e transportit dhe mbi sigurinë në transport bazuar në rregulloret evropiane, si dhe do të kryhet transmetimi në Eurostat, </w:t>
      </w:r>
      <w:r w:rsidR="009944EF" w:rsidRPr="004F2AC3">
        <w:rPr>
          <w:rFonts w:ascii="Garamond" w:hAnsi="Garamond" w:cs="Times New Roman"/>
          <w:color w:val="000000" w:themeColor="text1"/>
          <w:sz w:val="24"/>
          <w:szCs w:val="24"/>
        </w:rPr>
        <w:t>UNECE</w:t>
      </w:r>
      <w:r w:rsidRPr="004F2AC3">
        <w:rPr>
          <w:rFonts w:ascii="Garamond" w:hAnsi="Garamond" w:cs="Times New Roman"/>
          <w:color w:val="000000" w:themeColor="text1"/>
          <w:sz w:val="24"/>
          <w:szCs w:val="24"/>
        </w:rPr>
        <w:t>, Forumin Ndërkombëtar të Transportit, i treguesve të prodhuar për statistikat e transportit. Gjithashtu, në kuadër të programit IPA 2022 shumëpërfitues, për statistikat e transportit dhe në vijimësi të vrojtimit pilot të realizuar për transportin rrugor të mallrave, gjatë vitit 2026, do të realizohet vrojtimi i plotë i statistikave të transportit rrugor të mallrave.</w:t>
      </w:r>
    </w:p>
    <w:p w14:paraId="5E42059F" w14:textId="0CF1CEB5"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 xml:space="preserve">Tregues statistikorë mbi transportin ajror, detar, ujor </w:t>
      </w:r>
      <w:r w:rsidR="009944EF" w:rsidRPr="004F2AC3">
        <w:rPr>
          <w:rFonts w:ascii="Garamond" w:hAnsi="Garamond" w:cs="Times New Roman"/>
          <w:color w:val="000000" w:themeColor="text1"/>
          <w:sz w:val="24"/>
          <w:szCs w:val="24"/>
        </w:rPr>
        <w:t>të</w:t>
      </w:r>
      <w:r w:rsidRPr="004F2AC3">
        <w:rPr>
          <w:rFonts w:ascii="Garamond" w:hAnsi="Garamond" w:cs="Times New Roman"/>
          <w:color w:val="000000" w:themeColor="text1"/>
          <w:sz w:val="24"/>
          <w:szCs w:val="24"/>
        </w:rPr>
        <w:t xml:space="preserve"> brendshëm dhe hekurudhor të mallrave dhe pasagjerëve, në nivel kombëtar dhe sipas rajoneve; Tregues statistikorë mbi karakteristikat e mjeteve të transportit rrugor; Tregues statistikorë mbi numrin e aksidenteve rrugore dhe numrin e të aksidentua</w:t>
      </w:r>
      <w:r w:rsidR="005B3A9C" w:rsidRPr="004F2AC3">
        <w:rPr>
          <w:rFonts w:ascii="Garamond" w:hAnsi="Garamond" w:cs="Times New Roman"/>
          <w:color w:val="000000" w:themeColor="text1"/>
          <w:sz w:val="24"/>
          <w:szCs w:val="24"/>
        </w:rPr>
        <w:t>rve (të vdekur dhe të plagosur)</w:t>
      </w:r>
      <w:r w:rsidRPr="004F2AC3">
        <w:rPr>
          <w:rFonts w:ascii="Garamond" w:hAnsi="Garamond" w:cs="Times New Roman"/>
          <w:color w:val="000000" w:themeColor="text1"/>
          <w:sz w:val="24"/>
          <w:szCs w:val="24"/>
        </w:rPr>
        <w:t>, në nivel kombëtar dhe sipas rajoneve.</w:t>
      </w:r>
    </w:p>
    <w:p w14:paraId="25DE8F89" w14:textId="0EDCCB70"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lang w:eastAsia="en-GB"/>
        </w:rPr>
      </w:pPr>
      <w:r w:rsidRPr="004F2AC3">
        <w:rPr>
          <w:rFonts w:ascii="Garamond" w:eastAsia="Times New Roman" w:hAnsi="Garamond" w:cs="Times New Roman"/>
          <w:b/>
          <w:color w:val="000000" w:themeColor="text1"/>
          <w:sz w:val="24"/>
          <w:szCs w:val="24"/>
        </w:rPr>
        <w:t xml:space="preserve">Përputhshmëria me </w:t>
      </w:r>
      <w:r w:rsidRPr="004F2AC3">
        <w:rPr>
          <w:rFonts w:ascii="Garamond" w:hAnsi="Garamond" w:cs="Times New Roman"/>
          <w:b/>
          <w:bCs/>
          <w:i/>
          <w:iCs/>
          <w:color w:val="000000" w:themeColor="text1"/>
          <w:sz w:val="24"/>
          <w:szCs w:val="24"/>
        </w:rPr>
        <w:t xml:space="preserve">acquis: </w:t>
      </w:r>
      <w:r w:rsidRPr="004F2AC3">
        <w:rPr>
          <w:rFonts w:ascii="Garamond" w:hAnsi="Garamond" w:cs="Times New Roman"/>
          <w:i/>
          <w:color w:val="000000" w:themeColor="text1"/>
          <w:sz w:val="24"/>
          <w:szCs w:val="24"/>
          <w:lang w:eastAsia="en-GB"/>
        </w:rPr>
        <w:t xml:space="preserve">Statistikat mbi </w:t>
      </w:r>
      <w:r w:rsidR="009944EF" w:rsidRPr="004F2AC3">
        <w:rPr>
          <w:rFonts w:ascii="Garamond" w:hAnsi="Garamond" w:cs="Times New Roman"/>
          <w:i/>
          <w:color w:val="000000" w:themeColor="text1"/>
          <w:sz w:val="24"/>
          <w:szCs w:val="24"/>
          <w:lang w:eastAsia="en-GB"/>
        </w:rPr>
        <w:t>transportin</w:t>
      </w:r>
      <w:r w:rsidR="009944EF" w:rsidRPr="004F2AC3">
        <w:rPr>
          <w:rFonts w:ascii="Garamond" w:hAnsi="Garamond" w:cs="Times New Roman"/>
          <w:color w:val="000000" w:themeColor="text1"/>
          <w:sz w:val="24"/>
          <w:szCs w:val="24"/>
          <w:lang w:eastAsia="en-GB"/>
        </w:rPr>
        <w:t xml:space="preserve"> </w:t>
      </w:r>
      <w:r w:rsidRPr="004F2AC3">
        <w:rPr>
          <w:rFonts w:ascii="Garamond" w:hAnsi="Garamond" w:cs="Times New Roman"/>
          <w:color w:val="000000" w:themeColor="text1"/>
          <w:sz w:val="24"/>
          <w:szCs w:val="24"/>
          <w:lang w:eastAsia="en-GB"/>
        </w:rPr>
        <w:t xml:space="preserve">janë pjesërisht në përputhje me rregulloret e Parlamentit dhe Këshillit Evropian </w:t>
      </w:r>
      <w:r w:rsidR="00D32864"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r. 2018/643</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Mbi </w:t>
      </w:r>
      <w:r w:rsidR="009944EF" w:rsidRPr="004F2AC3">
        <w:rPr>
          <w:rFonts w:ascii="Garamond" w:hAnsi="Garamond" w:cs="Times New Roman"/>
          <w:color w:val="000000" w:themeColor="text1"/>
          <w:sz w:val="24"/>
          <w:szCs w:val="24"/>
          <w:lang w:eastAsia="en-GB"/>
        </w:rPr>
        <w:t>statistikat e transportit hekurudhor</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r.</w:t>
      </w:r>
      <w:r w:rsidR="00D32864" w:rsidRPr="004F2AC3">
        <w:rPr>
          <w:rFonts w:ascii="Garamond" w:hAnsi="Garamond" w:cs="Times New Roman"/>
          <w:color w:val="000000" w:themeColor="text1"/>
          <w:sz w:val="24"/>
          <w:szCs w:val="24"/>
          <w:lang w:eastAsia="en-GB"/>
        </w:rPr>
        <w:t xml:space="preserve"> </w:t>
      </w:r>
      <w:r w:rsidRPr="004F2AC3">
        <w:rPr>
          <w:rFonts w:ascii="Garamond" w:hAnsi="Garamond" w:cs="Times New Roman"/>
          <w:color w:val="000000" w:themeColor="text1"/>
          <w:sz w:val="24"/>
          <w:szCs w:val="24"/>
          <w:lang w:eastAsia="en-GB"/>
        </w:rPr>
        <w:t xml:space="preserve">70/2012,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Mbi të dhënat statistikore në lidhje me transportin rrugor të mallrave</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D32864"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 xml:space="preserve">r. 93/704 </w:t>
      </w:r>
      <w:r w:rsidR="00D32864" w:rsidRPr="004F2AC3">
        <w:rPr>
          <w:rFonts w:ascii="Garamond" w:eastAsia="Times New Roman" w:hAnsi="Garamond" w:cs="Times New Roman"/>
          <w:color w:val="000000" w:themeColor="text1"/>
          <w:sz w:val="24"/>
          <w:szCs w:val="24"/>
        </w:rPr>
        <w:t>“</w:t>
      </w:r>
      <w:r w:rsidRPr="004F2AC3">
        <w:rPr>
          <w:rFonts w:ascii="Garamond" w:hAnsi="Garamond" w:cs="Times New Roman"/>
          <w:color w:val="000000" w:themeColor="text1"/>
          <w:sz w:val="24"/>
          <w:szCs w:val="24"/>
          <w:lang w:eastAsia="en-GB"/>
        </w:rPr>
        <w:t>Mbi krijimin e një baze të të dhënave të Komunitetit për aksidentet rrugore</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 xml:space="preserve">r. 437/2003,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Mbi të dhënat statistikore në lidhje me transportin ajror të udhëtarëve, mallrave dhe postës</w:t>
      </w:r>
      <w:r w:rsidR="00D32864" w:rsidRPr="004F2AC3">
        <w:rPr>
          <w:rFonts w:ascii="Garamond" w:hAnsi="Garamond" w:cs="Times New Roman"/>
          <w:color w:val="000000" w:themeColor="text1"/>
          <w:sz w:val="24"/>
          <w:szCs w:val="24"/>
          <w:lang w:eastAsia="en-GB"/>
        </w:rPr>
        <w:t>”</w:t>
      </w:r>
      <w:r w:rsidR="009944EF"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si dhe direktivën e Parlamentit dhe Këshillit Evropian </w:t>
      </w:r>
      <w:r w:rsidR="00D32864"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 xml:space="preserve">r. 2009/42,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Mbi të dhënat statistikore në lidhje me transportin detar të mallrave dhe udhëtarëve</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p>
    <w:p w14:paraId="60BAD26E" w14:textId="7B3411E6"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3.4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Turizmi</w:t>
      </w:r>
      <w:r w:rsidR="00D32864" w:rsidRPr="004F2AC3">
        <w:rPr>
          <w:rFonts w:ascii="Garamond" w:eastAsia="Times New Roman" w:hAnsi="Garamond" w:cs="Times New Roman"/>
          <w:b/>
          <w:color w:val="000000" w:themeColor="text1"/>
          <w:sz w:val="24"/>
          <w:szCs w:val="24"/>
        </w:rPr>
        <w:t>”</w:t>
      </w:r>
    </w:p>
    <w:p w14:paraId="7A27C1D0" w14:textId="1F190BAB"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e kësaj kategorie përfshijnë tr</w:t>
      </w:r>
      <w:r w:rsidR="009944EF"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nëntema:</w:t>
      </w:r>
    </w:p>
    <w:p w14:paraId="6243526E" w14:textId="1DFF891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3.4.1</w:t>
      </w:r>
      <w:r w:rsidR="009944EF" w:rsidRPr="004F2AC3">
        <w:rPr>
          <w:rFonts w:ascii="Garamond" w:hAnsi="Garamond" w:cs="Times New Roman"/>
          <w:i/>
          <w:color w:val="000000" w:themeColor="text1"/>
          <w:sz w:val="24"/>
          <w:szCs w:val="24"/>
        </w:rPr>
        <w:t xml:space="preserve"> “</w:t>
      </w:r>
      <w:r w:rsidRPr="004F2AC3">
        <w:rPr>
          <w:rFonts w:ascii="Garamond" w:hAnsi="Garamond" w:cs="Times New Roman"/>
          <w:i/>
          <w:color w:val="000000" w:themeColor="text1"/>
          <w:sz w:val="24"/>
          <w:szCs w:val="24"/>
        </w:rPr>
        <w:t xml:space="preserve">Statistikat mbi </w:t>
      </w:r>
      <w:r w:rsidR="009944EF" w:rsidRPr="004F2AC3">
        <w:rPr>
          <w:rFonts w:ascii="Garamond" w:hAnsi="Garamond" w:cs="Times New Roman"/>
          <w:i/>
          <w:color w:val="000000" w:themeColor="text1"/>
          <w:sz w:val="24"/>
          <w:szCs w:val="24"/>
        </w:rPr>
        <w:t>strukturat akomoduese</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për prodhimin e të cilave,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kryen vrojtimin statistikor mujor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Vrojtimi i </w:t>
      </w:r>
      <w:r w:rsidR="009944EF" w:rsidRPr="004F2AC3">
        <w:rPr>
          <w:rFonts w:ascii="Garamond" w:hAnsi="Garamond" w:cs="Times New Roman"/>
          <w:color w:val="000000" w:themeColor="text1"/>
          <w:sz w:val="24"/>
          <w:szCs w:val="24"/>
        </w:rPr>
        <w:t>strukturave akomoduese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pranë hoteleve dhe strukturave të ngjashme. Informacioni do të vazhdojë të mblidhet çdo muaj nëpërmjet metodës CAPI për të gjitha strukturat akomoduese që ushtro</w:t>
      </w:r>
      <w:r w:rsidR="009944EF" w:rsidRPr="004F2AC3">
        <w:rPr>
          <w:rFonts w:ascii="Garamond" w:hAnsi="Garamond" w:cs="Times New Roman"/>
          <w:color w:val="000000" w:themeColor="text1"/>
          <w:sz w:val="24"/>
          <w:szCs w:val="24"/>
        </w:rPr>
        <w:t>jnë aktivitetin e tyre në vend.</w:t>
      </w:r>
    </w:p>
    <w:p w14:paraId="4BBE2831" w14:textId="3A4B88A3"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Gjatë vitit 2026, treguesit mujor të statistikave të akomodimit që përbëjnë ofertën turistike në vend, do të publikohen në përputhje me rregulloren përkatëse, 6 ja</w:t>
      </w:r>
      <w:r w:rsidR="009944EF" w:rsidRPr="004F2AC3">
        <w:rPr>
          <w:rFonts w:ascii="Garamond" w:hAnsi="Garamond" w:cs="Times New Roman"/>
          <w:color w:val="000000" w:themeColor="text1"/>
          <w:sz w:val="24"/>
          <w:szCs w:val="24"/>
        </w:rPr>
        <w:t>vë pas periudhës së referencës.</w:t>
      </w:r>
    </w:p>
    <w:p w14:paraId="5918BEA9" w14:textId="75C51BC3"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Në vitin 2025,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prodhoi dhe transmetoi për herë të parë të dhënat vjetore me vit reference 2024, të detajuara sipas NUTS III për numrin e</w:t>
      </w:r>
      <w:r w:rsidR="009944EF" w:rsidRPr="004F2AC3">
        <w:rPr>
          <w:rFonts w:ascii="Garamond" w:hAnsi="Garamond" w:cs="Times New Roman"/>
          <w:color w:val="000000" w:themeColor="text1"/>
          <w:sz w:val="24"/>
          <w:szCs w:val="24"/>
        </w:rPr>
        <w:t xml:space="preserve"> net</w:t>
      </w:r>
      <w:r w:rsidR="007B27C0" w:rsidRPr="004F2AC3">
        <w:rPr>
          <w:rFonts w:ascii="Garamond" w:hAnsi="Garamond" w:cs="Times New Roman"/>
          <w:color w:val="000000" w:themeColor="text1"/>
          <w:sz w:val="24"/>
          <w:szCs w:val="24"/>
        </w:rPr>
        <w:t>ë</w:t>
      </w:r>
      <w:r w:rsidRPr="004F2AC3">
        <w:rPr>
          <w:rFonts w:ascii="Garamond" w:hAnsi="Garamond" w:cs="Times New Roman"/>
          <w:color w:val="000000" w:themeColor="text1"/>
          <w:sz w:val="24"/>
          <w:szCs w:val="24"/>
        </w:rPr>
        <w:t>qëndrimeve dhe sipas DEG_URBA për numrin e strukturave akomoduese, numrin e dhomave, shtretërve, vizitorëve dhe net qëndrimeve. Gjithashtu, është transmetuar në Eurostat për herë të parë dhe treguesi për numrin e strukturave që ofrojnë një ose më shumë dhoma të përshtatshme për persona me aftësi të kufizuara në lëvizje. Gjatë vitit 2026, do të prodhohen dhe transmetohen treguesit vjetorë të ndarë sipas NUTS III dhe DEGU</w:t>
      </w:r>
      <w:r w:rsidR="009944EF" w:rsidRPr="004F2AC3">
        <w:rPr>
          <w:rFonts w:ascii="Garamond" w:hAnsi="Garamond" w:cs="Times New Roman"/>
          <w:color w:val="000000" w:themeColor="text1"/>
          <w:sz w:val="24"/>
          <w:szCs w:val="24"/>
        </w:rPr>
        <w:t>RBA për të dhënat e vitit 2025.</w:t>
      </w:r>
    </w:p>
    <w:p w14:paraId="25573196" w14:textId="02CF91D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Në këtë vit, për nevoja kombëtare, në vrojtimin statistikor për strukturat akomoduese do të kërkohet informacion vjetor, për treguesit si të punësuarit sipas gjinisë, pjesëmarrjen e strukturave akomoduese në skema kombëtare apo ndërkombëtare për personat me aftësi të kufizuar</w:t>
      </w:r>
      <w:r w:rsidR="009944EF" w:rsidRPr="004F2AC3">
        <w:rPr>
          <w:rFonts w:ascii="Garamond" w:hAnsi="Garamond" w:cs="Times New Roman"/>
          <w:color w:val="000000" w:themeColor="text1"/>
          <w:sz w:val="24"/>
          <w:szCs w:val="24"/>
        </w:rPr>
        <w:t>a</w:t>
      </w:r>
      <w:r w:rsidRPr="004F2AC3">
        <w:rPr>
          <w:rFonts w:ascii="Garamond" w:hAnsi="Garamond" w:cs="Times New Roman"/>
          <w:color w:val="000000" w:themeColor="text1"/>
          <w:sz w:val="24"/>
          <w:szCs w:val="24"/>
        </w:rPr>
        <w:t xml:space="preserve"> apo për zbutjen e ndryshimeve klimaterike, informacion nëse strukturat kanë marrë masa mbi ndryshimet klimaterike, zvogëlimin e konsumit të ujit apo energjisë, si dhe përqindjen e shërbimeve apo produkteve që strukturat përdorin nga furnizues vendas.</w:t>
      </w:r>
    </w:p>
    <w:p w14:paraId="1D161951" w14:textId="22BC9B82" w:rsidR="000F566F" w:rsidRPr="004F2AC3" w:rsidRDefault="000F566F" w:rsidP="000F566F">
      <w:pPr>
        <w:spacing w:after="0" w:line="240" w:lineRule="auto"/>
        <w:ind w:firstLine="284"/>
        <w:jc w:val="both"/>
        <w:rPr>
          <w:rFonts w:ascii="Garamond" w:eastAsia="Calibri" w:hAnsi="Garamond" w:cs="Times New Roman"/>
          <w:color w:val="000000" w:themeColor="text1"/>
          <w:sz w:val="24"/>
          <w:szCs w:val="24"/>
        </w:rPr>
      </w:pPr>
      <w:r w:rsidRPr="004F2AC3">
        <w:rPr>
          <w:rFonts w:ascii="Garamond" w:eastAsia="Calibri" w:hAnsi="Garamond" w:cs="Times New Roman"/>
          <w:color w:val="000000" w:themeColor="text1"/>
          <w:sz w:val="24"/>
          <w:szCs w:val="24"/>
        </w:rPr>
        <w:t>Gjithashtu</w:t>
      </w:r>
      <w:r w:rsidR="009944EF"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 në vitin 2026, do të zhvillohet një vrojtim statistikor në ndërmarrjet me aktivitet në sektorin e </w:t>
      </w:r>
      <w:r w:rsidR="009944EF" w:rsidRPr="004F2AC3">
        <w:rPr>
          <w:rFonts w:ascii="Garamond" w:eastAsia="Calibri" w:hAnsi="Garamond" w:cs="Times New Roman"/>
          <w:color w:val="000000" w:themeColor="text1"/>
          <w:sz w:val="24"/>
          <w:szCs w:val="24"/>
        </w:rPr>
        <w:t>turizmit</w:t>
      </w:r>
      <w:r w:rsidRPr="004F2AC3">
        <w:rPr>
          <w:rFonts w:ascii="Garamond" w:eastAsia="Calibri" w:hAnsi="Garamond" w:cs="Times New Roman"/>
          <w:color w:val="000000" w:themeColor="text1"/>
          <w:sz w:val="24"/>
          <w:szCs w:val="24"/>
        </w:rPr>
        <w:t>. Qëllimi i këtij vrojtimi është të mbledhë të dhëna vjetore mbi aktivitetin e këtyre ndërmarrjeve dhe matjen e indikatorëve lidhur me ndërgjegjësimin mjedisor (ndryshimi i klimës, menaxhimi i mbetjeve, reduktimi i konsumit të ujit, etj</w:t>
      </w:r>
      <w:r w:rsidR="00D32864"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w:t>
      </w:r>
    </w:p>
    <w:p w14:paraId="73D5F963" w14:textId="684D7EA5" w:rsidR="000F566F" w:rsidRPr="004F2AC3" w:rsidRDefault="000F566F" w:rsidP="000F566F">
      <w:pPr>
        <w:spacing w:after="0" w:line="240" w:lineRule="auto"/>
        <w:ind w:firstLine="284"/>
        <w:jc w:val="both"/>
        <w:rPr>
          <w:rFonts w:ascii="Garamond" w:hAnsi="Garamond" w:cs="Times New Roman"/>
          <w:i/>
          <w:color w:val="000000" w:themeColor="text1"/>
          <w:sz w:val="24"/>
          <w:szCs w:val="24"/>
        </w:rPr>
      </w:pPr>
      <w:r w:rsidRPr="004F2AC3">
        <w:rPr>
          <w:rFonts w:ascii="Garamond" w:hAnsi="Garamond" w:cs="Times New Roman"/>
          <w:i/>
          <w:color w:val="000000" w:themeColor="text1"/>
          <w:sz w:val="24"/>
          <w:szCs w:val="24"/>
        </w:rPr>
        <w:t xml:space="preserve">3.4.2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e </w:t>
      </w:r>
      <w:r w:rsidR="009944EF" w:rsidRPr="004F2AC3">
        <w:rPr>
          <w:rFonts w:ascii="Garamond" w:hAnsi="Garamond" w:cs="Times New Roman"/>
          <w:i/>
          <w:color w:val="000000" w:themeColor="text1"/>
          <w:sz w:val="24"/>
          <w:szCs w:val="24"/>
        </w:rPr>
        <w:t xml:space="preserve">turizmit </w:t>
      </w:r>
      <w:r w:rsidRPr="004F2AC3">
        <w:rPr>
          <w:rFonts w:ascii="Garamond" w:hAnsi="Garamond" w:cs="Times New Roman"/>
          <w:i/>
          <w:color w:val="000000" w:themeColor="text1"/>
          <w:sz w:val="24"/>
          <w:szCs w:val="24"/>
        </w:rPr>
        <w:t xml:space="preserve">në </w:t>
      </w:r>
      <w:r w:rsidR="009944EF" w:rsidRPr="004F2AC3">
        <w:rPr>
          <w:rFonts w:ascii="Garamond" w:hAnsi="Garamond" w:cs="Times New Roman"/>
          <w:i/>
          <w:color w:val="000000" w:themeColor="text1"/>
          <w:sz w:val="24"/>
          <w:szCs w:val="24"/>
        </w:rPr>
        <w:t xml:space="preserve">njësitë ekonomike familjare </w:t>
      </w:r>
      <w:r w:rsidRPr="004F2AC3">
        <w:rPr>
          <w:rFonts w:ascii="Garamond" w:hAnsi="Garamond" w:cs="Times New Roman"/>
          <w:i/>
          <w:color w:val="000000" w:themeColor="text1"/>
          <w:sz w:val="24"/>
          <w:szCs w:val="24"/>
        </w:rPr>
        <w:t>(NjEF)</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statistikat vjetore të së cilës, prodhohen nëpërmjet aktivitetit të INSTAT-it si vrojtimi i turizmit pranë NjEF</w:t>
      </w:r>
      <w:r w:rsidR="009944EF" w:rsidRPr="004F2AC3">
        <w:rPr>
          <w:rFonts w:ascii="Garamond" w:hAnsi="Garamond" w:cs="Times New Roman"/>
          <w:color w:val="000000" w:themeColor="text1"/>
          <w:sz w:val="24"/>
          <w:szCs w:val="24"/>
        </w:rPr>
        <w:t>-ve</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Pushime dhe </w:t>
      </w:r>
      <w:r w:rsidR="009944EF" w:rsidRPr="004F2AC3">
        <w:rPr>
          <w:rFonts w:ascii="Garamond" w:hAnsi="Garamond" w:cs="Times New Roman"/>
          <w:color w:val="000000" w:themeColor="text1"/>
          <w:sz w:val="24"/>
          <w:szCs w:val="24"/>
        </w:rPr>
        <w:t>udhëtime</w:t>
      </w:r>
      <w:r w:rsidR="00D32864" w:rsidRPr="004F2AC3">
        <w:rPr>
          <w:rFonts w:ascii="Garamond" w:hAnsi="Garamond" w:cs="Times New Roman"/>
          <w:color w:val="000000" w:themeColor="text1"/>
          <w:sz w:val="24"/>
          <w:szCs w:val="24"/>
        </w:rPr>
        <w:t>”</w:t>
      </w:r>
      <w:r w:rsidR="009944EF"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në përputhje me rekomandimet e parashikuara në </w:t>
      </w:r>
      <w:r w:rsidR="009944EF" w:rsidRPr="004F2AC3">
        <w:rPr>
          <w:rFonts w:ascii="Garamond" w:hAnsi="Garamond" w:cs="Times New Roman"/>
          <w:color w:val="000000" w:themeColor="text1"/>
          <w:sz w:val="24"/>
          <w:szCs w:val="24"/>
        </w:rPr>
        <w:t xml:space="preserve">Rregulloren </w:t>
      </w:r>
      <w:r w:rsidRPr="004F2AC3">
        <w:rPr>
          <w:rFonts w:ascii="Garamond" w:hAnsi="Garamond" w:cs="Times New Roman"/>
          <w:color w:val="000000" w:themeColor="text1"/>
          <w:sz w:val="24"/>
          <w:szCs w:val="24"/>
        </w:rPr>
        <w:t xml:space="preserve">(BE) </w:t>
      </w:r>
      <w:r w:rsidR="00D32864"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692/2011</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statistikat e turizmit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Publikimi i rezultateve të vitit 2025 për vrojtimin e turizmit në NjEF do të vijojë sipas parashikimit, në vitin 2026. Për të siguruar mbarëvajtjen e aktivitetit dhe vlerësimin e të dhënave të transmetuara në Eurostat,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zbatojë të gjitha rekomandimet dhe udhëzimet e Eurostat</w:t>
      </w:r>
      <w:r w:rsidR="00766048" w:rsidRPr="004F2AC3">
        <w:rPr>
          <w:rFonts w:ascii="Garamond" w:hAnsi="Garamond" w:cs="Times New Roman"/>
          <w:color w:val="000000" w:themeColor="text1"/>
          <w:sz w:val="24"/>
          <w:szCs w:val="24"/>
        </w:rPr>
        <w:t>it</w:t>
      </w:r>
      <w:r w:rsidRPr="004F2AC3">
        <w:rPr>
          <w:rFonts w:ascii="Garamond" w:hAnsi="Garamond" w:cs="Times New Roman"/>
          <w:color w:val="000000" w:themeColor="text1"/>
          <w:sz w:val="24"/>
          <w:szCs w:val="24"/>
        </w:rPr>
        <w:t>.</w:t>
      </w:r>
      <w:r w:rsidRPr="004F2AC3" w:rsidDel="007150F0">
        <w:rPr>
          <w:rFonts w:ascii="Garamond" w:hAnsi="Garamond" w:cs="Times New Roman"/>
          <w:i/>
          <w:color w:val="000000" w:themeColor="text1"/>
          <w:sz w:val="24"/>
          <w:szCs w:val="24"/>
        </w:rPr>
        <w:t xml:space="preserve"> </w:t>
      </w:r>
    </w:p>
    <w:p w14:paraId="72CD374F"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Gjatë vitit 2026, për nevoja kombëtare, janë planifikuar të kryhen disa vrojtime të reja statistikore në: kroçiera, në tre qarqe (destinacione turistike), në pika kufitare ku do të merret </w:t>
      </w:r>
      <w:bookmarkStart w:id="39" w:name="_Hlk204939760"/>
      <w:r w:rsidRPr="004F2AC3">
        <w:rPr>
          <w:rFonts w:ascii="Garamond" w:hAnsi="Garamond" w:cs="Times New Roman"/>
          <w:color w:val="000000" w:themeColor="text1"/>
          <w:sz w:val="24"/>
          <w:szCs w:val="24"/>
        </w:rPr>
        <w:t>informacion lidhur me atraksionet turistike të vizituara, shpenzimet e kryera, cilësia e ofrimit të shërbimeve dhe impakti i turizmit në këto destinacione.</w:t>
      </w:r>
      <w:bookmarkEnd w:id="39"/>
    </w:p>
    <w:p w14:paraId="45CFC4B7" w14:textId="2CDB2E8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3.4.3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e </w:t>
      </w:r>
      <w:r w:rsidR="00766048" w:rsidRPr="004F2AC3">
        <w:rPr>
          <w:rFonts w:ascii="Garamond" w:hAnsi="Garamond" w:cs="Times New Roman"/>
          <w:i/>
          <w:color w:val="000000" w:themeColor="text1"/>
          <w:sz w:val="24"/>
          <w:szCs w:val="24"/>
        </w:rPr>
        <w:t>lëvizjes së shtetasve</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ku përfshihet aktiviteti me frekuencë mujore për prodhimin e statistikave mbi lëvizjen (hyrje/daljet) e shtetasve të huaj dhe shqiptarë, i cili kryhet nga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nëpërmjet përpunimit të të dhënave të siguruara nga Drejtoria e Përgjithshme e Policisë së Shtetit.</w:t>
      </w:r>
    </w:p>
    <w:p w14:paraId="4EBA736D" w14:textId="694E1343"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Tregues statistikorë mbi lëvizjet (hyrje/dalje) e shtetasve të huaj dhe vendas, të detajuar sipas mënyrës së transportit, sipas shteteve dhe qëllimit të vizitës; Tregues mbi ecurinë e turizmit në Shqipëri; Tregues statistikorë përshkrues të ofertës turistike nga ndërmarrjet, që përfaqësojnë anën e ofertës (</w:t>
      </w:r>
      <w:r w:rsidRPr="004F2AC3">
        <w:rPr>
          <w:rFonts w:ascii="Garamond" w:hAnsi="Garamond" w:cs="Times New Roman"/>
          <w:i/>
          <w:color w:val="000000" w:themeColor="text1"/>
          <w:sz w:val="24"/>
          <w:szCs w:val="24"/>
        </w:rPr>
        <w:t>supply side</w:t>
      </w:r>
      <w:r w:rsidRPr="004F2AC3">
        <w:rPr>
          <w:rFonts w:ascii="Garamond" w:hAnsi="Garamond" w:cs="Times New Roman"/>
          <w:color w:val="000000" w:themeColor="text1"/>
          <w:sz w:val="24"/>
          <w:szCs w:val="24"/>
        </w:rPr>
        <w:t>), për periudha mujore dhe vjetore, duke përf</w:t>
      </w:r>
      <w:r w:rsidR="00766048" w:rsidRPr="004F2AC3">
        <w:rPr>
          <w:rFonts w:ascii="Garamond" w:hAnsi="Garamond" w:cs="Times New Roman"/>
          <w:color w:val="000000" w:themeColor="text1"/>
          <w:sz w:val="24"/>
          <w:szCs w:val="24"/>
        </w:rPr>
        <w:t>shirë numrin e vizitorëve, net</w:t>
      </w:r>
      <w:r w:rsidR="007B27C0" w:rsidRPr="004F2AC3">
        <w:rPr>
          <w:rFonts w:ascii="Garamond" w:hAnsi="Garamond" w:cs="Times New Roman"/>
          <w:color w:val="000000" w:themeColor="text1"/>
          <w:sz w:val="24"/>
          <w:szCs w:val="24"/>
        </w:rPr>
        <w:t>ë</w:t>
      </w:r>
      <w:r w:rsidR="00766048" w:rsidRPr="004F2AC3">
        <w:rPr>
          <w:rFonts w:ascii="Garamond" w:hAnsi="Garamond" w:cs="Times New Roman"/>
          <w:color w:val="000000" w:themeColor="text1"/>
          <w:sz w:val="24"/>
          <w:szCs w:val="24"/>
        </w:rPr>
        <w:t>q</w:t>
      </w:r>
      <w:r w:rsidRPr="004F2AC3">
        <w:rPr>
          <w:rFonts w:ascii="Garamond" w:hAnsi="Garamond" w:cs="Times New Roman"/>
          <w:color w:val="000000" w:themeColor="text1"/>
          <w:sz w:val="24"/>
          <w:szCs w:val="24"/>
        </w:rPr>
        <w:t>ëndrimet, shpërndarjen sipas shteteve, kapacitetin shfrytëzues, të punësuarit sipas gjinisë, pjesëmarrjen e strukturave akomoduese në skema kombëtare apo ndërkombëtare për personat me aftësi të kufizuar</w:t>
      </w:r>
      <w:r w:rsidR="00766048" w:rsidRPr="004F2AC3">
        <w:rPr>
          <w:rFonts w:ascii="Garamond" w:hAnsi="Garamond" w:cs="Times New Roman"/>
          <w:color w:val="000000" w:themeColor="text1"/>
          <w:sz w:val="24"/>
          <w:szCs w:val="24"/>
        </w:rPr>
        <w:t>a</w:t>
      </w:r>
      <w:r w:rsidRPr="004F2AC3">
        <w:rPr>
          <w:rFonts w:ascii="Garamond" w:hAnsi="Garamond" w:cs="Times New Roman"/>
          <w:color w:val="000000" w:themeColor="text1"/>
          <w:sz w:val="24"/>
          <w:szCs w:val="24"/>
        </w:rPr>
        <w:t xml:space="preserve"> apo për zbutjen e ndryshimeve klimaterike, informacion për masat mbi ndryshimet klimaterike, zvogëlimin e konsumit të ujit apo energjisë, si dhe përqindjen e shërbimeve apo produkteve që strukturat përdorin nga furnizues vendas; Tregues statistikorë mbi përshkrimin e nivelit dhe strukturës së turizmit në familje, ana e kërkesës (</w:t>
      </w:r>
      <w:r w:rsidRPr="004F2AC3">
        <w:rPr>
          <w:rFonts w:ascii="Garamond" w:hAnsi="Garamond" w:cs="Times New Roman"/>
          <w:i/>
          <w:color w:val="000000" w:themeColor="text1"/>
          <w:sz w:val="24"/>
          <w:szCs w:val="24"/>
        </w:rPr>
        <w:t>demand side</w:t>
      </w:r>
      <w:r w:rsidRPr="004F2AC3">
        <w:rPr>
          <w:rFonts w:ascii="Garamond" w:hAnsi="Garamond" w:cs="Times New Roman"/>
          <w:color w:val="000000" w:themeColor="text1"/>
          <w:sz w:val="24"/>
          <w:szCs w:val="24"/>
        </w:rPr>
        <w:t xml:space="preserve">) për periudha tremujore dhe vjetore, në përputhje me kërkesat e rregullores të KE-së </w:t>
      </w:r>
      <w:r w:rsidR="00766048"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 692/2011 (</w:t>
      </w:r>
      <w:r w:rsidR="00766048" w:rsidRPr="004F2AC3">
        <w:rPr>
          <w:rFonts w:ascii="Garamond" w:hAnsi="Garamond" w:cs="Times New Roman"/>
          <w:color w:val="000000" w:themeColor="text1"/>
          <w:sz w:val="24"/>
          <w:szCs w:val="24"/>
        </w:rPr>
        <w:t>a</w:t>
      </w:r>
      <w:r w:rsidRPr="004F2AC3">
        <w:rPr>
          <w:rFonts w:ascii="Garamond" w:hAnsi="Garamond" w:cs="Times New Roman"/>
          <w:color w:val="000000" w:themeColor="text1"/>
          <w:sz w:val="24"/>
          <w:szCs w:val="24"/>
        </w:rPr>
        <w:t>neksi II) dhe kërkesat e përdoruesve të brendshëm.</w:t>
      </w:r>
    </w:p>
    <w:p w14:paraId="61EAF95B" w14:textId="1B44C2A9"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eastAsia="Times New Roman" w:hAnsi="Garamond" w:cs="Times New Roman"/>
          <w:b/>
          <w:bCs/>
          <w:iCs/>
          <w:color w:val="000000" w:themeColor="text1"/>
          <w:sz w:val="24"/>
          <w:szCs w:val="24"/>
        </w:rPr>
        <w:t xml:space="preserve">Përputhshmëria me </w:t>
      </w:r>
      <w:r w:rsidRPr="004F2AC3">
        <w:rPr>
          <w:rFonts w:ascii="Garamond" w:eastAsia="Times New Roman" w:hAnsi="Garamond" w:cs="Times New Roman"/>
          <w:b/>
          <w:bCs/>
          <w:i/>
          <w:iCs/>
          <w:color w:val="000000" w:themeColor="text1"/>
          <w:sz w:val="24"/>
          <w:szCs w:val="24"/>
        </w:rPr>
        <w:t>acquis</w:t>
      </w:r>
      <w:r w:rsidRPr="004F2AC3">
        <w:rPr>
          <w:rFonts w:ascii="Garamond" w:eastAsia="Times New Roman" w:hAnsi="Garamond" w:cs="Times New Roman"/>
          <w:b/>
          <w:bCs/>
          <w:iCs/>
          <w:color w:val="000000" w:themeColor="text1"/>
          <w:sz w:val="24"/>
          <w:szCs w:val="24"/>
        </w:rPr>
        <w:t xml:space="preserve">: </w:t>
      </w:r>
      <w:r w:rsidRPr="004F2AC3">
        <w:rPr>
          <w:rFonts w:ascii="Garamond" w:eastAsia="Times New Roman" w:hAnsi="Garamond" w:cs="Times New Roman"/>
          <w:bCs/>
          <w:i/>
          <w:iCs/>
          <w:color w:val="000000" w:themeColor="text1"/>
          <w:sz w:val="24"/>
          <w:szCs w:val="24"/>
        </w:rPr>
        <w:t xml:space="preserve">Statistikat e </w:t>
      </w:r>
      <w:r w:rsidR="00766048" w:rsidRPr="004F2AC3">
        <w:rPr>
          <w:rFonts w:ascii="Garamond" w:eastAsia="Times New Roman" w:hAnsi="Garamond" w:cs="Times New Roman"/>
          <w:bCs/>
          <w:i/>
          <w:iCs/>
          <w:color w:val="000000" w:themeColor="text1"/>
          <w:sz w:val="24"/>
          <w:szCs w:val="24"/>
        </w:rPr>
        <w:t xml:space="preserve">turizmit </w:t>
      </w:r>
      <w:r w:rsidRPr="004F2AC3">
        <w:rPr>
          <w:rFonts w:ascii="Garamond" w:eastAsia="Times New Roman" w:hAnsi="Garamond" w:cs="Times New Roman"/>
          <w:bCs/>
          <w:iCs/>
          <w:color w:val="000000" w:themeColor="text1"/>
          <w:sz w:val="24"/>
          <w:szCs w:val="24"/>
        </w:rPr>
        <w:t xml:space="preserve">nga </w:t>
      </w:r>
      <w:r w:rsidRPr="004F2AC3">
        <w:rPr>
          <w:rFonts w:ascii="Garamond" w:hAnsi="Garamond" w:cs="Times New Roman"/>
          <w:color w:val="000000" w:themeColor="text1"/>
          <w:sz w:val="24"/>
          <w:szCs w:val="24"/>
        </w:rPr>
        <w:t>ana e ofertës (</w:t>
      </w:r>
      <w:r w:rsidRPr="004F2AC3">
        <w:rPr>
          <w:rFonts w:ascii="Garamond" w:hAnsi="Garamond" w:cs="Times New Roman"/>
          <w:i/>
          <w:color w:val="000000" w:themeColor="text1"/>
          <w:sz w:val="24"/>
          <w:szCs w:val="24"/>
        </w:rPr>
        <w:t>supply side</w:t>
      </w:r>
      <w:r w:rsidRPr="004F2AC3">
        <w:rPr>
          <w:rFonts w:ascii="Garamond" w:hAnsi="Garamond" w:cs="Times New Roman"/>
          <w:color w:val="000000" w:themeColor="text1"/>
          <w:sz w:val="24"/>
          <w:szCs w:val="24"/>
        </w:rPr>
        <w:t xml:space="preserve">) dhe kërkesës </w:t>
      </w:r>
      <w:r w:rsidRPr="004F2AC3">
        <w:rPr>
          <w:rFonts w:ascii="Garamond" w:hAnsi="Garamond" w:cs="Times New Roman"/>
          <w:i/>
          <w:color w:val="000000" w:themeColor="text1"/>
          <w:sz w:val="24"/>
          <w:szCs w:val="24"/>
        </w:rPr>
        <w:t>(demand side)</w:t>
      </w:r>
      <w:r w:rsidRPr="004F2AC3">
        <w:rPr>
          <w:rFonts w:ascii="Garamond" w:hAnsi="Garamond" w:cs="Times New Roman"/>
          <w:color w:val="000000" w:themeColor="text1"/>
          <w:sz w:val="24"/>
          <w:szCs w:val="24"/>
        </w:rPr>
        <w:t xml:space="preserve"> </w:t>
      </w:r>
      <w:r w:rsidRPr="004F2AC3">
        <w:rPr>
          <w:rFonts w:ascii="Garamond" w:eastAsia="Times New Roman" w:hAnsi="Garamond" w:cs="Times New Roman"/>
          <w:bCs/>
          <w:iCs/>
          <w:color w:val="000000" w:themeColor="text1"/>
          <w:sz w:val="24"/>
          <w:szCs w:val="24"/>
        </w:rPr>
        <w:t xml:space="preserve">janë pjesërisht të përafruara me Rregulloren (KE) </w:t>
      </w:r>
      <w:r w:rsidR="00D32864" w:rsidRPr="004F2AC3">
        <w:rPr>
          <w:rFonts w:ascii="Garamond" w:eastAsia="Times New Roman" w:hAnsi="Garamond" w:cs="Times New Roman"/>
          <w:bCs/>
          <w:iCs/>
          <w:color w:val="000000" w:themeColor="text1"/>
          <w:sz w:val="24"/>
          <w:szCs w:val="24"/>
        </w:rPr>
        <w:t>n</w:t>
      </w:r>
      <w:r w:rsidRPr="004F2AC3">
        <w:rPr>
          <w:rFonts w:ascii="Garamond" w:eastAsia="Times New Roman" w:hAnsi="Garamond" w:cs="Times New Roman"/>
          <w:bCs/>
          <w:iCs/>
          <w:color w:val="000000" w:themeColor="text1"/>
          <w:sz w:val="24"/>
          <w:szCs w:val="24"/>
        </w:rPr>
        <w:t>r. 692/2011</w:t>
      </w:r>
      <w:r w:rsidR="00766048" w:rsidRPr="004F2AC3">
        <w:rPr>
          <w:rFonts w:ascii="Garamond" w:eastAsia="Times New Roman" w:hAnsi="Garamond" w:cs="Times New Roman"/>
          <w:bCs/>
          <w:iCs/>
          <w:color w:val="000000" w:themeColor="text1"/>
          <w:sz w:val="24"/>
          <w:szCs w:val="24"/>
        </w:rPr>
        <w:t>,</w:t>
      </w:r>
      <w:r w:rsidRPr="004F2AC3">
        <w:rPr>
          <w:rFonts w:ascii="Garamond" w:eastAsia="Times New Roman" w:hAnsi="Garamond" w:cs="Times New Roman"/>
          <w:bCs/>
          <w:iCs/>
          <w:color w:val="000000" w:themeColor="text1"/>
          <w:sz w:val="24"/>
          <w:szCs w:val="24"/>
        </w:rPr>
        <w:t xml:space="preserve"> të</w:t>
      </w:r>
      <w:r w:rsidRPr="004F2AC3">
        <w:rPr>
          <w:rFonts w:ascii="Garamond" w:hAnsi="Garamond" w:cs="Times New Roman"/>
          <w:color w:val="000000" w:themeColor="text1"/>
          <w:sz w:val="24"/>
          <w:szCs w:val="24"/>
        </w:rPr>
        <w:t xml:space="preserve"> Parlamentit Evropian dhe të Këshillit</w:t>
      </w:r>
      <w:r w:rsidR="00766048"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statistikat e turizmit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Në mënyrë periodike transmetohen në Eurostat të dhënat mujore dhe vjetore lidhur me këto statistika.</w:t>
      </w:r>
    </w:p>
    <w:p w14:paraId="098ADC8D" w14:textId="4339D5DB"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3.5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Tregtia e </w:t>
      </w:r>
      <w:r w:rsidR="00766048" w:rsidRPr="004F2AC3">
        <w:rPr>
          <w:rFonts w:ascii="Garamond" w:eastAsia="Times New Roman" w:hAnsi="Garamond" w:cs="Times New Roman"/>
          <w:b/>
          <w:color w:val="000000" w:themeColor="text1"/>
          <w:sz w:val="24"/>
          <w:szCs w:val="24"/>
        </w:rPr>
        <w:t>jashtme</w:t>
      </w:r>
      <w:r w:rsidR="00D32864" w:rsidRPr="004F2AC3">
        <w:rPr>
          <w:rFonts w:ascii="Garamond" w:eastAsia="Times New Roman" w:hAnsi="Garamond" w:cs="Times New Roman"/>
          <w:b/>
          <w:color w:val="000000" w:themeColor="text1"/>
          <w:sz w:val="24"/>
          <w:szCs w:val="24"/>
        </w:rPr>
        <w:t>”</w:t>
      </w:r>
    </w:p>
    <w:p w14:paraId="2F3BC3B2"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Kjo temë është e ndarë në 2 nëntema: </w:t>
      </w:r>
    </w:p>
    <w:p w14:paraId="22CF5F87" w14:textId="34212074" w:rsidR="000F566F" w:rsidRPr="004F2AC3" w:rsidRDefault="000F566F" w:rsidP="000F566F">
      <w:pPr>
        <w:spacing w:after="0" w:line="240" w:lineRule="auto"/>
        <w:ind w:firstLine="284"/>
        <w:jc w:val="both"/>
        <w:rPr>
          <w:rFonts w:ascii="Garamond" w:hAnsi="Garamond" w:cs="Times New Roman"/>
          <w:i/>
          <w:color w:val="000000" w:themeColor="text1"/>
          <w:sz w:val="24"/>
          <w:szCs w:val="24"/>
        </w:rPr>
      </w:pPr>
      <w:r w:rsidRPr="004F2AC3">
        <w:rPr>
          <w:rFonts w:ascii="Garamond" w:hAnsi="Garamond" w:cs="Times New Roman"/>
          <w:i/>
          <w:color w:val="000000" w:themeColor="text1"/>
          <w:sz w:val="24"/>
          <w:szCs w:val="24"/>
        </w:rPr>
        <w:t xml:space="preserve">3.5.1 Statistikat e </w:t>
      </w:r>
      <w:r w:rsidR="00766048" w:rsidRPr="004F2AC3">
        <w:rPr>
          <w:rFonts w:ascii="Garamond" w:hAnsi="Garamond" w:cs="Times New Roman"/>
          <w:i/>
          <w:color w:val="000000" w:themeColor="text1"/>
          <w:sz w:val="24"/>
          <w:szCs w:val="24"/>
        </w:rPr>
        <w:t xml:space="preserve">investimeve </w:t>
      </w:r>
      <w:r w:rsidRPr="004F2AC3">
        <w:rPr>
          <w:rFonts w:ascii="Garamond" w:hAnsi="Garamond" w:cs="Times New Roman"/>
          <w:i/>
          <w:color w:val="000000" w:themeColor="text1"/>
          <w:sz w:val="24"/>
          <w:szCs w:val="24"/>
        </w:rPr>
        <w:t xml:space="preserve">të huaja direkte dhe </w:t>
      </w:r>
      <w:r w:rsidR="00766048" w:rsidRPr="004F2AC3">
        <w:rPr>
          <w:rFonts w:ascii="Garamond" w:hAnsi="Garamond" w:cs="Times New Roman"/>
          <w:i/>
          <w:color w:val="000000" w:themeColor="text1"/>
          <w:sz w:val="24"/>
          <w:szCs w:val="24"/>
        </w:rPr>
        <w:t xml:space="preserve">tregtisë </w:t>
      </w:r>
      <w:r w:rsidRPr="004F2AC3">
        <w:rPr>
          <w:rFonts w:ascii="Garamond" w:hAnsi="Garamond" w:cs="Times New Roman"/>
          <w:i/>
          <w:color w:val="000000" w:themeColor="text1"/>
          <w:sz w:val="24"/>
          <w:szCs w:val="24"/>
        </w:rPr>
        <w:t>ndërkombëtare të shërbimeve</w:t>
      </w:r>
    </w:p>
    <w:p w14:paraId="08908C0C" w14:textId="7F1942C2"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e investimeve të huaja janë pjesë integrale e statistikave të bilancit të pagesave dhe pozicionit të investimeve ndërkombëtare dhe si statistika specifike me ndarje sipas aktivitetit ekonomik, NVE dhe ndarje gjeografike (shteteve), statistika të cilat prodhohen nga Banka e Shqipërisë me frekuencë tremujore. Të dhënat për llogaritjen e statistikave të investimeve të huaja, sigurohen nga raportimet mujore të sistemit bankar, nga bilancet mujore dhe tremujore të instituc</w:t>
      </w:r>
      <w:r w:rsidR="00D449AF" w:rsidRPr="004F2AC3">
        <w:rPr>
          <w:rFonts w:ascii="Garamond" w:hAnsi="Garamond" w:cs="Times New Roman"/>
          <w:color w:val="000000" w:themeColor="text1"/>
          <w:sz w:val="24"/>
          <w:szCs w:val="24"/>
        </w:rPr>
        <w:t>ioneve financiare (banka dhe jo</w:t>
      </w:r>
      <w:r w:rsidRPr="004F2AC3">
        <w:rPr>
          <w:rFonts w:ascii="Garamond" w:hAnsi="Garamond" w:cs="Times New Roman"/>
          <w:color w:val="000000" w:themeColor="text1"/>
          <w:sz w:val="24"/>
          <w:szCs w:val="24"/>
        </w:rPr>
        <w:t>banka), nga raportimet direkte të kompanive të mëdha me kapital të huaj dhe të përbashkëta shqiptare – të huaja; nga institucione të tjera administrative, si Agjencia Kombëtare e Burimeve Natyrore dhe Qendra Kombëtare e Biznesit, dhe informacione nga shkëmbime të ndërsjella dypalëshe me Kosovën. Në përgatitjen e statistikave të investimeve të huaja, Banka e Shqipërisë zbaton kërkesat dhe standardet e manualeve metodologjikë të FMN-së (BPM6-2009) dhe OECD-së (BD4).</w:t>
      </w:r>
    </w:p>
    <w:p w14:paraId="2C595F35" w14:textId="51D1240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Statistikat e </w:t>
      </w:r>
      <w:r w:rsidR="00766048" w:rsidRPr="004F2AC3">
        <w:rPr>
          <w:rFonts w:ascii="Garamond" w:hAnsi="Garamond" w:cs="Times New Roman"/>
          <w:color w:val="000000" w:themeColor="text1"/>
          <w:sz w:val="24"/>
          <w:szCs w:val="24"/>
        </w:rPr>
        <w:t xml:space="preserve">tregtisë </w:t>
      </w:r>
      <w:r w:rsidRPr="004F2AC3">
        <w:rPr>
          <w:rFonts w:ascii="Garamond" w:hAnsi="Garamond" w:cs="Times New Roman"/>
          <w:color w:val="000000" w:themeColor="text1"/>
          <w:sz w:val="24"/>
          <w:szCs w:val="24"/>
        </w:rPr>
        <w:t>ndërkombëtare të shërbimeve mbulohen nga Banka e Shqipërisë. Statistikat e tregtisë ndërkombëtare të shërbimeve janë pjesë integrale e statistikave të bilancit të pagesave në frekuencë tremujore, si dhe si statistika specifike me ndarje gjeografike me frekuencë vjetore. Statistikat e shërbimeve prodhohen nga përpunimi i të dhënave të siguruara nga Banka e Shqipërisë, INSTAT-i, Ministria e Punëve të Brendshme, Ministria e Financave, Autoriteti i Mbikëqyrjes Financiare, Qendra Kombëtare e Biznesit, Drejtoria e Përgjithshme e Doganave, si dhe të dhëna të tjera nga vrojtime statistikore pranë kompanive private dhe individëve. Në përgatitjen e statistikave ndërkombëtare të shërbimeve zbatohen rekomandimet e manualit për bilancin e pagesave (BPM6-FMN), si dhe rekomandimet e përshkruara në manualin e tregtisë ndërkombëtare të shërbimeve (2010).</w:t>
      </w:r>
    </w:p>
    <w:p w14:paraId="7BA64C97" w14:textId="20A32E8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3.5.2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Statistikat e tregtisë së jashtme të mallrave</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Në këtë nëntemë përfshihen </w:t>
      </w:r>
      <w:r w:rsidR="00766048" w:rsidRPr="004F2AC3">
        <w:rPr>
          <w:rFonts w:ascii="Garamond" w:hAnsi="Garamond" w:cs="Times New Roman"/>
          <w:color w:val="000000" w:themeColor="text1"/>
          <w:sz w:val="24"/>
          <w:szCs w:val="24"/>
        </w:rPr>
        <w:t xml:space="preserve">statistikat </w:t>
      </w:r>
      <w:r w:rsidRPr="004F2AC3">
        <w:rPr>
          <w:rFonts w:ascii="Garamond" w:hAnsi="Garamond" w:cs="Times New Roman"/>
          <w:color w:val="000000" w:themeColor="text1"/>
          <w:sz w:val="24"/>
          <w:szCs w:val="24"/>
        </w:rPr>
        <w:t>mbi eksportet/importet e mallrave, të cilat do vijojnë të prodhohen nga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me frekuencë mujore, nëpërmjet përpunimit të të dhënave të marra nga Drejtoria e Përgjithshme e Doganave dhe Statistikat mbi eksportet/importet e mallrave sipas karakteristikave të ndërmarrjeve, të cilat do të prodhohen nga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me frekuencë vjetore nëpërmjet përpunimit të të dhënave të marra nga Drejtoria e Përgjithshme e Doganave dhe skedarit të ndërmarrjeve që disponon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w:t>
      </w:r>
    </w:p>
    <w:p w14:paraId="35D542FA"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Tregues statistikorë mbi investimet e huaja fluks dhe stok sipas shteteve; Tregues statistikorë mbi investimet e huaja fluks dhe stok sipas aktivitetit ekonomik. Tregues statistikorë mbi tregtinë ndërkombëtare të shërbimeve me ndarje gjeografike (sipas shteteve). Tregues statistikorë mbi eksportet/importet e mallrave; Tregues statistikorë mbi eksportet/importet e mallrave sipas karakteristikave të ndërmarrjeve.</w:t>
      </w:r>
    </w:p>
    <w:p w14:paraId="5177500E" w14:textId="522A3D85"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acquis</w:t>
      </w:r>
      <w:r w:rsidRPr="004F2AC3">
        <w:rPr>
          <w:rFonts w:ascii="Garamond" w:hAnsi="Garamond" w:cs="Times New Roman"/>
          <w:b/>
          <w:color w:val="000000" w:themeColor="text1"/>
          <w:sz w:val="24"/>
          <w:szCs w:val="24"/>
        </w:rPr>
        <w:t xml:space="preserve">: </w:t>
      </w:r>
      <w:r w:rsidRPr="004F2AC3">
        <w:rPr>
          <w:rFonts w:ascii="Garamond" w:hAnsi="Garamond" w:cs="Times New Roman"/>
          <w:bCs/>
          <w:iCs/>
          <w:color w:val="000000" w:themeColor="text1"/>
          <w:sz w:val="24"/>
          <w:szCs w:val="24"/>
        </w:rPr>
        <w:t>Mbështetur në programin e monitorimit të përputhshmërisë</w:t>
      </w:r>
      <w:r w:rsidRPr="004F2AC3">
        <w:rPr>
          <w:rFonts w:ascii="Garamond" w:hAnsi="Garamond" w:cs="Times New Roman"/>
          <w:color w:val="000000" w:themeColor="text1"/>
          <w:sz w:val="24"/>
          <w:szCs w:val="24"/>
          <w:lang w:eastAsia="en-GB"/>
        </w:rPr>
        <w:t>, Eurostat</w:t>
      </w:r>
      <w:r w:rsidR="00766048" w:rsidRPr="004F2AC3">
        <w:rPr>
          <w:rFonts w:ascii="Garamond" w:hAnsi="Garamond" w:cs="Times New Roman"/>
          <w:color w:val="000000" w:themeColor="text1"/>
          <w:sz w:val="24"/>
          <w:szCs w:val="24"/>
          <w:lang w:eastAsia="en-GB"/>
        </w:rPr>
        <w:t>i</w:t>
      </w:r>
      <w:r w:rsidRPr="004F2AC3">
        <w:rPr>
          <w:rFonts w:ascii="Garamond" w:hAnsi="Garamond" w:cs="Times New Roman"/>
          <w:color w:val="000000" w:themeColor="text1"/>
          <w:sz w:val="24"/>
          <w:szCs w:val="24"/>
          <w:lang w:eastAsia="en-GB"/>
        </w:rPr>
        <w:t xml:space="preserve"> vlerëson pjesërisht në përputhje nivelin e implementimit të metodologjisë </w:t>
      </w:r>
      <w:r w:rsidRPr="004F2AC3">
        <w:rPr>
          <w:rFonts w:ascii="Garamond" w:hAnsi="Garamond" w:cs="Times New Roman"/>
          <w:i/>
          <w:color w:val="000000" w:themeColor="text1"/>
          <w:sz w:val="24"/>
          <w:szCs w:val="24"/>
          <w:lang w:eastAsia="en-GB"/>
        </w:rPr>
        <w:t xml:space="preserve">së investimeve të huaja direkte </w:t>
      </w:r>
      <w:r w:rsidRPr="004F2AC3">
        <w:rPr>
          <w:rFonts w:ascii="Garamond" w:hAnsi="Garamond" w:cs="Times New Roman"/>
          <w:color w:val="000000" w:themeColor="text1"/>
          <w:sz w:val="24"/>
          <w:szCs w:val="24"/>
          <w:lang w:eastAsia="en-GB"/>
        </w:rPr>
        <w:t xml:space="preserve">dhe </w:t>
      </w:r>
      <w:r w:rsidRPr="004F2AC3">
        <w:rPr>
          <w:rFonts w:ascii="Garamond" w:hAnsi="Garamond" w:cs="Times New Roman"/>
          <w:i/>
          <w:color w:val="000000" w:themeColor="text1"/>
          <w:sz w:val="24"/>
          <w:szCs w:val="24"/>
          <w:lang w:eastAsia="en-GB"/>
        </w:rPr>
        <w:t>tregtisë ndërkombëtare të shërbimeve</w:t>
      </w:r>
      <w:r w:rsidRPr="004F2AC3">
        <w:rPr>
          <w:rFonts w:ascii="Garamond" w:hAnsi="Garamond" w:cs="Times New Roman"/>
          <w:color w:val="000000" w:themeColor="text1"/>
          <w:sz w:val="24"/>
          <w:szCs w:val="24"/>
          <w:lang w:eastAsia="en-GB"/>
        </w:rPr>
        <w:t>, si dhe kritereve të transmetimit të këtyre të dhënave.</w:t>
      </w:r>
    </w:p>
    <w:p w14:paraId="6946FDC1" w14:textId="644FD16A"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i/>
          <w:color w:val="000000" w:themeColor="text1"/>
          <w:sz w:val="24"/>
          <w:szCs w:val="24"/>
        </w:rPr>
        <w:t>Statistikat e tregtisë së jashtme</w:t>
      </w:r>
      <w:r w:rsidRPr="004F2AC3">
        <w:rPr>
          <w:rFonts w:ascii="Garamond" w:hAnsi="Garamond" w:cs="Times New Roman"/>
          <w:color w:val="000000" w:themeColor="text1"/>
          <w:sz w:val="24"/>
          <w:szCs w:val="24"/>
        </w:rPr>
        <w:t xml:space="preserve"> janë përafruar pjesërisht me Rregulloren (KE) </w:t>
      </w:r>
      <w:r w:rsidR="00D32864"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 2019/2152</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Parlamentit Evropian dhe të Këshillit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statistikat e evropiane të biznesit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Të dhënat e hollësishme të tregtisë së jashtme të mallrave transmetohen rregullisht në Eurostat çdo muaj. Statistikat e tregtisë sipas monedhës së faturës (tabelat TIC) dërgohen rregullisht n</w:t>
      </w:r>
      <w:r w:rsidR="00766048" w:rsidRPr="004F2AC3">
        <w:rPr>
          <w:rFonts w:ascii="Garamond" w:hAnsi="Garamond" w:cs="Times New Roman"/>
          <w:color w:val="000000" w:themeColor="text1"/>
          <w:sz w:val="24"/>
          <w:szCs w:val="24"/>
        </w:rPr>
        <w:t>ë Eurostat një herë në dy vjet.</w:t>
      </w:r>
    </w:p>
    <w:p w14:paraId="02974781" w14:textId="4DD4FC96"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3.6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Bilanci i </w:t>
      </w:r>
      <w:r w:rsidR="00766048" w:rsidRPr="004F2AC3">
        <w:rPr>
          <w:rFonts w:ascii="Garamond" w:eastAsia="Times New Roman" w:hAnsi="Garamond" w:cs="Times New Roman"/>
          <w:b/>
          <w:color w:val="000000" w:themeColor="text1"/>
          <w:sz w:val="24"/>
          <w:szCs w:val="24"/>
        </w:rPr>
        <w:t>pagesave</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vertAlign w:val="superscript"/>
        </w:rPr>
        <w:footnoteReference w:id="4"/>
      </w:r>
    </w:p>
    <w:p w14:paraId="009ED43E"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Kjo temë përbëhet nga dy nëntema:</w:t>
      </w:r>
    </w:p>
    <w:p w14:paraId="684100BA" w14:textId="73452F9B"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3.6.1 Statistikat mujore dhe tremujore të </w:t>
      </w:r>
      <w:r w:rsidR="00D01EE8" w:rsidRPr="004F2AC3">
        <w:rPr>
          <w:rFonts w:ascii="Garamond" w:hAnsi="Garamond" w:cs="Times New Roman"/>
          <w:i/>
          <w:color w:val="000000" w:themeColor="text1"/>
          <w:sz w:val="24"/>
          <w:szCs w:val="24"/>
        </w:rPr>
        <w:t xml:space="preserve">bilancit </w:t>
      </w:r>
      <w:r w:rsidRPr="004F2AC3">
        <w:rPr>
          <w:rFonts w:ascii="Garamond" w:hAnsi="Garamond" w:cs="Times New Roman"/>
          <w:i/>
          <w:color w:val="000000" w:themeColor="text1"/>
          <w:sz w:val="24"/>
          <w:szCs w:val="24"/>
        </w:rPr>
        <w:t>të pagesave</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Banka e Shqipërisë është institucioni përgjegjës që prodhon dhe publikon statistikat e bilancit të pagesave. Në përgatitjen e këtyre statistikave, Banka e Shqipërisë mbledh informacion nëpërmjet raportimit direkt nga institucionet financiare; raportimit direkt nga burime administrative</w:t>
      </w:r>
      <w:r w:rsidR="00D01EE8"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w:t>
      </w:r>
      <w:r w:rsidR="00D01EE8"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Ministria e Financave, Drejtoria e Përgjithshme e Doganave,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Autoriteti i Mbikëqyrjes Financiare, Ministria e Punëve të Brendshme, Agjencia Kombëtare e Burimeve Natyrore, Qendra Kombëtare e Biznesit, si edhe nëpërmjet vrojtimeve të realizuara në kompani private dhe individë. Të dhënat e grumbulluara nga burimet e mësipërme raportohen pjesërisht me frekuencë mujore dhe në pjesën më të madhe me frekuence tremujore, duke mundësuar përgatitjen dhe publikimin e statistikave të bilancit të pagesave me frekuencë tremujore dhe duke filluar nga viti 2020 m</w:t>
      </w:r>
      <w:r w:rsidR="00D01EE8" w:rsidRPr="004F2AC3">
        <w:rPr>
          <w:rFonts w:ascii="Garamond" w:hAnsi="Garamond" w:cs="Times New Roman"/>
          <w:color w:val="000000" w:themeColor="text1"/>
          <w:sz w:val="24"/>
          <w:szCs w:val="24"/>
        </w:rPr>
        <w:t>ë</w:t>
      </w:r>
      <w:r w:rsidRPr="004F2AC3">
        <w:rPr>
          <w:rFonts w:ascii="Garamond" w:hAnsi="Garamond" w:cs="Times New Roman"/>
          <w:color w:val="000000" w:themeColor="text1"/>
          <w:sz w:val="24"/>
          <w:szCs w:val="24"/>
        </w:rPr>
        <w:t xml:space="preserve"> në mënyrë eksperimentale në frekuencë mujore. Statistikat e bilancit të pagesave prodhohen në bazë të manualeve metodologjike të FMN-së (BPM6</w:t>
      </w:r>
      <w:r w:rsidR="00D01EE8"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2009, EDS 2013), OECD-së (BD4), manualit të statistikave të tregtisë ndërkombëtare të shërbimeve dhe kodit evropian të statistikave.</w:t>
      </w:r>
    </w:p>
    <w:p w14:paraId="20C5C4DF" w14:textId="18DF197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3.6.2 Statistikat tremujore të </w:t>
      </w:r>
      <w:r w:rsidR="00D01EE8" w:rsidRPr="004F2AC3">
        <w:rPr>
          <w:rFonts w:ascii="Garamond" w:hAnsi="Garamond" w:cs="Times New Roman"/>
          <w:i/>
          <w:color w:val="000000" w:themeColor="text1"/>
          <w:sz w:val="24"/>
          <w:szCs w:val="24"/>
        </w:rPr>
        <w:t xml:space="preserve">pozicionit të investimeve ndërkombëtare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Banka e Shqipërisë është institucioni përgjegjës për prodhimin dhe publikimin e statistikave të pozicionit të investimeve ndërkombëtare. Në përgatitjen e këtyre statistikave merren të dhënat nga Banka e Shqipërisë, INSTAT</w:t>
      </w:r>
      <w:r w:rsidR="00D32864" w:rsidRPr="004F2AC3">
        <w:rPr>
          <w:rFonts w:ascii="Garamond" w:hAnsi="Garamond" w:cs="Times New Roman"/>
          <w:color w:val="000000" w:themeColor="text1"/>
          <w:sz w:val="24"/>
          <w:szCs w:val="24"/>
        </w:rPr>
        <w:t>-</w:t>
      </w:r>
      <w:r w:rsidR="00D01EE8"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Ministria e Punëve të Brendshme, Ministria e Financave, Agjencia Kombëtare e Burimeve Natyrore, Autoriteti i Mbikëqyrjes Financiare, Qendra Kombëtare e Biznesit, si dhe të dhëna nga vrojtimet statistikore pranë kompanive private të huaja dhe të përbashkëta shqiptare – të huaja. Gjithashtu, për përgatitjen e këtyre statistikave përdoren të dhëna nga Fondi Monetar Ndërkombëtar dhe informacione nga shkëmbime të ndërsjella dypalëshe me Kosovën. Të dhënat e grumbulluara nga burimet e mësipërme raportohen pjesërisht me frekuencë mujore dhe në pjesën më të madhe me frekuenc</w:t>
      </w:r>
      <w:r w:rsidR="00D01EE8" w:rsidRPr="004F2AC3">
        <w:rPr>
          <w:rFonts w:ascii="Garamond" w:hAnsi="Garamond" w:cs="Times New Roman"/>
          <w:color w:val="000000" w:themeColor="text1"/>
          <w:sz w:val="24"/>
          <w:szCs w:val="24"/>
        </w:rPr>
        <w:t>ë</w:t>
      </w:r>
      <w:r w:rsidRPr="004F2AC3">
        <w:rPr>
          <w:rFonts w:ascii="Garamond" w:hAnsi="Garamond" w:cs="Times New Roman"/>
          <w:color w:val="000000" w:themeColor="text1"/>
          <w:sz w:val="24"/>
          <w:szCs w:val="24"/>
        </w:rPr>
        <w:t xml:space="preserve"> tremujore, duke mundësuar përgatitjen dhe publikimin e statistikave të pozicionit të investimeve ndërkombëtare me frekue</w:t>
      </w:r>
      <w:r w:rsidR="00D01EE8" w:rsidRPr="004F2AC3">
        <w:rPr>
          <w:rFonts w:ascii="Garamond" w:hAnsi="Garamond" w:cs="Times New Roman"/>
          <w:color w:val="000000" w:themeColor="text1"/>
          <w:sz w:val="24"/>
          <w:szCs w:val="24"/>
        </w:rPr>
        <w:t>ncë tremujore.</w:t>
      </w:r>
    </w:p>
    <w:p w14:paraId="5E1E558F" w14:textId="47AAA09A"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e pozicionit të investimeve ndërkombëtare prodhohen në bazë të manualeve metodologjik</w:t>
      </w:r>
      <w:r w:rsidR="00D01EE8" w:rsidRPr="004F2AC3">
        <w:rPr>
          <w:rFonts w:ascii="Garamond" w:hAnsi="Garamond" w:cs="Times New Roman"/>
          <w:color w:val="000000" w:themeColor="text1"/>
          <w:sz w:val="24"/>
          <w:szCs w:val="24"/>
        </w:rPr>
        <w:t>e</w:t>
      </w:r>
      <w:r w:rsidR="005B3A9C" w:rsidRPr="004F2AC3">
        <w:rPr>
          <w:rFonts w:ascii="Garamond" w:hAnsi="Garamond" w:cs="Times New Roman"/>
          <w:color w:val="000000" w:themeColor="text1"/>
          <w:sz w:val="24"/>
          <w:szCs w:val="24"/>
        </w:rPr>
        <w:t xml:space="preserve"> të FMN-së (</w:t>
      </w:r>
      <w:r w:rsidRPr="004F2AC3">
        <w:rPr>
          <w:rFonts w:ascii="Garamond" w:hAnsi="Garamond" w:cs="Times New Roman"/>
          <w:color w:val="000000" w:themeColor="text1"/>
          <w:sz w:val="24"/>
          <w:szCs w:val="24"/>
        </w:rPr>
        <w:t>BPM6</w:t>
      </w:r>
      <w:r w:rsidR="00D01EE8"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2009, EDS 2013), OECD-së (BD4) dhe Kodit </w:t>
      </w:r>
      <w:r w:rsidR="00D01EE8" w:rsidRPr="004F2AC3">
        <w:rPr>
          <w:rFonts w:ascii="Garamond" w:hAnsi="Garamond" w:cs="Times New Roman"/>
          <w:color w:val="000000" w:themeColor="text1"/>
          <w:sz w:val="24"/>
          <w:szCs w:val="24"/>
        </w:rPr>
        <w:t xml:space="preserve">Evropian </w:t>
      </w:r>
      <w:r w:rsidRPr="004F2AC3">
        <w:rPr>
          <w:rFonts w:ascii="Garamond" w:hAnsi="Garamond" w:cs="Times New Roman"/>
          <w:color w:val="000000" w:themeColor="text1"/>
          <w:sz w:val="24"/>
          <w:szCs w:val="24"/>
        </w:rPr>
        <w:t xml:space="preserve">të </w:t>
      </w:r>
      <w:r w:rsidR="00D01EE8" w:rsidRPr="004F2AC3">
        <w:rPr>
          <w:rFonts w:ascii="Garamond" w:hAnsi="Garamond" w:cs="Times New Roman"/>
          <w:color w:val="000000" w:themeColor="text1"/>
          <w:sz w:val="24"/>
          <w:szCs w:val="24"/>
        </w:rPr>
        <w:t>Statistikave</w:t>
      </w:r>
      <w:r w:rsidRPr="004F2AC3">
        <w:rPr>
          <w:rFonts w:ascii="Garamond" w:hAnsi="Garamond" w:cs="Times New Roman"/>
          <w:color w:val="000000" w:themeColor="text1"/>
          <w:sz w:val="24"/>
          <w:szCs w:val="24"/>
        </w:rPr>
        <w:t xml:space="preserve">. Gjithashtu, Banka e Shqipërisë realizon aktivitetin mbi </w:t>
      </w:r>
      <w:r w:rsidRPr="004F2AC3">
        <w:rPr>
          <w:rFonts w:ascii="Garamond" w:hAnsi="Garamond" w:cs="Times New Roman"/>
          <w:i/>
          <w:color w:val="000000" w:themeColor="text1"/>
          <w:sz w:val="24"/>
          <w:szCs w:val="24"/>
        </w:rPr>
        <w:t>statistikat mujore të Rezervës Ndërkombëtare</w:t>
      </w:r>
      <w:r w:rsidRPr="004F2AC3">
        <w:rPr>
          <w:rFonts w:ascii="Garamond" w:hAnsi="Garamond" w:cs="Times New Roman"/>
          <w:color w:val="000000" w:themeColor="text1"/>
          <w:sz w:val="24"/>
          <w:szCs w:val="24"/>
        </w:rPr>
        <w:t xml:space="preserve"> dhe aktivitetin mbi </w:t>
      </w:r>
      <w:r w:rsidRPr="004F2AC3">
        <w:rPr>
          <w:rFonts w:ascii="Garamond" w:hAnsi="Garamond" w:cs="Times New Roman"/>
          <w:i/>
          <w:color w:val="000000" w:themeColor="text1"/>
          <w:sz w:val="24"/>
          <w:szCs w:val="24"/>
        </w:rPr>
        <w:t>statistikat tremujore të Borxhit të Jashtëm.</w:t>
      </w:r>
    </w:p>
    <w:p w14:paraId="4CC531C7"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Treguesit kryesorë: </w:t>
      </w:r>
      <w:r w:rsidRPr="004F2AC3">
        <w:rPr>
          <w:rFonts w:ascii="Garamond" w:hAnsi="Garamond" w:cs="Times New Roman"/>
          <w:color w:val="000000" w:themeColor="text1"/>
          <w:sz w:val="24"/>
          <w:szCs w:val="24"/>
        </w:rPr>
        <w:t>Tregues statistikorë mbi bilancin tremujor të pagesave; Tregues statistikorë mbi bilancin mujor të pagesave. Tregues statistikorë mbi pasqyrën e pozicionit të investimeve ndërkombëtare me frekuencë tremujore; tregues me frekuencë mujore mbi rezervën ndërkombëtare dhe tregues me frekuencë tremujore mbi borxhin e jashtëm.</w:t>
      </w:r>
    </w:p>
    <w:p w14:paraId="44138F89" w14:textId="500F959C" w:rsidR="000F566F" w:rsidRPr="004F2AC3" w:rsidRDefault="000F566F" w:rsidP="000F566F">
      <w:pPr>
        <w:spacing w:after="0" w:line="240" w:lineRule="auto"/>
        <w:ind w:firstLine="284"/>
        <w:jc w:val="both"/>
        <w:rPr>
          <w:rFonts w:ascii="Garamond" w:hAnsi="Garamond" w:cs="Times New Roman"/>
          <w:b/>
          <w:bCs/>
          <w:color w:val="000000" w:themeColor="text1"/>
          <w:sz w:val="24"/>
          <w:szCs w:val="24"/>
        </w:rPr>
      </w:pPr>
      <w:r w:rsidRPr="004F2AC3">
        <w:rPr>
          <w:rFonts w:ascii="Garamond" w:hAnsi="Garamond" w:cs="Times New Roman"/>
          <w:b/>
          <w:color w:val="000000" w:themeColor="text1"/>
          <w:sz w:val="24"/>
          <w:szCs w:val="24"/>
          <w:lang w:eastAsia="en-GB"/>
        </w:rPr>
        <w:t xml:space="preserve">Përputhshmëria me </w:t>
      </w:r>
      <w:r w:rsidRPr="004F2AC3">
        <w:rPr>
          <w:rFonts w:ascii="Garamond" w:hAnsi="Garamond" w:cs="Times New Roman"/>
          <w:b/>
          <w:i/>
          <w:color w:val="000000" w:themeColor="text1"/>
          <w:sz w:val="24"/>
          <w:szCs w:val="24"/>
          <w:lang w:eastAsia="en-GB"/>
        </w:rPr>
        <w:t>acquis</w:t>
      </w:r>
      <w:r w:rsidRPr="004F2AC3">
        <w:rPr>
          <w:rFonts w:ascii="Garamond" w:hAnsi="Garamond" w:cs="Times New Roman"/>
          <w:b/>
          <w:color w:val="000000" w:themeColor="text1"/>
          <w:sz w:val="24"/>
          <w:szCs w:val="24"/>
          <w:lang w:eastAsia="en-GB"/>
        </w:rPr>
        <w:t xml:space="preserve">: </w:t>
      </w:r>
      <w:r w:rsidRPr="004F2AC3">
        <w:rPr>
          <w:rFonts w:ascii="Garamond" w:hAnsi="Garamond" w:cs="Times New Roman"/>
          <w:color w:val="000000" w:themeColor="text1"/>
          <w:sz w:val="24"/>
          <w:szCs w:val="24"/>
          <w:lang w:eastAsia="en-GB"/>
        </w:rPr>
        <w:t>Mbështetur në programin e monitorimit të përputhshmërisë, Eurostat</w:t>
      </w:r>
      <w:r w:rsidR="00D01EE8" w:rsidRPr="004F2AC3">
        <w:rPr>
          <w:rFonts w:ascii="Garamond" w:hAnsi="Garamond" w:cs="Times New Roman"/>
          <w:color w:val="000000" w:themeColor="text1"/>
          <w:sz w:val="24"/>
          <w:szCs w:val="24"/>
          <w:lang w:eastAsia="en-GB"/>
        </w:rPr>
        <w:t>i</w:t>
      </w:r>
      <w:r w:rsidRPr="004F2AC3">
        <w:rPr>
          <w:rFonts w:ascii="Garamond" w:hAnsi="Garamond" w:cs="Times New Roman"/>
          <w:color w:val="000000" w:themeColor="text1"/>
          <w:sz w:val="24"/>
          <w:szCs w:val="24"/>
          <w:lang w:eastAsia="en-GB"/>
        </w:rPr>
        <w:t xml:space="preserve"> e vlerëson të pjesshëm nivelin e përputhshmërisë me Rregulloren (KE) 184/2005</w:t>
      </w:r>
      <w:r w:rsidR="00D01EE8"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Bilanci i pagesave, tregtia ndërkombëtare e shërbimeve dhe investimet e huaja direkte</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nivelin e implementimit të metodologjisë </w:t>
      </w:r>
      <w:r w:rsidRPr="004F2AC3">
        <w:rPr>
          <w:rFonts w:ascii="Garamond" w:hAnsi="Garamond" w:cs="Times New Roman"/>
          <w:i/>
          <w:color w:val="000000" w:themeColor="text1"/>
          <w:sz w:val="24"/>
          <w:szCs w:val="24"/>
          <w:lang w:eastAsia="en-GB"/>
        </w:rPr>
        <w:t>së bilancit të pagesave dhe pozicionit të investimeve ndërkombëtare BPM6</w:t>
      </w:r>
      <w:r w:rsidRPr="004F2AC3">
        <w:rPr>
          <w:rFonts w:ascii="Garamond" w:hAnsi="Garamond" w:cs="Times New Roman"/>
          <w:color w:val="000000" w:themeColor="text1"/>
          <w:sz w:val="24"/>
          <w:szCs w:val="24"/>
          <w:lang w:eastAsia="en-GB"/>
        </w:rPr>
        <w:t>, si dhe kriteret e transmetimit të të dhënave.</w:t>
      </w:r>
    </w:p>
    <w:p w14:paraId="00286FE2" w14:textId="585C79C7"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3.7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Çmimet</w:t>
      </w:r>
      <w:r w:rsidR="00D32864" w:rsidRPr="004F2AC3">
        <w:rPr>
          <w:rFonts w:ascii="Garamond" w:eastAsia="Times New Roman" w:hAnsi="Garamond" w:cs="Times New Roman"/>
          <w:b/>
          <w:color w:val="000000" w:themeColor="text1"/>
          <w:sz w:val="24"/>
          <w:szCs w:val="24"/>
        </w:rPr>
        <w:t>”</w:t>
      </w:r>
    </w:p>
    <w:p w14:paraId="2A58D5E5" w14:textId="3E83A5F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e çmimeve janë ndarë në disa nëntema</w:t>
      </w:r>
      <w:r w:rsidR="00D01EE8"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më poshtë:</w:t>
      </w:r>
    </w:p>
    <w:p w14:paraId="2D126CCA" w14:textId="288EFC4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3.7.1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e </w:t>
      </w:r>
      <w:r w:rsidR="00D01EE8" w:rsidRPr="004F2AC3">
        <w:rPr>
          <w:rFonts w:ascii="Garamond" w:hAnsi="Garamond" w:cs="Times New Roman"/>
          <w:i/>
          <w:color w:val="000000" w:themeColor="text1"/>
          <w:sz w:val="24"/>
          <w:szCs w:val="24"/>
        </w:rPr>
        <w:t>çmimeve të konsumit</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e matur nëpërmjet tre treguesve kryesorë: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Indeksi i Çmimeve të Konsumit (IÇK)</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Indeksi i Harmonizuar i Çmimeve të Konsumit (IHÇK)</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dhe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Indeksi i Harmonizuar i Çmimeve të Konsumit me Çmime Konstante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Këto indekse prodhohen çdo muaj nga INSTAT-i nëpërmjet kryerjes së vrojtimit mujor të çmimeve të një shporte fikse mallrash dhe shërbimesh pranë njësive të tregtisë me pakicë, si dhe duke shfrytëzuar të dhëna të tjera të marra nga Ministria e Arsimit, </w:t>
      </w:r>
      <w:r w:rsidR="00D01EE8" w:rsidRPr="004F2AC3">
        <w:rPr>
          <w:rFonts w:ascii="Garamond" w:hAnsi="Garamond" w:cs="Times New Roman"/>
          <w:color w:val="000000" w:themeColor="text1"/>
          <w:sz w:val="24"/>
          <w:szCs w:val="24"/>
        </w:rPr>
        <w:t>bashkitë</w:t>
      </w:r>
      <w:r w:rsidRPr="004F2AC3">
        <w:rPr>
          <w:rFonts w:ascii="Garamond" w:hAnsi="Garamond" w:cs="Times New Roman"/>
          <w:color w:val="000000" w:themeColor="text1"/>
          <w:sz w:val="24"/>
          <w:szCs w:val="24"/>
        </w:rPr>
        <w:t>, Enti Rregullator i Ujit/Ujësj</w:t>
      </w:r>
      <w:r w:rsidR="00D01EE8" w:rsidRPr="004F2AC3">
        <w:rPr>
          <w:rFonts w:ascii="Garamond" w:hAnsi="Garamond" w:cs="Times New Roman"/>
          <w:color w:val="000000" w:themeColor="text1"/>
          <w:sz w:val="24"/>
          <w:szCs w:val="24"/>
        </w:rPr>
        <w:t>ellës-</w:t>
      </w:r>
      <w:r w:rsidRPr="004F2AC3">
        <w:rPr>
          <w:rFonts w:ascii="Garamond" w:hAnsi="Garamond" w:cs="Times New Roman"/>
          <w:color w:val="000000" w:themeColor="text1"/>
          <w:sz w:val="24"/>
          <w:szCs w:val="24"/>
        </w:rPr>
        <w:t xml:space="preserve">Kanalizime Tiranë, Operatori i Shpërndarjes së Energjisë Elektrike, Autoriteti i Mbikëqyrjes Financiare dhe </w:t>
      </w:r>
      <w:r w:rsidR="00D01EE8" w:rsidRPr="004F2AC3">
        <w:rPr>
          <w:rFonts w:ascii="Garamond" w:hAnsi="Garamond" w:cs="Times New Roman"/>
          <w:color w:val="000000" w:themeColor="text1"/>
          <w:sz w:val="24"/>
          <w:szCs w:val="24"/>
        </w:rPr>
        <w:t>universitetet.</w:t>
      </w:r>
    </w:p>
    <w:p w14:paraId="36E444E5" w14:textId="683E63A2"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3.7.2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Indeksi i </w:t>
      </w:r>
      <w:r w:rsidR="00D01EE8" w:rsidRPr="004F2AC3">
        <w:rPr>
          <w:rFonts w:ascii="Garamond" w:hAnsi="Garamond" w:cs="Times New Roman"/>
          <w:i/>
          <w:color w:val="000000" w:themeColor="text1"/>
          <w:sz w:val="24"/>
          <w:szCs w:val="24"/>
        </w:rPr>
        <w:t>nivelit të çmimeve dhe prodhimi i brendshëm bruto për frymë në standardin e fuqisë blerëse</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është nëntemë e veçantë dhe parashikon kryerjen e aktivitetit statistikor mbi matjen e fuqisë blerëse (MFB). Statistikat e kësaj kategorie do të prodhohen nga Eurostat</w:t>
      </w:r>
      <w:r w:rsidR="00D01EE8"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me frekuencë vjetore, duke përdorur të dhënat e vrojtimeve të ndryshme të çmimeve të konsumit, ndërtimit, makinerive dhe pajisjeve, qirave, spitaleve dhe të dhëna të tjera shtesë të realizuara nga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për llogaritjen e këtyre treguesve</w:t>
      </w:r>
      <w:r w:rsidR="00D01EE8" w:rsidRPr="004F2AC3">
        <w:rPr>
          <w:rFonts w:ascii="Garamond" w:hAnsi="Garamond" w:cs="Times New Roman"/>
          <w:color w:val="000000" w:themeColor="text1"/>
          <w:sz w:val="24"/>
          <w:szCs w:val="24"/>
        </w:rPr>
        <w:t>.</w:t>
      </w:r>
    </w:p>
    <w:p w14:paraId="6E33D1EA" w14:textId="7C0EC449"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3.7.3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Indeksi i </w:t>
      </w:r>
      <w:r w:rsidR="00D01EE8" w:rsidRPr="004F2AC3">
        <w:rPr>
          <w:rFonts w:ascii="Garamond" w:hAnsi="Garamond" w:cs="Times New Roman"/>
          <w:i/>
          <w:color w:val="000000" w:themeColor="text1"/>
          <w:sz w:val="24"/>
          <w:szCs w:val="24"/>
        </w:rPr>
        <w:t>çmimeve të banesave</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xml:space="preserve"> është aktivitet statistikor për të realizimin e të cilit</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parashikon që në vitin 2026 të përfundojë Memorandumin e Mirëkuptimit</w:t>
      </w:r>
      <w:r w:rsidR="00D01EE8" w:rsidRPr="004F2AC3">
        <w:rPr>
          <w:rFonts w:ascii="Garamond" w:hAnsi="Garamond" w:cs="Times New Roman"/>
          <w:color w:val="000000" w:themeColor="text1"/>
          <w:sz w:val="24"/>
          <w:szCs w:val="24"/>
        </w:rPr>
        <w:t xml:space="preserve"> me Agjencinë Shtetërore të Ka</w:t>
      </w:r>
      <w:r w:rsidRPr="004F2AC3">
        <w:rPr>
          <w:rFonts w:ascii="Garamond" w:hAnsi="Garamond" w:cs="Times New Roman"/>
          <w:color w:val="000000" w:themeColor="text1"/>
          <w:sz w:val="24"/>
          <w:szCs w:val="24"/>
        </w:rPr>
        <w:t>dastrës për shkëmbimin e të dhënave të kërkuara nga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Gjatë këtij viti</w:t>
      </w:r>
      <w:r w:rsidR="00D01EE8"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përpunojë të dhënat që do të merren nga Agjencia </w:t>
      </w:r>
      <w:r w:rsidR="00D01EE8" w:rsidRPr="004F2AC3">
        <w:rPr>
          <w:rFonts w:ascii="Garamond" w:hAnsi="Garamond" w:cs="Times New Roman"/>
          <w:color w:val="000000" w:themeColor="text1"/>
          <w:sz w:val="24"/>
          <w:szCs w:val="24"/>
        </w:rPr>
        <w:t>Shtetërore</w:t>
      </w:r>
      <w:r w:rsidRPr="004F2AC3">
        <w:rPr>
          <w:rFonts w:ascii="Garamond" w:hAnsi="Garamond" w:cs="Times New Roman"/>
          <w:color w:val="000000" w:themeColor="text1"/>
          <w:sz w:val="24"/>
          <w:szCs w:val="24"/>
        </w:rPr>
        <w:t xml:space="preserve"> e Kadastrës.</w:t>
      </w:r>
    </w:p>
    <w:p w14:paraId="5508FE36" w14:textId="318E9D56"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Treguesit kryesorë:</w:t>
      </w:r>
      <w:r w:rsidRPr="004F2AC3">
        <w:rPr>
          <w:rFonts w:ascii="Garamond" w:hAnsi="Garamond" w:cs="Times New Roman"/>
          <w:color w:val="000000" w:themeColor="text1"/>
          <w:sz w:val="24"/>
          <w:szCs w:val="24"/>
        </w:rPr>
        <w:t xml:space="preserve"> Indeksi </w:t>
      </w:r>
      <w:r w:rsidR="00D01EE8" w:rsidRPr="004F2AC3">
        <w:rPr>
          <w:rFonts w:ascii="Garamond" w:hAnsi="Garamond" w:cs="Times New Roman"/>
          <w:color w:val="000000" w:themeColor="text1"/>
          <w:sz w:val="24"/>
          <w:szCs w:val="24"/>
        </w:rPr>
        <w:t xml:space="preserve">mujor i çmimeve të konsumit, ndryshimi vjetor, ndryshimi mujor, indeksi mesatar vjetor; ndryshimi mesatar vjetor, indeksi i mujor i harmonizuar i çmimeve të konsumit, indeksi i nivelit të çmimeve, </w:t>
      </w:r>
      <w:r w:rsidRPr="004F2AC3">
        <w:rPr>
          <w:rFonts w:ascii="Garamond" w:hAnsi="Garamond" w:cs="Times New Roman"/>
          <w:color w:val="000000" w:themeColor="text1"/>
          <w:sz w:val="24"/>
          <w:szCs w:val="24"/>
        </w:rPr>
        <w:t>PBB</w:t>
      </w:r>
      <w:r w:rsidR="00D32864" w:rsidRPr="004F2AC3">
        <w:rPr>
          <w:rFonts w:ascii="Garamond" w:hAnsi="Garamond" w:cs="Times New Roman"/>
          <w:color w:val="000000" w:themeColor="text1"/>
          <w:sz w:val="24"/>
          <w:szCs w:val="24"/>
        </w:rPr>
        <w:t>-ja</w:t>
      </w:r>
      <w:r w:rsidRPr="004F2AC3">
        <w:rPr>
          <w:rFonts w:ascii="Garamond" w:hAnsi="Garamond" w:cs="Times New Roman"/>
          <w:color w:val="000000" w:themeColor="text1"/>
          <w:sz w:val="24"/>
          <w:szCs w:val="24"/>
        </w:rPr>
        <w:t xml:space="preserve"> për frymë në </w:t>
      </w:r>
      <w:r w:rsidR="00D01EE8" w:rsidRPr="004F2AC3">
        <w:rPr>
          <w:rFonts w:ascii="Garamond" w:hAnsi="Garamond" w:cs="Times New Roman"/>
          <w:color w:val="000000" w:themeColor="text1"/>
          <w:sz w:val="24"/>
          <w:szCs w:val="24"/>
        </w:rPr>
        <w:t>standardin e fuqisë blerëse</w:t>
      </w:r>
      <w:r w:rsidRPr="004F2AC3">
        <w:rPr>
          <w:rFonts w:ascii="Garamond" w:hAnsi="Garamond" w:cs="Times New Roman"/>
          <w:color w:val="000000" w:themeColor="text1"/>
          <w:sz w:val="24"/>
          <w:szCs w:val="24"/>
        </w:rPr>
        <w:t xml:space="preserve">. </w:t>
      </w:r>
    </w:p>
    <w:p w14:paraId="550D2F5D" w14:textId="506BB7FC" w:rsidR="000F566F" w:rsidRPr="004F2AC3" w:rsidRDefault="000F566F" w:rsidP="000F566F">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rPr>
      </w:pPr>
      <w:r w:rsidRPr="004F2AC3">
        <w:rPr>
          <w:rFonts w:ascii="Garamond" w:eastAsia="Times New Roman" w:hAnsi="Garamond" w:cs="Times New Roman"/>
          <w:b/>
          <w:bCs/>
          <w:color w:val="000000" w:themeColor="text1"/>
          <w:sz w:val="24"/>
          <w:szCs w:val="24"/>
        </w:rPr>
        <w:t xml:space="preserve">Përputhshmëria me </w:t>
      </w:r>
      <w:r w:rsidRPr="004F2AC3">
        <w:rPr>
          <w:rFonts w:ascii="Garamond" w:eastAsia="Times New Roman" w:hAnsi="Garamond" w:cs="Times New Roman"/>
          <w:b/>
          <w:bCs/>
          <w:i/>
          <w:color w:val="000000" w:themeColor="text1"/>
          <w:sz w:val="24"/>
          <w:szCs w:val="24"/>
        </w:rPr>
        <w:t>acquis</w:t>
      </w:r>
      <w:r w:rsidRPr="004F2AC3">
        <w:rPr>
          <w:rFonts w:ascii="Garamond" w:eastAsia="Times New Roman" w:hAnsi="Garamond" w:cs="Times New Roman"/>
          <w:b/>
          <w:bCs/>
          <w:color w:val="000000" w:themeColor="text1"/>
          <w:sz w:val="24"/>
          <w:szCs w:val="24"/>
        </w:rPr>
        <w:t xml:space="preserve">: </w:t>
      </w:r>
      <w:r w:rsidRPr="004F2AC3">
        <w:rPr>
          <w:rFonts w:ascii="Garamond" w:eastAsia="Times New Roman" w:hAnsi="Garamond" w:cs="Times New Roman"/>
          <w:i/>
          <w:color w:val="000000" w:themeColor="text1"/>
          <w:sz w:val="24"/>
          <w:szCs w:val="24"/>
        </w:rPr>
        <w:t xml:space="preserve">Statistikat </w:t>
      </w:r>
      <w:r w:rsidR="00D01EE8" w:rsidRPr="004F2AC3">
        <w:rPr>
          <w:rFonts w:ascii="Garamond" w:eastAsia="Times New Roman" w:hAnsi="Garamond" w:cs="Times New Roman"/>
          <w:i/>
          <w:color w:val="000000" w:themeColor="text1"/>
          <w:sz w:val="24"/>
          <w:szCs w:val="24"/>
        </w:rPr>
        <w:t>çmimeve të konsumit</w:t>
      </w:r>
      <w:r w:rsidR="00D01EE8"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 xml:space="preserve">janë pjesërisht në përputhje me Rregulloren (EC) </w:t>
      </w:r>
      <w:r w:rsidR="00D01EE8"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 2016/792</w:t>
      </w:r>
      <w:r w:rsidR="00D01EE8"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indekset e harmonizuara të çmimeve të konsumit dhe indeksin e çmimeve të banesave</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ndërkohë që zbatojnë të njëjtat përkufizime dhe klasifikime. Të dhënat e çmimeve transmetohen dhe publikohen rregullisht në Eurostat, çdo muaj. INSTAT</w:t>
      </w:r>
      <w:r w:rsidR="00D32864"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ndjek dhe zbaton rregullisht ndryshimet metodologjike të </w:t>
      </w:r>
      <w:r w:rsidR="00D32864" w:rsidRPr="004F2AC3">
        <w:rPr>
          <w:rFonts w:ascii="Garamond" w:eastAsia="Times New Roman" w:hAnsi="Garamond" w:cs="Times New Roman"/>
          <w:color w:val="000000" w:themeColor="text1"/>
          <w:sz w:val="24"/>
          <w:szCs w:val="24"/>
        </w:rPr>
        <w:t>rregullores</w:t>
      </w:r>
      <w:r w:rsidRPr="004F2AC3">
        <w:rPr>
          <w:rFonts w:ascii="Garamond" w:eastAsia="Times New Roman" w:hAnsi="Garamond" w:cs="Times New Roman"/>
          <w:color w:val="000000" w:themeColor="text1"/>
          <w:sz w:val="24"/>
          <w:szCs w:val="24"/>
        </w:rPr>
        <w:t xml:space="preserve"> dhe i zbaton në trajtimin dhe llogaritjen e treguesit. </w:t>
      </w:r>
      <w:r w:rsidRPr="004F2AC3">
        <w:rPr>
          <w:rFonts w:ascii="Garamond" w:eastAsia="Times New Roman" w:hAnsi="Garamond" w:cs="Times New Roman"/>
          <w:bCs/>
          <w:color w:val="000000" w:themeColor="text1"/>
          <w:sz w:val="24"/>
          <w:szCs w:val="24"/>
        </w:rPr>
        <w:t>Për</w:t>
      </w:r>
      <w:r w:rsidR="00D32864" w:rsidRPr="004F2AC3">
        <w:rPr>
          <w:rFonts w:ascii="Garamond" w:eastAsia="Times New Roman" w:hAnsi="Garamond" w:cs="Times New Roman"/>
          <w:bCs/>
          <w:color w:val="000000" w:themeColor="text1"/>
          <w:sz w:val="24"/>
          <w:szCs w:val="24"/>
        </w:rPr>
        <w:t xml:space="preserve"> </w:t>
      </w:r>
      <w:r w:rsidRPr="004F2AC3">
        <w:rPr>
          <w:rFonts w:ascii="Garamond" w:eastAsia="Times New Roman" w:hAnsi="Garamond" w:cs="Times New Roman"/>
          <w:bCs/>
          <w:color w:val="000000" w:themeColor="text1"/>
          <w:sz w:val="24"/>
          <w:szCs w:val="24"/>
        </w:rPr>
        <w:t xml:space="preserve">sa i përket statistikave të </w:t>
      </w:r>
      <w:r w:rsidR="00D01EE8" w:rsidRPr="004F2AC3">
        <w:rPr>
          <w:rFonts w:ascii="Garamond" w:eastAsia="Times New Roman" w:hAnsi="Garamond" w:cs="Times New Roman"/>
          <w:bCs/>
          <w:color w:val="000000" w:themeColor="text1"/>
          <w:sz w:val="24"/>
          <w:szCs w:val="24"/>
        </w:rPr>
        <w:t>matjes së fuqisë blerëse</w:t>
      </w:r>
      <w:r w:rsidRPr="004F2AC3">
        <w:rPr>
          <w:rFonts w:ascii="Garamond" w:eastAsia="Times New Roman" w:hAnsi="Garamond" w:cs="Times New Roman"/>
          <w:bCs/>
          <w:color w:val="000000" w:themeColor="text1"/>
          <w:sz w:val="24"/>
          <w:szCs w:val="24"/>
        </w:rPr>
        <w:t>, të gjitha aktivitetet që lidhen me këtë nëntemë statistikore kryhen në përputhje të plotë më Rregulloren (BE)</w:t>
      </w:r>
      <w:hyperlink r:id="rId23" w:history="1">
        <w:r w:rsidRPr="004F2AC3">
          <w:rPr>
            <w:rFonts w:ascii="Garamond" w:eastAsia="Times New Roman" w:hAnsi="Garamond" w:cs="Times New Roman"/>
            <w:color w:val="000000" w:themeColor="text1"/>
            <w:sz w:val="24"/>
            <w:szCs w:val="24"/>
          </w:rPr>
          <w:t xml:space="preserve"> </w:t>
        </w:r>
        <w:r w:rsidR="00D01EE8"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r. 193/2011</w:t>
        </w:r>
        <w:r w:rsidR="00D01EE8"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kontrollin e cilësisë së matjes së fuqisë blerëse</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hyperlink>
    </w:p>
    <w:p w14:paraId="02BCCC8D" w14:textId="68913C5B"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3.8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Shkenca, </w:t>
      </w:r>
      <w:r w:rsidR="00D01EE8" w:rsidRPr="004F2AC3">
        <w:rPr>
          <w:rFonts w:ascii="Garamond" w:eastAsia="Times New Roman" w:hAnsi="Garamond" w:cs="Times New Roman"/>
          <w:b/>
          <w:color w:val="000000" w:themeColor="text1"/>
          <w:sz w:val="24"/>
          <w:szCs w:val="24"/>
        </w:rPr>
        <w:t>teknologjia dhe inovacioni</w:t>
      </w:r>
      <w:r w:rsidR="00D32864" w:rsidRPr="004F2AC3">
        <w:rPr>
          <w:rFonts w:ascii="Garamond" w:eastAsia="Times New Roman" w:hAnsi="Garamond" w:cs="Times New Roman"/>
          <w:b/>
          <w:color w:val="000000" w:themeColor="text1"/>
          <w:sz w:val="24"/>
          <w:szCs w:val="24"/>
        </w:rPr>
        <w:t>”</w:t>
      </w:r>
    </w:p>
    <w:p w14:paraId="1FFFE310"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Në këtë temë përfshihen këto nëntema: </w:t>
      </w:r>
    </w:p>
    <w:p w14:paraId="36B6AC3D" w14:textId="6B203915" w:rsidR="000F566F" w:rsidRPr="004F2AC3" w:rsidRDefault="000F566F" w:rsidP="000F566F">
      <w:pPr>
        <w:spacing w:after="0" w:line="240" w:lineRule="auto"/>
        <w:ind w:firstLine="284"/>
        <w:jc w:val="both"/>
        <w:rPr>
          <w:rFonts w:ascii="Garamond" w:eastAsia="Calibri" w:hAnsi="Garamond" w:cs="Times New Roman"/>
          <w:color w:val="000000" w:themeColor="text1"/>
          <w:sz w:val="24"/>
          <w:szCs w:val="24"/>
        </w:rPr>
      </w:pPr>
      <w:r w:rsidRPr="004F2AC3">
        <w:rPr>
          <w:rFonts w:ascii="Garamond" w:eastAsia="Calibri" w:hAnsi="Garamond" w:cs="Times New Roman"/>
          <w:i/>
          <w:color w:val="000000" w:themeColor="text1"/>
          <w:sz w:val="24"/>
          <w:szCs w:val="24"/>
        </w:rPr>
        <w:t xml:space="preserve">3.8.1 </w:t>
      </w:r>
      <w:r w:rsidR="00D32864" w:rsidRPr="004F2AC3">
        <w:rPr>
          <w:rFonts w:ascii="Garamond" w:eastAsia="Calibri" w:hAnsi="Garamond" w:cs="Times New Roman"/>
          <w:i/>
          <w:color w:val="000000" w:themeColor="text1"/>
          <w:sz w:val="24"/>
          <w:szCs w:val="24"/>
        </w:rPr>
        <w:t>“</w:t>
      </w:r>
      <w:r w:rsidRPr="004F2AC3">
        <w:rPr>
          <w:rFonts w:ascii="Garamond" w:eastAsia="Calibri" w:hAnsi="Garamond" w:cs="Times New Roman"/>
          <w:i/>
          <w:color w:val="000000" w:themeColor="text1"/>
          <w:sz w:val="24"/>
          <w:szCs w:val="24"/>
        </w:rPr>
        <w:t>Statistikat e shkencës dhe teknologjisë</w:t>
      </w:r>
      <w:r w:rsidR="00D32864" w:rsidRPr="004F2AC3">
        <w:rPr>
          <w:rFonts w:ascii="Garamond" w:eastAsia="Calibri" w:hAnsi="Garamond" w:cs="Times New Roman"/>
          <w:i/>
          <w:color w:val="000000" w:themeColor="text1"/>
          <w:sz w:val="24"/>
          <w:szCs w:val="24"/>
        </w:rPr>
        <w:t>”</w:t>
      </w:r>
      <w:r w:rsidRPr="004F2AC3">
        <w:rPr>
          <w:rFonts w:ascii="Garamond" w:eastAsia="Calibri" w:hAnsi="Garamond" w:cs="Times New Roman"/>
          <w:color w:val="000000" w:themeColor="text1"/>
          <w:sz w:val="24"/>
          <w:szCs w:val="24"/>
        </w:rPr>
        <w:t xml:space="preserve"> - për statistikat e kësaj kategorie, INSTAT</w:t>
      </w:r>
      <w:r w:rsidR="00D32864" w:rsidRPr="004F2AC3">
        <w:rPr>
          <w:rFonts w:ascii="Garamond" w:eastAsia="Calibri" w:hAnsi="Garamond" w:cs="Times New Roman"/>
          <w:color w:val="000000" w:themeColor="text1"/>
          <w:sz w:val="24"/>
          <w:szCs w:val="24"/>
        </w:rPr>
        <w:t>-i</w:t>
      </w:r>
      <w:r w:rsidRPr="004F2AC3">
        <w:rPr>
          <w:rFonts w:ascii="Garamond" w:eastAsia="Calibri" w:hAnsi="Garamond" w:cs="Times New Roman"/>
          <w:color w:val="000000" w:themeColor="text1"/>
          <w:sz w:val="24"/>
          <w:szCs w:val="24"/>
        </w:rPr>
        <w:t xml:space="preserve">, gjatë vitit 2026, do të mbledhë dhe përpunojë të dhëna administrative mbi fondet e alokuara në buxhetin e shtetit për aktivitetin e </w:t>
      </w:r>
      <w:r w:rsidR="00D01EE8" w:rsidRPr="004F2AC3">
        <w:rPr>
          <w:rFonts w:ascii="Garamond" w:eastAsia="Calibri" w:hAnsi="Garamond" w:cs="Times New Roman"/>
          <w:color w:val="000000" w:themeColor="text1"/>
          <w:sz w:val="24"/>
          <w:szCs w:val="24"/>
        </w:rPr>
        <w:t xml:space="preserve">kërkimit shkencor </w:t>
      </w:r>
      <w:r w:rsidRPr="004F2AC3">
        <w:rPr>
          <w:rFonts w:ascii="Garamond" w:eastAsia="Calibri" w:hAnsi="Garamond" w:cs="Times New Roman"/>
          <w:color w:val="000000" w:themeColor="text1"/>
          <w:sz w:val="24"/>
          <w:szCs w:val="24"/>
        </w:rPr>
        <w:t xml:space="preserve">(statistikat GBARD), për vitin referencë 2025. Këto të dhëna do të transmetohen edhe në Eurostat. </w:t>
      </w:r>
      <w:r w:rsidRPr="004F2AC3">
        <w:rPr>
          <w:rFonts w:ascii="Garamond" w:hAnsi="Garamond" w:cs="Times New Roman"/>
          <w:color w:val="000000" w:themeColor="text1"/>
          <w:sz w:val="24"/>
          <w:szCs w:val="24"/>
        </w:rPr>
        <w:t>Statistikat e shkencës përfshijnë</w:t>
      </w:r>
      <w:r w:rsidR="009F455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gjithashtu</w:t>
      </w:r>
      <w:r w:rsidR="009F455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statistikat mbi </w:t>
      </w:r>
      <w:bookmarkStart w:id="40" w:name="_Hlk176869057"/>
      <w:r w:rsidRPr="004F2AC3">
        <w:rPr>
          <w:rFonts w:ascii="Garamond" w:hAnsi="Garamond" w:cs="Times New Roman"/>
          <w:color w:val="000000" w:themeColor="text1"/>
          <w:sz w:val="24"/>
          <w:szCs w:val="24"/>
        </w:rPr>
        <w:t xml:space="preserve">kërkimin shkencor </w:t>
      </w:r>
      <w:bookmarkEnd w:id="40"/>
      <w:r w:rsidRPr="004F2AC3">
        <w:rPr>
          <w:rFonts w:ascii="Garamond" w:hAnsi="Garamond" w:cs="Times New Roman"/>
          <w:color w:val="000000" w:themeColor="text1"/>
          <w:sz w:val="24"/>
          <w:szCs w:val="24"/>
        </w:rPr>
        <w:t xml:space="preserve">që grumbullohen nëpërmjet vrojtimit çdo dy vite në: </w:t>
      </w:r>
      <w:r w:rsidR="009F455E" w:rsidRPr="004F2AC3">
        <w:rPr>
          <w:rFonts w:ascii="Garamond" w:hAnsi="Garamond" w:cs="Times New Roman"/>
          <w:color w:val="000000" w:themeColor="text1"/>
          <w:sz w:val="24"/>
          <w:szCs w:val="24"/>
        </w:rPr>
        <w:t xml:space="preserve">bizneset </w:t>
      </w:r>
      <w:r w:rsidRPr="004F2AC3">
        <w:rPr>
          <w:rFonts w:ascii="Garamond" w:hAnsi="Garamond" w:cs="Times New Roman"/>
          <w:color w:val="000000" w:themeColor="text1"/>
          <w:sz w:val="24"/>
          <w:szCs w:val="24"/>
        </w:rPr>
        <w:t xml:space="preserve">private, </w:t>
      </w:r>
      <w:r w:rsidR="009F455E" w:rsidRPr="004F2AC3">
        <w:rPr>
          <w:rFonts w:ascii="Garamond" w:hAnsi="Garamond" w:cs="Times New Roman"/>
          <w:color w:val="000000" w:themeColor="text1"/>
          <w:sz w:val="24"/>
          <w:szCs w:val="24"/>
        </w:rPr>
        <w:t xml:space="preserve">organizataT </w:t>
      </w:r>
      <w:r w:rsidRPr="004F2AC3">
        <w:rPr>
          <w:rFonts w:ascii="Garamond" w:hAnsi="Garamond" w:cs="Times New Roman"/>
          <w:color w:val="000000" w:themeColor="text1"/>
          <w:sz w:val="24"/>
          <w:szCs w:val="24"/>
        </w:rPr>
        <w:t xml:space="preserve">private jofitimprurëse, </w:t>
      </w:r>
      <w:r w:rsidR="009F455E" w:rsidRPr="004F2AC3">
        <w:rPr>
          <w:rFonts w:ascii="Garamond" w:hAnsi="Garamond" w:cs="Times New Roman"/>
          <w:color w:val="000000" w:themeColor="text1"/>
          <w:sz w:val="24"/>
          <w:szCs w:val="24"/>
        </w:rPr>
        <w:t xml:space="preserve">institucionet </w:t>
      </w:r>
      <w:r w:rsidRPr="004F2AC3">
        <w:rPr>
          <w:rFonts w:ascii="Garamond" w:hAnsi="Garamond" w:cs="Times New Roman"/>
          <w:color w:val="000000" w:themeColor="text1"/>
          <w:sz w:val="24"/>
          <w:szCs w:val="24"/>
        </w:rPr>
        <w:t xml:space="preserve">qeveritare dhe </w:t>
      </w:r>
      <w:r w:rsidR="009F455E" w:rsidRPr="004F2AC3">
        <w:rPr>
          <w:rFonts w:ascii="Garamond" w:hAnsi="Garamond" w:cs="Times New Roman"/>
          <w:color w:val="000000" w:themeColor="text1"/>
          <w:sz w:val="24"/>
          <w:szCs w:val="24"/>
        </w:rPr>
        <w:t xml:space="preserve">institucionet </w:t>
      </w:r>
      <w:r w:rsidRPr="004F2AC3">
        <w:rPr>
          <w:rFonts w:ascii="Garamond" w:hAnsi="Garamond" w:cs="Times New Roman"/>
          <w:color w:val="000000" w:themeColor="text1"/>
          <w:sz w:val="24"/>
          <w:szCs w:val="24"/>
        </w:rPr>
        <w:t>e arsimit të lartë. Mbledhja e të dhënave për 4 sektorët e performancës u zhvillua gjatë tremujorit të katërt të vitit 2025. Disa tregues kryesorë</w:t>
      </w:r>
      <w:r w:rsidR="009F455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lidhur me shpenzimet dhe personelin e angazhuar në </w:t>
      </w:r>
      <w:r w:rsidR="009F455E" w:rsidRPr="004F2AC3">
        <w:rPr>
          <w:rFonts w:ascii="Garamond" w:hAnsi="Garamond" w:cs="Times New Roman"/>
          <w:color w:val="000000" w:themeColor="text1"/>
          <w:sz w:val="24"/>
          <w:szCs w:val="24"/>
        </w:rPr>
        <w:t xml:space="preserve">aktivitetet kërkimore, do të </w:t>
      </w:r>
      <w:r w:rsidRPr="004F2AC3">
        <w:rPr>
          <w:rFonts w:ascii="Garamond" w:hAnsi="Garamond" w:cs="Times New Roman"/>
          <w:color w:val="000000" w:themeColor="text1"/>
          <w:sz w:val="24"/>
          <w:szCs w:val="24"/>
        </w:rPr>
        <w:t>përpunohen dhe prodhohen në vitin</w:t>
      </w:r>
      <w:r w:rsidR="00684E85" w:rsidRPr="004F2AC3">
        <w:rPr>
          <w:rFonts w:ascii="Garamond" w:hAnsi="Garamond" w:cs="Times New Roman"/>
          <w:color w:val="000000" w:themeColor="text1"/>
          <w:sz w:val="24"/>
          <w:szCs w:val="24"/>
        </w:rPr>
        <w:t xml:space="preserve"> </w:t>
      </w:r>
      <w:r w:rsidR="009F455E" w:rsidRPr="004F2AC3">
        <w:rPr>
          <w:rFonts w:ascii="Garamond" w:hAnsi="Garamond" w:cs="Times New Roman"/>
          <w:color w:val="000000" w:themeColor="text1"/>
          <w:sz w:val="24"/>
          <w:szCs w:val="24"/>
        </w:rPr>
        <w:t>2026.</w:t>
      </w:r>
    </w:p>
    <w:p w14:paraId="18FA7F52" w14:textId="1C698F8E" w:rsidR="000F566F" w:rsidRPr="004F2AC3" w:rsidRDefault="000F566F" w:rsidP="000F566F">
      <w:pPr>
        <w:spacing w:after="0" w:line="240" w:lineRule="auto"/>
        <w:ind w:firstLine="284"/>
        <w:contextualSpacing/>
        <w:jc w:val="both"/>
        <w:rPr>
          <w:rFonts w:ascii="Garamond" w:eastAsia="Calibri" w:hAnsi="Garamond" w:cs="Times New Roman"/>
          <w:color w:val="000000" w:themeColor="text1"/>
          <w:sz w:val="24"/>
          <w:szCs w:val="24"/>
        </w:rPr>
      </w:pPr>
      <w:r w:rsidRPr="004F2AC3">
        <w:rPr>
          <w:rFonts w:ascii="Garamond" w:eastAsia="Calibri" w:hAnsi="Garamond" w:cs="Times New Roman"/>
          <w:i/>
          <w:color w:val="000000" w:themeColor="text1"/>
          <w:sz w:val="24"/>
          <w:szCs w:val="24"/>
        </w:rPr>
        <w:t xml:space="preserve">3.8.2 </w:t>
      </w:r>
      <w:r w:rsidR="00D32864" w:rsidRPr="004F2AC3">
        <w:rPr>
          <w:rFonts w:ascii="Garamond" w:eastAsia="Calibri" w:hAnsi="Garamond" w:cs="Times New Roman"/>
          <w:i/>
          <w:color w:val="000000" w:themeColor="text1"/>
          <w:sz w:val="24"/>
          <w:szCs w:val="24"/>
        </w:rPr>
        <w:t>“</w:t>
      </w:r>
      <w:r w:rsidRPr="004F2AC3">
        <w:rPr>
          <w:rFonts w:ascii="Garamond" w:eastAsia="Calibri" w:hAnsi="Garamond" w:cs="Times New Roman"/>
          <w:i/>
          <w:color w:val="000000" w:themeColor="text1"/>
          <w:sz w:val="24"/>
          <w:szCs w:val="24"/>
        </w:rPr>
        <w:t>Statistikat e inovacionit</w:t>
      </w:r>
      <w:r w:rsidR="00D32864" w:rsidRPr="004F2AC3">
        <w:rPr>
          <w:rFonts w:ascii="Garamond" w:eastAsia="Calibri" w:hAnsi="Garamond" w:cs="Times New Roman"/>
          <w:i/>
          <w:color w:val="000000" w:themeColor="text1"/>
          <w:sz w:val="24"/>
          <w:szCs w:val="24"/>
        </w:rPr>
        <w:t>”</w:t>
      </w:r>
      <w:r w:rsidRPr="004F2AC3">
        <w:rPr>
          <w:rFonts w:ascii="Garamond" w:eastAsia="Calibri" w:hAnsi="Garamond" w:cs="Times New Roman"/>
          <w:color w:val="000000" w:themeColor="text1"/>
          <w:sz w:val="24"/>
          <w:szCs w:val="24"/>
        </w:rPr>
        <w:t xml:space="preserve"> </w:t>
      </w:r>
      <w:r w:rsidR="00D32864"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 INSTAT</w:t>
      </w:r>
      <w:r w:rsidR="00D32864" w:rsidRPr="004F2AC3">
        <w:rPr>
          <w:rFonts w:ascii="Garamond" w:eastAsia="Calibri" w:hAnsi="Garamond" w:cs="Times New Roman"/>
          <w:color w:val="000000" w:themeColor="text1"/>
          <w:sz w:val="24"/>
          <w:szCs w:val="24"/>
        </w:rPr>
        <w:t>-i</w:t>
      </w:r>
      <w:r w:rsidRPr="004F2AC3">
        <w:rPr>
          <w:rFonts w:ascii="Garamond" w:eastAsia="Calibri" w:hAnsi="Garamond" w:cs="Times New Roman"/>
          <w:color w:val="000000" w:themeColor="text1"/>
          <w:sz w:val="24"/>
          <w:szCs w:val="24"/>
        </w:rPr>
        <w:t xml:space="preserve">, gjatë vitit 2026, do të përpunojë të dhënat e </w:t>
      </w:r>
      <w:r w:rsidR="009F455E" w:rsidRPr="004F2AC3">
        <w:rPr>
          <w:rFonts w:ascii="Garamond" w:eastAsia="Calibri" w:hAnsi="Garamond" w:cs="Times New Roman"/>
          <w:color w:val="000000" w:themeColor="text1"/>
          <w:sz w:val="24"/>
          <w:szCs w:val="24"/>
        </w:rPr>
        <w:t xml:space="preserve">vrojtimit </w:t>
      </w:r>
      <w:r w:rsidRPr="004F2AC3">
        <w:rPr>
          <w:rFonts w:ascii="Garamond" w:eastAsia="Calibri" w:hAnsi="Garamond" w:cs="Times New Roman"/>
          <w:color w:val="000000" w:themeColor="text1"/>
          <w:sz w:val="24"/>
          <w:szCs w:val="24"/>
        </w:rPr>
        <w:t xml:space="preserve">e </w:t>
      </w:r>
      <w:r w:rsidR="009F455E" w:rsidRPr="004F2AC3">
        <w:rPr>
          <w:rFonts w:ascii="Garamond" w:eastAsia="Calibri" w:hAnsi="Garamond" w:cs="Times New Roman"/>
          <w:color w:val="000000" w:themeColor="text1"/>
          <w:sz w:val="24"/>
          <w:szCs w:val="24"/>
        </w:rPr>
        <w:t xml:space="preserve">inovacionit </w:t>
      </w:r>
      <w:r w:rsidRPr="004F2AC3">
        <w:rPr>
          <w:rFonts w:ascii="Garamond" w:eastAsia="Calibri" w:hAnsi="Garamond" w:cs="Times New Roman"/>
          <w:color w:val="000000" w:themeColor="text1"/>
          <w:sz w:val="24"/>
          <w:szCs w:val="24"/>
        </w:rPr>
        <w:t xml:space="preserve">në </w:t>
      </w:r>
      <w:r w:rsidR="009F455E" w:rsidRPr="004F2AC3">
        <w:rPr>
          <w:rFonts w:ascii="Garamond" w:eastAsia="Calibri" w:hAnsi="Garamond" w:cs="Times New Roman"/>
          <w:color w:val="000000" w:themeColor="text1"/>
          <w:sz w:val="24"/>
          <w:szCs w:val="24"/>
        </w:rPr>
        <w:t>ndërmarrje</w:t>
      </w:r>
      <w:r w:rsidRPr="004F2AC3">
        <w:rPr>
          <w:rFonts w:ascii="Garamond" w:eastAsia="Calibri" w:hAnsi="Garamond" w:cs="Times New Roman"/>
          <w:color w:val="000000" w:themeColor="text1"/>
          <w:sz w:val="24"/>
          <w:szCs w:val="24"/>
        </w:rPr>
        <w:t xml:space="preserve">, të realizuar në </w:t>
      </w:r>
      <w:r w:rsidR="00D32864" w:rsidRPr="004F2AC3">
        <w:rPr>
          <w:rFonts w:ascii="Garamond" w:eastAsia="Calibri" w:hAnsi="Garamond" w:cs="Times New Roman"/>
          <w:color w:val="000000" w:themeColor="text1"/>
          <w:sz w:val="24"/>
          <w:szCs w:val="24"/>
        </w:rPr>
        <w:t>d</w:t>
      </w:r>
      <w:r w:rsidRPr="004F2AC3">
        <w:rPr>
          <w:rFonts w:ascii="Garamond" w:eastAsia="Calibri" w:hAnsi="Garamond" w:cs="Times New Roman"/>
          <w:color w:val="000000" w:themeColor="text1"/>
          <w:sz w:val="24"/>
          <w:szCs w:val="24"/>
        </w:rPr>
        <w:t>hjetor të 2024 (CIS 2024), për periudhën kohore 2022</w:t>
      </w:r>
      <w:r w:rsidR="00D32864"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2024. Treguesit e </w:t>
      </w:r>
      <w:r w:rsidR="009F455E" w:rsidRPr="004F2AC3">
        <w:rPr>
          <w:rFonts w:ascii="Garamond" w:eastAsia="Calibri" w:hAnsi="Garamond" w:cs="Times New Roman"/>
          <w:color w:val="000000" w:themeColor="text1"/>
          <w:sz w:val="24"/>
          <w:szCs w:val="24"/>
        </w:rPr>
        <w:t xml:space="preserve">inovacionit </w:t>
      </w:r>
      <w:r w:rsidRPr="004F2AC3">
        <w:rPr>
          <w:rFonts w:ascii="Garamond" w:eastAsia="Calibri" w:hAnsi="Garamond" w:cs="Times New Roman"/>
          <w:color w:val="000000" w:themeColor="text1"/>
          <w:sz w:val="24"/>
          <w:szCs w:val="24"/>
        </w:rPr>
        <w:t>për periudhën kohore 2022</w:t>
      </w:r>
      <w:r w:rsidR="00D32864"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2024, do të publikohen dhe transmetohen në Eurostat në </w:t>
      </w:r>
      <w:r w:rsidR="00D32864" w:rsidRPr="004F2AC3">
        <w:rPr>
          <w:rFonts w:ascii="Garamond" w:eastAsia="Calibri" w:hAnsi="Garamond" w:cs="Times New Roman"/>
          <w:color w:val="000000" w:themeColor="text1"/>
          <w:sz w:val="24"/>
          <w:szCs w:val="24"/>
        </w:rPr>
        <w:t>q</w:t>
      </w:r>
      <w:r w:rsidRPr="004F2AC3">
        <w:rPr>
          <w:rFonts w:ascii="Garamond" w:eastAsia="Calibri" w:hAnsi="Garamond" w:cs="Times New Roman"/>
          <w:color w:val="000000" w:themeColor="text1"/>
          <w:sz w:val="24"/>
          <w:szCs w:val="24"/>
        </w:rPr>
        <w:t>ershor 2026.</w:t>
      </w:r>
    </w:p>
    <w:p w14:paraId="5CF33A7D" w14:textId="46358602" w:rsidR="000F566F" w:rsidRPr="004F2AC3" w:rsidRDefault="000F566F" w:rsidP="000F566F">
      <w:pPr>
        <w:spacing w:after="0" w:line="240" w:lineRule="auto"/>
        <w:ind w:firstLine="284"/>
        <w:contextualSpacing/>
        <w:jc w:val="both"/>
        <w:rPr>
          <w:rFonts w:ascii="Garamond" w:eastAsia="Calibri" w:hAnsi="Garamond" w:cs="Times New Roman"/>
          <w:color w:val="000000" w:themeColor="text1"/>
          <w:sz w:val="24"/>
          <w:szCs w:val="24"/>
        </w:rPr>
      </w:pPr>
      <w:r w:rsidRPr="004F2AC3">
        <w:rPr>
          <w:rFonts w:ascii="Garamond" w:eastAsia="Calibri" w:hAnsi="Garamond" w:cs="Times New Roman"/>
          <w:i/>
          <w:color w:val="000000" w:themeColor="text1"/>
          <w:sz w:val="24"/>
          <w:szCs w:val="24"/>
        </w:rPr>
        <w:t xml:space="preserve">3.8.3 </w:t>
      </w:r>
      <w:r w:rsidR="00D32864" w:rsidRPr="004F2AC3">
        <w:rPr>
          <w:rFonts w:ascii="Garamond" w:eastAsia="Calibri" w:hAnsi="Garamond" w:cs="Times New Roman"/>
          <w:i/>
          <w:color w:val="000000" w:themeColor="text1"/>
          <w:sz w:val="24"/>
          <w:szCs w:val="24"/>
        </w:rPr>
        <w:t>“</w:t>
      </w:r>
      <w:r w:rsidRPr="004F2AC3">
        <w:rPr>
          <w:rFonts w:ascii="Garamond" w:eastAsia="Calibri" w:hAnsi="Garamond" w:cs="Times New Roman"/>
          <w:i/>
          <w:color w:val="000000" w:themeColor="text1"/>
          <w:sz w:val="24"/>
          <w:szCs w:val="24"/>
        </w:rPr>
        <w:t xml:space="preserve">Statistikat e </w:t>
      </w:r>
      <w:r w:rsidR="009F455E" w:rsidRPr="004F2AC3">
        <w:rPr>
          <w:rFonts w:ascii="Garamond" w:eastAsia="Calibri" w:hAnsi="Garamond" w:cs="Times New Roman"/>
          <w:i/>
          <w:color w:val="000000" w:themeColor="text1"/>
          <w:sz w:val="24"/>
          <w:szCs w:val="24"/>
        </w:rPr>
        <w:t>teknologjisë së informacionit dhe komunikimit</w:t>
      </w:r>
      <w:r w:rsidR="00D32864" w:rsidRPr="004F2AC3">
        <w:rPr>
          <w:rFonts w:ascii="Garamond" w:eastAsia="Calibri" w:hAnsi="Garamond" w:cs="Times New Roman"/>
          <w:i/>
          <w:color w:val="000000" w:themeColor="text1"/>
          <w:sz w:val="24"/>
          <w:szCs w:val="24"/>
        </w:rPr>
        <w:t>”</w:t>
      </w:r>
      <w:r w:rsidRPr="004F2AC3">
        <w:rPr>
          <w:rFonts w:ascii="Garamond" w:eastAsia="Calibri" w:hAnsi="Garamond" w:cs="Times New Roman"/>
          <w:color w:val="000000" w:themeColor="text1"/>
          <w:sz w:val="24"/>
          <w:szCs w:val="24"/>
        </w:rPr>
        <w:t xml:space="preserve"> </w:t>
      </w:r>
      <w:r w:rsidR="00D32864"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 Për prodhimin e statistikave të kësaj nënteme, INSTAT</w:t>
      </w:r>
      <w:r w:rsidR="00D32864" w:rsidRPr="004F2AC3">
        <w:rPr>
          <w:rFonts w:ascii="Garamond" w:eastAsia="Calibri" w:hAnsi="Garamond" w:cs="Times New Roman"/>
          <w:color w:val="000000" w:themeColor="text1"/>
          <w:sz w:val="24"/>
          <w:szCs w:val="24"/>
        </w:rPr>
        <w:t>-i</w:t>
      </w:r>
      <w:r w:rsidR="009F455E" w:rsidRPr="004F2AC3">
        <w:rPr>
          <w:rFonts w:ascii="Garamond" w:eastAsia="Calibri" w:hAnsi="Garamond" w:cs="Times New Roman"/>
          <w:color w:val="000000" w:themeColor="text1"/>
          <w:sz w:val="24"/>
          <w:szCs w:val="24"/>
        </w:rPr>
        <w:t xml:space="preserve"> do të kryejë dy vrojtime:</w:t>
      </w:r>
    </w:p>
    <w:p w14:paraId="7A17B51C" w14:textId="66C7EF0E" w:rsidR="000F566F" w:rsidRPr="004F2AC3" w:rsidRDefault="000F566F" w:rsidP="000F566F">
      <w:pPr>
        <w:spacing w:after="0" w:line="240" w:lineRule="auto"/>
        <w:ind w:firstLine="284"/>
        <w:contextualSpacing/>
        <w:jc w:val="both"/>
        <w:rPr>
          <w:rFonts w:ascii="Garamond" w:eastAsia="Calibri" w:hAnsi="Garamond" w:cs="Times New Roman"/>
          <w:color w:val="000000" w:themeColor="text1"/>
          <w:sz w:val="24"/>
          <w:szCs w:val="24"/>
        </w:rPr>
      </w:pPr>
      <w:r w:rsidRPr="004F2AC3">
        <w:rPr>
          <w:rFonts w:ascii="Garamond" w:eastAsia="Calibri" w:hAnsi="Garamond" w:cs="Times New Roman"/>
          <w:color w:val="000000" w:themeColor="text1"/>
          <w:sz w:val="24"/>
          <w:szCs w:val="24"/>
        </w:rPr>
        <w:t>- Vrojtimin vjetor mbi teknologjinë e informacionit dhe komunikimit pranë ndërmarrjeve ekonomike, për të cilin INSTAT</w:t>
      </w:r>
      <w:r w:rsidR="009F455E" w:rsidRPr="004F2AC3">
        <w:rPr>
          <w:rFonts w:ascii="Garamond" w:eastAsia="Calibri" w:hAnsi="Garamond" w:cs="Times New Roman"/>
          <w:color w:val="000000" w:themeColor="text1"/>
          <w:sz w:val="24"/>
          <w:szCs w:val="24"/>
        </w:rPr>
        <w:t>-i</w:t>
      </w:r>
      <w:r w:rsidRPr="004F2AC3">
        <w:rPr>
          <w:rFonts w:ascii="Garamond" w:eastAsia="Calibri" w:hAnsi="Garamond" w:cs="Times New Roman"/>
          <w:color w:val="000000" w:themeColor="text1"/>
          <w:sz w:val="24"/>
          <w:szCs w:val="24"/>
        </w:rPr>
        <w:t xml:space="preserve"> do të kryejë mbledhjen e të dhënave për vitin referencë 2026 dhe publikimin e këtyre treguesve</w:t>
      </w:r>
      <w:r w:rsidR="009F455E"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 duke u bazuar në </w:t>
      </w:r>
      <w:r w:rsidR="009F455E" w:rsidRPr="004F2AC3">
        <w:rPr>
          <w:rFonts w:ascii="Garamond" w:eastAsia="Calibri" w:hAnsi="Garamond" w:cs="Times New Roman"/>
          <w:color w:val="000000" w:themeColor="text1"/>
          <w:sz w:val="24"/>
          <w:szCs w:val="24"/>
        </w:rPr>
        <w:t xml:space="preserve">rregulloren zbatuese </w:t>
      </w:r>
      <w:r w:rsidRPr="004F2AC3">
        <w:rPr>
          <w:rFonts w:ascii="Garamond" w:eastAsia="Calibri" w:hAnsi="Garamond" w:cs="Times New Roman"/>
          <w:color w:val="000000" w:themeColor="text1"/>
          <w:sz w:val="24"/>
          <w:szCs w:val="24"/>
        </w:rPr>
        <w:t xml:space="preserve">për vitin referues. Gjithashtu, gjatë vitit 2026, këto tregues dhe raporti i cilësisë </w:t>
      </w:r>
      <w:r w:rsidR="009F455E" w:rsidRPr="004F2AC3">
        <w:rPr>
          <w:rFonts w:ascii="Garamond" w:eastAsia="Calibri" w:hAnsi="Garamond" w:cs="Times New Roman"/>
          <w:color w:val="000000" w:themeColor="text1"/>
          <w:sz w:val="24"/>
          <w:szCs w:val="24"/>
        </w:rPr>
        <w:t>do të transmetohen në Eurostat.</w:t>
      </w:r>
    </w:p>
    <w:p w14:paraId="7A8BDBFE" w14:textId="36890F57" w:rsidR="000F566F" w:rsidRPr="004F2AC3" w:rsidRDefault="000F566F" w:rsidP="000F566F">
      <w:pPr>
        <w:spacing w:after="0" w:line="240" w:lineRule="auto"/>
        <w:ind w:firstLine="284"/>
        <w:contextualSpacing/>
        <w:jc w:val="both"/>
        <w:rPr>
          <w:rFonts w:ascii="Garamond" w:eastAsia="Calibri" w:hAnsi="Garamond" w:cs="Times New Roman"/>
          <w:color w:val="000000" w:themeColor="text1"/>
          <w:sz w:val="24"/>
          <w:szCs w:val="24"/>
        </w:rPr>
      </w:pPr>
      <w:r w:rsidRPr="004F2AC3">
        <w:rPr>
          <w:rFonts w:ascii="Garamond" w:eastAsia="Calibri" w:hAnsi="Garamond" w:cs="Times New Roman"/>
          <w:color w:val="000000" w:themeColor="text1"/>
          <w:sz w:val="24"/>
          <w:szCs w:val="24"/>
        </w:rPr>
        <w:t xml:space="preserve">- Vrojtimin mbi </w:t>
      </w:r>
      <w:r w:rsidR="00D32864"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Përdorimin e </w:t>
      </w:r>
      <w:r w:rsidR="009F455E" w:rsidRPr="004F2AC3">
        <w:rPr>
          <w:rFonts w:ascii="Garamond" w:eastAsia="Calibri" w:hAnsi="Garamond" w:cs="Times New Roman"/>
          <w:color w:val="000000" w:themeColor="text1"/>
          <w:sz w:val="24"/>
          <w:szCs w:val="24"/>
        </w:rPr>
        <w:t>teknologjisë së informacionit dhe komunikimit</w:t>
      </w:r>
      <w:r w:rsidR="00D32864"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 në </w:t>
      </w:r>
      <w:r w:rsidR="009F455E" w:rsidRPr="004F2AC3">
        <w:rPr>
          <w:rFonts w:ascii="Garamond" w:eastAsia="Calibri" w:hAnsi="Garamond" w:cs="Times New Roman"/>
          <w:color w:val="000000" w:themeColor="text1"/>
          <w:sz w:val="24"/>
          <w:szCs w:val="24"/>
        </w:rPr>
        <w:t>njësitë e</w:t>
      </w:r>
      <w:r w:rsidRPr="004F2AC3">
        <w:rPr>
          <w:rFonts w:ascii="Garamond" w:eastAsia="Calibri" w:hAnsi="Garamond" w:cs="Times New Roman"/>
          <w:color w:val="000000" w:themeColor="text1"/>
          <w:sz w:val="24"/>
          <w:szCs w:val="24"/>
        </w:rPr>
        <w:t xml:space="preserve">konomike </w:t>
      </w:r>
      <w:r w:rsidR="009F455E" w:rsidRPr="004F2AC3">
        <w:rPr>
          <w:rFonts w:ascii="Garamond" w:eastAsia="Calibri" w:hAnsi="Garamond" w:cs="Times New Roman"/>
          <w:color w:val="000000" w:themeColor="text1"/>
          <w:sz w:val="24"/>
          <w:szCs w:val="24"/>
        </w:rPr>
        <w:t xml:space="preserve">familjare </w:t>
      </w:r>
      <w:r w:rsidRPr="004F2AC3">
        <w:rPr>
          <w:rFonts w:ascii="Garamond" w:eastAsia="Calibri" w:hAnsi="Garamond" w:cs="Times New Roman"/>
          <w:color w:val="000000" w:themeColor="text1"/>
          <w:sz w:val="24"/>
          <w:szCs w:val="24"/>
        </w:rPr>
        <w:t>(NjEF)</w:t>
      </w:r>
      <w:r w:rsidRPr="004F2AC3">
        <w:rPr>
          <w:rFonts w:ascii="Garamond" w:eastAsia="Times New Roman" w:hAnsi="Garamond" w:cs="Times New Roman"/>
          <w:color w:val="000000" w:themeColor="text1"/>
          <w:sz w:val="24"/>
          <w:szCs w:val="24"/>
        </w:rPr>
        <w:t xml:space="preserve">, i cili kryhet </w:t>
      </w:r>
      <w:r w:rsidRPr="004F2AC3">
        <w:rPr>
          <w:rFonts w:ascii="Garamond" w:hAnsi="Garamond" w:cs="Times New Roman"/>
          <w:color w:val="000000" w:themeColor="text1"/>
          <w:sz w:val="24"/>
          <w:szCs w:val="24"/>
        </w:rPr>
        <w:t xml:space="preserve">në përputhje me rekomandimet e parashikuara </w:t>
      </w:r>
      <w:r w:rsidRPr="004F2AC3">
        <w:rPr>
          <w:rFonts w:ascii="Garamond" w:eastAsia="Times New Roman" w:hAnsi="Garamond" w:cs="Times New Roman"/>
          <w:color w:val="000000" w:themeColor="text1"/>
          <w:sz w:val="24"/>
          <w:szCs w:val="24"/>
        </w:rPr>
        <w:t xml:space="preserve">në rregulloren bazë të Komisionit </w:t>
      </w:r>
      <w:r w:rsidR="00D32864" w:rsidRPr="004F2AC3">
        <w:rPr>
          <w:rFonts w:ascii="Garamond" w:eastAsia="Times New Roman" w:hAnsi="Garamond" w:cs="Times New Roman"/>
          <w:color w:val="000000" w:themeColor="text1"/>
          <w:sz w:val="24"/>
          <w:szCs w:val="24"/>
        </w:rPr>
        <w:t>Evropian</w:t>
      </w:r>
      <w:r w:rsidRPr="004F2AC3">
        <w:rPr>
          <w:rFonts w:ascii="Garamond" w:eastAsia="Times New Roman" w:hAnsi="Garamond" w:cs="Times New Roman"/>
          <w:color w:val="000000" w:themeColor="text1"/>
          <w:sz w:val="24"/>
          <w:szCs w:val="24"/>
        </w:rPr>
        <w:t xml:space="preserve"> (KE) 2019/1700</w:t>
      </w:r>
      <w:r w:rsidR="009F455E"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statistikat lidhur me personat dhe familjet</w:t>
      </w:r>
      <w:r w:rsidR="00D32864" w:rsidRPr="004F2AC3">
        <w:rPr>
          <w:rFonts w:ascii="Garamond" w:eastAsia="Times New Roman" w:hAnsi="Garamond" w:cs="Times New Roman"/>
          <w:color w:val="000000" w:themeColor="text1"/>
          <w:sz w:val="24"/>
          <w:szCs w:val="24"/>
        </w:rPr>
        <w:t>”</w:t>
      </w:r>
      <w:r w:rsidR="009F455E"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 ku edhe për këtë aktivitet, INSTAT</w:t>
      </w:r>
      <w:r w:rsidR="00D32864" w:rsidRPr="004F2AC3">
        <w:rPr>
          <w:rFonts w:ascii="Garamond" w:eastAsia="Calibri" w:hAnsi="Garamond" w:cs="Times New Roman"/>
          <w:color w:val="000000" w:themeColor="text1"/>
          <w:sz w:val="24"/>
          <w:szCs w:val="24"/>
        </w:rPr>
        <w:t>-i</w:t>
      </w:r>
      <w:r w:rsidRPr="004F2AC3">
        <w:rPr>
          <w:rFonts w:ascii="Garamond" w:eastAsia="Calibri" w:hAnsi="Garamond" w:cs="Times New Roman"/>
          <w:color w:val="000000" w:themeColor="text1"/>
          <w:sz w:val="24"/>
          <w:szCs w:val="24"/>
        </w:rPr>
        <w:t xml:space="preserve"> do të kryejë mbledhjen e të dhënave për vitin referencë 2026 dhe publikimin e këtyre treguesve</w:t>
      </w:r>
      <w:r w:rsidR="009F455E" w:rsidRPr="004F2AC3">
        <w:rPr>
          <w:rFonts w:ascii="Garamond" w:eastAsia="Calibri" w:hAnsi="Garamond" w:cs="Times New Roman"/>
          <w:color w:val="000000" w:themeColor="text1"/>
          <w:sz w:val="24"/>
          <w:szCs w:val="24"/>
        </w:rPr>
        <w:t>,</w:t>
      </w:r>
      <w:r w:rsidRPr="004F2AC3">
        <w:rPr>
          <w:rFonts w:ascii="Garamond" w:eastAsia="Calibri" w:hAnsi="Garamond" w:cs="Times New Roman"/>
          <w:color w:val="000000" w:themeColor="text1"/>
          <w:sz w:val="24"/>
          <w:szCs w:val="24"/>
        </w:rPr>
        <w:t xml:space="preserve"> duke u bazuar në </w:t>
      </w:r>
      <w:r w:rsidR="009F455E" w:rsidRPr="004F2AC3">
        <w:rPr>
          <w:rFonts w:ascii="Garamond" w:eastAsia="Calibri" w:hAnsi="Garamond" w:cs="Times New Roman"/>
          <w:color w:val="000000" w:themeColor="text1"/>
          <w:sz w:val="24"/>
          <w:szCs w:val="24"/>
        </w:rPr>
        <w:t>r</w:t>
      </w:r>
      <w:r w:rsidRPr="004F2AC3">
        <w:rPr>
          <w:rFonts w:ascii="Garamond" w:eastAsia="Calibri" w:hAnsi="Garamond" w:cs="Times New Roman"/>
          <w:color w:val="000000" w:themeColor="text1"/>
          <w:sz w:val="24"/>
          <w:szCs w:val="24"/>
        </w:rPr>
        <w:t xml:space="preserve">regulloren zbatuese për vitin referues. Gjithashtu, gjatë vitit 2026, të dhënat mikro, si dhe raporti i cilësisë do të transmetohen në Eurostat nëpërmjet sistemit </w:t>
      </w:r>
      <w:r w:rsidRPr="004F2AC3">
        <w:rPr>
          <w:rFonts w:ascii="Garamond" w:eastAsia="Calibri" w:hAnsi="Garamond" w:cs="Times New Roman"/>
          <w:i/>
          <w:color w:val="000000" w:themeColor="text1"/>
          <w:sz w:val="24"/>
          <w:szCs w:val="24"/>
        </w:rPr>
        <w:t>Metadata</w:t>
      </w:r>
      <w:r w:rsidRPr="004F2AC3">
        <w:rPr>
          <w:rFonts w:ascii="Garamond" w:eastAsia="Calibri" w:hAnsi="Garamond" w:cs="Times New Roman"/>
          <w:color w:val="000000" w:themeColor="text1"/>
          <w:sz w:val="24"/>
          <w:szCs w:val="24"/>
        </w:rPr>
        <w:t xml:space="preserve"> </w:t>
      </w:r>
      <w:r w:rsidRPr="004F2AC3">
        <w:rPr>
          <w:rFonts w:ascii="Garamond" w:eastAsia="Calibri" w:hAnsi="Garamond" w:cs="Times New Roman"/>
          <w:i/>
          <w:color w:val="000000" w:themeColor="text1"/>
          <w:sz w:val="24"/>
          <w:szCs w:val="24"/>
        </w:rPr>
        <w:t>Handler</w:t>
      </w:r>
      <w:r w:rsidRPr="004F2AC3">
        <w:rPr>
          <w:rFonts w:ascii="Garamond" w:eastAsia="Calibri" w:hAnsi="Garamond" w:cs="Times New Roman"/>
          <w:color w:val="000000" w:themeColor="text1"/>
          <w:sz w:val="24"/>
          <w:szCs w:val="24"/>
        </w:rPr>
        <w:t xml:space="preserve">. </w:t>
      </w:r>
    </w:p>
    <w:p w14:paraId="6283A3F8" w14:textId="6350381C" w:rsidR="000F566F" w:rsidRPr="004F2AC3" w:rsidRDefault="000F566F" w:rsidP="000F566F">
      <w:pPr>
        <w:spacing w:after="0" w:line="240" w:lineRule="auto"/>
        <w:ind w:firstLine="284"/>
        <w:contextualSpacing/>
        <w:jc w:val="both"/>
        <w:rPr>
          <w:rFonts w:ascii="Garamond" w:eastAsia="Calibri" w:hAnsi="Garamond" w:cs="Times New Roman"/>
          <w:color w:val="000000" w:themeColor="text1"/>
          <w:sz w:val="24"/>
          <w:szCs w:val="24"/>
        </w:rPr>
      </w:pPr>
      <w:r w:rsidRPr="004F2AC3">
        <w:rPr>
          <w:rFonts w:ascii="Garamond" w:eastAsia="Calibri" w:hAnsi="Garamond" w:cs="Times New Roman"/>
          <w:color w:val="000000" w:themeColor="text1"/>
          <w:sz w:val="24"/>
          <w:szCs w:val="24"/>
        </w:rPr>
        <w:t xml:space="preserve">Statistikat e teknologjisë së informacionit dhe komunikimit do të kenë frekuencë vjetore. </w:t>
      </w:r>
      <w:r w:rsidRPr="004F2AC3">
        <w:rPr>
          <w:rFonts w:ascii="Garamond" w:eastAsia="Times New Roman" w:hAnsi="Garamond" w:cs="Times New Roman"/>
          <w:color w:val="000000" w:themeColor="text1"/>
          <w:sz w:val="24"/>
          <w:szCs w:val="24"/>
        </w:rPr>
        <w:t xml:space="preserve">Statistikat e përdorimit të teknologjisë së informacionit dhe komunikimit në </w:t>
      </w:r>
      <w:r w:rsidR="009F455E" w:rsidRPr="004F2AC3">
        <w:rPr>
          <w:rFonts w:ascii="Garamond" w:eastAsia="Times New Roman" w:hAnsi="Garamond" w:cs="Times New Roman"/>
          <w:color w:val="000000" w:themeColor="text1"/>
          <w:sz w:val="24"/>
          <w:szCs w:val="24"/>
        </w:rPr>
        <w:t xml:space="preserve">njësitë ekonomike familjare </w:t>
      </w:r>
      <w:r w:rsidRPr="004F2AC3">
        <w:rPr>
          <w:rFonts w:ascii="Garamond" w:eastAsia="Times New Roman" w:hAnsi="Garamond" w:cs="Times New Roman"/>
          <w:color w:val="000000" w:themeColor="text1"/>
          <w:sz w:val="24"/>
          <w:szCs w:val="24"/>
        </w:rPr>
        <w:t xml:space="preserve">kryhen bazuar në </w:t>
      </w:r>
      <w:r w:rsidR="009F455E" w:rsidRPr="004F2AC3">
        <w:rPr>
          <w:rFonts w:ascii="Garamond" w:eastAsia="Times New Roman" w:hAnsi="Garamond" w:cs="Times New Roman"/>
          <w:color w:val="000000" w:themeColor="text1"/>
          <w:sz w:val="24"/>
          <w:szCs w:val="24"/>
        </w:rPr>
        <w:t xml:space="preserve">Rregulloren </w:t>
      </w:r>
      <w:r w:rsidRPr="004F2AC3">
        <w:rPr>
          <w:rFonts w:ascii="Garamond" w:eastAsia="Times New Roman" w:hAnsi="Garamond" w:cs="Times New Roman"/>
          <w:color w:val="000000" w:themeColor="text1"/>
          <w:sz w:val="24"/>
          <w:szCs w:val="24"/>
        </w:rPr>
        <w:t xml:space="preserve">(BE) </w:t>
      </w:r>
      <w:bookmarkStart w:id="41" w:name="_Hlk182919644"/>
      <w:r w:rsidRPr="004F2AC3">
        <w:rPr>
          <w:rFonts w:ascii="Garamond" w:eastAsia="Times New Roman" w:hAnsi="Garamond" w:cs="Times New Roman"/>
          <w:color w:val="000000" w:themeColor="text1"/>
          <w:sz w:val="24"/>
          <w:szCs w:val="24"/>
        </w:rPr>
        <w:t>2019/1700</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bookmarkEnd w:id="41"/>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statistikat lidhur me individët dhe NjEF</w:t>
      </w:r>
      <w:r w:rsidR="009F455E" w:rsidRPr="004F2AC3">
        <w:rPr>
          <w:rFonts w:ascii="Garamond" w:eastAsia="Times New Roman" w:hAnsi="Garamond" w:cs="Times New Roman"/>
          <w:color w:val="000000" w:themeColor="text1"/>
          <w:sz w:val="24"/>
          <w:szCs w:val="24"/>
        </w:rPr>
        <w:t>-të</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duke krijuar një kuadër ligjor të përbashkët</w:t>
      </w:r>
      <w:r w:rsidR="009F455E"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lidhur me statistikat për njësitë ekonomike familjare dhe individët, të mbledhura përmes kampion</w:t>
      </w:r>
      <w:r w:rsidR="009F455E" w:rsidRPr="004F2AC3">
        <w:rPr>
          <w:rFonts w:ascii="Garamond" w:eastAsia="Times New Roman" w:hAnsi="Garamond" w:cs="Times New Roman"/>
          <w:color w:val="000000" w:themeColor="text1"/>
          <w:sz w:val="24"/>
          <w:szCs w:val="24"/>
        </w:rPr>
        <w:t>ëve të zgjedhur</w:t>
      </w:r>
      <w:r w:rsidRPr="004F2AC3">
        <w:rPr>
          <w:rFonts w:ascii="Garamond" w:eastAsia="Times New Roman" w:hAnsi="Garamond" w:cs="Times New Roman"/>
          <w:color w:val="000000" w:themeColor="text1"/>
          <w:sz w:val="24"/>
          <w:szCs w:val="24"/>
        </w:rPr>
        <w:t>.</w:t>
      </w:r>
    </w:p>
    <w:p w14:paraId="6F36554E" w14:textId="0B77CE08"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Treguesit kryesorë:</w:t>
      </w:r>
      <w:r w:rsidRPr="004F2AC3">
        <w:rPr>
          <w:rFonts w:ascii="Garamond" w:hAnsi="Garamond" w:cs="Times New Roman"/>
          <w:color w:val="000000" w:themeColor="text1"/>
          <w:sz w:val="24"/>
          <w:szCs w:val="24"/>
        </w:rPr>
        <w:t xml:space="preserve"> Tregues </w:t>
      </w:r>
      <w:r w:rsidR="00D32864" w:rsidRPr="004F2AC3">
        <w:rPr>
          <w:rFonts w:ascii="Garamond" w:hAnsi="Garamond" w:cs="Times New Roman"/>
          <w:color w:val="000000" w:themeColor="text1"/>
          <w:sz w:val="24"/>
          <w:szCs w:val="24"/>
        </w:rPr>
        <w:t>statistikorë</w:t>
      </w:r>
      <w:r w:rsidRPr="004F2AC3">
        <w:rPr>
          <w:rFonts w:ascii="Garamond" w:hAnsi="Garamond" w:cs="Times New Roman"/>
          <w:color w:val="000000" w:themeColor="text1"/>
          <w:sz w:val="24"/>
          <w:szCs w:val="24"/>
        </w:rPr>
        <w:t xml:space="preserve"> lidhur me përdorimin e </w:t>
      </w:r>
      <w:r w:rsidR="009F455E" w:rsidRPr="004F2AC3">
        <w:rPr>
          <w:rFonts w:ascii="Garamond" w:hAnsi="Garamond" w:cs="Times New Roman"/>
          <w:color w:val="000000" w:themeColor="text1"/>
          <w:sz w:val="24"/>
          <w:szCs w:val="24"/>
        </w:rPr>
        <w:t xml:space="preserve">teknologjisë së informacionit </w:t>
      </w:r>
      <w:r w:rsidRPr="004F2AC3">
        <w:rPr>
          <w:rFonts w:ascii="Garamond" w:hAnsi="Garamond" w:cs="Times New Roman"/>
          <w:color w:val="000000" w:themeColor="text1"/>
          <w:sz w:val="24"/>
          <w:szCs w:val="24"/>
        </w:rPr>
        <w:t xml:space="preserve">dhe </w:t>
      </w:r>
      <w:r w:rsidR="009F455E" w:rsidRPr="004F2AC3">
        <w:rPr>
          <w:rFonts w:ascii="Garamond" w:hAnsi="Garamond" w:cs="Times New Roman"/>
          <w:color w:val="000000" w:themeColor="text1"/>
          <w:sz w:val="24"/>
          <w:szCs w:val="24"/>
        </w:rPr>
        <w:t xml:space="preserve">komunikimit </w:t>
      </w:r>
      <w:r w:rsidRPr="004F2AC3">
        <w:rPr>
          <w:rFonts w:ascii="Garamond" w:hAnsi="Garamond" w:cs="Times New Roman"/>
          <w:color w:val="000000" w:themeColor="text1"/>
          <w:sz w:val="24"/>
          <w:szCs w:val="24"/>
        </w:rPr>
        <w:t>(TIK) në ndërmarrje ekonomike me 10 e më shumë të punësuar; Tregues statistikorë mbi nivelin e përdorimit të teknologjisë së informacionit dhe komunikimit nga familjet (NJEF) dhe individët në nivel kombëtar me periodicitet vjetor, etj.</w:t>
      </w:r>
    </w:p>
    <w:p w14:paraId="127386FA" w14:textId="02F3B515"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lang w:eastAsia="en-GB"/>
        </w:rPr>
      </w:pPr>
      <w:r w:rsidRPr="004F2AC3">
        <w:rPr>
          <w:rFonts w:ascii="Garamond" w:eastAsia="Times New Roman" w:hAnsi="Garamond" w:cs="Times New Roman"/>
          <w:b/>
          <w:color w:val="000000" w:themeColor="text1"/>
          <w:sz w:val="24"/>
          <w:szCs w:val="24"/>
        </w:rPr>
        <w:t>Përpu</w:t>
      </w:r>
      <w:r w:rsidR="00D32864" w:rsidRPr="004F2AC3">
        <w:rPr>
          <w:rFonts w:ascii="Garamond" w:eastAsia="Times New Roman" w:hAnsi="Garamond" w:cs="Times New Roman"/>
          <w:b/>
          <w:color w:val="000000" w:themeColor="text1"/>
          <w:sz w:val="24"/>
          <w:szCs w:val="24"/>
        </w:rPr>
        <w:t>th</w:t>
      </w:r>
      <w:r w:rsidRPr="004F2AC3">
        <w:rPr>
          <w:rFonts w:ascii="Garamond" w:eastAsia="Times New Roman" w:hAnsi="Garamond" w:cs="Times New Roman"/>
          <w:b/>
          <w:color w:val="000000" w:themeColor="text1"/>
          <w:sz w:val="24"/>
          <w:szCs w:val="24"/>
        </w:rPr>
        <w:t xml:space="preserve">shmëria me </w:t>
      </w:r>
      <w:r w:rsidRPr="004F2AC3">
        <w:rPr>
          <w:rFonts w:ascii="Garamond" w:hAnsi="Garamond" w:cs="Times New Roman"/>
          <w:b/>
          <w:bCs/>
          <w:i/>
          <w:iCs/>
          <w:color w:val="000000" w:themeColor="text1"/>
          <w:sz w:val="24"/>
          <w:szCs w:val="24"/>
        </w:rPr>
        <w:t xml:space="preserve">acquis: </w:t>
      </w:r>
      <w:r w:rsidRPr="004F2AC3">
        <w:rPr>
          <w:rFonts w:ascii="Garamond" w:hAnsi="Garamond" w:cs="Times New Roman"/>
          <w:color w:val="000000" w:themeColor="text1"/>
          <w:sz w:val="24"/>
          <w:szCs w:val="24"/>
          <w:lang w:eastAsia="en-GB"/>
        </w:rPr>
        <w:t>Statistikat mbi</w:t>
      </w:r>
      <w:r w:rsidRPr="004F2AC3">
        <w:rPr>
          <w:rFonts w:ascii="Garamond" w:hAnsi="Garamond" w:cs="Times New Roman"/>
          <w:i/>
          <w:color w:val="000000" w:themeColor="text1"/>
          <w:sz w:val="24"/>
          <w:szCs w:val="24"/>
          <w:lang w:eastAsia="en-GB"/>
        </w:rPr>
        <w:t xml:space="preserve"> </w:t>
      </w:r>
      <w:r w:rsidR="009F455E" w:rsidRPr="004F2AC3">
        <w:rPr>
          <w:rFonts w:ascii="Garamond" w:hAnsi="Garamond" w:cs="Times New Roman"/>
          <w:i/>
          <w:color w:val="000000" w:themeColor="text1"/>
          <w:sz w:val="24"/>
          <w:szCs w:val="24"/>
          <w:lang w:eastAsia="en-GB"/>
        </w:rPr>
        <w:t>shkencën inovacionin</w:t>
      </w:r>
      <w:r w:rsidR="009F455E" w:rsidRPr="004F2AC3">
        <w:rPr>
          <w:rFonts w:ascii="Garamond" w:hAnsi="Garamond" w:cs="Times New Roman"/>
          <w:color w:val="000000" w:themeColor="text1"/>
          <w:sz w:val="24"/>
          <w:szCs w:val="24"/>
          <w:lang w:eastAsia="en-GB"/>
        </w:rPr>
        <w:t xml:space="preserve"> dhe </w:t>
      </w:r>
      <w:r w:rsidR="009F455E" w:rsidRPr="004F2AC3">
        <w:rPr>
          <w:rFonts w:ascii="Garamond" w:hAnsi="Garamond" w:cs="Times New Roman"/>
          <w:i/>
          <w:color w:val="000000" w:themeColor="text1"/>
          <w:sz w:val="24"/>
          <w:szCs w:val="24"/>
          <w:lang w:eastAsia="en-GB"/>
        </w:rPr>
        <w:t xml:space="preserve">teknologjinë </w:t>
      </w:r>
      <w:r w:rsidRPr="004F2AC3">
        <w:rPr>
          <w:rFonts w:ascii="Garamond" w:hAnsi="Garamond" w:cs="Times New Roman"/>
          <w:color w:val="000000" w:themeColor="text1"/>
          <w:sz w:val="24"/>
          <w:szCs w:val="24"/>
          <w:lang w:eastAsia="en-GB"/>
        </w:rPr>
        <w:t xml:space="preserve">janë pjesërisht në përputhje me Rregulloren e Komisionit (KE) </w:t>
      </w:r>
      <w:r w:rsidR="009F455E"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r.</w:t>
      </w:r>
      <w:r w:rsidR="009F455E" w:rsidRPr="004F2AC3">
        <w:rPr>
          <w:rFonts w:ascii="Garamond" w:hAnsi="Garamond" w:cs="Times New Roman"/>
          <w:color w:val="000000" w:themeColor="text1"/>
          <w:sz w:val="24"/>
          <w:szCs w:val="24"/>
          <w:lang w:eastAsia="en-GB"/>
        </w:rPr>
        <w:t xml:space="preserve"> </w:t>
      </w:r>
      <w:r w:rsidRPr="004F2AC3">
        <w:rPr>
          <w:rFonts w:ascii="Garamond" w:hAnsi="Garamond" w:cs="Times New Roman"/>
          <w:color w:val="000000" w:themeColor="text1"/>
          <w:sz w:val="24"/>
          <w:szCs w:val="24"/>
          <w:lang w:eastAsia="en-GB"/>
        </w:rPr>
        <w:t>2019/2152</w:t>
      </w:r>
      <w:r w:rsidR="009F455E"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Për statistikat evropiane të biznesit</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Rregulloren Zbatuese të Komisionit Evropian (EU) 2022/1092</w:t>
      </w:r>
      <w:r w:rsidR="009F455E"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Për </w:t>
      </w:r>
      <w:r w:rsidR="009F455E" w:rsidRPr="004F2AC3">
        <w:rPr>
          <w:rFonts w:ascii="Garamond" w:hAnsi="Garamond" w:cs="Times New Roman"/>
          <w:color w:val="000000" w:themeColor="text1"/>
          <w:sz w:val="24"/>
          <w:szCs w:val="24"/>
          <w:lang w:eastAsia="en-GB"/>
        </w:rPr>
        <w:t>statistikat e inovacionit”</w:t>
      </w:r>
      <w:r w:rsidRPr="004F2AC3">
        <w:rPr>
          <w:rFonts w:ascii="Garamond" w:hAnsi="Garamond" w:cs="Times New Roman"/>
          <w:color w:val="000000" w:themeColor="text1"/>
          <w:sz w:val="24"/>
          <w:szCs w:val="24"/>
          <w:lang w:eastAsia="en-GB"/>
        </w:rPr>
        <w:t xml:space="preserve">, si </w:t>
      </w:r>
      <w:r w:rsidRPr="004F2AC3">
        <w:rPr>
          <w:rFonts w:ascii="Garamond" w:hAnsi="Garamond" w:cs="Times New Roman"/>
          <w:color w:val="000000" w:themeColor="text1"/>
          <w:sz w:val="24"/>
          <w:szCs w:val="24"/>
        </w:rPr>
        <w:t xml:space="preserve">dhe </w:t>
      </w:r>
      <w:r w:rsidRPr="004F2AC3">
        <w:rPr>
          <w:rFonts w:ascii="Garamond" w:hAnsi="Garamond" w:cs="Times New Roman"/>
          <w:color w:val="000000" w:themeColor="text1"/>
          <w:sz w:val="24"/>
          <w:szCs w:val="24"/>
          <w:lang w:eastAsia="en-GB"/>
        </w:rPr>
        <w:t>Rregulloren Zbatuese të Komisionit Evropian (EU) 2023/1507</w:t>
      </w:r>
      <w:r w:rsidR="009F455E"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Për statistikat e </w:t>
      </w:r>
      <w:r w:rsidR="009F455E" w:rsidRPr="004F2AC3">
        <w:rPr>
          <w:rFonts w:ascii="Garamond" w:hAnsi="Garamond" w:cs="Times New Roman"/>
          <w:color w:val="000000" w:themeColor="text1"/>
          <w:sz w:val="24"/>
          <w:szCs w:val="24"/>
          <w:lang w:eastAsia="en-GB"/>
        </w:rPr>
        <w:t xml:space="preserve">teknologjisë </w:t>
      </w:r>
      <w:r w:rsidRPr="004F2AC3">
        <w:rPr>
          <w:rFonts w:ascii="Garamond" w:hAnsi="Garamond" w:cs="Times New Roman"/>
          <w:color w:val="000000" w:themeColor="text1"/>
          <w:sz w:val="24"/>
          <w:szCs w:val="24"/>
          <w:lang w:eastAsia="en-GB"/>
        </w:rPr>
        <w:t xml:space="preserve">së </w:t>
      </w:r>
      <w:r w:rsidR="009F455E" w:rsidRPr="004F2AC3">
        <w:rPr>
          <w:rFonts w:ascii="Garamond" w:hAnsi="Garamond" w:cs="Times New Roman"/>
          <w:color w:val="000000" w:themeColor="text1"/>
          <w:sz w:val="24"/>
          <w:szCs w:val="24"/>
          <w:lang w:eastAsia="en-GB"/>
        </w:rPr>
        <w:t xml:space="preserve">informacionit </w:t>
      </w:r>
      <w:r w:rsidRPr="004F2AC3">
        <w:rPr>
          <w:rFonts w:ascii="Garamond" w:hAnsi="Garamond" w:cs="Times New Roman"/>
          <w:color w:val="000000" w:themeColor="text1"/>
          <w:sz w:val="24"/>
          <w:szCs w:val="24"/>
          <w:lang w:eastAsia="en-GB"/>
        </w:rPr>
        <w:t>në ndërmarrje</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Pr="004F2AC3">
        <w:rPr>
          <w:rFonts w:ascii="Garamond" w:eastAsia="Times New Roman" w:hAnsi="Garamond" w:cs="Times New Roman"/>
          <w:i/>
          <w:color w:val="000000" w:themeColor="text1"/>
          <w:sz w:val="24"/>
          <w:szCs w:val="24"/>
        </w:rPr>
        <w:t xml:space="preserve">Statistikat për nënfushën e </w:t>
      </w:r>
      <w:r w:rsidR="009F455E" w:rsidRPr="004F2AC3">
        <w:rPr>
          <w:rFonts w:ascii="Garamond" w:eastAsia="Times New Roman" w:hAnsi="Garamond" w:cs="Times New Roman"/>
          <w:i/>
          <w:color w:val="000000" w:themeColor="text1"/>
          <w:sz w:val="24"/>
          <w:szCs w:val="24"/>
        </w:rPr>
        <w:t>shkenc</w:t>
      </w:r>
      <w:r w:rsidR="009F455E" w:rsidRPr="004F2AC3">
        <w:rPr>
          <w:rFonts w:ascii="Garamond" w:eastAsia="Times New Roman" w:hAnsi="Garamond" w:cs="Times New Roman"/>
          <w:color w:val="000000" w:themeColor="text1"/>
          <w:sz w:val="24"/>
          <w:szCs w:val="24"/>
        </w:rPr>
        <w:t xml:space="preserve">ës </w:t>
      </w:r>
      <w:r w:rsidRPr="004F2AC3">
        <w:rPr>
          <w:rFonts w:ascii="Garamond" w:eastAsia="Times New Roman" w:hAnsi="Garamond" w:cs="Times New Roman"/>
          <w:color w:val="000000" w:themeColor="text1"/>
          <w:sz w:val="24"/>
          <w:szCs w:val="24"/>
        </w:rPr>
        <w:t xml:space="preserve">kanë përputhshmëri të ulët me rregulloren BE. </w:t>
      </w:r>
      <w:r w:rsidRPr="004F2AC3">
        <w:rPr>
          <w:rFonts w:ascii="Garamond" w:eastAsia="Times New Roman" w:hAnsi="Garamond" w:cs="Times New Roman"/>
          <w:i/>
          <w:color w:val="000000" w:themeColor="text1"/>
          <w:sz w:val="24"/>
          <w:szCs w:val="24"/>
        </w:rPr>
        <w:t>Statistikat për nënfushën e përdorimit të teknologjisë së informacionit dhe komunikimit në ndërmarrje</w:t>
      </w:r>
      <w:r w:rsidRPr="004F2AC3">
        <w:rPr>
          <w:rFonts w:ascii="Garamond" w:eastAsia="Times New Roman" w:hAnsi="Garamond" w:cs="Times New Roman"/>
          <w:color w:val="000000" w:themeColor="text1"/>
          <w:sz w:val="24"/>
          <w:szCs w:val="24"/>
        </w:rPr>
        <w:t xml:space="preserve"> janë pjesërisht në përputhje me rregulloren bazë të Komisionit Evropian </w:t>
      </w:r>
      <w:r w:rsidRPr="004F2AC3">
        <w:rPr>
          <w:rFonts w:ascii="Garamond" w:hAnsi="Garamond" w:cs="Times New Roman"/>
          <w:color w:val="000000" w:themeColor="text1"/>
          <w:sz w:val="24"/>
          <w:szCs w:val="24"/>
          <w:lang w:eastAsia="en-GB"/>
        </w:rPr>
        <w:t xml:space="preserve">2023/1507. </w:t>
      </w:r>
      <w:r w:rsidRPr="004F2AC3">
        <w:rPr>
          <w:rFonts w:ascii="Garamond" w:eastAsia="Times New Roman" w:hAnsi="Garamond" w:cs="Times New Roman"/>
          <w:i/>
          <w:color w:val="000000" w:themeColor="text1"/>
          <w:sz w:val="24"/>
          <w:szCs w:val="24"/>
        </w:rPr>
        <w:t>Statistikat për nënfushën e përdorimit të teknologjisë së informacionit dhe komunikimit në NjEF dhe individë</w:t>
      </w:r>
      <w:r w:rsidRPr="004F2AC3">
        <w:rPr>
          <w:rFonts w:ascii="Garamond" w:eastAsia="Times New Roman" w:hAnsi="Garamond" w:cs="Times New Roman"/>
          <w:color w:val="000000" w:themeColor="text1"/>
          <w:sz w:val="24"/>
          <w:szCs w:val="24"/>
        </w:rPr>
        <w:t xml:space="preserve"> janë pjesërisht në përputhje me rregulloren bazë të Komisionit </w:t>
      </w:r>
      <w:r w:rsidR="009F455E" w:rsidRPr="004F2AC3">
        <w:rPr>
          <w:rFonts w:ascii="Garamond" w:eastAsia="Times New Roman" w:hAnsi="Garamond" w:cs="Times New Roman"/>
          <w:color w:val="000000" w:themeColor="text1"/>
          <w:sz w:val="24"/>
          <w:szCs w:val="24"/>
        </w:rPr>
        <w:t>Evropian</w:t>
      </w:r>
      <w:r w:rsidRPr="004F2AC3">
        <w:rPr>
          <w:rFonts w:ascii="Garamond" w:eastAsia="Times New Roman" w:hAnsi="Garamond" w:cs="Times New Roman"/>
          <w:color w:val="000000" w:themeColor="text1"/>
          <w:sz w:val="24"/>
          <w:szCs w:val="24"/>
        </w:rPr>
        <w:t xml:space="preserve"> 2019/1700, duke siguruar një kuadër ligjor të përbashkët lidhur me vrojtimin e </w:t>
      </w:r>
      <w:r w:rsidR="009F455E" w:rsidRPr="004F2AC3">
        <w:rPr>
          <w:rFonts w:ascii="Garamond" w:eastAsia="Times New Roman" w:hAnsi="Garamond" w:cs="Times New Roman"/>
          <w:color w:val="000000" w:themeColor="text1"/>
          <w:sz w:val="24"/>
          <w:szCs w:val="24"/>
        </w:rPr>
        <w:t xml:space="preserve">teknologjisë së informacionit </w:t>
      </w:r>
      <w:r w:rsidRPr="004F2AC3">
        <w:rPr>
          <w:rFonts w:ascii="Garamond" w:eastAsia="Times New Roman" w:hAnsi="Garamond" w:cs="Times New Roman"/>
          <w:color w:val="000000" w:themeColor="text1"/>
          <w:sz w:val="24"/>
          <w:szCs w:val="24"/>
        </w:rPr>
        <w:t>në NjEF, të mbledhura përmes kampioneve të përzgjedhura me objekt popullsinë 16</w:t>
      </w:r>
      <w:r w:rsidR="00D32864" w:rsidRPr="004F2AC3">
        <w:rPr>
          <w:rFonts w:ascii="Garamond" w:eastAsia="Calibri"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74 vjeç. Hartimi i pyetësorit, përkufizimet dhe metodologjia e përdorur është në përputhje me rregulloret zbatuese për secilin vit në të cilin vrojtimi zhvillohet.</w:t>
      </w:r>
    </w:p>
    <w:p w14:paraId="750DDF30" w14:textId="63997403"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hAnsi="Garamond" w:cs="Times New Roman"/>
          <w:color w:val="000000" w:themeColor="text1"/>
          <w:sz w:val="24"/>
          <w:szCs w:val="24"/>
          <w:lang w:eastAsia="en-GB"/>
        </w:rPr>
        <w:t xml:space="preserve">Treguesit statistikorë për </w:t>
      </w:r>
      <w:r w:rsidRPr="004F2AC3">
        <w:rPr>
          <w:rFonts w:ascii="Garamond" w:hAnsi="Garamond" w:cs="Times New Roman"/>
          <w:i/>
          <w:color w:val="000000" w:themeColor="text1"/>
          <w:sz w:val="24"/>
          <w:szCs w:val="24"/>
          <w:lang w:eastAsia="en-GB"/>
        </w:rPr>
        <w:t xml:space="preserve">nënfushën e </w:t>
      </w:r>
      <w:r w:rsidR="009F455E" w:rsidRPr="004F2AC3">
        <w:rPr>
          <w:rFonts w:ascii="Garamond" w:hAnsi="Garamond" w:cs="Times New Roman"/>
          <w:i/>
          <w:color w:val="000000" w:themeColor="text1"/>
          <w:sz w:val="24"/>
          <w:szCs w:val="24"/>
          <w:lang w:eastAsia="en-GB"/>
        </w:rPr>
        <w:t>inovacionit</w:t>
      </w:r>
      <w:r w:rsidR="009F455E" w:rsidRPr="004F2AC3">
        <w:rPr>
          <w:rFonts w:ascii="Garamond" w:hAnsi="Garamond" w:cs="Times New Roman"/>
          <w:color w:val="000000" w:themeColor="text1"/>
          <w:sz w:val="24"/>
          <w:szCs w:val="24"/>
          <w:lang w:eastAsia="en-GB"/>
        </w:rPr>
        <w:t xml:space="preserve"> </w:t>
      </w:r>
      <w:r w:rsidRPr="004F2AC3">
        <w:rPr>
          <w:rFonts w:ascii="Garamond" w:hAnsi="Garamond" w:cs="Times New Roman"/>
          <w:color w:val="000000" w:themeColor="text1"/>
          <w:sz w:val="24"/>
          <w:szCs w:val="24"/>
          <w:lang w:eastAsia="en-GB"/>
        </w:rPr>
        <w:t xml:space="preserve">janë pjesërisht të përputhshme me Rregulloren e Komisionit (KE) </w:t>
      </w:r>
      <w:r w:rsidR="009F455E" w:rsidRPr="004F2AC3">
        <w:rPr>
          <w:rFonts w:ascii="Garamond" w:hAnsi="Garamond" w:cs="Times New Roman"/>
          <w:color w:val="000000" w:themeColor="text1"/>
          <w:sz w:val="24"/>
          <w:szCs w:val="24"/>
          <w:lang w:eastAsia="en-GB"/>
        </w:rPr>
        <w:t>n</w:t>
      </w:r>
      <w:r w:rsidRPr="004F2AC3">
        <w:rPr>
          <w:rFonts w:ascii="Garamond" w:hAnsi="Garamond" w:cs="Times New Roman"/>
          <w:color w:val="000000" w:themeColor="text1"/>
          <w:sz w:val="24"/>
          <w:szCs w:val="24"/>
          <w:lang w:eastAsia="en-GB"/>
        </w:rPr>
        <w:t>r.</w:t>
      </w:r>
      <w:r w:rsidR="009F455E" w:rsidRPr="004F2AC3">
        <w:rPr>
          <w:rFonts w:ascii="Garamond" w:hAnsi="Garamond" w:cs="Times New Roman"/>
          <w:color w:val="000000" w:themeColor="text1"/>
          <w:sz w:val="24"/>
          <w:szCs w:val="24"/>
          <w:lang w:eastAsia="en-GB"/>
        </w:rPr>
        <w:t xml:space="preserve"> </w:t>
      </w:r>
      <w:r w:rsidRPr="004F2AC3">
        <w:rPr>
          <w:rFonts w:ascii="Garamond" w:hAnsi="Garamond" w:cs="Times New Roman"/>
          <w:color w:val="000000" w:themeColor="text1"/>
          <w:sz w:val="24"/>
          <w:szCs w:val="24"/>
          <w:lang w:eastAsia="en-GB"/>
        </w:rPr>
        <w:t>2019/2152</w:t>
      </w:r>
      <w:r w:rsidR="009F455E"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Për statistikat evropiane të biznesit</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Rregulloren Zbatuese të Komisionit Evropian (BE) </w:t>
      </w:r>
      <w:r w:rsidR="009F455E" w:rsidRPr="004F2AC3">
        <w:rPr>
          <w:rFonts w:ascii="Garamond" w:hAnsi="Garamond" w:cs="Times New Roman"/>
          <w:color w:val="000000" w:themeColor="text1"/>
          <w:sz w:val="24"/>
          <w:szCs w:val="24"/>
          <w:lang w:eastAsia="en-GB"/>
        </w:rPr>
        <w:t xml:space="preserve">“Për </w:t>
      </w:r>
      <w:r w:rsidRPr="004F2AC3">
        <w:rPr>
          <w:rFonts w:ascii="Garamond" w:hAnsi="Garamond" w:cs="Times New Roman"/>
          <w:color w:val="000000" w:themeColor="text1"/>
          <w:sz w:val="24"/>
          <w:szCs w:val="24"/>
          <w:lang w:eastAsia="en-GB"/>
        </w:rPr>
        <w:t xml:space="preserve">statistikat e </w:t>
      </w:r>
      <w:r w:rsidR="009F455E" w:rsidRPr="004F2AC3">
        <w:rPr>
          <w:rFonts w:ascii="Garamond" w:hAnsi="Garamond" w:cs="Times New Roman"/>
          <w:color w:val="000000" w:themeColor="text1"/>
          <w:sz w:val="24"/>
          <w:szCs w:val="24"/>
          <w:lang w:eastAsia="en-GB"/>
        </w:rPr>
        <w:t xml:space="preserve">inovacionit </w:t>
      </w:r>
      <w:r w:rsidRPr="004F2AC3">
        <w:rPr>
          <w:rFonts w:ascii="Garamond" w:hAnsi="Garamond" w:cs="Times New Roman"/>
          <w:color w:val="000000" w:themeColor="text1"/>
          <w:sz w:val="24"/>
          <w:szCs w:val="24"/>
          <w:lang w:eastAsia="en-GB"/>
        </w:rPr>
        <w:t xml:space="preserve">për raundin e vrojtimit të </w:t>
      </w:r>
      <w:r w:rsidR="009F455E" w:rsidRPr="004F2AC3">
        <w:rPr>
          <w:rFonts w:ascii="Garamond" w:hAnsi="Garamond" w:cs="Times New Roman"/>
          <w:color w:val="000000" w:themeColor="text1"/>
          <w:sz w:val="24"/>
          <w:szCs w:val="24"/>
          <w:lang w:eastAsia="en-GB"/>
        </w:rPr>
        <w:t xml:space="preserve">inovacionit </w:t>
      </w:r>
      <w:r w:rsidRPr="004F2AC3">
        <w:rPr>
          <w:rFonts w:ascii="Garamond" w:hAnsi="Garamond" w:cs="Times New Roman"/>
          <w:color w:val="000000" w:themeColor="text1"/>
          <w:sz w:val="24"/>
          <w:szCs w:val="24"/>
          <w:lang w:eastAsia="en-GB"/>
        </w:rPr>
        <w:t>të Komunitetit</w:t>
      </w:r>
      <w:r w:rsidR="009F455E"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CIS 2024.</w:t>
      </w:r>
    </w:p>
    <w:p w14:paraId="74658AA2" w14:textId="3AB76B1B" w:rsidR="000F566F" w:rsidRPr="004F2AC3" w:rsidRDefault="000F566F" w:rsidP="000F566F">
      <w:pPr>
        <w:keepNext/>
        <w:keepLines/>
        <w:spacing w:after="0" w:line="240" w:lineRule="auto"/>
        <w:ind w:firstLine="284"/>
        <w:outlineLvl w:val="1"/>
        <w:rPr>
          <w:rFonts w:ascii="Garamond" w:eastAsia="Times New Roman" w:hAnsi="Garamond" w:cs="Times New Roman"/>
          <w:b/>
          <w:bCs/>
          <w:color w:val="000000" w:themeColor="text1"/>
          <w:sz w:val="24"/>
          <w:szCs w:val="24"/>
        </w:rPr>
      </w:pPr>
      <w:bookmarkStart w:id="42" w:name="_Toc215132190"/>
      <w:r w:rsidRPr="004F2AC3">
        <w:rPr>
          <w:rFonts w:ascii="Garamond" w:eastAsia="Times New Roman" w:hAnsi="Garamond" w:cs="Times New Roman"/>
          <w:b/>
          <w:bCs/>
          <w:color w:val="000000" w:themeColor="text1"/>
          <w:sz w:val="24"/>
          <w:szCs w:val="24"/>
        </w:rPr>
        <w:t xml:space="preserve">Fusha 4 </w:t>
      </w:r>
      <w:r w:rsidR="00D32864" w:rsidRPr="004F2AC3">
        <w:rPr>
          <w:rFonts w:ascii="Garamond" w:eastAsia="Times New Roman" w:hAnsi="Garamond" w:cs="Times New Roman"/>
          <w:b/>
          <w:bCs/>
          <w:color w:val="000000" w:themeColor="text1"/>
          <w:sz w:val="24"/>
          <w:szCs w:val="24"/>
        </w:rPr>
        <w:t>“</w:t>
      </w:r>
      <w:r w:rsidRPr="004F2AC3">
        <w:rPr>
          <w:rFonts w:ascii="Garamond" w:eastAsia="Times New Roman" w:hAnsi="Garamond" w:cs="Times New Roman"/>
          <w:b/>
          <w:bCs/>
          <w:color w:val="000000" w:themeColor="text1"/>
          <w:sz w:val="24"/>
          <w:szCs w:val="24"/>
        </w:rPr>
        <w:t xml:space="preserve">Statistikat e </w:t>
      </w:r>
      <w:r w:rsidR="009F455E" w:rsidRPr="004F2AC3">
        <w:rPr>
          <w:rFonts w:ascii="Garamond" w:eastAsia="Times New Roman" w:hAnsi="Garamond" w:cs="Times New Roman"/>
          <w:b/>
          <w:bCs/>
          <w:color w:val="000000" w:themeColor="text1"/>
          <w:sz w:val="24"/>
          <w:szCs w:val="24"/>
        </w:rPr>
        <w:t>mjedisit dhe multidomain</w:t>
      </w:r>
      <w:r w:rsidR="00D32864" w:rsidRPr="004F2AC3">
        <w:rPr>
          <w:rFonts w:ascii="Garamond" w:eastAsia="Times New Roman" w:hAnsi="Garamond" w:cs="Times New Roman"/>
          <w:b/>
          <w:bCs/>
          <w:color w:val="000000" w:themeColor="text1"/>
          <w:sz w:val="24"/>
          <w:szCs w:val="24"/>
        </w:rPr>
        <w:t>”</w:t>
      </w:r>
      <w:bookmarkEnd w:id="42"/>
    </w:p>
    <w:p w14:paraId="7684677A" w14:textId="79F7ED12"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e mjedisit dhe multidomain përfshijnë statistikat e mjedisit dhe statistikat rajonale</w:t>
      </w:r>
      <w:r w:rsidR="009F455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dhe</w:t>
      </w:r>
      <w:r w:rsidR="009F455E" w:rsidRPr="004F2AC3">
        <w:rPr>
          <w:rFonts w:ascii="Garamond" w:hAnsi="Garamond" w:cs="Times New Roman"/>
          <w:color w:val="000000" w:themeColor="text1"/>
          <w:sz w:val="24"/>
          <w:szCs w:val="24"/>
        </w:rPr>
        <w:t xml:space="preserve"> gjeohapësinore.</w:t>
      </w:r>
    </w:p>
    <w:p w14:paraId="5082B29F" w14:textId="163C1BF5"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Qëllimi kryesor i </w:t>
      </w:r>
      <w:bookmarkStart w:id="43" w:name="_Hlk214396887"/>
      <w:r w:rsidRPr="004F2AC3">
        <w:rPr>
          <w:rFonts w:ascii="Garamond" w:hAnsi="Garamond" w:cs="Times New Roman"/>
          <w:color w:val="000000" w:themeColor="text1"/>
          <w:sz w:val="24"/>
          <w:szCs w:val="24"/>
        </w:rPr>
        <w:t xml:space="preserve">statistikave të </w:t>
      </w:r>
      <w:r w:rsidR="009F455E" w:rsidRPr="004F2AC3">
        <w:rPr>
          <w:rFonts w:ascii="Garamond" w:hAnsi="Garamond" w:cs="Times New Roman"/>
          <w:color w:val="000000" w:themeColor="text1"/>
          <w:sz w:val="24"/>
          <w:szCs w:val="24"/>
        </w:rPr>
        <w:t xml:space="preserve">mjedisit dhe multidomain </w:t>
      </w:r>
      <w:bookmarkEnd w:id="43"/>
      <w:r w:rsidRPr="004F2AC3">
        <w:rPr>
          <w:rFonts w:ascii="Garamond" w:hAnsi="Garamond" w:cs="Times New Roman"/>
          <w:color w:val="000000" w:themeColor="text1"/>
          <w:sz w:val="24"/>
          <w:szCs w:val="24"/>
        </w:rPr>
        <w:t>është sigurimi i të dhënave në kohë dhe me cilësi i treguesve statistikorë</w:t>
      </w:r>
      <w:r w:rsidR="009F455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cilët ndihmojnë në hartimin e politikave të përbashkëta mjedisore dhe socio-ekonomike, monitorimin dhe menaxhimin e këtyre fushave. Gjithashtu</w:t>
      </w:r>
      <w:r w:rsidR="009F455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në këtë fushë statistikore synohet dhe </w:t>
      </w:r>
      <w:bookmarkStart w:id="44" w:name="_Hlk214396864"/>
      <w:r w:rsidRPr="004F2AC3">
        <w:rPr>
          <w:rFonts w:ascii="Garamond" w:hAnsi="Garamond" w:cs="Times New Roman"/>
          <w:color w:val="000000" w:themeColor="text1"/>
          <w:sz w:val="24"/>
          <w:szCs w:val="24"/>
        </w:rPr>
        <w:t>integrimi i informacionit statistikor dhe atij gjeohap</w:t>
      </w:r>
      <w:r w:rsidR="009F455E" w:rsidRPr="004F2AC3">
        <w:rPr>
          <w:rFonts w:ascii="Garamond" w:hAnsi="Garamond" w:cs="Times New Roman"/>
          <w:color w:val="000000" w:themeColor="text1"/>
          <w:sz w:val="24"/>
          <w:szCs w:val="24"/>
        </w:rPr>
        <w:t>ë</w:t>
      </w:r>
      <w:r w:rsidRPr="004F2AC3">
        <w:rPr>
          <w:rFonts w:ascii="Garamond" w:hAnsi="Garamond" w:cs="Times New Roman"/>
          <w:color w:val="000000" w:themeColor="text1"/>
          <w:sz w:val="24"/>
          <w:szCs w:val="24"/>
        </w:rPr>
        <w:t>sinor, me anë të të cilit synohet sigurimi i numrit më të madh të mundshëm të statistikave të gjeoreferuara në kohë dhe cilësi nga fusha të ndryshme të statistikave në një nivel territorial të detajuar.</w:t>
      </w:r>
    </w:p>
    <w:bookmarkEnd w:id="44"/>
    <w:p w14:paraId="410B6EFB" w14:textId="3E0EB5C6"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Për përmbushjen e detyrimeve të statistikave të </w:t>
      </w:r>
      <w:r w:rsidR="009F455E" w:rsidRPr="004F2AC3">
        <w:rPr>
          <w:rFonts w:ascii="Garamond" w:hAnsi="Garamond" w:cs="Times New Roman"/>
          <w:color w:val="000000" w:themeColor="text1"/>
          <w:sz w:val="24"/>
          <w:szCs w:val="24"/>
        </w:rPr>
        <w:t>mjedisit dhe multidomain</w:t>
      </w:r>
      <w:r w:rsidRPr="004F2AC3">
        <w:rPr>
          <w:rFonts w:ascii="Garamond" w:hAnsi="Garamond" w:cs="Times New Roman"/>
          <w:color w:val="000000" w:themeColor="text1"/>
          <w:sz w:val="24"/>
          <w:szCs w:val="24"/>
        </w:rPr>
        <w:t>, përdoren kryesisht burime administrative të të dhënave. Gjatë vitit 2026 do t</w:t>
      </w:r>
      <w:r w:rsidR="00D449AF" w:rsidRPr="004F2AC3">
        <w:rPr>
          <w:rFonts w:ascii="Garamond" w:hAnsi="Garamond" w:cs="Times New Roman"/>
          <w:color w:val="000000" w:themeColor="text1"/>
          <w:sz w:val="24"/>
          <w:szCs w:val="24"/>
        </w:rPr>
        <w:t>ë</w:t>
      </w:r>
      <w:r w:rsidRPr="004F2AC3">
        <w:rPr>
          <w:rFonts w:ascii="Garamond" w:hAnsi="Garamond" w:cs="Times New Roman"/>
          <w:color w:val="000000" w:themeColor="text1"/>
          <w:sz w:val="24"/>
          <w:szCs w:val="24"/>
        </w:rPr>
        <w:t xml:space="preserve"> realizohet vetëm një vrojtim statistikor, i cili lidhet me mbetjet industriale.</w:t>
      </w:r>
    </w:p>
    <w:p w14:paraId="6EAD5844"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0B2014AE" w14:textId="3462EB1A"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bookmarkStart w:id="45" w:name="_Hlk212826776"/>
      <w:r w:rsidRPr="004F2AC3">
        <w:rPr>
          <w:rFonts w:ascii="Garamond" w:hAnsi="Garamond" w:cs="Times New Roman"/>
          <w:b/>
          <w:color w:val="000000" w:themeColor="text1"/>
          <w:sz w:val="24"/>
          <w:szCs w:val="24"/>
        </w:rPr>
        <w:t>Tabela nr. 17</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Lista e vrojtimeve për 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e </w:t>
      </w:r>
      <w:r w:rsidR="009F455E" w:rsidRPr="004F2AC3">
        <w:rPr>
          <w:rFonts w:ascii="Garamond" w:hAnsi="Garamond" w:cs="Times New Roman"/>
          <w:b/>
          <w:color w:val="000000" w:themeColor="text1"/>
          <w:sz w:val="24"/>
          <w:szCs w:val="24"/>
        </w:rPr>
        <w:t>mjedisit dhe multidomain</w:t>
      </w:r>
      <w:r w:rsidR="00D32864" w:rsidRPr="004F2AC3">
        <w:rPr>
          <w:rFonts w:ascii="Garamond" w:hAnsi="Garamond" w:cs="Times New Roman"/>
          <w:b/>
          <w:color w:val="000000" w:themeColor="text1"/>
          <w:sz w:val="24"/>
          <w:szCs w:val="24"/>
        </w:rPr>
        <w:t>”</w:t>
      </w:r>
      <w:bookmarkEnd w:id="45"/>
    </w:p>
    <w:tbl>
      <w:tblPr>
        <w:tblStyle w:val="ListTable3-Accent111"/>
        <w:tblW w:w="0" w:type="auto"/>
        <w:tblLook w:val="04A0" w:firstRow="1" w:lastRow="0" w:firstColumn="1" w:lastColumn="0" w:noHBand="0" w:noVBand="1"/>
      </w:tblPr>
      <w:tblGrid>
        <w:gridCol w:w="6941"/>
        <w:gridCol w:w="2075"/>
      </w:tblGrid>
      <w:tr w:rsidR="000F566F" w:rsidRPr="004F2AC3" w14:paraId="38C51B47" w14:textId="77777777" w:rsidTr="00B66B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941" w:type="dxa"/>
          </w:tcPr>
          <w:p w14:paraId="68C600F2" w14:textId="77777777" w:rsidR="000F566F" w:rsidRPr="004F2AC3" w:rsidRDefault="000F566F" w:rsidP="00B66BF4">
            <w:pPr>
              <w:ind w:firstLine="284"/>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Vrojtimi</w:t>
            </w:r>
          </w:p>
        </w:tc>
        <w:tc>
          <w:tcPr>
            <w:tcW w:w="2075" w:type="dxa"/>
          </w:tcPr>
          <w:p w14:paraId="0F1F246D" w14:textId="77777777" w:rsidR="000F566F" w:rsidRPr="004F2AC3" w:rsidRDefault="000F566F" w:rsidP="00B66BF4">
            <w:pPr>
              <w:ind w:firstLine="284"/>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Burimi i financimit</w:t>
            </w:r>
          </w:p>
        </w:tc>
      </w:tr>
      <w:tr w:rsidR="000F566F" w:rsidRPr="004F2AC3" w14:paraId="7C3F202D"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CB436AD" w14:textId="77777777"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Vrojtimi mbi mbetjet industriale</w:t>
            </w:r>
          </w:p>
        </w:tc>
        <w:tc>
          <w:tcPr>
            <w:tcW w:w="2075" w:type="dxa"/>
          </w:tcPr>
          <w:p w14:paraId="28A27A6B"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Buxhet shteti</w:t>
            </w:r>
          </w:p>
        </w:tc>
      </w:tr>
    </w:tbl>
    <w:p w14:paraId="1CC25F3A"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67CBF7BA" w14:textId="5CBBBE8D"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Objektivi kryesor gjatë vitit 2026, për statistikat e </w:t>
      </w:r>
      <w:r w:rsidR="009F455E" w:rsidRPr="004F2AC3">
        <w:rPr>
          <w:rFonts w:ascii="Garamond" w:hAnsi="Garamond" w:cs="Times New Roman"/>
          <w:color w:val="000000" w:themeColor="text1"/>
          <w:sz w:val="24"/>
          <w:szCs w:val="24"/>
        </w:rPr>
        <w:t xml:space="preserve">mjedisit dhe multidomain </w:t>
      </w:r>
      <w:r w:rsidRPr="004F2AC3">
        <w:rPr>
          <w:rFonts w:ascii="Garamond" w:hAnsi="Garamond" w:cs="Times New Roman"/>
          <w:color w:val="000000" w:themeColor="text1"/>
          <w:sz w:val="24"/>
          <w:szCs w:val="24"/>
        </w:rPr>
        <w:t>është realizimi i të gjithë objektivave sipas Programit të Statistikave Zyrtare 2022</w:t>
      </w:r>
      <w:r w:rsidR="00D32864" w:rsidRPr="004F2AC3">
        <w:rPr>
          <w:rFonts w:ascii="Garamond" w:eastAsia="Calibri" w:hAnsi="Garamond" w:cs="Times New Roman"/>
          <w:color w:val="000000" w:themeColor="text1"/>
          <w:sz w:val="24"/>
          <w:szCs w:val="24"/>
        </w:rPr>
        <w:t>–</w:t>
      </w:r>
      <w:r w:rsidRPr="004F2AC3">
        <w:rPr>
          <w:rFonts w:ascii="Garamond" w:hAnsi="Garamond" w:cs="Times New Roman"/>
          <w:color w:val="000000" w:themeColor="text1"/>
          <w:sz w:val="24"/>
          <w:szCs w:val="24"/>
        </w:rPr>
        <w:t>2026</w:t>
      </w:r>
      <w:r w:rsidR="009F455E"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me fokus rritjen e cilësisë dhe plotshmërisë së serive kohore për treguesit me frekuencë vjetore, të lidhur në veçanti me statistikat e mbetjeve dhe statistikat e ujit.</w:t>
      </w:r>
    </w:p>
    <w:p w14:paraId="16EB9B9A" w14:textId="704DC93C"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Niveli aktual i përputhshmërisë me rregulloret përkatëse të BE</w:t>
      </w:r>
      <w:r w:rsidR="009F455E" w:rsidRPr="004F2AC3">
        <w:rPr>
          <w:rFonts w:ascii="Garamond" w:hAnsi="Garamond" w:cs="Times New Roman"/>
          <w:color w:val="000000" w:themeColor="text1"/>
          <w:sz w:val="24"/>
          <w:szCs w:val="24"/>
        </w:rPr>
        <w:t>-së</w:t>
      </w:r>
      <w:r w:rsidRPr="004F2AC3">
        <w:rPr>
          <w:rFonts w:ascii="Garamond" w:hAnsi="Garamond" w:cs="Times New Roman"/>
          <w:color w:val="000000" w:themeColor="text1"/>
          <w:sz w:val="24"/>
          <w:szCs w:val="24"/>
        </w:rPr>
        <w:t xml:space="preserve"> paraqitet në tabelën e mëposhtme:</w:t>
      </w:r>
    </w:p>
    <w:p w14:paraId="67BD0E2D"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5AD5CD21" w14:textId="5A8074CE"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w:t>
      </w:r>
      <w:r w:rsidR="00D32864" w:rsidRPr="004F2AC3">
        <w:rPr>
          <w:rFonts w:ascii="Garamond" w:hAnsi="Garamond" w:cs="Times New Roman"/>
          <w:b/>
          <w:color w:val="000000" w:themeColor="text1"/>
          <w:sz w:val="24"/>
          <w:szCs w:val="24"/>
        </w:rPr>
        <w:t xml:space="preserve"> </w:t>
      </w:r>
      <w:r w:rsidRPr="004F2AC3">
        <w:rPr>
          <w:rFonts w:ascii="Garamond" w:hAnsi="Garamond" w:cs="Times New Roman"/>
          <w:b/>
          <w:color w:val="000000" w:themeColor="text1"/>
          <w:sz w:val="24"/>
          <w:szCs w:val="24"/>
        </w:rPr>
        <w:t>18</w:t>
      </w:r>
      <w:r w:rsidR="00D32864" w:rsidRPr="004F2AC3">
        <w:rPr>
          <w:rFonts w:ascii="Garamond" w:hAnsi="Garamond" w:cs="Times New Roman"/>
          <w:b/>
          <w:color w:val="000000" w:themeColor="text1"/>
          <w:sz w:val="24"/>
          <w:szCs w:val="24"/>
        </w:rPr>
        <w:t xml:space="preserve">: </w:t>
      </w:r>
      <w:r w:rsidRPr="004F2AC3">
        <w:rPr>
          <w:rFonts w:ascii="Garamond" w:hAnsi="Garamond" w:cs="Times New Roman"/>
          <w:b/>
          <w:color w:val="000000" w:themeColor="text1"/>
          <w:sz w:val="24"/>
          <w:szCs w:val="24"/>
        </w:rPr>
        <w:t xml:space="preserve">Niveli i përputhshmërisë me </w:t>
      </w:r>
      <w:r w:rsidRPr="004F2AC3">
        <w:rPr>
          <w:rFonts w:ascii="Garamond" w:hAnsi="Garamond" w:cs="Times New Roman"/>
          <w:b/>
          <w:i/>
          <w:color w:val="000000" w:themeColor="text1"/>
          <w:sz w:val="24"/>
          <w:szCs w:val="24"/>
        </w:rPr>
        <w:t>acquis</w:t>
      </w:r>
      <w:r w:rsidRPr="004F2AC3">
        <w:rPr>
          <w:rFonts w:ascii="Garamond" w:hAnsi="Garamond" w:cs="Times New Roman"/>
          <w:b/>
          <w:color w:val="000000" w:themeColor="text1"/>
          <w:sz w:val="24"/>
          <w:szCs w:val="24"/>
        </w:rPr>
        <w:t xml:space="preserve"> për 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e </w:t>
      </w:r>
      <w:r w:rsidR="009F455E" w:rsidRPr="004F2AC3">
        <w:rPr>
          <w:rFonts w:ascii="Garamond" w:hAnsi="Garamond" w:cs="Times New Roman"/>
          <w:b/>
          <w:color w:val="000000" w:themeColor="text1"/>
          <w:sz w:val="24"/>
          <w:szCs w:val="24"/>
        </w:rPr>
        <w:t xml:space="preserve">mjedisit </w:t>
      </w:r>
      <w:r w:rsidRPr="004F2AC3">
        <w:rPr>
          <w:rFonts w:ascii="Garamond" w:hAnsi="Garamond" w:cs="Times New Roman"/>
          <w:b/>
          <w:color w:val="000000" w:themeColor="text1"/>
          <w:sz w:val="24"/>
          <w:szCs w:val="24"/>
        </w:rPr>
        <w:t xml:space="preserve">dhe </w:t>
      </w:r>
      <w:r w:rsidR="009F455E" w:rsidRPr="004F2AC3">
        <w:rPr>
          <w:rFonts w:ascii="Garamond" w:hAnsi="Garamond" w:cs="Times New Roman"/>
          <w:b/>
          <w:color w:val="000000" w:themeColor="text1"/>
          <w:sz w:val="24"/>
          <w:szCs w:val="24"/>
        </w:rPr>
        <w:t>multidomain</w:t>
      </w:r>
      <w:r w:rsidR="00D32864" w:rsidRPr="004F2AC3">
        <w:rPr>
          <w:rFonts w:ascii="Garamond" w:hAnsi="Garamond" w:cs="Times New Roman"/>
          <w:b/>
          <w:color w:val="000000" w:themeColor="text1"/>
          <w:sz w:val="24"/>
          <w:szCs w:val="24"/>
        </w:rPr>
        <w:t>”</w:t>
      </w:r>
    </w:p>
    <w:tbl>
      <w:tblPr>
        <w:tblStyle w:val="ListTable3-Accent111"/>
        <w:tblW w:w="0" w:type="auto"/>
        <w:tblLook w:val="04A0" w:firstRow="1" w:lastRow="0" w:firstColumn="1" w:lastColumn="0" w:noHBand="0" w:noVBand="1"/>
      </w:tblPr>
      <w:tblGrid>
        <w:gridCol w:w="6565"/>
        <w:gridCol w:w="2451"/>
      </w:tblGrid>
      <w:tr w:rsidR="000F566F" w:rsidRPr="004F2AC3" w14:paraId="301C8648" w14:textId="77777777" w:rsidTr="00B66B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565" w:type="dxa"/>
          </w:tcPr>
          <w:p w14:paraId="572B63B2" w14:textId="4582A6A6" w:rsidR="000F566F" w:rsidRPr="004F2AC3" w:rsidRDefault="000F566F" w:rsidP="00B66BF4">
            <w:pPr>
              <w:ind w:firstLine="284"/>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Tema/</w:t>
            </w:r>
            <w:r w:rsidR="00D32864" w:rsidRPr="004F2AC3">
              <w:rPr>
                <w:rFonts w:ascii="Garamond" w:hAnsi="Garamond" w:cs="Times New Roman"/>
                <w:color w:val="000000" w:themeColor="text1"/>
                <w:sz w:val="20"/>
                <w:szCs w:val="20"/>
                <w:lang w:val="sq-AL"/>
              </w:rPr>
              <w:t>aktiviteti</w:t>
            </w:r>
          </w:p>
        </w:tc>
        <w:tc>
          <w:tcPr>
            <w:tcW w:w="2451" w:type="dxa"/>
          </w:tcPr>
          <w:p w14:paraId="369C9568" w14:textId="77777777" w:rsidR="000F566F" w:rsidRPr="004F2AC3" w:rsidRDefault="000F566F" w:rsidP="00B66BF4">
            <w:pPr>
              <w:ind w:firstLine="284"/>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Niveli i përputhshmërisë</w:t>
            </w:r>
          </w:p>
        </w:tc>
      </w:tr>
      <w:tr w:rsidR="000F566F" w:rsidRPr="004F2AC3" w14:paraId="77A20AB9"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65" w:type="dxa"/>
          </w:tcPr>
          <w:p w14:paraId="51584748" w14:textId="284C1F13"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Llogaritë </w:t>
            </w:r>
            <w:r w:rsidR="009F455E" w:rsidRPr="004F2AC3">
              <w:rPr>
                <w:rFonts w:ascii="Garamond" w:hAnsi="Garamond" w:cs="Times New Roman"/>
                <w:b w:val="0"/>
                <w:color w:val="000000" w:themeColor="text1"/>
                <w:sz w:val="20"/>
                <w:szCs w:val="20"/>
                <w:lang w:val="sq-AL"/>
              </w:rPr>
              <w:t>monetare mjedisore</w:t>
            </w:r>
          </w:p>
        </w:tc>
        <w:tc>
          <w:tcPr>
            <w:tcW w:w="2451" w:type="dxa"/>
          </w:tcPr>
          <w:p w14:paraId="42B367CD"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ulët</w:t>
            </w:r>
          </w:p>
        </w:tc>
      </w:tr>
      <w:tr w:rsidR="000F566F" w:rsidRPr="004F2AC3" w14:paraId="118CA255" w14:textId="77777777" w:rsidTr="00B66BF4">
        <w:tc>
          <w:tcPr>
            <w:cnfStyle w:val="001000000000" w:firstRow="0" w:lastRow="0" w:firstColumn="1" w:lastColumn="0" w:oddVBand="0" w:evenVBand="0" w:oddHBand="0" w:evenHBand="0" w:firstRowFirstColumn="0" w:firstRowLastColumn="0" w:lastRowFirstColumn="0" w:lastRowLastColumn="0"/>
            <w:tcW w:w="6565" w:type="dxa"/>
          </w:tcPr>
          <w:p w14:paraId="1E824096" w14:textId="2465E017"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Llogaritë </w:t>
            </w:r>
            <w:r w:rsidR="009F455E" w:rsidRPr="004F2AC3">
              <w:rPr>
                <w:rFonts w:ascii="Garamond" w:hAnsi="Garamond" w:cs="Times New Roman"/>
                <w:b w:val="0"/>
                <w:color w:val="000000" w:themeColor="text1"/>
                <w:sz w:val="20"/>
                <w:szCs w:val="20"/>
                <w:lang w:val="sq-AL"/>
              </w:rPr>
              <w:t>fizike mjedisore</w:t>
            </w:r>
          </w:p>
        </w:tc>
        <w:tc>
          <w:tcPr>
            <w:tcW w:w="2451" w:type="dxa"/>
          </w:tcPr>
          <w:p w14:paraId="05F48B32" w14:textId="77777777" w:rsidR="000F566F" w:rsidRPr="004F2AC3" w:rsidRDefault="000F566F" w:rsidP="00B66BF4">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6928F813"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65" w:type="dxa"/>
          </w:tcPr>
          <w:p w14:paraId="5B3C4DF3" w14:textId="05AC2D81"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Statistikat mbi </w:t>
            </w:r>
            <w:r w:rsidR="009F455E" w:rsidRPr="004F2AC3">
              <w:rPr>
                <w:rFonts w:ascii="Garamond" w:hAnsi="Garamond" w:cs="Times New Roman"/>
                <w:b w:val="0"/>
                <w:color w:val="000000" w:themeColor="text1"/>
                <w:sz w:val="20"/>
                <w:szCs w:val="20"/>
                <w:lang w:val="sq-AL"/>
              </w:rPr>
              <w:t>menaxhimin e mbetjeve</w:t>
            </w:r>
          </w:p>
        </w:tc>
        <w:tc>
          <w:tcPr>
            <w:tcW w:w="2451" w:type="dxa"/>
          </w:tcPr>
          <w:p w14:paraId="33875086"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52CE2AC2" w14:textId="77777777" w:rsidTr="00B66BF4">
        <w:tc>
          <w:tcPr>
            <w:cnfStyle w:val="001000000000" w:firstRow="0" w:lastRow="0" w:firstColumn="1" w:lastColumn="0" w:oddVBand="0" w:evenVBand="0" w:oddHBand="0" w:evenHBand="0" w:firstRowFirstColumn="0" w:firstRowLastColumn="0" w:lastRowFirstColumn="0" w:lastRowLastColumn="0"/>
            <w:tcW w:w="6565" w:type="dxa"/>
          </w:tcPr>
          <w:p w14:paraId="63C1D11C" w14:textId="1FF5928A"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Statistikat e </w:t>
            </w:r>
            <w:r w:rsidR="009F455E" w:rsidRPr="004F2AC3">
              <w:rPr>
                <w:rFonts w:ascii="Garamond" w:hAnsi="Garamond" w:cs="Times New Roman"/>
                <w:b w:val="0"/>
                <w:color w:val="000000" w:themeColor="text1"/>
                <w:sz w:val="20"/>
                <w:szCs w:val="20"/>
                <w:lang w:val="sq-AL"/>
              </w:rPr>
              <w:t>ujit</w:t>
            </w:r>
          </w:p>
        </w:tc>
        <w:tc>
          <w:tcPr>
            <w:tcW w:w="2451" w:type="dxa"/>
          </w:tcPr>
          <w:p w14:paraId="1D8001B4" w14:textId="77777777" w:rsidR="000F566F" w:rsidRPr="004F2AC3" w:rsidRDefault="000F566F" w:rsidP="00B66BF4">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mesëm</w:t>
            </w:r>
          </w:p>
        </w:tc>
      </w:tr>
      <w:tr w:rsidR="000F566F" w:rsidRPr="004F2AC3" w14:paraId="1DC065F4"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65" w:type="dxa"/>
          </w:tcPr>
          <w:p w14:paraId="4A4B428C" w14:textId="5FACCBF9" w:rsidR="000F566F" w:rsidRPr="004F2AC3" w:rsidRDefault="000F566F" w:rsidP="00B66BF4">
            <w:pPr>
              <w:ind w:firstLine="284"/>
              <w:rPr>
                <w:rFonts w:ascii="Garamond"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Sistemi i Informacionit Gjeografik (GIS) për qëllime </w:t>
            </w:r>
            <w:r w:rsidR="009F455E" w:rsidRPr="004F2AC3">
              <w:rPr>
                <w:rFonts w:ascii="Garamond" w:hAnsi="Garamond" w:cs="Times New Roman"/>
                <w:b w:val="0"/>
                <w:color w:val="000000" w:themeColor="text1"/>
                <w:sz w:val="20"/>
                <w:szCs w:val="20"/>
                <w:lang w:val="sq-AL"/>
              </w:rPr>
              <w:t>statistikore</w:t>
            </w:r>
          </w:p>
        </w:tc>
        <w:tc>
          <w:tcPr>
            <w:tcW w:w="2451" w:type="dxa"/>
          </w:tcPr>
          <w:p w14:paraId="4444C82E" w14:textId="77777777" w:rsidR="000F566F" w:rsidRPr="004F2AC3" w:rsidRDefault="000F566F" w:rsidP="00B66BF4">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I lartë</w:t>
            </w:r>
          </w:p>
        </w:tc>
      </w:tr>
    </w:tbl>
    <w:p w14:paraId="791401ED"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0F9ADB75" w14:textId="7194642A"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Agjencia statistikore përgjegjëse: INSTAT</w:t>
      </w:r>
      <w:r w:rsidR="00D32864" w:rsidRPr="004F2AC3">
        <w:rPr>
          <w:rFonts w:ascii="Garamond" w:hAnsi="Garamond" w:cs="Times New Roman"/>
          <w:color w:val="000000" w:themeColor="text1"/>
          <w:sz w:val="24"/>
          <w:szCs w:val="24"/>
        </w:rPr>
        <w:t>-i</w:t>
      </w:r>
    </w:p>
    <w:p w14:paraId="42E1E2CF" w14:textId="4A004E4F"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Tabela nr. 17 paraqet numrin e aktiviteteve të kësaj fushe, për kategoritë: per</w:t>
      </w:r>
      <w:r w:rsidR="00D32864" w:rsidRPr="004F2AC3">
        <w:rPr>
          <w:rFonts w:ascii="Garamond" w:hAnsi="Garamond" w:cs="Times New Roman"/>
          <w:color w:val="000000" w:themeColor="text1"/>
          <w:sz w:val="24"/>
          <w:szCs w:val="24"/>
        </w:rPr>
        <w:t>iodiciteti/burimi i të dhënave/</w:t>
      </w:r>
      <w:r w:rsidRPr="004F2AC3">
        <w:rPr>
          <w:rFonts w:ascii="Garamond" w:hAnsi="Garamond" w:cs="Times New Roman"/>
          <w:color w:val="000000" w:themeColor="text1"/>
          <w:sz w:val="24"/>
          <w:szCs w:val="24"/>
        </w:rPr>
        <w:t>institucioni përgjegjës.</w:t>
      </w:r>
    </w:p>
    <w:p w14:paraId="6EC6E7BA"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420B18C1" w14:textId="77777777" w:rsidR="00F734DA" w:rsidRDefault="00F734DA" w:rsidP="000F566F">
      <w:pPr>
        <w:spacing w:after="0" w:line="240" w:lineRule="auto"/>
        <w:ind w:firstLine="284"/>
        <w:jc w:val="both"/>
        <w:rPr>
          <w:rFonts w:ascii="Garamond" w:hAnsi="Garamond" w:cs="Times New Roman"/>
          <w:b/>
          <w:color w:val="000000" w:themeColor="text1"/>
          <w:sz w:val="24"/>
          <w:szCs w:val="24"/>
        </w:rPr>
      </w:pPr>
    </w:p>
    <w:p w14:paraId="3EC18EBD" w14:textId="77777777" w:rsidR="00F734DA" w:rsidRDefault="00F734DA" w:rsidP="000F566F">
      <w:pPr>
        <w:spacing w:after="0" w:line="240" w:lineRule="auto"/>
        <w:ind w:firstLine="284"/>
        <w:jc w:val="both"/>
        <w:rPr>
          <w:rFonts w:ascii="Garamond" w:hAnsi="Garamond" w:cs="Times New Roman"/>
          <w:b/>
          <w:color w:val="000000" w:themeColor="text1"/>
          <w:sz w:val="24"/>
          <w:szCs w:val="24"/>
        </w:rPr>
      </w:pPr>
    </w:p>
    <w:p w14:paraId="5FB4C42D" w14:textId="0CCA985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Tabela nr. 19</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Përmbledhje e numrit të aktiviteteve për </w:t>
      </w:r>
      <w:r w:rsidR="00D32864" w:rsidRPr="004F2AC3">
        <w:rPr>
          <w:rFonts w:ascii="Garamond" w:hAnsi="Garamond" w:cs="Times New Roman"/>
          <w:b/>
          <w:color w:val="000000" w:themeColor="text1"/>
          <w:sz w:val="24"/>
          <w:szCs w:val="24"/>
        </w:rPr>
        <w:t>fushën “</w:t>
      </w:r>
      <w:r w:rsidRPr="004F2AC3">
        <w:rPr>
          <w:rFonts w:ascii="Garamond" w:hAnsi="Garamond" w:cs="Times New Roman"/>
          <w:b/>
          <w:color w:val="000000" w:themeColor="text1"/>
          <w:sz w:val="24"/>
          <w:szCs w:val="24"/>
        </w:rPr>
        <w:t xml:space="preserve">Statistikat e </w:t>
      </w:r>
      <w:r w:rsidR="009F455E" w:rsidRPr="004F2AC3">
        <w:rPr>
          <w:rFonts w:ascii="Garamond" w:hAnsi="Garamond" w:cs="Times New Roman"/>
          <w:b/>
          <w:color w:val="000000" w:themeColor="text1"/>
          <w:sz w:val="24"/>
          <w:szCs w:val="24"/>
        </w:rPr>
        <w:t xml:space="preserve">mjedisit </w:t>
      </w:r>
      <w:r w:rsidRPr="004F2AC3">
        <w:rPr>
          <w:rFonts w:ascii="Garamond" w:hAnsi="Garamond" w:cs="Times New Roman"/>
          <w:b/>
          <w:color w:val="000000" w:themeColor="text1"/>
          <w:sz w:val="24"/>
          <w:szCs w:val="24"/>
        </w:rPr>
        <w:t xml:space="preserve">dhe </w:t>
      </w:r>
      <w:r w:rsidR="009F455E" w:rsidRPr="004F2AC3">
        <w:rPr>
          <w:rFonts w:ascii="Garamond" w:hAnsi="Garamond" w:cs="Times New Roman"/>
          <w:b/>
          <w:color w:val="000000" w:themeColor="text1"/>
          <w:sz w:val="24"/>
          <w:szCs w:val="24"/>
        </w:rPr>
        <w:t>multidomain</w:t>
      </w:r>
      <w:r w:rsidR="00D32864" w:rsidRPr="004F2AC3">
        <w:rPr>
          <w:rFonts w:ascii="Garamond" w:hAnsi="Garamond" w:cs="Times New Roman"/>
          <w:b/>
          <w:color w:val="000000" w:themeColor="text1"/>
          <w:sz w:val="24"/>
          <w:szCs w:val="24"/>
        </w:rPr>
        <w:t>”</w:t>
      </w:r>
    </w:p>
    <w:tbl>
      <w:tblPr>
        <w:tblStyle w:val="LightList-Accent113"/>
        <w:tblW w:w="0" w:type="auto"/>
        <w:tblLook w:val="04A0" w:firstRow="1" w:lastRow="0" w:firstColumn="1" w:lastColumn="0" w:noHBand="0" w:noVBand="1"/>
      </w:tblPr>
      <w:tblGrid>
        <w:gridCol w:w="3071"/>
        <w:gridCol w:w="1387"/>
        <w:gridCol w:w="1645"/>
        <w:gridCol w:w="1546"/>
        <w:gridCol w:w="1933"/>
      </w:tblGrid>
      <w:tr w:rsidR="000F566F" w:rsidRPr="004F2AC3" w14:paraId="5AA23C63" w14:textId="77777777" w:rsidTr="00B66BF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4F81BD"/>
              <w:left w:val="single" w:sz="8" w:space="0" w:color="4F81BD"/>
              <w:bottom w:val="single" w:sz="8" w:space="0" w:color="4F81BD"/>
              <w:right w:val="single" w:sz="8" w:space="0" w:color="4F81BD"/>
            </w:tcBorders>
          </w:tcPr>
          <w:p w14:paraId="34D6EB0F" w14:textId="1F17E1BB" w:rsidR="000F566F" w:rsidRPr="004F2AC3" w:rsidRDefault="000F566F" w:rsidP="00CF4B3F">
            <w:pPr>
              <w:rPr>
                <w:rFonts w:ascii="Garamond" w:hAnsi="Garamond"/>
                <w:color w:val="000000" w:themeColor="text1"/>
                <w:szCs w:val="24"/>
                <w:lang w:val="sq-AL"/>
              </w:rPr>
            </w:pPr>
            <w:r w:rsidRPr="004F2AC3">
              <w:rPr>
                <w:rFonts w:ascii="Garamond" w:hAnsi="Garamond"/>
                <w:color w:val="000000" w:themeColor="text1"/>
                <w:szCs w:val="24"/>
                <w:lang w:val="sq-AL"/>
              </w:rPr>
              <w:t xml:space="preserve">4. Statistikat e </w:t>
            </w:r>
            <w:r w:rsidR="009F455E" w:rsidRPr="004F2AC3">
              <w:rPr>
                <w:rFonts w:ascii="Garamond" w:hAnsi="Garamond"/>
                <w:color w:val="000000" w:themeColor="text1"/>
                <w:szCs w:val="24"/>
                <w:lang w:val="sq-AL"/>
              </w:rPr>
              <w:t xml:space="preserve">mjedisit </w:t>
            </w:r>
            <w:r w:rsidRPr="004F2AC3">
              <w:rPr>
                <w:rFonts w:ascii="Garamond" w:hAnsi="Garamond"/>
                <w:color w:val="000000" w:themeColor="text1"/>
                <w:szCs w:val="24"/>
                <w:lang w:val="sq-AL"/>
              </w:rPr>
              <w:t xml:space="preserve">dhe </w:t>
            </w:r>
            <w:r w:rsidR="009F455E" w:rsidRPr="004F2AC3">
              <w:rPr>
                <w:rFonts w:ascii="Garamond" w:hAnsi="Garamond"/>
                <w:color w:val="000000" w:themeColor="text1"/>
                <w:szCs w:val="24"/>
                <w:lang w:val="sq-AL"/>
              </w:rPr>
              <w:t>multidomain</w:t>
            </w:r>
          </w:p>
        </w:tc>
        <w:tc>
          <w:tcPr>
            <w:tcW w:w="0" w:type="auto"/>
            <w:tcBorders>
              <w:top w:val="single" w:sz="8" w:space="0" w:color="4F81BD"/>
              <w:left w:val="single" w:sz="8" w:space="0" w:color="4F81BD"/>
              <w:bottom w:val="single" w:sz="8" w:space="0" w:color="4F81BD"/>
              <w:right w:val="single" w:sz="8" w:space="0" w:color="4F81BD"/>
            </w:tcBorders>
          </w:tcPr>
          <w:p w14:paraId="340469D4" w14:textId="77777777" w:rsidR="000F566F" w:rsidRPr="004F2AC3" w:rsidRDefault="000F566F"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Nr. i aktiviteteve</w:t>
            </w:r>
          </w:p>
          <w:p w14:paraId="285CB984" w14:textId="6817DD4A" w:rsidR="000F566F" w:rsidRPr="004F2AC3" w:rsidRDefault="00D32864"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 xml:space="preserve">statistikore </w:t>
            </w:r>
            <w:r w:rsidR="000F566F" w:rsidRPr="004F2AC3">
              <w:rPr>
                <w:rFonts w:ascii="Garamond" w:hAnsi="Garamond"/>
                <w:color w:val="000000" w:themeColor="text1"/>
                <w:szCs w:val="24"/>
                <w:lang w:val="sq-AL"/>
              </w:rPr>
              <w:t>(AS)</w:t>
            </w:r>
          </w:p>
        </w:tc>
        <w:tc>
          <w:tcPr>
            <w:tcW w:w="0" w:type="auto"/>
            <w:tcBorders>
              <w:top w:val="single" w:sz="8" w:space="0" w:color="4F81BD"/>
              <w:left w:val="single" w:sz="8" w:space="0" w:color="4F81BD"/>
              <w:bottom w:val="single" w:sz="8" w:space="0" w:color="4F81BD"/>
              <w:right w:val="single" w:sz="8" w:space="0" w:color="4F81BD"/>
            </w:tcBorders>
          </w:tcPr>
          <w:p w14:paraId="0845CC15" w14:textId="06FA006E" w:rsidR="000F566F" w:rsidRPr="004F2AC3" w:rsidRDefault="00D32864"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Nr. AS</w:t>
            </w:r>
            <w:r w:rsidR="000F566F" w:rsidRPr="004F2AC3">
              <w:rPr>
                <w:rFonts w:ascii="Garamond" w:hAnsi="Garamond"/>
                <w:color w:val="000000" w:themeColor="text1"/>
                <w:szCs w:val="24"/>
                <w:lang w:val="sq-AL"/>
              </w:rPr>
              <w:t xml:space="preserve">/ </w:t>
            </w:r>
            <w:r w:rsidRPr="004F2AC3">
              <w:rPr>
                <w:rFonts w:ascii="Garamond" w:hAnsi="Garamond"/>
                <w:color w:val="000000" w:themeColor="text1"/>
                <w:szCs w:val="24"/>
                <w:lang w:val="sq-AL"/>
              </w:rPr>
              <w:t xml:space="preserve">periodiciteti </w:t>
            </w:r>
            <w:r w:rsidR="000F566F" w:rsidRPr="004F2AC3">
              <w:rPr>
                <w:rFonts w:ascii="Garamond" w:hAnsi="Garamond"/>
                <w:color w:val="000000" w:themeColor="text1"/>
                <w:szCs w:val="24"/>
                <w:lang w:val="sq-AL"/>
              </w:rPr>
              <w:t>*</w:t>
            </w:r>
          </w:p>
          <w:p w14:paraId="78B2EDE9" w14:textId="77777777" w:rsidR="000F566F" w:rsidRPr="004F2AC3" w:rsidRDefault="000F566F"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p>
        </w:tc>
        <w:tc>
          <w:tcPr>
            <w:tcW w:w="0" w:type="auto"/>
            <w:tcBorders>
              <w:top w:val="single" w:sz="8" w:space="0" w:color="4F81BD"/>
              <w:left w:val="single" w:sz="8" w:space="0" w:color="4F81BD"/>
              <w:bottom w:val="single" w:sz="8" w:space="0" w:color="4F81BD"/>
              <w:right w:val="single" w:sz="8" w:space="0" w:color="4F81BD"/>
            </w:tcBorders>
          </w:tcPr>
          <w:p w14:paraId="035DEAE6" w14:textId="487BDE2A" w:rsidR="000F566F" w:rsidRPr="004F2AC3" w:rsidRDefault="00D32864"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Nr. AS</w:t>
            </w:r>
            <w:r w:rsidR="000F566F" w:rsidRPr="004F2AC3">
              <w:rPr>
                <w:rFonts w:ascii="Garamond" w:hAnsi="Garamond"/>
                <w:color w:val="000000" w:themeColor="text1"/>
                <w:szCs w:val="24"/>
                <w:lang w:val="sq-AL"/>
              </w:rPr>
              <w:t xml:space="preserve">/ </w:t>
            </w:r>
          </w:p>
          <w:p w14:paraId="450938B8" w14:textId="5AB11D3A" w:rsidR="000F566F" w:rsidRPr="004F2AC3" w:rsidRDefault="00D32864"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 xml:space="preserve">burimi </w:t>
            </w:r>
            <w:r w:rsidR="000F566F" w:rsidRPr="004F2AC3">
              <w:rPr>
                <w:rFonts w:ascii="Garamond" w:hAnsi="Garamond"/>
                <w:color w:val="000000" w:themeColor="text1"/>
                <w:szCs w:val="24"/>
                <w:lang w:val="sq-AL"/>
              </w:rPr>
              <w:t>i të dhënave**</w:t>
            </w:r>
          </w:p>
          <w:p w14:paraId="0DD1C968" w14:textId="77777777" w:rsidR="000F566F" w:rsidRPr="004F2AC3" w:rsidRDefault="000F566F"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p>
        </w:tc>
        <w:tc>
          <w:tcPr>
            <w:tcW w:w="0" w:type="auto"/>
            <w:tcBorders>
              <w:top w:val="single" w:sz="8" w:space="0" w:color="4F81BD"/>
              <w:left w:val="single" w:sz="8" w:space="0" w:color="4F81BD"/>
              <w:bottom w:val="single" w:sz="8" w:space="0" w:color="4F81BD"/>
              <w:right w:val="single" w:sz="8" w:space="0" w:color="4F81BD"/>
            </w:tcBorders>
          </w:tcPr>
          <w:p w14:paraId="44285719" w14:textId="5C2504E0" w:rsidR="000F566F" w:rsidRPr="004F2AC3" w:rsidRDefault="00D32864" w:rsidP="00CF4B3F">
            <w:pPr>
              <w:jc w:val="right"/>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Nr. AS</w:t>
            </w:r>
            <w:r w:rsidR="000F566F" w:rsidRPr="004F2AC3">
              <w:rPr>
                <w:rFonts w:ascii="Garamond" w:hAnsi="Garamond"/>
                <w:color w:val="000000" w:themeColor="text1"/>
                <w:szCs w:val="24"/>
                <w:lang w:val="sq-AL"/>
              </w:rPr>
              <w:t xml:space="preserve">/ </w:t>
            </w:r>
            <w:r w:rsidRPr="004F2AC3">
              <w:rPr>
                <w:rFonts w:ascii="Garamond" w:hAnsi="Garamond"/>
                <w:color w:val="000000" w:themeColor="text1"/>
                <w:szCs w:val="24"/>
                <w:lang w:val="sq-AL"/>
              </w:rPr>
              <w:t xml:space="preserve">institucioni </w:t>
            </w:r>
            <w:r w:rsidR="000F566F" w:rsidRPr="004F2AC3">
              <w:rPr>
                <w:rFonts w:ascii="Garamond" w:hAnsi="Garamond"/>
                <w:color w:val="000000" w:themeColor="text1"/>
                <w:szCs w:val="24"/>
                <w:lang w:val="sq-AL"/>
              </w:rPr>
              <w:t>përgjegjës</w:t>
            </w:r>
          </w:p>
        </w:tc>
      </w:tr>
      <w:tr w:rsidR="000F566F" w:rsidRPr="004F2AC3" w14:paraId="2BE9FB01" w14:textId="77777777" w:rsidTr="00B66B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CF387CB" w14:textId="77777777"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Mjedisi</w:t>
            </w:r>
          </w:p>
        </w:tc>
        <w:tc>
          <w:tcPr>
            <w:tcW w:w="0" w:type="auto"/>
            <w:vAlign w:val="center"/>
          </w:tcPr>
          <w:p w14:paraId="45AD4AD1"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9</w:t>
            </w:r>
          </w:p>
        </w:tc>
        <w:tc>
          <w:tcPr>
            <w:tcW w:w="0" w:type="auto"/>
            <w:vAlign w:val="center"/>
          </w:tcPr>
          <w:p w14:paraId="241C0620" w14:textId="36051085"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3</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V</w:t>
            </w:r>
          </w:p>
          <w:p w14:paraId="6223B710" w14:textId="52A4106B"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2V</w:t>
            </w:r>
          </w:p>
        </w:tc>
        <w:tc>
          <w:tcPr>
            <w:tcW w:w="0" w:type="auto"/>
            <w:vAlign w:val="center"/>
          </w:tcPr>
          <w:p w14:paraId="0F32DEEC"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8 BA</w:t>
            </w:r>
          </w:p>
          <w:p w14:paraId="2D9EABBF"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 V</w:t>
            </w:r>
          </w:p>
        </w:tc>
        <w:tc>
          <w:tcPr>
            <w:tcW w:w="0" w:type="auto"/>
            <w:vAlign w:val="center"/>
          </w:tcPr>
          <w:p w14:paraId="3B2F9814"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9 INSTAT</w:t>
            </w:r>
          </w:p>
        </w:tc>
      </w:tr>
      <w:tr w:rsidR="000F566F" w:rsidRPr="004F2AC3" w14:paraId="35B23652" w14:textId="77777777" w:rsidTr="00B66BF4">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A4F10A2" w14:textId="2358BCAB"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 xml:space="preserve">Sistemi i Informacionit Gjeografik (GIS) për qëllime </w:t>
            </w:r>
            <w:r w:rsidR="009F455E" w:rsidRPr="004F2AC3">
              <w:rPr>
                <w:rFonts w:ascii="Garamond" w:hAnsi="Garamond"/>
                <w:b w:val="0"/>
                <w:color w:val="000000" w:themeColor="text1"/>
                <w:szCs w:val="24"/>
                <w:lang w:val="sq-AL"/>
              </w:rPr>
              <w:t>statistikore</w:t>
            </w:r>
          </w:p>
        </w:tc>
        <w:tc>
          <w:tcPr>
            <w:tcW w:w="0" w:type="auto"/>
            <w:vAlign w:val="center"/>
          </w:tcPr>
          <w:p w14:paraId="563DE454"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w:t>
            </w:r>
          </w:p>
        </w:tc>
        <w:tc>
          <w:tcPr>
            <w:tcW w:w="0" w:type="auto"/>
            <w:vAlign w:val="center"/>
          </w:tcPr>
          <w:p w14:paraId="1F6D3D50" w14:textId="176AE0F6"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Tjetër</w:t>
            </w:r>
          </w:p>
        </w:tc>
        <w:tc>
          <w:tcPr>
            <w:tcW w:w="0" w:type="auto"/>
            <w:vAlign w:val="center"/>
          </w:tcPr>
          <w:p w14:paraId="3CD5F4E3" w14:textId="38CB66F4"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Tjetër</w:t>
            </w:r>
          </w:p>
        </w:tc>
        <w:tc>
          <w:tcPr>
            <w:tcW w:w="0" w:type="auto"/>
            <w:vAlign w:val="center"/>
          </w:tcPr>
          <w:p w14:paraId="77208599"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 INSTAT</w:t>
            </w:r>
          </w:p>
        </w:tc>
      </w:tr>
      <w:tr w:rsidR="000F566F" w:rsidRPr="004F2AC3" w14:paraId="6755CE8F" w14:textId="77777777" w:rsidTr="009F455E">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DAA575" w14:textId="77777777" w:rsidR="000F566F" w:rsidRPr="004F2AC3" w:rsidRDefault="000F566F" w:rsidP="00CF4B3F">
            <w:pPr>
              <w:rPr>
                <w:rFonts w:ascii="Garamond" w:hAnsi="Garamond"/>
                <w:b w:val="0"/>
                <w:color w:val="000000" w:themeColor="text1"/>
                <w:szCs w:val="24"/>
                <w:lang w:val="sq-AL"/>
              </w:rPr>
            </w:pPr>
            <w:r w:rsidRPr="004F2AC3">
              <w:rPr>
                <w:rFonts w:ascii="Garamond" w:hAnsi="Garamond"/>
                <w:b w:val="0"/>
                <w:color w:val="000000" w:themeColor="text1"/>
                <w:szCs w:val="24"/>
                <w:lang w:val="sq-AL"/>
              </w:rPr>
              <w:t>Gjithsej</w:t>
            </w:r>
          </w:p>
        </w:tc>
        <w:tc>
          <w:tcPr>
            <w:tcW w:w="0" w:type="auto"/>
            <w:vAlign w:val="center"/>
          </w:tcPr>
          <w:p w14:paraId="2F0A3FCA"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13</w:t>
            </w:r>
          </w:p>
        </w:tc>
        <w:tc>
          <w:tcPr>
            <w:tcW w:w="0" w:type="auto"/>
            <w:vAlign w:val="center"/>
          </w:tcPr>
          <w:p w14:paraId="373DEA65" w14:textId="45F251A0"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8</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V</w:t>
            </w:r>
          </w:p>
          <w:p w14:paraId="5D55FF81" w14:textId="5C097B36"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2V</w:t>
            </w:r>
          </w:p>
          <w:p w14:paraId="444F2E3C" w14:textId="25A39966" w:rsidR="000F566F" w:rsidRPr="004F2AC3" w:rsidRDefault="000F566F" w:rsidP="009F455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w:t>
            </w:r>
            <w:r w:rsidR="00D32864" w:rsidRPr="004F2AC3">
              <w:rPr>
                <w:rFonts w:ascii="Garamond" w:hAnsi="Garamond"/>
                <w:color w:val="000000" w:themeColor="text1"/>
                <w:szCs w:val="24"/>
                <w:lang w:val="sq-AL"/>
              </w:rPr>
              <w:t xml:space="preserve"> – </w:t>
            </w:r>
            <w:r w:rsidR="009F455E" w:rsidRPr="004F2AC3">
              <w:rPr>
                <w:rFonts w:ascii="Garamond" w:hAnsi="Garamond"/>
                <w:color w:val="000000" w:themeColor="text1"/>
                <w:szCs w:val="24"/>
                <w:lang w:val="sq-AL"/>
              </w:rPr>
              <w:t>Tjetër</w:t>
            </w:r>
          </w:p>
        </w:tc>
        <w:tc>
          <w:tcPr>
            <w:tcW w:w="0" w:type="auto"/>
            <w:vAlign w:val="center"/>
          </w:tcPr>
          <w:p w14:paraId="2CAD86E5"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8 BA</w:t>
            </w:r>
          </w:p>
          <w:p w14:paraId="181CC387"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1V</w:t>
            </w:r>
          </w:p>
          <w:p w14:paraId="2285DEB2" w14:textId="1CF92D33"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4</w:t>
            </w:r>
            <w:r w:rsidR="00D32864" w:rsidRPr="004F2AC3">
              <w:rPr>
                <w:rFonts w:ascii="Garamond" w:hAnsi="Garamond"/>
                <w:color w:val="000000" w:themeColor="text1"/>
                <w:szCs w:val="24"/>
                <w:lang w:val="sq-AL"/>
              </w:rPr>
              <w:t xml:space="preserve"> – </w:t>
            </w:r>
            <w:r w:rsidRPr="004F2AC3">
              <w:rPr>
                <w:rFonts w:ascii="Garamond" w:hAnsi="Garamond"/>
                <w:color w:val="000000" w:themeColor="text1"/>
                <w:szCs w:val="24"/>
                <w:lang w:val="sq-AL"/>
              </w:rPr>
              <w:t>Tjetër</w:t>
            </w:r>
          </w:p>
        </w:tc>
        <w:tc>
          <w:tcPr>
            <w:tcW w:w="0" w:type="auto"/>
            <w:vAlign w:val="center"/>
          </w:tcPr>
          <w:p w14:paraId="04BD258A"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Cs w:val="24"/>
                <w:lang w:val="sq-AL"/>
              </w:rPr>
            </w:pPr>
            <w:r w:rsidRPr="004F2AC3">
              <w:rPr>
                <w:rFonts w:ascii="Garamond" w:hAnsi="Garamond"/>
                <w:color w:val="000000" w:themeColor="text1"/>
                <w:szCs w:val="24"/>
                <w:lang w:val="sq-AL"/>
              </w:rPr>
              <w:t>13 INSTAT</w:t>
            </w:r>
          </w:p>
        </w:tc>
      </w:tr>
    </w:tbl>
    <w:p w14:paraId="61E24353" w14:textId="192F611D"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*M</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mujor; T</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Tremujor; V</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 xml:space="preserve">Vjetor; </w:t>
      </w:r>
    </w:p>
    <w:p w14:paraId="403DBF43" w14:textId="1AE9D5D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VS</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Vrojtim Statistikor; BA</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Burim Administrativ; NA</w:t>
      </w:r>
      <w:r w:rsidR="00D32864" w:rsidRPr="004F2AC3">
        <w:rPr>
          <w:rFonts w:ascii="Garamond" w:hAnsi="Garamond"/>
          <w:color w:val="000000" w:themeColor="text1"/>
          <w:szCs w:val="24"/>
        </w:rPr>
        <w:t xml:space="preserve"> – </w:t>
      </w:r>
      <w:r w:rsidRPr="004F2AC3">
        <w:rPr>
          <w:rFonts w:ascii="Garamond" w:hAnsi="Garamond" w:cs="Times New Roman"/>
          <w:color w:val="000000" w:themeColor="text1"/>
          <w:sz w:val="24"/>
          <w:szCs w:val="24"/>
        </w:rPr>
        <w:t>Nuk aplikohet.</w:t>
      </w:r>
    </w:p>
    <w:p w14:paraId="1BDF4DB3" w14:textId="77777777" w:rsidR="000F566F" w:rsidRPr="004F2AC3" w:rsidRDefault="000F566F" w:rsidP="000F566F">
      <w:pPr>
        <w:spacing w:after="0" w:line="240" w:lineRule="auto"/>
        <w:ind w:firstLine="284"/>
        <w:jc w:val="both"/>
        <w:rPr>
          <w:rFonts w:ascii="Garamond" w:hAnsi="Garamond" w:cs="Times New Roman"/>
          <w:b/>
          <w:color w:val="000000" w:themeColor="text1"/>
          <w:sz w:val="24"/>
          <w:szCs w:val="24"/>
        </w:rPr>
      </w:pPr>
    </w:p>
    <w:p w14:paraId="0AF0627B" w14:textId="16486271" w:rsidR="000F566F" w:rsidRPr="004F2AC3" w:rsidRDefault="000F566F" w:rsidP="000F566F">
      <w:pPr>
        <w:spacing w:after="0" w:line="240" w:lineRule="auto"/>
        <w:ind w:firstLine="284"/>
        <w:jc w:val="both"/>
        <w:rPr>
          <w:rFonts w:ascii="Garamond" w:hAnsi="Garamond" w:cs="Times New Roman"/>
          <w:i/>
          <w:color w:val="000000" w:themeColor="text1"/>
          <w:sz w:val="24"/>
          <w:szCs w:val="24"/>
        </w:rPr>
      </w:pPr>
      <w:r w:rsidRPr="004F2AC3">
        <w:rPr>
          <w:rFonts w:ascii="Garamond" w:hAnsi="Garamond" w:cs="Times New Roman"/>
          <w:i/>
          <w:color w:val="000000" w:themeColor="text1"/>
          <w:sz w:val="24"/>
          <w:szCs w:val="24"/>
        </w:rPr>
        <w:t>Figura nr. 5</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Statistikat e </w:t>
      </w:r>
      <w:r w:rsidR="00706985" w:rsidRPr="004F2AC3">
        <w:rPr>
          <w:rFonts w:ascii="Garamond" w:hAnsi="Garamond" w:cs="Times New Roman"/>
          <w:i/>
          <w:color w:val="000000" w:themeColor="text1"/>
          <w:sz w:val="24"/>
          <w:szCs w:val="24"/>
        </w:rPr>
        <w:t xml:space="preserve">mjedisit dhe multidomain </w:t>
      </w:r>
      <w:r w:rsidRPr="004F2AC3">
        <w:rPr>
          <w:rFonts w:ascii="Garamond" w:hAnsi="Garamond" w:cs="Times New Roman"/>
          <w:i/>
          <w:color w:val="000000" w:themeColor="text1"/>
          <w:sz w:val="24"/>
          <w:szCs w:val="24"/>
        </w:rPr>
        <w:t>2025</w:t>
      </w:r>
      <w:r w:rsidR="00D32864" w:rsidRPr="004F2AC3">
        <w:rPr>
          <w:rFonts w:ascii="Garamond" w:hAnsi="Garamond"/>
          <w:i/>
          <w:color w:val="000000" w:themeColor="text1"/>
          <w:szCs w:val="24"/>
        </w:rPr>
        <w:t>–</w:t>
      </w:r>
      <w:r w:rsidRPr="004F2AC3">
        <w:rPr>
          <w:rFonts w:ascii="Garamond" w:hAnsi="Garamond" w:cs="Times New Roman"/>
          <w:i/>
          <w:color w:val="000000" w:themeColor="text1"/>
          <w:sz w:val="24"/>
          <w:szCs w:val="24"/>
        </w:rPr>
        <w:t>2026</w:t>
      </w:r>
    </w:p>
    <w:p w14:paraId="42FED124"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p>
    <w:p w14:paraId="44AA1E5B"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noProof/>
          <w:color w:val="000000" w:themeColor="text1"/>
          <w:sz w:val="24"/>
          <w:szCs w:val="24"/>
          <w:lang w:eastAsia="sq-AL"/>
        </w:rPr>
        <w:drawing>
          <wp:inline distT="0" distB="0" distL="0" distR="0" wp14:anchorId="752D6F34" wp14:editId="6B101E9D">
            <wp:extent cx="5777345" cy="2725387"/>
            <wp:effectExtent l="0" t="0" r="0" b="0"/>
            <wp:docPr id="8" name="Chart 8">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B2A4B621-CB2E-4812-8DEA-AE0BDBCE87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569A92D" w14:textId="43377118"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bookmarkStart w:id="46" w:name="_Toc89368106"/>
      <w:r w:rsidRPr="004F2AC3">
        <w:rPr>
          <w:rFonts w:ascii="Garamond" w:eastAsia="Times New Roman" w:hAnsi="Garamond" w:cs="Times New Roman"/>
          <w:b/>
          <w:color w:val="000000" w:themeColor="text1"/>
          <w:sz w:val="24"/>
          <w:szCs w:val="24"/>
        </w:rPr>
        <w:t xml:space="preserve">Tema 4.1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Mjedisi</w:t>
      </w:r>
      <w:r w:rsidR="00D32864" w:rsidRPr="004F2AC3">
        <w:rPr>
          <w:rFonts w:ascii="Garamond" w:eastAsia="Times New Roman" w:hAnsi="Garamond" w:cs="Times New Roman"/>
          <w:b/>
          <w:color w:val="000000" w:themeColor="text1"/>
          <w:sz w:val="24"/>
          <w:szCs w:val="24"/>
        </w:rPr>
        <w:t>”</w:t>
      </w:r>
    </w:p>
    <w:p w14:paraId="018BFA7E" w14:textId="777777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e mjedisit parashikohet të prodhohen sipas këtyre nëntemave:</w:t>
      </w:r>
    </w:p>
    <w:p w14:paraId="721570C3" w14:textId="5E3EE9E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4.1.1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Llogaritë </w:t>
      </w:r>
      <w:r w:rsidR="00706985" w:rsidRPr="004F2AC3">
        <w:rPr>
          <w:rFonts w:ascii="Garamond" w:hAnsi="Garamond" w:cs="Times New Roman"/>
          <w:i/>
          <w:color w:val="000000" w:themeColor="text1"/>
          <w:sz w:val="24"/>
          <w:szCs w:val="24"/>
        </w:rPr>
        <w:t>monetare mjedisore</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sipas kësaj nënteme, INSTAT</w:t>
      </w:r>
      <w:r w:rsidR="00D32864"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prodhojë statistika mbi llogaritë monetare mjedisore, me frekuencë vjetore, të siguruara nga burime administrative, duke shfrytëzuar të dhënat e disponueshme në INSTAT (kryesisht të dhënat e siguruara nga Drejtoria e Llogarive Kombëtare) dhe duke i transmetuar në Eurostat këto të dhëna sipas kërkesave dhe metodologjisë evropiane. </w:t>
      </w:r>
    </w:p>
    <w:p w14:paraId="3B93E380" w14:textId="4C582F77"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4.1.2 </w:t>
      </w:r>
      <w:r w:rsidR="00D32864" w:rsidRPr="004F2AC3">
        <w:rPr>
          <w:rFonts w:ascii="Garamond" w:hAnsi="Garamond" w:cs="Times New Roman"/>
          <w:i/>
          <w:color w:val="000000" w:themeColor="text1"/>
          <w:sz w:val="24"/>
          <w:szCs w:val="24"/>
        </w:rPr>
        <w:t>“</w:t>
      </w:r>
      <w:bookmarkStart w:id="47" w:name="_Hlk212539137"/>
      <w:r w:rsidRPr="004F2AC3">
        <w:rPr>
          <w:rFonts w:ascii="Garamond" w:hAnsi="Garamond" w:cs="Times New Roman"/>
          <w:i/>
          <w:color w:val="000000" w:themeColor="text1"/>
          <w:sz w:val="24"/>
          <w:szCs w:val="24"/>
        </w:rPr>
        <w:t xml:space="preserve">Llogaritë </w:t>
      </w:r>
      <w:r w:rsidR="00706985" w:rsidRPr="004F2AC3">
        <w:rPr>
          <w:rFonts w:ascii="Garamond" w:hAnsi="Garamond" w:cs="Times New Roman"/>
          <w:i/>
          <w:color w:val="000000" w:themeColor="text1"/>
          <w:sz w:val="24"/>
          <w:szCs w:val="24"/>
        </w:rPr>
        <w:t>fizike mjedisore</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sipas së cilës INSTAT</w:t>
      </w:r>
      <w:r w:rsidR="006C2D4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realizojë aktivitetin mbi llogaritë fizike mjedisore me të dhëna administrative të siguruara nga Agjencia Kombëtare e Burimeve Natyrore, Agjencia e Menaxhimit të Burimeve Ujore dhe INSTAT</w:t>
      </w:r>
      <w:r w:rsidR="006C2D4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w:t>
      </w:r>
    </w:p>
    <w:bookmarkEnd w:id="47"/>
    <w:p w14:paraId="338B71DA" w14:textId="0DF4A9DB"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4.1.3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Statistikat mbi menaxhimin e mbetjeve</w:t>
      </w:r>
      <w:r w:rsidR="00D32864" w:rsidRPr="004F2AC3">
        <w:rPr>
          <w:rFonts w:ascii="Garamond" w:hAnsi="Garamond" w:cs="Times New Roman"/>
          <w:i/>
          <w:color w:val="000000" w:themeColor="text1"/>
          <w:sz w:val="24"/>
          <w:szCs w:val="24"/>
        </w:rPr>
        <w:t>”</w:t>
      </w:r>
      <w:r w:rsidRPr="004F2AC3">
        <w:rPr>
          <w:rFonts w:ascii="Garamond" w:hAnsi="Garamond" w:cs="Times New Roman"/>
          <w:color w:val="000000" w:themeColor="text1"/>
          <w:sz w:val="24"/>
          <w:szCs w:val="24"/>
        </w:rPr>
        <w:t>, INSTAT</w:t>
      </w:r>
      <w:r w:rsidR="006C2D4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realizon prodhimin vjetor të statistikave mbi menaxhimin e mbetjeve, bazuar në të dhënat e mbledhura nga bashkitë e vendit përmes një sistemi tashmë të konsoliduar të mbledhjes së të dhënave</w:t>
      </w:r>
      <w:r w:rsidR="00706985"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w:t>
      </w:r>
      <w:r w:rsidR="00706985" w:rsidRPr="004F2AC3">
        <w:rPr>
          <w:rFonts w:ascii="Garamond" w:hAnsi="Garamond" w:cs="Times New Roman"/>
          <w:color w:val="000000" w:themeColor="text1"/>
          <w:sz w:val="24"/>
          <w:szCs w:val="24"/>
        </w:rPr>
        <w:t>dhe vrojtimi me periodicitet dyvjeçar mbi mbetjet industriale.</w:t>
      </w:r>
    </w:p>
    <w:p w14:paraId="079B958F" w14:textId="769E3E1B"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4.1.4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Statistikat e ujit</w:t>
      </w:r>
      <w:r w:rsidR="00D32864" w:rsidRPr="004F2AC3">
        <w:rPr>
          <w:rFonts w:ascii="Garamond" w:hAnsi="Garamond" w:cs="Times New Roman"/>
          <w:i/>
          <w:color w:val="000000" w:themeColor="text1"/>
          <w:sz w:val="24"/>
          <w:szCs w:val="24"/>
        </w:rPr>
        <w:t>”</w:t>
      </w:r>
      <w:r w:rsidR="00706985" w:rsidRPr="004F2AC3">
        <w:rPr>
          <w:rFonts w:ascii="Garamond" w:hAnsi="Garamond" w:cs="Times New Roman"/>
          <w:color w:val="000000" w:themeColor="text1"/>
          <w:sz w:val="24"/>
          <w:szCs w:val="24"/>
        </w:rPr>
        <w:t xml:space="preserve">, prodhimi </w:t>
      </w:r>
      <w:r w:rsidRPr="004F2AC3">
        <w:rPr>
          <w:rFonts w:ascii="Garamond" w:hAnsi="Garamond" w:cs="Times New Roman"/>
          <w:color w:val="000000" w:themeColor="text1"/>
          <w:sz w:val="24"/>
          <w:szCs w:val="24"/>
        </w:rPr>
        <w:t>vjetor i statistikave të ujit nga INSTAT</w:t>
      </w:r>
      <w:r w:rsidR="006C2D42" w:rsidRPr="004F2AC3">
        <w:rPr>
          <w:rFonts w:ascii="Garamond" w:hAnsi="Garamond" w:cs="Times New Roman"/>
          <w:color w:val="000000" w:themeColor="text1"/>
          <w:sz w:val="24"/>
          <w:szCs w:val="24"/>
        </w:rPr>
        <w:t>-i</w:t>
      </w:r>
      <w:r w:rsidR="007069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do të bazohet në aktivitetin statistikor mbi statistikat e ujit, i cili prodhohet nga përpunimi i të dhënave administrative të siguruara nga Ministria e Mjedisit, Ministria e Infrastrukturës dhe Energjisë, Instituti i Gjeoshkencave, Agjencia Kombëtare e Mjedisit dhe Shërbimi Gjeologjik Shqiptar.</w:t>
      </w:r>
    </w:p>
    <w:p w14:paraId="76C54EDC" w14:textId="1239BD98" w:rsidR="000F566F" w:rsidRPr="004F2AC3" w:rsidRDefault="00706985"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4.1.5 “Statistikat e qytetit”, </w:t>
      </w:r>
      <w:r w:rsidRPr="004F2AC3">
        <w:rPr>
          <w:rFonts w:ascii="Garamond" w:hAnsi="Garamond" w:cs="Times New Roman"/>
          <w:color w:val="000000" w:themeColor="text1"/>
          <w:sz w:val="24"/>
          <w:szCs w:val="24"/>
        </w:rPr>
        <w:t xml:space="preserve">për </w:t>
      </w:r>
      <w:r w:rsidR="000F566F" w:rsidRPr="004F2AC3">
        <w:rPr>
          <w:rFonts w:ascii="Garamond" w:hAnsi="Garamond" w:cs="Times New Roman"/>
          <w:color w:val="000000" w:themeColor="text1"/>
          <w:sz w:val="24"/>
          <w:szCs w:val="24"/>
        </w:rPr>
        <w:t xml:space="preserve">realizimin e kësaj nënteme do të prodhohen statistikat mbi cilësinë e ajrit, zhurmat dhe </w:t>
      </w:r>
      <w:r w:rsidR="006C2D42" w:rsidRPr="004F2AC3">
        <w:rPr>
          <w:rFonts w:ascii="Garamond" w:hAnsi="Garamond" w:cs="Times New Roman"/>
          <w:color w:val="000000" w:themeColor="text1"/>
          <w:sz w:val="24"/>
          <w:szCs w:val="24"/>
        </w:rPr>
        <w:t>automjetet</w:t>
      </w:r>
      <w:r w:rsidR="000F566F" w:rsidRPr="004F2AC3">
        <w:rPr>
          <w:rFonts w:ascii="Garamond" w:hAnsi="Garamond" w:cs="Times New Roman"/>
          <w:color w:val="000000" w:themeColor="text1"/>
          <w:sz w:val="24"/>
          <w:szCs w:val="24"/>
        </w:rPr>
        <w:t xml:space="preserve"> sipas vjetërsisë në përdorim. Këto statistika do të prodhohen nga INSTAT</w:t>
      </w:r>
      <w:r w:rsidR="006C2D42" w:rsidRPr="004F2AC3">
        <w:rPr>
          <w:rFonts w:ascii="Garamond" w:hAnsi="Garamond" w:cs="Times New Roman"/>
          <w:color w:val="000000" w:themeColor="text1"/>
          <w:sz w:val="24"/>
          <w:szCs w:val="24"/>
        </w:rPr>
        <w:t>-i</w:t>
      </w:r>
      <w:r w:rsidR="000F566F" w:rsidRPr="004F2AC3">
        <w:rPr>
          <w:rFonts w:ascii="Garamond" w:hAnsi="Garamond" w:cs="Times New Roman"/>
          <w:color w:val="000000" w:themeColor="text1"/>
          <w:sz w:val="24"/>
          <w:szCs w:val="24"/>
        </w:rPr>
        <w:t xml:space="preserve"> me frekuencë vjetore, duke u mbështetur në aktivitetin e statistikave mbi cilësinë e ajrit dhe zhurmat, të cilat prodhohen nga përpunimi i të dhënave të siguruara nga INSTAT</w:t>
      </w:r>
      <w:r w:rsidR="006C2D42" w:rsidRPr="004F2AC3">
        <w:rPr>
          <w:rFonts w:ascii="Garamond" w:hAnsi="Garamond" w:cs="Times New Roman"/>
          <w:color w:val="000000" w:themeColor="text1"/>
          <w:sz w:val="24"/>
          <w:szCs w:val="24"/>
        </w:rPr>
        <w:t>-i</w:t>
      </w:r>
      <w:r w:rsidR="000F566F" w:rsidRPr="004F2AC3">
        <w:rPr>
          <w:rFonts w:ascii="Garamond" w:hAnsi="Garamond" w:cs="Times New Roman"/>
          <w:color w:val="000000" w:themeColor="text1"/>
          <w:sz w:val="24"/>
          <w:szCs w:val="24"/>
        </w:rPr>
        <w:t>, si dhe i të dhënave administrative të siguruara nga Ministria e Mjedisit, Ministria e Infrastrukturës dhe Energjetikës.</w:t>
      </w:r>
    </w:p>
    <w:p w14:paraId="0A6F4BCE" w14:textId="15ABA410"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i/>
          <w:color w:val="000000" w:themeColor="text1"/>
          <w:sz w:val="24"/>
          <w:szCs w:val="24"/>
        </w:rPr>
        <w:t xml:space="preserve">4.1.6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Statistikat e </w:t>
      </w:r>
      <w:r w:rsidR="00706985" w:rsidRPr="004F2AC3">
        <w:rPr>
          <w:rFonts w:ascii="Garamond" w:hAnsi="Garamond" w:cs="Times New Roman"/>
          <w:i/>
          <w:color w:val="000000" w:themeColor="text1"/>
          <w:sz w:val="24"/>
          <w:szCs w:val="24"/>
        </w:rPr>
        <w:t>biodiversitetit</w:t>
      </w:r>
      <w:r w:rsidR="00D32864" w:rsidRPr="004F2AC3">
        <w:rPr>
          <w:rFonts w:ascii="Garamond" w:hAnsi="Garamond" w:cs="Times New Roman"/>
          <w:i/>
          <w:color w:val="000000" w:themeColor="text1"/>
          <w:sz w:val="24"/>
          <w:szCs w:val="24"/>
        </w:rPr>
        <w:t>”</w:t>
      </w:r>
      <w:r w:rsidR="00706985"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w:t>
      </w:r>
      <w:r w:rsidR="00706985"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ga realizimi i kësaj nënteme statistikore</w:t>
      </w:r>
      <w:r w:rsidR="00706985"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INSTAT</w:t>
      </w:r>
      <w:r w:rsidR="006C2D4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vijojë punën për </w:t>
      </w:r>
      <w:r w:rsidRPr="004F2AC3">
        <w:rPr>
          <w:rFonts w:ascii="Garamond" w:hAnsi="Garamond" w:cs="Times New Roman"/>
          <w:bCs/>
          <w:iCs/>
          <w:color w:val="000000" w:themeColor="text1"/>
          <w:sz w:val="24"/>
          <w:szCs w:val="24"/>
        </w:rPr>
        <w:t xml:space="preserve">sigurimin e të dhënave të përgjithshme dhe specifike për zonat e </w:t>
      </w:r>
      <w:r w:rsidR="006C2D42" w:rsidRPr="004F2AC3">
        <w:rPr>
          <w:rFonts w:ascii="Garamond" w:hAnsi="Garamond" w:cs="Times New Roman"/>
          <w:bCs/>
          <w:iCs/>
          <w:color w:val="000000" w:themeColor="text1"/>
          <w:sz w:val="24"/>
          <w:szCs w:val="24"/>
        </w:rPr>
        <w:t>mbrojtura</w:t>
      </w:r>
      <w:r w:rsidRPr="004F2AC3">
        <w:rPr>
          <w:rFonts w:ascii="Garamond" w:hAnsi="Garamond" w:cs="Times New Roman"/>
          <w:bCs/>
          <w:iCs/>
          <w:color w:val="000000" w:themeColor="text1"/>
          <w:sz w:val="24"/>
          <w:szCs w:val="24"/>
        </w:rPr>
        <w:t>, speciet e kërcënuara, florën dhe faunën. Të dhënat janë vjetore në nivel kombëtar dhe sigurohen nga Ministria e Mjedisit, si dhe Agjencia Kombëtare e Zonave të Mbrojtura.</w:t>
      </w:r>
    </w:p>
    <w:p w14:paraId="6ABBD74E" w14:textId="6836FAEC"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Treguesit kryesorë</w:t>
      </w:r>
      <w:r w:rsidRPr="004F2AC3">
        <w:rPr>
          <w:rFonts w:ascii="Garamond" w:hAnsi="Garamond" w:cs="Times New Roman"/>
          <w:color w:val="000000" w:themeColor="text1"/>
          <w:sz w:val="24"/>
          <w:szCs w:val="24"/>
        </w:rPr>
        <w:t xml:space="preserve">: Tregues statistikorë vjetorë mbi taksat në mjedis në total vendi; Tregues statistikorë vjetorë mbi shpenzimet për mbrojtjen e mjedisit dhe të ardhurat në total vendi; Tregues statistikorë vjetorë mbi të mirat dhe shërbimet në mjedis në total vendi; Tregues statistikorë vjetorë mbi llogaritë rrjedhëse fizike të energjisë në total vendi, </w:t>
      </w:r>
      <w:r w:rsidR="00706985" w:rsidRPr="004F2AC3">
        <w:rPr>
          <w:rFonts w:ascii="Garamond" w:hAnsi="Garamond" w:cs="Times New Roman"/>
          <w:color w:val="000000" w:themeColor="text1"/>
          <w:sz w:val="24"/>
          <w:szCs w:val="24"/>
        </w:rPr>
        <w:t xml:space="preserve">burimet </w:t>
      </w:r>
      <w:r w:rsidRPr="004F2AC3">
        <w:rPr>
          <w:rFonts w:ascii="Garamond" w:hAnsi="Garamond" w:cs="Times New Roman"/>
          <w:color w:val="000000" w:themeColor="text1"/>
          <w:sz w:val="24"/>
          <w:szCs w:val="24"/>
        </w:rPr>
        <w:t xml:space="preserve">e </w:t>
      </w:r>
      <w:r w:rsidR="00706985" w:rsidRPr="004F2AC3">
        <w:rPr>
          <w:rFonts w:ascii="Garamond" w:hAnsi="Garamond" w:cs="Times New Roman"/>
          <w:color w:val="000000" w:themeColor="text1"/>
          <w:sz w:val="24"/>
          <w:szCs w:val="24"/>
        </w:rPr>
        <w:t xml:space="preserve">brendshme natyrore </w:t>
      </w:r>
      <w:r w:rsidRPr="004F2AC3">
        <w:rPr>
          <w:rFonts w:ascii="Garamond" w:hAnsi="Garamond" w:cs="Times New Roman"/>
          <w:color w:val="000000" w:themeColor="text1"/>
          <w:sz w:val="24"/>
          <w:szCs w:val="24"/>
        </w:rPr>
        <w:t xml:space="preserve">(DE), </w:t>
      </w:r>
      <w:r w:rsidR="00706985" w:rsidRPr="004F2AC3">
        <w:rPr>
          <w:rFonts w:ascii="Garamond" w:hAnsi="Garamond" w:cs="Times New Roman"/>
          <w:color w:val="000000" w:themeColor="text1"/>
          <w:sz w:val="24"/>
          <w:szCs w:val="24"/>
        </w:rPr>
        <w:t xml:space="preserve">përdorimin </w:t>
      </w:r>
      <w:r w:rsidRPr="004F2AC3">
        <w:rPr>
          <w:rFonts w:ascii="Garamond" w:hAnsi="Garamond" w:cs="Times New Roman"/>
          <w:color w:val="000000" w:themeColor="text1"/>
          <w:sz w:val="24"/>
          <w:szCs w:val="24"/>
        </w:rPr>
        <w:t>e brendshëm të materialeve mjedisore (DMC); Tregues mbi menaxhimin e mbetjeve dhe substancave të rrezikshme në nivel vendi; Tregues statistikorë mbi mbetjet e ngurta urbane, cilësinë e ujërave larës në detet Adriatik dhe Jon; Tregues mbi ujin, cilësinë e ajrit dhe zhurmat në nivel vendi dhe në qytete kryesore, speciet e rrezikuara dhe ato të mbrojtura për florën dhe faunën, si dhe tregues mbi numrin dhe sipërfaqen e zonave të mbrojtura.</w:t>
      </w:r>
    </w:p>
    <w:p w14:paraId="433FB163" w14:textId="40F20906"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 xml:space="preserve">Përputhshmëria me </w:t>
      </w:r>
      <w:r w:rsidRPr="004F2AC3">
        <w:rPr>
          <w:rFonts w:ascii="Garamond" w:hAnsi="Garamond" w:cs="Times New Roman"/>
          <w:b/>
          <w:i/>
          <w:color w:val="000000" w:themeColor="text1"/>
          <w:sz w:val="24"/>
          <w:szCs w:val="24"/>
        </w:rPr>
        <w:t>acquis</w:t>
      </w:r>
      <w:r w:rsidRPr="004F2AC3">
        <w:rPr>
          <w:rFonts w:ascii="Garamond" w:hAnsi="Garamond" w:cs="Times New Roman"/>
          <w:b/>
          <w:color w:val="000000" w:themeColor="text1"/>
          <w:sz w:val="24"/>
          <w:szCs w:val="24"/>
        </w:rPr>
        <w:t xml:space="preserve">: </w:t>
      </w:r>
      <w:r w:rsidRPr="004F2AC3">
        <w:rPr>
          <w:rFonts w:ascii="Garamond" w:hAnsi="Garamond" w:cs="Times New Roman"/>
          <w:i/>
          <w:color w:val="000000" w:themeColor="text1"/>
          <w:sz w:val="24"/>
          <w:szCs w:val="24"/>
        </w:rPr>
        <w:t xml:space="preserve">Llogaritë </w:t>
      </w:r>
      <w:r w:rsidR="00706985" w:rsidRPr="004F2AC3">
        <w:rPr>
          <w:rFonts w:ascii="Garamond" w:hAnsi="Garamond" w:cs="Times New Roman"/>
          <w:i/>
          <w:color w:val="000000" w:themeColor="text1"/>
          <w:sz w:val="24"/>
          <w:szCs w:val="24"/>
        </w:rPr>
        <w:t>monetare në mjedis</w:t>
      </w:r>
      <w:r w:rsidR="007069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bazohen në Rregulloren (KE) 691/2011</w:t>
      </w:r>
      <w:r w:rsidR="006C2D4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Për </w:t>
      </w:r>
      <w:r w:rsidR="00706985" w:rsidRPr="004F2AC3">
        <w:rPr>
          <w:rFonts w:ascii="Garamond" w:hAnsi="Garamond" w:cs="Times New Roman"/>
          <w:color w:val="000000" w:themeColor="text1"/>
          <w:sz w:val="24"/>
          <w:szCs w:val="24"/>
        </w:rPr>
        <w:t>llogaritë ekonomike evropiane mjedisore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Pr="004F2AC3">
        <w:rPr>
          <w:rFonts w:ascii="Garamond" w:hAnsi="Garamond" w:cs="Times New Roman"/>
          <w:i/>
          <w:color w:val="000000" w:themeColor="text1"/>
          <w:sz w:val="24"/>
          <w:szCs w:val="24"/>
        </w:rPr>
        <w:t xml:space="preserve">Llogaritë </w:t>
      </w:r>
      <w:r w:rsidR="00706985" w:rsidRPr="004F2AC3">
        <w:rPr>
          <w:rFonts w:ascii="Garamond" w:hAnsi="Garamond" w:cs="Times New Roman"/>
          <w:i/>
          <w:color w:val="000000" w:themeColor="text1"/>
          <w:sz w:val="24"/>
          <w:szCs w:val="24"/>
        </w:rPr>
        <w:t>fizike mjedisore</w:t>
      </w:r>
      <w:r w:rsidR="007069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bazohen në Rregulloren (KE) 691/2011</w:t>
      </w:r>
      <w:r w:rsidR="00706985" w:rsidRPr="004F2AC3">
        <w:rPr>
          <w:rFonts w:ascii="Garamond" w:hAnsi="Garamond" w:cs="Times New Roman"/>
          <w:color w:val="000000" w:themeColor="text1"/>
          <w:sz w:val="24"/>
          <w:szCs w:val="24"/>
        </w:rPr>
        <w:t>, “</w:t>
      </w:r>
      <w:r w:rsidRPr="004F2AC3">
        <w:rPr>
          <w:rFonts w:ascii="Garamond" w:hAnsi="Garamond" w:cs="Times New Roman"/>
          <w:color w:val="000000" w:themeColor="text1"/>
          <w:sz w:val="24"/>
          <w:szCs w:val="24"/>
        </w:rPr>
        <w:t xml:space="preserve">Për </w:t>
      </w:r>
      <w:r w:rsidR="00706985" w:rsidRPr="004F2AC3">
        <w:rPr>
          <w:rFonts w:ascii="Garamond" w:hAnsi="Garamond" w:cs="Times New Roman"/>
          <w:color w:val="000000" w:themeColor="text1"/>
          <w:sz w:val="24"/>
          <w:szCs w:val="24"/>
        </w:rPr>
        <w:t>llogaritë ekonomike evropiane mjedisore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Pr="004F2AC3">
        <w:rPr>
          <w:rFonts w:ascii="Garamond" w:hAnsi="Garamond" w:cs="Times New Roman"/>
          <w:i/>
          <w:color w:val="000000" w:themeColor="text1"/>
          <w:sz w:val="24"/>
          <w:szCs w:val="24"/>
        </w:rPr>
        <w:t xml:space="preserve">Llogaritë e </w:t>
      </w:r>
      <w:r w:rsidR="00706985" w:rsidRPr="004F2AC3">
        <w:rPr>
          <w:rFonts w:ascii="Garamond" w:hAnsi="Garamond" w:cs="Times New Roman"/>
          <w:i/>
          <w:color w:val="000000" w:themeColor="text1"/>
          <w:sz w:val="24"/>
          <w:szCs w:val="24"/>
        </w:rPr>
        <w:t>flukseve të materialeve mjedisore</w:t>
      </w:r>
      <w:r w:rsidR="007069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publikohen nga INSTAT</w:t>
      </w:r>
      <w:r w:rsidR="006C2D4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me periodicitet vjetor dhe në përputhje me metodologjinë e BE-së.</w:t>
      </w:r>
      <w:r w:rsidRPr="004F2AC3">
        <w:rPr>
          <w:rFonts w:ascii="Garamond" w:hAnsi="Garamond" w:cs="Times New Roman"/>
          <w:b/>
          <w:color w:val="000000" w:themeColor="text1"/>
          <w:sz w:val="24"/>
          <w:szCs w:val="24"/>
        </w:rPr>
        <w:t xml:space="preserve"> </w:t>
      </w:r>
      <w:r w:rsidRPr="004F2AC3">
        <w:rPr>
          <w:rFonts w:ascii="Garamond" w:hAnsi="Garamond" w:cs="Times New Roman"/>
          <w:i/>
          <w:color w:val="000000" w:themeColor="text1"/>
          <w:sz w:val="24"/>
          <w:szCs w:val="24"/>
        </w:rPr>
        <w:t>Statistikat në fushën e mbetjeve të ngurta urbane</w:t>
      </w:r>
      <w:r w:rsidRPr="004F2AC3">
        <w:rPr>
          <w:rFonts w:ascii="Garamond" w:hAnsi="Garamond" w:cs="Times New Roman"/>
          <w:color w:val="000000" w:themeColor="text1"/>
          <w:sz w:val="24"/>
          <w:szCs w:val="24"/>
        </w:rPr>
        <w:t xml:space="preserve"> realizohen duke zbatuar metodologjitë dhe standardet e parashikuara në rregulloret</w:t>
      </w:r>
      <w:r w:rsidR="00706985"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Rregullorja (KE) </w:t>
      </w:r>
      <w:r w:rsidR="006C2D42"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 2150/2002</w:t>
      </w:r>
      <w:r w:rsidR="006C2D4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statistikat e mbetjeve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Direktiva e Këshillit të Evropës </w:t>
      </w:r>
      <w:r w:rsidR="006C2D42"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 2008/98/EC</w:t>
      </w:r>
      <w:r w:rsidR="006C2D4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mbetjet dhe raportimin e detyrueshëm të statistikave për mbetjet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Rregullorja (KE) </w:t>
      </w:r>
      <w:r w:rsidR="006C2D42"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r. 782/2005, që përcakton formatin e detyrueshëm për transmetimin e rezultateve në statistikat e mbetjeve, Rregullorja (KE) </w:t>
      </w:r>
      <w:r w:rsidR="006C2D42"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r. 783/2005, </w:t>
      </w:r>
      <w:r w:rsidR="006C2D42" w:rsidRPr="004F2AC3">
        <w:rPr>
          <w:rFonts w:ascii="Garamond" w:hAnsi="Garamond" w:cs="Times New Roman"/>
          <w:color w:val="000000" w:themeColor="text1"/>
          <w:sz w:val="24"/>
          <w:szCs w:val="24"/>
        </w:rPr>
        <w:t>s</w:t>
      </w:r>
      <w:r w:rsidRPr="004F2AC3">
        <w:rPr>
          <w:rFonts w:ascii="Garamond" w:hAnsi="Garamond" w:cs="Times New Roman"/>
          <w:color w:val="000000" w:themeColor="text1"/>
          <w:sz w:val="24"/>
          <w:szCs w:val="24"/>
        </w:rPr>
        <w:t xml:space="preserve">htojca II për rregulloren e mbetjeve, Rregullorja (KE) </w:t>
      </w:r>
      <w:r w:rsidR="00706985"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 849/2010</w:t>
      </w:r>
      <w:r w:rsidR="00706985"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menaxhimin e mbetjeve urbane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dhe Manuali i Eurostatit për statistikat e mbetjeve, i amenduar. </w:t>
      </w:r>
      <w:r w:rsidRPr="004F2AC3">
        <w:rPr>
          <w:rFonts w:ascii="Garamond" w:hAnsi="Garamond" w:cs="Times New Roman"/>
          <w:i/>
          <w:color w:val="000000" w:themeColor="text1"/>
          <w:sz w:val="24"/>
          <w:szCs w:val="24"/>
        </w:rPr>
        <w:t xml:space="preserve">Statistikat e ujit </w:t>
      </w:r>
      <w:r w:rsidRPr="004F2AC3">
        <w:rPr>
          <w:rFonts w:ascii="Garamond" w:hAnsi="Garamond" w:cs="Times New Roman"/>
          <w:color w:val="000000" w:themeColor="text1"/>
          <w:sz w:val="24"/>
          <w:szCs w:val="24"/>
        </w:rPr>
        <w:t>realizohen duke zbatuar metodologjitë sipas standardeve evropiane bazuar në rregulloret dhe direktivat e BE</w:t>
      </w:r>
      <w:r w:rsidR="00706985" w:rsidRPr="004F2AC3">
        <w:rPr>
          <w:rFonts w:ascii="Garamond" w:hAnsi="Garamond" w:cs="Times New Roman"/>
          <w:color w:val="000000" w:themeColor="text1"/>
          <w:sz w:val="24"/>
          <w:szCs w:val="24"/>
        </w:rPr>
        <w:t>-së</w:t>
      </w:r>
      <w:r w:rsidRPr="004F2AC3">
        <w:rPr>
          <w:rFonts w:ascii="Garamond" w:hAnsi="Garamond" w:cs="Times New Roman"/>
          <w:color w:val="000000" w:themeColor="text1"/>
          <w:sz w:val="24"/>
          <w:szCs w:val="24"/>
        </w:rPr>
        <w:t>, Rregullorja (KE) 2017/1951</w:t>
      </w:r>
      <w:r w:rsidR="006C2D4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programin e statistikave evropiane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Statistikat e kësaj teme statistikore janë pjesërisht në përputhje me rregulloret përkatëse.</w:t>
      </w:r>
    </w:p>
    <w:p w14:paraId="7427E262" w14:textId="21744568" w:rsidR="000F566F" w:rsidRPr="004F2AC3" w:rsidRDefault="000F566F" w:rsidP="000F566F">
      <w:pPr>
        <w:keepNext/>
        <w:keepLines/>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Tema 4.2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Multidomain</w:t>
      </w:r>
      <w:r w:rsidR="00D32864" w:rsidRPr="004F2AC3">
        <w:rPr>
          <w:rFonts w:ascii="Garamond" w:eastAsia="Times New Roman" w:hAnsi="Garamond" w:cs="Times New Roman"/>
          <w:b/>
          <w:color w:val="000000" w:themeColor="text1"/>
          <w:sz w:val="24"/>
          <w:szCs w:val="24"/>
        </w:rPr>
        <w:t>”</w:t>
      </w:r>
    </w:p>
    <w:p w14:paraId="3924AE88"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Kjo temë përbëhet nga 2 nëntema:</w:t>
      </w:r>
    </w:p>
    <w:p w14:paraId="4F4864A8" w14:textId="0D2FFECB" w:rsidR="000F566F" w:rsidRPr="004F2AC3" w:rsidRDefault="000F566F" w:rsidP="000F566F">
      <w:pPr>
        <w:spacing w:after="0" w:line="240" w:lineRule="auto"/>
        <w:ind w:firstLine="284"/>
        <w:contextualSpacing/>
        <w:jc w:val="both"/>
        <w:rPr>
          <w:rFonts w:ascii="Garamond" w:eastAsia="Times New Roman" w:hAnsi="Garamond" w:cs="Times New Roman"/>
          <w:b/>
          <w:i/>
          <w:color w:val="000000" w:themeColor="text1"/>
          <w:sz w:val="24"/>
          <w:szCs w:val="24"/>
        </w:rPr>
      </w:pPr>
      <w:r w:rsidRPr="004F2AC3">
        <w:rPr>
          <w:rFonts w:ascii="Garamond" w:hAnsi="Garamond" w:cs="Times New Roman"/>
          <w:i/>
          <w:color w:val="000000" w:themeColor="text1"/>
          <w:sz w:val="24"/>
          <w:szCs w:val="24"/>
        </w:rPr>
        <w:t xml:space="preserve">4.2.1 Sistemi i Informacionit Gjeografik (GIS) për qëllime </w:t>
      </w:r>
      <w:r w:rsidR="00706985" w:rsidRPr="004F2AC3">
        <w:rPr>
          <w:rFonts w:ascii="Garamond" w:hAnsi="Garamond" w:cs="Times New Roman"/>
          <w:i/>
          <w:color w:val="000000" w:themeColor="text1"/>
          <w:sz w:val="24"/>
          <w:szCs w:val="24"/>
        </w:rPr>
        <w:t xml:space="preserve">statistikore </w:t>
      </w:r>
      <w:r w:rsidRPr="004F2AC3">
        <w:rPr>
          <w:rFonts w:ascii="Garamond" w:hAnsi="Garamond" w:cs="Times New Roman"/>
          <w:i/>
          <w:color w:val="000000" w:themeColor="text1"/>
          <w:sz w:val="24"/>
          <w:szCs w:val="24"/>
        </w:rPr>
        <w:t xml:space="preserve">– </w:t>
      </w:r>
      <w:r w:rsidRPr="004F2AC3">
        <w:rPr>
          <w:rFonts w:ascii="Garamond" w:hAnsi="Garamond" w:cs="Times New Roman"/>
          <w:color w:val="000000" w:themeColor="text1"/>
          <w:sz w:val="24"/>
          <w:szCs w:val="24"/>
        </w:rPr>
        <w:t>INSTAT</w:t>
      </w:r>
      <w:r w:rsidR="006C2D4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gjatë vitit 2026, do të zbatojë aktivitetet që lidhen me sistemin e informacionit gjeografik bazuar dhe në PSZ-në 2022</w:t>
      </w:r>
      <w:r w:rsidR="006C2D42" w:rsidRPr="004F2AC3">
        <w:rPr>
          <w:rFonts w:ascii="Garamond" w:hAnsi="Garamond"/>
          <w:color w:val="000000" w:themeColor="text1"/>
          <w:szCs w:val="24"/>
        </w:rPr>
        <w:t>–</w:t>
      </w:r>
      <w:r w:rsidRPr="004F2AC3">
        <w:rPr>
          <w:rFonts w:ascii="Garamond" w:hAnsi="Garamond" w:cs="Times New Roman"/>
          <w:color w:val="000000" w:themeColor="text1"/>
          <w:sz w:val="24"/>
          <w:szCs w:val="24"/>
        </w:rPr>
        <w:t>2026, me fokus përditësimin e vazhdueshëm të të dhënave gjeohapësinore me informacionin e ardhur nga Censi i Popullsisë dhe Banesave 2023, burimet administrative, burimet alternative dhe/ose verifikime në terren. Baza e të dhënave gjeohapësinore do të shërbejë edhe për përmirësimin e kampionit të vrojtimeve të tjera statistikore të I</w:t>
      </w:r>
      <w:r w:rsidR="00706985" w:rsidRPr="004F2AC3">
        <w:rPr>
          <w:rFonts w:ascii="Garamond" w:hAnsi="Garamond" w:cs="Times New Roman"/>
          <w:color w:val="000000" w:themeColor="text1"/>
          <w:sz w:val="24"/>
          <w:szCs w:val="24"/>
        </w:rPr>
        <w:t>NSTAT-it.</w:t>
      </w:r>
    </w:p>
    <w:p w14:paraId="274A654A" w14:textId="55039B88" w:rsidR="000F566F" w:rsidRPr="004F2AC3" w:rsidRDefault="000F566F" w:rsidP="000F566F">
      <w:pPr>
        <w:shd w:val="clear" w:color="auto" w:fill="FFFFFF"/>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Si pjesë e aktiviteteve të gjeoinformacionit, do të punohet edhe në integrimin e të dhënave gjeohapësinore me të dhënat statistikore në funksion të përgatitjes së materialit hartografik për publikimet e veçanta të INSTAT-it me anë të komponentit gjeografik. Në kuadër të publikimit të të dhënave gjeohapësinore dhe statistikore do të synohet përditësimi dhe pasurimi i dy platformave të INSTAT-it, </w:t>
      </w:r>
      <w:r w:rsidR="00D32864"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Geodata Hub</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dhe </w:t>
      </w:r>
      <w:r w:rsidR="00D32864"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WebGIS</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me më shumë tregues rajonalë në nivele të ndryshme gjeografike, për të qenë sa më pranë nevojave të përdoruesve.</w:t>
      </w:r>
    </w:p>
    <w:p w14:paraId="6C1C7CB4" w14:textId="24152E7A" w:rsidR="000F566F" w:rsidRPr="004F2AC3" w:rsidRDefault="000F566F" w:rsidP="000F566F">
      <w:pPr>
        <w:shd w:val="clear" w:color="auto" w:fill="FFFFFF"/>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Lidhur me aktivitetin mbi ndërtimi</w:t>
      </w:r>
      <w:r w:rsidR="00706985"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w:t>
      </w:r>
      <w:r w:rsidR="00706985"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regjistrit statistikor të ndërtesave dhe banesave, gjatë vitit 2026 synohet të finalizohet plotësisht ngritja e aplikacionit </w:t>
      </w:r>
      <w:r w:rsidRPr="004F2AC3">
        <w:rPr>
          <w:rFonts w:ascii="Garamond" w:hAnsi="Garamond" w:cs="Times New Roman"/>
          <w:i/>
          <w:color w:val="000000" w:themeColor="text1"/>
          <w:sz w:val="24"/>
          <w:szCs w:val="24"/>
        </w:rPr>
        <w:t>web</w:t>
      </w:r>
      <w:r w:rsidRPr="004F2AC3">
        <w:rPr>
          <w:rFonts w:ascii="Garamond" w:hAnsi="Garamond" w:cs="Times New Roman"/>
          <w:color w:val="000000" w:themeColor="text1"/>
          <w:sz w:val="24"/>
          <w:szCs w:val="24"/>
        </w:rPr>
        <w:t xml:space="preserve"> të regjistrit, si dhe aplikacioni i mbledhjes së të dhënave në terren</w:t>
      </w:r>
      <w:r w:rsidR="00706985"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në kuadër të mirëmbajtjes së regjistrit. Gjatë vitit 2026, fokus do të jetë nisja e procesit të mirëmbajtjes së regjistrit me të dhënat e siguruara nga Drejtoria e Përgjithshme e Gjendjes Civile (Adresari), autoritete të tjera publike shqiptare, sipas variablave të përcaktuar në regjistër, si dhe verifikimi në terren i informacionit dhe përditësimi i bazës së të dhënave të regjistrit. Në funksion të përditësimit dhe mirëmbajtjes së regjistrit do të vendosen apo rishikohen marrëveshjet e bashkëpunimit me</w:t>
      </w:r>
      <w:r w:rsidR="00706985" w:rsidRPr="004F2AC3">
        <w:rPr>
          <w:rFonts w:ascii="Garamond" w:hAnsi="Garamond" w:cs="Times New Roman"/>
          <w:color w:val="000000" w:themeColor="text1"/>
          <w:sz w:val="24"/>
          <w:szCs w:val="24"/>
        </w:rPr>
        <w:t xml:space="preserve"> institucione të tjera publike.</w:t>
      </w:r>
    </w:p>
    <w:p w14:paraId="1BE907C5" w14:textId="73C680CB" w:rsidR="000F566F" w:rsidRPr="004F2AC3" w:rsidRDefault="000F566F" w:rsidP="000F566F">
      <w:pPr>
        <w:shd w:val="clear" w:color="auto" w:fill="FFFFFF"/>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Për</w:t>
      </w:r>
      <w:r w:rsidR="00C221AA"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sa i përket aktivitetit mbi klasifikimin statistikor të njësive territoriale, INSTAT</w:t>
      </w:r>
      <w:r w:rsidR="006C2D42"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transmeton listën e </w:t>
      </w:r>
      <w:r w:rsidR="00706985" w:rsidRPr="004F2AC3">
        <w:rPr>
          <w:rFonts w:ascii="Garamond" w:hAnsi="Garamond" w:cs="Times New Roman"/>
          <w:color w:val="000000" w:themeColor="text1"/>
          <w:sz w:val="24"/>
          <w:szCs w:val="24"/>
        </w:rPr>
        <w:t xml:space="preserve">njësive administrative lokale </w:t>
      </w:r>
      <w:r w:rsidRPr="004F2AC3">
        <w:rPr>
          <w:rFonts w:ascii="Garamond" w:hAnsi="Garamond" w:cs="Times New Roman"/>
          <w:color w:val="000000" w:themeColor="text1"/>
          <w:sz w:val="24"/>
          <w:szCs w:val="24"/>
        </w:rPr>
        <w:t>(LAU) sipas kërkesave të Eurostatit, me klasifikimet që disponon</w:t>
      </w:r>
      <w:r w:rsidR="00706985"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shkallën e urbanizimit (DEGURBA) dhe klasifikimin e zonave bregdetare (</w:t>
      </w:r>
      <w:r w:rsidRPr="004F2AC3">
        <w:rPr>
          <w:rFonts w:ascii="Garamond" w:hAnsi="Garamond" w:cs="Times New Roman"/>
          <w:i/>
          <w:color w:val="000000" w:themeColor="text1"/>
          <w:sz w:val="24"/>
          <w:szCs w:val="24"/>
        </w:rPr>
        <w:t>Costal Areas</w:t>
      </w:r>
      <w:r w:rsidRPr="004F2AC3">
        <w:rPr>
          <w:rFonts w:ascii="Garamond" w:hAnsi="Garamond" w:cs="Times New Roman"/>
          <w:color w:val="000000" w:themeColor="text1"/>
          <w:sz w:val="24"/>
          <w:szCs w:val="24"/>
        </w:rPr>
        <w:t xml:space="preserve">). INSTAT-i do të vijojë të transmetojë këtë listë edhe për vitin 2026. INSTAT-i ka planifikuar harmonizimin e klasifikimit të nomenklaturave statistikore NUTS në përputhje me </w:t>
      </w:r>
      <w:r w:rsidR="00706985" w:rsidRPr="004F2AC3">
        <w:rPr>
          <w:rFonts w:ascii="Garamond" w:hAnsi="Garamond" w:cs="Times New Roman"/>
          <w:color w:val="000000" w:themeColor="text1"/>
          <w:sz w:val="24"/>
          <w:szCs w:val="24"/>
        </w:rPr>
        <w:t xml:space="preserve">rregulloret </w:t>
      </w:r>
      <w:r w:rsidRPr="004F2AC3">
        <w:rPr>
          <w:rFonts w:ascii="Garamond" w:hAnsi="Garamond" w:cs="Times New Roman"/>
          <w:color w:val="000000" w:themeColor="text1"/>
          <w:sz w:val="24"/>
          <w:szCs w:val="24"/>
        </w:rPr>
        <w:t xml:space="preserve">e KE-së, si dhe implementimin e tipologjive territoriale (TERCET) në përputhje me </w:t>
      </w:r>
      <w:r w:rsidR="00706985" w:rsidRPr="004F2AC3">
        <w:rPr>
          <w:rFonts w:ascii="Garamond" w:hAnsi="Garamond" w:cs="Times New Roman"/>
          <w:color w:val="000000" w:themeColor="text1"/>
          <w:sz w:val="24"/>
          <w:szCs w:val="24"/>
        </w:rPr>
        <w:t xml:space="preserve">rregulloret </w:t>
      </w:r>
      <w:r w:rsidRPr="004F2AC3">
        <w:rPr>
          <w:rFonts w:ascii="Garamond" w:hAnsi="Garamond" w:cs="Times New Roman"/>
          <w:color w:val="000000" w:themeColor="text1"/>
          <w:sz w:val="24"/>
          <w:szCs w:val="24"/>
        </w:rPr>
        <w:t xml:space="preserve">e Komisionit </w:t>
      </w:r>
      <w:r w:rsidR="00C221AA" w:rsidRPr="004F2AC3">
        <w:rPr>
          <w:rFonts w:ascii="Garamond" w:hAnsi="Garamond" w:cs="Times New Roman"/>
          <w:color w:val="000000" w:themeColor="text1"/>
          <w:sz w:val="24"/>
          <w:szCs w:val="24"/>
        </w:rPr>
        <w:t>Evropian</w:t>
      </w:r>
      <w:r w:rsidRPr="004F2AC3">
        <w:rPr>
          <w:rFonts w:ascii="Garamond" w:hAnsi="Garamond" w:cs="Times New Roman"/>
          <w:color w:val="000000" w:themeColor="text1"/>
          <w:sz w:val="24"/>
          <w:szCs w:val="24"/>
        </w:rPr>
        <w:t xml:space="preserve">, si dhe paraqitjen hartografike të treguesve kryesorë të </w:t>
      </w:r>
      <w:r w:rsidR="00044BC3" w:rsidRPr="004F2AC3">
        <w:rPr>
          <w:rFonts w:ascii="Garamond" w:hAnsi="Garamond" w:cs="Times New Roman"/>
          <w:color w:val="000000" w:themeColor="text1"/>
          <w:sz w:val="24"/>
          <w:szCs w:val="24"/>
        </w:rPr>
        <w:t xml:space="preserve">Censit </w:t>
      </w:r>
      <w:r w:rsidRPr="004F2AC3">
        <w:rPr>
          <w:rFonts w:ascii="Garamond" w:hAnsi="Garamond" w:cs="Times New Roman"/>
          <w:color w:val="000000" w:themeColor="text1"/>
          <w:sz w:val="24"/>
          <w:szCs w:val="24"/>
        </w:rPr>
        <w:t>në nivel rrjeti qelizor (</w:t>
      </w:r>
      <w:r w:rsidRPr="004F2AC3">
        <w:rPr>
          <w:rFonts w:ascii="Garamond" w:hAnsi="Garamond" w:cs="Times New Roman"/>
          <w:i/>
          <w:color w:val="000000" w:themeColor="text1"/>
          <w:sz w:val="24"/>
          <w:szCs w:val="24"/>
        </w:rPr>
        <w:t>grid</w:t>
      </w:r>
      <w:r w:rsidRPr="004F2AC3">
        <w:rPr>
          <w:rFonts w:ascii="Garamond" w:hAnsi="Garamond" w:cs="Times New Roman"/>
          <w:color w:val="000000" w:themeColor="text1"/>
          <w:sz w:val="24"/>
          <w:szCs w:val="24"/>
        </w:rPr>
        <w:t>) prej 1km².</w:t>
      </w:r>
    </w:p>
    <w:p w14:paraId="55DBC624" w14:textId="28ECB54D" w:rsidR="000F566F" w:rsidRPr="004F2AC3" w:rsidRDefault="000F566F" w:rsidP="000F566F">
      <w:pPr>
        <w:shd w:val="clear" w:color="auto" w:fill="FFFFFF"/>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Në zbatim të </w:t>
      </w:r>
      <w:r w:rsidR="00044BC3" w:rsidRPr="004F2AC3">
        <w:rPr>
          <w:rFonts w:ascii="Garamond" w:hAnsi="Garamond" w:cs="Times New Roman"/>
          <w:color w:val="000000" w:themeColor="text1"/>
          <w:sz w:val="24"/>
          <w:szCs w:val="24"/>
        </w:rPr>
        <w:t xml:space="preserve">rregulloreve </w:t>
      </w:r>
      <w:r w:rsidRPr="004F2AC3">
        <w:rPr>
          <w:rFonts w:ascii="Garamond" w:hAnsi="Garamond" w:cs="Times New Roman"/>
          <w:color w:val="000000" w:themeColor="text1"/>
          <w:sz w:val="24"/>
          <w:szCs w:val="24"/>
        </w:rPr>
        <w:t xml:space="preserve">të Komisionit </w:t>
      </w:r>
      <w:r w:rsidR="00044BC3" w:rsidRPr="004F2AC3">
        <w:rPr>
          <w:rFonts w:ascii="Garamond" w:hAnsi="Garamond" w:cs="Times New Roman"/>
          <w:color w:val="000000" w:themeColor="text1"/>
          <w:sz w:val="24"/>
          <w:szCs w:val="24"/>
        </w:rPr>
        <w:t>Evropian</w:t>
      </w:r>
      <w:r w:rsidRPr="004F2AC3">
        <w:rPr>
          <w:rFonts w:ascii="Garamond" w:hAnsi="Garamond" w:cs="Times New Roman"/>
          <w:color w:val="000000" w:themeColor="text1"/>
          <w:sz w:val="24"/>
          <w:szCs w:val="24"/>
        </w:rPr>
        <w:t xml:space="preserve"> mbi klasifikimet e nomenklaturës territoriale me mbështetjen e programit shumëpërfitues IPA 2022 dhe bazuar në të dhënat e Censit të Popullsisë dhe Banesave 2023, INSTAT-i do të synojë</w:t>
      </w:r>
      <w:r w:rsidR="00044BC3"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në: a) përditësimin e klasifikimit të rajoneve NUTS; b) përditësimin e shkallës së urbanizimit </w:t>
      </w:r>
      <w:r w:rsidR="00D32864"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degree of urbanization</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(DEGURBA) e zbatuar në nivel LAU mbi bazën e popullsisë në nivel rrjeti qelizash (</w:t>
      </w:r>
      <w:r w:rsidRPr="004F2AC3">
        <w:rPr>
          <w:rFonts w:ascii="Garamond" w:hAnsi="Garamond" w:cs="Times New Roman"/>
          <w:i/>
          <w:color w:val="000000" w:themeColor="text1"/>
          <w:sz w:val="24"/>
          <w:szCs w:val="24"/>
        </w:rPr>
        <w:t>grid</w:t>
      </w:r>
      <w:r w:rsidRPr="004F2AC3">
        <w:rPr>
          <w:rFonts w:ascii="Garamond" w:hAnsi="Garamond" w:cs="Times New Roman"/>
          <w:color w:val="000000" w:themeColor="text1"/>
          <w:sz w:val="24"/>
          <w:szCs w:val="24"/>
        </w:rPr>
        <w:t>); c) përcaktimin e listës së qyteteve (</w:t>
      </w:r>
      <w:r w:rsidRPr="004F2AC3">
        <w:rPr>
          <w:rFonts w:ascii="Garamond" w:hAnsi="Garamond" w:cs="Times New Roman"/>
          <w:i/>
          <w:color w:val="000000" w:themeColor="text1"/>
          <w:sz w:val="24"/>
          <w:szCs w:val="24"/>
        </w:rPr>
        <w:t>Cities</w:t>
      </w:r>
      <w:r w:rsidRPr="004F2AC3">
        <w:rPr>
          <w:rFonts w:ascii="Garamond" w:hAnsi="Garamond" w:cs="Times New Roman"/>
          <w:color w:val="000000" w:themeColor="text1"/>
          <w:sz w:val="24"/>
          <w:szCs w:val="24"/>
        </w:rPr>
        <w:t xml:space="preserve">) mbi bazën e metodologjisë evropiane; d) përcaktimin e zonave urbane funksionale </w:t>
      </w:r>
      <w:r w:rsidR="00D32864" w:rsidRPr="004F2AC3">
        <w:rPr>
          <w:rFonts w:ascii="Garamond" w:hAnsi="Garamond" w:cs="Times New Roman"/>
          <w:color w:val="000000" w:themeColor="text1"/>
          <w:sz w:val="24"/>
          <w:szCs w:val="24"/>
        </w:rPr>
        <w:t>“</w:t>
      </w:r>
      <w:r w:rsidRPr="004F2AC3">
        <w:rPr>
          <w:rFonts w:ascii="Garamond" w:hAnsi="Garamond" w:cs="Times New Roman"/>
          <w:i/>
          <w:color w:val="000000" w:themeColor="text1"/>
          <w:sz w:val="24"/>
          <w:szCs w:val="24"/>
        </w:rPr>
        <w:t>Functional Urban Areas</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(FUAs) bazuar mbi bazën e popullsisë në nivel rrjeti qelizash (</w:t>
      </w:r>
      <w:r w:rsidRPr="004F2AC3">
        <w:rPr>
          <w:rFonts w:ascii="Garamond" w:hAnsi="Garamond" w:cs="Times New Roman"/>
          <w:i/>
          <w:color w:val="000000" w:themeColor="text1"/>
          <w:sz w:val="24"/>
          <w:szCs w:val="24"/>
        </w:rPr>
        <w:t>grid</w:t>
      </w:r>
      <w:r w:rsidRPr="004F2AC3">
        <w:rPr>
          <w:rFonts w:ascii="Garamond" w:hAnsi="Garamond" w:cs="Times New Roman"/>
          <w:color w:val="000000" w:themeColor="text1"/>
          <w:sz w:val="24"/>
          <w:szCs w:val="24"/>
        </w:rPr>
        <w:t>) dhe lëviz</w:t>
      </w:r>
      <w:r w:rsidR="00044BC3" w:rsidRPr="004F2AC3">
        <w:rPr>
          <w:rFonts w:ascii="Garamond" w:hAnsi="Garamond" w:cs="Times New Roman"/>
          <w:color w:val="000000" w:themeColor="text1"/>
          <w:sz w:val="24"/>
          <w:szCs w:val="24"/>
        </w:rPr>
        <w:t>jeve vajtje–ardhje për në punë.</w:t>
      </w:r>
    </w:p>
    <w:p w14:paraId="6B4D280B" w14:textId="43D89BC1" w:rsidR="000F566F" w:rsidRPr="004F2AC3" w:rsidRDefault="000F566F" w:rsidP="000F566F">
      <w:pPr>
        <w:shd w:val="clear" w:color="auto" w:fill="FFFFFF"/>
        <w:spacing w:after="0" w:line="240" w:lineRule="auto"/>
        <w:ind w:firstLine="284"/>
        <w:jc w:val="both"/>
        <w:rPr>
          <w:rFonts w:ascii="Garamond" w:hAnsi="Garamond" w:cs="Times New Roman"/>
          <w:i/>
          <w:color w:val="000000" w:themeColor="text1"/>
          <w:sz w:val="24"/>
          <w:szCs w:val="24"/>
        </w:rPr>
      </w:pPr>
      <w:r w:rsidRPr="004F2AC3">
        <w:rPr>
          <w:rFonts w:ascii="Garamond" w:hAnsi="Garamond" w:cs="Times New Roman"/>
          <w:i/>
          <w:color w:val="000000" w:themeColor="text1"/>
          <w:sz w:val="24"/>
          <w:szCs w:val="24"/>
        </w:rPr>
        <w:t xml:space="preserve">4.2.2 Harmonizimi i temave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Demografia</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dhe </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Njësitë </w:t>
      </w:r>
      <w:r w:rsidR="008115C9" w:rsidRPr="004F2AC3">
        <w:rPr>
          <w:rFonts w:ascii="Garamond" w:hAnsi="Garamond" w:cs="Times New Roman"/>
          <w:i/>
          <w:color w:val="000000" w:themeColor="text1"/>
          <w:sz w:val="24"/>
          <w:szCs w:val="24"/>
        </w:rPr>
        <w:t>statistikore</w:t>
      </w:r>
      <w:r w:rsidR="00D32864"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sipas direktivës INSPIRE </w:t>
      </w:r>
    </w:p>
    <w:p w14:paraId="0A062D74" w14:textId="46B26063" w:rsidR="000F566F" w:rsidRPr="004F2AC3" w:rsidRDefault="000F566F" w:rsidP="000F566F">
      <w:pPr>
        <w:shd w:val="clear" w:color="auto" w:fill="FFFFFF"/>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Në lidhje me Infrastrukturën Kombëtare të Informacionit Gjeohap</w:t>
      </w:r>
      <w:r w:rsidR="008115C9" w:rsidRPr="004F2AC3">
        <w:rPr>
          <w:rFonts w:ascii="Garamond" w:hAnsi="Garamond" w:cs="Times New Roman"/>
          <w:color w:val="000000" w:themeColor="text1"/>
          <w:sz w:val="24"/>
          <w:szCs w:val="24"/>
        </w:rPr>
        <w:t>ë</w:t>
      </w:r>
      <w:r w:rsidRPr="004F2AC3">
        <w:rPr>
          <w:rFonts w:ascii="Garamond" w:hAnsi="Garamond" w:cs="Times New Roman"/>
          <w:color w:val="000000" w:themeColor="text1"/>
          <w:sz w:val="24"/>
          <w:szCs w:val="24"/>
        </w:rPr>
        <w:t>sinor (NSDI Kombëtare), INSTAT-i do të fokusohet në transformimin dhe harmonizimin e të dhënave gjeografike për dy temat që është përgjegjës në kuadrin e NSDI</w:t>
      </w:r>
      <w:r w:rsidR="008115C9" w:rsidRPr="004F2AC3">
        <w:rPr>
          <w:rFonts w:ascii="Garamond" w:hAnsi="Garamond" w:cs="Times New Roman"/>
          <w:color w:val="000000" w:themeColor="text1"/>
          <w:sz w:val="24"/>
          <w:szCs w:val="24"/>
        </w:rPr>
        <w:t>-së</w:t>
      </w:r>
      <w:r w:rsidRPr="004F2AC3">
        <w:rPr>
          <w:rFonts w:ascii="Garamond" w:hAnsi="Garamond" w:cs="Times New Roman"/>
          <w:color w:val="000000" w:themeColor="text1"/>
          <w:sz w:val="24"/>
          <w:szCs w:val="24"/>
        </w:rPr>
        <w:t xml:space="preserve"> shqiptare (</w:t>
      </w:r>
      <w:r w:rsidR="008115C9" w:rsidRPr="004F2AC3">
        <w:rPr>
          <w:rFonts w:ascii="Garamond" w:hAnsi="Garamond" w:cs="Times New Roman"/>
          <w:color w:val="000000" w:themeColor="text1"/>
          <w:sz w:val="24"/>
          <w:szCs w:val="24"/>
        </w:rPr>
        <w:t>demografia dhe njësitë statistikore</w:t>
      </w:r>
      <w:r w:rsidRPr="004F2AC3">
        <w:rPr>
          <w:rFonts w:ascii="Garamond" w:hAnsi="Garamond" w:cs="Times New Roman"/>
          <w:color w:val="000000" w:themeColor="text1"/>
          <w:sz w:val="24"/>
          <w:szCs w:val="24"/>
        </w:rPr>
        <w:t>), sipas specifikimeve të direktivës INSPIRE. Me mbështetjen e Autoritetit Shtetëror për Informacionin Gjeohap</w:t>
      </w:r>
      <w:r w:rsidR="008115C9" w:rsidRPr="004F2AC3">
        <w:rPr>
          <w:rFonts w:ascii="Garamond" w:hAnsi="Garamond" w:cs="Times New Roman"/>
          <w:color w:val="000000" w:themeColor="text1"/>
          <w:sz w:val="24"/>
          <w:szCs w:val="24"/>
        </w:rPr>
        <w:t>ë</w:t>
      </w:r>
      <w:r w:rsidRPr="004F2AC3">
        <w:rPr>
          <w:rFonts w:ascii="Garamond" w:hAnsi="Garamond" w:cs="Times New Roman"/>
          <w:color w:val="000000" w:themeColor="text1"/>
          <w:sz w:val="24"/>
          <w:szCs w:val="24"/>
        </w:rPr>
        <w:t>sinor, INSTAT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parashikon harmonizimin e të dhënave gjeohapësinore me të dhënat e Censit të Popullsisë dhe Banesave 2023.</w:t>
      </w:r>
    </w:p>
    <w:p w14:paraId="2A0A6D92" w14:textId="77777777" w:rsidR="000F566F" w:rsidRPr="004F2AC3" w:rsidRDefault="000F566F" w:rsidP="000F566F">
      <w:pPr>
        <w:keepNext/>
        <w:keepLines/>
        <w:spacing w:after="0" w:line="240" w:lineRule="auto"/>
        <w:ind w:firstLine="284"/>
        <w:outlineLvl w:val="1"/>
        <w:rPr>
          <w:rFonts w:ascii="Garamond" w:eastAsia="Times New Roman" w:hAnsi="Garamond" w:cs="Times New Roman"/>
          <w:b/>
          <w:bCs/>
          <w:color w:val="000000" w:themeColor="text1"/>
          <w:sz w:val="24"/>
          <w:szCs w:val="24"/>
        </w:rPr>
      </w:pPr>
      <w:bookmarkStart w:id="48" w:name="_Toc215132191"/>
      <w:r w:rsidRPr="004F2AC3">
        <w:rPr>
          <w:rFonts w:ascii="Garamond" w:eastAsia="Times New Roman" w:hAnsi="Garamond" w:cs="Times New Roman"/>
          <w:b/>
          <w:bCs/>
          <w:color w:val="000000" w:themeColor="text1"/>
          <w:sz w:val="24"/>
          <w:szCs w:val="24"/>
        </w:rPr>
        <w:t>Botime përmbledhëse</w:t>
      </w:r>
      <w:bookmarkEnd w:id="48"/>
    </w:p>
    <w:p w14:paraId="6D1A36E1" w14:textId="78625141" w:rsidR="000F566F" w:rsidRPr="004F2AC3" w:rsidRDefault="000F566F" w:rsidP="000F566F">
      <w:pPr>
        <w:spacing w:after="0" w:line="240" w:lineRule="auto"/>
        <w:ind w:firstLine="284"/>
        <w:jc w:val="both"/>
        <w:rPr>
          <w:rFonts w:ascii="Garamond" w:hAnsi="Garamond" w:cs="Times New Roman"/>
          <w:color w:val="000000" w:themeColor="text1"/>
          <w:sz w:val="24"/>
          <w:szCs w:val="24"/>
        </w:rPr>
      </w:pPr>
      <w:r w:rsidRPr="004F2AC3">
        <w:rPr>
          <w:rFonts w:ascii="Garamond" w:eastAsia="Times New Roman" w:hAnsi="Garamond" w:cs="Times New Roman"/>
          <w:bCs/>
          <w:color w:val="000000" w:themeColor="text1"/>
          <w:sz w:val="24"/>
          <w:szCs w:val="24"/>
        </w:rPr>
        <w:t>Botime e INSTAT-it pasqyrojnë një gamë të gjerë të dhënash dhe analizash statistikore, duke ofruar një pamje gjithëpërfshirëse të zhvillimeve demografike, ekonomike, sociale e mjedisore në Shqipëri. Ato kanë fokus të veçantë, tregjet e punës, tregtinë e jashtme, transportin, kulturën dhe turizmin. Këto publikime u shërbejnë vendimmarrësve, kërkuesve shkencorë, akademikëve dhe publikut të gjerë për të kuptuar më mirë realitetin dhe dinamikën e vendit. Të përgatitura në përputhje me standardet ndërkombëtare, botimet e INSTAT-it janë një burim i domosdoshëm për ndjekjen e politikave dhe planifikimin strategjik, duke mbështe</w:t>
      </w:r>
      <w:r w:rsidR="008115C9" w:rsidRPr="004F2AC3">
        <w:rPr>
          <w:rFonts w:ascii="Garamond" w:eastAsia="Times New Roman" w:hAnsi="Garamond" w:cs="Times New Roman"/>
          <w:bCs/>
          <w:color w:val="000000" w:themeColor="text1"/>
          <w:sz w:val="24"/>
          <w:szCs w:val="24"/>
        </w:rPr>
        <w:t>tur vendimmarrjen e bazuar në</w:t>
      </w:r>
      <w:r w:rsidRPr="004F2AC3">
        <w:rPr>
          <w:rFonts w:ascii="Garamond" w:eastAsia="Times New Roman" w:hAnsi="Garamond" w:cs="Times New Roman"/>
          <w:bCs/>
          <w:color w:val="000000" w:themeColor="text1"/>
          <w:sz w:val="24"/>
          <w:szCs w:val="24"/>
        </w:rPr>
        <w:t xml:space="preserve"> shifra.</w:t>
      </w:r>
    </w:p>
    <w:p w14:paraId="21B84276" w14:textId="77777777" w:rsidR="000F566F" w:rsidRPr="004F2AC3" w:rsidRDefault="000F566F" w:rsidP="000F566F">
      <w:pPr>
        <w:keepNext/>
        <w:keepLines/>
        <w:shd w:val="clear" w:color="auto" w:fill="FFFFFF"/>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Vjetari Statistikor Rajonal</w:t>
      </w:r>
      <w:bookmarkEnd w:id="46"/>
    </w:p>
    <w:p w14:paraId="34DA71EC" w14:textId="233F6819"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Vjetari Statistikor Rajonal është një botim me frekuencë vjetore, i cili synon </w:t>
      </w:r>
      <w:r w:rsidR="00C221AA" w:rsidRPr="004F2AC3">
        <w:rPr>
          <w:rFonts w:ascii="Garamond" w:hAnsi="Garamond" w:cs="Times New Roman"/>
          <w:color w:val="000000" w:themeColor="text1"/>
          <w:sz w:val="24"/>
          <w:szCs w:val="24"/>
        </w:rPr>
        <w:t>t’i</w:t>
      </w:r>
      <w:r w:rsidRPr="004F2AC3">
        <w:rPr>
          <w:rFonts w:ascii="Garamond" w:hAnsi="Garamond" w:cs="Times New Roman"/>
          <w:color w:val="000000" w:themeColor="text1"/>
          <w:sz w:val="24"/>
          <w:szCs w:val="24"/>
        </w:rPr>
        <w:t xml:space="preserve"> japë përdoruesve një përmbledhje të treguesve dhe tendencave demografike, ekonomike, sociale dhe mjedisore më të rëndësishme dhe më të fundit në nivel rajonal, qarku</w:t>
      </w:r>
      <w:r w:rsidR="00C221AA" w:rsidRPr="004F2AC3">
        <w:rPr>
          <w:rFonts w:ascii="Garamond" w:hAnsi="Garamond" w:cs="Times New Roman"/>
          <w:color w:val="000000" w:themeColor="text1"/>
          <w:sz w:val="24"/>
          <w:szCs w:val="24"/>
        </w:rPr>
        <w:t xml:space="preserve"> d</w:t>
      </w:r>
      <w:r w:rsidRPr="004F2AC3">
        <w:rPr>
          <w:rFonts w:ascii="Garamond" w:hAnsi="Garamond" w:cs="Times New Roman"/>
          <w:color w:val="000000" w:themeColor="text1"/>
          <w:sz w:val="24"/>
          <w:szCs w:val="24"/>
        </w:rPr>
        <w:t>he, ku është i disponueshëm, edhe në nivel lokal (si p</w:t>
      </w:r>
      <w:r w:rsidR="00C221AA"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sh</w:t>
      </w:r>
      <w:r w:rsidR="00C221AA"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nivel bashkie). Prioriteti i Vjetarit është paraqitja e treguesve statistikorë (normat, raportet, mesataret, koeficientët, indekset etj.) dhe jo vlerat absolute. Kjo mundëson krahasimin ndërmjet njësive territoriale, pavarësisht nga madhësia dhe vendndodhja e tyre. Ky publikim respekton Nomenklaturën Evropiane të Njësive Territoriale për Statistikat (NUTS), ku dallon këto nivele: NUTS 1 (nivel vendi), NUTS 2 (rajonet statistikore bazë, në Shqipëri: Veri, Qendër, Jug), NUTS 3 (rajone të vogla statistikore, në Shqipëri: 12 </w:t>
      </w:r>
      <w:r w:rsidR="008115C9" w:rsidRPr="004F2AC3">
        <w:rPr>
          <w:rFonts w:ascii="Garamond" w:hAnsi="Garamond" w:cs="Times New Roman"/>
          <w:color w:val="000000" w:themeColor="text1"/>
          <w:sz w:val="24"/>
          <w:szCs w:val="24"/>
        </w:rPr>
        <w:t xml:space="preserve">prefekturat </w:t>
      </w:r>
      <w:r w:rsidRPr="004F2AC3">
        <w:rPr>
          <w:rFonts w:ascii="Garamond" w:hAnsi="Garamond" w:cs="Times New Roman"/>
          <w:color w:val="000000" w:themeColor="text1"/>
          <w:sz w:val="24"/>
          <w:szCs w:val="24"/>
        </w:rPr>
        <w:t xml:space="preserve">ose </w:t>
      </w:r>
      <w:r w:rsidR="008115C9" w:rsidRPr="004F2AC3">
        <w:rPr>
          <w:rFonts w:ascii="Garamond" w:hAnsi="Garamond" w:cs="Times New Roman"/>
          <w:color w:val="000000" w:themeColor="text1"/>
          <w:sz w:val="24"/>
          <w:szCs w:val="24"/>
        </w:rPr>
        <w:t>qarqet</w:t>
      </w:r>
      <w:r w:rsidRPr="004F2AC3">
        <w:rPr>
          <w:rFonts w:ascii="Garamond" w:hAnsi="Garamond" w:cs="Times New Roman"/>
          <w:color w:val="000000" w:themeColor="text1"/>
          <w:sz w:val="24"/>
          <w:szCs w:val="24"/>
        </w:rPr>
        <w:t>), LAU 1 (</w:t>
      </w:r>
      <w:r w:rsidR="008115C9" w:rsidRPr="004F2AC3">
        <w:rPr>
          <w:rFonts w:ascii="Garamond" w:hAnsi="Garamond" w:cs="Times New Roman"/>
          <w:color w:val="000000" w:themeColor="text1"/>
          <w:sz w:val="24"/>
          <w:szCs w:val="24"/>
        </w:rPr>
        <w:t xml:space="preserve">njësitë </w:t>
      </w:r>
      <w:r w:rsidRPr="004F2AC3">
        <w:rPr>
          <w:rFonts w:ascii="Garamond" w:hAnsi="Garamond" w:cs="Times New Roman"/>
          <w:color w:val="000000" w:themeColor="text1"/>
          <w:sz w:val="24"/>
          <w:szCs w:val="24"/>
        </w:rPr>
        <w:t xml:space="preserve">administrative vendore 1, në Shqipëri: 61 </w:t>
      </w:r>
      <w:r w:rsidR="008115C9" w:rsidRPr="004F2AC3">
        <w:rPr>
          <w:rFonts w:ascii="Garamond" w:hAnsi="Garamond" w:cs="Times New Roman"/>
          <w:color w:val="000000" w:themeColor="text1"/>
          <w:sz w:val="24"/>
          <w:szCs w:val="24"/>
        </w:rPr>
        <w:t>bashki</w:t>
      </w:r>
      <w:r w:rsidRPr="004F2AC3">
        <w:rPr>
          <w:rFonts w:ascii="Garamond" w:hAnsi="Garamond" w:cs="Times New Roman"/>
          <w:color w:val="000000" w:themeColor="text1"/>
          <w:sz w:val="24"/>
          <w:szCs w:val="24"/>
        </w:rPr>
        <w:t>).</w:t>
      </w:r>
    </w:p>
    <w:p w14:paraId="3B514865" w14:textId="0BAB6DCB" w:rsidR="000F566F" w:rsidRPr="004F2AC3" w:rsidRDefault="000F566F" w:rsidP="000F566F">
      <w:pPr>
        <w:keepNext/>
        <w:keepLines/>
        <w:shd w:val="clear" w:color="auto" w:fill="FFFFFF"/>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Regjistrat e </w:t>
      </w:r>
      <w:r w:rsidR="008115C9" w:rsidRPr="004F2AC3">
        <w:rPr>
          <w:rFonts w:ascii="Garamond" w:eastAsia="Times New Roman" w:hAnsi="Garamond" w:cs="Times New Roman"/>
          <w:b/>
          <w:color w:val="000000" w:themeColor="text1"/>
          <w:sz w:val="24"/>
          <w:szCs w:val="24"/>
        </w:rPr>
        <w:t>biznesit</w:t>
      </w:r>
    </w:p>
    <w:p w14:paraId="3853267B" w14:textId="244E4632"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Botimi i dedikuar mbi Regjistrat e Biznesit, i shërbe</w:t>
      </w:r>
      <w:r w:rsidR="00C221AA" w:rsidRPr="004F2AC3">
        <w:rPr>
          <w:rFonts w:ascii="Garamond" w:hAnsi="Garamond" w:cs="Times New Roman"/>
          <w:color w:val="000000" w:themeColor="text1"/>
          <w:sz w:val="24"/>
          <w:szCs w:val="24"/>
        </w:rPr>
        <w:t>j</w:t>
      </w:r>
      <w:r w:rsidRPr="004F2AC3">
        <w:rPr>
          <w:rFonts w:ascii="Garamond" w:hAnsi="Garamond" w:cs="Times New Roman"/>
          <w:color w:val="000000" w:themeColor="text1"/>
          <w:sz w:val="24"/>
          <w:szCs w:val="24"/>
        </w:rPr>
        <w:t>në gjithë komunitetit të biznesit, politikëbërësve dhe akademikëve për të analizuar situatën ekonomike në vend, për të ndërmarrë iniciativa dhe vendime të drejta për të përmirësuar klimën dhe zhvillimin e bizneseve.</w:t>
      </w:r>
    </w:p>
    <w:p w14:paraId="68F803B7" w14:textId="18121F21" w:rsidR="000F566F" w:rsidRPr="004F2AC3" w:rsidRDefault="000F566F" w:rsidP="000F566F">
      <w:pPr>
        <w:keepNext/>
        <w:keepLines/>
        <w:shd w:val="clear" w:color="auto" w:fill="FFFFFF"/>
        <w:spacing w:after="0" w:line="240" w:lineRule="auto"/>
        <w:ind w:firstLine="284"/>
        <w:outlineLvl w:val="4"/>
        <w:rPr>
          <w:rFonts w:ascii="Garamond" w:eastAsia="Times New Roman" w:hAnsi="Garamond" w:cs="Times New Roman"/>
          <w:b/>
          <w:bCs/>
          <w:color w:val="000000" w:themeColor="text1"/>
          <w:sz w:val="24"/>
          <w:szCs w:val="24"/>
        </w:rPr>
      </w:pPr>
      <w:r w:rsidRPr="004F2AC3">
        <w:rPr>
          <w:rFonts w:ascii="Garamond" w:eastAsia="Times New Roman" w:hAnsi="Garamond" w:cs="Times New Roman"/>
          <w:b/>
          <w:bCs/>
          <w:color w:val="000000" w:themeColor="text1"/>
          <w:sz w:val="24"/>
          <w:szCs w:val="24"/>
        </w:rPr>
        <w:t xml:space="preserve">Shqipëria në </w:t>
      </w:r>
      <w:r w:rsidR="008115C9" w:rsidRPr="004F2AC3">
        <w:rPr>
          <w:rFonts w:ascii="Garamond" w:eastAsia="Times New Roman" w:hAnsi="Garamond" w:cs="Times New Roman"/>
          <w:b/>
          <w:bCs/>
          <w:color w:val="000000" w:themeColor="text1"/>
          <w:sz w:val="24"/>
          <w:szCs w:val="24"/>
        </w:rPr>
        <w:t>shifra</w:t>
      </w:r>
    </w:p>
    <w:p w14:paraId="0DB364D1" w14:textId="719419F3"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Shqipëria në </w:t>
      </w:r>
      <w:r w:rsidR="008115C9" w:rsidRPr="004F2AC3">
        <w:rPr>
          <w:rFonts w:ascii="Garamond" w:hAnsi="Garamond" w:cs="Times New Roman"/>
          <w:color w:val="000000" w:themeColor="text1"/>
          <w:sz w:val="24"/>
          <w:szCs w:val="24"/>
        </w:rPr>
        <w:t xml:space="preserve">shifra </w:t>
      </w:r>
      <w:r w:rsidRPr="004F2AC3">
        <w:rPr>
          <w:rFonts w:ascii="Garamond" w:hAnsi="Garamond" w:cs="Times New Roman"/>
          <w:color w:val="000000" w:themeColor="text1"/>
          <w:sz w:val="24"/>
          <w:szCs w:val="24"/>
        </w:rPr>
        <w:t xml:space="preserve">paraqet në mënyrë sintetike të dhëna statistikore për zhvillimin ekonomik dhe shoqëror të Shqipërisë. Botimi përmban informacion mbi: </w:t>
      </w:r>
      <w:r w:rsidR="008115C9" w:rsidRPr="004F2AC3">
        <w:rPr>
          <w:rFonts w:ascii="Garamond" w:hAnsi="Garamond" w:cs="Times New Roman"/>
          <w:color w:val="000000" w:themeColor="text1"/>
          <w:sz w:val="24"/>
          <w:szCs w:val="24"/>
        </w:rPr>
        <w:t xml:space="preserve">demografinë, shëndetësinë, kushtet sociale, arsimin, kulturën, papunësinë, punësimin, çmimet, tregtinë e jashtme, transportin, turizmin, llogaritë kombëtare, regjistrin e ndërmarrjeve, inovacionin </w:t>
      </w:r>
      <w:r w:rsidRPr="004F2AC3">
        <w:rPr>
          <w:rFonts w:ascii="Garamond" w:hAnsi="Garamond" w:cs="Times New Roman"/>
          <w:color w:val="000000" w:themeColor="text1"/>
          <w:sz w:val="24"/>
          <w:szCs w:val="24"/>
        </w:rPr>
        <w:t>etj.</w:t>
      </w:r>
    </w:p>
    <w:p w14:paraId="362F5787" w14:textId="77777777" w:rsidR="000F566F" w:rsidRPr="004F2AC3" w:rsidRDefault="000F566F" w:rsidP="000F566F">
      <w:pPr>
        <w:keepNext/>
        <w:keepLines/>
        <w:shd w:val="clear" w:color="auto" w:fill="FFFFFF"/>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Burra dhe Gra në Shqipëri</w:t>
      </w:r>
    </w:p>
    <w:p w14:paraId="47FB727A" w14:textId="09F77228" w:rsidR="000F566F" w:rsidRPr="004F2AC3" w:rsidRDefault="000F566F" w:rsidP="002E5B82">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Botimi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Burra dhe Gra në Shqipëri</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i cili realizohet me periodicitet vjetor, paraqet të dhëna për fusha të ndryshme të jetës të ndara sipas gjinisë, si dhe matjen dhe monitorimin e jetës së grave dhe burrave në shoqëri. Kapitujt e përfshirë në këtë botim pasqyrojnë fusha të ndryshme të të dhënave me bazë gjinore, të cilat janë përpunuar dhe vendosur në kontekst nga stafi i INSTAT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duke i bërë ato më të lehta dhe të ku</w:t>
      </w:r>
      <w:r w:rsidR="002E5B82" w:rsidRPr="004F2AC3">
        <w:rPr>
          <w:rFonts w:ascii="Garamond" w:hAnsi="Garamond" w:cs="Times New Roman"/>
          <w:color w:val="000000" w:themeColor="text1"/>
          <w:sz w:val="24"/>
          <w:szCs w:val="24"/>
        </w:rPr>
        <w:t>ptueshme për publikun e gjerë.</w:t>
      </w:r>
    </w:p>
    <w:p w14:paraId="784F4AEF" w14:textId="77777777" w:rsidR="003C1B35" w:rsidRDefault="003C1B35" w:rsidP="000F566F">
      <w:pPr>
        <w:shd w:val="clear" w:color="auto" w:fill="FFFFFF"/>
        <w:tabs>
          <w:tab w:val="left" w:pos="0"/>
        </w:tabs>
        <w:spacing w:after="0" w:line="240" w:lineRule="auto"/>
        <w:ind w:firstLine="284"/>
        <w:jc w:val="both"/>
        <w:rPr>
          <w:rFonts w:ascii="Garamond" w:eastAsia="Times New Roman" w:hAnsi="Garamond" w:cs="Times New Roman"/>
          <w:b/>
          <w:color w:val="000000" w:themeColor="text1"/>
          <w:sz w:val="24"/>
          <w:szCs w:val="24"/>
        </w:rPr>
      </w:pPr>
    </w:p>
    <w:p w14:paraId="14FAB7AD" w14:textId="77777777" w:rsidR="003C1B35" w:rsidRDefault="003C1B35" w:rsidP="000F566F">
      <w:pPr>
        <w:shd w:val="clear" w:color="auto" w:fill="FFFFFF"/>
        <w:tabs>
          <w:tab w:val="left" w:pos="0"/>
        </w:tabs>
        <w:spacing w:after="0" w:line="240" w:lineRule="auto"/>
        <w:ind w:firstLine="284"/>
        <w:jc w:val="both"/>
        <w:rPr>
          <w:rFonts w:ascii="Garamond" w:eastAsia="Times New Roman" w:hAnsi="Garamond" w:cs="Times New Roman"/>
          <w:b/>
          <w:color w:val="000000" w:themeColor="text1"/>
          <w:sz w:val="24"/>
          <w:szCs w:val="24"/>
        </w:rPr>
      </w:pPr>
    </w:p>
    <w:p w14:paraId="14639D8C" w14:textId="65CAE6FD" w:rsidR="000F566F" w:rsidRPr="004F2AC3" w:rsidRDefault="000F566F" w:rsidP="000F566F">
      <w:pPr>
        <w:shd w:val="clear" w:color="auto" w:fill="FFFFFF"/>
        <w:tabs>
          <w:tab w:val="left" w:pos="0"/>
        </w:tabs>
        <w:spacing w:after="0" w:line="240" w:lineRule="auto"/>
        <w:ind w:firstLine="284"/>
        <w:jc w:val="both"/>
        <w:rPr>
          <w:rFonts w:ascii="Garamond" w:hAnsi="Garamond" w:cs="Times New Roman"/>
          <w:color w:val="000000" w:themeColor="text1"/>
          <w:sz w:val="24"/>
          <w:szCs w:val="24"/>
        </w:rPr>
      </w:pPr>
      <w:r w:rsidRPr="004F2AC3">
        <w:rPr>
          <w:rFonts w:ascii="Garamond" w:eastAsia="Times New Roman" w:hAnsi="Garamond" w:cs="Times New Roman"/>
          <w:b/>
          <w:color w:val="000000" w:themeColor="text1"/>
          <w:sz w:val="24"/>
          <w:szCs w:val="24"/>
        </w:rPr>
        <w:t xml:space="preserve">Tregtia e </w:t>
      </w:r>
      <w:r w:rsidR="002E5B82" w:rsidRPr="004F2AC3">
        <w:rPr>
          <w:rFonts w:ascii="Garamond" w:eastAsia="Times New Roman" w:hAnsi="Garamond" w:cs="Times New Roman"/>
          <w:b/>
          <w:color w:val="000000" w:themeColor="text1"/>
          <w:sz w:val="24"/>
          <w:szCs w:val="24"/>
        </w:rPr>
        <w:t xml:space="preserve">jashtme </w:t>
      </w:r>
      <w:r w:rsidRPr="004F2AC3">
        <w:rPr>
          <w:rFonts w:ascii="Garamond" w:eastAsia="Times New Roman" w:hAnsi="Garamond" w:cs="Times New Roman"/>
          <w:b/>
          <w:color w:val="000000" w:themeColor="text1"/>
          <w:sz w:val="24"/>
          <w:szCs w:val="24"/>
        </w:rPr>
        <w:t>e mallrave dhe ndërmarrjet</w:t>
      </w:r>
    </w:p>
    <w:p w14:paraId="4C9FB490" w14:textId="6A10BC2C" w:rsidR="000F566F" w:rsidRPr="004F2AC3" w:rsidRDefault="000F566F" w:rsidP="000F566F">
      <w:pPr>
        <w:shd w:val="clear" w:color="auto" w:fill="FFFFFF"/>
        <w:tabs>
          <w:tab w:val="left" w:pos="0"/>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Botimi pasqyron disa nga kërkesat themelore dhe nevojat e disa grupeve të përdoruesve për të dhënat mbi tregtinë e mallrave dhe ndikimin e tyre në ekonominë shqiptare. Ky botim i dedikuar paraqet me anë të shifrave realitetin ekonomik në vend, si dhe përgjigjet ndaj kërkesave në rritje për informacion statistikor të vendi</w:t>
      </w:r>
      <w:r w:rsidR="00C221AA" w:rsidRPr="004F2AC3">
        <w:rPr>
          <w:rFonts w:ascii="Garamond" w:hAnsi="Garamond" w:cs="Times New Roman"/>
          <w:color w:val="000000" w:themeColor="text1"/>
          <w:sz w:val="24"/>
          <w:szCs w:val="24"/>
        </w:rPr>
        <w:t>m</w:t>
      </w:r>
      <w:r w:rsidRPr="004F2AC3">
        <w:rPr>
          <w:rFonts w:ascii="Garamond" w:hAnsi="Garamond" w:cs="Times New Roman"/>
          <w:color w:val="000000" w:themeColor="text1"/>
          <w:sz w:val="24"/>
          <w:szCs w:val="24"/>
        </w:rPr>
        <w:t>marrësve, kërkuesve shkencorë dhe akademikëve në Shqipëri.</w:t>
      </w:r>
    </w:p>
    <w:p w14:paraId="7092AF71" w14:textId="77777777" w:rsidR="000F566F" w:rsidRPr="004F2AC3" w:rsidRDefault="000F566F" w:rsidP="000F566F">
      <w:pPr>
        <w:shd w:val="clear" w:color="auto" w:fill="FFFFFF"/>
        <w:tabs>
          <w:tab w:val="left" w:pos="0"/>
        </w:tabs>
        <w:spacing w:after="0" w:line="240" w:lineRule="auto"/>
        <w:ind w:firstLine="284"/>
        <w:jc w:val="both"/>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Ndërmarrjet e huaja dhe të përbashkëta</w:t>
      </w:r>
    </w:p>
    <w:p w14:paraId="466168C7" w14:textId="4FE615D7" w:rsidR="000F566F" w:rsidRPr="004F2AC3" w:rsidRDefault="000F566F" w:rsidP="000F566F">
      <w:pPr>
        <w:shd w:val="clear" w:color="auto" w:fill="FFFFFF"/>
        <w:tabs>
          <w:tab w:val="left" w:pos="0"/>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në lidhje me ndërmarrjet private të huaja dhe të përbashkëta (shqiptare dhe të huaja) synojnë të tregojnë strukturën, ma</w:t>
      </w:r>
      <w:r w:rsidR="00C221AA" w:rsidRPr="004F2AC3">
        <w:rPr>
          <w:rFonts w:ascii="Garamond" w:hAnsi="Garamond" w:cs="Times New Roman"/>
          <w:color w:val="000000" w:themeColor="text1"/>
          <w:sz w:val="24"/>
          <w:szCs w:val="24"/>
        </w:rPr>
        <w:t>t</w:t>
      </w:r>
      <w:r w:rsidRPr="004F2AC3">
        <w:rPr>
          <w:rFonts w:ascii="Garamond" w:hAnsi="Garamond" w:cs="Times New Roman"/>
          <w:color w:val="000000" w:themeColor="text1"/>
          <w:sz w:val="24"/>
          <w:szCs w:val="24"/>
        </w:rPr>
        <w:t>in treguesit ekonomikë, format e organizimit, brenda territorit të Republikës së Shqipërisë. INSTAT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nëpërmjet këtij publikimi plotëson disa prej kërkesave për informacion statistikor të vendim</w:t>
      </w:r>
      <w:r w:rsidR="00C221AA" w:rsidRPr="004F2AC3">
        <w:rPr>
          <w:rFonts w:ascii="Garamond" w:hAnsi="Garamond" w:cs="Times New Roman"/>
          <w:color w:val="000000" w:themeColor="text1"/>
          <w:sz w:val="24"/>
          <w:szCs w:val="24"/>
        </w:rPr>
        <w:t>m</w:t>
      </w:r>
      <w:r w:rsidRPr="004F2AC3">
        <w:rPr>
          <w:rFonts w:ascii="Garamond" w:hAnsi="Garamond" w:cs="Times New Roman"/>
          <w:color w:val="000000" w:themeColor="text1"/>
          <w:sz w:val="24"/>
          <w:szCs w:val="24"/>
        </w:rPr>
        <w:t>arrësve, kërkuesve shkencor, akademikëve, etj</w:t>
      </w:r>
      <w:r w:rsidR="00C221AA"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të cilat janë vazhdimisht në rritje.</w:t>
      </w:r>
    </w:p>
    <w:p w14:paraId="21FD7555" w14:textId="77777777" w:rsidR="000F566F" w:rsidRPr="004F2AC3" w:rsidRDefault="000F566F" w:rsidP="000F566F">
      <w:pPr>
        <w:keepNext/>
        <w:keepLines/>
        <w:shd w:val="clear" w:color="auto" w:fill="FFFFFF"/>
        <w:spacing w:after="0" w:line="240" w:lineRule="auto"/>
        <w:ind w:firstLine="284"/>
        <w:outlineLvl w:val="4"/>
        <w:rPr>
          <w:rFonts w:ascii="Garamond" w:eastAsia="Times New Roman" w:hAnsi="Garamond" w:cs="Times New Roman"/>
          <w:b/>
          <w:bCs/>
          <w:color w:val="000000" w:themeColor="text1"/>
          <w:sz w:val="24"/>
          <w:szCs w:val="24"/>
        </w:rPr>
      </w:pPr>
      <w:r w:rsidRPr="004F2AC3">
        <w:rPr>
          <w:rFonts w:ascii="Garamond" w:eastAsia="Times New Roman" w:hAnsi="Garamond" w:cs="Times New Roman"/>
          <w:b/>
          <w:bCs/>
          <w:color w:val="000000" w:themeColor="text1"/>
          <w:sz w:val="24"/>
          <w:szCs w:val="24"/>
        </w:rPr>
        <w:t>Tregu i Punës</w:t>
      </w:r>
    </w:p>
    <w:p w14:paraId="138B0BF5" w14:textId="607100C3"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Botimi mbi Tregun e Punës është një burim i rëndësishëm informacioni mbi situatën dhe tendencat e tregjeve kombëtare të punës. Ai ndihmon për të monitoruar politikat dhe strategjitë kryesore për punësimin dhe pagat, sipas gjinisë dhe strukturës gjinore dhe moshore, shkallës arsimore, aktivitetit ekonomik dhe profesioneve. Botimi vjetor i Tregut të Punës përmban një analizë të zgjeruar të publikimeve tremujore bazuar në burime administrative dhe </w:t>
      </w:r>
      <w:r w:rsidR="002E5B82" w:rsidRPr="004F2AC3">
        <w:rPr>
          <w:rFonts w:ascii="Garamond" w:hAnsi="Garamond" w:cs="Times New Roman"/>
          <w:color w:val="000000" w:themeColor="text1"/>
          <w:sz w:val="24"/>
          <w:szCs w:val="24"/>
        </w:rPr>
        <w:t>vrojtimin e forcave të punës</w:t>
      </w:r>
      <w:r w:rsidRPr="004F2AC3">
        <w:rPr>
          <w:rFonts w:ascii="Garamond" w:hAnsi="Garamond" w:cs="Times New Roman"/>
          <w:color w:val="000000" w:themeColor="text1"/>
          <w:sz w:val="24"/>
          <w:szCs w:val="24"/>
        </w:rPr>
        <w:t>.</w:t>
      </w:r>
    </w:p>
    <w:p w14:paraId="585673D2" w14:textId="4FD161C8" w:rsidR="000F566F" w:rsidRPr="004F2AC3" w:rsidRDefault="000F566F" w:rsidP="000F566F">
      <w:pPr>
        <w:keepNext/>
        <w:keepLines/>
        <w:shd w:val="clear" w:color="auto" w:fill="FFFFFF"/>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Turizmi në </w:t>
      </w:r>
      <w:r w:rsidR="002E5B82" w:rsidRPr="004F2AC3">
        <w:rPr>
          <w:rFonts w:ascii="Garamond" w:eastAsia="Times New Roman" w:hAnsi="Garamond" w:cs="Times New Roman"/>
          <w:b/>
          <w:color w:val="000000" w:themeColor="text1"/>
          <w:sz w:val="24"/>
          <w:szCs w:val="24"/>
        </w:rPr>
        <w:t>shifra</w:t>
      </w:r>
    </w:p>
    <w:p w14:paraId="07A61383" w14:textId="45740AA2"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Ky botim i dedikuar paraqet me anë të shifrave të dhëna përmbledhëse mbi sektorin e </w:t>
      </w:r>
      <w:r w:rsidR="002E5B82" w:rsidRPr="004F2AC3">
        <w:rPr>
          <w:rFonts w:ascii="Garamond" w:hAnsi="Garamond" w:cs="Times New Roman"/>
          <w:color w:val="000000" w:themeColor="text1"/>
          <w:sz w:val="24"/>
          <w:szCs w:val="24"/>
        </w:rPr>
        <w:t xml:space="preserve">turizmit </w:t>
      </w:r>
      <w:r w:rsidRPr="004F2AC3">
        <w:rPr>
          <w:rFonts w:ascii="Garamond" w:hAnsi="Garamond" w:cs="Times New Roman"/>
          <w:color w:val="000000" w:themeColor="text1"/>
          <w:sz w:val="24"/>
          <w:szCs w:val="24"/>
        </w:rPr>
        <w:t>për nevoja të hartuesve të politikave, vendim</w:t>
      </w:r>
      <w:r w:rsidR="00C221AA" w:rsidRPr="004F2AC3">
        <w:rPr>
          <w:rFonts w:ascii="Garamond" w:hAnsi="Garamond" w:cs="Times New Roman"/>
          <w:color w:val="000000" w:themeColor="text1"/>
          <w:sz w:val="24"/>
          <w:szCs w:val="24"/>
        </w:rPr>
        <w:t>m</w:t>
      </w:r>
      <w:r w:rsidRPr="004F2AC3">
        <w:rPr>
          <w:rFonts w:ascii="Garamond" w:hAnsi="Garamond" w:cs="Times New Roman"/>
          <w:color w:val="000000" w:themeColor="text1"/>
          <w:sz w:val="24"/>
          <w:szCs w:val="24"/>
        </w:rPr>
        <w:t xml:space="preserve">arrësve, kërkuesve shkencorë dhe akademikëve në Shqipëri. Përgatitja e këtij materiali është mundësuar nga burime administrative dhe dy vrojtime: Vrojtimi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Pushime dhe </w:t>
      </w:r>
      <w:r w:rsidR="002E5B82" w:rsidRPr="004F2AC3">
        <w:rPr>
          <w:rFonts w:ascii="Garamond" w:hAnsi="Garamond" w:cs="Times New Roman"/>
          <w:color w:val="000000" w:themeColor="text1"/>
          <w:sz w:val="24"/>
          <w:szCs w:val="24"/>
        </w:rPr>
        <w:t>udhëtime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dhe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Vrojtimi i </w:t>
      </w:r>
      <w:r w:rsidR="002E5B82" w:rsidRPr="004F2AC3">
        <w:rPr>
          <w:rFonts w:ascii="Garamond" w:hAnsi="Garamond" w:cs="Times New Roman"/>
          <w:color w:val="000000" w:themeColor="text1"/>
          <w:sz w:val="24"/>
          <w:szCs w:val="24"/>
        </w:rPr>
        <w:t>strukturave akomoduese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w:t>
      </w:r>
    </w:p>
    <w:p w14:paraId="0947425D" w14:textId="3AC75C79" w:rsidR="000F566F" w:rsidRPr="004F2AC3" w:rsidRDefault="000F566F" w:rsidP="000F566F">
      <w:pPr>
        <w:keepNext/>
        <w:keepLines/>
        <w:shd w:val="clear" w:color="auto" w:fill="FFFFFF"/>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Statistikat e </w:t>
      </w:r>
      <w:r w:rsidR="002E5B82" w:rsidRPr="004F2AC3">
        <w:rPr>
          <w:rFonts w:ascii="Garamond" w:eastAsia="Times New Roman" w:hAnsi="Garamond" w:cs="Times New Roman"/>
          <w:b/>
          <w:color w:val="000000" w:themeColor="text1"/>
          <w:sz w:val="24"/>
          <w:szCs w:val="24"/>
        </w:rPr>
        <w:t xml:space="preserve">kostos së punës </w:t>
      </w:r>
    </w:p>
    <w:p w14:paraId="0DC99EFD" w14:textId="00AC941A"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Publikimi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Statistikat e </w:t>
      </w:r>
      <w:r w:rsidR="002E5B82" w:rsidRPr="004F2AC3">
        <w:rPr>
          <w:rFonts w:ascii="Garamond" w:hAnsi="Garamond" w:cs="Times New Roman"/>
          <w:color w:val="000000" w:themeColor="text1"/>
          <w:sz w:val="24"/>
          <w:szCs w:val="24"/>
        </w:rPr>
        <w:t>kostos së punës</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siguron të dhëna cilësore, të hollësishme dhe të harmonizuara mbi kostot e punës së ndërmarrjeve për faktorin e prodhimit punë. Ky publikim përmban të dhëna mbi orët reale të punës, pagat dhe rrogat bruto në kesh dhe në natyrë, kontributet për sigurimet shoqërore që paguan punëdhënësi për punëmarrësin, kostot e trajnimit profesional, si dhe shpenzime të tjera</w:t>
      </w:r>
      <w:r w:rsidR="002E5B8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kostot e rekrutimit dhe shpenzimet për veshje, strehim apo taksat e punësimit, etj.</w:t>
      </w:r>
    </w:p>
    <w:p w14:paraId="0AE5020A" w14:textId="77777777" w:rsidR="000F566F" w:rsidRPr="004F2AC3" w:rsidRDefault="000F566F" w:rsidP="000F566F">
      <w:pPr>
        <w:keepNext/>
        <w:keepLines/>
        <w:shd w:val="clear" w:color="auto" w:fill="FFFFFF"/>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Statistika të Kulturës</w:t>
      </w:r>
    </w:p>
    <w:p w14:paraId="0E8C00F8" w14:textId="24C719AB"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INSTAT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publikon statistika mbi kulturën, duke u përqendruar në pjesëmarrjen kulturore dhe në dimensionin ekonomik të kulturës. Këto statistika lidhen me pjesëmarrjen dhe trashëgiminë kulturore, edukimin dhe punësimin në kulturë. Gjithashtu, botimi është pasuruar me seksione të veçanta që i dedikohen</w:t>
      </w:r>
      <w:r w:rsidR="00684E85" w:rsidRPr="004F2AC3">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përdorimit të internetit për qëllime kulturore dhe shpenzimeve publike në kulturë.</w:t>
      </w:r>
    </w:p>
    <w:p w14:paraId="2C0DDA93" w14:textId="77777777" w:rsidR="000F566F" w:rsidRPr="004F2AC3" w:rsidRDefault="000F566F" w:rsidP="000F566F">
      <w:pPr>
        <w:keepNext/>
        <w:keepLines/>
        <w:shd w:val="clear" w:color="auto" w:fill="FFFFFF"/>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Transporti në shifra</w:t>
      </w:r>
    </w:p>
    <w:p w14:paraId="2A8700E3" w14:textId="2EA91441"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Transporti është një sektor i rëndësishëm i ekonomisë dhe luan një rol jetik në shoqërinë e sotme të lëvizshme. Ky botim i dedikuar paraqet me anë të shifrave situatën reale në vend, si dhe përgjigjet ndaj kërkesave në rritje për informacion statistikor të vendim</w:t>
      </w:r>
      <w:r w:rsidR="00C221AA" w:rsidRPr="004F2AC3">
        <w:rPr>
          <w:rFonts w:ascii="Garamond" w:hAnsi="Garamond" w:cs="Times New Roman"/>
          <w:color w:val="000000" w:themeColor="text1"/>
          <w:sz w:val="24"/>
          <w:szCs w:val="24"/>
        </w:rPr>
        <w:t>m</w:t>
      </w:r>
      <w:r w:rsidRPr="004F2AC3">
        <w:rPr>
          <w:rFonts w:ascii="Garamond" w:hAnsi="Garamond" w:cs="Times New Roman"/>
          <w:color w:val="000000" w:themeColor="text1"/>
          <w:sz w:val="24"/>
          <w:szCs w:val="24"/>
        </w:rPr>
        <w:t>arrësve, kërkuesve shkencor dhe akademikëve në Shqipëri. Përgatitja e këtij botimi mundësohet nga burime administrative të treguesve statistikorë</w:t>
      </w:r>
      <w:r w:rsidR="002E5B8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lidhur me transportin hekurudhor, rrugor, detar dhe ajror</w:t>
      </w:r>
      <w:r w:rsidR="002E5B8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lidhur me sasinë e mallrave dhe numrin e pasagjerëve që lëvizin çdo vit, mjetet e përdorura dhe treguesit e sigurisë në transport.</w:t>
      </w:r>
    </w:p>
    <w:p w14:paraId="1839C2E2" w14:textId="77777777" w:rsidR="000F566F" w:rsidRPr="004F2AC3" w:rsidRDefault="000F566F" w:rsidP="000F566F">
      <w:pPr>
        <w:keepNext/>
        <w:keepLines/>
        <w:shd w:val="clear" w:color="auto" w:fill="FFFFFF"/>
        <w:spacing w:after="0" w:line="240" w:lineRule="auto"/>
        <w:ind w:firstLine="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Ndërmarrjet e huaja dhe të përbashkëta</w:t>
      </w:r>
    </w:p>
    <w:p w14:paraId="4DEA4A22" w14:textId="598BBB82" w:rsidR="000F566F" w:rsidRPr="004F2AC3" w:rsidRDefault="000F566F" w:rsidP="002E5B82">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Statistikat në lidhje me ndërmarrjet private të huaja dhe të përbashkëta (shqiptare dhe të huaja) synojnë të tregojnë strukturën, ma</w:t>
      </w:r>
      <w:r w:rsidR="003338A8" w:rsidRPr="004F2AC3">
        <w:rPr>
          <w:rFonts w:ascii="Garamond" w:hAnsi="Garamond" w:cs="Times New Roman"/>
          <w:color w:val="000000" w:themeColor="text1"/>
          <w:sz w:val="24"/>
          <w:szCs w:val="24"/>
        </w:rPr>
        <w:t>t</w:t>
      </w:r>
      <w:r w:rsidRPr="004F2AC3">
        <w:rPr>
          <w:rFonts w:ascii="Garamond" w:hAnsi="Garamond" w:cs="Times New Roman"/>
          <w:color w:val="000000" w:themeColor="text1"/>
          <w:sz w:val="24"/>
          <w:szCs w:val="24"/>
        </w:rPr>
        <w:t>in treguesit ekonomikë, format e organizimit, brenda territorit të Republikës së Shqipërisë. INSTAT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nëpërmjet këtij botimi, plotëson disa prej kërkesave për informacion statistikor të vendim</w:t>
      </w:r>
      <w:r w:rsidR="00C221AA" w:rsidRPr="004F2AC3">
        <w:rPr>
          <w:rFonts w:ascii="Garamond" w:hAnsi="Garamond" w:cs="Times New Roman"/>
          <w:color w:val="000000" w:themeColor="text1"/>
          <w:sz w:val="24"/>
          <w:szCs w:val="24"/>
        </w:rPr>
        <w:t>m</w:t>
      </w:r>
      <w:r w:rsidRPr="004F2AC3">
        <w:rPr>
          <w:rFonts w:ascii="Garamond" w:hAnsi="Garamond" w:cs="Times New Roman"/>
          <w:color w:val="000000" w:themeColor="text1"/>
          <w:sz w:val="24"/>
          <w:szCs w:val="24"/>
        </w:rPr>
        <w:t>arrësve, kërkuesve shkencor, akademikëve, etj</w:t>
      </w:r>
      <w:r w:rsidR="002E5B82"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të ci</w:t>
      </w:r>
      <w:r w:rsidR="002E5B82" w:rsidRPr="004F2AC3">
        <w:rPr>
          <w:rFonts w:ascii="Garamond" w:hAnsi="Garamond" w:cs="Times New Roman"/>
          <w:color w:val="000000" w:themeColor="text1"/>
          <w:sz w:val="24"/>
          <w:szCs w:val="24"/>
        </w:rPr>
        <w:t>lat janë vazhdimisht në rritje.</w:t>
      </w:r>
    </w:p>
    <w:p w14:paraId="6A13E20D" w14:textId="77777777" w:rsidR="007649A8" w:rsidRDefault="007649A8" w:rsidP="000F566F">
      <w:pPr>
        <w:shd w:val="clear" w:color="auto" w:fill="FFFFFF"/>
        <w:tabs>
          <w:tab w:val="left" w:pos="709"/>
        </w:tabs>
        <w:spacing w:after="0" w:line="240" w:lineRule="auto"/>
        <w:ind w:firstLine="284"/>
        <w:jc w:val="both"/>
        <w:rPr>
          <w:rFonts w:ascii="Garamond" w:hAnsi="Garamond" w:cs="Times New Roman"/>
          <w:b/>
          <w:color w:val="000000" w:themeColor="text1"/>
          <w:sz w:val="24"/>
          <w:szCs w:val="24"/>
        </w:rPr>
      </w:pPr>
    </w:p>
    <w:p w14:paraId="17D4006A" w14:textId="77777777" w:rsidR="007649A8" w:rsidRDefault="007649A8" w:rsidP="000F566F">
      <w:pPr>
        <w:shd w:val="clear" w:color="auto" w:fill="FFFFFF"/>
        <w:tabs>
          <w:tab w:val="left" w:pos="709"/>
        </w:tabs>
        <w:spacing w:after="0" w:line="240" w:lineRule="auto"/>
        <w:ind w:firstLine="284"/>
        <w:jc w:val="both"/>
        <w:rPr>
          <w:rFonts w:ascii="Garamond" w:hAnsi="Garamond" w:cs="Times New Roman"/>
          <w:b/>
          <w:color w:val="000000" w:themeColor="text1"/>
          <w:sz w:val="24"/>
          <w:szCs w:val="24"/>
        </w:rPr>
      </w:pPr>
    </w:p>
    <w:p w14:paraId="3B20A75E" w14:textId="77777777" w:rsidR="007649A8" w:rsidRDefault="007649A8" w:rsidP="000F566F">
      <w:pPr>
        <w:shd w:val="clear" w:color="auto" w:fill="FFFFFF"/>
        <w:tabs>
          <w:tab w:val="left" w:pos="709"/>
        </w:tabs>
        <w:spacing w:after="0" w:line="240" w:lineRule="auto"/>
        <w:ind w:firstLine="284"/>
        <w:jc w:val="both"/>
        <w:rPr>
          <w:rFonts w:ascii="Garamond" w:hAnsi="Garamond" w:cs="Times New Roman"/>
          <w:b/>
          <w:color w:val="000000" w:themeColor="text1"/>
          <w:sz w:val="24"/>
          <w:szCs w:val="24"/>
        </w:rPr>
      </w:pPr>
    </w:p>
    <w:p w14:paraId="6EC19836" w14:textId="77777777" w:rsidR="007649A8" w:rsidRDefault="007649A8" w:rsidP="000F566F">
      <w:pPr>
        <w:shd w:val="clear" w:color="auto" w:fill="FFFFFF"/>
        <w:tabs>
          <w:tab w:val="left" w:pos="709"/>
        </w:tabs>
        <w:spacing w:after="0" w:line="240" w:lineRule="auto"/>
        <w:ind w:firstLine="284"/>
        <w:jc w:val="both"/>
        <w:rPr>
          <w:rFonts w:ascii="Garamond" w:hAnsi="Garamond" w:cs="Times New Roman"/>
          <w:b/>
          <w:color w:val="000000" w:themeColor="text1"/>
          <w:sz w:val="24"/>
          <w:szCs w:val="24"/>
        </w:rPr>
      </w:pPr>
    </w:p>
    <w:p w14:paraId="13F9525F" w14:textId="77777777" w:rsidR="007649A8" w:rsidRDefault="007649A8" w:rsidP="000F566F">
      <w:pPr>
        <w:shd w:val="clear" w:color="auto" w:fill="FFFFFF"/>
        <w:tabs>
          <w:tab w:val="left" w:pos="709"/>
        </w:tabs>
        <w:spacing w:after="0" w:line="240" w:lineRule="auto"/>
        <w:ind w:firstLine="284"/>
        <w:jc w:val="both"/>
        <w:rPr>
          <w:rFonts w:ascii="Garamond" w:hAnsi="Garamond" w:cs="Times New Roman"/>
          <w:b/>
          <w:color w:val="000000" w:themeColor="text1"/>
          <w:sz w:val="24"/>
          <w:szCs w:val="24"/>
        </w:rPr>
      </w:pPr>
    </w:p>
    <w:p w14:paraId="5ED9B8A3" w14:textId="77777777" w:rsidR="007649A8" w:rsidRDefault="007649A8" w:rsidP="000F566F">
      <w:pPr>
        <w:shd w:val="clear" w:color="auto" w:fill="FFFFFF"/>
        <w:tabs>
          <w:tab w:val="left" w:pos="709"/>
        </w:tabs>
        <w:spacing w:after="0" w:line="240" w:lineRule="auto"/>
        <w:ind w:firstLine="284"/>
        <w:jc w:val="both"/>
        <w:rPr>
          <w:rFonts w:ascii="Garamond" w:hAnsi="Garamond" w:cs="Times New Roman"/>
          <w:b/>
          <w:color w:val="000000" w:themeColor="text1"/>
          <w:sz w:val="24"/>
          <w:szCs w:val="24"/>
        </w:rPr>
      </w:pPr>
    </w:p>
    <w:p w14:paraId="618D32E8" w14:textId="77777777" w:rsidR="007649A8" w:rsidRDefault="007649A8" w:rsidP="000F566F">
      <w:pPr>
        <w:shd w:val="clear" w:color="auto" w:fill="FFFFFF"/>
        <w:tabs>
          <w:tab w:val="left" w:pos="709"/>
        </w:tabs>
        <w:spacing w:after="0" w:line="240" w:lineRule="auto"/>
        <w:ind w:firstLine="284"/>
        <w:jc w:val="both"/>
        <w:rPr>
          <w:rFonts w:ascii="Garamond" w:hAnsi="Garamond" w:cs="Times New Roman"/>
          <w:b/>
          <w:color w:val="000000" w:themeColor="text1"/>
          <w:sz w:val="24"/>
          <w:szCs w:val="24"/>
        </w:rPr>
      </w:pPr>
    </w:p>
    <w:p w14:paraId="00E6EB7E" w14:textId="77777777" w:rsidR="007649A8" w:rsidRDefault="007649A8" w:rsidP="000F566F">
      <w:pPr>
        <w:shd w:val="clear" w:color="auto" w:fill="FFFFFF"/>
        <w:tabs>
          <w:tab w:val="left" w:pos="709"/>
        </w:tabs>
        <w:spacing w:after="0" w:line="240" w:lineRule="auto"/>
        <w:ind w:firstLine="284"/>
        <w:jc w:val="both"/>
        <w:rPr>
          <w:rFonts w:ascii="Garamond" w:hAnsi="Garamond" w:cs="Times New Roman"/>
          <w:b/>
          <w:color w:val="000000" w:themeColor="text1"/>
          <w:sz w:val="24"/>
          <w:szCs w:val="24"/>
        </w:rPr>
      </w:pPr>
    </w:p>
    <w:p w14:paraId="35E4E1E5" w14:textId="77777777" w:rsidR="007649A8" w:rsidRDefault="007649A8" w:rsidP="000F566F">
      <w:pPr>
        <w:shd w:val="clear" w:color="auto" w:fill="FFFFFF"/>
        <w:tabs>
          <w:tab w:val="left" w:pos="709"/>
        </w:tabs>
        <w:spacing w:after="0" w:line="240" w:lineRule="auto"/>
        <w:ind w:firstLine="284"/>
        <w:jc w:val="both"/>
        <w:rPr>
          <w:rFonts w:ascii="Garamond" w:hAnsi="Garamond" w:cs="Times New Roman"/>
          <w:b/>
          <w:color w:val="000000" w:themeColor="text1"/>
          <w:sz w:val="24"/>
          <w:szCs w:val="24"/>
        </w:rPr>
      </w:pPr>
    </w:p>
    <w:p w14:paraId="302AD8FD" w14:textId="2CA9FACE"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b/>
          <w:color w:val="000000" w:themeColor="text1"/>
          <w:sz w:val="24"/>
          <w:szCs w:val="24"/>
        </w:rPr>
        <w:t>Tabela nr. 20</w:t>
      </w:r>
      <w:r w:rsidR="00C221AA"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Lista e botimeve përmbledhëse për vitin 2026</w:t>
      </w:r>
    </w:p>
    <w:tbl>
      <w:tblPr>
        <w:tblStyle w:val="ListTable3-Accent11"/>
        <w:tblW w:w="0" w:type="auto"/>
        <w:tblLook w:val="04A0" w:firstRow="1" w:lastRow="0" w:firstColumn="1" w:lastColumn="0" w:noHBand="0" w:noVBand="1"/>
      </w:tblPr>
      <w:tblGrid>
        <w:gridCol w:w="6658"/>
        <w:gridCol w:w="2358"/>
      </w:tblGrid>
      <w:tr w:rsidR="000F566F" w:rsidRPr="004F2AC3" w14:paraId="4040B59C" w14:textId="77777777" w:rsidTr="00B66B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658" w:type="dxa"/>
          </w:tcPr>
          <w:p w14:paraId="76D32531" w14:textId="77777777" w:rsidR="000F566F" w:rsidRPr="004F2AC3" w:rsidRDefault="000F566F" w:rsidP="00CF4B3F">
            <w:pPr>
              <w:rPr>
                <w:rFonts w:ascii="Garamond" w:eastAsia="Calibri" w:hAnsi="Garamond" w:cs="Times New Roman"/>
                <w:color w:val="000000" w:themeColor="text1"/>
                <w:sz w:val="20"/>
                <w:szCs w:val="20"/>
                <w:lang w:val="sq-AL"/>
              </w:rPr>
            </w:pPr>
            <w:bookmarkStart w:id="49" w:name="_Hlk213090042"/>
            <w:r w:rsidRPr="004F2AC3">
              <w:rPr>
                <w:rFonts w:ascii="Garamond" w:eastAsia="Calibri" w:hAnsi="Garamond" w:cs="Times New Roman"/>
                <w:color w:val="000000" w:themeColor="text1"/>
                <w:sz w:val="20"/>
                <w:szCs w:val="20"/>
                <w:lang w:val="sq-AL"/>
              </w:rPr>
              <w:t>Titulli i botimit</w:t>
            </w:r>
          </w:p>
        </w:tc>
        <w:tc>
          <w:tcPr>
            <w:tcW w:w="2358" w:type="dxa"/>
          </w:tcPr>
          <w:p w14:paraId="1D46CD5A" w14:textId="77777777" w:rsidR="000F566F" w:rsidRPr="004F2AC3" w:rsidRDefault="000F566F" w:rsidP="00CF4B3F">
            <w:pPr>
              <w:jc w:val="right"/>
              <w:cnfStyle w:val="100000000000" w:firstRow="1" w:lastRow="0" w:firstColumn="0" w:lastColumn="0" w:oddVBand="0" w:evenVBand="0" w:oddHBand="0"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eastAsia="Calibri" w:hAnsi="Garamond" w:cs="Times New Roman"/>
                <w:color w:val="000000" w:themeColor="text1"/>
                <w:sz w:val="20"/>
                <w:szCs w:val="20"/>
                <w:lang w:val="sq-AL"/>
              </w:rPr>
              <w:t>Periudha e publikimit</w:t>
            </w:r>
          </w:p>
        </w:tc>
      </w:tr>
      <w:tr w:rsidR="000F566F" w:rsidRPr="004F2AC3" w14:paraId="3E5AEB1F"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0D83F931" w14:textId="77777777"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Analizat tematike mbi të dhënat e Censit 2023</w:t>
            </w:r>
          </w:p>
        </w:tc>
        <w:tc>
          <w:tcPr>
            <w:tcW w:w="2358" w:type="dxa"/>
          </w:tcPr>
          <w:p w14:paraId="1AFB8646"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000000" w:themeColor="text1"/>
                <w:sz w:val="20"/>
                <w:szCs w:val="20"/>
                <w:highlight w:val="yellow"/>
                <w:lang w:val="sq-AL"/>
              </w:rPr>
            </w:pPr>
          </w:p>
        </w:tc>
      </w:tr>
      <w:tr w:rsidR="000F566F" w:rsidRPr="004F2AC3" w14:paraId="3EE7E72F" w14:textId="77777777" w:rsidTr="00B66BF4">
        <w:tc>
          <w:tcPr>
            <w:cnfStyle w:val="001000000000" w:firstRow="0" w:lastRow="0" w:firstColumn="1" w:lastColumn="0" w:oddVBand="0" w:evenVBand="0" w:oddHBand="0" w:evenHBand="0" w:firstRowFirstColumn="0" w:firstRowLastColumn="0" w:lastRowFirstColumn="0" w:lastRowLastColumn="0"/>
            <w:tcW w:w="6658" w:type="dxa"/>
          </w:tcPr>
          <w:p w14:paraId="40FAC6E0" w14:textId="77777777"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Vjetari Statistikor Rajonal</w:t>
            </w:r>
          </w:p>
        </w:tc>
        <w:tc>
          <w:tcPr>
            <w:tcW w:w="2358" w:type="dxa"/>
          </w:tcPr>
          <w:p w14:paraId="6FAC4535"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Dhjetor 2026</w:t>
            </w:r>
          </w:p>
        </w:tc>
      </w:tr>
      <w:tr w:rsidR="000F566F" w:rsidRPr="004F2AC3" w14:paraId="12D40FF9"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619CC353" w14:textId="3D04A035"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 xml:space="preserve">Regjistrat e </w:t>
            </w:r>
            <w:r w:rsidR="002E5B82" w:rsidRPr="004F2AC3">
              <w:rPr>
                <w:rFonts w:ascii="Garamond" w:eastAsia="Calibri" w:hAnsi="Garamond" w:cs="Times New Roman"/>
                <w:b w:val="0"/>
                <w:color w:val="000000" w:themeColor="text1"/>
                <w:sz w:val="20"/>
                <w:szCs w:val="20"/>
                <w:lang w:val="sq-AL"/>
              </w:rPr>
              <w:t>biznesit</w:t>
            </w:r>
          </w:p>
        </w:tc>
        <w:tc>
          <w:tcPr>
            <w:tcW w:w="2358" w:type="dxa"/>
          </w:tcPr>
          <w:p w14:paraId="55FE2B68"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Qershor 2026</w:t>
            </w:r>
          </w:p>
        </w:tc>
      </w:tr>
      <w:tr w:rsidR="000F566F" w:rsidRPr="004F2AC3" w14:paraId="1C28606F" w14:textId="77777777" w:rsidTr="00B66BF4">
        <w:tc>
          <w:tcPr>
            <w:cnfStyle w:val="001000000000" w:firstRow="0" w:lastRow="0" w:firstColumn="1" w:lastColumn="0" w:oddVBand="0" w:evenVBand="0" w:oddHBand="0" w:evenHBand="0" w:firstRowFirstColumn="0" w:firstRowLastColumn="0" w:lastRowFirstColumn="0" w:lastRowLastColumn="0"/>
            <w:tcW w:w="6658" w:type="dxa"/>
          </w:tcPr>
          <w:p w14:paraId="6C75791A" w14:textId="2485F5D8"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 xml:space="preserve">Shqipëria në </w:t>
            </w:r>
            <w:r w:rsidR="00C221AA" w:rsidRPr="004F2AC3">
              <w:rPr>
                <w:rFonts w:ascii="Garamond" w:eastAsia="Calibri" w:hAnsi="Garamond" w:cs="Times New Roman"/>
                <w:b w:val="0"/>
                <w:color w:val="000000" w:themeColor="text1"/>
                <w:sz w:val="20"/>
                <w:szCs w:val="20"/>
                <w:lang w:val="sq-AL"/>
              </w:rPr>
              <w:t>s</w:t>
            </w:r>
            <w:r w:rsidRPr="004F2AC3">
              <w:rPr>
                <w:rFonts w:ascii="Garamond" w:eastAsia="Calibri" w:hAnsi="Garamond" w:cs="Times New Roman"/>
                <w:b w:val="0"/>
                <w:color w:val="000000" w:themeColor="text1"/>
                <w:sz w:val="20"/>
                <w:szCs w:val="20"/>
                <w:lang w:val="sq-AL"/>
              </w:rPr>
              <w:t>hifra</w:t>
            </w:r>
          </w:p>
        </w:tc>
        <w:tc>
          <w:tcPr>
            <w:tcW w:w="2358" w:type="dxa"/>
          </w:tcPr>
          <w:p w14:paraId="71B3DCBE"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eastAsia="Calibri" w:hAnsi="Garamond" w:cs="Times New Roman"/>
                <w:color w:val="000000" w:themeColor="text1"/>
                <w:sz w:val="20"/>
                <w:szCs w:val="20"/>
                <w:lang w:val="sq-AL"/>
              </w:rPr>
              <w:t>Qershor 2026</w:t>
            </w:r>
          </w:p>
        </w:tc>
      </w:tr>
      <w:tr w:rsidR="000F566F" w:rsidRPr="004F2AC3" w14:paraId="340CE2A6"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54083C18" w14:textId="77777777"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Burra dhe Gra në Shqipëri</w:t>
            </w:r>
          </w:p>
        </w:tc>
        <w:tc>
          <w:tcPr>
            <w:tcW w:w="2358" w:type="dxa"/>
          </w:tcPr>
          <w:p w14:paraId="5AF64048"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Korrik 2026</w:t>
            </w:r>
          </w:p>
        </w:tc>
      </w:tr>
      <w:tr w:rsidR="000F566F" w:rsidRPr="004F2AC3" w14:paraId="105C4402" w14:textId="77777777" w:rsidTr="00B66BF4">
        <w:tc>
          <w:tcPr>
            <w:cnfStyle w:val="001000000000" w:firstRow="0" w:lastRow="0" w:firstColumn="1" w:lastColumn="0" w:oddVBand="0" w:evenVBand="0" w:oddHBand="0" w:evenHBand="0" w:firstRowFirstColumn="0" w:firstRowLastColumn="0" w:lastRowFirstColumn="0" w:lastRowLastColumn="0"/>
            <w:tcW w:w="6658" w:type="dxa"/>
          </w:tcPr>
          <w:p w14:paraId="6D5FC1A2" w14:textId="696154A4"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 xml:space="preserve">Tregtia e </w:t>
            </w:r>
            <w:r w:rsidR="002E5B82" w:rsidRPr="004F2AC3">
              <w:rPr>
                <w:rFonts w:ascii="Garamond" w:eastAsia="Calibri" w:hAnsi="Garamond" w:cs="Times New Roman"/>
                <w:b w:val="0"/>
                <w:color w:val="000000" w:themeColor="text1"/>
                <w:sz w:val="20"/>
                <w:szCs w:val="20"/>
                <w:lang w:val="sq-AL"/>
              </w:rPr>
              <w:t xml:space="preserve">jashtme </w:t>
            </w:r>
            <w:r w:rsidRPr="004F2AC3">
              <w:rPr>
                <w:rFonts w:ascii="Garamond" w:eastAsia="Calibri" w:hAnsi="Garamond" w:cs="Times New Roman"/>
                <w:b w:val="0"/>
                <w:color w:val="000000" w:themeColor="text1"/>
                <w:sz w:val="20"/>
                <w:szCs w:val="20"/>
                <w:lang w:val="sq-AL"/>
              </w:rPr>
              <w:t>e mallrave dhe ndërmarrjet</w:t>
            </w:r>
          </w:p>
        </w:tc>
        <w:tc>
          <w:tcPr>
            <w:tcW w:w="2358" w:type="dxa"/>
          </w:tcPr>
          <w:p w14:paraId="0D94610F"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eastAsia="Calibri" w:hAnsi="Garamond" w:cs="Times New Roman"/>
                <w:color w:val="000000" w:themeColor="text1"/>
                <w:sz w:val="20"/>
                <w:szCs w:val="20"/>
                <w:lang w:val="sq-AL"/>
              </w:rPr>
              <w:t>Korrik 2026</w:t>
            </w:r>
          </w:p>
        </w:tc>
      </w:tr>
      <w:tr w:rsidR="000F566F" w:rsidRPr="004F2AC3" w14:paraId="3DA64992"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3EA9C61C" w14:textId="51BFA48B"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 xml:space="preserve">Ndërmarrjet e </w:t>
            </w:r>
            <w:r w:rsidR="002E5B82" w:rsidRPr="004F2AC3">
              <w:rPr>
                <w:rFonts w:ascii="Garamond" w:eastAsia="Calibri" w:hAnsi="Garamond" w:cs="Times New Roman"/>
                <w:b w:val="0"/>
                <w:color w:val="000000" w:themeColor="text1"/>
                <w:sz w:val="20"/>
                <w:szCs w:val="20"/>
                <w:lang w:val="sq-AL"/>
              </w:rPr>
              <w:t xml:space="preserve">huaja </w:t>
            </w:r>
            <w:r w:rsidRPr="004F2AC3">
              <w:rPr>
                <w:rFonts w:ascii="Garamond" w:eastAsia="Calibri" w:hAnsi="Garamond" w:cs="Times New Roman"/>
                <w:b w:val="0"/>
                <w:color w:val="000000" w:themeColor="text1"/>
                <w:sz w:val="20"/>
                <w:szCs w:val="20"/>
                <w:lang w:val="sq-AL"/>
              </w:rPr>
              <w:t xml:space="preserve">dhe të </w:t>
            </w:r>
            <w:r w:rsidR="002E5B82" w:rsidRPr="004F2AC3">
              <w:rPr>
                <w:rFonts w:ascii="Garamond" w:eastAsia="Calibri" w:hAnsi="Garamond" w:cs="Times New Roman"/>
                <w:b w:val="0"/>
                <w:color w:val="000000" w:themeColor="text1"/>
                <w:sz w:val="20"/>
                <w:szCs w:val="20"/>
                <w:lang w:val="sq-AL"/>
              </w:rPr>
              <w:t>përbashkëta</w:t>
            </w:r>
          </w:p>
        </w:tc>
        <w:tc>
          <w:tcPr>
            <w:tcW w:w="2358" w:type="dxa"/>
          </w:tcPr>
          <w:p w14:paraId="122201A8"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eastAsia="Calibri" w:hAnsi="Garamond" w:cs="Times New Roman"/>
                <w:color w:val="000000" w:themeColor="text1"/>
                <w:sz w:val="20"/>
                <w:szCs w:val="20"/>
                <w:lang w:val="sq-AL"/>
              </w:rPr>
              <w:t>Korrik 2026</w:t>
            </w:r>
          </w:p>
        </w:tc>
      </w:tr>
      <w:tr w:rsidR="000F566F" w:rsidRPr="004F2AC3" w14:paraId="479E6FC9" w14:textId="77777777" w:rsidTr="00B66BF4">
        <w:tc>
          <w:tcPr>
            <w:cnfStyle w:val="001000000000" w:firstRow="0" w:lastRow="0" w:firstColumn="1" w:lastColumn="0" w:oddVBand="0" w:evenVBand="0" w:oddHBand="0" w:evenHBand="0" w:firstRowFirstColumn="0" w:firstRowLastColumn="0" w:lastRowFirstColumn="0" w:lastRowLastColumn="0"/>
            <w:tcW w:w="6658" w:type="dxa"/>
          </w:tcPr>
          <w:p w14:paraId="2F614114" w14:textId="77777777"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Tregu i Punës</w:t>
            </w:r>
          </w:p>
        </w:tc>
        <w:tc>
          <w:tcPr>
            <w:tcW w:w="2358" w:type="dxa"/>
          </w:tcPr>
          <w:p w14:paraId="410A6A57"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Qershor 2026</w:t>
            </w:r>
          </w:p>
        </w:tc>
      </w:tr>
      <w:tr w:rsidR="000F566F" w:rsidRPr="004F2AC3" w14:paraId="379F82CF"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2433463E" w14:textId="164E9194"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 xml:space="preserve">Turizmi në </w:t>
            </w:r>
            <w:r w:rsidR="002E5B82" w:rsidRPr="004F2AC3">
              <w:rPr>
                <w:rFonts w:ascii="Garamond" w:eastAsia="Calibri" w:hAnsi="Garamond" w:cs="Times New Roman"/>
                <w:b w:val="0"/>
                <w:color w:val="000000" w:themeColor="text1"/>
                <w:sz w:val="20"/>
                <w:szCs w:val="20"/>
                <w:lang w:val="sq-AL"/>
              </w:rPr>
              <w:t>shifra</w:t>
            </w:r>
          </w:p>
        </w:tc>
        <w:tc>
          <w:tcPr>
            <w:tcW w:w="2358" w:type="dxa"/>
          </w:tcPr>
          <w:p w14:paraId="5E1A724B"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Dhjetor 2026</w:t>
            </w:r>
          </w:p>
        </w:tc>
      </w:tr>
      <w:tr w:rsidR="000F566F" w:rsidRPr="004F2AC3" w14:paraId="422125B2" w14:textId="77777777" w:rsidTr="00B66BF4">
        <w:tc>
          <w:tcPr>
            <w:cnfStyle w:val="001000000000" w:firstRow="0" w:lastRow="0" w:firstColumn="1" w:lastColumn="0" w:oddVBand="0" w:evenVBand="0" w:oddHBand="0" w:evenHBand="0" w:firstRowFirstColumn="0" w:firstRowLastColumn="0" w:lastRowFirstColumn="0" w:lastRowLastColumn="0"/>
            <w:tcW w:w="6658" w:type="dxa"/>
          </w:tcPr>
          <w:p w14:paraId="7D6A17B0" w14:textId="6C4043C7"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hAnsi="Garamond" w:cs="Times New Roman"/>
                <w:b w:val="0"/>
                <w:color w:val="000000" w:themeColor="text1"/>
                <w:sz w:val="20"/>
                <w:szCs w:val="20"/>
                <w:lang w:val="sq-AL"/>
              </w:rPr>
              <w:t xml:space="preserve">Anketa e </w:t>
            </w:r>
            <w:r w:rsidR="002E5B82" w:rsidRPr="004F2AC3">
              <w:rPr>
                <w:rFonts w:ascii="Garamond" w:hAnsi="Garamond" w:cs="Times New Roman"/>
                <w:b w:val="0"/>
                <w:color w:val="000000" w:themeColor="text1"/>
                <w:sz w:val="20"/>
                <w:szCs w:val="20"/>
                <w:lang w:val="sq-AL"/>
              </w:rPr>
              <w:t xml:space="preserve">kostos </w:t>
            </w:r>
            <w:r w:rsidRPr="004F2AC3">
              <w:rPr>
                <w:rFonts w:ascii="Garamond" w:hAnsi="Garamond" w:cs="Times New Roman"/>
                <w:b w:val="0"/>
                <w:color w:val="000000" w:themeColor="text1"/>
                <w:sz w:val="20"/>
                <w:szCs w:val="20"/>
                <w:lang w:val="sq-AL"/>
              </w:rPr>
              <w:t xml:space="preserve">së </w:t>
            </w:r>
            <w:r w:rsidR="002E5B82" w:rsidRPr="004F2AC3">
              <w:rPr>
                <w:rFonts w:ascii="Garamond" w:hAnsi="Garamond" w:cs="Times New Roman"/>
                <w:b w:val="0"/>
                <w:color w:val="000000" w:themeColor="text1"/>
                <w:sz w:val="20"/>
                <w:szCs w:val="20"/>
                <w:lang w:val="sq-AL"/>
              </w:rPr>
              <w:t>punës</w:t>
            </w:r>
          </w:p>
        </w:tc>
        <w:tc>
          <w:tcPr>
            <w:tcW w:w="2358" w:type="dxa"/>
          </w:tcPr>
          <w:p w14:paraId="6A1BA8A1"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Nëntor 2026</w:t>
            </w:r>
          </w:p>
        </w:tc>
      </w:tr>
      <w:tr w:rsidR="000F566F" w:rsidRPr="004F2AC3" w14:paraId="5A93C6F2"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0CAFE526" w14:textId="77777777" w:rsidR="000F566F" w:rsidRPr="004F2AC3" w:rsidRDefault="000F566F" w:rsidP="00CF4B3F">
            <w:pPr>
              <w:rPr>
                <w:rFonts w:ascii="Garamond" w:eastAsia="Calibri" w:hAnsi="Garamond" w:cs="Times New Roman"/>
                <w:b w:val="0"/>
                <w:color w:val="000000" w:themeColor="text1"/>
                <w:sz w:val="20"/>
                <w:szCs w:val="20"/>
                <w:highlight w:val="yellow"/>
                <w:lang w:val="sq-AL"/>
              </w:rPr>
            </w:pPr>
            <w:r w:rsidRPr="004F2AC3">
              <w:rPr>
                <w:rFonts w:ascii="Garamond" w:eastAsia="Calibri" w:hAnsi="Garamond" w:cs="Times New Roman"/>
                <w:b w:val="0"/>
                <w:color w:val="000000" w:themeColor="text1"/>
                <w:sz w:val="20"/>
                <w:szCs w:val="20"/>
                <w:lang w:val="sq-AL"/>
              </w:rPr>
              <w:t>Statistika të Kulturës</w:t>
            </w:r>
          </w:p>
        </w:tc>
        <w:tc>
          <w:tcPr>
            <w:tcW w:w="2358" w:type="dxa"/>
          </w:tcPr>
          <w:p w14:paraId="52F6A138"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eastAsia="Calibri" w:hAnsi="Garamond" w:cs="Times New Roman"/>
                <w:color w:val="000000" w:themeColor="text1"/>
                <w:sz w:val="20"/>
                <w:szCs w:val="20"/>
                <w:lang w:val="sq-AL"/>
              </w:rPr>
              <w:t>Qershor 2026</w:t>
            </w:r>
          </w:p>
        </w:tc>
      </w:tr>
      <w:tr w:rsidR="000F566F" w:rsidRPr="004F2AC3" w14:paraId="06D6CB82" w14:textId="77777777" w:rsidTr="00B66BF4">
        <w:tc>
          <w:tcPr>
            <w:cnfStyle w:val="001000000000" w:firstRow="0" w:lastRow="0" w:firstColumn="1" w:lastColumn="0" w:oddVBand="0" w:evenVBand="0" w:oddHBand="0" w:evenHBand="0" w:firstRowFirstColumn="0" w:firstRowLastColumn="0" w:lastRowFirstColumn="0" w:lastRowLastColumn="0"/>
            <w:tcW w:w="6658" w:type="dxa"/>
          </w:tcPr>
          <w:p w14:paraId="72441770" w14:textId="77777777"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Transporti në shifra</w:t>
            </w:r>
          </w:p>
        </w:tc>
        <w:tc>
          <w:tcPr>
            <w:tcW w:w="2358" w:type="dxa"/>
          </w:tcPr>
          <w:p w14:paraId="3944289C"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Tetor 2026</w:t>
            </w:r>
          </w:p>
        </w:tc>
      </w:tr>
      <w:tr w:rsidR="000F566F" w:rsidRPr="004F2AC3" w14:paraId="4213F891" w14:textId="77777777" w:rsidTr="00B66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7949DDBD" w14:textId="77777777"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Calibri" w:hAnsi="Garamond" w:cs="Times New Roman"/>
                <w:b w:val="0"/>
                <w:color w:val="000000" w:themeColor="text1"/>
                <w:sz w:val="20"/>
                <w:szCs w:val="20"/>
                <w:lang w:val="sq-AL"/>
              </w:rPr>
              <w:t xml:space="preserve">Ndërmarrjet e huaja </w:t>
            </w:r>
            <w:r w:rsidRPr="004F2AC3">
              <w:rPr>
                <w:rFonts w:ascii="Garamond" w:hAnsi="Garamond" w:cs="Times New Roman"/>
                <w:b w:val="0"/>
                <w:color w:val="000000" w:themeColor="text1"/>
                <w:sz w:val="20"/>
                <w:szCs w:val="20"/>
                <w:lang w:val="sq-AL"/>
              </w:rPr>
              <w:t>në Shqipëri</w:t>
            </w:r>
          </w:p>
        </w:tc>
        <w:tc>
          <w:tcPr>
            <w:tcW w:w="2358" w:type="dxa"/>
          </w:tcPr>
          <w:p w14:paraId="21CC9F9C" w14:textId="77777777" w:rsidR="000F566F" w:rsidRPr="004F2AC3" w:rsidRDefault="000F566F" w:rsidP="00CF4B3F">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Mars 2026</w:t>
            </w:r>
          </w:p>
        </w:tc>
      </w:tr>
      <w:tr w:rsidR="000F566F" w:rsidRPr="004F2AC3" w14:paraId="7BEBD9C6" w14:textId="77777777" w:rsidTr="00B66BF4">
        <w:tc>
          <w:tcPr>
            <w:cnfStyle w:val="001000000000" w:firstRow="0" w:lastRow="0" w:firstColumn="1" w:lastColumn="0" w:oddVBand="0" w:evenVBand="0" w:oddHBand="0" w:evenHBand="0" w:firstRowFirstColumn="0" w:firstRowLastColumn="0" w:lastRowFirstColumn="0" w:lastRowLastColumn="0"/>
            <w:tcW w:w="6658" w:type="dxa"/>
          </w:tcPr>
          <w:p w14:paraId="1333A4CD" w14:textId="54594FB5" w:rsidR="000F566F" w:rsidRPr="004F2AC3" w:rsidRDefault="000F566F" w:rsidP="00CF4B3F">
            <w:pPr>
              <w:rPr>
                <w:rFonts w:ascii="Garamond" w:eastAsia="Calibri" w:hAnsi="Garamond" w:cs="Times New Roman"/>
                <w:b w:val="0"/>
                <w:color w:val="000000" w:themeColor="text1"/>
                <w:sz w:val="20"/>
                <w:szCs w:val="20"/>
                <w:lang w:val="sq-AL"/>
              </w:rPr>
            </w:pPr>
            <w:r w:rsidRPr="004F2AC3">
              <w:rPr>
                <w:rFonts w:ascii="Garamond" w:eastAsia="Times New Roman" w:hAnsi="Garamond" w:cs="Times New Roman"/>
                <w:b w:val="0"/>
                <w:color w:val="000000" w:themeColor="text1"/>
                <w:sz w:val="20"/>
                <w:szCs w:val="20"/>
                <w:lang w:val="sq-AL"/>
              </w:rPr>
              <w:t>Aneksi statistikor për raportin vullnetar kombëtar</w:t>
            </w:r>
            <w:r w:rsidR="002E5B82" w:rsidRPr="004F2AC3">
              <w:rPr>
                <w:rFonts w:ascii="Garamond" w:eastAsia="Times New Roman" w:hAnsi="Garamond" w:cs="Times New Roman"/>
                <w:b w:val="0"/>
                <w:color w:val="000000" w:themeColor="text1"/>
                <w:sz w:val="20"/>
                <w:szCs w:val="20"/>
                <w:lang w:val="sq-AL"/>
              </w:rPr>
              <w:t xml:space="preserve"> –</w:t>
            </w:r>
            <w:r w:rsidRPr="004F2AC3">
              <w:rPr>
                <w:rFonts w:ascii="Garamond" w:eastAsia="Times New Roman" w:hAnsi="Garamond" w:cs="Times New Roman"/>
                <w:b w:val="0"/>
                <w:color w:val="000000" w:themeColor="text1"/>
                <w:sz w:val="20"/>
                <w:szCs w:val="20"/>
                <w:lang w:val="sq-AL"/>
              </w:rPr>
              <w:t xml:space="preserve"> SDG</w:t>
            </w:r>
          </w:p>
        </w:tc>
        <w:tc>
          <w:tcPr>
            <w:tcW w:w="2358" w:type="dxa"/>
          </w:tcPr>
          <w:p w14:paraId="3F4602F2" w14:textId="77777777" w:rsidR="000F566F" w:rsidRPr="004F2AC3" w:rsidRDefault="000F566F" w:rsidP="00CF4B3F">
            <w:pPr>
              <w:jc w:val="right"/>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lang w:val="sq-AL"/>
              </w:rPr>
            </w:pPr>
            <w:r w:rsidRPr="004F2AC3">
              <w:rPr>
                <w:rFonts w:ascii="Garamond" w:hAnsi="Garamond" w:cs="Times New Roman"/>
                <w:color w:val="000000" w:themeColor="text1"/>
                <w:sz w:val="20"/>
                <w:szCs w:val="20"/>
                <w:lang w:val="sq-AL"/>
              </w:rPr>
              <w:t>Janar 2026</w:t>
            </w:r>
          </w:p>
        </w:tc>
      </w:tr>
      <w:bookmarkEnd w:id="49"/>
    </w:tbl>
    <w:p w14:paraId="220E754C" w14:textId="77777777" w:rsidR="000F566F" w:rsidRPr="004F2AC3" w:rsidRDefault="000F566F" w:rsidP="000F566F">
      <w:pPr>
        <w:tabs>
          <w:tab w:val="left" w:pos="709"/>
        </w:tabs>
        <w:spacing w:after="0" w:line="240" w:lineRule="auto"/>
        <w:ind w:firstLine="284"/>
        <w:jc w:val="both"/>
        <w:rPr>
          <w:rFonts w:ascii="Garamond" w:hAnsi="Garamond" w:cs="Times New Roman"/>
          <w:color w:val="000000" w:themeColor="text1"/>
          <w:sz w:val="24"/>
          <w:szCs w:val="24"/>
        </w:rPr>
      </w:pPr>
    </w:p>
    <w:p w14:paraId="06074809" w14:textId="77777777" w:rsidR="00CF4B3F" w:rsidRPr="004F2AC3" w:rsidRDefault="000F566F" w:rsidP="00CF4B3F">
      <w:pPr>
        <w:keepNext/>
        <w:keepLines/>
        <w:shd w:val="clear" w:color="auto" w:fill="FFFFFF"/>
        <w:spacing w:after="0" w:line="240" w:lineRule="auto"/>
        <w:ind w:firstLine="284"/>
        <w:outlineLvl w:val="2"/>
        <w:rPr>
          <w:rFonts w:ascii="Garamond" w:eastAsia="Times New Roman" w:hAnsi="Garamond" w:cs="Times New Roman"/>
          <w:bCs/>
          <w:color w:val="000000" w:themeColor="text1"/>
          <w:sz w:val="24"/>
          <w:szCs w:val="24"/>
        </w:rPr>
      </w:pPr>
      <w:bookmarkStart w:id="50" w:name="_Toc215132192"/>
      <w:r w:rsidRPr="004F2AC3">
        <w:rPr>
          <w:rFonts w:ascii="Garamond" w:eastAsia="Times New Roman" w:hAnsi="Garamond" w:cs="Times New Roman"/>
          <w:bCs/>
          <w:color w:val="000000" w:themeColor="text1"/>
          <w:sz w:val="24"/>
          <w:szCs w:val="24"/>
        </w:rPr>
        <w:t>CENSET</w:t>
      </w:r>
      <w:bookmarkEnd w:id="50"/>
    </w:p>
    <w:p w14:paraId="418B3B1E" w14:textId="0020D13A" w:rsidR="000F566F" w:rsidRPr="004F2AC3" w:rsidRDefault="00CF4B3F" w:rsidP="00CF4B3F">
      <w:pPr>
        <w:keepNext/>
        <w:keepLines/>
        <w:shd w:val="clear" w:color="auto" w:fill="FFFFFF"/>
        <w:spacing w:after="0" w:line="240" w:lineRule="auto"/>
        <w:ind w:firstLine="284"/>
        <w:outlineLvl w:val="2"/>
        <w:rPr>
          <w:rFonts w:ascii="Garamond" w:eastAsia="Times New Roman" w:hAnsi="Garamond" w:cs="Times New Roman"/>
          <w:b/>
          <w:bCs/>
          <w:color w:val="000000" w:themeColor="text1"/>
          <w:sz w:val="24"/>
          <w:szCs w:val="24"/>
        </w:rPr>
      </w:pPr>
      <w:r w:rsidRPr="004F2AC3">
        <w:rPr>
          <w:rFonts w:ascii="Garamond" w:eastAsia="Times New Roman" w:hAnsi="Garamond" w:cs="Times New Roman"/>
          <w:b/>
          <w:color w:val="000000" w:themeColor="text1"/>
          <w:sz w:val="24"/>
          <w:szCs w:val="24"/>
        </w:rPr>
        <w:t xml:space="preserve">A. </w:t>
      </w:r>
      <w:r w:rsidR="000F566F" w:rsidRPr="004F2AC3">
        <w:rPr>
          <w:rFonts w:ascii="Garamond" w:eastAsia="Times New Roman" w:hAnsi="Garamond" w:cs="Times New Roman"/>
          <w:b/>
          <w:color w:val="000000" w:themeColor="text1"/>
          <w:sz w:val="24"/>
          <w:szCs w:val="24"/>
        </w:rPr>
        <w:t xml:space="preserve">Censi i Popullsisë dhe Banesave </w:t>
      </w:r>
    </w:p>
    <w:p w14:paraId="1567CD5C" w14:textId="0E6DE7D4" w:rsidR="000F566F" w:rsidRPr="004F2AC3" w:rsidRDefault="000F566F" w:rsidP="000F566F">
      <w:pPr>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Të dhënat e Censit të Popullsisë dhe Banesave luajnë një rol thelbësor në përditësimin e të dhënave statistikore të nevojshme në nivel </w:t>
      </w:r>
      <w:r w:rsidR="00C221AA" w:rsidRPr="004F2AC3">
        <w:rPr>
          <w:rFonts w:ascii="Garamond" w:hAnsi="Garamond" w:cs="Times New Roman"/>
          <w:color w:val="000000" w:themeColor="text1"/>
          <w:sz w:val="24"/>
          <w:szCs w:val="24"/>
        </w:rPr>
        <w:t>qendror</w:t>
      </w:r>
      <w:r w:rsidRPr="004F2AC3">
        <w:rPr>
          <w:rFonts w:ascii="Garamond" w:hAnsi="Garamond" w:cs="Times New Roman"/>
          <w:color w:val="000000" w:themeColor="text1"/>
          <w:sz w:val="24"/>
          <w:szCs w:val="24"/>
        </w:rPr>
        <w:t xml:space="preserve"> dhe vendor. Ato shërbejnë si pikë referimi për të kuptuar ndryshimet demografike, ekonomike dhe shoqërore të ndodhura ndërmjet dy </w:t>
      </w:r>
      <w:r w:rsidR="00BC374C" w:rsidRPr="004F2AC3">
        <w:rPr>
          <w:rFonts w:ascii="Garamond" w:hAnsi="Garamond" w:cs="Times New Roman"/>
          <w:color w:val="000000" w:themeColor="text1"/>
          <w:sz w:val="24"/>
          <w:szCs w:val="24"/>
        </w:rPr>
        <w:t>Censeve</w:t>
      </w:r>
      <w:r w:rsidRPr="004F2AC3">
        <w:rPr>
          <w:rFonts w:ascii="Garamond" w:hAnsi="Garamond" w:cs="Times New Roman"/>
          <w:color w:val="000000" w:themeColor="text1"/>
          <w:sz w:val="24"/>
          <w:szCs w:val="24"/>
        </w:rPr>
        <w:t>, duke mundësuar analiza më të detajuara sipas ndarjeve territoriale dhe karakteristikave të popullsisë e banesave. Këto të dhëna kanë rëndësi strategjike për hartimin e politikave publike, planifikimin territorial, dhe vlerësimin e programeve zhvillimore, si në nivel kombëtar ashtu edhe lokal.</w:t>
      </w:r>
    </w:p>
    <w:p w14:paraId="4A3E05A2" w14:textId="2E6451EF" w:rsidR="000F566F" w:rsidRPr="004F2AC3" w:rsidRDefault="000F566F" w:rsidP="000F566F">
      <w:pPr>
        <w:spacing w:after="0" w:line="240" w:lineRule="auto"/>
        <w:ind w:firstLine="284"/>
        <w:jc w:val="both"/>
        <w:rPr>
          <w:rFonts w:ascii="Garamond" w:hAnsi="Garamond" w:cs="Times New Roman"/>
          <w:color w:val="000000" w:themeColor="text1"/>
          <w:sz w:val="24"/>
          <w:szCs w:val="24"/>
          <w:lang w:eastAsia="ja-JP"/>
        </w:rPr>
      </w:pPr>
      <w:r w:rsidRPr="004F2AC3">
        <w:rPr>
          <w:rFonts w:ascii="Garamond" w:hAnsi="Garamond" w:cs="Times New Roman"/>
          <w:color w:val="000000" w:themeColor="text1"/>
          <w:sz w:val="24"/>
          <w:szCs w:val="24"/>
        </w:rPr>
        <w:t xml:space="preserve"> Një komponent tjetër shumë i rëndësishëm i Censit është edhe ai gjeohapësinor në të cilin të dhënat e Censit shërbyen për të përditësuar gjeodatabazën e INSTAT</w:t>
      </w:r>
      <w:r w:rsidR="00C221AA" w:rsidRPr="004F2AC3">
        <w:rPr>
          <w:rFonts w:ascii="Garamond" w:hAnsi="Garamond" w:cs="Times New Roman"/>
          <w:color w:val="000000" w:themeColor="text1"/>
          <w:sz w:val="24"/>
          <w:szCs w:val="24"/>
        </w:rPr>
        <w:t>-it</w:t>
      </w:r>
      <w:r w:rsidRPr="004F2AC3">
        <w:rPr>
          <w:rFonts w:ascii="Garamond" w:hAnsi="Garamond" w:cs="Times New Roman"/>
          <w:color w:val="000000" w:themeColor="text1"/>
          <w:sz w:val="24"/>
          <w:szCs w:val="24"/>
        </w:rPr>
        <w:t>, për të populluar Regjistrin Statistikor të Ndërtesave dhe Banesave, si dhe për ndërtimin e kornizës së re të kampionimit për vrojtimet e INSTAT-it.</w:t>
      </w:r>
      <w:r w:rsidRPr="004F2AC3">
        <w:rPr>
          <w:rFonts w:ascii="Garamond" w:hAnsi="Garamond" w:cs="Times New Roman"/>
          <w:color w:val="000000" w:themeColor="text1"/>
          <w:sz w:val="24"/>
          <w:szCs w:val="24"/>
          <w:lang w:eastAsia="ja-JP"/>
        </w:rPr>
        <w:t xml:space="preserve"> </w:t>
      </w:r>
    </w:p>
    <w:p w14:paraId="486AEF11" w14:textId="7AEB4ABD" w:rsidR="000F566F" w:rsidRPr="004F2AC3" w:rsidRDefault="000F566F" w:rsidP="000F566F">
      <w:pPr>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Të dhënat u publikuan në formë të agreguar, duke filluar nga zonat më të vogla gjeografike (njësi administrative) deri në nivel bashkiak dhe kombëtar, sipas kalendarit të publikimeve të Censit, si dhe përmes rrjetit të qelizave 1km</w:t>
      </w:r>
      <w:r w:rsidRPr="004F2AC3">
        <w:rPr>
          <w:rFonts w:ascii="Garamond" w:hAnsi="Garamond" w:cs="Times New Roman"/>
          <w:color w:val="000000" w:themeColor="text1"/>
          <w:sz w:val="24"/>
          <w:szCs w:val="24"/>
          <w:vertAlign w:val="superscript"/>
        </w:rPr>
        <w:t>2</w:t>
      </w:r>
      <w:r w:rsidRPr="004F2AC3">
        <w:rPr>
          <w:rFonts w:ascii="Garamond" w:hAnsi="Garamond" w:cs="Times New Roman"/>
          <w:color w:val="000000" w:themeColor="text1"/>
          <w:sz w:val="24"/>
          <w:szCs w:val="24"/>
        </w:rPr>
        <w:t xml:space="preserve">, për të lehtësuar zbatimin, monitorimin dhe vlerësimin e planeve dhe programeve të zhvillimit, përafrimin me metodologjitë evropiane, si dhe për qëllime </w:t>
      </w:r>
      <w:r w:rsidR="00BC374C" w:rsidRPr="004F2AC3">
        <w:rPr>
          <w:rFonts w:ascii="Garamond" w:hAnsi="Garamond" w:cs="Times New Roman"/>
          <w:color w:val="000000" w:themeColor="text1"/>
          <w:sz w:val="24"/>
          <w:szCs w:val="24"/>
        </w:rPr>
        <w:t>të tjera dhe kërkime shkencore.</w:t>
      </w:r>
    </w:p>
    <w:p w14:paraId="5AAA83AC" w14:textId="36364AF2" w:rsidR="000F566F" w:rsidRPr="004F2AC3" w:rsidRDefault="000F566F" w:rsidP="000F566F">
      <w:pPr>
        <w:tabs>
          <w:tab w:val="left" w:pos="709"/>
        </w:tabs>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color w:val="000000" w:themeColor="text1"/>
          <w:sz w:val="24"/>
          <w:szCs w:val="24"/>
        </w:rPr>
        <w:t xml:space="preserve"> </w:t>
      </w:r>
      <w:r w:rsidRPr="004F2AC3">
        <w:rPr>
          <w:rFonts w:ascii="Garamond" w:hAnsi="Garamond" w:cs="Times New Roman"/>
          <w:b/>
          <w:color w:val="000000" w:themeColor="text1"/>
          <w:sz w:val="24"/>
          <w:szCs w:val="24"/>
        </w:rPr>
        <w:t>Aktivitetet kryesore të Censit të Popullsisë dhe Banesave për vitin 2026</w:t>
      </w:r>
    </w:p>
    <w:p w14:paraId="0584654A" w14:textId="77777777" w:rsidR="000F566F" w:rsidRPr="004F2AC3" w:rsidRDefault="000F566F" w:rsidP="000F566F">
      <w:pPr>
        <w:shd w:val="clear" w:color="auto" w:fill="FFFFFF"/>
        <w:tabs>
          <w:tab w:val="left" w:pos="2355"/>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Në kalendarin e publikimeve është parashikuar që gjatë vitit 2026 të realizohen:</w:t>
      </w:r>
    </w:p>
    <w:p w14:paraId="432E8C25" w14:textId="0A197556" w:rsidR="000F566F" w:rsidRPr="004F2AC3" w:rsidRDefault="00B66BF4" w:rsidP="00B66BF4">
      <w:pPr>
        <w:pStyle w:val="TEKSTIIIII"/>
      </w:pPr>
      <w:r w:rsidRPr="004F2AC3">
        <w:t xml:space="preserve">- </w:t>
      </w:r>
      <w:r w:rsidR="000F566F" w:rsidRPr="004F2AC3">
        <w:t>Analizat të thelluara tematike mbi aspekte të ndryshme të zhvillimit demografik, ekonomik dhe shoqëror, përfshirë migracionin, strukturën familjare, tregun e punës, etj</w:t>
      </w:r>
      <w:r w:rsidR="00C221AA" w:rsidRPr="004F2AC3">
        <w:t>.</w:t>
      </w:r>
      <w:r w:rsidR="000F566F" w:rsidRPr="004F2AC3">
        <w:t xml:space="preserve">; Analiza krahasuese ndërmjet 2 </w:t>
      </w:r>
      <w:r w:rsidR="00BC374C" w:rsidRPr="004F2AC3">
        <w:t xml:space="preserve">Censeve </w:t>
      </w:r>
      <w:r w:rsidR="000F566F" w:rsidRPr="004F2AC3">
        <w:t>(2011 dhe 2023) për të vlerësuar ndryshimet strukturore në popullsi, banesa, duke identifikuar tendencat kryesore zhvillimore në nivel kombëtar</w:t>
      </w:r>
      <w:r w:rsidR="00BC374C" w:rsidRPr="004F2AC3">
        <w:t>;</w:t>
      </w:r>
    </w:p>
    <w:p w14:paraId="6BC32D1F" w14:textId="31F8681D" w:rsidR="000F566F" w:rsidRPr="004F2AC3" w:rsidRDefault="00B66BF4" w:rsidP="00B66BF4">
      <w:pPr>
        <w:pStyle w:val="TEKSTIIIII"/>
      </w:pPr>
      <w:r w:rsidRPr="004F2AC3">
        <w:t xml:space="preserve">- </w:t>
      </w:r>
      <w:r w:rsidR="000F566F" w:rsidRPr="004F2AC3">
        <w:t>Vënia në dispozicion e të dhënave mikro në dispozicion për përdoruesit e jashtëm (studiues), në përputhje me standardet e konfidencialitetit, për të nxitur kërkimin shkencor dhe përdorimin e statistikave zyrtare.</w:t>
      </w:r>
    </w:p>
    <w:p w14:paraId="560FB1E4" w14:textId="046D6ADF" w:rsidR="000F566F" w:rsidRPr="004F2AC3" w:rsidRDefault="009E4AB2" w:rsidP="009E4AB2">
      <w:pPr>
        <w:keepNext/>
        <w:keepLines/>
        <w:shd w:val="clear" w:color="auto" w:fill="FFFFFF"/>
        <w:spacing w:after="0" w:line="240" w:lineRule="auto"/>
        <w:ind w:left="284"/>
        <w:outlineLvl w:val="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B. </w:t>
      </w:r>
      <w:r w:rsidR="000F566F" w:rsidRPr="004F2AC3">
        <w:rPr>
          <w:rFonts w:ascii="Garamond" w:eastAsia="Times New Roman" w:hAnsi="Garamond" w:cs="Times New Roman"/>
          <w:b/>
          <w:color w:val="000000" w:themeColor="text1"/>
          <w:sz w:val="24"/>
          <w:szCs w:val="24"/>
        </w:rPr>
        <w:t>Censi i Bujqësisë</w:t>
      </w:r>
    </w:p>
    <w:p w14:paraId="2E44AE1C" w14:textId="301E0F88" w:rsidR="000F566F" w:rsidRPr="004F2AC3" w:rsidRDefault="000F566F" w:rsidP="000F566F">
      <w:pPr>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INSTAT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ka vijuar punën përgatitore për Censin e Bujqësisë, duke zhvilluar dokumentet strategjike, të cilat përfshijnë planin e veprimit dhe buxhetin e nevojshëm për realizimin e tij. Miratimi zyrtar i Strategjisë së Censit të Bujqësisë do të kryhet pas miratimit të </w:t>
      </w:r>
      <w:r w:rsidR="00B606A7" w:rsidRPr="004F2AC3">
        <w:rPr>
          <w:rFonts w:ascii="Garamond" w:hAnsi="Garamond" w:cs="Times New Roman"/>
          <w:color w:val="000000" w:themeColor="text1"/>
          <w:sz w:val="24"/>
          <w:szCs w:val="24"/>
        </w:rPr>
        <w:t xml:space="preserve">projektligjit </w:t>
      </w:r>
      <w:r w:rsidRPr="004F2AC3">
        <w:rPr>
          <w:rFonts w:ascii="Garamond" w:hAnsi="Garamond" w:cs="Times New Roman"/>
          <w:color w:val="000000" w:themeColor="text1"/>
          <w:sz w:val="24"/>
          <w:szCs w:val="24"/>
        </w:rPr>
        <w:t xml:space="preserve">për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Censin e Bujqësisë</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Projektligji është përgatitur nga INSTAT-i në bashkëpunim me ekspertë vendas dhe ndërkombëtarë, dhe tashmë është dërguar për miratim. Deri në miratimin përfundimtar nga Kuvendi, institucioni përgjegjës për ndjekje dhe koordinimin e procesit është Ministria e Bujqësisë dhe Zhvillimit Rural. Miratimi i projektligjit parashikohet të realizohet brenda vitit 2025. Projektligji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Censin e Bujqësisë</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është pjesë e PKIE 2025, nën </w:t>
      </w:r>
      <w:r w:rsidR="00B606A7" w:rsidRPr="004F2AC3">
        <w:rPr>
          <w:rFonts w:ascii="Garamond" w:hAnsi="Garamond" w:cs="Times New Roman"/>
          <w:color w:val="000000" w:themeColor="text1"/>
          <w:sz w:val="24"/>
          <w:szCs w:val="24"/>
        </w:rPr>
        <w:t xml:space="preserve">kapitullin </w:t>
      </w:r>
      <w:r w:rsidRPr="004F2AC3">
        <w:rPr>
          <w:rFonts w:ascii="Garamond" w:hAnsi="Garamond" w:cs="Times New Roman"/>
          <w:color w:val="000000" w:themeColor="text1"/>
          <w:sz w:val="24"/>
          <w:szCs w:val="24"/>
        </w:rPr>
        <w:t xml:space="preserve">18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Statistikat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w:t>
      </w:r>
    </w:p>
    <w:p w14:paraId="2469C5DF" w14:textId="71D24B31" w:rsidR="000F566F" w:rsidRPr="004F2AC3" w:rsidRDefault="000F566F" w:rsidP="00C221AA">
      <w:pPr>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Censi i Bujqësisë</w:t>
      </w:r>
      <w:r w:rsidRPr="004F2AC3" w:rsidDel="00BB33CF">
        <w:rPr>
          <w:rFonts w:ascii="Garamond" w:hAnsi="Garamond" w:cs="Times New Roman"/>
          <w:color w:val="000000" w:themeColor="text1"/>
          <w:sz w:val="24"/>
          <w:szCs w:val="24"/>
        </w:rPr>
        <w:t xml:space="preserve"> </w:t>
      </w:r>
      <w:r w:rsidRPr="004F2AC3">
        <w:rPr>
          <w:rFonts w:ascii="Garamond" w:hAnsi="Garamond" w:cs="Times New Roman"/>
          <w:color w:val="000000" w:themeColor="text1"/>
          <w:sz w:val="24"/>
          <w:szCs w:val="24"/>
        </w:rPr>
        <w:t xml:space="preserve">do </w:t>
      </w:r>
      <w:r w:rsidR="00C221AA" w:rsidRPr="004F2AC3">
        <w:rPr>
          <w:rFonts w:ascii="Garamond" w:hAnsi="Garamond" w:cs="Times New Roman"/>
          <w:color w:val="000000" w:themeColor="text1"/>
          <w:sz w:val="24"/>
          <w:szCs w:val="24"/>
        </w:rPr>
        <w:t>t’i</w:t>
      </w:r>
      <w:r w:rsidRPr="004F2AC3">
        <w:rPr>
          <w:rFonts w:ascii="Garamond" w:hAnsi="Garamond" w:cs="Times New Roman"/>
          <w:color w:val="000000" w:themeColor="text1"/>
          <w:sz w:val="24"/>
          <w:szCs w:val="24"/>
        </w:rPr>
        <w:t xml:space="preserve"> përmbahet zbatimit të Rregullores (BE) </w:t>
      </w:r>
      <w:r w:rsidR="00C221AA"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r. 2018/1091</w:t>
      </w:r>
      <w:r w:rsidR="00B606A7"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Parlamentit Evropian dhe Këshillit të Evropës, datë 18 </w:t>
      </w:r>
      <w:r w:rsidR="00C221AA" w:rsidRPr="004F2AC3">
        <w:rPr>
          <w:rFonts w:ascii="Garamond" w:hAnsi="Garamond" w:cs="Times New Roman"/>
          <w:color w:val="000000" w:themeColor="text1"/>
          <w:sz w:val="24"/>
          <w:szCs w:val="24"/>
        </w:rPr>
        <w:t xml:space="preserve">korrik </w:t>
      </w:r>
      <w:r w:rsidRPr="004F2AC3">
        <w:rPr>
          <w:rFonts w:ascii="Garamond" w:hAnsi="Garamond" w:cs="Times New Roman"/>
          <w:color w:val="000000" w:themeColor="text1"/>
          <w:sz w:val="24"/>
          <w:szCs w:val="24"/>
        </w:rPr>
        <w:t xml:space="preserve">2018, mbi Statistikat e Integruara të Fermave, si dhe Rregullores Zbatuese të Komisionit (BE) </w:t>
      </w:r>
      <w:r w:rsidR="00C221AA" w:rsidRPr="004F2AC3">
        <w:rPr>
          <w:rFonts w:ascii="Garamond" w:hAnsi="Garamond" w:cs="Times New Roman"/>
          <w:color w:val="000000" w:themeColor="text1"/>
          <w:sz w:val="24"/>
          <w:szCs w:val="24"/>
        </w:rPr>
        <w:t>2024/2914, datë 26 nëntor 2024.</w:t>
      </w:r>
    </w:p>
    <w:p w14:paraId="08D8C884" w14:textId="77777777" w:rsidR="000F566F" w:rsidRPr="004F2AC3" w:rsidRDefault="000F566F" w:rsidP="000F566F">
      <w:pPr>
        <w:spacing w:after="0" w:line="240" w:lineRule="auto"/>
        <w:ind w:firstLine="284"/>
        <w:jc w:val="both"/>
        <w:rPr>
          <w:rFonts w:ascii="Garamond" w:eastAsia="Calibri" w:hAnsi="Garamond" w:cs="Times New Roman"/>
          <w:color w:val="000000" w:themeColor="text1"/>
          <w:sz w:val="24"/>
          <w:szCs w:val="24"/>
          <w:lang w:eastAsia="en-GB"/>
        </w:rPr>
      </w:pPr>
      <w:r w:rsidRPr="004F2AC3">
        <w:rPr>
          <w:rFonts w:ascii="Garamond" w:eastAsia="Calibri" w:hAnsi="Garamond" w:cs="Times New Roman"/>
          <w:b/>
          <w:bCs/>
          <w:color w:val="000000" w:themeColor="text1"/>
          <w:sz w:val="24"/>
          <w:szCs w:val="24"/>
          <w:lang w:eastAsia="en-GB"/>
        </w:rPr>
        <w:t>Aktivitete të planifikuara për Censin e Bujqësisë</w:t>
      </w:r>
    </w:p>
    <w:p w14:paraId="00A6C681" w14:textId="663A2D7C" w:rsidR="000F566F" w:rsidRPr="004F2AC3" w:rsidRDefault="009E4AB2" w:rsidP="009E4AB2">
      <w:pPr>
        <w:pStyle w:val="TEKSTIIIII"/>
      </w:pPr>
      <w:r w:rsidRPr="004F2AC3">
        <w:rPr>
          <w:rFonts w:eastAsia="Calibri"/>
          <w:lang w:eastAsia="en-GB"/>
        </w:rPr>
        <w:t xml:space="preserve">- </w:t>
      </w:r>
      <w:r w:rsidR="000F566F" w:rsidRPr="004F2AC3">
        <w:rPr>
          <w:rFonts w:eastAsia="Calibri"/>
          <w:lang w:eastAsia="en-GB"/>
        </w:rPr>
        <w:t xml:space="preserve">Gjatë periudhës përgatitore dhe zbatimit të Censit janë planifikuar një sërë aktivitetesh: </w:t>
      </w:r>
      <w:r w:rsidR="000F566F" w:rsidRPr="004F2AC3">
        <w:t>Rishikimi i strategjisë, planit të aktiviteteve dhe buxhetit</w:t>
      </w:r>
      <w:r w:rsidR="00B606A7" w:rsidRPr="004F2AC3">
        <w:t>,</w:t>
      </w:r>
      <w:r w:rsidR="000F566F" w:rsidRPr="004F2AC3">
        <w:t xml:space="preserve"> në përputhje me udhëzimet e FAO-s dhe praktikat më të mira;</w:t>
      </w:r>
    </w:p>
    <w:p w14:paraId="1919F4D8" w14:textId="5EA2B439" w:rsidR="000F566F" w:rsidRPr="004F2AC3" w:rsidRDefault="009E4AB2" w:rsidP="009E4AB2">
      <w:pPr>
        <w:pStyle w:val="TEKSTIIIII"/>
      </w:pPr>
      <w:r w:rsidRPr="004F2AC3">
        <w:t xml:space="preserve">- </w:t>
      </w:r>
      <w:r w:rsidR="000F566F" w:rsidRPr="004F2AC3">
        <w:t>Finalizimi i pyetësorit dhe i kornizës metodologjike, mbi bazën e së cilave do të mblidhen të dhënat;</w:t>
      </w:r>
    </w:p>
    <w:p w14:paraId="13D2BBDE" w14:textId="2CBCB619" w:rsidR="000F566F" w:rsidRPr="004F2AC3" w:rsidRDefault="009E4AB2" w:rsidP="009E4AB2">
      <w:pPr>
        <w:pStyle w:val="TEKSTIIIII"/>
      </w:pPr>
      <w:r w:rsidRPr="004F2AC3">
        <w:t xml:space="preserve">- </w:t>
      </w:r>
      <w:r w:rsidR="000F566F" w:rsidRPr="004F2AC3">
        <w:t>Ngritja e sistemit të teknologjisë së informacionit dhe gjeoinformacionit (TI/GIS) për mbledhjen dhe analizimin e të dhënave, përfshirë përdorimin e tabletëve, platformës elektronike, platformës së menaxhimit për grumbullimin e të dhënave në terren;</w:t>
      </w:r>
    </w:p>
    <w:p w14:paraId="167DF7E0" w14:textId="4E7809E9" w:rsidR="000F566F" w:rsidRPr="004F2AC3" w:rsidRDefault="009E4AB2" w:rsidP="009E4AB2">
      <w:pPr>
        <w:pStyle w:val="TEKSTIIIII"/>
      </w:pPr>
      <w:r w:rsidRPr="004F2AC3">
        <w:t xml:space="preserve">- </w:t>
      </w:r>
      <w:r w:rsidR="000F566F" w:rsidRPr="004F2AC3">
        <w:t>Zhvillimi i testit</w:t>
      </w:r>
      <w:r w:rsidR="00684E85" w:rsidRPr="004F2AC3">
        <w:t xml:space="preserve"> </w:t>
      </w:r>
      <w:r w:rsidR="00B606A7" w:rsidRPr="004F2AC3">
        <w:t xml:space="preserve">të </w:t>
      </w:r>
      <w:r w:rsidR="000F566F" w:rsidRPr="004F2AC3">
        <w:t>Cens-it t</w:t>
      </w:r>
      <w:r w:rsidR="00D449AF" w:rsidRPr="004F2AC3">
        <w:rPr>
          <w:color w:val="000000" w:themeColor="text1"/>
        </w:rPr>
        <w:t>ë</w:t>
      </w:r>
      <w:r w:rsidR="000F566F" w:rsidRPr="004F2AC3">
        <w:t xml:space="preserve"> bujqësisë për të vlerësuar instrumentet metodologjike dhe teknologjike përpara kryer</w:t>
      </w:r>
      <w:r w:rsidR="00D449AF" w:rsidRPr="004F2AC3">
        <w:t>jes së tij në shkallë kombëtare</w:t>
      </w:r>
      <w:r w:rsidR="000F566F" w:rsidRPr="004F2AC3">
        <w:t>;</w:t>
      </w:r>
    </w:p>
    <w:p w14:paraId="799AFB64" w14:textId="193F818A" w:rsidR="000F566F" w:rsidRPr="004F2AC3" w:rsidRDefault="009E4AB2" w:rsidP="009E4AB2">
      <w:pPr>
        <w:pStyle w:val="TEKSTIIIII"/>
      </w:pPr>
      <w:r w:rsidRPr="004F2AC3">
        <w:t xml:space="preserve">- </w:t>
      </w:r>
      <w:r w:rsidR="000F566F" w:rsidRPr="004F2AC3">
        <w:t xml:space="preserve">Planifikimi logjistik dhe organizimi i operacionit në terren, duke përfshirë këtu edhe përzgjedhjen dhe trajnimin e stafit që do të angazhohet në </w:t>
      </w:r>
      <w:r w:rsidR="00B606A7" w:rsidRPr="004F2AC3">
        <w:t>Censin e Bujqësisë;</w:t>
      </w:r>
    </w:p>
    <w:p w14:paraId="49AB1790" w14:textId="11885239" w:rsidR="000F566F" w:rsidRPr="004F2AC3" w:rsidRDefault="009E4AB2" w:rsidP="009E4AB2">
      <w:pPr>
        <w:pStyle w:val="TEKSTIIIII"/>
      </w:pPr>
      <w:r w:rsidRPr="004F2AC3">
        <w:t xml:space="preserve">- </w:t>
      </w:r>
      <w:r w:rsidR="000F566F" w:rsidRPr="004F2AC3">
        <w:t>Realizimi në terren i Cens-it të bujqësisë</w:t>
      </w:r>
      <w:r w:rsidR="00C221AA" w:rsidRPr="004F2AC3">
        <w:t>;</w:t>
      </w:r>
    </w:p>
    <w:p w14:paraId="43B3C4A8" w14:textId="52AF8455" w:rsidR="000F566F" w:rsidRPr="004F2AC3" w:rsidRDefault="009E4AB2" w:rsidP="009E4AB2">
      <w:pPr>
        <w:pStyle w:val="TEKSTIIIII"/>
      </w:pPr>
      <w:r w:rsidRPr="004F2AC3">
        <w:t xml:space="preserve">- </w:t>
      </w:r>
      <w:r w:rsidR="000F566F" w:rsidRPr="004F2AC3">
        <w:t>Kontrolli dhe përpunimi i të dhënave.</w:t>
      </w:r>
    </w:p>
    <w:p w14:paraId="628C3699" w14:textId="77777777" w:rsidR="000F566F" w:rsidRPr="004F2AC3" w:rsidRDefault="000F566F" w:rsidP="009E4AB2">
      <w:pPr>
        <w:pStyle w:val="TEKSTIIIII"/>
        <w:rPr>
          <w:rFonts w:eastAsia="Calibri"/>
          <w:lang w:eastAsia="en-GB"/>
        </w:rPr>
      </w:pPr>
      <w:r w:rsidRPr="004F2AC3">
        <w:rPr>
          <w:rFonts w:eastAsia="Calibri"/>
          <w:lang w:eastAsia="en-GB"/>
        </w:rPr>
        <w:t>Ky proces do të kontribuojë në mbledhjen e të dhënave të sakta dhe të besueshme për sektorin bujqësor, duke mundësuar zhvillimin e politikave të informuara dhe përmirësimin e statistikave të bujqësisë në përputhje me standardet dhe rregulloret ndërkombëtare.</w:t>
      </w:r>
    </w:p>
    <w:p w14:paraId="0EB7BE67" w14:textId="0B161D0C" w:rsidR="000F566F" w:rsidRPr="004F2AC3" w:rsidRDefault="000F566F" w:rsidP="000F566F">
      <w:pPr>
        <w:pStyle w:val="Heading2"/>
        <w:shd w:val="clear" w:color="auto" w:fill="FFFFFF" w:themeFill="background1"/>
        <w:tabs>
          <w:tab w:val="left" w:pos="4694"/>
        </w:tabs>
        <w:spacing w:before="0" w:line="240" w:lineRule="auto"/>
        <w:ind w:firstLine="284"/>
        <w:rPr>
          <w:rFonts w:ascii="Garamond" w:eastAsia="MS Mincho" w:hAnsi="Garamond" w:cs="Times New Roman"/>
          <w:noProof w:val="0"/>
          <w:color w:val="000000" w:themeColor="text1"/>
          <w:sz w:val="24"/>
          <w:szCs w:val="24"/>
        </w:rPr>
      </w:pPr>
      <w:bookmarkStart w:id="51" w:name="_Toc215132193"/>
      <w:bookmarkEnd w:id="5"/>
      <w:r w:rsidRPr="004F2AC3">
        <w:rPr>
          <w:rFonts w:ascii="Garamond" w:eastAsia="MS Mincho" w:hAnsi="Garamond" w:cs="Times New Roman"/>
          <w:noProof w:val="0"/>
          <w:color w:val="000000" w:themeColor="text1"/>
          <w:sz w:val="24"/>
          <w:szCs w:val="24"/>
        </w:rPr>
        <w:t>V. Sistemi i menaxhimit të cilësisë</w:t>
      </w:r>
      <w:bookmarkEnd w:id="51"/>
      <w:r w:rsidRPr="004F2AC3">
        <w:rPr>
          <w:rFonts w:ascii="Garamond" w:eastAsia="MS Mincho" w:hAnsi="Garamond" w:cs="Times New Roman"/>
          <w:noProof w:val="0"/>
          <w:color w:val="000000" w:themeColor="text1"/>
          <w:sz w:val="24"/>
          <w:szCs w:val="24"/>
        </w:rPr>
        <w:t xml:space="preserve"> </w:t>
      </w:r>
    </w:p>
    <w:p w14:paraId="3A1023CD" w14:textId="4925928C" w:rsidR="000F566F" w:rsidRPr="004F2AC3" w:rsidRDefault="000F566F" w:rsidP="000F566F">
      <w:pPr>
        <w:shd w:val="clear" w:color="auto" w:fill="FFFFFF" w:themeFill="background1"/>
        <w:autoSpaceDE w:val="0"/>
        <w:autoSpaceDN w:val="0"/>
        <w:adjustRightInd w:val="0"/>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INSTAT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synon të ofrojë produkte dhe shërbime statistikore që korrespondojnë me nevojat statistikore të informacionit të grupeve të ndryshme të përdoruesve. Përmirësimi i cilësisë së informacionit statistikor kryhet vazhdimisht duke kërkuar kostot më të ulëta të mundshme dhe duke zvogëluar barrën e </w:t>
      </w:r>
      <w:r w:rsidR="00C221AA" w:rsidRPr="004F2AC3">
        <w:rPr>
          <w:rFonts w:ascii="Garamond" w:hAnsi="Garamond" w:cs="Times New Roman"/>
          <w:color w:val="000000" w:themeColor="text1"/>
          <w:sz w:val="24"/>
          <w:szCs w:val="24"/>
        </w:rPr>
        <w:t>përgjigjes</w:t>
      </w:r>
      <w:r w:rsidRPr="004F2AC3">
        <w:rPr>
          <w:rFonts w:ascii="Garamond" w:hAnsi="Garamond" w:cs="Times New Roman"/>
          <w:color w:val="000000" w:themeColor="text1"/>
          <w:sz w:val="24"/>
          <w:szCs w:val="24"/>
        </w:rPr>
        <w:t>. INSTAT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është angazhuar të sigurojë cilësinë më të lartë</w:t>
      </w:r>
      <w:r w:rsidR="00B606A7"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në lidhje me përpilimin e statistikave. Në përputhje me legjislacionin për statistikat zyrtare, INSTAT</w:t>
      </w:r>
      <w:r w:rsidR="00B606A7" w:rsidRPr="004F2AC3">
        <w:rPr>
          <w:rFonts w:ascii="Garamond" w:hAnsi="Garamond" w:cs="Times New Roman"/>
          <w:color w:val="000000" w:themeColor="text1"/>
          <w:sz w:val="24"/>
          <w:szCs w:val="24"/>
        </w:rPr>
        <w: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përdor metoda dhe procese statistikore në linjë me parimet dhe standardet shkencore të njohura ndërkombëtarisht, kryen analiza të vazhdueshme të statistikave</w:t>
      </w:r>
      <w:r w:rsidR="00B606A7"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me qëllim përmirësimin e cilësisë dhe siguron që statistikat të jenë sa më të përditësuara. Në kryerjen e detyrave funksionale</w:t>
      </w:r>
      <w:r w:rsidR="00B606A7"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INSTAT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ndjek parimet e përgjithshme të menaxhimit të cilësisë nga Kodi i Praktikës së St</w:t>
      </w:r>
      <w:r w:rsidR="00B606A7" w:rsidRPr="004F2AC3">
        <w:rPr>
          <w:rFonts w:ascii="Garamond" w:hAnsi="Garamond" w:cs="Times New Roman"/>
          <w:color w:val="000000" w:themeColor="text1"/>
          <w:sz w:val="24"/>
          <w:szCs w:val="24"/>
        </w:rPr>
        <w:t>atistikave Evropiane.</w:t>
      </w:r>
    </w:p>
    <w:p w14:paraId="183A33A9" w14:textId="4565ABBE" w:rsidR="000F566F" w:rsidRPr="004F2AC3" w:rsidRDefault="000F566F" w:rsidP="000F566F">
      <w:pPr>
        <w:shd w:val="clear" w:color="auto" w:fill="FFFFFF" w:themeFill="background1"/>
        <w:autoSpaceDE w:val="0"/>
        <w:autoSpaceDN w:val="0"/>
        <w:adjustRightInd w:val="0"/>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Në kuadër të sigurimit të cilësisë statistikore, në përputhje me nenin 5</w:t>
      </w:r>
      <w:r w:rsidR="00C221AA"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ligjit nr. 17/2018</w:t>
      </w:r>
      <w:r w:rsidR="00C221AA"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statistikat zyrtare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dhe </w:t>
      </w:r>
      <w:r w:rsidR="00B606A7" w:rsidRPr="004F2AC3">
        <w:rPr>
          <w:rFonts w:ascii="Garamond" w:hAnsi="Garamond" w:cs="Times New Roman"/>
          <w:color w:val="000000" w:themeColor="text1"/>
          <w:sz w:val="24"/>
          <w:szCs w:val="24"/>
        </w:rPr>
        <w:t>p</w:t>
      </w:r>
      <w:r w:rsidRPr="004F2AC3">
        <w:rPr>
          <w:rFonts w:ascii="Garamond" w:hAnsi="Garamond" w:cs="Times New Roman"/>
          <w:color w:val="000000" w:themeColor="text1"/>
          <w:sz w:val="24"/>
          <w:szCs w:val="24"/>
        </w:rPr>
        <w:t xml:space="preserve">arimin nr. 4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Cilësia </w:t>
      </w:r>
      <w:r w:rsidR="00B606A7" w:rsidRPr="004F2AC3">
        <w:rPr>
          <w:rFonts w:ascii="Garamond" w:hAnsi="Garamond" w:cs="Times New Roman"/>
          <w:color w:val="000000" w:themeColor="text1"/>
          <w:sz w:val="24"/>
          <w:szCs w:val="24"/>
        </w:rPr>
        <w:t>statistikore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Kodit të Praktikës së Statistikave Evropiane, INSTAT</w:t>
      </w:r>
      <w:r w:rsidR="00B606A7" w:rsidRPr="004F2AC3">
        <w:rPr>
          <w:rFonts w:ascii="Garamond" w:hAnsi="Garamond" w:cs="Times New Roman"/>
          <w:color w:val="000000" w:themeColor="text1"/>
          <w:sz w:val="24"/>
          <w:szCs w:val="24"/>
        </w:rPr>
        <w:t>-</w:t>
      </w:r>
      <w:r w:rsidR="00C221AA" w:rsidRPr="004F2AC3">
        <w:rPr>
          <w:rFonts w:ascii="Garamond" w:hAnsi="Garamond" w:cs="Times New Roman"/>
          <w:color w:val="000000" w:themeColor="text1"/>
          <w:sz w:val="24"/>
          <w:szCs w:val="24"/>
        </w:rPr>
        <w:t>i</w:t>
      </w:r>
      <w:r w:rsidR="00B606A7" w:rsidRPr="004F2AC3">
        <w:rPr>
          <w:rFonts w:ascii="Garamond" w:hAnsi="Garamond" w:cs="Times New Roman"/>
          <w:color w:val="000000" w:themeColor="text1"/>
          <w:sz w:val="24"/>
          <w:szCs w:val="24"/>
        </w:rPr>
        <w:t>,</w:t>
      </w:r>
      <w:r w:rsidR="00C221AA" w:rsidRPr="004F2AC3">
        <w:rPr>
          <w:rFonts w:ascii="Garamond" w:hAnsi="Garamond" w:cs="Times New Roman"/>
          <w:color w:val="000000" w:themeColor="text1"/>
          <w:sz w:val="24"/>
          <w:szCs w:val="24"/>
        </w:rPr>
        <w:t xml:space="preserve"> gjatë vitit 2025</w:t>
      </w:r>
      <w:r w:rsidR="00B606A7" w:rsidRPr="004F2AC3">
        <w:rPr>
          <w:rFonts w:ascii="Garamond" w:hAnsi="Garamond" w:cs="Times New Roman"/>
          <w:color w:val="000000" w:themeColor="text1"/>
          <w:sz w:val="24"/>
          <w:szCs w:val="24"/>
        </w:rPr>
        <w:t>,</w:t>
      </w:r>
      <w:r w:rsidR="00C221AA" w:rsidRPr="004F2AC3">
        <w:rPr>
          <w:rFonts w:ascii="Garamond" w:hAnsi="Garamond" w:cs="Times New Roman"/>
          <w:color w:val="000000" w:themeColor="text1"/>
          <w:sz w:val="24"/>
          <w:szCs w:val="24"/>
        </w:rPr>
        <w:t xml:space="preserve"> ndërmor</w:t>
      </w:r>
      <w:r w:rsidRPr="004F2AC3">
        <w:rPr>
          <w:rFonts w:ascii="Garamond" w:hAnsi="Garamond" w:cs="Times New Roman"/>
          <w:color w:val="000000" w:themeColor="text1"/>
          <w:sz w:val="24"/>
          <w:szCs w:val="24"/>
        </w:rPr>
        <w:t>i iniciativat e mëposhtm</w:t>
      </w:r>
      <w:r w:rsidR="00B606A7" w:rsidRPr="004F2AC3">
        <w:rPr>
          <w:rFonts w:ascii="Garamond" w:hAnsi="Garamond" w:cs="Times New Roman"/>
          <w:color w:val="000000" w:themeColor="text1"/>
          <w:sz w:val="24"/>
          <w:szCs w:val="24"/>
        </w:rPr>
        <w:t>e:</w:t>
      </w:r>
    </w:p>
    <w:p w14:paraId="3593F987" w14:textId="0BEA0FAF"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9E4AB2" w:rsidRPr="004F2AC3">
        <w:rPr>
          <w:rFonts w:ascii="Garamond" w:hAnsi="Garamond" w:cs="Times New Roman"/>
          <w:color w:val="000000" w:themeColor="text1"/>
          <w:sz w:val="24"/>
          <w:szCs w:val="24"/>
        </w:rPr>
        <w:t>Rritjen e kapaciteteve profesionale dhe ndërgjegjësimit të punonjësve të Sistemit Kombëtar Statistikor për menaxhimin e cilësisë përmes zhvillimit të trajnimev</w:t>
      </w:r>
      <w:r w:rsidR="00B606A7" w:rsidRPr="004F2AC3">
        <w:rPr>
          <w:rFonts w:ascii="Garamond" w:hAnsi="Garamond" w:cs="Times New Roman"/>
          <w:color w:val="000000" w:themeColor="text1"/>
          <w:sz w:val="24"/>
          <w:szCs w:val="24"/>
        </w:rPr>
        <w:t>e të vazhdueshme mbi këtë fushë;</w:t>
      </w:r>
    </w:p>
    <w:p w14:paraId="08D886BD" w14:textId="2D6852B7"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9E4AB2" w:rsidRPr="004F2AC3">
        <w:rPr>
          <w:rFonts w:ascii="Garamond" w:hAnsi="Garamond" w:cs="Times New Roman"/>
          <w:color w:val="000000" w:themeColor="text1"/>
          <w:sz w:val="24"/>
          <w:szCs w:val="24"/>
        </w:rPr>
        <w:t>Menaxhimin e kujdesshëm të risqeve dhe planifikimin në kohë të masave përkatëse parandaluese, thelbësore për Pr</w:t>
      </w:r>
      <w:r w:rsidR="00B606A7" w:rsidRPr="004F2AC3">
        <w:rPr>
          <w:rFonts w:ascii="Garamond" w:hAnsi="Garamond" w:cs="Times New Roman"/>
          <w:color w:val="000000" w:themeColor="text1"/>
          <w:sz w:val="24"/>
          <w:szCs w:val="24"/>
        </w:rPr>
        <w:t>ogramin e Statistikave Zyrtare;</w:t>
      </w:r>
    </w:p>
    <w:p w14:paraId="75B5BA34" w14:textId="4C41E7B1"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B606A7" w:rsidRPr="004F2AC3">
        <w:rPr>
          <w:rFonts w:ascii="Garamond" w:hAnsi="Garamond" w:cs="Times New Roman"/>
          <w:color w:val="000000" w:themeColor="text1"/>
          <w:sz w:val="24"/>
          <w:szCs w:val="24"/>
        </w:rPr>
        <w:t>Auditin statistikor dhe vetë</w:t>
      </w:r>
      <w:r w:rsidR="009E4AB2" w:rsidRPr="004F2AC3">
        <w:rPr>
          <w:rFonts w:ascii="Garamond" w:hAnsi="Garamond" w:cs="Times New Roman"/>
          <w:color w:val="000000" w:themeColor="text1"/>
          <w:sz w:val="24"/>
          <w:szCs w:val="24"/>
        </w:rPr>
        <w:t>vlerësimi përcaktuar si rruga konkrete për identifikimin e pikave të forta dhe mundësive për përmirësim e cilësisë së një procesi apo produkti statistikor. Ky është një proces sistematik, i programuar, i pavarur, i dokumentuar, me anë të të cilit bëhet një vlerësim objektiv i hapave të ndjekur gjatë një procesi statistikor. Me synimin për të rritur përmirësimin e cilësisë së proceseve statistikore, prej vitit 2019</w:t>
      </w:r>
      <w:r w:rsidR="00B606A7"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xml:space="preserve"> INSTAT</w:t>
      </w:r>
      <w:r w:rsidR="00C221AA" w:rsidRPr="004F2AC3">
        <w:rPr>
          <w:rFonts w:ascii="Garamond" w:hAnsi="Garamond" w:cs="Times New Roman"/>
          <w:color w:val="000000" w:themeColor="text1"/>
          <w:sz w:val="24"/>
          <w:szCs w:val="24"/>
        </w:rPr>
        <w:t>-i</w:t>
      </w:r>
      <w:r w:rsidR="009E4AB2" w:rsidRPr="004F2AC3">
        <w:rPr>
          <w:rFonts w:ascii="Garamond" w:hAnsi="Garamond" w:cs="Times New Roman"/>
          <w:color w:val="000000" w:themeColor="text1"/>
          <w:sz w:val="24"/>
          <w:szCs w:val="24"/>
        </w:rPr>
        <w:t xml:space="preserve"> ka nisur zbatimin</w:t>
      </w:r>
      <w:r w:rsidR="00B606A7" w:rsidRPr="004F2AC3">
        <w:rPr>
          <w:rFonts w:ascii="Garamond" w:hAnsi="Garamond" w:cs="Times New Roman"/>
          <w:color w:val="000000" w:themeColor="text1"/>
          <w:sz w:val="24"/>
          <w:szCs w:val="24"/>
        </w:rPr>
        <w:t xml:space="preserve"> konkret të këtyre aktiviteteve;</w:t>
      </w:r>
    </w:p>
    <w:p w14:paraId="57B549E9" w14:textId="20A32414"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9E4AB2" w:rsidRPr="004F2AC3">
        <w:rPr>
          <w:rFonts w:ascii="Garamond" w:hAnsi="Garamond" w:cs="Times New Roman"/>
          <w:color w:val="000000" w:themeColor="text1"/>
          <w:sz w:val="24"/>
          <w:szCs w:val="24"/>
        </w:rPr>
        <w:t>Zbatimin e Modelit të Përgjithshëm të Procesit Statistikor të Biznesit (GSBPM) si një model reference. Nëpërmjet këtij modeli monitorohen afatet kohore të të gjitha proceseve statistikore, kryhet dokumentimi i tyre dhe matja e kosto-efektivitet</w:t>
      </w:r>
      <w:r w:rsidR="00B606A7" w:rsidRPr="004F2AC3">
        <w:rPr>
          <w:rFonts w:ascii="Garamond" w:hAnsi="Garamond" w:cs="Times New Roman"/>
          <w:color w:val="000000" w:themeColor="text1"/>
          <w:sz w:val="24"/>
          <w:szCs w:val="24"/>
        </w:rPr>
        <w:t>it për aktivitetet statistikore;</w:t>
      </w:r>
    </w:p>
    <w:p w14:paraId="60E15492" w14:textId="7999290E"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 </w:t>
      </w:r>
      <w:r w:rsidR="009E4AB2" w:rsidRPr="004F2AC3">
        <w:rPr>
          <w:rFonts w:ascii="Garamond" w:hAnsi="Garamond" w:cs="Times New Roman"/>
          <w:color w:val="000000" w:themeColor="text1"/>
          <w:sz w:val="24"/>
          <w:szCs w:val="24"/>
        </w:rPr>
        <w:t>Për të siguruar cilësinë e statistikave zyrtare dhe besueshmërinë e publikut në to, INSTAT</w:t>
      </w:r>
      <w:r w:rsidR="00C221AA" w:rsidRPr="004F2AC3">
        <w:rPr>
          <w:rFonts w:ascii="Garamond" w:hAnsi="Garamond" w:cs="Times New Roman"/>
          <w:color w:val="000000" w:themeColor="text1"/>
          <w:sz w:val="24"/>
          <w:szCs w:val="24"/>
        </w:rPr>
        <w:t>-i</w:t>
      </w:r>
      <w:r w:rsidR="009E4AB2" w:rsidRPr="004F2AC3">
        <w:rPr>
          <w:rFonts w:ascii="Garamond" w:hAnsi="Garamond" w:cs="Times New Roman"/>
          <w:color w:val="000000" w:themeColor="text1"/>
          <w:sz w:val="24"/>
          <w:szCs w:val="24"/>
        </w:rPr>
        <w:t xml:space="preserve"> përdor metadatat referenciale (raporte e cilësisë) dhe metadatat strukturore në nivelin e produkteve statistikore. Nëpërmjet tyre, përdoruesve u sigurohet informacion mbi aktivitetin statistikor, si edhe metadatat referenciale/strukturore, me format standard në metodat dhe përkufizimet e aplikuara dhe në cilësinë e rezultateve statistikore. Struktura e Raporteve të Cilësisë bazohet në konceptin e cilësisë së Sistemit Evropian të Statistikave (ESS-SIMS), duke zbatuar modelin ESMS dhe ESQRS, gjithashtu</w:t>
      </w:r>
      <w:r w:rsidR="00C221AA"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xml:space="preserve"> bazohet edhe në parimet</w:t>
      </w:r>
      <w:r w:rsidR="00B606A7"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xml:space="preserve"> lidhur me cilësinë e produkteve statistikore sipas Kodit të Prak</w:t>
      </w:r>
      <w:r w:rsidR="00B606A7" w:rsidRPr="004F2AC3">
        <w:rPr>
          <w:rFonts w:ascii="Garamond" w:hAnsi="Garamond" w:cs="Times New Roman"/>
          <w:color w:val="000000" w:themeColor="text1"/>
          <w:sz w:val="24"/>
          <w:szCs w:val="24"/>
        </w:rPr>
        <w:t>tikës së Statistikave Evropiane;</w:t>
      </w:r>
    </w:p>
    <w:p w14:paraId="3F765894" w14:textId="2589EDE1"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9E4AB2" w:rsidRPr="004F2AC3">
        <w:rPr>
          <w:rFonts w:ascii="Garamond" w:hAnsi="Garamond" w:cs="Times New Roman"/>
          <w:color w:val="000000" w:themeColor="text1"/>
          <w:sz w:val="24"/>
          <w:szCs w:val="24"/>
        </w:rPr>
        <w:t>Orientimin ndaj përdoruesit. INSTAT</w:t>
      </w:r>
      <w:r w:rsidR="00B606A7" w:rsidRPr="004F2AC3">
        <w:rPr>
          <w:rFonts w:ascii="Garamond" w:hAnsi="Garamond" w:cs="Times New Roman"/>
          <w:color w:val="000000" w:themeColor="text1"/>
          <w:sz w:val="24"/>
          <w:szCs w:val="24"/>
        </w:rPr>
        <w:t>-i</w:t>
      </w:r>
      <w:r w:rsidR="009E4AB2" w:rsidRPr="004F2AC3">
        <w:rPr>
          <w:rFonts w:ascii="Garamond" w:hAnsi="Garamond" w:cs="Times New Roman"/>
          <w:color w:val="000000" w:themeColor="text1"/>
          <w:sz w:val="24"/>
          <w:szCs w:val="24"/>
        </w:rPr>
        <w:t xml:space="preserve"> përpiqet që të prodhojë statistika sa më afër nevojave të përdoruesve, si dhe të njohë dhe të përmbushë pritshmëritë e tyre dhe në këtë mënyrë të sigurojë përmbushjen e plotë të nevojave për të dhëna statistikore zyrtare. Ma</w:t>
      </w:r>
      <w:r w:rsidR="00B606A7" w:rsidRPr="004F2AC3">
        <w:rPr>
          <w:rFonts w:ascii="Garamond" w:hAnsi="Garamond" w:cs="Times New Roman"/>
          <w:color w:val="000000" w:themeColor="text1"/>
          <w:sz w:val="24"/>
          <w:szCs w:val="24"/>
        </w:rPr>
        <w:t>tja e pritshmërisë së përdorues</w:t>
      </w:r>
      <w:r w:rsidR="009E4AB2" w:rsidRPr="004F2AC3">
        <w:rPr>
          <w:rFonts w:ascii="Garamond" w:hAnsi="Garamond" w:cs="Times New Roman"/>
          <w:color w:val="000000" w:themeColor="text1"/>
          <w:sz w:val="24"/>
          <w:szCs w:val="24"/>
        </w:rPr>
        <w:t>ve realizohet nëpërmjet vrojtim</w:t>
      </w:r>
      <w:r w:rsidR="00B606A7" w:rsidRPr="004F2AC3">
        <w:rPr>
          <w:rFonts w:ascii="Garamond" w:hAnsi="Garamond" w:cs="Times New Roman"/>
          <w:color w:val="000000" w:themeColor="text1"/>
          <w:sz w:val="24"/>
          <w:szCs w:val="24"/>
        </w:rPr>
        <w:t>it të kënaqësisë së përdoruesve;</w:t>
      </w:r>
    </w:p>
    <w:p w14:paraId="3A31030D" w14:textId="5133B6F1"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9E4AB2" w:rsidRPr="004F2AC3">
        <w:rPr>
          <w:rFonts w:ascii="Garamond" w:hAnsi="Garamond" w:cs="Times New Roman"/>
          <w:color w:val="000000" w:themeColor="text1"/>
          <w:sz w:val="24"/>
          <w:szCs w:val="24"/>
        </w:rPr>
        <w:t>Orientimin ndaj punonjësit. INSTAT</w:t>
      </w:r>
      <w:r w:rsidR="00C221AA" w:rsidRPr="004F2AC3">
        <w:rPr>
          <w:rFonts w:ascii="Garamond" w:hAnsi="Garamond" w:cs="Times New Roman"/>
          <w:color w:val="000000" w:themeColor="text1"/>
          <w:sz w:val="24"/>
          <w:szCs w:val="24"/>
        </w:rPr>
        <w:t>-i</w:t>
      </w:r>
      <w:r w:rsidR="009E4AB2" w:rsidRPr="004F2AC3">
        <w:rPr>
          <w:rFonts w:ascii="Garamond" w:hAnsi="Garamond" w:cs="Times New Roman"/>
          <w:color w:val="000000" w:themeColor="text1"/>
          <w:sz w:val="24"/>
          <w:szCs w:val="24"/>
        </w:rPr>
        <w:t xml:space="preserve"> kujdeset për kualifikimin dhe trajnimin e vazhdueshëm të punonjësve me qëllim rritjen e kapaciteteve dhe kompetencave të tyre, duke ndikuar kështu në rritjen e motivimit dhe kënaqësisë së punonjësve, të cilët kontribuojnë efektivisht në proceset e punës nëpërmjet vrojtimit të kënaqësisë së punonjësve.</w:t>
      </w:r>
    </w:p>
    <w:p w14:paraId="3F4EB38B" w14:textId="780E7551" w:rsidR="009E4AB2" w:rsidRPr="004F2AC3" w:rsidRDefault="009E4AB2"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Gjatë vitit 2026, INSTAT</w:t>
      </w:r>
      <w:r w:rsidR="00C221AA"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do të punojë në kuadër të menaxhimit të cilësisë, si vijon:</w:t>
      </w:r>
      <w:r w:rsidR="00684E85" w:rsidRPr="004F2AC3">
        <w:rPr>
          <w:rFonts w:ascii="Garamond" w:hAnsi="Garamond" w:cs="Times New Roman"/>
          <w:color w:val="000000" w:themeColor="text1"/>
          <w:sz w:val="24"/>
          <w:szCs w:val="24"/>
        </w:rPr>
        <w:t xml:space="preserve"> </w:t>
      </w:r>
    </w:p>
    <w:p w14:paraId="494ABAF4" w14:textId="03F7B0DA"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9E4AB2" w:rsidRPr="004F2AC3">
        <w:rPr>
          <w:rFonts w:ascii="Garamond" w:hAnsi="Garamond" w:cs="Times New Roman"/>
          <w:color w:val="000000" w:themeColor="text1"/>
          <w:sz w:val="24"/>
          <w:szCs w:val="24"/>
        </w:rPr>
        <w:t xml:space="preserve">Në përputhje me parimin nr. 1 </w:t>
      </w:r>
      <w:r w:rsidR="00D32864"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Koordinimi dhe bashkëpunimi</w:t>
      </w:r>
      <w:r w:rsidR="00D32864"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të Kodit të Praktikës së Statistikave Evropiane, INSTAT</w:t>
      </w:r>
      <w:r w:rsidR="00C221AA" w:rsidRPr="004F2AC3">
        <w:rPr>
          <w:rFonts w:ascii="Garamond" w:hAnsi="Garamond" w:cs="Times New Roman"/>
          <w:color w:val="000000" w:themeColor="text1"/>
          <w:sz w:val="24"/>
          <w:szCs w:val="24"/>
        </w:rPr>
        <w:t>-i</w:t>
      </w:r>
      <w:r w:rsidR="009E4AB2" w:rsidRPr="004F2AC3">
        <w:rPr>
          <w:rFonts w:ascii="Garamond" w:hAnsi="Garamond" w:cs="Times New Roman"/>
          <w:color w:val="000000" w:themeColor="text1"/>
          <w:sz w:val="24"/>
          <w:szCs w:val="24"/>
        </w:rPr>
        <w:t xml:space="preserve"> dhe Eurostat</w:t>
      </w:r>
      <w:r w:rsidR="00C221AA" w:rsidRPr="004F2AC3">
        <w:rPr>
          <w:rFonts w:ascii="Garamond" w:hAnsi="Garamond" w:cs="Times New Roman"/>
          <w:color w:val="000000" w:themeColor="text1"/>
          <w:sz w:val="24"/>
          <w:szCs w:val="24"/>
        </w:rPr>
        <w:t>i</w:t>
      </w:r>
      <w:r w:rsidR="009E4AB2" w:rsidRPr="004F2AC3">
        <w:rPr>
          <w:rFonts w:ascii="Garamond" w:hAnsi="Garamond" w:cs="Times New Roman"/>
          <w:color w:val="000000" w:themeColor="text1"/>
          <w:sz w:val="24"/>
          <w:szCs w:val="24"/>
        </w:rPr>
        <w:t xml:space="preserve"> sigurojnë koordinimin e të gjitha aktiviteteve për zhvillimin, prodhimin dhe shpërndarjen e Statistikave Evropiane në nivel të Sistemit Kombëtar Statistikor dhe Sistemit Statistikor Evropian. Autoritetet statistikore bashkëpunojnë në mënyrë aktive</w:t>
      </w:r>
      <w:r w:rsidR="00B606A7"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xml:space="preserve"> në kuadër të partneritetit të Sistemit Statistikor Evropian, në mënyrë që të sigurojnë zhvillimin, prodhimin dhe shpërn</w:t>
      </w:r>
      <w:r w:rsidR="00B606A7" w:rsidRPr="004F2AC3">
        <w:rPr>
          <w:rFonts w:ascii="Garamond" w:hAnsi="Garamond" w:cs="Times New Roman"/>
          <w:color w:val="000000" w:themeColor="text1"/>
          <w:sz w:val="24"/>
          <w:szCs w:val="24"/>
        </w:rPr>
        <w:t>darjen e statistikave evropiane;</w:t>
      </w:r>
    </w:p>
    <w:p w14:paraId="52F30C37" w14:textId="3BB8CB18"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9E4AB2" w:rsidRPr="004F2AC3">
        <w:rPr>
          <w:rFonts w:ascii="Garamond" w:hAnsi="Garamond" w:cs="Times New Roman"/>
          <w:color w:val="000000" w:themeColor="text1"/>
          <w:sz w:val="24"/>
          <w:szCs w:val="24"/>
        </w:rPr>
        <w:t xml:space="preserve">Në përputhje me parimin nr. 4 </w:t>
      </w:r>
      <w:r w:rsidR="00D32864"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xml:space="preserve">Cilësia </w:t>
      </w:r>
      <w:r w:rsidR="00B606A7" w:rsidRPr="004F2AC3">
        <w:rPr>
          <w:rFonts w:ascii="Garamond" w:hAnsi="Garamond" w:cs="Times New Roman"/>
          <w:color w:val="000000" w:themeColor="text1"/>
          <w:sz w:val="24"/>
          <w:szCs w:val="24"/>
        </w:rPr>
        <w:t>statistikore</w:t>
      </w:r>
      <w:r w:rsidR="00D32864"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të Kodit të Praktikës së Statistikave Evropiane, INSTAT</w:t>
      </w:r>
      <w:r w:rsidR="00C221AA" w:rsidRPr="004F2AC3">
        <w:rPr>
          <w:rFonts w:ascii="Garamond" w:hAnsi="Garamond" w:cs="Times New Roman"/>
          <w:color w:val="000000" w:themeColor="text1"/>
          <w:sz w:val="24"/>
          <w:szCs w:val="24"/>
        </w:rPr>
        <w:t>-i</w:t>
      </w:r>
      <w:r w:rsidR="009E4AB2" w:rsidRPr="004F2AC3">
        <w:rPr>
          <w:rFonts w:ascii="Garamond" w:hAnsi="Garamond" w:cs="Times New Roman"/>
          <w:color w:val="000000" w:themeColor="text1"/>
          <w:sz w:val="24"/>
          <w:szCs w:val="24"/>
        </w:rPr>
        <w:t xml:space="preserve"> do të punojë</w:t>
      </w:r>
      <w:r w:rsidR="00B606A7"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xml:space="preserve"> në kuadër të përmirësimit të cilësisë statistikore. Puna do të fokusohet në: hartimin/përditësimin dhe publikimin e raporteve të cilësisë dhe metadatave referenciale dhe strukturore për përdoruesit; dokumentimin e proceseve statistikore; rritjen e kapaciteteve profesionale dhe ndërgjegjësimit të punonjësve të SKS</w:t>
      </w:r>
      <w:r w:rsidR="00B606A7" w:rsidRPr="004F2AC3">
        <w:rPr>
          <w:rFonts w:ascii="Garamond" w:hAnsi="Garamond" w:cs="Times New Roman"/>
          <w:color w:val="000000" w:themeColor="text1"/>
          <w:sz w:val="24"/>
          <w:szCs w:val="24"/>
        </w:rPr>
        <w:t>-së; auditin statistikor dhe vetë</w:t>
      </w:r>
      <w:r w:rsidR="009E4AB2" w:rsidRPr="004F2AC3">
        <w:rPr>
          <w:rFonts w:ascii="Garamond" w:hAnsi="Garamond" w:cs="Times New Roman"/>
          <w:color w:val="000000" w:themeColor="text1"/>
          <w:sz w:val="24"/>
          <w:szCs w:val="24"/>
        </w:rPr>
        <w:t xml:space="preserve">vlerësimin, orientimin </w:t>
      </w:r>
      <w:r w:rsidR="00B606A7" w:rsidRPr="004F2AC3">
        <w:rPr>
          <w:rFonts w:ascii="Garamond" w:hAnsi="Garamond" w:cs="Times New Roman"/>
          <w:color w:val="000000" w:themeColor="text1"/>
          <w:sz w:val="24"/>
          <w:szCs w:val="24"/>
        </w:rPr>
        <w:t>ndaj përdoruesve dhe punonjësve;</w:t>
      </w:r>
    </w:p>
    <w:p w14:paraId="51287132" w14:textId="500EEB3D"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9E4AB2" w:rsidRPr="004F2AC3">
        <w:rPr>
          <w:rFonts w:ascii="Garamond" w:hAnsi="Garamond" w:cs="Times New Roman"/>
          <w:color w:val="000000" w:themeColor="text1"/>
          <w:sz w:val="24"/>
          <w:szCs w:val="24"/>
        </w:rPr>
        <w:t xml:space="preserve">Në përputhje me parimin nr. 9 </w:t>
      </w:r>
      <w:r w:rsidR="00D32864"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Ngarkesa ndaj të intervistuarve</w:t>
      </w:r>
      <w:r w:rsidR="00D32864"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xml:space="preserve"> të Kodit të Praktikës së Statistikave Evropiane, INSTAT</w:t>
      </w:r>
      <w:r w:rsidR="00C221AA" w:rsidRPr="004F2AC3">
        <w:rPr>
          <w:rFonts w:ascii="Garamond" w:hAnsi="Garamond" w:cs="Times New Roman"/>
          <w:color w:val="000000" w:themeColor="text1"/>
          <w:sz w:val="24"/>
          <w:szCs w:val="24"/>
        </w:rPr>
        <w:t>-i</w:t>
      </w:r>
      <w:r w:rsidR="009E4AB2" w:rsidRPr="004F2AC3">
        <w:rPr>
          <w:rFonts w:ascii="Garamond" w:hAnsi="Garamond" w:cs="Times New Roman"/>
          <w:color w:val="000000" w:themeColor="text1"/>
          <w:sz w:val="24"/>
          <w:szCs w:val="24"/>
        </w:rPr>
        <w:t xml:space="preserve"> monitoron përmes dy treguesve bazë: numri i pyetësorëve që ndërmarrjet/familjet duhet të përgjigje</w:t>
      </w:r>
      <w:r w:rsidR="00B606A7" w:rsidRPr="004F2AC3">
        <w:rPr>
          <w:rFonts w:ascii="Garamond" w:hAnsi="Garamond" w:cs="Times New Roman"/>
          <w:color w:val="000000" w:themeColor="text1"/>
          <w:sz w:val="24"/>
          <w:szCs w:val="24"/>
        </w:rPr>
        <w:t>n dhe kohëzgjatja e intervistës;</w:t>
      </w:r>
      <w:r w:rsidR="009E4AB2" w:rsidRPr="004F2AC3">
        <w:rPr>
          <w:rFonts w:ascii="Garamond" w:hAnsi="Garamond" w:cs="Times New Roman"/>
          <w:color w:val="000000" w:themeColor="text1"/>
          <w:sz w:val="24"/>
          <w:szCs w:val="24"/>
        </w:rPr>
        <w:t xml:space="preserve"> </w:t>
      </w:r>
    </w:p>
    <w:p w14:paraId="178B757D" w14:textId="67A774C7" w:rsidR="009E4AB2"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9E4AB2" w:rsidRPr="004F2AC3">
        <w:rPr>
          <w:rFonts w:ascii="Garamond" w:hAnsi="Garamond" w:cs="Times New Roman"/>
          <w:color w:val="000000" w:themeColor="text1"/>
          <w:sz w:val="24"/>
          <w:szCs w:val="24"/>
        </w:rPr>
        <w:t xml:space="preserve">Në përputhje me parimin nr. 10 </w:t>
      </w:r>
      <w:r w:rsidR="00D32864"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xml:space="preserve">Kosto dhe </w:t>
      </w:r>
      <w:r w:rsidR="00B606A7" w:rsidRPr="004F2AC3">
        <w:rPr>
          <w:rFonts w:ascii="Garamond" w:hAnsi="Garamond" w:cs="Times New Roman"/>
          <w:color w:val="000000" w:themeColor="text1"/>
          <w:sz w:val="24"/>
          <w:szCs w:val="24"/>
        </w:rPr>
        <w:t>efektiviteti</w:t>
      </w:r>
      <w:r w:rsidR="00D32864" w:rsidRPr="004F2AC3">
        <w:rPr>
          <w:rFonts w:ascii="Garamond" w:hAnsi="Garamond" w:cs="Times New Roman"/>
          <w:color w:val="000000" w:themeColor="text1"/>
          <w:sz w:val="24"/>
          <w:szCs w:val="24"/>
        </w:rPr>
        <w:t>”</w:t>
      </w:r>
      <w:r w:rsidR="009E4AB2" w:rsidRPr="004F2AC3">
        <w:rPr>
          <w:rFonts w:ascii="Garamond" w:hAnsi="Garamond" w:cs="Times New Roman"/>
          <w:color w:val="000000" w:themeColor="text1"/>
          <w:sz w:val="24"/>
          <w:szCs w:val="24"/>
        </w:rPr>
        <w:t xml:space="preserve">, të Kodit të Praktikave Evropiane dhe në përmbushje të rekomandimit nr. 19 të </w:t>
      </w:r>
      <w:r w:rsidR="009E4AB2" w:rsidRPr="004F2AC3">
        <w:rPr>
          <w:rFonts w:ascii="Garamond" w:hAnsi="Garamond" w:cs="Times New Roman"/>
          <w:i/>
          <w:color w:val="000000" w:themeColor="text1"/>
          <w:sz w:val="24"/>
          <w:szCs w:val="24"/>
        </w:rPr>
        <w:t>Peer Review</w:t>
      </w:r>
      <w:r w:rsidR="009E4AB2" w:rsidRPr="004F2AC3">
        <w:rPr>
          <w:rFonts w:ascii="Garamond" w:hAnsi="Garamond" w:cs="Times New Roman"/>
          <w:color w:val="000000" w:themeColor="text1"/>
          <w:sz w:val="24"/>
          <w:szCs w:val="24"/>
        </w:rPr>
        <w:t>, për krijimin e një sistemi gjithëpërfshirës që mundëson vlerësimin e kostove të proceseve dhe produkteve të aktiviteteve statistikore dhe për përdorimin e informacionit që rezulton për qëllime menaxhimi, duke përfshirë edhe krahasimin e efikasitetit dhe kosto-efektivitetit, INSTAT</w:t>
      </w:r>
      <w:r w:rsidR="00C221AA" w:rsidRPr="004F2AC3">
        <w:rPr>
          <w:rFonts w:ascii="Garamond" w:hAnsi="Garamond" w:cs="Times New Roman"/>
          <w:color w:val="000000" w:themeColor="text1"/>
          <w:sz w:val="24"/>
          <w:szCs w:val="24"/>
        </w:rPr>
        <w:t>-i</w:t>
      </w:r>
      <w:r w:rsidR="009E4AB2" w:rsidRPr="004F2AC3">
        <w:rPr>
          <w:rFonts w:ascii="Garamond" w:hAnsi="Garamond" w:cs="Times New Roman"/>
          <w:color w:val="000000" w:themeColor="text1"/>
          <w:sz w:val="24"/>
          <w:szCs w:val="24"/>
        </w:rPr>
        <w:t xml:space="preserve"> ka ndërtuar një sistem gjithëpërfshirës që mundëson vlerësimin e kostove të proceseve dhe produkte</w:t>
      </w:r>
      <w:r w:rsidR="00B606A7" w:rsidRPr="004F2AC3">
        <w:rPr>
          <w:rFonts w:ascii="Garamond" w:hAnsi="Garamond" w:cs="Times New Roman"/>
          <w:color w:val="000000" w:themeColor="text1"/>
          <w:sz w:val="24"/>
          <w:szCs w:val="24"/>
        </w:rPr>
        <w:t>ve të aktiviteteve statistikore;</w:t>
      </w:r>
    </w:p>
    <w:p w14:paraId="0CC3DFB8" w14:textId="44ECE0F9" w:rsidR="000F566F" w:rsidRPr="004F2AC3" w:rsidRDefault="00E676AB" w:rsidP="009E4AB2">
      <w:pPr>
        <w:shd w:val="clear" w:color="auto" w:fill="FFFFFF" w:themeFill="background1"/>
        <w:tabs>
          <w:tab w:val="left" w:pos="993"/>
        </w:tabs>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9E4AB2" w:rsidRPr="004F2AC3">
        <w:rPr>
          <w:rFonts w:ascii="Garamond" w:hAnsi="Garamond" w:cs="Times New Roman"/>
          <w:color w:val="000000" w:themeColor="text1"/>
          <w:sz w:val="24"/>
          <w:szCs w:val="24"/>
        </w:rPr>
        <w:t>Implementimi i Modelit të Përgjithshëm të Aktivitetit për Organizatat Statistikore (GAMSO), i cili plotëson Modelin e Përgjithshëm të Procesit Statistikor të Biznesit (GSBPM) me aktivitete shtesë të nevojshme për të mbështetur prodhimin statistikor.</w:t>
      </w:r>
    </w:p>
    <w:p w14:paraId="516A3B3B" w14:textId="221D0489" w:rsidR="000F566F" w:rsidRPr="004F2AC3" w:rsidRDefault="000F566F" w:rsidP="000F566F">
      <w:pPr>
        <w:shd w:val="clear" w:color="auto" w:fill="FFFFFF" w:themeFill="background1"/>
        <w:autoSpaceDE w:val="0"/>
        <w:autoSpaceDN w:val="0"/>
        <w:adjustRightInd w:val="0"/>
        <w:spacing w:after="0" w:line="240" w:lineRule="auto"/>
        <w:ind w:firstLine="284"/>
        <w:jc w:val="both"/>
        <w:rPr>
          <w:rFonts w:ascii="Garamond" w:hAnsi="Garamond" w:cs="Times New Roman"/>
          <w:color w:val="000000" w:themeColor="text1"/>
          <w:sz w:val="24"/>
          <w:szCs w:val="24"/>
          <w:lang w:eastAsia="en-GB"/>
        </w:rPr>
      </w:pPr>
      <w:r w:rsidRPr="004F2AC3">
        <w:rPr>
          <w:rFonts w:ascii="Garamond" w:hAnsi="Garamond" w:cs="Times New Roman"/>
          <w:color w:val="000000" w:themeColor="text1"/>
          <w:sz w:val="24"/>
          <w:szCs w:val="24"/>
          <w:lang w:eastAsia="en-GB"/>
        </w:rPr>
        <w:t>Tabelat më poshtë paraqesin informacion të detajuar mbi planin e vlerave të treguesve të performancës 2026 krahasuar me mesataren 2017</w:t>
      </w:r>
      <w:r w:rsidR="00C221AA"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2021 për secilën fushë statistikore.</w:t>
      </w:r>
    </w:p>
    <w:p w14:paraId="736F38C5" w14:textId="77777777" w:rsidR="000F566F" w:rsidRPr="004F2AC3" w:rsidRDefault="000F566F" w:rsidP="000F566F">
      <w:pPr>
        <w:shd w:val="clear" w:color="auto" w:fill="FFFFFF" w:themeFill="background1"/>
        <w:autoSpaceDE w:val="0"/>
        <w:autoSpaceDN w:val="0"/>
        <w:adjustRightInd w:val="0"/>
        <w:spacing w:after="0" w:line="240" w:lineRule="auto"/>
        <w:ind w:firstLine="284"/>
        <w:jc w:val="both"/>
        <w:rPr>
          <w:rFonts w:ascii="Garamond" w:hAnsi="Garamond" w:cs="Times New Roman"/>
          <w:b/>
          <w:color w:val="000000" w:themeColor="text1"/>
          <w:sz w:val="24"/>
          <w:szCs w:val="24"/>
        </w:rPr>
      </w:pPr>
    </w:p>
    <w:p w14:paraId="0CE1E4D1" w14:textId="184B408A" w:rsidR="000F566F" w:rsidRPr="004F2AC3" w:rsidRDefault="000F566F" w:rsidP="000F566F">
      <w:pPr>
        <w:shd w:val="clear" w:color="auto" w:fill="FFFFFF" w:themeFill="background1"/>
        <w:autoSpaceDE w:val="0"/>
        <w:autoSpaceDN w:val="0"/>
        <w:adjustRightInd w:val="0"/>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21</w:t>
      </w:r>
      <w:r w:rsidR="00C221AA"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Menaxhimi i </w:t>
      </w:r>
      <w:r w:rsidR="00C221AA" w:rsidRPr="004F2AC3">
        <w:rPr>
          <w:rFonts w:ascii="Garamond" w:hAnsi="Garamond" w:cs="Times New Roman"/>
          <w:b/>
          <w:color w:val="000000" w:themeColor="text1"/>
          <w:sz w:val="24"/>
          <w:szCs w:val="24"/>
        </w:rPr>
        <w:t>c</w:t>
      </w:r>
      <w:r w:rsidRPr="004F2AC3">
        <w:rPr>
          <w:rFonts w:ascii="Garamond" w:hAnsi="Garamond" w:cs="Times New Roman"/>
          <w:b/>
          <w:color w:val="000000" w:themeColor="text1"/>
          <w:sz w:val="24"/>
          <w:szCs w:val="24"/>
        </w:rPr>
        <w:t xml:space="preserve">ilësisë për </w:t>
      </w:r>
      <w:r w:rsidR="00C221AA" w:rsidRPr="004F2AC3">
        <w:rPr>
          <w:rFonts w:ascii="Garamond" w:hAnsi="Garamond" w:cs="Times New Roman"/>
          <w:b/>
          <w:color w:val="000000" w:themeColor="text1"/>
          <w:sz w:val="24"/>
          <w:szCs w:val="24"/>
        </w:rPr>
        <w:t>f</w:t>
      </w:r>
      <w:r w:rsidRPr="004F2AC3">
        <w:rPr>
          <w:rFonts w:ascii="Garamond" w:hAnsi="Garamond" w:cs="Times New Roman"/>
          <w:b/>
          <w:color w:val="000000" w:themeColor="text1"/>
          <w:sz w:val="24"/>
          <w:szCs w:val="24"/>
        </w:rPr>
        <w:t xml:space="preserve">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B606A7" w:rsidRPr="004F2AC3">
        <w:rPr>
          <w:rFonts w:ascii="Garamond" w:hAnsi="Garamond" w:cs="Times New Roman"/>
          <w:b/>
          <w:color w:val="000000" w:themeColor="text1"/>
          <w:sz w:val="24"/>
          <w:szCs w:val="24"/>
        </w:rPr>
        <w:t xml:space="preserve">sociale </w:t>
      </w:r>
      <w:r w:rsidRPr="004F2AC3">
        <w:rPr>
          <w:rFonts w:ascii="Garamond" w:hAnsi="Garamond" w:cs="Times New Roman"/>
          <w:b/>
          <w:color w:val="000000" w:themeColor="text1"/>
          <w:sz w:val="24"/>
          <w:szCs w:val="24"/>
        </w:rPr>
        <w:t xml:space="preserve">dhe </w:t>
      </w:r>
      <w:r w:rsidR="00B606A7" w:rsidRPr="004F2AC3">
        <w:rPr>
          <w:rFonts w:ascii="Garamond" w:hAnsi="Garamond" w:cs="Times New Roman"/>
          <w:b/>
          <w:color w:val="000000" w:themeColor="text1"/>
          <w:sz w:val="24"/>
          <w:szCs w:val="24"/>
        </w:rPr>
        <w:t>demografike</w:t>
      </w:r>
      <w:r w:rsidR="00D32864" w:rsidRPr="004F2AC3">
        <w:rPr>
          <w:rFonts w:ascii="Garamond" w:hAnsi="Garamond" w:cs="Times New Roman"/>
          <w:b/>
          <w:color w:val="000000" w:themeColor="text1"/>
          <w:sz w:val="24"/>
          <w:szCs w:val="24"/>
        </w:rPr>
        <w:t>”</w:t>
      </w:r>
    </w:p>
    <w:tbl>
      <w:tblPr>
        <w:tblW w:w="9098" w:type="dxa"/>
        <w:tblInd w:w="-10" w:type="dxa"/>
        <w:tblLook w:val="04A0" w:firstRow="1" w:lastRow="0" w:firstColumn="1" w:lastColumn="0" w:noHBand="0" w:noVBand="1"/>
      </w:tblPr>
      <w:tblGrid>
        <w:gridCol w:w="5405"/>
        <w:gridCol w:w="1351"/>
        <w:gridCol w:w="2342"/>
      </w:tblGrid>
      <w:tr w:rsidR="000F566F" w:rsidRPr="004F2AC3" w14:paraId="0A70046C" w14:textId="77777777" w:rsidTr="00B66BF4">
        <w:trPr>
          <w:trHeight w:val="403"/>
        </w:trPr>
        <w:tc>
          <w:tcPr>
            <w:tcW w:w="5405" w:type="dxa"/>
            <w:tcBorders>
              <w:top w:val="single" w:sz="8" w:space="0" w:color="4F81BD"/>
              <w:left w:val="single" w:sz="8" w:space="0" w:color="4F81BD"/>
              <w:bottom w:val="nil"/>
              <w:right w:val="nil"/>
            </w:tcBorders>
            <w:shd w:val="clear" w:color="000000" w:fill="4472C4"/>
            <w:noWrap/>
            <w:vAlign w:val="center"/>
            <w:hideMark/>
          </w:tcPr>
          <w:p w14:paraId="5113D428" w14:textId="77777777" w:rsidR="000F566F" w:rsidRPr="004F2AC3" w:rsidRDefault="000F566F" w:rsidP="009E4AB2">
            <w:pPr>
              <w:spacing w:after="0" w:line="240" w:lineRule="auto"/>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Aktivitetet</w:t>
            </w:r>
          </w:p>
        </w:tc>
        <w:tc>
          <w:tcPr>
            <w:tcW w:w="1351" w:type="dxa"/>
            <w:tcBorders>
              <w:top w:val="single" w:sz="8" w:space="0" w:color="4F81BD"/>
              <w:left w:val="nil"/>
              <w:bottom w:val="nil"/>
              <w:right w:val="nil"/>
            </w:tcBorders>
            <w:shd w:val="clear" w:color="000000" w:fill="4472C4"/>
            <w:vAlign w:val="center"/>
            <w:hideMark/>
          </w:tcPr>
          <w:p w14:paraId="00BEDF26" w14:textId="6439D757" w:rsidR="000F566F" w:rsidRPr="004F2AC3" w:rsidRDefault="00684E85" w:rsidP="009E4AB2">
            <w:pPr>
              <w:spacing w:after="0" w:line="240" w:lineRule="auto"/>
              <w:jc w:val="right"/>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 xml:space="preserve"> </w:t>
            </w:r>
            <w:r w:rsidR="000F566F" w:rsidRPr="004F2AC3">
              <w:rPr>
                <w:rFonts w:ascii="Garamond" w:eastAsia="Times New Roman" w:hAnsi="Garamond" w:cs="Times New Roman"/>
                <w:b/>
                <w:bCs/>
                <w:color w:val="000000" w:themeColor="text1"/>
                <w:sz w:val="20"/>
                <w:szCs w:val="24"/>
              </w:rPr>
              <w:t>2017</w:t>
            </w:r>
            <w:r w:rsidR="00C221AA" w:rsidRPr="004F2AC3">
              <w:rPr>
                <w:rFonts w:ascii="Garamond" w:hAnsi="Garamond" w:cs="Times New Roman"/>
                <w:color w:val="000000" w:themeColor="text1"/>
                <w:sz w:val="20"/>
                <w:szCs w:val="20"/>
                <w:lang w:eastAsia="en-GB"/>
              </w:rPr>
              <w:t>–</w:t>
            </w:r>
            <w:r w:rsidR="000F566F" w:rsidRPr="004F2AC3">
              <w:rPr>
                <w:rFonts w:ascii="Garamond" w:eastAsia="Times New Roman" w:hAnsi="Garamond" w:cs="Times New Roman"/>
                <w:b/>
                <w:bCs/>
                <w:color w:val="000000" w:themeColor="text1"/>
                <w:sz w:val="20"/>
                <w:szCs w:val="24"/>
              </w:rPr>
              <w:t>2021</w:t>
            </w:r>
          </w:p>
        </w:tc>
        <w:tc>
          <w:tcPr>
            <w:tcW w:w="2342" w:type="dxa"/>
            <w:tcBorders>
              <w:top w:val="single" w:sz="8" w:space="0" w:color="4F81BD"/>
              <w:left w:val="nil"/>
              <w:bottom w:val="nil"/>
              <w:right w:val="single" w:sz="8" w:space="0" w:color="4F81BD"/>
            </w:tcBorders>
            <w:shd w:val="clear" w:color="000000" w:fill="4472C4"/>
            <w:noWrap/>
            <w:vAlign w:val="center"/>
            <w:hideMark/>
          </w:tcPr>
          <w:p w14:paraId="35835566" w14:textId="4B544558" w:rsidR="000F566F" w:rsidRPr="004F2AC3" w:rsidRDefault="00684E85" w:rsidP="009E4AB2">
            <w:pPr>
              <w:spacing w:after="0" w:line="240" w:lineRule="auto"/>
              <w:jc w:val="center"/>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 xml:space="preserve"> </w:t>
            </w:r>
            <w:r w:rsidR="000F566F" w:rsidRPr="004F2AC3">
              <w:rPr>
                <w:rFonts w:ascii="Garamond" w:eastAsia="Times New Roman" w:hAnsi="Garamond" w:cs="Times New Roman"/>
                <w:b/>
                <w:bCs/>
                <w:color w:val="000000" w:themeColor="text1"/>
                <w:sz w:val="20"/>
                <w:szCs w:val="24"/>
              </w:rPr>
              <w:t>2026</w:t>
            </w:r>
          </w:p>
        </w:tc>
      </w:tr>
      <w:tr w:rsidR="000F566F" w:rsidRPr="004F2AC3" w14:paraId="457A7243" w14:textId="77777777" w:rsidTr="00B66BF4">
        <w:trPr>
          <w:trHeight w:val="254"/>
        </w:trPr>
        <w:tc>
          <w:tcPr>
            <w:tcW w:w="5405" w:type="dxa"/>
            <w:tcBorders>
              <w:top w:val="single" w:sz="8" w:space="0" w:color="4F81BD"/>
              <w:left w:val="single" w:sz="8" w:space="0" w:color="4F81BD"/>
              <w:bottom w:val="single" w:sz="8" w:space="0" w:color="4F81BD"/>
              <w:right w:val="nil"/>
            </w:tcBorders>
            <w:shd w:val="clear" w:color="auto" w:fill="auto"/>
            <w:vAlign w:val="center"/>
            <w:hideMark/>
          </w:tcPr>
          <w:p w14:paraId="0666646D" w14:textId="33F596EC" w:rsidR="000F566F" w:rsidRPr="004F2AC3" w:rsidRDefault="000F566F" w:rsidP="00C221AA">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Dokumentimi sipas standar</w:t>
            </w:r>
            <w:r w:rsidR="00C221AA" w:rsidRPr="004F2AC3">
              <w:rPr>
                <w:rFonts w:ascii="Garamond" w:eastAsia="Times New Roman" w:hAnsi="Garamond" w:cs="Times New Roman"/>
                <w:bCs/>
                <w:color w:val="000000" w:themeColor="text1"/>
                <w:sz w:val="20"/>
                <w:szCs w:val="24"/>
              </w:rPr>
              <w:t>d</w:t>
            </w:r>
            <w:r w:rsidRPr="004F2AC3">
              <w:rPr>
                <w:rFonts w:ascii="Garamond" w:eastAsia="Times New Roman" w:hAnsi="Garamond" w:cs="Times New Roman"/>
                <w:bCs/>
                <w:color w:val="000000" w:themeColor="text1"/>
                <w:sz w:val="20"/>
                <w:szCs w:val="24"/>
              </w:rPr>
              <w:t>it GSBPM</w:t>
            </w:r>
          </w:p>
        </w:tc>
        <w:tc>
          <w:tcPr>
            <w:tcW w:w="1351" w:type="dxa"/>
            <w:tcBorders>
              <w:top w:val="single" w:sz="8" w:space="0" w:color="4F81BD"/>
              <w:left w:val="nil"/>
              <w:bottom w:val="single" w:sz="8" w:space="0" w:color="4F81BD"/>
              <w:right w:val="nil"/>
            </w:tcBorders>
            <w:shd w:val="clear" w:color="auto" w:fill="auto"/>
            <w:vAlign w:val="center"/>
            <w:hideMark/>
          </w:tcPr>
          <w:p w14:paraId="21275E20"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15</w:t>
            </w:r>
          </w:p>
        </w:tc>
        <w:tc>
          <w:tcPr>
            <w:tcW w:w="2342" w:type="dxa"/>
            <w:tcBorders>
              <w:top w:val="single" w:sz="8" w:space="0" w:color="4F81BD"/>
              <w:left w:val="nil"/>
              <w:bottom w:val="single" w:sz="8" w:space="0" w:color="4F81BD"/>
              <w:right w:val="single" w:sz="8" w:space="0" w:color="4F81BD"/>
            </w:tcBorders>
            <w:shd w:val="clear" w:color="auto" w:fill="auto"/>
            <w:vAlign w:val="center"/>
            <w:hideMark/>
          </w:tcPr>
          <w:p w14:paraId="7E52B1C3" w14:textId="2AD848EE"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18</w:t>
            </w:r>
          </w:p>
        </w:tc>
      </w:tr>
      <w:tr w:rsidR="000F566F" w:rsidRPr="004F2AC3" w14:paraId="21986178" w14:textId="77777777" w:rsidTr="00B66BF4">
        <w:trPr>
          <w:trHeight w:val="304"/>
        </w:trPr>
        <w:tc>
          <w:tcPr>
            <w:tcW w:w="5405" w:type="dxa"/>
            <w:tcBorders>
              <w:top w:val="nil"/>
              <w:left w:val="single" w:sz="8" w:space="0" w:color="4F81BD"/>
              <w:bottom w:val="nil"/>
              <w:right w:val="nil"/>
            </w:tcBorders>
            <w:shd w:val="clear" w:color="auto" w:fill="auto"/>
            <w:vAlign w:val="center"/>
            <w:hideMark/>
          </w:tcPr>
          <w:p w14:paraId="057E47E4"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 xml:space="preserve">Matja e kostos së aktiviteteve statistikore </w:t>
            </w:r>
          </w:p>
        </w:tc>
        <w:tc>
          <w:tcPr>
            <w:tcW w:w="1351" w:type="dxa"/>
            <w:tcBorders>
              <w:top w:val="nil"/>
              <w:left w:val="nil"/>
              <w:bottom w:val="nil"/>
              <w:right w:val="nil"/>
            </w:tcBorders>
            <w:shd w:val="clear" w:color="auto" w:fill="auto"/>
            <w:vAlign w:val="center"/>
            <w:hideMark/>
          </w:tcPr>
          <w:p w14:paraId="5898973F"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0</w:t>
            </w:r>
          </w:p>
        </w:tc>
        <w:tc>
          <w:tcPr>
            <w:tcW w:w="2342" w:type="dxa"/>
            <w:tcBorders>
              <w:top w:val="nil"/>
              <w:left w:val="nil"/>
              <w:bottom w:val="nil"/>
              <w:right w:val="single" w:sz="8" w:space="0" w:color="4F81BD"/>
            </w:tcBorders>
            <w:shd w:val="clear" w:color="auto" w:fill="auto"/>
            <w:noWrap/>
            <w:vAlign w:val="center"/>
            <w:hideMark/>
          </w:tcPr>
          <w:p w14:paraId="70EF262C" w14:textId="3529BB99"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18</w:t>
            </w:r>
          </w:p>
        </w:tc>
      </w:tr>
      <w:tr w:rsidR="000F566F" w:rsidRPr="004F2AC3" w14:paraId="1B4DCB62" w14:textId="77777777" w:rsidTr="00B66BF4">
        <w:trPr>
          <w:trHeight w:val="238"/>
        </w:trPr>
        <w:tc>
          <w:tcPr>
            <w:tcW w:w="5405" w:type="dxa"/>
            <w:tcBorders>
              <w:top w:val="single" w:sz="8" w:space="0" w:color="4F81BD"/>
              <w:left w:val="single" w:sz="8" w:space="0" w:color="4F81BD"/>
              <w:bottom w:val="single" w:sz="8" w:space="0" w:color="4F81BD"/>
              <w:right w:val="nil"/>
            </w:tcBorders>
            <w:shd w:val="clear" w:color="auto" w:fill="auto"/>
            <w:vAlign w:val="center"/>
            <w:hideMark/>
          </w:tcPr>
          <w:p w14:paraId="6DDFF941"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Auditi Statistikor</w:t>
            </w:r>
          </w:p>
        </w:tc>
        <w:tc>
          <w:tcPr>
            <w:tcW w:w="1351" w:type="dxa"/>
            <w:tcBorders>
              <w:top w:val="single" w:sz="8" w:space="0" w:color="4F81BD"/>
              <w:left w:val="nil"/>
              <w:bottom w:val="single" w:sz="8" w:space="0" w:color="4F81BD"/>
              <w:right w:val="nil"/>
            </w:tcBorders>
            <w:shd w:val="clear" w:color="auto" w:fill="auto"/>
            <w:vAlign w:val="center"/>
            <w:hideMark/>
          </w:tcPr>
          <w:p w14:paraId="446A2973"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0</w:t>
            </w:r>
          </w:p>
        </w:tc>
        <w:tc>
          <w:tcPr>
            <w:tcW w:w="2342" w:type="dxa"/>
            <w:tcBorders>
              <w:top w:val="single" w:sz="8" w:space="0" w:color="4F81BD"/>
              <w:left w:val="nil"/>
              <w:bottom w:val="single" w:sz="8" w:space="0" w:color="4F81BD"/>
              <w:right w:val="single" w:sz="8" w:space="0" w:color="4F81BD"/>
            </w:tcBorders>
            <w:shd w:val="clear" w:color="auto" w:fill="auto"/>
            <w:noWrap/>
            <w:vAlign w:val="center"/>
            <w:hideMark/>
          </w:tcPr>
          <w:p w14:paraId="37C4FDEA" w14:textId="579EA8BC"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0</w:t>
            </w:r>
          </w:p>
        </w:tc>
      </w:tr>
      <w:tr w:rsidR="000F566F" w:rsidRPr="004F2AC3" w14:paraId="0DBB812A" w14:textId="77777777" w:rsidTr="00B66BF4">
        <w:trPr>
          <w:trHeight w:val="229"/>
        </w:trPr>
        <w:tc>
          <w:tcPr>
            <w:tcW w:w="5405" w:type="dxa"/>
            <w:tcBorders>
              <w:top w:val="nil"/>
              <w:left w:val="single" w:sz="8" w:space="0" w:color="4F81BD"/>
              <w:bottom w:val="nil"/>
              <w:right w:val="nil"/>
            </w:tcBorders>
            <w:shd w:val="clear" w:color="auto" w:fill="auto"/>
            <w:vAlign w:val="center"/>
            <w:hideMark/>
          </w:tcPr>
          <w:p w14:paraId="12802C1F"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Pyetësori i vetëvlerësimit</w:t>
            </w:r>
          </w:p>
        </w:tc>
        <w:tc>
          <w:tcPr>
            <w:tcW w:w="1351" w:type="dxa"/>
            <w:tcBorders>
              <w:top w:val="nil"/>
              <w:left w:val="nil"/>
              <w:bottom w:val="nil"/>
              <w:right w:val="nil"/>
            </w:tcBorders>
            <w:shd w:val="clear" w:color="auto" w:fill="auto"/>
            <w:vAlign w:val="center"/>
            <w:hideMark/>
          </w:tcPr>
          <w:p w14:paraId="5A29599B"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0</w:t>
            </w:r>
          </w:p>
        </w:tc>
        <w:tc>
          <w:tcPr>
            <w:tcW w:w="2342" w:type="dxa"/>
            <w:tcBorders>
              <w:top w:val="nil"/>
              <w:left w:val="nil"/>
              <w:bottom w:val="nil"/>
              <w:right w:val="single" w:sz="8" w:space="0" w:color="4F81BD"/>
            </w:tcBorders>
            <w:shd w:val="clear" w:color="auto" w:fill="auto"/>
            <w:noWrap/>
            <w:vAlign w:val="center"/>
            <w:hideMark/>
          </w:tcPr>
          <w:p w14:paraId="7F5F7FEC" w14:textId="56575C4C"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1</w:t>
            </w:r>
          </w:p>
        </w:tc>
      </w:tr>
      <w:tr w:rsidR="000F566F" w:rsidRPr="004F2AC3" w14:paraId="77CA08E3" w14:textId="77777777" w:rsidTr="00B66BF4">
        <w:trPr>
          <w:trHeight w:val="229"/>
        </w:trPr>
        <w:tc>
          <w:tcPr>
            <w:tcW w:w="5405" w:type="dxa"/>
            <w:tcBorders>
              <w:top w:val="single" w:sz="8" w:space="0" w:color="4F81BD"/>
              <w:left w:val="single" w:sz="8" w:space="0" w:color="4F81BD"/>
              <w:bottom w:val="single" w:sz="8" w:space="0" w:color="4F81BD"/>
              <w:right w:val="nil"/>
            </w:tcBorders>
            <w:shd w:val="clear" w:color="auto" w:fill="auto"/>
            <w:vAlign w:val="center"/>
            <w:hideMark/>
          </w:tcPr>
          <w:p w14:paraId="6D56E89E"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Raportet e cilësisë/metadatat sipas fushave</w:t>
            </w:r>
          </w:p>
        </w:tc>
        <w:tc>
          <w:tcPr>
            <w:tcW w:w="1351" w:type="dxa"/>
            <w:tcBorders>
              <w:top w:val="single" w:sz="8" w:space="0" w:color="4F81BD"/>
              <w:left w:val="nil"/>
              <w:bottom w:val="single" w:sz="8" w:space="0" w:color="4F81BD"/>
              <w:right w:val="nil"/>
            </w:tcBorders>
            <w:shd w:val="clear" w:color="auto" w:fill="auto"/>
            <w:vAlign w:val="center"/>
            <w:hideMark/>
          </w:tcPr>
          <w:p w14:paraId="3A26F6BA"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14</w:t>
            </w:r>
          </w:p>
        </w:tc>
        <w:tc>
          <w:tcPr>
            <w:tcW w:w="2342" w:type="dxa"/>
            <w:tcBorders>
              <w:top w:val="single" w:sz="8" w:space="0" w:color="4F81BD"/>
              <w:left w:val="nil"/>
              <w:bottom w:val="single" w:sz="8" w:space="0" w:color="4F81BD"/>
              <w:right w:val="single" w:sz="8" w:space="0" w:color="4F81BD"/>
            </w:tcBorders>
            <w:shd w:val="clear" w:color="auto" w:fill="auto"/>
            <w:vAlign w:val="center"/>
            <w:hideMark/>
          </w:tcPr>
          <w:p w14:paraId="03D404D5" w14:textId="7CFE4A19"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22</w:t>
            </w:r>
          </w:p>
        </w:tc>
      </w:tr>
      <w:tr w:rsidR="000F566F" w:rsidRPr="004F2AC3" w14:paraId="077A564F" w14:textId="77777777" w:rsidTr="00B66BF4">
        <w:trPr>
          <w:trHeight w:val="229"/>
        </w:trPr>
        <w:tc>
          <w:tcPr>
            <w:tcW w:w="5405" w:type="dxa"/>
            <w:tcBorders>
              <w:top w:val="nil"/>
              <w:left w:val="single" w:sz="8" w:space="0" w:color="4F81BD"/>
              <w:bottom w:val="single" w:sz="8" w:space="0" w:color="4F81BD"/>
              <w:right w:val="nil"/>
            </w:tcBorders>
            <w:shd w:val="clear" w:color="auto" w:fill="auto"/>
            <w:vAlign w:val="center"/>
            <w:hideMark/>
          </w:tcPr>
          <w:p w14:paraId="1CC3DE6F"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Raportet e cilësisë/metadatat sipas fushave të reja</w:t>
            </w:r>
          </w:p>
        </w:tc>
        <w:tc>
          <w:tcPr>
            <w:tcW w:w="1351" w:type="dxa"/>
            <w:tcBorders>
              <w:top w:val="nil"/>
              <w:left w:val="nil"/>
              <w:bottom w:val="single" w:sz="8" w:space="0" w:color="4F81BD"/>
              <w:right w:val="nil"/>
            </w:tcBorders>
            <w:shd w:val="clear" w:color="auto" w:fill="auto"/>
            <w:vAlign w:val="center"/>
            <w:hideMark/>
          </w:tcPr>
          <w:p w14:paraId="21390671"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w:t>
            </w:r>
          </w:p>
        </w:tc>
        <w:tc>
          <w:tcPr>
            <w:tcW w:w="2342" w:type="dxa"/>
            <w:tcBorders>
              <w:top w:val="nil"/>
              <w:left w:val="nil"/>
              <w:bottom w:val="single" w:sz="8" w:space="0" w:color="4F81BD"/>
              <w:right w:val="single" w:sz="8" w:space="0" w:color="4F81BD"/>
            </w:tcBorders>
            <w:shd w:val="clear" w:color="auto" w:fill="auto"/>
            <w:noWrap/>
            <w:vAlign w:val="center"/>
            <w:hideMark/>
          </w:tcPr>
          <w:p w14:paraId="23B8E6C8" w14:textId="7FCEE1EC"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1</w:t>
            </w:r>
          </w:p>
        </w:tc>
      </w:tr>
    </w:tbl>
    <w:p w14:paraId="7280D275" w14:textId="77777777" w:rsidR="000F566F" w:rsidRPr="004F2AC3" w:rsidRDefault="000F566F" w:rsidP="000F566F">
      <w:pPr>
        <w:shd w:val="clear" w:color="auto" w:fill="FFFFFF"/>
        <w:autoSpaceDE w:val="0"/>
        <w:autoSpaceDN w:val="0"/>
        <w:adjustRightInd w:val="0"/>
        <w:spacing w:after="0" w:line="240" w:lineRule="auto"/>
        <w:ind w:firstLine="284"/>
        <w:jc w:val="both"/>
        <w:rPr>
          <w:rFonts w:ascii="Garamond" w:hAnsi="Garamond" w:cs="Times New Roman"/>
          <w:b/>
          <w:i/>
          <w:color w:val="000000" w:themeColor="text1"/>
          <w:sz w:val="24"/>
          <w:szCs w:val="24"/>
        </w:rPr>
      </w:pPr>
    </w:p>
    <w:p w14:paraId="5316BA94" w14:textId="23A43A28" w:rsidR="000F566F" w:rsidRPr="004F2AC3" w:rsidRDefault="000F566F" w:rsidP="000F566F">
      <w:pPr>
        <w:shd w:val="clear" w:color="auto" w:fill="FFFFFF"/>
        <w:autoSpaceDE w:val="0"/>
        <w:autoSpaceDN w:val="0"/>
        <w:adjustRightInd w:val="0"/>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22</w:t>
      </w:r>
      <w:r w:rsidR="00C221AA"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Menaxhimi i </w:t>
      </w:r>
      <w:r w:rsidR="00C221AA" w:rsidRPr="004F2AC3">
        <w:rPr>
          <w:rFonts w:ascii="Garamond" w:hAnsi="Garamond" w:cs="Times New Roman"/>
          <w:b/>
          <w:color w:val="000000" w:themeColor="text1"/>
          <w:sz w:val="24"/>
          <w:szCs w:val="24"/>
        </w:rPr>
        <w:t xml:space="preserve">cilësisë për 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w:t>
      </w:r>
      <w:r w:rsidR="00D61A72" w:rsidRPr="004F2AC3">
        <w:rPr>
          <w:rFonts w:ascii="Garamond" w:hAnsi="Garamond" w:cs="Times New Roman"/>
          <w:b/>
          <w:color w:val="000000" w:themeColor="text1"/>
          <w:sz w:val="24"/>
          <w:szCs w:val="24"/>
        </w:rPr>
        <w:t>ekonomike</w:t>
      </w:r>
      <w:r w:rsidR="00D32864" w:rsidRPr="004F2AC3">
        <w:rPr>
          <w:rFonts w:ascii="Garamond" w:hAnsi="Garamond" w:cs="Times New Roman"/>
          <w:b/>
          <w:color w:val="000000" w:themeColor="text1"/>
          <w:sz w:val="24"/>
          <w:szCs w:val="24"/>
        </w:rPr>
        <w:t>”</w:t>
      </w:r>
    </w:p>
    <w:tbl>
      <w:tblPr>
        <w:tblW w:w="9162" w:type="dxa"/>
        <w:tblInd w:w="-10" w:type="dxa"/>
        <w:tblLook w:val="04A0" w:firstRow="1" w:lastRow="0" w:firstColumn="1" w:lastColumn="0" w:noHBand="0" w:noVBand="1"/>
      </w:tblPr>
      <w:tblGrid>
        <w:gridCol w:w="6481"/>
        <w:gridCol w:w="1657"/>
        <w:gridCol w:w="1024"/>
      </w:tblGrid>
      <w:tr w:rsidR="000F566F" w:rsidRPr="004F2AC3" w14:paraId="7ADA92ED" w14:textId="77777777" w:rsidTr="00B66BF4">
        <w:trPr>
          <w:trHeight w:val="239"/>
        </w:trPr>
        <w:tc>
          <w:tcPr>
            <w:tcW w:w="0" w:type="auto"/>
            <w:tcBorders>
              <w:top w:val="single" w:sz="8" w:space="0" w:color="4F81BD"/>
              <w:left w:val="single" w:sz="8" w:space="0" w:color="4F81BD"/>
              <w:bottom w:val="nil"/>
              <w:right w:val="nil"/>
            </w:tcBorders>
            <w:shd w:val="clear" w:color="000000" w:fill="4472C4"/>
            <w:vAlign w:val="center"/>
            <w:hideMark/>
          </w:tcPr>
          <w:p w14:paraId="2A00A525" w14:textId="77777777" w:rsidR="000F566F" w:rsidRPr="004F2AC3" w:rsidRDefault="000F566F" w:rsidP="009E4AB2">
            <w:pPr>
              <w:spacing w:after="0" w:line="240" w:lineRule="auto"/>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 xml:space="preserve">Aktivitetet </w:t>
            </w:r>
          </w:p>
        </w:tc>
        <w:tc>
          <w:tcPr>
            <w:tcW w:w="0" w:type="auto"/>
            <w:tcBorders>
              <w:top w:val="single" w:sz="8" w:space="0" w:color="4F81BD"/>
              <w:left w:val="nil"/>
              <w:bottom w:val="nil"/>
              <w:right w:val="nil"/>
            </w:tcBorders>
            <w:shd w:val="clear" w:color="000000" w:fill="4472C4"/>
            <w:vAlign w:val="center"/>
            <w:hideMark/>
          </w:tcPr>
          <w:p w14:paraId="75CC4D10" w14:textId="3BBC0938" w:rsidR="000F566F" w:rsidRPr="004F2AC3" w:rsidRDefault="000F566F" w:rsidP="009E4AB2">
            <w:pPr>
              <w:spacing w:after="0" w:line="240" w:lineRule="auto"/>
              <w:jc w:val="center"/>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2017</w:t>
            </w:r>
            <w:r w:rsidR="00C221AA" w:rsidRPr="004F2AC3">
              <w:rPr>
                <w:rFonts w:ascii="Garamond" w:hAnsi="Garamond" w:cs="Times New Roman"/>
                <w:color w:val="000000" w:themeColor="text1"/>
                <w:sz w:val="20"/>
                <w:szCs w:val="20"/>
                <w:lang w:eastAsia="en-GB"/>
              </w:rPr>
              <w:t>–</w:t>
            </w:r>
            <w:r w:rsidRPr="004F2AC3">
              <w:rPr>
                <w:rFonts w:ascii="Garamond" w:eastAsia="Times New Roman" w:hAnsi="Garamond" w:cs="Times New Roman"/>
                <w:b/>
                <w:bCs/>
                <w:color w:val="000000" w:themeColor="text1"/>
                <w:sz w:val="20"/>
                <w:szCs w:val="24"/>
              </w:rPr>
              <w:t>2021</w:t>
            </w:r>
          </w:p>
        </w:tc>
        <w:tc>
          <w:tcPr>
            <w:tcW w:w="0" w:type="auto"/>
            <w:tcBorders>
              <w:top w:val="single" w:sz="8" w:space="0" w:color="4F81BD"/>
              <w:left w:val="nil"/>
              <w:bottom w:val="nil"/>
              <w:right w:val="single" w:sz="8" w:space="0" w:color="4F81BD"/>
            </w:tcBorders>
            <w:shd w:val="clear" w:color="000000" w:fill="4472C4"/>
            <w:vAlign w:val="center"/>
            <w:hideMark/>
          </w:tcPr>
          <w:p w14:paraId="39B549BC" w14:textId="77777777" w:rsidR="000F566F" w:rsidRPr="004F2AC3" w:rsidRDefault="000F566F" w:rsidP="009E4AB2">
            <w:pPr>
              <w:spacing w:after="0" w:line="240" w:lineRule="auto"/>
              <w:jc w:val="center"/>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 xml:space="preserve"> 2026</w:t>
            </w:r>
          </w:p>
        </w:tc>
      </w:tr>
      <w:tr w:rsidR="000F566F" w:rsidRPr="004F2AC3" w14:paraId="267F4D95" w14:textId="77777777" w:rsidTr="00B66BF4">
        <w:trPr>
          <w:trHeight w:val="239"/>
        </w:trPr>
        <w:tc>
          <w:tcPr>
            <w:tcW w:w="0" w:type="auto"/>
            <w:tcBorders>
              <w:top w:val="single" w:sz="8" w:space="0" w:color="4F81BD"/>
              <w:left w:val="single" w:sz="8" w:space="0" w:color="4F81BD"/>
              <w:bottom w:val="single" w:sz="8" w:space="0" w:color="4F81BD"/>
              <w:right w:val="nil"/>
            </w:tcBorders>
            <w:shd w:val="clear" w:color="auto" w:fill="auto"/>
            <w:vAlign w:val="center"/>
            <w:hideMark/>
          </w:tcPr>
          <w:p w14:paraId="2E4381F0" w14:textId="18B49E8F" w:rsidR="000F566F" w:rsidRPr="004F2AC3" w:rsidRDefault="000F566F" w:rsidP="00C221AA">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Dokumentimi sipas standar</w:t>
            </w:r>
            <w:r w:rsidR="00C221AA" w:rsidRPr="004F2AC3">
              <w:rPr>
                <w:rFonts w:ascii="Garamond" w:eastAsia="Times New Roman" w:hAnsi="Garamond" w:cs="Times New Roman"/>
                <w:bCs/>
                <w:color w:val="000000" w:themeColor="text1"/>
                <w:sz w:val="20"/>
                <w:szCs w:val="24"/>
              </w:rPr>
              <w:t>d</w:t>
            </w:r>
            <w:r w:rsidRPr="004F2AC3">
              <w:rPr>
                <w:rFonts w:ascii="Garamond" w:eastAsia="Times New Roman" w:hAnsi="Garamond" w:cs="Times New Roman"/>
                <w:bCs/>
                <w:color w:val="000000" w:themeColor="text1"/>
                <w:sz w:val="20"/>
                <w:szCs w:val="24"/>
              </w:rPr>
              <w:t>it GSBPM</w:t>
            </w:r>
          </w:p>
        </w:tc>
        <w:tc>
          <w:tcPr>
            <w:tcW w:w="0" w:type="auto"/>
            <w:tcBorders>
              <w:top w:val="single" w:sz="8" w:space="0" w:color="4F81BD"/>
              <w:left w:val="nil"/>
              <w:bottom w:val="single" w:sz="8" w:space="0" w:color="4F81BD"/>
              <w:right w:val="nil"/>
            </w:tcBorders>
            <w:shd w:val="clear" w:color="auto" w:fill="auto"/>
            <w:vAlign w:val="center"/>
            <w:hideMark/>
          </w:tcPr>
          <w:p w14:paraId="6EDCA721"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13</w:t>
            </w:r>
          </w:p>
        </w:tc>
        <w:tc>
          <w:tcPr>
            <w:tcW w:w="0" w:type="auto"/>
            <w:tcBorders>
              <w:top w:val="single" w:sz="8" w:space="0" w:color="4F81BD"/>
              <w:left w:val="nil"/>
              <w:bottom w:val="single" w:sz="8" w:space="0" w:color="4F81BD"/>
              <w:right w:val="single" w:sz="8" w:space="0" w:color="4F81BD"/>
            </w:tcBorders>
            <w:shd w:val="clear" w:color="auto" w:fill="auto"/>
            <w:vAlign w:val="center"/>
            <w:hideMark/>
          </w:tcPr>
          <w:p w14:paraId="2204A01D" w14:textId="6C91FE31"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17</w:t>
            </w:r>
          </w:p>
        </w:tc>
      </w:tr>
      <w:tr w:rsidR="000F566F" w:rsidRPr="004F2AC3" w14:paraId="1C383755" w14:textId="77777777" w:rsidTr="00B66BF4">
        <w:trPr>
          <w:trHeight w:val="239"/>
        </w:trPr>
        <w:tc>
          <w:tcPr>
            <w:tcW w:w="0" w:type="auto"/>
            <w:tcBorders>
              <w:top w:val="nil"/>
              <w:left w:val="single" w:sz="8" w:space="0" w:color="4F81BD"/>
              <w:bottom w:val="nil"/>
              <w:right w:val="nil"/>
            </w:tcBorders>
            <w:shd w:val="clear" w:color="auto" w:fill="auto"/>
            <w:vAlign w:val="center"/>
            <w:hideMark/>
          </w:tcPr>
          <w:p w14:paraId="7CD006D2"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 xml:space="preserve">Matja e kostos së aktiviteteve statistikore </w:t>
            </w:r>
          </w:p>
        </w:tc>
        <w:tc>
          <w:tcPr>
            <w:tcW w:w="0" w:type="auto"/>
            <w:tcBorders>
              <w:top w:val="nil"/>
              <w:left w:val="nil"/>
              <w:bottom w:val="nil"/>
              <w:right w:val="nil"/>
            </w:tcBorders>
            <w:shd w:val="clear" w:color="auto" w:fill="auto"/>
            <w:vAlign w:val="center"/>
            <w:hideMark/>
          </w:tcPr>
          <w:p w14:paraId="53A2A13F"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0</w:t>
            </w:r>
          </w:p>
        </w:tc>
        <w:tc>
          <w:tcPr>
            <w:tcW w:w="0" w:type="auto"/>
            <w:tcBorders>
              <w:top w:val="nil"/>
              <w:left w:val="nil"/>
              <w:bottom w:val="nil"/>
              <w:right w:val="single" w:sz="8" w:space="0" w:color="4F81BD"/>
            </w:tcBorders>
            <w:shd w:val="clear" w:color="auto" w:fill="auto"/>
            <w:noWrap/>
            <w:vAlign w:val="center"/>
            <w:hideMark/>
          </w:tcPr>
          <w:p w14:paraId="2110CA93" w14:textId="7BFE4844"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17</w:t>
            </w:r>
          </w:p>
        </w:tc>
      </w:tr>
      <w:tr w:rsidR="000F566F" w:rsidRPr="004F2AC3" w14:paraId="062B62B9" w14:textId="77777777" w:rsidTr="00B66BF4">
        <w:trPr>
          <w:trHeight w:val="239"/>
        </w:trPr>
        <w:tc>
          <w:tcPr>
            <w:tcW w:w="0" w:type="auto"/>
            <w:tcBorders>
              <w:top w:val="single" w:sz="8" w:space="0" w:color="4F81BD"/>
              <w:left w:val="single" w:sz="8" w:space="0" w:color="4F81BD"/>
              <w:bottom w:val="single" w:sz="8" w:space="0" w:color="4F81BD"/>
              <w:right w:val="nil"/>
            </w:tcBorders>
            <w:shd w:val="clear" w:color="auto" w:fill="auto"/>
            <w:vAlign w:val="center"/>
            <w:hideMark/>
          </w:tcPr>
          <w:p w14:paraId="33AF67C2"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Auditi Statistikor</w:t>
            </w:r>
          </w:p>
        </w:tc>
        <w:tc>
          <w:tcPr>
            <w:tcW w:w="0" w:type="auto"/>
            <w:tcBorders>
              <w:top w:val="single" w:sz="8" w:space="0" w:color="4F81BD"/>
              <w:left w:val="nil"/>
              <w:bottom w:val="single" w:sz="8" w:space="0" w:color="4F81BD"/>
              <w:right w:val="nil"/>
            </w:tcBorders>
            <w:shd w:val="clear" w:color="auto" w:fill="auto"/>
            <w:vAlign w:val="center"/>
            <w:hideMark/>
          </w:tcPr>
          <w:p w14:paraId="6B2C59F0"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w:t>
            </w:r>
          </w:p>
        </w:tc>
        <w:tc>
          <w:tcPr>
            <w:tcW w:w="0" w:type="auto"/>
            <w:tcBorders>
              <w:top w:val="single" w:sz="8" w:space="0" w:color="4F81BD"/>
              <w:left w:val="nil"/>
              <w:bottom w:val="single" w:sz="8" w:space="0" w:color="4F81BD"/>
              <w:right w:val="single" w:sz="8" w:space="0" w:color="4F81BD"/>
            </w:tcBorders>
            <w:shd w:val="clear" w:color="auto" w:fill="auto"/>
            <w:noWrap/>
            <w:vAlign w:val="center"/>
            <w:hideMark/>
          </w:tcPr>
          <w:p w14:paraId="1F832B93" w14:textId="68AC387C"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0</w:t>
            </w:r>
          </w:p>
        </w:tc>
      </w:tr>
      <w:tr w:rsidR="000F566F" w:rsidRPr="004F2AC3" w14:paraId="6DA57C14" w14:textId="77777777" w:rsidTr="00B66BF4">
        <w:trPr>
          <w:trHeight w:val="239"/>
        </w:trPr>
        <w:tc>
          <w:tcPr>
            <w:tcW w:w="0" w:type="auto"/>
            <w:tcBorders>
              <w:top w:val="nil"/>
              <w:left w:val="single" w:sz="8" w:space="0" w:color="4F81BD"/>
              <w:bottom w:val="nil"/>
              <w:right w:val="nil"/>
            </w:tcBorders>
            <w:shd w:val="clear" w:color="auto" w:fill="auto"/>
            <w:vAlign w:val="center"/>
            <w:hideMark/>
          </w:tcPr>
          <w:p w14:paraId="49770F26"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Pyetësori i vetëvlerësimit</w:t>
            </w:r>
          </w:p>
        </w:tc>
        <w:tc>
          <w:tcPr>
            <w:tcW w:w="0" w:type="auto"/>
            <w:tcBorders>
              <w:top w:val="nil"/>
              <w:left w:val="nil"/>
              <w:bottom w:val="nil"/>
              <w:right w:val="nil"/>
            </w:tcBorders>
            <w:shd w:val="clear" w:color="auto" w:fill="auto"/>
            <w:vAlign w:val="center"/>
            <w:hideMark/>
          </w:tcPr>
          <w:p w14:paraId="778D0AA1"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0</w:t>
            </w:r>
          </w:p>
        </w:tc>
        <w:tc>
          <w:tcPr>
            <w:tcW w:w="0" w:type="auto"/>
            <w:tcBorders>
              <w:top w:val="nil"/>
              <w:left w:val="nil"/>
              <w:bottom w:val="nil"/>
              <w:right w:val="single" w:sz="8" w:space="0" w:color="4F81BD"/>
            </w:tcBorders>
            <w:shd w:val="clear" w:color="auto" w:fill="auto"/>
            <w:noWrap/>
            <w:vAlign w:val="center"/>
            <w:hideMark/>
          </w:tcPr>
          <w:p w14:paraId="78DDBCEB" w14:textId="41E745CD"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1</w:t>
            </w:r>
          </w:p>
        </w:tc>
      </w:tr>
      <w:tr w:rsidR="000F566F" w:rsidRPr="004F2AC3" w14:paraId="1B038368" w14:textId="77777777" w:rsidTr="00B66BF4">
        <w:trPr>
          <w:trHeight w:val="239"/>
        </w:trPr>
        <w:tc>
          <w:tcPr>
            <w:tcW w:w="0" w:type="auto"/>
            <w:tcBorders>
              <w:top w:val="single" w:sz="8" w:space="0" w:color="4F81BD"/>
              <w:left w:val="single" w:sz="8" w:space="0" w:color="4F81BD"/>
              <w:bottom w:val="single" w:sz="8" w:space="0" w:color="4F81BD"/>
              <w:right w:val="nil"/>
            </w:tcBorders>
            <w:shd w:val="clear" w:color="auto" w:fill="auto"/>
            <w:vAlign w:val="center"/>
            <w:hideMark/>
          </w:tcPr>
          <w:p w14:paraId="0095FD16"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Raportet e cilësisë/metadatat sipas fushave</w:t>
            </w:r>
          </w:p>
        </w:tc>
        <w:tc>
          <w:tcPr>
            <w:tcW w:w="0" w:type="auto"/>
            <w:tcBorders>
              <w:top w:val="single" w:sz="8" w:space="0" w:color="4F81BD"/>
              <w:left w:val="nil"/>
              <w:bottom w:val="single" w:sz="8" w:space="0" w:color="4F81BD"/>
              <w:right w:val="nil"/>
            </w:tcBorders>
            <w:shd w:val="clear" w:color="auto" w:fill="auto"/>
            <w:vAlign w:val="center"/>
            <w:hideMark/>
          </w:tcPr>
          <w:p w14:paraId="151AE52D"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16</w:t>
            </w:r>
          </w:p>
        </w:tc>
        <w:tc>
          <w:tcPr>
            <w:tcW w:w="0" w:type="auto"/>
            <w:tcBorders>
              <w:top w:val="single" w:sz="8" w:space="0" w:color="4F81BD"/>
              <w:left w:val="nil"/>
              <w:bottom w:val="single" w:sz="8" w:space="0" w:color="4F81BD"/>
              <w:right w:val="single" w:sz="8" w:space="0" w:color="4F81BD"/>
            </w:tcBorders>
            <w:shd w:val="clear" w:color="auto" w:fill="auto"/>
            <w:vAlign w:val="center"/>
            <w:hideMark/>
          </w:tcPr>
          <w:p w14:paraId="43D69AF5"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17</w:t>
            </w:r>
          </w:p>
        </w:tc>
      </w:tr>
      <w:tr w:rsidR="000F566F" w:rsidRPr="004F2AC3" w14:paraId="12366049" w14:textId="77777777" w:rsidTr="00B66BF4">
        <w:trPr>
          <w:trHeight w:val="231"/>
        </w:trPr>
        <w:tc>
          <w:tcPr>
            <w:tcW w:w="0" w:type="auto"/>
            <w:tcBorders>
              <w:top w:val="nil"/>
              <w:left w:val="single" w:sz="8" w:space="0" w:color="4F81BD"/>
              <w:bottom w:val="single" w:sz="8" w:space="0" w:color="4F81BD"/>
              <w:right w:val="nil"/>
            </w:tcBorders>
            <w:shd w:val="clear" w:color="auto" w:fill="auto"/>
            <w:vAlign w:val="center"/>
            <w:hideMark/>
          </w:tcPr>
          <w:p w14:paraId="70D4F935"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Raportet e cilësisë/metadatat sipas fushave të reja</w:t>
            </w:r>
          </w:p>
        </w:tc>
        <w:tc>
          <w:tcPr>
            <w:tcW w:w="0" w:type="auto"/>
            <w:tcBorders>
              <w:top w:val="nil"/>
              <w:left w:val="nil"/>
              <w:bottom w:val="single" w:sz="8" w:space="0" w:color="4F81BD"/>
              <w:right w:val="nil"/>
            </w:tcBorders>
            <w:shd w:val="clear" w:color="auto" w:fill="auto"/>
            <w:vAlign w:val="center"/>
            <w:hideMark/>
          </w:tcPr>
          <w:p w14:paraId="35694A95"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w:t>
            </w:r>
          </w:p>
        </w:tc>
        <w:tc>
          <w:tcPr>
            <w:tcW w:w="0" w:type="auto"/>
            <w:tcBorders>
              <w:top w:val="nil"/>
              <w:left w:val="nil"/>
              <w:bottom w:val="single" w:sz="8" w:space="0" w:color="4F81BD"/>
              <w:right w:val="single" w:sz="8" w:space="0" w:color="4F81BD"/>
            </w:tcBorders>
            <w:shd w:val="clear" w:color="auto" w:fill="auto"/>
            <w:noWrap/>
            <w:vAlign w:val="center"/>
            <w:hideMark/>
          </w:tcPr>
          <w:p w14:paraId="235F185D" w14:textId="2C85DDA8"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0</w:t>
            </w:r>
          </w:p>
        </w:tc>
      </w:tr>
    </w:tbl>
    <w:p w14:paraId="064D6228" w14:textId="77777777" w:rsidR="000F566F" w:rsidRPr="004F2AC3" w:rsidRDefault="000F566F" w:rsidP="000F566F">
      <w:pPr>
        <w:shd w:val="clear" w:color="auto" w:fill="FFFFFF"/>
        <w:autoSpaceDE w:val="0"/>
        <w:autoSpaceDN w:val="0"/>
        <w:adjustRightInd w:val="0"/>
        <w:spacing w:after="0" w:line="240" w:lineRule="auto"/>
        <w:ind w:firstLine="284"/>
        <w:jc w:val="both"/>
        <w:rPr>
          <w:rFonts w:ascii="Garamond" w:hAnsi="Garamond" w:cs="Times New Roman"/>
          <w:b/>
          <w:i/>
          <w:color w:val="000000" w:themeColor="text1"/>
          <w:sz w:val="24"/>
          <w:szCs w:val="24"/>
        </w:rPr>
      </w:pPr>
    </w:p>
    <w:p w14:paraId="61BB597E" w14:textId="3C655E5F" w:rsidR="000F566F" w:rsidRPr="004F2AC3" w:rsidRDefault="000F566F" w:rsidP="000F566F">
      <w:pPr>
        <w:shd w:val="clear" w:color="auto" w:fill="FFFFFF"/>
        <w:autoSpaceDE w:val="0"/>
        <w:autoSpaceDN w:val="0"/>
        <w:adjustRightInd w:val="0"/>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23</w:t>
      </w:r>
      <w:r w:rsidR="00C221AA"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Menaxhimi i </w:t>
      </w:r>
      <w:r w:rsidR="00C221AA" w:rsidRPr="004F2AC3">
        <w:rPr>
          <w:rFonts w:ascii="Garamond" w:hAnsi="Garamond" w:cs="Times New Roman"/>
          <w:b/>
          <w:color w:val="000000" w:themeColor="text1"/>
          <w:sz w:val="24"/>
          <w:szCs w:val="24"/>
        </w:rPr>
        <w:t xml:space="preserve">cilësisë për 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Statistikat Sektoriale</w:t>
      </w:r>
      <w:r w:rsidR="00D32864" w:rsidRPr="004F2AC3">
        <w:rPr>
          <w:rFonts w:ascii="Garamond" w:hAnsi="Garamond" w:cs="Times New Roman"/>
          <w:b/>
          <w:color w:val="000000" w:themeColor="text1"/>
          <w:sz w:val="24"/>
          <w:szCs w:val="24"/>
        </w:rPr>
        <w:t>”</w:t>
      </w:r>
    </w:p>
    <w:tbl>
      <w:tblPr>
        <w:tblW w:w="9144" w:type="dxa"/>
        <w:tblInd w:w="-10" w:type="dxa"/>
        <w:tblLook w:val="04A0" w:firstRow="1" w:lastRow="0" w:firstColumn="1" w:lastColumn="0" w:noHBand="0" w:noVBand="1"/>
      </w:tblPr>
      <w:tblGrid>
        <w:gridCol w:w="6323"/>
        <w:gridCol w:w="1738"/>
        <w:gridCol w:w="1083"/>
      </w:tblGrid>
      <w:tr w:rsidR="000F566F" w:rsidRPr="004F2AC3" w14:paraId="202C789F" w14:textId="77777777" w:rsidTr="00B66BF4">
        <w:trPr>
          <w:trHeight w:val="242"/>
        </w:trPr>
        <w:tc>
          <w:tcPr>
            <w:tcW w:w="6323" w:type="dxa"/>
            <w:tcBorders>
              <w:top w:val="single" w:sz="8" w:space="0" w:color="4F81BD"/>
              <w:left w:val="single" w:sz="8" w:space="0" w:color="4F81BD"/>
              <w:bottom w:val="nil"/>
              <w:right w:val="nil"/>
            </w:tcBorders>
            <w:shd w:val="clear" w:color="000000" w:fill="4472C4"/>
            <w:vAlign w:val="center"/>
            <w:hideMark/>
          </w:tcPr>
          <w:p w14:paraId="6B65231E" w14:textId="77777777" w:rsidR="000F566F" w:rsidRPr="004F2AC3" w:rsidRDefault="000F566F" w:rsidP="009E4AB2">
            <w:pPr>
              <w:spacing w:after="0" w:line="240" w:lineRule="auto"/>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Aktivitetet</w:t>
            </w:r>
          </w:p>
        </w:tc>
        <w:tc>
          <w:tcPr>
            <w:tcW w:w="1738" w:type="dxa"/>
            <w:tcBorders>
              <w:top w:val="single" w:sz="8" w:space="0" w:color="4F81BD"/>
              <w:left w:val="nil"/>
              <w:bottom w:val="nil"/>
              <w:right w:val="nil"/>
            </w:tcBorders>
            <w:shd w:val="clear" w:color="000000" w:fill="4472C4"/>
            <w:vAlign w:val="center"/>
            <w:hideMark/>
          </w:tcPr>
          <w:p w14:paraId="220128C4" w14:textId="65F10923" w:rsidR="000F566F" w:rsidRPr="004F2AC3" w:rsidRDefault="000F566F" w:rsidP="009E4AB2">
            <w:pPr>
              <w:spacing w:after="0" w:line="240" w:lineRule="auto"/>
              <w:jc w:val="center"/>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2017</w:t>
            </w:r>
            <w:r w:rsidR="00C221AA" w:rsidRPr="004F2AC3">
              <w:rPr>
                <w:rFonts w:ascii="Garamond" w:hAnsi="Garamond" w:cs="Times New Roman"/>
                <w:color w:val="000000" w:themeColor="text1"/>
                <w:sz w:val="20"/>
                <w:szCs w:val="20"/>
                <w:lang w:eastAsia="en-GB"/>
              </w:rPr>
              <w:t>–</w:t>
            </w:r>
            <w:r w:rsidRPr="004F2AC3">
              <w:rPr>
                <w:rFonts w:ascii="Garamond" w:eastAsia="Times New Roman" w:hAnsi="Garamond" w:cs="Times New Roman"/>
                <w:b/>
                <w:bCs/>
                <w:color w:val="000000" w:themeColor="text1"/>
                <w:sz w:val="20"/>
                <w:szCs w:val="24"/>
              </w:rPr>
              <w:t>2021</w:t>
            </w:r>
          </w:p>
        </w:tc>
        <w:tc>
          <w:tcPr>
            <w:tcW w:w="1083" w:type="dxa"/>
            <w:tcBorders>
              <w:top w:val="single" w:sz="8" w:space="0" w:color="4F81BD"/>
              <w:left w:val="nil"/>
              <w:bottom w:val="nil"/>
              <w:right w:val="single" w:sz="8" w:space="0" w:color="4F81BD"/>
            </w:tcBorders>
            <w:shd w:val="clear" w:color="000000" w:fill="4472C4"/>
            <w:noWrap/>
            <w:vAlign w:val="center"/>
            <w:hideMark/>
          </w:tcPr>
          <w:p w14:paraId="2185AC37" w14:textId="6A5577C4" w:rsidR="000F566F" w:rsidRPr="004F2AC3" w:rsidRDefault="00684E85" w:rsidP="009E4AB2">
            <w:pPr>
              <w:spacing w:after="0" w:line="240" w:lineRule="auto"/>
              <w:jc w:val="center"/>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 xml:space="preserve"> </w:t>
            </w:r>
            <w:r w:rsidR="000F566F" w:rsidRPr="004F2AC3">
              <w:rPr>
                <w:rFonts w:ascii="Garamond" w:eastAsia="Times New Roman" w:hAnsi="Garamond" w:cs="Times New Roman"/>
                <w:b/>
                <w:bCs/>
                <w:color w:val="000000" w:themeColor="text1"/>
                <w:sz w:val="20"/>
                <w:szCs w:val="24"/>
              </w:rPr>
              <w:t>2026</w:t>
            </w:r>
          </w:p>
        </w:tc>
      </w:tr>
      <w:tr w:rsidR="000F566F" w:rsidRPr="004F2AC3" w14:paraId="01611834" w14:textId="77777777" w:rsidTr="00B66BF4">
        <w:trPr>
          <w:trHeight w:val="242"/>
        </w:trPr>
        <w:tc>
          <w:tcPr>
            <w:tcW w:w="6323" w:type="dxa"/>
            <w:tcBorders>
              <w:top w:val="single" w:sz="8" w:space="0" w:color="4F81BD"/>
              <w:left w:val="single" w:sz="8" w:space="0" w:color="4F81BD"/>
              <w:bottom w:val="single" w:sz="8" w:space="0" w:color="4F81BD"/>
              <w:right w:val="nil"/>
            </w:tcBorders>
            <w:shd w:val="clear" w:color="auto" w:fill="auto"/>
            <w:vAlign w:val="center"/>
            <w:hideMark/>
          </w:tcPr>
          <w:p w14:paraId="651C3FE7" w14:textId="4D2119FC" w:rsidR="000F566F" w:rsidRPr="004F2AC3" w:rsidRDefault="000F566F" w:rsidP="00C221AA">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Dokumentimi sipas standar</w:t>
            </w:r>
            <w:r w:rsidR="00C221AA" w:rsidRPr="004F2AC3">
              <w:rPr>
                <w:rFonts w:ascii="Garamond" w:eastAsia="Times New Roman" w:hAnsi="Garamond" w:cs="Times New Roman"/>
                <w:bCs/>
                <w:color w:val="000000" w:themeColor="text1"/>
                <w:sz w:val="20"/>
                <w:szCs w:val="24"/>
              </w:rPr>
              <w:t>d</w:t>
            </w:r>
            <w:r w:rsidRPr="004F2AC3">
              <w:rPr>
                <w:rFonts w:ascii="Garamond" w:eastAsia="Times New Roman" w:hAnsi="Garamond" w:cs="Times New Roman"/>
                <w:bCs/>
                <w:color w:val="000000" w:themeColor="text1"/>
                <w:sz w:val="20"/>
                <w:szCs w:val="24"/>
              </w:rPr>
              <w:t>it GSBPM</w:t>
            </w:r>
          </w:p>
        </w:tc>
        <w:tc>
          <w:tcPr>
            <w:tcW w:w="1738" w:type="dxa"/>
            <w:tcBorders>
              <w:top w:val="single" w:sz="8" w:space="0" w:color="4F81BD"/>
              <w:left w:val="nil"/>
              <w:bottom w:val="single" w:sz="8" w:space="0" w:color="4F81BD"/>
              <w:right w:val="nil"/>
            </w:tcBorders>
            <w:shd w:val="clear" w:color="auto" w:fill="auto"/>
            <w:vAlign w:val="center"/>
            <w:hideMark/>
          </w:tcPr>
          <w:p w14:paraId="07CC8073"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9</w:t>
            </w:r>
          </w:p>
        </w:tc>
        <w:tc>
          <w:tcPr>
            <w:tcW w:w="1083" w:type="dxa"/>
            <w:tcBorders>
              <w:top w:val="single" w:sz="8" w:space="0" w:color="4F81BD"/>
              <w:left w:val="nil"/>
              <w:bottom w:val="single" w:sz="8" w:space="0" w:color="4F81BD"/>
              <w:right w:val="single" w:sz="8" w:space="0" w:color="4F81BD"/>
            </w:tcBorders>
            <w:shd w:val="clear" w:color="auto" w:fill="auto"/>
            <w:noWrap/>
            <w:vAlign w:val="center"/>
            <w:hideMark/>
          </w:tcPr>
          <w:p w14:paraId="4B687519" w14:textId="14DFD720"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24</w:t>
            </w:r>
          </w:p>
        </w:tc>
      </w:tr>
      <w:tr w:rsidR="000F566F" w:rsidRPr="004F2AC3" w14:paraId="0ECE2107" w14:textId="77777777" w:rsidTr="00B66BF4">
        <w:trPr>
          <w:trHeight w:val="242"/>
        </w:trPr>
        <w:tc>
          <w:tcPr>
            <w:tcW w:w="6323" w:type="dxa"/>
            <w:tcBorders>
              <w:top w:val="nil"/>
              <w:left w:val="single" w:sz="8" w:space="0" w:color="4F81BD"/>
              <w:bottom w:val="nil"/>
              <w:right w:val="nil"/>
            </w:tcBorders>
            <w:shd w:val="clear" w:color="auto" w:fill="auto"/>
            <w:vAlign w:val="center"/>
            <w:hideMark/>
          </w:tcPr>
          <w:p w14:paraId="04EA2762"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 xml:space="preserve">Matja e kostos së aktiviteteve statistikore </w:t>
            </w:r>
          </w:p>
        </w:tc>
        <w:tc>
          <w:tcPr>
            <w:tcW w:w="1738" w:type="dxa"/>
            <w:tcBorders>
              <w:top w:val="nil"/>
              <w:left w:val="nil"/>
              <w:bottom w:val="nil"/>
              <w:right w:val="nil"/>
            </w:tcBorders>
            <w:shd w:val="clear" w:color="auto" w:fill="auto"/>
            <w:vAlign w:val="center"/>
            <w:hideMark/>
          </w:tcPr>
          <w:p w14:paraId="25F59FB0"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0</w:t>
            </w:r>
          </w:p>
        </w:tc>
        <w:tc>
          <w:tcPr>
            <w:tcW w:w="1083" w:type="dxa"/>
            <w:tcBorders>
              <w:top w:val="nil"/>
              <w:left w:val="nil"/>
              <w:bottom w:val="nil"/>
              <w:right w:val="single" w:sz="8" w:space="0" w:color="4F81BD"/>
            </w:tcBorders>
            <w:shd w:val="clear" w:color="auto" w:fill="auto"/>
            <w:noWrap/>
            <w:vAlign w:val="center"/>
            <w:hideMark/>
          </w:tcPr>
          <w:p w14:paraId="5AFBF40B" w14:textId="1941D7CA"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24</w:t>
            </w:r>
          </w:p>
        </w:tc>
      </w:tr>
      <w:tr w:rsidR="000F566F" w:rsidRPr="004F2AC3" w14:paraId="6294F5F8" w14:textId="77777777" w:rsidTr="00B66BF4">
        <w:trPr>
          <w:trHeight w:val="242"/>
        </w:trPr>
        <w:tc>
          <w:tcPr>
            <w:tcW w:w="6323" w:type="dxa"/>
            <w:tcBorders>
              <w:top w:val="single" w:sz="8" w:space="0" w:color="4F81BD"/>
              <w:left w:val="single" w:sz="8" w:space="0" w:color="4F81BD"/>
              <w:bottom w:val="single" w:sz="8" w:space="0" w:color="4F81BD"/>
              <w:right w:val="nil"/>
            </w:tcBorders>
            <w:shd w:val="clear" w:color="auto" w:fill="auto"/>
            <w:vAlign w:val="center"/>
            <w:hideMark/>
          </w:tcPr>
          <w:p w14:paraId="14D5CF3B"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Auditi Statistikor</w:t>
            </w:r>
          </w:p>
        </w:tc>
        <w:tc>
          <w:tcPr>
            <w:tcW w:w="1738" w:type="dxa"/>
            <w:tcBorders>
              <w:top w:val="single" w:sz="8" w:space="0" w:color="4F81BD"/>
              <w:left w:val="nil"/>
              <w:bottom w:val="single" w:sz="8" w:space="0" w:color="4F81BD"/>
              <w:right w:val="nil"/>
            </w:tcBorders>
            <w:shd w:val="clear" w:color="auto" w:fill="auto"/>
            <w:vAlign w:val="center"/>
            <w:hideMark/>
          </w:tcPr>
          <w:p w14:paraId="697BBB0F"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0</w:t>
            </w:r>
          </w:p>
        </w:tc>
        <w:tc>
          <w:tcPr>
            <w:tcW w:w="1083" w:type="dxa"/>
            <w:tcBorders>
              <w:top w:val="single" w:sz="8" w:space="0" w:color="4F81BD"/>
              <w:left w:val="nil"/>
              <w:bottom w:val="single" w:sz="8" w:space="0" w:color="4F81BD"/>
              <w:right w:val="single" w:sz="8" w:space="0" w:color="4F81BD"/>
            </w:tcBorders>
            <w:shd w:val="clear" w:color="auto" w:fill="auto"/>
            <w:noWrap/>
            <w:vAlign w:val="center"/>
            <w:hideMark/>
          </w:tcPr>
          <w:p w14:paraId="4AC42A3B" w14:textId="37708948"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2</w:t>
            </w:r>
          </w:p>
        </w:tc>
      </w:tr>
      <w:tr w:rsidR="000F566F" w:rsidRPr="004F2AC3" w14:paraId="142E5E22" w14:textId="77777777" w:rsidTr="00B66BF4">
        <w:trPr>
          <w:trHeight w:val="242"/>
        </w:trPr>
        <w:tc>
          <w:tcPr>
            <w:tcW w:w="6323" w:type="dxa"/>
            <w:tcBorders>
              <w:top w:val="nil"/>
              <w:left w:val="single" w:sz="8" w:space="0" w:color="4F81BD"/>
              <w:bottom w:val="nil"/>
              <w:right w:val="nil"/>
            </w:tcBorders>
            <w:shd w:val="clear" w:color="auto" w:fill="auto"/>
            <w:vAlign w:val="center"/>
            <w:hideMark/>
          </w:tcPr>
          <w:p w14:paraId="07AD1173"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Pyetësori i vetëvlerësimit</w:t>
            </w:r>
          </w:p>
        </w:tc>
        <w:tc>
          <w:tcPr>
            <w:tcW w:w="1738" w:type="dxa"/>
            <w:tcBorders>
              <w:top w:val="nil"/>
              <w:left w:val="nil"/>
              <w:bottom w:val="nil"/>
              <w:right w:val="nil"/>
            </w:tcBorders>
            <w:shd w:val="clear" w:color="auto" w:fill="auto"/>
            <w:vAlign w:val="center"/>
            <w:hideMark/>
          </w:tcPr>
          <w:p w14:paraId="158320E7"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w:t>
            </w:r>
          </w:p>
        </w:tc>
        <w:tc>
          <w:tcPr>
            <w:tcW w:w="1083" w:type="dxa"/>
            <w:tcBorders>
              <w:top w:val="nil"/>
              <w:left w:val="nil"/>
              <w:bottom w:val="nil"/>
              <w:right w:val="single" w:sz="8" w:space="0" w:color="4F81BD"/>
            </w:tcBorders>
            <w:shd w:val="clear" w:color="auto" w:fill="auto"/>
            <w:noWrap/>
            <w:vAlign w:val="center"/>
            <w:hideMark/>
          </w:tcPr>
          <w:p w14:paraId="6291F344" w14:textId="44A4BC8A"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0</w:t>
            </w:r>
          </w:p>
        </w:tc>
      </w:tr>
      <w:tr w:rsidR="000F566F" w:rsidRPr="004F2AC3" w14:paraId="1561242C" w14:textId="77777777" w:rsidTr="00B66BF4">
        <w:trPr>
          <w:trHeight w:val="242"/>
        </w:trPr>
        <w:tc>
          <w:tcPr>
            <w:tcW w:w="6323" w:type="dxa"/>
            <w:tcBorders>
              <w:top w:val="single" w:sz="8" w:space="0" w:color="4F81BD"/>
              <w:left w:val="single" w:sz="8" w:space="0" w:color="4F81BD"/>
              <w:bottom w:val="single" w:sz="8" w:space="0" w:color="4F81BD"/>
              <w:right w:val="nil"/>
            </w:tcBorders>
            <w:shd w:val="clear" w:color="auto" w:fill="auto"/>
            <w:vAlign w:val="center"/>
            <w:hideMark/>
          </w:tcPr>
          <w:p w14:paraId="51DDFD71"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Raportet e cilësisë/metadatat sipas fushave</w:t>
            </w:r>
          </w:p>
        </w:tc>
        <w:tc>
          <w:tcPr>
            <w:tcW w:w="1738" w:type="dxa"/>
            <w:tcBorders>
              <w:top w:val="single" w:sz="8" w:space="0" w:color="4F81BD"/>
              <w:left w:val="nil"/>
              <w:bottom w:val="single" w:sz="8" w:space="0" w:color="4F81BD"/>
              <w:right w:val="nil"/>
            </w:tcBorders>
            <w:shd w:val="clear" w:color="auto" w:fill="auto"/>
            <w:vAlign w:val="center"/>
            <w:hideMark/>
          </w:tcPr>
          <w:p w14:paraId="4C50AFA4"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11</w:t>
            </w:r>
          </w:p>
        </w:tc>
        <w:tc>
          <w:tcPr>
            <w:tcW w:w="1083" w:type="dxa"/>
            <w:tcBorders>
              <w:top w:val="single" w:sz="8" w:space="0" w:color="4F81BD"/>
              <w:left w:val="nil"/>
              <w:bottom w:val="single" w:sz="8" w:space="0" w:color="4F81BD"/>
              <w:right w:val="single" w:sz="8" w:space="0" w:color="4F81BD"/>
            </w:tcBorders>
            <w:shd w:val="clear" w:color="auto" w:fill="auto"/>
            <w:vAlign w:val="center"/>
            <w:hideMark/>
          </w:tcPr>
          <w:p w14:paraId="4E6F0D61" w14:textId="36FB5B3C"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18</w:t>
            </w:r>
          </w:p>
        </w:tc>
      </w:tr>
      <w:tr w:rsidR="000F566F" w:rsidRPr="004F2AC3" w14:paraId="5F4322E0" w14:textId="77777777" w:rsidTr="00B66BF4">
        <w:trPr>
          <w:trHeight w:val="242"/>
        </w:trPr>
        <w:tc>
          <w:tcPr>
            <w:tcW w:w="6323" w:type="dxa"/>
            <w:tcBorders>
              <w:top w:val="nil"/>
              <w:left w:val="single" w:sz="8" w:space="0" w:color="4F81BD"/>
              <w:bottom w:val="single" w:sz="8" w:space="0" w:color="4F81BD"/>
              <w:right w:val="nil"/>
            </w:tcBorders>
            <w:shd w:val="clear" w:color="auto" w:fill="auto"/>
            <w:vAlign w:val="center"/>
            <w:hideMark/>
          </w:tcPr>
          <w:p w14:paraId="4AB56EF8"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Raportet e cilësisë/metadatat sipas fushave të reja</w:t>
            </w:r>
          </w:p>
        </w:tc>
        <w:tc>
          <w:tcPr>
            <w:tcW w:w="1738" w:type="dxa"/>
            <w:tcBorders>
              <w:top w:val="nil"/>
              <w:left w:val="nil"/>
              <w:bottom w:val="single" w:sz="8" w:space="0" w:color="4F81BD"/>
              <w:right w:val="nil"/>
            </w:tcBorders>
            <w:shd w:val="clear" w:color="auto" w:fill="auto"/>
            <w:vAlign w:val="center"/>
            <w:hideMark/>
          </w:tcPr>
          <w:p w14:paraId="2D6F08C5" w14:textId="77777777" w:rsidR="000F566F" w:rsidRPr="004F2AC3" w:rsidRDefault="000F566F"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w:t>
            </w:r>
          </w:p>
        </w:tc>
        <w:tc>
          <w:tcPr>
            <w:tcW w:w="1083" w:type="dxa"/>
            <w:tcBorders>
              <w:top w:val="nil"/>
              <w:left w:val="nil"/>
              <w:bottom w:val="single" w:sz="8" w:space="0" w:color="4F81BD"/>
              <w:right w:val="single" w:sz="8" w:space="0" w:color="4F81BD"/>
            </w:tcBorders>
            <w:shd w:val="clear" w:color="auto" w:fill="auto"/>
            <w:noWrap/>
            <w:vAlign w:val="center"/>
            <w:hideMark/>
          </w:tcPr>
          <w:p w14:paraId="17B03DE4" w14:textId="0770C6CA" w:rsidR="000F566F" w:rsidRPr="004F2AC3" w:rsidRDefault="00684E85" w:rsidP="009E4AB2">
            <w:pPr>
              <w:spacing w:after="0" w:line="240" w:lineRule="auto"/>
              <w:jc w:val="center"/>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0</w:t>
            </w:r>
          </w:p>
        </w:tc>
      </w:tr>
    </w:tbl>
    <w:p w14:paraId="2D9DDD6B" w14:textId="77777777" w:rsidR="000F566F" w:rsidRPr="004F2AC3" w:rsidRDefault="000F566F" w:rsidP="000F566F">
      <w:pPr>
        <w:shd w:val="clear" w:color="auto" w:fill="FFFFFF"/>
        <w:autoSpaceDE w:val="0"/>
        <w:autoSpaceDN w:val="0"/>
        <w:adjustRightInd w:val="0"/>
        <w:spacing w:after="0" w:line="240" w:lineRule="auto"/>
        <w:ind w:firstLine="284"/>
        <w:jc w:val="both"/>
        <w:rPr>
          <w:rFonts w:ascii="Garamond" w:hAnsi="Garamond" w:cs="Times New Roman"/>
          <w:b/>
          <w:i/>
          <w:color w:val="000000" w:themeColor="text1"/>
          <w:sz w:val="24"/>
          <w:szCs w:val="24"/>
        </w:rPr>
      </w:pPr>
      <w:r w:rsidRPr="004F2AC3">
        <w:rPr>
          <w:rFonts w:ascii="Garamond" w:hAnsi="Garamond" w:cs="Times New Roman"/>
          <w:b/>
          <w:i/>
          <w:color w:val="000000" w:themeColor="text1"/>
          <w:sz w:val="24"/>
          <w:szCs w:val="24"/>
        </w:rPr>
        <w:t xml:space="preserve"> </w:t>
      </w:r>
    </w:p>
    <w:p w14:paraId="7B2E9ABD" w14:textId="0F38952E" w:rsidR="000F566F" w:rsidRPr="004F2AC3" w:rsidRDefault="000F566F" w:rsidP="000F566F">
      <w:pPr>
        <w:shd w:val="clear" w:color="auto" w:fill="FFFFFF"/>
        <w:autoSpaceDE w:val="0"/>
        <w:autoSpaceDN w:val="0"/>
        <w:adjustRightInd w:val="0"/>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24</w:t>
      </w:r>
      <w:r w:rsidR="00C221AA"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Menaxhimi i </w:t>
      </w:r>
      <w:r w:rsidR="00C221AA" w:rsidRPr="004F2AC3">
        <w:rPr>
          <w:rFonts w:ascii="Garamond" w:hAnsi="Garamond" w:cs="Times New Roman"/>
          <w:b/>
          <w:color w:val="000000" w:themeColor="text1"/>
          <w:sz w:val="24"/>
          <w:szCs w:val="24"/>
        </w:rPr>
        <w:t>c</w:t>
      </w:r>
      <w:r w:rsidRPr="004F2AC3">
        <w:rPr>
          <w:rFonts w:ascii="Garamond" w:hAnsi="Garamond" w:cs="Times New Roman"/>
          <w:b/>
          <w:color w:val="000000" w:themeColor="text1"/>
          <w:sz w:val="24"/>
          <w:szCs w:val="24"/>
        </w:rPr>
        <w:t xml:space="preserve">ilësisë për fushën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Statistikat e </w:t>
      </w:r>
      <w:r w:rsidR="00D61A72" w:rsidRPr="004F2AC3">
        <w:rPr>
          <w:rFonts w:ascii="Garamond" w:hAnsi="Garamond" w:cs="Times New Roman"/>
          <w:b/>
          <w:color w:val="000000" w:themeColor="text1"/>
          <w:sz w:val="24"/>
          <w:szCs w:val="24"/>
        </w:rPr>
        <w:t>mjedisit dhe multidomain</w:t>
      </w:r>
      <w:r w:rsidR="00D32864" w:rsidRPr="004F2AC3">
        <w:rPr>
          <w:rFonts w:ascii="Garamond" w:hAnsi="Garamond" w:cs="Times New Roman"/>
          <w:b/>
          <w:color w:val="000000" w:themeColor="text1"/>
          <w:sz w:val="24"/>
          <w:szCs w:val="24"/>
        </w:rPr>
        <w:t>”</w:t>
      </w:r>
    </w:p>
    <w:tbl>
      <w:tblPr>
        <w:tblW w:w="9154" w:type="dxa"/>
        <w:tblInd w:w="-10" w:type="dxa"/>
        <w:tblLook w:val="04A0" w:firstRow="1" w:lastRow="0" w:firstColumn="1" w:lastColumn="0" w:noHBand="0" w:noVBand="1"/>
      </w:tblPr>
      <w:tblGrid>
        <w:gridCol w:w="6600"/>
        <w:gridCol w:w="1469"/>
        <w:gridCol w:w="1085"/>
      </w:tblGrid>
      <w:tr w:rsidR="000F566F" w:rsidRPr="004F2AC3" w14:paraId="537FD665" w14:textId="77777777" w:rsidTr="00B66BF4">
        <w:trPr>
          <w:trHeight w:val="243"/>
        </w:trPr>
        <w:tc>
          <w:tcPr>
            <w:tcW w:w="6600" w:type="dxa"/>
            <w:tcBorders>
              <w:top w:val="single" w:sz="8" w:space="0" w:color="4F81BD"/>
              <w:left w:val="single" w:sz="8" w:space="0" w:color="4F81BD"/>
              <w:bottom w:val="nil"/>
              <w:right w:val="nil"/>
            </w:tcBorders>
            <w:shd w:val="clear" w:color="000000" w:fill="4472C4"/>
            <w:vAlign w:val="center"/>
            <w:hideMark/>
          </w:tcPr>
          <w:p w14:paraId="45F33F2B" w14:textId="77777777" w:rsidR="000F566F" w:rsidRPr="004F2AC3" w:rsidRDefault="000F566F" w:rsidP="00B66BF4">
            <w:pPr>
              <w:spacing w:after="0" w:line="240" w:lineRule="auto"/>
              <w:ind w:firstLine="284"/>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Aktivitetet</w:t>
            </w:r>
          </w:p>
        </w:tc>
        <w:tc>
          <w:tcPr>
            <w:tcW w:w="1469" w:type="dxa"/>
            <w:tcBorders>
              <w:top w:val="single" w:sz="8" w:space="0" w:color="4F81BD"/>
              <w:left w:val="nil"/>
              <w:bottom w:val="nil"/>
              <w:right w:val="nil"/>
            </w:tcBorders>
            <w:shd w:val="clear" w:color="000000" w:fill="4472C4"/>
            <w:vAlign w:val="center"/>
            <w:hideMark/>
          </w:tcPr>
          <w:p w14:paraId="1FCB2DDD" w14:textId="597AB63E" w:rsidR="000F566F" w:rsidRPr="004F2AC3" w:rsidRDefault="000F566F" w:rsidP="00B66BF4">
            <w:pPr>
              <w:spacing w:after="0" w:line="240" w:lineRule="auto"/>
              <w:ind w:firstLine="284"/>
              <w:jc w:val="center"/>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2017</w:t>
            </w:r>
            <w:r w:rsidR="00C221AA" w:rsidRPr="004F2AC3">
              <w:rPr>
                <w:rFonts w:ascii="Garamond" w:hAnsi="Garamond" w:cs="Times New Roman"/>
                <w:color w:val="000000" w:themeColor="text1"/>
                <w:sz w:val="20"/>
                <w:szCs w:val="20"/>
                <w:lang w:eastAsia="en-GB"/>
              </w:rPr>
              <w:t>–</w:t>
            </w:r>
            <w:r w:rsidRPr="004F2AC3">
              <w:rPr>
                <w:rFonts w:ascii="Garamond" w:eastAsia="Times New Roman" w:hAnsi="Garamond" w:cs="Times New Roman"/>
                <w:b/>
                <w:bCs/>
                <w:color w:val="000000" w:themeColor="text1"/>
                <w:sz w:val="20"/>
                <w:szCs w:val="20"/>
              </w:rPr>
              <w:t>2021</w:t>
            </w:r>
          </w:p>
        </w:tc>
        <w:tc>
          <w:tcPr>
            <w:tcW w:w="1085" w:type="dxa"/>
            <w:tcBorders>
              <w:top w:val="single" w:sz="8" w:space="0" w:color="4F81BD"/>
              <w:left w:val="nil"/>
              <w:bottom w:val="nil"/>
              <w:right w:val="single" w:sz="8" w:space="0" w:color="4F81BD"/>
            </w:tcBorders>
            <w:shd w:val="clear" w:color="000000" w:fill="4472C4"/>
            <w:vAlign w:val="center"/>
            <w:hideMark/>
          </w:tcPr>
          <w:p w14:paraId="50AB3793" w14:textId="77777777" w:rsidR="000F566F" w:rsidRPr="004F2AC3" w:rsidRDefault="000F566F" w:rsidP="00B66BF4">
            <w:pPr>
              <w:spacing w:after="0" w:line="240" w:lineRule="auto"/>
              <w:ind w:firstLine="284"/>
              <w:jc w:val="center"/>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2026</w:t>
            </w:r>
          </w:p>
        </w:tc>
      </w:tr>
      <w:tr w:rsidR="000F566F" w:rsidRPr="004F2AC3" w14:paraId="2F127089" w14:textId="77777777" w:rsidTr="00B66BF4">
        <w:trPr>
          <w:trHeight w:val="243"/>
        </w:trPr>
        <w:tc>
          <w:tcPr>
            <w:tcW w:w="6600" w:type="dxa"/>
            <w:tcBorders>
              <w:top w:val="single" w:sz="8" w:space="0" w:color="4F81BD"/>
              <w:left w:val="single" w:sz="8" w:space="0" w:color="4F81BD"/>
              <w:bottom w:val="single" w:sz="8" w:space="0" w:color="4F81BD"/>
              <w:right w:val="nil"/>
            </w:tcBorders>
            <w:shd w:val="clear" w:color="auto" w:fill="auto"/>
            <w:vAlign w:val="center"/>
            <w:hideMark/>
          </w:tcPr>
          <w:p w14:paraId="6A50D248" w14:textId="08AF8C62" w:rsidR="000F566F" w:rsidRPr="004F2AC3" w:rsidRDefault="000F566F" w:rsidP="00C221AA">
            <w:pPr>
              <w:spacing w:after="0" w:line="240" w:lineRule="auto"/>
              <w:ind w:firstLine="284"/>
              <w:rPr>
                <w:rFonts w:ascii="Garamond" w:eastAsia="Times New Roman" w:hAnsi="Garamond" w:cs="Times New Roman"/>
                <w:bCs/>
                <w:color w:val="000000" w:themeColor="text1"/>
                <w:sz w:val="20"/>
                <w:szCs w:val="20"/>
              </w:rPr>
            </w:pPr>
            <w:r w:rsidRPr="004F2AC3">
              <w:rPr>
                <w:rFonts w:ascii="Garamond" w:eastAsia="Times New Roman" w:hAnsi="Garamond" w:cs="Times New Roman"/>
                <w:bCs/>
                <w:color w:val="000000" w:themeColor="text1"/>
                <w:sz w:val="20"/>
                <w:szCs w:val="20"/>
              </w:rPr>
              <w:t>Dokumentimi sipas standar</w:t>
            </w:r>
            <w:r w:rsidR="00C221AA" w:rsidRPr="004F2AC3">
              <w:rPr>
                <w:rFonts w:ascii="Garamond" w:eastAsia="Times New Roman" w:hAnsi="Garamond" w:cs="Times New Roman"/>
                <w:bCs/>
                <w:color w:val="000000" w:themeColor="text1"/>
                <w:sz w:val="20"/>
                <w:szCs w:val="20"/>
              </w:rPr>
              <w:t>d</w:t>
            </w:r>
            <w:r w:rsidRPr="004F2AC3">
              <w:rPr>
                <w:rFonts w:ascii="Garamond" w:eastAsia="Times New Roman" w:hAnsi="Garamond" w:cs="Times New Roman"/>
                <w:bCs/>
                <w:color w:val="000000" w:themeColor="text1"/>
                <w:sz w:val="20"/>
                <w:szCs w:val="20"/>
              </w:rPr>
              <w:t>it GSBPM</w:t>
            </w:r>
          </w:p>
        </w:tc>
        <w:tc>
          <w:tcPr>
            <w:tcW w:w="1469" w:type="dxa"/>
            <w:tcBorders>
              <w:top w:val="single" w:sz="8" w:space="0" w:color="4F81BD"/>
              <w:left w:val="nil"/>
              <w:bottom w:val="single" w:sz="8" w:space="0" w:color="4F81BD"/>
              <w:right w:val="nil"/>
            </w:tcBorders>
            <w:shd w:val="clear" w:color="auto" w:fill="auto"/>
            <w:vAlign w:val="center"/>
            <w:hideMark/>
          </w:tcPr>
          <w:p w14:paraId="399FFC15"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9</w:t>
            </w:r>
          </w:p>
        </w:tc>
        <w:tc>
          <w:tcPr>
            <w:tcW w:w="1085" w:type="dxa"/>
            <w:tcBorders>
              <w:top w:val="single" w:sz="8" w:space="0" w:color="4F81BD"/>
              <w:left w:val="nil"/>
              <w:bottom w:val="single" w:sz="8" w:space="0" w:color="4F81BD"/>
              <w:right w:val="single" w:sz="8" w:space="0" w:color="4F81BD"/>
            </w:tcBorders>
            <w:shd w:val="clear" w:color="auto" w:fill="auto"/>
            <w:vAlign w:val="center"/>
            <w:hideMark/>
          </w:tcPr>
          <w:p w14:paraId="499688FF"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 xml:space="preserve"> 4</w:t>
            </w:r>
          </w:p>
        </w:tc>
      </w:tr>
      <w:tr w:rsidR="000F566F" w:rsidRPr="004F2AC3" w14:paraId="7A8B730E" w14:textId="77777777" w:rsidTr="00B66BF4">
        <w:trPr>
          <w:trHeight w:val="243"/>
        </w:trPr>
        <w:tc>
          <w:tcPr>
            <w:tcW w:w="6600" w:type="dxa"/>
            <w:tcBorders>
              <w:top w:val="nil"/>
              <w:left w:val="single" w:sz="8" w:space="0" w:color="4F81BD"/>
              <w:bottom w:val="nil"/>
              <w:right w:val="nil"/>
            </w:tcBorders>
            <w:shd w:val="clear" w:color="auto" w:fill="auto"/>
            <w:vAlign w:val="center"/>
            <w:hideMark/>
          </w:tcPr>
          <w:p w14:paraId="7173FFB3" w14:textId="77777777" w:rsidR="000F566F" w:rsidRPr="004F2AC3" w:rsidRDefault="000F566F" w:rsidP="00B66BF4">
            <w:pPr>
              <w:spacing w:after="0" w:line="240" w:lineRule="auto"/>
              <w:ind w:firstLine="284"/>
              <w:rPr>
                <w:rFonts w:ascii="Garamond" w:eastAsia="Times New Roman" w:hAnsi="Garamond" w:cs="Times New Roman"/>
                <w:bCs/>
                <w:color w:val="000000" w:themeColor="text1"/>
                <w:sz w:val="20"/>
                <w:szCs w:val="20"/>
              </w:rPr>
            </w:pPr>
            <w:r w:rsidRPr="004F2AC3">
              <w:rPr>
                <w:rFonts w:ascii="Garamond" w:eastAsia="Times New Roman" w:hAnsi="Garamond" w:cs="Times New Roman"/>
                <w:bCs/>
                <w:color w:val="000000" w:themeColor="text1"/>
                <w:sz w:val="20"/>
                <w:szCs w:val="20"/>
              </w:rPr>
              <w:t xml:space="preserve">Matja e kostos së aktiviteteve statistikore </w:t>
            </w:r>
          </w:p>
        </w:tc>
        <w:tc>
          <w:tcPr>
            <w:tcW w:w="1469" w:type="dxa"/>
            <w:tcBorders>
              <w:top w:val="nil"/>
              <w:left w:val="nil"/>
              <w:bottom w:val="nil"/>
              <w:right w:val="nil"/>
            </w:tcBorders>
            <w:shd w:val="clear" w:color="auto" w:fill="auto"/>
            <w:vAlign w:val="center"/>
            <w:hideMark/>
          </w:tcPr>
          <w:p w14:paraId="0A255E42"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0</w:t>
            </w:r>
          </w:p>
        </w:tc>
        <w:tc>
          <w:tcPr>
            <w:tcW w:w="1085" w:type="dxa"/>
            <w:tcBorders>
              <w:top w:val="nil"/>
              <w:left w:val="nil"/>
              <w:bottom w:val="nil"/>
              <w:right w:val="single" w:sz="8" w:space="0" w:color="4F81BD"/>
            </w:tcBorders>
            <w:shd w:val="clear" w:color="auto" w:fill="auto"/>
            <w:noWrap/>
            <w:vAlign w:val="center"/>
            <w:hideMark/>
          </w:tcPr>
          <w:p w14:paraId="569DB090"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4</w:t>
            </w:r>
          </w:p>
        </w:tc>
      </w:tr>
      <w:tr w:rsidR="000F566F" w:rsidRPr="004F2AC3" w14:paraId="66EEFF60" w14:textId="77777777" w:rsidTr="00B66BF4">
        <w:trPr>
          <w:trHeight w:val="243"/>
        </w:trPr>
        <w:tc>
          <w:tcPr>
            <w:tcW w:w="6600" w:type="dxa"/>
            <w:tcBorders>
              <w:top w:val="single" w:sz="8" w:space="0" w:color="4F81BD"/>
              <w:left w:val="single" w:sz="8" w:space="0" w:color="4F81BD"/>
              <w:bottom w:val="single" w:sz="8" w:space="0" w:color="4F81BD"/>
              <w:right w:val="nil"/>
            </w:tcBorders>
            <w:shd w:val="clear" w:color="auto" w:fill="auto"/>
            <w:vAlign w:val="center"/>
            <w:hideMark/>
          </w:tcPr>
          <w:p w14:paraId="52C9CBC2" w14:textId="77777777" w:rsidR="000F566F" w:rsidRPr="004F2AC3" w:rsidRDefault="000F566F" w:rsidP="00B66BF4">
            <w:pPr>
              <w:spacing w:after="0" w:line="240" w:lineRule="auto"/>
              <w:ind w:firstLine="284"/>
              <w:rPr>
                <w:rFonts w:ascii="Garamond" w:eastAsia="Times New Roman" w:hAnsi="Garamond" w:cs="Times New Roman"/>
                <w:bCs/>
                <w:color w:val="000000" w:themeColor="text1"/>
                <w:sz w:val="20"/>
                <w:szCs w:val="20"/>
              </w:rPr>
            </w:pPr>
            <w:r w:rsidRPr="004F2AC3">
              <w:rPr>
                <w:rFonts w:ascii="Garamond" w:eastAsia="Times New Roman" w:hAnsi="Garamond" w:cs="Times New Roman"/>
                <w:bCs/>
                <w:color w:val="000000" w:themeColor="text1"/>
                <w:sz w:val="20"/>
                <w:szCs w:val="20"/>
              </w:rPr>
              <w:t>Auditi Statistikor</w:t>
            </w:r>
          </w:p>
        </w:tc>
        <w:tc>
          <w:tcPr>
            <w:tcW w:w="1469" w:type="dxa"/>
            <w:tcBorders>
              <w:top w:val="single" w:sz="8" w:space="0" w:color="4F81BD"/>
              <w:left w:val="nil"/>
              <w:bottom w:val="single" w:sz="8" w:space="0" w:color="4F81BD"/>
              <w:right w:val="nil"/>
            </w:tcBorders>
            <w:shd w:val="clear" w:color="auto" w:fill="auto"/>
            <w:vAlign w:val="center"/>
            <w:hideMark/>
          </w:tcPr>
          <w:p w14:paraId="229AAC11"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0</w:t>
            </w:r>
          </w:p>
        </w:tc>
        <w:tc>
          <w:tcPr>
            <w:tcW w:w="1085" w:type="dxa"/>
            <w:tcBorders>
              <w:top w:val="single" w:sz="8" w:space="0" w:color="4F81BD"/>
              <w:left w:val="nil"/>
              <w:bottom w:val="single" w:sz="8" w:space="0" w:color="4F81BD"/>
              <w:right w:val="single" w:sz="8" w:space="0" w:color="4F81BD"/>
            </w:tcBorders>
            <w:shd w:val="clear" w:color="auto" w:fill="auto"/>
            <w:noWrap/>
            <w:vAlign w:val="center"/>
            <w:hideMark/>
          </w:tcPr>
          <w:p w14:paraId="22C7D2CE"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0</w:t>
            </w:r>
          </w:p>
        </w:tc>
      </w:tr>
      <w:tr w:rsidR="000F566F" w:rsidRPr="004F2AC3" w14:paraId="1406F493" w14:textId="77777777" w:rsidTr="00B66BF4">
        <w:trPr>
          <w:trHeight w:val="243"/>
        </w:trPr>
        <w:tc>
          <w:tcPr>
            <w:tcW w:w="6600" w:type="dxa"/>
            <w:tcBorders>
              <w:top w:val="nil"/>
              <w:left w:val="single" w:sz="8" w:space="0" w:color="4F81BD"/>
              <w:bottom w:val="nil"/>
              <w:right w:val="nil"/>
            </w:tcBorders>
            <w:shd w:val="clear" w:color="auto" w:fill="auto"/>
            <w:vAlign w:val="center"/>
            <w:hideMark/>
          </w:tcPr>
          <w:p w14:paraId="79C7FE35" w14:textId="2B757DEB" w:rsidR="000F566F" w:rsidRPr="004F2AC3" w:rsidRDefault="000F566F" w:rsidP="00B66BF4">
            <w:pPr>
              <w:spacing w:after="0" w:line="240" w:lineRule="auto"/>
              <w:ind w:firstLine="284"/>
              <w:rPr>
                <w:rFonts w:ascii="Garamond" w:eastAsia="Times New Roman" w:hAnsi="Garamond" w:cs="Times New Roman"/>
                <w:bCs/>
                <w:color w:val="000000" w:themeColor="text1"/>
                <w:sz w:val="20"/>
                <w:szCs w:val="20"/>
              </w:rPr>
            </w:pPr>
            <w:r w:rsidRPr="004F2AC3">
              <w:rPr>
                <w:rFonts w:ascii="Garamond" w:eastAsia="Times New Roman" w:hAnsi="Garamond" w:cs="Times New Roman"/>
                <w:bCs/>
                <w:color w:val="000000" w:themeColor="text1"/>
                <w:sz w:val="20"/>
                <w:szCs w:val="20"/>
              </w:rPr>
              <w:t xml:space="preserve">Pyetësori i </w:t>
            </w:r>
            <w:r w:rsidR="00C221AA" w:rsidRPr="004F2AC3">
              <w:rPr>
                <w:rFonts w:ascii="Garamond" w:eastAsia="Times New Roman" w:hAnsi="Garamond" w:cs="Times New Roman"/>
                <w:bCs/>
                <w:color w:val="000000" w:themeColor="text1"/>
                <w:sz w:val="20"/>
                <w:szCs w:val="20"/>
              </w:rPr>
              <w:t>vetëvlerësimit</w:t>
            </w:r>
          </w:p>
        </w:tc>
        <w:tc>
          <w:tcPr>
            <w:tcW w:w="1469" w:type="dxa"/>
            <w:tcBorders>
              <w:top w:val="nil"/>
              <w:left w:val="nil"/>
              <w:bottom w:val="nil"/>
              <w:right w:val="nil"/>
            </w:tcBorders>
            <w:shd w:val="clear" w:color="auto" w:fill="auto"/>
            <w:vAlign w:val="center"/>
            <w:hideMark/>
          </w:tcPr>
          <w:p w14:paraId="08702C85"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1</w:t>
            </w:r>
          </w:p>
        </w:tc>
        <w:tc>
          <w:tcPr>
            <w:tcW w:w="1085" w:type="dxa"/>
            <w:tcBorders>
              <w:top w:val="nil"/>
              <w:left w:val="nil"/>
              <w:bottom w:val="nil"/>
              <w:right w:val="single" w:sz="8" w:space="0" w:color="4F81BD"/>
            </w:tcBorders>
            <w:shd w:val="clear" w:color="auto" w:fill="auto"/>
            <w:noWrap/>
            <w:vAlign w:val="center"/>
            <w:hideMark/>
          </w:tcPr>
          <w:p w14:paraId="5268A822"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0</w:t>
            </w:r>
          </w:p>
        </w:tc>
      </w:tr>
      <w:tr w:rsidR="000F566F" w:rsidRPr="004F2AC3" w14:paraId="4E312F07" w14:textId="77777777" w:rsidTr="00B66BF4">
        <w:trPr>
          <w:trHeight w:val="243"/>
        </w:trPr>
        <w:tc>
          <w:tcPr>
            <w:tcW w:w="6600" w:type="dxa"/>
            <w:tcBorders>
              <w:top w:val="single" w:sz="8" w:space="0" w:color="4F81BD"/>
              <w:left w:val="single" w:sz="8" w:space="0" w:color="4F81BD"/>
              <w:bottom w:val="single" w:sz="8" w:space="0" w:color="4F81BD"/>
              <w:right w:val="nil"/>
            </w:tcBorders>
            <w:shd w:val="clear" w:color="auto" w:fill="auto"/>
            <w:vAlign w:val="center"/>
            <w:hideMark/>
          </w:tcPr>
          <w:p w14:paraId="69E1652B" w14:textId="77777777" w:rsidR="000F566F" w:rsidRPr="004F2AC3" w:rsidRDefault="000F566F" w:rsidP="00B66BF4">
            <w:pPr>
              <w:spacing w:after="0" w:line="240" w:lineRule="auto"/>
              <w:ind w:firstLine="284"/>
              <w:rPr>
                <w:rFonts w:ascii="Garamond" w:eastAsia="Times New Roman" w:hAnsi="Garamond" w:cs="Times New Roman"/>
                <w:bCs/>
                <w:color w:val="000000" w:themeColor="text1"/>
                <w:sz w:val="20"/>
                <w:szCs w:val="20"/>
              </w:rPr>
            </w:pPr>
            <w:r w:rsidRPr="004F2AC3">
              <w:rPr>
                <w:rFonts w:ascii="Garamond" w:eastAsia="Times New Roman" w:hAnsi="Garamond" w:cs="Times New Roman"/>
                <w:bCs/>
                <w:color w:val="000000" w:themeColor="text1"/>
                <w:sz w:val="20"/>
                <w:szCs w:val="20"/>
              </w:rPr>
              <w:t>Raportet e cilësisë/metadatat sipas fushave</w:t>
            </w:r>
          </w:p>
        </w:tc>
        <w:tc>
          <w:tcPr>
            <w:tcW w:w="1469" w:type="dxa"/>
            <w:tcBorders>
              <w:top w:val="single" w:sz="8" w:space="0" w:color="4F81BD"/>
              <w:left w:val="nil"/>
              <w:bottom w:val="single" w:sz="8" w:space="0" w:color="4F81BD"/>
              <w:right w:val="nil"/>
            </w:tcBorders>
            <w:shd w:val="clear" w:color="auto" w:fill="auto"/>
            <w:vAlign w:val="center"/>
            <w:hideMark/>
          </w:tcPr>
          <w:p w14:paraId="06F3248D"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8</w:t>
            </w:r>
          </w:p>
        </w:tc>
        <w:tc>
          <w:tcPr>
            <w:tcW w:w="1085" w:type="dxa"/>
            <w:tcBorders>
              <w:top w:val="single" w:sz="8" w:space="0" w:color="4F81BD"/>
              <w:left w:val="nil"/>
              <w:bottom w:val="single" w:sz="8" w:space="0" w:color="4F81BD"/>
              <w:right w:val="single" w:sz="8" w:space="0" w:color="4F81BD"/>
            </w:tcBorders>
            <w:shd w:val="clear" w:color="auto" w:fill="auto"/>
            <w:vAlign w:val="center"/>
            <w:hideMark/>
          </w:tcPr>
          <w:p w14:paraId="38CDE75A"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7</w:t>
            </w:r>
          </w:p>
        </w:tc>
      </w:tr>
      <w:tr w:rsidR="000F566F" w:rsidRPr="004F2AC3" w14:paraId="30592268" w14:textId="77777777" w:rsidTr="00B66BF4">
        <w:trPr>
          <w:trHeight w:val="243"/>
        </w:trPr>
        <w:tc>
          <w:tcPr>
            <w:tcW w:w="6600" w:type="dxa"/>
            <w:tcBorders>
              <w:top w:val="nil"/>
              <w:left w:val="single" w:sz="8" w:space="0" w:color="4F81BD"/>
              <w:bottom w:val="single" w:sz="8" w:space="0" w:color="4F81BD"/>
              <w:right w:val="nil"/>
            </w:tcBorders>
            <w:shd w:val="clear" w:color="auto" w:fill="auto"/>
            <w:vAlign w:val="center"/>
            <w:hideMark/>
          </w:tcPr>
          <w:p w14:paraId="4FE5F662" w14:textId="77777777" w:rsidR="000F566F" w:rsidRPr="004F2AC3" w:rsidRDefault="000F566F" w:rsidP="00B66BF4">
            <w:pPr>
              <w:spacing w:after="0" w:line="240" w:lineRule="auto"/>
              <w:ind w:firstLine="284"/>
              <w:rPr>
                <w:rFonts w:ascii="Garamond" w:eastAsia="Times New Roman" w:hAnsi="Garamond" w:cs="Times New Roman"/>
                <w:bCs/>
                <w:color w:val="000000" w:themeColor="text1"/>
                <w:sz w:val="20"/>
                <w:szCs w:val="20"/>
              </w:rPr>
            </w:pPr>
            <w:r w:rsidRPr="004F2AC3">
              <w:rPr>
                <w:rFonts w:ascii="Garamond" w:eastAsia="Times New Roman" w:hAnsi="Garamond" w:cs="Times New Roman"/>
                <w:bCs/>
                <w:color w:val="000000" w:themeColor="text1"/>
                <w:sz w:val="20"/>
                <w:szCs w:val="20"/>
              </w:rPr>
              <w:t>Raportet e cilësisë/metadatat sipas fushave të reja</w:t>
            </w:r>
          </w:p>
        </w:tc>
        <w:tc>
          <w:tcPr>
            <w:tcW w:w="1469" w:type="dxa"/>
            <w:tcBorders>
              <w:top w:val="nil"/>
              <w:left w:val="nil"/>
              <w:bottom w:val="single" w:sz="8" w:space="0" w:color="4F81BD"/>
              <w:right w:val="nil"/>
            </w:tcBorders>
            <w:shd w:val="clear" w:color="auto" w:fill="auto"/>
            <w:vAlign w:val="center"/>
            <w:hideMark/>
          </w:tcPr>
          <w:p w14:paraId="4429FB72"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1</w:t>
            </w:r>
          </w:p>
        </w:tc>
        <w:tc>
          <w:tcPr>
            <w:tcW w:w="1085" w:type="dxa"/>
            <w:tcBorders>
              <w:top w:val="nil"/>
              <w:left w:val="nil"/>
              <w:bottom w:val="single" w:sz="8" w:space="0" w:color="4F81BD"/>
              <w:right w:val="single" w:sz="8" w:space="0" w:color="4F81BD"/>
            </w:tcBorders>
            <w:shd w:val="clear" w:color="auto" w:fill="auto"/>
            <w:noWrap/>
            <w:vAlign w:val="center"/>
            <w:hideMark/>
          </w:tcPr>
          <w:p w14:paraId="19A02932" w14:textId="77777777" w:rsidR="000F566F" w:rsidRPr="004F2AC3" w:rsidRDefault="000F566F" w:rsidP="00B66BF4">
            <w:pPr>
              <w:spacing w:after="0" w:line="240" w:lineRule="auto"/>
              <w:ind w:firstLine="284"/>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0</w:t>
            </w:r>
          </w:p>
        </w:tc>
      </w:tr>
    </w:tbl>
    <w:p w14:paraId="7AA56324"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b/>
          <w:color w:val="000000" w:themeColor="text1"/>
          <w:sz w:val="24"/>
          <w:szCs w:val="24"/>
        </w:rPr>
      </w:pPr>
    </w:p>
    <w:p w14:paraId="35D95683" w14:textId="7C8A3C7C" w:rsidR="000F566F" w:rsidRPr="004F2AC3" w:rsidRDefault="000F566F" w:rsidP="000F566F">
      <w:pPr>
        <w:shd w:val="clear" w:color="auto" w:fill="FFFFFF" w:themeFill="background1"/>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25</w:t>
      </w:r>
      <w:r w:rsidR="00C221AA"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Tregues të përgjithshëm</w:t>
      </w:r>
    </w:p>
    <w:tbl>
      <w:tblPr>
        <w:tblW w:w="9154" w:type="dxa"/>
        <w:tblInd w:w="-10" w:type="dxa"/>
        <w:tblLook w:val="04A0" w:firstRow="1" w:lastRow="0" w:firstColumn="1" w:lastColumn="0" w:noHBand="0" w:noVBand="1"/>
      </w:tblPr>
      <w:tblGrid>
        <w:gridCol w:w="6120"/>
        <w:gridCol w:w="1800"/>
        <w:gridCol w:w="1234"/>
      </w:tblGrid>
      <w:tr w:rsidR="000F566F" w:rsidRPr="004F2AC3" w14:paraId="00273638" w14:textId="77777777" w:rsidTr="00B66BF4">
        <w:trPr>
          <w:trHeight w:val="280"/>
        </w:trPr>
        <w:tc>
          <w:tcPr>
            <w:tcW w:w="6120" w:type="dxa"/>
            <w:tcBorders>
              <w:top w:val="single" w:sz="8" w:space="0" w:color="4F81BD"/>
              <w:left w:val="single" w:sz="8" w:space="0" w:color="4F81BD"/>
              <w:bottom w:val="nil"/>
              <w:right w:val="nil"/>
            </w:tcBorders>
            <w:shd w:val="clear" w:color="000000" w:fill="4472C4"/>
            <w:vAlign w:val="center"/>
            <w:hideMark/>
          </w:tcPr>
          <w:p w14:paraId="6DD8B1EF" w14:textId="77777777" w:rsidR="000F566F" w:rsidRPr="004F2AC3" w:rsidRDefault="000F566F" w:rsidP="009E4AB2">
            <w:pPr>
              <w:spacing w:after="0" w:line="240" w:lineRule="auto"/>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Indikatorët</w:t>
            </w:r>
          </w:p>
        </w:tc>
        <w:tc>
          <w:tcPr>
            <w:tcW w:w="1800" w:type="dxa"/>
            <w:tcBorders>
              <w:top w:val="single" w:sz="8" w:space="0" w:color="4F81BD"/>
              <w:left w:val="nil"/>
              <w:bottom w:val="nil"/>
              <w:right w:val="nil"/>
            </w:tcBorders>
            <w:shd w:val="clear" w:color="000000" w:fill="4472C4"/>
            <w:vAlign w:val="center"/>
            <w:hideMark/>
          </w:tcPr>
          <w:p w14:paraId="2D2F0F91" w14:textId="4395B69E" w:rsidR="000F566F" w:rsidRPr="004F2AC3" w:rsidRDefault="00684E85" w:rsidP="009E4AB2">
            <w:pPr>
              <w:spacing w:after="0" w:line="240" w:lineRule="auto"/>
              <w:jc w:val="right"/>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 xml:space="preserve"> </w:t>
            </w:r>
            <w:r w:rsidR="000F566F" w:rsidRPr="004F2AC3">
              <w:rPr>
                <w:rFonts w:ascii="Garamond" w:eastAsia="Times New Roman" w:hAnsi="Garamond" w:cs="Times New Roman"/>
                <w:b/>
                <w:bCs/>
                <w:color w:val="000000" w:themeColor="text1"/>
                <w:sz w:val="20"/>
                <w:szCs w:val="24"/>
              </w:rPr>
              <w:t>2017</w:t>
            </w:r>
            <w:r w:rsidR="00C221AA" w:rsidRPr="004F2AC3">
              <w:rPr>
                <w:rFonts w:ascii="Garamond" w:hAnsi="Garamond" w:cs="Times New Roman"/>
                <w:color w:val="000000" w:themeColor="text1"/>
                <w:sz w:val="20"/>
                <w:szCs w:val="20"/>
                <w:lang w:eastAsia="en-GB"/>
              </w:rPr>
              <w:t>–</w:t>
            </w:r>
            <w:r w:rsidR="000F566F" w:rsidRPr="004F2AC3">
              <w:rPr>
                <w:rFonts w:ascii="Garamond" w:eastAsia="Times New Roman" w:hAnsi="Garamond" w:cs="Times New Roman"/>
                <w:b/>
                <w:bCs/>
                <w:color w:val="000000" w:themeColor="text1"/>
                <w:sz w:val="20"/>
                <w:szCs w:val="24"/>
              </w:rPr>
              <w:t>2021</w:t>
            </w:r>
          </w:p>
        </w:tc>
        <w:tc>
          <w:tcPr>
            <w:tcW w:w="1234" w:type="dxa"/>
            <w:tcBorders>
              <w:top w:val="single" w:sz="8" w:space="0" w:color="4F81BD"/>
              <w:left w:val="nil"/>
              <w:bottom w:val="nil"/>
              <w:right w:val="single" w:sz="8" w:space="0" w:color="4F81BD"/>
            </w:tcBorders>
            <w:shd w:val="clear" w:color="000000" w:fill="4472C4"/>
            <w:vAlign w:val="center"/>
            <w:hideMark/>
          </w:tcPr>
          <w:p w14:paraId="0174FD54" w14:textId="77777777" w:rsidR="000F566F" w:rsidRPr="004F2AC3" w:rsidRDefault="000F566F" w:rsidP="009E4AB2">
            <w:pPr>
              <w:spacing w:after="0" w:line="240" w:lineRule="auto"/>
              <w:jc w:val="right"/>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2026</w:t>
            </w:r>
          </w:p>
        </w:tc>
      </w:tr>
      <w:tr w:rsidR="000F566F" w:rsidRPr="004F2AC3" w14:paraId="6DD4DFD1" w14:textId="77777777" w:rsidTr="00B66BF4">
        <w:trPr>
          <w:trHeight w:val="430"/>
        </w:trPr>
        <w:tc>
          <w:tcPr>
            <w:tcW w:w="6120" w:type="dxa"/>
            <w:tcBorders>
              <w:top w:val="single" w:sz="8" w:space="0" w:color="4F81BD"/>
              <w:left w:val="single" w:sz="8" w:space="0" w:color="4F81BD"/>
              <w:bottom w:val="single" w:sz="8" w:space="0" w:color="4F81BD"/>
              <w:right w:val="nil"/>
            </w:tcBorders>
            <w:shd w:val="clear" w:color="auto" w:fill="auto"/>
            <w:vAlign w:val="center"/>
            <w:hideMark/>
          </w:tcPr>
          <w:p w14:paraId="7B57A662" w14:textId="595BCC9E"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Niveli i kënaqësisë së përdoruesve të statistikave të prodhuara nga INSTAT</w:t>
            </w:r>
            <w:r w:rsidR="00C221AA" w:rsidRPr="004F2AC3">
              <w:rPr>
                <w:rFonts w:ascii="Garamond" w:eastAsia="Times New Roman" w:hAnsi="Garamond" w:cs="Times New Roman"/>
                <w:bCs/>
                <w:color w:val="000000" w:themeColor="text1"/>
                <w:sz w:val="20"/>
                <w:szCs w:val="24"/>
              </w:rPr>
              <w:t>-i</w:t>
            </w:r>
          </w:p>
        </w:tc>
        <w:tc>
          <w:tcPr>
            <w:tcW w:w="1800" w:type="dxa"/>
            <w:tcBorders>
              <w:top w:val="single" w:sz="8" w:space="0" w:color="4F81BD"/>
              <w:left w:val="nil"/>
              <w:bottom w:val="single" w:sz="8" w:space="0" w:color="4F81BD"/>
              <w:right w:val="nil"/>
            </w:tcBorders>
            <w:shd w:val="clear" w:color="auto" w:fill="auto"/>
            <w:vAlign w:val="center"/>
            <w:hideMark/>
          </w:tcPr>
          <w:p w14:paraId="6C96F119"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0,26</w:t>
            </w:r>
          </w:p>
        </w:tc>
        <w:tc>
          <w:tcPr>
            <w:tcW w:w="1234" w:type="dxa"/>
            <w:tcBorders>
              <w:top w:val="single" w:sz="8" w:space="0" w:color="4F81BD"/>
              <w:left w:val="nil"/>
              <w:bottom w:val="single" w:sz="8" w:space="0" w:color="4F81BD"/>
              <w:right w:val="single" w:sz="8" w:space="0" w:color="4F81BD"/>
            </w:tcBorders>
            <w:shd w:val="clear" w:color="auto" w:fill="auto"/>
            <w:vAlign w:val="center"/>
            <w:hideMark/>
          </w:tcPr>
          <w:p w14:paraId="75AC4B62"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4,1/82,0%</w:t>
            </w:r>
          </w:p>
        </w:tc>
      </w:tr>
      <w:tr w:rsidR="000F566F" w:rsidRPr="004F2AC3" w14:paraId="4BEA9F2C" w14:textId="77777777" w:rsidTr="00B66BF4">
        <w:trPr>
          <w:trHeight w:val="502"/>
        </w:trPr>
        <w:tc>
          <w:tcPr>
            <w:tcW w:w="6120" w:type="dxa"/>
            <w:tcBorders>
              <w:top w:val="nil"/>
              <w:left w:val="single" w:sz="8" w:space="0" w:color="4F81BD"/>
              <w:bottom w:val="nil"/>
              <w:right w:val="nil"/>
            </w:tcBorders>
            <w:shd w:val="clear" w:color="auto" w:fill="auto"/>
            <w:vAlign w:val="center"/>
            <w:hideMark/>
          </w:tcPr>
          <w:p w14:paraId="1A9B4073" w14:textId="3283134F" w:rsidR="000F566F" w:rsidRPr="004F2AC3" w:rsidRDefault="000F566F" w:rsidP="00C221AA">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 xml:space="preserve">Përqindja e përdoruesve që shprehin besim/besueshmëri në statistikat kombëtare (në një </w:t>
            </w:r>
            <w:r w:rsidR="00C221AA" w:rsidRPr="004F2AC3">
              <w:rPr>
                <w:rFonts w:ascii="Garamond" w:eastAsia="Times New Roman" w:hAnsi="Garamond" w:cs="Times New Roman"/>
                <w:bCs/>
                <w:color w:val="000000" w:themeColor="text1"/>
                <w:sz w:val="20"/>
                <w:szCs w:val="24"/>
              </w:rPr>
              <w:t>v</w:t>
            </w:r>
            <w:r w:rsidRPr="004F2AC3">
              <w:rPr>
                <w:rFonts w:ascii="Garamond" w:eastAsia="Times New Roman" w:hAnsi="Garamond" w:cs="Times New Roman"/>
                <w:bCs/>
                <w:color w:val="000000" w:themeColor="text1"/>
                <w:sz w:val="20"/>
                <w:szCs w:val="24"/>
              </w:rPr>
              <w:t>rojtim)</w:t>
            </w:r>
          </w:p>
        </w:tc>
        <w:tc>
          <w:tcPr>
            <w:tcW w:w="1800" w:type="dxa"/>
            <w:tcBorders>
              <w:top w:val="nil"/>
              <w:left w:val="nil"/>
              <w:bottom w:val="nil"/>
              <w:right w:val="nil"/>
            </w:tcBorders>
            <w:shd w:val="clear" w:color="auto" w:fill="auto"/>
            <w:vAlign w:val="center"/>
            <w:hideMark/>
          </w:tcPr>
          <w:p w14:paraId="5104486E"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0,96</w:t>
            </w:r>
          </w:p>
        </w:tc>
        <w:tc>
          <w:tcPr>
            <w:tcW w:w="1234" w:type="dxa"/>
            <w:tcBorders>
              <w:top w:val="nil"/>
              <w:left w:val="nil"/>
              <w:bottom w:val="nil"/>
              <w:right w:val="single" w:sz="8" w:space="0" w:color="4F81BD"/>
            </w:tcBorders>
            <w:shd w:val="clear" w:color="auto" w:fill="auto"/>
            <w:vAlign w:val="center"/>
            <w:hideMark/>
          </w:tcPr>
          <w:p w14:paraId="2C5B76D5"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4,0/80%</w:t>
            </w:r>
          </w:p>
        </w:tc>
      </w:tr>
      <w:tr w:rsidR="000F566F" w:rsidRPr="004F2AC3" w14:paraId="5FA1C07E" w14:textId="77777777" w:rsidTr="00B66BF4">
        <w:trPr>
          <w:trHeight w:val="280"/>
        </w:trPr>
        <w:tc>
          <w:tcPr>
            <w:tcW w:w="6120" w:type="dxa"/>
            <w:tcBorders>
              <w:top w:val="single" w:sz="8" w:space="0" w:color="4F81BD"/>
              <w:left w:val="single" w:sz="8" w:space="0" w:color="4F81BD"/>
              <w:bottom w:val="single" w:sz="8" w:space="0" w:color="4F81BD"/>
              <w:right w:val="nil"/>
            </w:tcBorders>
            <w:shd w:val="clear" w:color="auto" w:fill="auto"/>
            <w:vAlign w:val="center"/>
            <w:hideMark/>
          </w:tcPr>
          <w:p w14:paraId="02E93401"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Ngarkesa e të intervistuarve pranë familjeve</w:t>
            </w:r>
          </w:p>
        </w:tc>
        <w:tc>
          <w:tcPr>
            <w:tcW w:w="1800" w:type="dxa"/>
            <w:tcBorders>
              <w:top w:val="single" w:sz="8" w:space="0" w:color="4F81BD"/>
              <w:left w:val="nil"/>
              <w:bottom w:val="single" w:sz="8" w:space="0" w:color="4F81BD"/>
              <w:right w:val="nil"/>
            </w:tcBorders>
            <w:shd w:val="clear" w:color="auto" w:fill="auto"/>
            <w:vAlign w:val="center"/>
            <w:hideMark/>
          </w:tcPr>
          <w:p w14:paraId="477CB5BF"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Po</w:t>
            </w:r>
          </w:p>
        </w:tc>
        <w:tc>
          <w:tcPr>
            <w:tcW w:w="1234" w:type="dxa"/>
            <w:tcBorders>
              <w:top w:val="single" w:sz="8" w:space="0" w:color="4F81BD"/>
              <w:left w:val="nil"/>
              <w:bottom w:val="single" w:sz="8" w:space="0" w:color="4F81BD"/>
              <w:right w:val="single" w:sz="8" w:space="0" w:color="4F81BD"/>
            </w:tcBorders>
            <w:shd w:val="clear" w:color="auto" w:fill="auto"/>
            <w:vAlign w:val="center"/>
            <w:hideMark/>
          </w:tcPr>
          <w:p w14:paraId="165540C0"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Po</w:t>
            </w:r>
          </w:p>
        </w:tc>
      </w:tr>
      <w:tr w:rsidR="000F566F" w:rsidRPr="004F2AC3" w14:paraId="7C1477EA" w14:textId="77777777" w:rsidTr="00B66BF4">
        <w:trPr>
          <w:trHeight w:val="280"/>
        </w:trPr>
        <w:tc>
          <w:tcPr>
            <w:tcW w:w="6120" w:type="dxa"/>
            <w:tcBorders>
              <w:top w:val="nil"/>
              <w:left w:val="single" w:sz="8" w:space="0" w:color="4F81BD"/>
              <w:bottom w:val="nil"/>
              <w:right w:val="nil"/>
            </w:tcBorders>
            <w:shd w:val="clear" w:color="auto" w:fill="auto"/>
            <w:vAlign w:val="center"/>
            <w:hideMark/>
          </w:tcPr>
          <w:p w14:paraId="5B628B32"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Ngarkesa e të intervistuarve pranë ndërmarrjeve</w:t>
            </w:r>
          </w:p>
        </w:tc>
        <w:tc>
          <w:tcPr>
            <w:tcW w:w="1800" w:type="dxa"/>
            <w:tcBorders>
              <w:top w:val="nil"/>
              <w:left w:val="nil"/>
              <w:bottom w:val="nil"/>
              <w:right w:val="nil"/>
            </w:tcBorders>
            <w:shd w:val="clear" w:color="auto" w:fill="auto"/>
            <w:vAlign w:val="center"/>
            <w:hideMark/>
          </w:tcPr>
          <w:p w14:paraId="6E82ECCE"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Po</w:t>
            </w:r>
          </w:p>
        </w:tc>
        <w:tc>
          <w:tcPr>
            <w:tcW w:w="1234" w:type="dxa"/>
            <w:tcBorders>
              <w:top w:val="nil"/>
              <w:left w:val="nil"/>
              <w:bottom w:val="nil"/>
              <w:right w:val="single" w:sz="8" w:space="0" w:color="4F81BD"/>
            </w:tcBorders>
            <w:shd w:val="clear" w:color="auto" w:fill="auto"/>
            <w:vAlign w:val="center"/>
            <w:hideMark/>
          </w:tcPr>
          <w:p w14:paraId="2FC38D67"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Po</w:t>
            </w:r>
          </w:p>
        </w:tc>
      </w:tr>
      <w:tr w:rsidR="000F566F" w:rsidRPr="004F2AC3" w14:paraId="34071BCF" w14:textId="77777777" w:rsidTr="00B66BF4">
        <w:trPr>
          <w:trHeight w:val="280"/>
        </w:trPr>
        <w:tc>
          <w:tcPr>
            <w:tcW w:w="6120" w:type="dxa"/>
            <w:tcBorders>
              <w:top w:val="single" w:sz="8" w:space="0" w:color="4F81BD"/>
              <w:left w:val="single" w:sz="8" w:space="0" w:color="4F81BD"/>
              <w:bottom w:val="single" w:sz="8" w:space="0" w:color="4F81BD"/>
              <w:right w:val="nil"/>
            </w:tcBorders>
            <w:shd w:val="clear" w:color="auto" w:fill="auto"/>
            <w:vAlign w:val="center"/>
            <w:hideMark/>
          </w:tcPr>
          <w:p w14:paraId="3849417F" w14:textId="7777777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Kohëzgjatja e intervistës mesatare në minuta</w:t>
            </w:r>
          </w:p>
        </w:tc>
        <w:tc>
          <w:tcPr>
            <w:tcW w:w="1800" w:type="dxa"/>
            <w:tcBorders>
              <w:top w:val="single" w:sz="8" w:space="0" w:color="4F81BD"/>
              <w:left w:val="nil"/>
              <w:bottom w:val="single" w:sz="8" w:space="0" w:color="4F81BD"/>
              <w:right w:val="nil"/>
            </w:tcBorders>
            <w:shd w:val="clear" w:color="auto" w:fill="auto"/>
            <w:vAlign w:val="center"/>
            <w:hideMark/>
          </w:tcPr>
          <w:p w14:paraId="6D6277C8"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32,9</w:t>
            </w:r>
          </w:p>
        </w:tc>
        <w:tc>
          <w:tcPr>
            <w:tcW w:w="1234" w:type="dxa"/>
            <w:tcBorders>
              <w:top w:val="single" w:sz="8" w:space="0" w:color="4F81BD"/>
              <w:left w:val="nil"/>
              <w:bottom w:val="single" w:sz="8" w:space="0" w:color="4F81BD"/>
              <w:right w:val="single" w:sz="8" w:space="0" w:color="4F81BD"/>
            </w:tcBorders>
            <w:shd w:val="clear" w:color="auto" w:fill="auto"/>
            <w:vAlign w:val="center"/>
            <w:hideMark/>
          </w:tcPr>
          <w:p w14:paraId="759A1AE8"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32</w:t>
            </w:r>
          </w:p>
        </w:tc>
      </w:tr>
    </w:tbl>
    <w:p w14:paraId="0FC2B2D6" w14:textId="77777777" w:rsidR="000F566F" w:rsidRPr="004F2AC3" w:rsidRDefault="000F566F" w:rsidP="000F566F">
      <w:pPr>
        <w:shd w:val="clear" w:color="auto" w:fill="FFFFFF" w:themeFill="background1"/>
        <w:spacing w:after="0" w:line="240" w:lineRule="auto"/>
        <w:ind w:firstLine="284"/>
        <w:jc w:val="both"/>
        <w:rPr>
          <w:rFonts w:ascii="Garamond" w:hAnsi="Garamond" w:cs="Times New Roman"/>
          <w:b/>
          <w:i/>
          <w:color w:val="000000" w:themeColor="text1"/>
          <w:sz w:val="24"/>
          <w:szCs w:val="24"/>
        </w:rPr>
      </w:pPr>
    </w:p>
    <w:p w14:paraId="7A447EC5" w14:textId="5572F783" w:rsidR="000F566F" w:rsidRPr="004F2AC3" w:rsidRDefault="000F566F" w:rsidP="000F566F">
      <w:pPr>
        <w:keepNext/>
        <w:keepLines/>
        <w:spacing w:after="0" w:line="240" w:lineRule="auto"/>
        <w:ind w:firstLine="284"/>
        <w:outlineLvl w:val="1"/>
        <w:rPr>
          <w:rFonts w:ascii="Garamond" w:eastAsiaTheme="majorEastAsia" w:hAnsi="Garamond" w:cs="Times New Roman"/>
          <w:b/>
          <w:bCs/>
          <w:color w:val="000000" w:themeColor="text1"/>
          <w:sz w:val="24"/>
          <w:szCs w:val="24"/>
        </w:rPr>
      </w:pPr>
      <w:bookmarkStart w:id="52" w:name="_Toc215132194"/>
      <w:r w:rsidRPr="004F2AC3">
        <w:rPr>
          <w:rFonts w:ascii="Garamond" w:eastAsiaTheme="majorEastAsia" w:hAnsi="Garamond" w:cs="Times New Roman"/>
          <w:b/>
          <w:bCs/>
          <w:color w:val="000000" w:themeColor="text1"/>
          <w:sz w:val="24"/>
          <w:szCs w:val="24"/>
        </w:rPr>
        <w:t xml:space="preserve">VI. Integrimi </w:t>
      </w:r>
      <w:r w:rsidR="00D61A72" w:rsidRPr="004F2AC3">
        <w:rPr>
          <w:rFonts w:ascii="Garamond" w:eastAsiaTheme="majorEastAsia" w:hAnsi="Garamond" w:cs="Times New Roman"/>
          <w:b/>
          <w:bCs/>
          <w:color w:val="000000" w:themeColor="text1"/>
          <w:sz w:val="24"/>
          <w:szCs w:val="24"/>
        </w:rPr>
        <w:t xml:space="preserve">Evropian </w:t>
      </w:r>
      <w:r w:rsidRPr="004F2AC3">
        <w:rPr>
          <w:rFonts w:ascii="Garamond" w:eastAsiaTheme="majorEastAsia" w:hAnsi="Garamond" w:cs="Times New Roman"/>
          <w:b/>
          <w:bCs/>
          <w:color w:val="000000" w:themeColor="text1"/>
          <w:sz w:val="24"/>
          <w:szCs w:val="24"/>
        </w:rPr>
        <w:t>dhe koordinimi i projekteve</w:t>
      </w:r>
      <w:bookmarkEnd w:id="52"/>
    </w:p>
    <w:p w14:paraId="5AC32659" w14:textId="77777777" w:rsidR="000F566F" w:rsidRPr="004F2AC3" w:rsidRDefault="000F566F" w:rsidP="000F566F">
      <w:pPr>
        <w:spacing w:after="0" w:line="240" w:lineRule="auto"/>
        <w:ind w:firstLine="284"/>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Integrimi Evropian</w:t>
      </w:r>
    </w:p>
    <w:p w14:paraId="09CF2F33" w14:textId="5D855F6C"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Instituti i Statistikave ka punuar vazhdimisht dhe me prioritet për harmonizimin e statistikave zyrtare me standardet ev</w:t>
      </w:r>
      <w:r w:rsidR="00D61A72" w:rsidRPr="004F2AC3">
        <w:rPr>
          <w:rFonts w:ascii="Garamond" w:eastAsia="Times New Roman" w:hAnsi="Garamond" w:cs="Times New Roman"/>
          <w:color w:val="000000" w:themeColor="text1"/>
          <w:sz w:val="24"/>
          <w:szCs w:val="24"/>
        </w:rPr>
        <w:t>ropiane. Rekomandimet e progres</w:t>
      </w:r>
      <w:r w:rsidRPr="004F2AC3">
        <w:rPr>
          <w:rFonts w:ascii="Garamond" w:eastAsia="Times New Roman" w:hAnsi="Garamond" w:cs="Times New Roman"/>
          <w:color w:val="000000" w:themeColor="text1"/>
          <w:sz w:val="24"/>
          <w:szCs w:val="24"/>
        </w:rPr>
        <w:t xml:space="preserve">raporteve ndër vite për </w:t>
      </w:r>
      <w:r w:rsidR="00D61A72" w:rsidRPr="004F2AC3">
        <w:rPr>
          <w:rFonts w:ascii="Garamond" w:eastAsia="Times New Roman" w:hAnsi="Garamond" w:cs="Times New Roman"/>
          <w:color w:val="000000" w:themeColor="text1"/>
          <w:sz w:val="24"/>
          <w:szCs w:val="24"/>
        </w:rPr>
        <w:t xml:space="preserve">kapitullin </w:t>
      </w:r>
      <w:r w:rsidRPr="004F2AC3">
        <w:rPr>
          <w:rFonts w:ascii="Garamond" w:eastAsia="Times New Roman" w:hAnsi="Garamond" w:cs="Times New Roman"/>
          <w:color w:val="000000" w:themeColor="text1"/>
          <w:sz w:val="24"/>
          <w:szCs w:val="24"/>
        </w:rPr>
        <w:t>18, rekomandimet e nënkomiteteve të ndryshme të Komisionit Evropian dhe të vlerë</w:t>
      </w:r>
      <w:r w:rsidR="00C221AA" w:rsidRPr="004F2AC3">
        <w:rPr>
          <w:rFonts w:ascii="Garamond" w:eastAsia="Times New Roman" w:hAnsi="Garamond" w:cs="Times New Roman"/>
          <w:color w:val="000000" w:themeColor="text1"/>
          <w:sz w:val="24"/>
          <w:szCs w:val="24"/>
        </w:rPr>
        <w:t>simeve të ndryshme nga Eurostat</w:t>
      </w:r>
      <w:r w:rsidRPr="004F2AC3">
        <w:rPr>
          <w:rFonts w:ascii="Garamond" w:eastAsia="Times New Roman" w:hAnsi="Garamond" w:cs="Times New Roman"/>
          <w:color w:val="000000" w:themeColor="text1"/>
          <w:sz w:val="24"/>
          <w:szCs w:val="24"/>
        </w:rPr>
        <w:t xml:space="preserve">i për statistikat zyrtare, janë pjesë e planeve të punës </w:t>
      </w:r>
      <w:r w:rsidR="00D61A72" w:rsidRPr="004F2AC3">
        <w:rPr>
          <w:rFonts w:ascii="Garamond" w:eastAsia="Times New Roman" w:hAnsi="Garamond" w:cs="Times New Roman"/>
          <w:color w:val="000000" w:themeColor="text1"/>
          <w:sz w:val="24"/>
          <w:szCs w:val="24"/>
        </w:rPr>
        <w:t>s</w:t>
      </w:r>
      <w:r w:rsidRPr="004F2AC3">
        <w:rPr>
          <w:rFonts w:ascii="Garamond" w:eastAsia="Times New Roman" w:hAnsi="Garamond" w:cs="Times New Roman"/>
          <w:color w:val="000000" w:themeColor="text1"/>
          <w:sz w:val="24"/>
          <w:szCs w:val="24"/>
        </w:rPr>
        <w:t xml:space="preserve">ë INSTAT-it, të cilat monitorohen dhe zbatohen rigorozisht. INSTAT-i, si koordinator i Sistemit Kombëtar Statistikor dhe institucion përgjegjës për </w:t>
      </w:r>
      <w:r w:rsidR="00C221AA" w:rsidRPr="004F2AC3">
        <w:rPr>
          <w:rFonts w:ascii="Garamond" w:eastAsia="Times New Roman" w:hAnsi="Garamond" w:cs="Times New Roman"/>
          <w:color w:val="000000" w:themeColor="text1"/>
          <w:sz w:val="24"/>
          <w:szCs w:val="24"/>
        </w:rPr>
        <w:t>k</w:t>
      </w:r>
      <w:r w:rsidRPr="004F2AC3">
        <w:rPr>
          <w:rFonts w:ascii="Garamond" w:eastAsia="Times New Roman" w:hAnsi="Garamond" w:cs="Times New Roman"/>
          <w:color w:val="000000" w:themeColor="text1"/>
          <w:sz w:val="24"/>
          <w:szCs w:val="24"/>
        </w:rPr>
        <w:t>apitul</w:t>
      </w:r>
      <w:r w:rsidR="00C221AA" w:rsidRPr="004F2AC3">
        <w:rPr>
          <w:rFonts w:ascii="Garamond" w:eastAsia="Times New Roman" w:hAnsi="Garamond" w:cs="Times New Roman"/>
          <w:color w:val="000000" w:themeColor="text1"/>
          <w:sz w:val="24"/>
          <w:szCs w:val="24"/>
        </w:rPr>
        <w:t>l</w:t>
      </w:r>
      <w:r w:rsidRPr="004F2AC3">
        <w:rPr>
          <w:rFonts w:ascii="Garamond" w:eastAsia="Times New Roman" w:hAnsi="Garamond" w:cs="Times New Roman"/>
          <w:color w:val="000000" w:themeColor="text1"/>
          <w:sz w:val="24"/>
          <w:szCs w:val="24"/>
        </w:rPr>
        <w:t xml:space="preserve">in 18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Statistikat</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bashkërendon punën për ndjekjen dhe zbatimin e rregulloreve evropiane në prodhimin e statistikave zyrtare.</w:t>
      </w:r>
    </w:p>
    <w:p w14:paraId="6C526BFA" w14:textId="7A7E3EB4"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Në vitin 2025, INSTAT</w:t>
      </w:r>
      <w:r w:rsidR="00C221AA"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punoi për përafrimin e disa akteve </w:t>
      </w:r>
      <w:r w:rsidR="00D61A72" w:rsidRPr="004F2AC3">
        <w:rPr>
          <w:rFonts w:ascii="Garamond" w:eastAsia="Times New Roman" w:hAnsi="Garamond" w:cs="Times New Roman"/>
          <w:color w:val="000000" w:themeColor="text1"/>
          <w:sz w:val="24"/>
          <w:szCs w:val="24"/>
        </w:rPr>
        <w:t>ligjore, si:</w:t>
      </w:r>
    </w:p>
    <w:p w14:paraId="3105355B" w14:textId="689C0829" w:rsidR="000F566F" w:rsidRPr="004F2AC3" w:rsidRDefault="009E4AB2" w:rsidP="009E4AB2">
      <w:pPr>
        <w:pStyle w:val="TEKSTIIIII"/>
      </w:pPr>
      <w:r w:rsidRPr="004F2AC3">
        <w:t xml:space="preserve">- </w:t>
      </w:r>
      <w:r w:rsidR="000F566F" w:rsidRPr="004F2AC3">
        <w:t xml:space="preserve">Projektligji </w:t>
      </w:r>
      <w:r w:rsidR="00D32864" w:rsidRPr="004F2AC3">
        <w:t>“</w:t>
      </w:r>
      <w:r w:rsidR="000F566F" w:rsidRPr="004F2AC3">
        <w:t>Për Censin e Bujqësisë dhe Fermave Bujqësore</w:t>
      </w:r>
      <w:r w:rsidR="00D32864" w:rsidRPr="004F2AC3">
        <w:t>”</w:t>
      </w:r>
      <w:r w:rsidR="000F566F" w:rsidRPr="004F2AC3">
        <w:t xml:space="preserve"> </w:t>
      </w:r>
    </w:p>
    <w:p w14:paraId="2FDCAE50" w14:textId="05EA8023" w:rsidR="000F566F" w:rsidRPr="004F2AC3" w:rsidRDefault="009E4AB2" w:rsidP="009E4AB2">
      <w:pPr>
        <w:pStyle w:val="TEKSTIIIII"/>
      </w:pPr>
      <w:r w:rsidRPr="004F2AC3">
        <w:t xml:space="preserve">- </w:t>
      </w:r>
      <w:r w:rsidR="000F566F" w:rsidRPr="004F2AC3">
        <w:t xml:space="preserve">Projektudhëzimi i </w:t>
      </w:r>
      <w:r w:rsidR="00C221AA" w:rsidRPr="004F2AC3">
        <w:t xml:space="preserve">drejtorit të përgjithshëm </w:t>
      </w:r>
      <w:r w:rsidR="000F566F" w:rsidRPr="004F2AC3">
        <w:t>të INSTAT</w:t>
      </w:r>
      <w:r w:rsidR="00C221AA" w:rsidRPr="004F2AC3">
        <w:t>-it</w:t>
      </w:r>
      <w:r w:rsidR="000F566F" w:rsidRPr="004F2AC3">
        <w:t xml:space="preserve"> </w:t>
      </w:r>
      <w:r w:rsidR="00D32864" w:rsidRPr="004F2AC3">
        <w:t>“</w:t>
      </w:r>
      <w:r w:rsidR="000F566F" w:rsidRPr="004F2AC3">
        <w:t>Për zbatimin e Rregullores 1889/2002</w:t>
      </w:r>
      <w:r w:rsidR="00D61A72" w:rsidRPr="004F2AC3">
        <w:t>,</w:t>
      </w:r>
      <w:r w:rsidR="000F566F" w:rsidRPr="004F2AC3">
        <w:t xml:space="preserve"> në lidhje me shpërndarjen e shërbimeve të ndërmjetësimit financiar të matur në mënyrë indirekte (FISIM) brenda Sistemit Evropian të Llogarive Kombëtare dhe Rajonale</w:t>
      </w:r>
      <w:r w:rsidR="00D32864" w:rsidRPr="004F2AC3">
        <w:t>”</w:t>
      </w:r>
      <w:r w:rsidR="000F566F" w:rsidRPr="004F2AC3">
        <w:t xml:space="preserve"> (ESA 2010);</w:t>
      </w:r>
    </w:p>
    <w:p w14:paraId="40180D20" w14:textId="74985D6E" w:rsidR="000F566F" w:rsidRPr="004F2AC3" w:rsidRDefault="009E4AB2" w:rsidP="009E4AB2">
      <w:pPr>
        <w:pStyle w:val="TEKSTIIIII"/>
      </w:pPr>
      <w:r w:rsidRPr="004F2AC3">
        <w:t xml:space="preserve">- </w:t>
      </w:r>
      <w:r w:rsidR="000F566F" w:rsidRPr="004F2AC3">
        <w:t xml:space="preserve">Projektudhëzim i </w:t>
      </w:r>
      <w:r w:rsidR="00C221AA" w:rsidRPr="004F2AC3">
        <w:t xml:space="preserve">drejtorit të përgjithshëm </w:t>
      </w:r>
      <w:r w:rsidR="000F566F" w:rsidRPr="004F2AC3">
        <w:t>të INSTAT</w:t>
      </w:r>
      <w:r w:rsidR="00C221AA" w:rsidRPr="004F2AC3">
        <w:t>-it</w:t>
      </w:r>
      <w:r w:rsidR="000F566F" w:rsidRPr="004F2AC3">
        <w:t xml:space="preserve"> </w:t>
      </w:r>
      <w:r w:rsidR="00D32864" w:rsidRPr="004F2AC3">
        <w:t>“</w:t>
      </w:r>
      <w:r w:rsidR="000F566F" w:rsidRPr="004F2AC3">
        <w:t>Për zbatimin e Rregullores 216/2009</w:t>
      </w:r>
      <w:r w:rsidR="00D61A72" w:rsidRPr="004F2AC3">
        <w:t>,</w:t>
      </w:r>
      <w:r w:rsidR="000F566F" w:rsidRPr="004F2AC3">
        <w:t xml:space="preserve"> mbi statistikat e zënieve nominale të peshkut nga shtetet anëtare që peshkojnë në zona të caktuara të ndryshme të Atlantikut të Veriut</w:t>
      </w:r>
      <w:r w:rsidR="00D32864" w:rsidRPr="004F2AC3">
        <w:t>”</w:t>
      </w:r>
      <w:r w:rsidR="000F566F" w:rsidRPr="004F2AC3">
        <w:t>;</w:t>
      </w:r>
    </w:p>
    <w:p w14:paraId="75BC6B33" w14:textId="3E8F6D77" w:rsidR="000F566F" w:rsidRPr="004F2AC3" w:rsidRDefault="009E4AB2" w:rsidP="009E4AB2">
      <w:pPr>
        <w:pStyle w:val="TEKSTIIIII"/>
      </w:pPr>
      <w:r w:rsidRPr="004F2AC3">
        <w:t xml:space="preserve">- </w:t>
      </w:r>
      <w:r w:rsidR="000F566F" w:rsidRPr="004F2AC3">
        <w:t xml:space="preserve">Projektudhëzim i </w:t>
      </w:r>
      <w:r w:rsidR="00C221AA" w:rsidRPr="004F2AC3">
        <w:t xml:space="preserve">drejtorit të përgjithshëm </w:t>
      </w:r>
      <w:r w:rsidR="000F566F" w:rsidRPr="004F2AC3">
        <w:t>të INSTAT</w:t>
      </w:r>
      <w:r w:rsidR="00C221AA" w:rsidRPr="004F2AC3">
        <w:t>-it</w:t>
      </w:r>
      <w:r w:rsidR="000F566F" w:rsidRPr="004F2AC3">
        <w:t xml:space="preserve"> </w:t>
      </w:r>
      <w:r w:rsidR="00D32864" w:rsidRPr="004F2AC3">
        <w:t>“</w:t>
      </w:r>
      <w:r w:rsidR="000F566F" w:rsidRPr="004F2AC3">
        <w:t>Për modalitetet, strukturën, periodicitetin dhe vlerësimin e treguesve të cilësisë mbi të dhënat e transmetuara në Eurostat</w:t>
      </w:r>
      <w:r w:rsidR="00D32864" w:rsidRPr="004F2AC3">
        <w:t>”</w:t>
      </w:r>
      <w:r w:rsidR="00D61A72" w:rsidRPr="004F2AC3">
        <w:t>;</w:t>
      </w:r>
    </w:p>
    <w:p w14:paraId="586976EA" w14:textId="253A79E7" w:rsidR="000F566F" w:rsidRPr="004F2AC3" w:rsidRDefault="009E4AB2" w:rsidP="009E4AB2">
      <w:pPr>
        <w:pStyle w:val="TEKSTIIIII"/>
      </w:pPr>
      <w:r w:rsidRPr="004F2AC3">
        <w:t xml:space="preserve">- </w:t>
      </w:r>
      <w:r w:rsidR="000F566F" w:rsidRPr="004F2AC3">
        <w:t xml:space="preserve">Projektudhëzim i </w:t>
      </w:r>
      <w:r w:rsidR="00C221AA" w:rsidRPr="004F2AC3">
        <w:t xml:space="preserve">drejtorit të përgjithshëm </w:t>
      </w:r>
      <w:r w:rsidR="000F566F" w:rsidRPr="004F2AC3">
        <w:t>të INSTAT</w:t>
      </w:r>
      <w:r w:rsidR="00C221AA" w:rsidRPr="004F2AC3">
        <w:t>-it</w:t>
      </w:r>
      <w:r w:rsidR="000F566F" w:rsidRPr="004F2AC3">
        <w:t xml:space="preserve"> </w:t>
      </w:r>
      <w:r w:rsidR="00D32864" w:rsidRPr="004F2AC3">
        <w:t>“</w:t>
      </w:r>
      <w:r w:rsidR="000F566F" w:rsidRPr="004F2AC3">
        <w:t>Për zbatimin e Rregullores së Statistikave të Biznesit</w:t>
      </w:r>
      <w:r w:rsidR="00D32864" w:rsidRPr="004F2AC3">
        <w:t>”</w:t>
      </w:r>
      <w:r w:rsidR="000F566F" w:rsidRPr="004F2AC3">
        <w:t>;</w:t>
      </w:r>
    </w:p>
    <w:p w14:paraId="6103E4B8" w14:textId="6854C6C8" w:rsidR="000F566F" w:rsidRPr="004F2AC3" w:rsidRDefault="009E4AB2" w:rsidP="009E4AB2">
      <w:pPr>
        <w:pStyle w:val="TEKSTIIIII"/>
      </w:pPr>
      <w:r w:rsidRPr="004F2AC3">
        <w:t xml:space="preserve">- </w:t>
      </w:r>
      <w:r w:rsidR="000F566F" w:rsidRPr="004F2AC3">
        <w:t xml:space="preserve">Projektvendim i Këshillit të Ministrave </w:t>
      </w:r>
      <w:r w:rsidR="00D32864" w:rsidRPr="004F2AC3">
        <w:t>“</w:t>
      </w:r>
      <w:r w:rsidR="000F566F" w:rsidRPr="004F2AC3">
        <w:t>Për miratimin e Nomenklaturës së Veprimtarive Ekonomike, NVE Rev. 2.1</w:t>
      </w:r>
      <w:r w:rsidR="00D32864" w:rsidRPr="004F2AC3">
        <w:t>”</w:t>
      </w:r>
      <w:r w:rsidR="000F566F" w:rsidRPr="004F2AC3">
        <w:t>.</w:t>
      </w:r>
    </w:p>
    <w:p w14:paraId="6D6A4E64" w14:textId="23C23DFF" w:rsidR="000F566F" w:rsidRPr="004F2AC3" w:rsidRDefault="000F566F" w:rsidP="000F566F">
      <w:pPr>
        <w:spacing w:after="0" w:line="240" w:lineRule="auto"/>
        <w:ind w:firstLine="284"/>
        <w:jc w:val="both"/>
        <w:rPr>
          <w:rFonts w:ascii="Garamond" w:hAnsi="Garamond" w:cs="Times New Roman"/>
          <w:color w:val="000000" w:themeColor="text1"/>
          <w:sz w:val="24"/>
          <w:szCs w:val="24"/>
          <w:lang w:eastAsia="en-GB"/>
        </w:rPr>
      </w:pPr>
      <w:r w:rsidRPr="004F2AC3">
        <w:rPr>
          <w:rFonts w:ascii="Garamond" w:eastAsia="Times New Roman" w:hAnsi="Garamond" w:cs="Times New Roman"/>
          <w:color w:val="000000" w:themeColor="text1"/>
          <w:sz w:val="24"/>
          <w:szCs w:val="24"/>
          <w:lang w:eastAsia="en-GB"/>
        </w:rPr>
        <w:t>Në kuadër të detyrimeve të ndërmarra lidhur me integrimin evropian, INSTAT</w:t>
      </w:r>
      <w:r w:rsidR="00C221AA" w:rsidRPr="004F2AC3">
        <w:rPr>
          <w:rFonts w:ascii="Garamond" w:eastAsia="Times New Roman" w:hAnsi="Garamond" w:cs="Times New Roman"/>
          <w:color w:val="000000" w:themeColor="text1"/>
          <w:sz w:val="24"/>
          <w:szCs w:val="24"/>
          <w:lang w:eastAsia="en-GB"/>
        </w:rPr>
        <w:t>-i</w:t>
      </w:r>
      <w:r w:rsidRPr="004F2AC3">
        <w:rPr>
          <w:rFonts w:ascii="Garamond" w:eastAsia="Times New Roman" w:hAnsi="Garamond" w:cs="Times New Roman"/>
          <w:color w:val="000000" w:themeColor="text1"/>
          <w:sz w:val="24"/>
          <w:szCs w:val="24"/>
          <w:lang w:eastAsia="en-GB"/>
        </w:rPr>
        <w:t xml:space="preserve"> </w:t>
      </w:r>
      <w:r w:rsidRPr="004F2AC3">
        <w:rPr>
          <w:rFonts w:ascii="Garamond" w:hAnsi="Garamond" w:cs="Times New Roman"/>
          <w:color w:val="000000" w:themeColor="text1"/>
          <w:sz w:val="24"/>
          <w:szCs w:val="24"/>
          <w:lang w:eastAsia="en-GB"/>
        </w:rPr>
        <w:t xml:space="preserve">mori nga Komisioni Evropian dokumentin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Qëndrimi i përbashkët i bashkimit evropian </w:t>
      </w:r>
      <w:r w:rsidR="00D61A72"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Grupi 1: Themelorët</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i cili paraqiti qëndrimin zyrtar të përbashkët të të gjitha shteteve anëtare të BE-së. Në këtë kuadër, ndryshe nga kapitujt e tjerë, për INSTAT-in ishin identifikuar vetëm 2 piketa mbyllëse për kapitullin 18 </w:t>
      </w:r>
      <w:r w:rsidR="00D32864"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Statistikat</w:t>
      </w:r>
      <w:r w:rsidR="00D32864" w:rsidRPr="004F2AC3">
        <w:rPr>
          <w:rFonts w:ascii="Garamond" w:hAnsi="Garamond" w:cs="Times New Roman"/>
          <w:color w:val="000000" w:themeColor="text1"/>
          <w:sz w:val="24"/>
          <w:szCs w:val="24"/>
          <w:lang w:eastAsia="en-GB"/>
        </w:rPr>
        <w:t>”</w:t>
      </w:r>
      <w:r w:rsidR="00D61A72" w:rsidRPr="004F2AC3">
        <w:rPr>
          <w:rFonts w:ascii="Garamond" w:hAnsi="Garamond" w:cs="Times New Roman"/>
          <w:color w:val="000000" w:themeColor="text1"/>
          <w:sz w:val="24"/>
          <w:szCs w:val="24"/>
          <w:lang w:eastAsia="en-GB"/>
        </w:rPr>
        <w:t>,</w:t>
      </w:r>
      <w:r w:rsidRPr="004F2AC3">
        <w:rPr>
          <w:rFonts w:ascii="Garamond" w:hAnsi="Garamond" w:cs="Times New Roman"/>
          <w:color w:val="000000" w:themeColor="text1"/>
          <w:sz w:val="24"/>
          <w:szCs w:val="24"/>
          <w:lang w:eastAsia="en-GB"/>
        </w:rPr>
        <w:t xml:space="preserve"> të cilat kanë të bëjnë me: </w:t>
      </w:r>
    </w:p>
    <w:p w14:paraId="224E5395" w14:textId="71774CAD" w:rsidR="000F566F" w:rsidRPr="004F2AC3" w:rsidRDefault="009E4AB2" w:rsidP="009E4AB2">
      <w:pPr>
        <w:pStyle w:val="TEKSTIIIII"/>
        <w:rPr>
          <w:lang w:eastAsia="en-GB"/>
        </w:rPr>
      </w:pPr>
      <w:r w:rsidRPr="004F2AC3">
        <w:rPr>
          <w:lang w:eastAsia="en-GB"/>
        </w:rPr>
        <w:t xml:space="preserve">- </w:t>
      </w:r>
      <w:r w:rsidR="000F566F" w:rsidRPr="004F2AC3">
        <w:rPr>
          <w:lang w:eastAsia="en-GB"/>
        </w:rPr>
        <w:t>Transmetimin e të dhënave kryesore makroekonomike (llogaritë kombëtare dhe statistikat fiskale/GFS dhe EDP)</w:t>
      </w:r>
      <w:r w:rsidR="00D61A72" w:rsidRPr="004F2AC3">
        <w:rPr>
          <w:lang w:eastAsia="en-GB"/>
        </w:rPr>
        <w:t>,</w:t>
      </w:r>
      <w:r w:rsidR="000F566F" w:rsidRPr="004F2AC3">
        <w:rPr>
          <w:lang w:eastAsia="en-GB"/>
        </w:rPr>
        <w:t xml:space="preserve"> në përputhje me metodologjinë e Sistemit Evropian të Llogarive Kombëtare dhe Rajonale (ESA 2010), si dhe me programin e transmetimit të ESA 2010, kërkesat e njoftimit sipas Procedurës së Deficitit të Tepërt (EDP) dhe kërkesat e tjera përkatëse, së bashku me përshkrimin e detajuar të metodologjisë së përdorur. Eurostat</w:t>
      </w:r>
      <w:r w:rsidR="00D61A72" w:rsidRPr="004F2AC3">
        <w:rPr>
          <w:lang w:eastAsia="en-GB"/>
        </w:rPr>
        <w:t>i,</w:t>
      </w:r>
      <w:r w:rsidR="000F566F" w:rsidRPr="004F2AC3">
        <w:rPr>
          <w:lang w:eastAsia="en-GB"/>
        </w:rPr>
        <w:t xml:space="preserve"> vetëm pasi të ketë verifikuar të dhënat dhe përshkrimet e paraqitura do të konfirmojë përputhjen e tyre me rregullat e BE-së</w:t>
      </w:r>
      <w:r w:rsidR="00D61A72" w:rsidRPr="004F2AC3">
        <w:rPr>
          <w:lang w:eastAsia="en-GB"/>
        </w:rPr>
        <w:t>,</w:t>
      </w:r>
      <w:r w:rsidR="000F566F" w:rsidRPr="004F2AC3">
        <w:rPr>
          <w:lang w:eastAsia="en-GB"/>
        </w:rPr>
        <w:t xml:space="preserve"> në lidhje me afatin e dorëzimit, plotësinë, koherencën, transparencën dhe saktësinë. Kjo piketë mbyllëse mbi statistikat makroekonomike përfshin jo vetëm veprimtarinë e INSTAT</w:t>
      </w:r>
      <w:r w:rsidR="00C221AA" w:rsidRPr="004F2AC3">
        <w:rPr>
          <w:lang w:eastAsia="en-GB"/>
        </w:rPr>
        <w:t>-it</w:t>
      </w:r>
      <w:r w:rsidR="000F566F" w:rsidRPr="004F2AC3">
        <w:rPr>
          <w:lang w:eastAsia="en-GB"/>
        </w:rPr>
        <w:t xml:space="preserve"> por të gjithë veprimtarinë e Sistemit Kombëtar Statistikor.</w:t>
      </w:r>
      <w:r w:rsidR="00684E85" w:rsidRPr="004F2AC3">
        <w:rPr>
          <w:lang w:eastAsia="en-GB"/>
        </w:rPr>
        <w:t xml:space="preserve"> </w:t>
      </w:r>
    </w:p>
    <w:p w14:paraId="31E93B58" w14:textId="02F72DE5" w:rsidR="000F566F" w:rsidRPr="004F2AC3" w:rsidRDefault="009E4AB2" w:rsidP="009E4AB2">
      <w:pPr>
        <w:pStyle w:val="TEKSTIIIII"/>
        <w:rPr>
          <w:lang w:eastAsia="en-GB"/>
        </w:rPr>
      </w:pPr>
      <w:r w:rsidRPr="004F2AC3">
        <w:rPr>
          <w:lang w:eastAsia="en-GB"/>
        </w:rPr>
        <w:t xml:space="preserve">- </w:t>
      </w:r>
      <w:r w:rsidR="000F566F" w:rsidRPr="004F2AC3">
        <w:rPr>
          <w:lang w:eastAsia="en-GB"/>
        </w:rPr>
        <w:t>Miratimin e një udhërrëfyesi, plan veprimi për mbylljen e të gjitha boshllëqeve të mbetura në të gjitha tabelat sipas sistemit t</w:t>
      </w:r>
      <w:r w:rsidR="00D61A72" w:rsidRPr="004F2AC3">
        <w:rPr>
          <w:lang w:eastAsia="en-GB"/>
        </w:rPr>
        <w:t>ë Llogarive Kombëtare ESA 2010.</w:t>
      </w:r>
    </w:p>
    <w:p w14:paraId="5B966BFE" w14:textId="141F9647"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lang w:eastAsia="en-GB"/>
        </w:rPr>
      </w:pPr>
      <w:r w:rsidRPr="004F2AC3">
        <w:rPr>
          <w:rFonts w:ascii="Garamond" w:eastAsia="Times New Roman" w:hAnsi="Garamond" w:cs="Times New Roman"/>
          <w:color w:val="000000" w:themeColor="text1"/>
          <w:sz w:val="24"/>
          <w:szCs w:val="24"/>
          <w:lang w:eastAsia="en-GB"/>
        </w:rPr>
        <w:t>Lidhur me piketat mbyllëse</w:t>
      </w:r>
      <w:r w:rsidR="00D61A72" w:rsidRPr="004F2AC3">
        <w:rPr>
          <w:rFonts w:ascii="Garamond" w:eastAsia="Times New Roman" w:hAnsi="Garamond" w:cs="Times New Roman"/>
          <w:color w:val="000000" w:themeColor="text1"/>
          <w:sz w:val="24"/>
          <w:szCs w:val="24"/>
          <w:lang w:eastAsia="en-GB"/>
        </w:rPr>
        <w:t>,</w:t>
      </w:r>
      <w:r w:rsidRPr="004F2AC3">
        <w:rPr>
          <w:rFonts w:ascii="Garamond" w:eastAsia="Times New Roman" w:hAnsi="Garamond" w:cs="Times New Roman"/>
          <w:color w:val="000000" w:themeColor="text1"/>
          <w:sz w:val="24"/>
          <w:szCs w:val="24"/>
          <w:lang w:eastAsia="en-GB"/>
        </w:rPr>
        <w:t xml:space="preserve"> INSTAT</w:t>
      </w:r>
      <w:r w:rsidR="00C221AA" w:rsidRPr="004F2AC3">
        <w:rPr>
          <w:rFonts w:ascii="Garamond" w:eastAsia="Times New Roman" w:hAnsi="Garamond" w:cs="Times New Roman"/>
          <w:color w:val="000000" w:themeColor="text1"/>
          <w:sz w:val="24"/>
          <w:szCs w:val="24"/>
          <w:lang w:eastAsia="en-GB"/>
        </w:rPr>
        <w:t>-i</w:t>
      </w:r>
      <w:r w:rsidRPr="004F2AC3">
        <w:rPr>
          <w:rFonts w:ascii="Garamond" w:eastAsia="Times New Roman" w:hAnsi="Garamond" w:cs="Times New Roman"/>
          <w:color w:val="000000" w:themeColor="text1"/>
          <w:sz w:val="24"/>
          <w:szCs w:val="24"/>
          <w:lang w:eastAsia="en-GB"/>
        </w:rPr>
        <w:t xml:space="preserve"> bashkëpunoi ngushtë me Bankën e Shqipërisë dhe Ministrinë e Financave si pjesë e grupit ndërinstitucional për zbatimin e ESA 2010, kryesisht tabelat EDP/GFS. Të tre institucionet kanë punuar me inventarizimin e nevojave dhe boshllëqeve, gjithashtu</w:t>
      </w:r>
      <w:r w:rsidR="00D61A72" w:rsidRPr="004F2AC3">
        <w:rPr>
          <w:rFonts w:ascii="Garamond" w:eastAsia="Times New Roman" w:hAnsi="Garamond" w:cs="Times New Roman"/>
          <w:color w:val="000000" w:themeColor="text1"/>
          <w:sz w:val="24"/>
          <w:szCs w:val="24"/>
          <w:lang w:eastAsia="en-GB"/>
        </w:rPr>
        <w:t>,</w:t>
      </w:r>
      <w:r w:rsidRPr="004F2AC3">
        <w:rPr>
          <w:rFonts w:ascii="Garamond" w:eastAsia="Times New Roman" w:hAnsi="Garamond" w:cs="Times New Roman"/>
          <w:color w:val="000000" w:themeColor="text1"/>
          <w:sz w:val="24"/>
          <w:szCs w:val="24"/>
          <w:lang w:eastAsia="en-GB"/>
        </w:rPr>
        <w:t xml:space="preserve"> edhe me identifikimin e institucioneve nga të cilët kërkohet mbështetja në vijim.</w:t>
      </w:r>
    </w:p>
    <w:p w14:paraId="34B9E4FD" w14:textId="5FFB2377" w:rsidR="000F566F" w:rsidRPr="004F2AC3" w:rsidRDefault="000F566F" w:rsidP="000F566F">
      <w:pPr>
        <w:spacing w:after="0" w:line="240" w:lineRule="auto"/>
        <w:ind w:firstLine="284"/>
        <w:jc w:val="both"/>
        <w:rPr>
          <w:rFonts w:ascii="Garamond" w:eastAsia="Times New Roman" w:hAnsi="Garamond" w:cs="Times New Roman"/>
          <w:color w:val="000000" w:themeColor="text1"/>
          <w:sz w:val="24"/>
          <w:szCs w:val="24"/>
          <w:lang w:eastAsia="en-GB"/>
        </w:rPr>
      </w:pPr>
      <w:r w:rsidRPr="004F2AC3">
        <w:rPr>
          <w:rFonts w:ascii="Garamond" w:eastAsia="Times New Roman" w:hAnsi="Garamond" w:cs="Times New Roman"/>
          <w:color w:val="000000" w:themeColor="text1"/>
          <w:sz w:val="24"/>
          <w:szCs w:val="24"/>
          <w:lang w:eastAsia="en-GB"/>
        </w:rPr>
        <w:t>Gjithashtu, në kuadër të detyrimeve që sjell zbatimi i agjendës së integrimit Evropian, INSTAT</w:t>
      </w:r>
      <w:r w:rsidR="00C221AA" w:rsidRPr="004F2AC3">
        <w:rPr>
          <w:rFonts w:ascii="Garamond" w:eastAsia="Times New Roman" w:hAnsi="Garamond" w:cs="Times New Roman"/>
          <w:color w:val="000000" w:themeColor="text1"/>
          <w:sz w:val="24"/>
          <w:szCs w:val="24"/>
          <w:lang w:eastAsia="en-GB"/>
        </w:rPr>
        <w:t>-i</w:t>
      </w:r>
      <w:r w:rsidRPr="004F2AC3">
        <w:rPr>
          <w:rFonts w:ascii="Garamond" w:eastAsia="Times New Roman" w:hAnsi="Garamond" w:cs="Times New Roman"/>
          <w:color w:val="000000" w:themeColor="text1"/>
          <w:sz w:val="24"/>
          <w:szCs w:val="24"/>
          <w:lang w:eastAsia="en-GB"/>
        </w:rPr>
        <w:t xml:space="preserve"> ka përgatitur raportimet dhe kontributet si vijon;</w:t>
      </w:r>
    </w:p>
    <w:p w14:paraId="5A927F19" w14:textId="77777777" w:rsidR="000F566F" w:rsidRPr="004F2AC3" w:rsidRDefault="000F566F" w:rsidP="000F566F">
      <w:pPr>
        <w:shd w:val="clear" w:color="auto" w:fill="FFFFFF"/>
        <w:autoSpaceDE w:val="0"/>
        <w:autoSpaceDN w:val="0"/>
        <w:adjustRightInd w:val="0"/>
        <w:spacing w:after="0" w:line="240" w:lineRule="auto"/>
        <w:ind w:firstLine="284"/>
        <w:jc w:val="both"/>
        <w:rPr>
          <w:rFonts w:ascii="Garamond" w:hAnsi="Garamond" w:cs="Times New Roman"/>
          <w:b/>
          <w:i/>
          <w:color w:val="000000" w:themeColor="text1"/>
          <w:sz w:val="24"/>
          <w:szCs w:val="24"/>
        </w:rPr>
      </w:pPr>
    </w:p>
    <w:p w14:paraId="6CB85C98" w14:textId="7B5A5196" w:rsidR="000F566F" w:rsidRPr="004F2AC3" w:rsidRDefault="000F566F" w:rsidP="000F566F">
      <w:pPr>
        <w:shd w:val="clear" w:color="auto" w:fill="FFFFFF"/>
        <w:autoSpaceDE w:val="0"/>
        <w:autoSpaceDN w:val="0"/>
        <w:adjustRightInd w:val="0"/>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 xml:space="preserve">Tabela nr. 26 </w:t>
      </w:r>
      <w:r w:rsidR="00D32864"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Raportime në </w:t>
      </w:r>
      <w:r w:rsidR="00D61A72" w:rsidRPr="004F2AC3">
        <w:rPr>
          <w:rFonts w:ascii="Garamond" w:hAnsi="Garamond" w:cs="Times New Roman"/>
          <w:b/>
          <w:color w:val="000000" w:themeColor="text1"/>
          <w:sz w:val="24"/>
          <w:szCs w:val="24"/>
        </w:rPr>
        <w:t>k</w:t>
      </w:r>
      <w:r w:rsidRPr="004F2AC3">
        <w:rPr>
          <w:rFonts w:ascii="Garamond" w:hAnsi="Garamond" w:cs="Times New Roman"/>
          <w:b/>
          <w:color w:val="000000" w:themeColor="text1"/>
          <w:sz w:val="24"/>
          <w:szCs w:val="24"/>
        </w:rPr>
        <w:t>uadër të Integrimit Evropian</w:t>
      </w:r>
      <w:r w:rsidR="00D61A72"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w:t>
      </w:r>
      <w:r w:rsidR="00D61A72" w:rsidRPr="004F2AC3">
        <w:rPr>
          <w:rFonts w:ascii="Garamond" w:hAnsi="Garamond" w:cs="Times New Roman"/>
          <w:b/>
          <w:color w:val="000000" w:themeColor="text1"/>
          <w:sz w:val="24"/>
          <w:szCs w:val="24"/>
        </w:rPr>
        <w:t xml:space="preserve">kapitulli </w:t>
      </w:r>
      <w:r w:rsidRPr="004F2AC3">
        <w:rPr>
          <w:rFonts w:ascii="Garamond" w:hAnsi="Garamond" w:cs="Times New Roman"/>
          <w:b/>
          <w:color w:val="000000" w:themeColor="text1"/>
          <w:sz w:val="24"/>
          <w:szCs w:val="24"/>
        </w:rPr>
        <w:t xml:space="preserve">18 </w:t>
      </w:r>
      <w:r w:rsidR="00D61A72"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Statistikat</w:t>
      </w:r>
      <w:r w:rsidR="00D61A72" w:rsidRPr="004F2AC3">
        <w:rPr>
          <w:rFonts w:ascii="Garamond" w:hAnsi="Garamond" w:cs="Times New Roman"/>
          <w:b/>
          <w:color w:val="000000" w:themeColor="text1"/>
          <w:sz w:val="24"/>
          <w:szCs w:val="24"/>
        </w:rPr>
        <w:t>’</w:t>
      </w:r>
      <w:r w:rsidR="00D32864" w:rsidRPr="004F2AC3">
        <w:rPr>
          <w:rFonts w:ascii="Garamond" w:hAnsi="Garamond" w:cs="Times New Roman"/>
          <w:b/>
          <w:color w:val="000000" w:themeColor="text1"/>
          <w:sz w:val="24"/>
          <w:szCs w:val="24"/>
        </w:rPr>
        <w:t>”</w:t>
      </w:r>
    </w:p>
    <w:tbl>
      <w:tblPr>
        <w:tblW w:w="9039" w:type="dxa"/>
        <w:tblInd w:w="-10" w:type="dxa"/>
        <w:tblLook w:val="04A0" w:firstRow="1" w:lastRow="0" w:firstColumn="1" w:lastColumn="0" w:noHBand="0" w:noVBand="1"/>
      </w:tblPr>
      <w:tblGrid>
        <w:gridCol w:w="6529"/>
        <w:gridCol w:w="2510"/>
      </w:tblGrid>
      <w:tr w:rsidR="000F566F" w:rsidRPr="004F2AC3" w14:paraId="379A557B" w14:textId="77777777" w:rsidTr="00B66BF4">
        <w:trPr>
          <w:trHeight w:val="221"/>
        </w:trPr>
        <w:tc>
          <w:tcPr>
            <w:tcW w:w="6529" w:type="dxa"/>
            <w:tcBorders>
              <w:top w:val="single" w:sz="8" w:space="0" w:color="4F81BD"/>
              <w:left w:val="single" w:sz="8" w:space="0" w:color="4F81BD"/>
              <w:bottom w:val="single" w:sz="8" w:space="0" w:color="4F81BD"/>
              <w:right w:val="nil"/>
            </w:tcBorders>
            <w:shd w:val="clear" w:color="000000" w:fill="4472C4"/>
            <w:vAlign w:val="center"/>
            <w:hideMark/>
          </w:tcPr>
          <w:p w14:paraId="77C51FA3" w14:textId="77777777" w:rsidR="000F566F" w:rsidRPr="004F2AC3" w:rsidRDefault="000F566F" w:rsidP="009E4AB2">
            <w:pPr>
              <w:spacing w:after="0" w:line="240" w:lineRule="auto"/>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Takime</w:t>
            </w:r>
          </w:p>
        </w:tc>
        <w:tc>
          <w:tcPr>
            <w:tcW w:w="2510" w:type="dxa"/>
            <w:tcBorders>
              <w:top w:val="single" w:sz="8" w:space="0" w:color="4F81BD"/>
              <w:left w:val="nil"/>
              <w:bottom w:val="single" w:sz="8" w:space="0" w:color="4F81BD"/>
              <w:right w:val="single" w:sz="8" w:space="0" w:color="4F81BD"/>
            </w:tcBorders>
            <w:shd w:val="clear" w:color="000000" w:fill="4472C4"/>
            <w:vAlign w:val="center"/>
            <w:hideMark/>
          </w:tcPr>
          <w:p w14:paraId="605BAA1F" w14:textId="3055045E" w:rsidR="000F566F" w:rsidRPr="004F2AC3" w:rsidRDefault="000F566F" w:rsidP="00C221AA">
            <w:pPr>
              <w:spacing w:after="0" w:line="240" w:lineRule="auto"/>
              <w:jc w:val="right"/>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 xml:space="preserve">Frekuenca e </w:t>
            </w:r>
            <w:r w:rsidR="00C221AA" w:rsidRPr="004F2AC3">
              <w:rPr>
                <w:rFonts w:ascii="Garamond" w:eastAsia="Times New Roman" w:hAnsi="Garamond" w:cs="Times New Roman"/>
                <w:b/>
                <w:bCs/>
                <w:color w:val="000000" w:themeColor="text1"/>
                <w:sz w:val="20"/>
                <w:szCs w:val="24"/>
              </w:rPr>
              <w:t>r</w:t>
            </w:r>
            <w:r w:rsidRPr="004F2AC3">
              <w:rPr>
                <w:rFonts w:ascii="Garamond" w:eastAsia="Times New Roman" w:hAnsi="Garamond" w:cs="Times New Roman"/>
                <w:b/>
                <w:bCs/>
                <w:color w:val="000000" w:themeColor="text1"/>
                <w:sz w:val="20"/>
                <w:szCs w:val="24"/>
              </w:rPr>
              <w:t>aportimit</w:t>
            </w:r>
          </w:p>
        </w:tc>
      </w:tr>
      <w:tr w:rsidR="000F566F" w:rsidRPr="004F2AC3" w14:paraId="50900842" w14:textId="77777777" w:rsidTr="00B66BF4">
        <w:trPr>
          <w:trHeight w:val="420"/>
        </w:trPr>
        <w:tc>
          <w:tcPr>
            <w:tcW w:w="6529" w:type="dxa"/>
            <w:tcBorders>
              <w:top w:val="nil"/>
              <w:left w:val="single" w:sz="8" w:space="0" w:color="4F81BD"/>
              <w:bottom w:val="nil"/>
              <w:right w:val="nil"/>
            </w:tcBorders>
            <w:shd w:val="clear" w:color="auto" w:fill="auto"/>
            <w:vAlign w:val="center"/>
            <w:hideMark/>
          </w:tcPr>
          <w:p w14:paraId="36CE30F1" w14:textId="79AD18EA"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PKIE 2025</w:t>
            </w:r>
            <w:r w:rsidR="00C221AA" w:rsidRPr="004F2AC3">
              <w:rPr>
                <w:rFonts w:ascii="Garamond" w:hAnsi="Garamond" w:cs="Times New Roman"/>
                <w:color w:val="000000" w:themeColor="text1"/>
                <w:sz w:val="20"/>
                <w:szCs w:val="20"/>
                <w:lang w:eastAsia="en-GB"/>
              </w:rPr>
              <w:t>–</w:t>
            </w:r>
            <w:r w:rsidRPr="004F2AC3">
              <w:rPr>
                <w:rFonts w:ascii="Garamond" w:eastAsia="Times New Roman" w:hAnsi="Garamond" w:cs="Times New Roman"/>
                <w:bCs/>
                <w:color w:val="000000" w:themeColor="text1"/>
                <w:sz w:val="20"/>
                <w:szCs w:val="24"/>
              </w:rPr>
              <w:t xml:space="preserve">2027 </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Planifikimi, </w:t>
            </w:r>
            <w:r w:rsidR="00D61A72" w:rsidRPr="004F2AC3">
              <w:rPr>
                <w:rFonts w:ascii="Garamond" w:eastAsia="Times New Roman" w:hAnsi="Garamond" w:cs="Times New Roman"/>
                <w:bCs/>
                <w:color w:val="000000" w:themeColor="text1"/>
                <w:sz w:val="20"/>
                <w:szCs w:val="24"/>
              </w:rPr>
              <w:t>monitorimi dhe zbatim</w:t>
            </w:r>
            <w:r w:rsidRPr="004F2AC3">
              <w:rPr>
                <w:rFonts w:ascii="Garamond" w:eastAsia="Times New Roman" w:hAnsi="Garamond" w:cs="Times New Roman"/>
                <w:bCs/>
                <w:color w:val="000000" w:themeColor="text1"/>
                <w:sz w:val="20"/>
                <w:szCs w:val="24"/>
              </w:rPr>
              <w:t>i i Planit Kombëtar të Integrimit Evropian</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 </w:t>
            </w:r>
          </w:p>
        </w:tc>
        <w:tc>
          <w:tcPr>
            <w:tcW w:w="2510" w:type="dxa"/>
            <w:tcBorders>
              <w:top w:val="nil"/>
              <w:left w:val="nil"/>
              <w:bottom w:val="nil"/>
              <w:right w:val="single" w:sz="8" w:space="0" w:color="4F81BD"/>
            </w:tcBorders>
            <w:shd w:val="clear" w:color="auto" w:fill="auto"/>
            <w:vAlign w:val="center"/>
            <w:hideMark/>
          </w:tcPr>
          <w:p w14:paraId="1F385E8D"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5 raportime në vit </w:t>
            </w:r>
          </w:p>
        </w:tc>
      </w:tr>
      <w:tr w:rsidR="000F566F" w:rsidRPr="004F2AC3" w14:paraId="3F56ADCC" w14:textId="77777777" w:rsidTr="00B66BF4">
        <w:trPr>
          <w:trHeight w:val="221"/>
        </w:trPr>
        <w:tc>
          <w:tcPr>
            <w:tcW w:w="6529" w:type="dxa"/>
            <w:tcBorders>
              <w:top w:val="single" w:sz="8" w:space="0" w:color="4F81BD"/>
              <w:left w:val="single" w:sz="8" w:space="0" w:color="4F81BD"/>
              <w:bottom w:val="single" w:sz="8" w:space="0" w:color="4F81BD"/>
              <w:right w:val="nil"/>
            </w:tcBorders>
            <w:shd w:val="clear" w:color="auto" w:fill="auto"/>
            <w:vAlign w:val="center"/>
            <w:hideMark/>
          </w:tcPr>
          <w:p w14:paraId="4099BF4B" w14:textId="74E1C611" w:rsidR="000F566F" w:rsidRPr="004F2AC3" w:rsidRDefault="00D61A72"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Progres</w:t>
            </w:r>
            <w:r w:rsidR="000F566F" w:rsidRPr="004F2AC3">
              <w:rPr>
                <w:rFonts w:ascii="Garamond" w:eastAsia="Times New Roman" w:hAnsi="Garamond" w:cs="Times New Roman"/>
                <w:bCs/>
                <w:color w:val="000000" w:themeColor="text1"/>
                <w:sz w:val="20"/>
                <w:szCs w:val="24"/>
              </w:rPr>
              <w:t xml:space="preserve">raporti për Shqipërinë </w:t>
            </w:r>
          </w:p>
        </w:tc>
        <w:tc>
          <w:tcPr>
            <w:tcW w:w="2510" w:type="dxa"/>
            <w:tcBorders>
              <w:top w:val="single" w:sz="8" w:space="0" w:color="4F81BD"/>
              <w:left w:val="nil"/>
              <w:bottom w:val="single" w:sz="8" w:space="0" w:color="4F81BD"/>
              <w:right w:val="single" w:sz="8" w:space="0" w:color="4F81BD"/>
            </w:tcBorders>
            <w:shd w:val="clear" w:color="auto" w:fill="auto"/>
            <w:vAlign w:val="center"/>
            <w:hideMark/>
          </w:tcPr>
          <w:p w14:paraId="654C68A0"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2 raportime në vit</w:t>
            </w:r>
          </w:p>
        </w:tc>
      </w:tr>
      <w:tr w:rsidR="000F566F" w:rsidRPr="004F2AC3" w14:paraId="6E3ECFC1" w14:textId="77777777" w:rsidTr="00B66BF4">
        <w:trPr>
          <w:trHeight w:val="257"/>
        </w:trPr>
        <w:tc>
          <w:tcPr>
            <w:tcW w:w="6529" w:type="dxa"/>
            <w:tcBorders>
              <w:top w:val="nil"/>
              <w:left w:val="single" w:sz="8" w:space="0" w:color="4F81BD"/>
              <w:bottom w:val="nil"/>
              <w:right w:val="nil"/>
            </w:tcBorders>
            <w:shd w:val="clear" w:color="auto" w:fill="auto"/>
            <w:vAlign w:val="center"/>
            <w:hideMark/>
          </w:tcPr>
          <w:p w14:paraId="7B56459F" w14:textId="5AADFDC9"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PSIE</w:t>
            </w:r>
            <w:r w:rsidR="00684E85" w:rsidRPr="004F2AC3">
              <w:rPr>
                <w:rFonts w:ascii="Garamond" w:eastAsia="Times New Roman" w:hAnsi="Garamond" w:cs="Times New Roman"/>
                <w:bCs/>
                <w:color w:val="000000" w:themeColor="text1"/>
                <w:sz w:val="20"/>
                <w:szCs w:val="24"/>
              </w:rPr>
              <w:t xml:space="preserve"> </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Plani </w:t>
            </w:r>
            <w:r w:rsidR="00D61A72" w:rsidRPr="004F2AC3">
              <w:rPr>
                <w:rFonts w:ascii="Garamond" w:eastAsia="Times New Roman" w:hAnsi="Garamond" w:cs="Times New Roman"/>
                <w:bCs/>
                <w:color w:val="000000" w:themeColor="text1"/>
                <w:sz w:val="20"/>
                <w:szCs w:val="24"/>
              </w:rPr>
              <w:t xml:space="preserve">semestral </w:t>
            </w:r>
            <w:r w:rsidRPr="004F2AC3">
              <w:rPr>
                <w:rFonts w:ascii="Garamond" w:eastAsia="Times New Roman" w:hAnsi="Garamond" w:cs="Times New Roman"/>
                <w:bCs/>
                <w:color w:val="000000" w:themeColor="text1"/>
                <w:sz w:val="20"/>
                <w:szCs w:val="24"/>
              </w:rPr>
              <w:t xml:space="preserve">i </w:t>
            </w:r>
            <w:r w:rsidR="00C221AA" w:rsidRPr="004F2AC3">
              <w:rPr>
                <w:rFonts w:ascii="Garamond" w:eastAsia="Times New Roman" w:hAnsi="Garamond" w:cs="Times New Roman"/>
                <w:bCs/>
                <w:color w:val="000000" w:themeColor="text1"/>
                <w:sz w:val="20"/>
                <w:szCs w:val="24"/>
              </w:rPr>
              <w:t>Integrimit</w:t>
            </w:r>
            <w:r w:rsidRPr="004F2AC3">
              <w:rPr>
                <w:rFonts w:ascii="Garamond" w:eastAsia="Times New Roman" w:hAnsi="Garamond" w:cs="Times New Roman"/>
                <w:bCs/>
                <w:color w:val="000000" w:themeColor="text1"/>
                <w:sz w:val="20"/>
                <w:szCs w:val="24"/>
              </w:rPr>
              <w:t xml:space="preserve"> Evropian</w:t>
            </w:r>
            <w:r w:rsidR="00D32864" w:rsidRPr="004F2AC3">
              <w:rPr>
                <w:rFonts w:ascii="Garamond" w:eastAsia="Times New Roman" w:hAnsi="Garamond" w:cs="Times New Roman"/>
                <w:bCs/>
                <w:color w:val="000000" w:themeColor="text1"/>
                <w:sz w:val="20"/>
                <w:szCs w:val="24"/>
              </w:rPr>
              <w:t>”</w:t>
            </w:r>
          </w:p>
        </w:tc>
        <w:tc>
          <w:tcPr>
            <w:tcW w:w="2510" w:type="dxa"/>
            <w:tcBorders>
              <w:top w:val="nil"/>
              <w:left w:val="nil"/>
              <w:bottom w:val="nil"/>
              <w:right w:val="single" w:sz="8" w:space="0" w:color="4F81BD"/>
            </w:tcBorders>
            <w:shd w:val="clear" w:color="auto" w:fill="auto"/>
            <w:vAlign w:val="center"/>
            <w:hideMark/>
          </w:tcPr>
          <w:p w14:paraId="37B9CEC9"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4 raportime në vit</w:t>
            </w:r>
          </w:p>
        </w:tc>
      </w:tr>
      <w:tr w:rsidR="000F566F" w:rsidRPr="004F2AC3" w14:paraId="05F0A826" w14:textId="77777777" w:rsidTr="00B66BF4">
        <w:trPr>
          <w:trHeight w:val="435"/>
        </w:trPr>
        <w:tc>
          <w:tcPr>
            <w:tcW w:w="6529" w:type="dxa"/>
            <w:tcBorders>
              <w:top w:val="single" w:sz="8" w:space="0" w:color="4F81BD"/>
              <w:left w:val="single" w:sz="8" w:space="0" w:color="4F81BD"/>
              <w:bottom w:val="single" w:sz="8" w:space="0" w:color="4F81BD"/>
              <w:right w:val="nil"/>
            </w:tcBorders>
            <w:shd w:val="clear" w:color="auto" w:fill="auto"/>
            <w:vAlign w:val="center"/>
            <w:hideMark/>
          </w:tcPr>
          <w:p w14:paraId="7AB51E0A" w14:textId="13EE3597"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 xml:space="preserve">ECOFIN </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Nënkomiteti për </w:t>
            </w:r>
            <w:r w:rsidR="00D61A72" w:rsidRPr="004F2AC3">
              <w:rPr>
                <w:rFonts w:ascii="Garamond" w:eastAsia="Times New Roman" w:hAnsi="Garamond" w:cs="Times New Roman"/>
                <w:bCs/>
                <w:color w:val="000000" w:themeColor="text1"/>
                <w:sz w:val="20"/>
                <w:szCs w:val="24"/>
              </w:rPr>
              <w:t>ekonominë</w:t>
            </w:r>
            <w:r w:rsidRPr="004F2AC3">
              <w:rPr>
                <w:rFonts w:ascii="Garamond" w:eastAsia="Times New Roman" w:hAnsi="Garamond" w:cs="Times New Roman"/>
                <w:bCs/>
                <w:color w:val="000000" w:themeColor="text1"/>
                <w:sz w:val="20"/>
                <w:szCs w:val="24"/>
              </w:rPr>
              <w:t xml:space="preserve">, </w:t>
            </w:r>
            <w:r w:rsidR="00D61A72" w:rsidRPr="004F2AC3">
              <w:rPr>
                <w:rFonts w:ascii="Garamond" w:eastAsia="Times New Roman" w:hAnsi="Garamond" w:cs="Times New Roman"/>
                <w:bCs/>
                <w:color w:val="000000" w:themeColor="text1"/>
                <w:sz w:val="20"/>
                <w:szCs w:val="24"/>
              </w:rPr>
              <w:t>çështjet ekonomike</w:t>
            </w:r>
            <w:r w:rsidRPr="004F2AC3">
              <w:rPr>
                <w:rFonts w:ascii="Garamond" w:eastAsia="Times New Roman" w:hAnsi="Garamond" w:cs="Times New Roman"/>
                <w:bCs/>
                <w:color w:val="000000" w:themeColor="text1"/>
                <w:sz w:val="20"/>
                <w:szCs w:val="24"/>
              </w:rPr>
              <w:t xml:space="preserve">, </w:t>
            </w:r>
            <w:r w:rsidR="00D61A72" w:rsidRPr="004F2AC3">
              <w:rPr>
                <w:rFonts w:ascii="Garamond" w:eastAsia="Times New Roman" w:hAnsi="Garamond" w:cs="Times New Roman"/>
                <w:bCs/>
                <w:color w:val="000000" w:themeColor="text1"/>
                <w:sz w:val="20"/>
                <w:szCs w:val="24"/>
              </w:rPr>
              <w:t xml:space="preserve">financiare </w:t>
            </w:r>
            <w:r w:rsidRPr="004F2AC3">
              <w:rPr>
                <w:rFonts w:ascii="Garamond" w:eastAsia="Times New Roman" w:hAnsi="Garamond" w:cs="Times New Roman"/>
                <w:bCs/>
                <w:color w:val="000000" w:themeColor="text1"/>
                <w:sz w:val="20"/>
                <w:szCs w:val="24"/>
              </w:rPr>
              <w:t xml:space="preserve">dhe </w:t>
            </w:r>
            <w:r w:rsidR="00D61A72" w:rsidRPr="004F2AC3">
              <w:rPr>
                <w:rFonts w:ascii="Garamond" w:eastAsia="Times New Roman" w:hAnsi="Garamond" w:cs="Times New Roman"/>
                <w:bCs/>
                <w:color w:val="000000" w:themeColor="text1"/>
                <w:sz w:val="20"/>
                <w:szCs w:val="24"/>
              </w:rPr>
              <w:t>statistikat</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 </w:t>
            </w:r>
          </w:p>
        </w:tc>
        <w:tc>
          <w:tcPr>
            <w:tcW w:w="2510" w:type="dxa"/>
            <w:tcBorders>
              <w:top w:val="single" w:sz="8" w:space="0" w:color="4F81BD"/>
              <w:left w:val="nil"/>
              <w:bottom w:val="single" w:sz="8" w:space="0" w:color="4F81BD"/>
              <w:right w:val="single" w:sz="8" w:space="0" w:color="4F81BD"/>
            </w:tcBorders>
            <w:shd w:val="clear" w:color="auto" w:fill="auto"/>
            <w:vAlign w:val="center"/>
            <w:hideMark/>
          </w:tcPr>
          <w:p w14:paraId="114E5A73"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 raportim në vit</w:t>
            </w:r>
          </w:p>
        </w:tc>
      </w:tr>
      <w:tr w:rsidR="000F566F" w:rsidRPr="004F2AC3" w14:paraId="15DAFC9A" w14:textId="77777777" w:rsidTr="00B66BF4">
        <w:trPr>
          <w:trHeight w:val="205"/>
        </w:trPr>
        <w:tc>
          <w:tcPr>
            <w:tcW w:w="6529" w:type="dxa"/>
            <w:tcBorders>
              <w:top w:val="nil"/>
              <w:left w:val="single" w:sz="8" w:space="0" w:color="4F81BD"/>
              <w:bottom w:val="nil"/>
              <w:right w:val="nil"/>
            </w:tcBorders>
            <w:shd w:val="clear" w:color="auto" w:fill="auto"/>
            <w:vAlign w:val="center"/>
            <w:hideMark/>
          </w:tcPr>
          <w:p w14:paraId="7C6F8062" w14:textId="7B7843A9"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 xml:space="preserve">AGRIFISH </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Nënkomiteti për </w:t>
            </w:r>
            <w:r w:rsidR="00D61A72" w:rsidRPr="004F2AC3">
              <w:rPr>
                <w:rFonts w:ascii="Garamond" w:eastAsia="Times New Roman" w:hAnsi="Garamond" w:cs="Times New Roman"/>
                <w:bCs/>
                <w:color w:val="000000" w:themeColor="text1"/>
                <w:sz w:val="20"/>
                <w:szCs w:val="24"/>
              </w:rPr>
              <w:t>bujqësinë dhe peshkimin</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 </w:t>
            </w:r>
          </w:p>
        </w:tc>
        <w:tc>
          <w:tcPr>
            <w:tcW w:w="2510" w:type="dxa"/>
            <w:tcBorders>
              <w:top w:val="nil"/>
              <w:left w:val="nil"/>
              <w:bottom w:val="nil"/>
              <w:right w:val="single" w:sz="8" w:space="0" w:color="4F81BD"/>
            </w:tcBorders>
            <w:shd w:val="clear" w:color="auto" w:fill="auto"/>
            <w:vAlign w:val="center"/>
            <w:hideMark/>
          </w:tcPr>
          <w:p w14:paraId="5C9D33D9"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 raportim në vit</w:t>
            </w:r>
          </w:p>
        </w:tc>
      </w:tr>
      <w:tr w:rsidR="000F566F" w:rsidRPr="004F2AC3" w14:paraId="14DDF602" w14:textId="77777777" w:rsidTr="00B66BF4">
        <w:trPr>
          <w:trHeight w:val="205"/>
        </w:trPr>
        <w:tc>
          <w:tcPr>
            <w:tcW w:w="6529" w:type="dxa"/>
            <w:tcBorders>
              <w:top w:val="single" w:sz="8" w:space="0" w:color="4F81BD"/>
              <w:left w:val="single" w:sz="8" w:space="0" w:color="4F81BD"/>
              <w:bottom w:val="single" w:sz="8" w:space="0" w:color="4F81BD"/>
              <w:right w:val="nil"/>
            </w:tcBorders>
            <w:shd w:val="clear" w:color="auto" w:fill="auto"/>
            <w:vAlign w:val="center"/>
            <w:hideMark/>
          </w:tcPr>
          <w:p w14:paraId="0D196196" w14:textId="773642D9"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 xml:space="preserve">Nënkomiteti për </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Tregtinë, </w:t>
            </w:r>
            <w:r w:rsidR="00D61A72" w:rsidRPr="004F2AC3">
              <w:rPr>
                <w:rFonts w:ascii="Garamond" w:eastAsia="Times New Roman" w:hAnsi="Garamond" w:cs="Times New Roman"/>
                <w:bCs/>
                <w:color w:val="000000" w:themeColor="text1"/>
                <w:sz w:val="20"/>
                <w:szCs w:val="24"/>
              </w:rPr>
              <w:t>industrinë, doganat dhe tatimet</w:t>
            </w:r>
            <w:r w:rsidR="00D32864" w:rsidRPr="004F2AC3">
              <w:rPr>
                <w:rFonts w:ascii="Garamond" w:eastAsia="Times New Roman" w:hAnsi="Garamond" w:cs="Times New Roman"/>
                <w:bCs/>
                <w:color w:val="000000" w:themeColor="text1"/>
                <w:sz w:val="20"/>
                <w:szCs w:val="24"/>
              </w:rPr>
              <w:t>”</w:t>
            </w:r>
          </w:p>
        </w:tc>
        <w:tc>
          <w:tcPr>
            <w:tcW w:w="2510" w:type="dxa"/>
            <w:tcBorders>
              <w:top w:val="single" w:sz="8" w:space="0" w:color="4F81BD"/>
              <w:left w:val="nil"/>
              <w:bottom w:val="single" w:sz="8" w:space="0" w:color="4F81BD"/>
              <w:right w:val="single" w:sz="8" w:space="0" w:color="4F81BD"/>
            </w:tcBorders>
            <w:shd w:val="clear" w:color="auto" w:fill="auto"/>
            <w:vAlign w:val="center"/>
            <w:hideMark/>
          </w:tcPr>
          <w:p w14:paraId="21C16F77"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 raportim në vit</w:t>
            </w:r>
          </w:p>
        </w:tc>
      </w:tr>
      <w:tr w:rsidR="000F566F" w:rsidRPr="004F2AC3" w14:paraId="29F8E54F" w14:textId="77777777" w:rsidTr="00B66BF4">
        <w:trPr>
          <w:trHeight w:val="198"/>
        </w:trPr>
        <w:tc>
          <w:tcPr>
            <w:tcW w:w="6529" w:type="dxa"/>
            <w:tcBorders>
              <w:top w:val="nil"/>
              <w:left w:val="single" w:sz="8" w:space="0" w:color="4F81BD"/>
              <w:bottom w:val="nil"/>
              <w:right w:val="nil"/>
            </w:tcBorders>
            <w:shd w:val="clear" w:color="auto" w:fill="auto"/>
            <w:vAlign w:val="center"/>
            <w:hideMark/>
          </w:tcPr>
          <w:p w14:paraId="22337309" w14:textId="707474AA"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 xml:space="preserve">Nënkomiteti për </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Drejtësinë, </w:t>
            </w:r>
            <w:r w:rsidR="00D61A72" w:rsidRPr="004F2AC3">
              <w:rPr>
                <w:rFonts w:ascii="Garamond" w:eastAsia="Times New Roman" w:hAnsi="Garamond" w:cs="Times New Roman"/>
                <w:bCs/>
                <w:color w:val="000000" w:themeColor="text1"/>
                <w:sz w:val="20"/>
                <w:szCs w:val="24"/>
              </w:rPr>
              <w:t>lirinë dhe sigurinë</w:t>
            </w:r>
            <w:r w:rsidR="00D32864" w:rsidRPr="004F2AC3">
              <w:rPr>
                <w:rFonts w:ascii="Garamond" w:eastAsia="Times New Roman" w:hAnsi="Garamond" w:cs="Times New Roman"/>
                <w:bCs/>
                <w:color w:val="000000" w:themeColor="text1"/>
                <w:sz w:val="20"/>
                <w:szCs w:val="24"/>
              </w:rPr>
              <w:t>”</w:t>
            </w:r>
          </w:p>
        </w:tc>
        <w:tc>
          <w:tcPr>
            <w:tcW w:w="2510" w:type="dxa"/>
            <w:tcBorders>
              <w:top w:val="nil"/>
              <w:left w:val="nil"/>
              <w:bottom w:val="nil"/>
              <w:right w:val="single" w:sz="8" w:space="0" w:color="4F81BD"/>
            </w:tcBorders>
            <w:shd w:val="clear" w:color="auto" w:fill="auto"/>
            <w:vAlign w:val="center"/>
            <w:hideMark/>
          </w:tcPr>
          <w:p w14:paraId="2AD0DE9D"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 raportim në vit</w:t>
            </w:r>
          </w:p>
        </w:tc>
      </w:tr>
      <w:tr w:rsidR="000F566F" w:rsidRPr="004F2AC3" w14:paraId="1A7D0323" w14:textId="77777777" w:rsidTr="00D61A72">
        <w:trPr>
          <w:trHeight w:val="331"/>
        </w:trPr>
        <w:tc>
          <w:tcPr>
            <w:tcW w:w="6529" w:type="dxa"/>
            <w:tcBorders>
              <w:top w:val="single" w:sz="8" w:space="0" w:color="4F81BD"/>
              <w:left w:val="single" w:sz="8" w:space="0" w:color="4F81BD"/>
              <w:bottom w:val="single" w:sz="8" w:space="0" w:color="4F81BD"/>
              <w:right w:val="nil"/>
            </w:tcBorders>
            <w:shd w:val="clear" w:color="auto" w:fill="auto"/>
            <w:vAlign w:val="center"/>
            <w:hideMark/>
          </w:tcPr>
          <w:p w14:paraId="4C81CAFC" w14:textId="062487F0" w:rsidR="000F566F" w:rsidRPr="004F2AC3" w:rsidRDefault="000F566F" w:rsidP="009E4AB2">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 xml:space="preserve">Nënkomiteti për </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Inovacionin, </w:t>
            </w:r>
            <w:r w:rsidR="00D61A72" w:rsidRPr="004F2AC3">
              <w:rPr>
                <w:rFonts w:ascii="Garamond" w:eastAsia="Times New Roman" w:hAnsi="Garamond" w:cs="Times New Roman"/>
                <w:bCs/>
                <w:color w:val="000000" w:themeColor="text1"/>
                <w:sz w:val="20"/>
                <w:szCs w:val="24"/>
              </w:rPr>
              <w:t>shoqërinë e informacionit dhe politikat sociale</w:t>
            </w:r>
            <w:r w:rsidR="00D32864" w:rsidRPr="004F2AC3">
              <w:rPr>
                <w:rFonts w:ascii="Garamond" w:eastAsia="Times New Roman" w:hAnsi="Garamond" w:cs="Times New Roman"/>
                <w:bCs/>
                <w:color w:val="000000" w:themeColor="text1"/>
                <w:sz w:val="20"/>
                <w:szCs w:val="24"/>
              </w:rPr>
              <w:t>”</w:t>
            </w:r>
          </w:p>
        </w:tc>
        <w:tc>
          <w:tcPr>
            <w:tcW w:w="2510" w:type="dxa"/>
            <w:tcBorders>
              <w:top w:val="single" w:sz="8" w:space="0" w:color="4F81BD"/>
              <w:left w:val="nil"/>
              <w:bottom w:val="single" w:sz="8" w:space="0" w:color="4F81BD"/>
              <w:right w:val="single" w:sz="8" w:space="0" w:color="4F81BD"/>
            </w:tcBorders>
            <w:shd w:val="clear" w:color="auto" w:fill="auto"/>
            <w:vAlign w:val="center"/>
            <w:hideMark/>
          </w:tcPr>
          <w:p w14:paraId="2A5503BC" w14:textId="77777777" w:rsidR="000F566F" w:rsidRPr="004F2AC3" w:rsidRDefault="000F566F" w:rsidP="009E4AB2">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 raportim në vit</w:t>
            </w:r>
          </w:p>
        </w:tc>
      </w:tr>
    </w:tbl>
    <w:p w14:paraId="48EE2643" w14:textId="77777777" w:rsidR="000F566F" w:rsidRPr="004F2AC3" w:rsidRDefault="000F566F" w:rsidP="000F566F">
      <w:pPr>
        <w:shd w:val="clear" w:color="auto" w:fill="FFFFFF"/>
        <w:autoSpaceDE w:val="0"/>
        <w:autoSpaceDN w:val="0"/>
        <w:adjustRightInd w:val="0"/>
        <w:spacing w:after="0" w:line="240" w:lineRule="auto"/>
        <w:ind w:firstLine="284"/>
        <w:jc w:val="both"/>
        <w:rPr>
          <w:rFonts w:ascii="Garamond" w:hAnsi="Garamond" w:cs="Times New Roman"/>
          <w:b/>
          <w:i/>
          <w:color w:val="000000" w:themeColor="text1"/>
          <w:sz w:val="24"/>
          <w:szCs w:val="24"/>
        </w:rPr>
      </w:pPr>
    </w:p>
    <w:p w14:paraId="48CA6EEC" w14:textId="5D8EA110"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INSTAT</w:t>
      </w:r>
      <w:r w:rsidR="00C221AA"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koordinoi me sukses punën në Platformën e Integrimit Evropian PIEA, duke ngarkuar </w:t>
      </w:r>
      <w:r w:rsidR="00C221AA" w:rsidRPr="004F2AC3">
        <w:rPr>
          <w:rFonts w:ascii="Garamond" w:eastAsia="Times New Roman" w:hAnsi="Garamond" w:cs="Times New Roman"/>
          <w:color w:val="000000" w:themeColor="text1"/>
          <w:sz w:val="24"/>
          <w:szCs w:val="24"/>
        </w:rPr>
        <w:t>dokumentet</w:t>
      </w:r>
      <w:r w:rsidRPr="004F2AC3">
        <w:rPr>
          <w:rFonts w:ascii="Garamond" w:eastAsia="Times New Roman" w:hAnsi="Garamond" w:cs="Times New Roman"/>
          <w:color w:val="000000" w:themeColor="text1"/>
          <w:sz w:val="24"/>
          <w:szCs w:val="24"/>
        </w:rPr>
        <w:t xml:space="preserve"> sipas raportimeve. </w:t>
      </w:r>
    </w:p>
    <w:p w14:paraId="190E404F" w14:textId="6F3D3F4E"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b/>
          <w:color w:val="000000" w:themeColor="text1"/>
          <w:sz w:val="24"/>
          <w:szCs w:val="24"/>
        </w:rPr>
        <w:t>Gjatë vitit 2026,</w:t>
      </w:r>
      <w:r w:rsidRPr="004F2AC3">
        <w:rPr>
          <w:rFonts w:ascii="Garamond" w:eastAsia="Times New Roman" w:hAnsi="Garamond" w:cs="Times New Roman"/>
          <w:color w:val="000000" w:themeColor="text1"/>
          <w:sz w:val="24"/>
          <w:szCs w:val="24"/>
        </w:rPr>
        <w:t xml:space="preserve"> Instituti i Statistikave, në cilësinë e koordinatorit të Sistemit Kombëtar Statistikor (SKS), do të përqendrojë veprimtarinë e tij në përmbushjen e detyrimeve që rrjedhin nga procesi i Integrimit Evropian, me fokus të veçantë në realizimin 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Piketave </w:t>
      </w:r>
      <w:r w:rsidR="00D61A72" w:rsidRPr="004F2AC3">
        <w:rPr>
          <w:rFonts w:ascii="Garamond" w:eastAsia="Times New Roman" w:hAnsi="Garamond" w:cs="Times New Roman"/>
          <w:color w:val="000000" w:themeColor="text1"/>
          <w:sz w:val="24"/>
          <w:szCs w:val="24"/>
        </w:rPr>
        <w:t>mbyllëse</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për </w:t>
      </w:r>
      <w:r w:rsidR="00D61A72" w:rsidRPr="004F2AC3">
        <w:rPr>
          <w:rFonts w:ascii="Garamond" w:eastAsia="Times New Roman" w:hAnsi="Garamond" w:cs="Times New Roman"/>
          <w:color w:val="000000" w:themeColor="text1"/>
          <w:sz w:val="24"/>
          <w:szCs w:val="24"/>
        </w:rPr>
        <w:t xml:space="preserve">kapitullin </w:t>
      </w:r>
      <w:r w:rsidRPr="004F2AC3">
        <w:rPr>
          <w:rFonts w:ascii="Garamond" w:eastAsia="Times New Roman" w:hAnsi="Garamond" w:cs="Times New Roman"/>
          <w:color w:val="000000" w:themeColor="text1"/>
          <w:sz w:val="24"/>
          <w:szCs w:val="24"/>
        </w:rPr>
        <w:t xml:space="preserve">18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Statistikat</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me një plan pune konkret dhe me afate të qarta.</w:t>
      </w:r>
    </w:p>
    <w:p w14:paraId="0A0C44F6" w14:textId="77777777" w:rsidR="000F566F" w:rsidRPr="004F2AC3" w:rsidRDefault="000F566F" w:rsidP="000F566F">
      <w:pPr>
        <w:spacing w:after="0" w:line="240" w:lineRule="auto"/>
        <w:ind w:firstLine="284"/>
        <w:contextualSpacing/>
        <w:jc w:val="both"/>
        <w:rPr>
          <w:rFonts w:ascii="Garamond" w:eastAsia="Times New Roman" w:hAnsi="Garamond" w:cs="Times New Roman"/>
          <w:b/>
          <w:bCs/>
          <w:color w:val="000000" w:themeColor="text1"/>
          <w:sz w:val="24"/>
          <w:szCs w:val="24"/>
        </w:rPr>
      </w:pPr>
      <w:r w:rsidRPr="004F2AC3">
        <w:rPr>
          <w:rFonts w:ascii="Garamond" w:eastAsia="Times New Roman" w:hAnsi="Garamond" w:cs="Times New Roman"/>
          <w:b/>
          <w:bCs/>
          <w:color w:val="000000" w:themeColor="text1"/>
          <w:sz w:val="24"/>
          <w:szCs w:val="24"/>
        </w:rPr>
        <w:t>Aktivitete të parashikuara:</w:t>
      </w:r>
    </w:p>
    <w:p w14:paraId="13BE4A2A" w14:textId="77777777"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Dorëzimi i të dhënave kyçe makroekonomike (llogaritë kombëtare) të harmonizuara plotësisht me metodologjinë ESA 2010, duke përfshirë:</w:t>
      </w:r>
    </w:p>
    <w:p w14:paraId="062FFAF6" w14:textId="1980935F" w:rsidR="000F566F" w:rsidRPr="004F2AC3" w:rsidRDefault="009E4AB2" w:rsidP="009E4AB2">
      <w:pPr>
        <w:pStyle w:val="TEKSTIIIII"/>
      </w:pPr>
      <w:r w:rsidRPr="004F2AC3">
        <w:t xml:space="preserve">- </w:t>
      </w:r>
      <w:r w:rsidR="000F566F" w:rsidRPr="004F2AC3">
        <w:t>agregatet kryesore sipas aktivitetit ekonomik</w:t>
      </w:r>
      <w:r w:rsidR="00C221AA" w:rsidRPr="004F2AC3">
        <w:t>;</w:t>
      </w:r>
    </w:p>
    <w:p w14:paraId="79BB70B4" w14:textId="46616961" w:rsidR="000F566F" w:rsidRPr="004F2AC3" w:rsidRDefault="009E4AB2" w:rsidP="009E4AB2">
      <w:pPr>
        <w:pStyle w:val="TEKSTIIIII"/>
      </w:pPr>
      <w:r w:rsidRPr="004F2AC3">
        <w:t xml:space="preserve">- </w:t>
      </w:r>
      <w:r w:rsidR="000F566F" w:rsidRPr="004F2AC3">
        <w:t>të ardhurat, konsumin dhe investimet sipas përdorimit</w:t>
      </w:r>
      <w:r w:rsidR="00C221AA" w:rsidRPr="004F2AC3">
        <w:t>;</w:t>
      </w:r>
    </w:p>
    <w:p w14:paraId="26DF9238" w14:textId="75B8F2E7" w:rsidR="000F566F" w:rsidRPr="004F2AC3" w:rsidRDefault="009E4AB2" w:rsidP="009E4AB2">
      <w:pPr>
        <w:pStyle w:val="TEKSTIIIII"/>
      </w:pPr>
      <w:r w:rsidRPr="004F2AC3">
        <w:t xml:space="preserve">- </w:t>
      </w:r>
      <w:r w:rsidR="000F566F" w:rsidRPr="004F2AC3">
        <w:t>seritë tremujore nga viti 1995 e në vazhdim</w:t>
      </w:r>
      <w:r w:rsidR="00C221AA" w:rsidRPr="004F2AC3">
        <w:t>;</w:t>
      </w:r>
    </w:p>
    <w:p w14:paraId="69F92650" w14:textId="1D54037C" w:rsidR="000F566F" w:rsidRPr="004F2AC3" w:rsidRDefault="009E4AB2" w:rsidP="009E4AB2">
      <w:pPr>
        <w:pStyle w:val="TEKSTIIIII"/>
      </w:pPr>
      <w:r w:rsidRPr="004F2AC3">
        <w:t xml:space="preserve">- </w:t>
      </w:r>
      <w:r w:rsidR="00C221AA" w:rsidRPr="004F2AC3">
        <w:t>p</w:t>
      </w:r>
      <w:r w:rsidR="000F566F" w:rsidRPr="004F2AC3">
        <w:t xml:space="preserve">ërfundimi i dorëzimeve të tabelave të mbetura të </w:t>
      </w:r>
      <w:r w:rsidR="00D61A72" w:rsidRPr="004F2AC3">
        <w:t xml:space="preserve">llogarive kombëtare, </w:t>
      </w:r>
      <w:r w:rsidR="000F566F" w:rsidRPr="004F2AC3">
        <w:t>sipas afateve të parashikuara dhe bashkërendimi i vazhdueshëm i punës me Eurostatin</w:t>
      </w:r>
      <w:r w:rsidR="00D61A72" w:rsidRPr="004F2AC3">
        <w:t xml:space="preserve"> për të siguruar përputhshmëri</w:t>
      </w:r>
      <w:r w:rsidR="000F566F" w:rsidRPr="004F2AC3">
        <w:t xml:space="preserve"> dhe harmonizim me standardet evropiane</w:t>
      </w:r>
      <w:r w:rsidR="00C221AA" w:rsidRPr="004F2AC3">
        <w:t>.</w:t>
      </w:r>
    </w:p>
    <w:p w14:paraId="163FBF34" w14:textId="7912BC43" w:rsidR="000F566F" w:rsidRPr="004F2AC3" w:rsidRDefault="000F566F" w:rsidP="000F566F">
      <w:pPr>
        <w:tabs>
          <w:tab w:val="left" w:pos="2100"/>
        </w:tabs>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Gjithashtu</w:t>
      </w:r>
      <w:r w:rsidR="00D61A72"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do të vijojë puna për transpozimin e </w:t>
      </w:r>
      <w:r w:rsidRPr="004F2AC3">
        <w:rPr>
          <w:rFonts w:ascii="Garamond" w:eastAsia="Times New Roman" w:hAnsi="Garamond" w:cs="Times New Roman"/>
          <w:i/>
          <w:color w:val="000000" w:themeColor="text1"/>
          <w:sz w:val="24"/>
          <w:szCs w:val="24"/>
        </w:rPr>
        <w:t>aquiss communitarie</w:t>
      </w:r>
      <w:r w:rsidRPr="004F2AC3">
        <w:rPr>
          <w:rFonts w:ascii="Garamond" w:eastAsia="Times New Roman" w:hAnsi="Garamond" w:cs="Times New Roman"/>
          <w:color w:val="000000" w:themeColor="text1"/>
          <w:sz w:val="24"/>
          <w:szCs w:val="24"/>
        </w:rPr>
        <w:t xml:space="preserve"> evropian në</w:t>
      </w:r>
      <w:r w:rsidR="00684E85"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legjislacionin shqiptar, duke zbatuar masat e parashikuara në Planin Kombëtar të Integrimit Evropian.</w:t>
      </w:r>
    </w:p>
    <w:p w14:paraId="2696F633" w14:textId="3052E14F"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Në</w:t>
      </w:r>
      <w:r w:rsidR="00C221AA" w:rsidRPr="004F2AC3">
        <w:rPr>
          <w:rFonts w:ascii="Garamond" w:eastAsia="Times New Roman" w:hAnsi="Garamond" w:cs="Times New Roman"/>
          <w:color w:val="000000" w:themeColor="text1"/>
          <w:sz w:val="24"/>
          <w:szCs w:val="24"/>
        </w:rPr>
        <w:t xml:space="preserve"> zbatim të urdh</w:t>
      </w:r>
      <w:r w:rsidRPr="004F2AC3">
        <w:rPr>
          <w:rFonts w:ascii="Garamond" w:eastAsia="Times New Roman" w:hAnsi="Garamond" w:cs="Times New Roman"/>
          <w:color w:val="000000" w:themeColor="text1"/>
          <w:sz w:val="24"/>
          <w:szCs w:val="24"/>
        </w:rPr>
        <w:t>rit të</w:t>
      </w:r>
      <w:r w:rsidR="00C221AA" w:rsidRPr="004F2AC3">
        <w:rPr>
          <w:rFonts w:ascii="Garamond" w:eastAsia="Times New Roman" w:hAnsi="Garamond" w:cs="Times New Roman"/>
          <w:color w:val="000000" w:themeColor="text1"/>
          <w:sz w:val="24"/>
          <w:szCs w:val="24"/>
        </w:rPr>
        <w:t xml:space="preserve"> Kryeministrit nr. 94, datë 20.</w:t>
      </w:r>
      <w:r w:rsidRPr="004F2AC3">
        <w:rPr>
          <w:rFonts w:ascii="Garamond" w:eastAsia="Times New Roman" w:hAnsi="Garamond" w:cs="Times New Roman"/>
          <w:color w:val="000000" w:themeColor="text1"/>
          <w:sz w:val="24"/>
          <w:szCs w:val="24"/>
        </w:rPr>
        <w:t xml:space="preserve">5.2019,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Për ngritjen, përbërjen dhe funksionimin e </w:t>
      </w:r>
      <w:r w:rsidR="00D61A72" w:rsidRPr="004F2AC3">
        <w:rPr>
          <w:rFonts w:ascii="Garamond" w:eastAsia="Times New Roman" w:hAnsi="Garamond" w:cs="Times New Roman"/>
          <w:color w:val="000000" w:themeColor="text1"/>
          <w:sz w:val="24"/>
          <w:szCs w:val="24"/>
        </w:rPr>
        <w:t xml:space="preserve">grupeve ndërinstitucionale të punës </w:t>
      </w:r>
      <w:r w:rsidRPr="004F2AC3">
        <w:rPr>
          <w:rFonts w:ascii="Garamond" w:eastAsia="Times New Roman" w:hAnsi="Garamond" w:cs="Times New Roman"/>
          <w:color w:val="000000" w:themeColor="text1"/>
          <w:sz w:val="24"/>
          <w:szCs w:val="24"/>
        </w:rPr>
        <w:t>për Integrimin Evropian</w:t>
      </w:r>
      <w:r w:rsidR="00D61A72"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(GNPIE)</w:t>
      </w:r>
      <w:r w:rsidR="00C221AA" w:rsidRPr="004F2AC3">
        <w:rPr>
          <w:rFonts w:ascii="Garamond" w:eastAsia="Times New Roman" w:hAnsi="Garamond" w:cs="Times New Roman"/>
          <w:color w:val="000000" w:themeColor="text1"/>
          <w:sz w:val="24"/>
          <w:szCs w:val="24"/>
        </w:rPr>
        <w:t>, dhe urdh</w:t>
      </w:r>
      <w:r w:rsidRPr="004F2AC3">
        <w:rPr>
          <w:rFonts w:ascii="Garamond" w:eastAsia="Times New Roman" w:hAnsi="Garamond" w:cs="Times New Roman"/>
          <w:color w:val="000000" w:themeColor="text1"/>
          <w:sz w:val="24"/>
          <w:szCs w:val="24"/>
        </w:rPr>
        <w:t>rit të</w:t>
      </w:r>
      <w:r w:rsidR="00C221AA" w:rsidRPr="004F2AC3">
        <w:rPr>
          <w:rFonts w:ascii="Garamond" w:eastAsia="Times New Roman" w:hAnsi="Garamond" w:cs="Times New Roman"/>
          <w:color w:val="000000" w:themeColor="text1"/>
          <w:sz w:val="24"/>
          <w:szCs w:val="24"/>
        </w:rPr>
        <w:t xml:space="preserve"> Kryeministrit nr. 113, datë 30.</w:t>
      </w:r>
      <w:r w:rsidRPr="004F2AC3">
        <w:rPr>
          <w:rFonts w:ascii="Garamond" w:eastAsia="Times New Roman" w:hAnsi="Garamond" w:cs="Times New Roman"/>
          <w:color w:val="000000" w:themeColor="text1"/>
          <w:sz w:val="24"/>
          <w:szCs w:val="24"/>
        </w:rPr>
        <w:t>8.2019</w:t>
      </w:r>
      <w:r w:rsidR="00C221AA"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Për format e pjesëmarrjes, funksionimin dhe strukturën institucionale të platformës së partneritetit për integrimin evropian</w:t>
      </w:r>
      <w:r w:rsidR="00D61A72"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(PPIE), INSTAT</w:t>
      </w:r>
      <w:r w:rsidR="00C221AA"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në cilësinë e drejtuesit dhe negociatorit të </w:t>
      </w:r>
      <w:r w:rsidR="00C221AA" w:rsidRPr="004F2AC3">
        <w:rPr>
          <w:rFonts w:ascii="Garamond" w:eastAsia="Times New Roman" w:hAnsi="Garamond" w:cs="Times New Roman"/>
          <w:color w:val="000000" w:themeColor="text1"/>
          <w:sz w:val="24"/>
          <w:szCs w:val="24"/>
        </w:rPr>
        <w:t>k</w:t>
      </w:r>
      <w:r w:rsidRPr="004F2AC3">
        <w:rPr>
          <w:rFonts w:ascii="Garamond" w:eastAsia="Times New Roman" w:hAnsi="Garamond" w:cs="Times New Roman"/>
          <w:color w:val="000000" w:themeColor="text1"/>
          <w:sz w:val="24"/>
          <w:szCs w:val="24"/>
        </w:rPr>
        <w:t>apitullit 18, do të vijojë takimet periodike me grupin ndërinstitucional të punës së integrimit evropian</w:t>
      </w:r>
      <w:r w:rsidR="00D61A72"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si dhe të Platformës së Partneritetit të Integrimit Evropian, PPIE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Tryeza e </w:t>
      </w:r>
      <w:r w:rsidR="00D61A72" w:rsidRPr="004F2AC3">
        <w:rPr>
          <w:rFonts w:ascii="Garamond" w:eastAsia="Times New Roman" w:hAnsi="Garamond" w:cs="Times New Roman"/>
          <w:color w:val="000000" w:themeColor="text1"/>
          <w:sz w:val="24"/>
          <w:szCs w:val="24"/>
        </w:rPr>
        <w:t>diskutimit statistikat</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w:t>
      </w:r>
      <w:r w:rsidR="00684E85" w:rsidRPr="004F2AC3">
        <w:rPr>
          <w:rFonts w:ascii="Garamond" w:eastAsia="Times New Roman" w:hAnsi="Garamond" w:cs="Times New Roman"/>
          <w:color w:val="000000" w:themeColor="text1"/>
          <w:sz w:val="24"/>
          <w:szCs w:val="24"/>
        </w:rPr>
        <w:t xml:space="preserve"> </w:t>
      </w:r>
    </w:p>
    <w:p w14:paraId="086FC0DF" w14:textId="785CC225"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Në faqen zyrtare të INSTAT</w:t>
      </w:r>
      <w:r w:rsidR="00C221AA" w:rsidRPr="004F2AC3">
        <w:rPr>
          <w:rFonts w:ascii="Garamond" w:eastAsia="Times New Roman" w:hAnsi="Garamond" w:cs="Times New Roman"/>
          <w:color w:val="000000" w:themeColor="text1"/>
          <w:sz w:val="24"/>
          <w:szCs w:val="24"/>
        </w:rPr>
        <w:t>-it</w:t>
      </w:r>
      <w:r w:rsidRPr="004F2AC3">
        <w:rPr>
          <w:rFonts w:ascii="Garamond" w:eastAsia="Times New Roman" w:hAnsi="Garamond" w:cs="Times New Roman"/>
          <w:color w:val="000000" w:themeColor="text1"/>
          <w:sz w:val="24"/>
          <w:szCs w:val="24"/>
        </w:rPr>
        <w:t xml:space="preserve"> tek ndërfaqja e integrimit evropian gjendet i gjithë informacioni për të marrë pjesë në Platformën e Partneriteti të Integrimit Evropian (PPIE). </w:t>
      </w:r>
    </w:p>
    <w:p w14:paraId="4246E348" w14:textId="77777777"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 </w:t>
      </w:r>
    </w:p>
    <w:p w14:paraId="348A2ACE" w14:textId="661B33AF" w:rsidR="000F566F" w:rsidRPr="004F2AC3" w:rsidRDefault="000F566F" w:rsidP="000F566F">
      <w:pPr>
        <w:spacing w:after="0" w:line="240" w:lineRule="auto"/>
        <w:ind w:firstLine="284"/>
        <w:contextualSpacing/>
        <w:jc w:val="both"/>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Tabela nr. 27</w:t>
      </w:r>
      <w:r w:rsidR="00C221AA"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Frekuenca e </w:t>
      </w:r>
      <w:r w:rsidR="00C221AA" w:rsidRPr="004F2AC3">
        <w:rPr>
          <w:rFonts w:ascii="Garamond" w:eastAsia="Times New Roman" w:hAnsi="Garamond" w:cs="Times New Roman"/>
          <w:b/>
          <w:color w:val="000000" w:themeColor="text1"/>
          <w:sz w:val="24"/>
          <w:szCs w:val="24"/>
        </w:rPr>
        <w:t>t</w:t>
      </w:r>
      <w:r w:rsidRPr="004F2AC3">
        <w:rPr>
          <w:rFonts w:ascii="Garamond" w:eastAsia="Times New Roman" w:hAnsi="Garamond" w:cs="Times New Roman"/>
          <w:b/>
          <w:color w:val="000000" w:themeColor="text1"/>
          <w:sz w:val="24"/>
          <w:szCs w:val="24"/>
        </w:rPr>
        <w:t>akimeve të GNPIE-së dhe PPIE-së</w:t>
      </w:r>
      <w:r w:rsidR="00C221AA"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 </w:t>
      </w:r>
      <w:r w:rsidR="00C221AA" w:rsidRPr="004F2AC3">
        <w:rPr>
          <w:rFonts w:ascii="Garamond" w:eastAsia="Times New Roman" w:hAnsi="Garamond" w:cs="Times New Roman"/>
          <w:b/>
          <w:color w:val="000000" w:themeColor="text1"/>
          <w:sz w:val="24"/>
          <w:szCs w:val="24"/>
        </w:rPr>
        <w:t>k</w:t>
      </w:r>
      <w:r w:rsidRPr="004F2AC3">
        <w:rPr>
          <w:rFonts w:ascii="Garamond" w:eastAsia="Times New Roman" w:hAnsi="Garamond" w:cs="Times New Roman"/>
          <w:b/>
          <w:color w:val="000000" w:themeColor="text1"/>
          <w:sz w:val="24"/>
          <w:szCs w:val="24"/>
        </w:rPr>
        <w:t xml:space="preserve">apitulli 18 </w:t>
      </w:r>
      <w:r w:rsidR="00D61A72"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Statistikat</w:t>
      </w:r>
      <w:r w:rsidR="00D61A72" w:rsidRPr="004F2AC3">
        <w:rPr>
          <w:rFonts w:ascii="Garamond" w:eastAsia="Times New Roman" w:hAnsi="Garamond" w:cs="Times New Roman"/>
          <w:b/>
          <w:color w:val="000000" w:themeColor="text1"/>
          <w:sz w:val="24"/>
          <w:szCs w:val="24"/>
        </w:rPr>
        <w:t>’</w:t>
      </w:r>
      <w:r w:rsidR="00D32864" w:rsidRPr="004F2AC3">
        <w:rPr>
          <w:rFonts w:ascii="Garamond" w:eastAsia="Times New Roman" w:hAnsi="Garamond" w:cs="Times New Roman"/>
          <w:b/>
          <w:color w:val="000000" w:themeColor="text1"/>
          <w:sz w:val="24"/>
          <w:szCs w:val="24"/>
        </w:rPr>
        <w:t>”</w:t>
      </w:r>
    </w:p>
    <w:tbl>
      <w:tblPr>
        <w:tblW w:w="9041" w:type="dxa"/>
        <w:tblInd w:w="-10" w:type="dxa"/>
        <w:tblLook w:val="04A0" w:firstRow="1" w:lastRow="0" w:firstColumn="1" w:lastColumn="0" w:noHBand="0" w:noVBand="1"/>
      </w:tblPr>
      <w:tblGrid>
        <w:gridCol w:w="6660"/>
        <w:gridCol w:w="2381"/>
      </w:tblGrid>
      <w:tr w:rsidR="000F566F" w:rsidRPr="004F2AC3" w14:paraId="2E0A155E" w14:textId="77777777" w:rsidTr="00B66BF4">
        <w:trPr>
          <w:trHeight w:val="242"/>
        </w:trPr>
        <w:tc>
          <w:tcPr>
            <w:tcW w:w="6660" w:type="dxa"/>
            <w:tcBorders>
              <w:top w:val="single" w:sz="8" w:space="0" w:color="4F81BD"/>
              <w:left w:val="single" w:sz="8" w:space="0" w:color="4F81BD"/>
              <w:bottom w:val="single" w:sz="8" w:space="0" w:color="4F81BD"/>
              <w:right w:val="nil"/>
            </w:tcBorders>
            <w:shd w:val="clear" w:color="000000" w:fill="4472C4"/>
            <w:vAlign w:val="center"/>
            <w:hideMark/>
          </w:tcPr>
          <w:p w14:paraId="3398FF06"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Aktivitetet</w:t>
            </w:r>
          </w:p>
        </w:tc>
        <w:tc>
          <w:tcPr>
            <w:tcW w:w="2381" w:type="dxa"/>
            <w:tcBorders>
              <w:top w:val="single" w:sz="8" w:space="0" w:color="4F81BD"/>
              <w:left w:val="nil"/>
              <w:bottom w:val="single" w:sz="8" w:space="0" w:color="4F81BD"/>
              <w:right w:val="single" w:sz="8" w:space="0" w:color="4F81BD"/>
            </w:tcBorders>
            <w:shd w:val="clear" w:color="000000" w:fill="4472C4"/>
            <w:vAlign w:val="center"/>
            <w:hideMark/>
          </w:tcPr>
          <w:p w14:paraId="0F7C4906" w14:textId="77777777" w:rsidR="000F566F" w:rsidRPr="004F2AC3" w:rsidRDefault="000F566F" w:rsidP="00F40AE3">
            <w:pPr>
              <w:spacing w:after="0" w:line="240" w:lineRule="auto"/>
              <w:jc w:val="right"/>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2026</w:t>
            </w:r>
          </w:p>
        </w:tc>
      </w:tr>
      <w:tr w:rsidR="000F566F" w:rsidRPr="004F2AC3" w14:paraId="2FD43BBD" w14:textId="77777777" w:rsidTr="00B66BF4">
        <w:trPr>
          <w:trHeight w:val="242"/>
        </w:trPr>
        <w:tc>
          <w:tcPr>
            <w:tcW w:w="6660" w:type="dxa"/>
            <w:tcBorders>
              <w:top w:val="nil"/>
              <w:left w:val="single" w:sz="8" w:space="0" w:color="4F81BD"/>
              <w:bottom w:val="single" w:sz="8" w:space="0" w:color="4F81BD"/>
              <w:right w:val="nil"/>
            </w:tcBorders>
            <w:shd w:val="clear" w:color="000000" w:fill="4472C4"/>
            <w:vAlign w:val="center"/>
            <w:hideMark/>
          </w:tcPr>
          <w:p w14:paraId="53E274BD"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Takime</w:t>
            </w:r>
          </w:p>
        </w:tc>
        <w:tc>
          <w:tcPr>
            <w:tcW w:w="2381" w:type="dxa"/>
            <w:tcBorders>
              <w:top w:val="nil"/>
              <w:left w:val="nil"/>
              <w:bottom w:val="single" w:sz="8" w:space="0" w:color="4F81BD"/>
              <w:right w:val="single" w:sz="8" w:space="0" w:color="4F81BD"/>
            </w:tcBorders>
            <w:shd w:val="clear" w:color="000000" w:fill="4472C4"/>
            <w:vAlign w:val="center"/>
            <w:hideMark/>
          </w:tcPr>
          <w:p w14:paraId="31A55C57" w14:textId="2A2772DF" w:rsidR="000F566F" w:rsidRPr="004F2AC3" w:rsidRDefault="000F566F" w:rsidP="00C221AA">
            <w:pPr>
              <w:spacing w:after="0" w:line="240" w:lineRule="auto"/>
              <w:jc w:val="right"/>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 xml:space="preserve">Frekuenca e </w:t>
            </w:r>
            <w:r w:rsidR="00C221AA" w:rsidRPr="004F2AC3">
              <w:rPr>
                <w:rFonts w:ascii="Garamond" w:eastAsia="Times New Roman" w:hAnsi="Garamond" w:cs="Times New Roman"/>
                <w:b/>
                <w:bCs/>
                <w:color w:val="000000" w:themeColor="text1"/>
                <w:sz w:val="20"/>
                <w:szCs w:val="24"/>
              </w:rPr>
              <w:t>t</w:t>
            </w:r>
            <w:r w:rsidRPr="004F2AC3">
              <w:rPr>
                <w:rFonts w:ascii="Garamond" w:eastAsia="Times New Roman" w:hAnsi="Garamond" w:cs="Times New Roman"/>
                <w:b/>
                <w:bCs/>
                <w:color w:val="000000" w:themeColor="text1"/>
                <w:sz w:val="20"/>
                <w:szCs w:val="24"/>
              </w:rPr>
              <w:t>akimit</w:t>
            </w:r>
          </w:p>
        </w:tc>
      </w:tr>
      <w:tr w:rsidR="000F566F" w:rsidRPr="004F2AC3" w14:paraId="12F373A7" w14:textId="77777777" w:rsidTr="00B66BF4">
        <w:trPr>
          <w:trHeight w:val="242"/>
        </w:trPr>
        <w:tc>
          <w:tcPr>
            <w:tcW w:w="6660" w:type="dxa"/>
            <w:tcBorders>
              <w:top w:val="nil"/>
              <w:left w:val="single" w:sz="8" w:space="0" w:color="4F81BD"/>
              <w:bottom w:val="single" w:sz="8" w:space="0" w:color="4F81BD"/>
              <w:right w:val="nil"/>
            </w:tcBorders>
            <w:shd w:val="clear" w:color="auto" w:fill="auto"/>
            <w:noWrap/>
            <w:vAlign w:val="center"/>
            <w:hideMark/>
          </w:tcPr>
          <w:p w14:paraId="7C049C18" w14:textId="441ADDC6" w:rsidR="000F566F" w:rsidRPr="004F2AC3" w:rsidRDefault="000F566F" w:rsidP="00F40AE3">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GNPIE</w:t>
            </w:r>
            <w:r w:rsidR="00684E85" w:rsidRPr="004F2AC3">
              <w:rPr>
                <w:rFonts w:ascii="Garamond" w:eastAsia="Times New Roman" w:hAnsi="Garamond" w:cs="Times New Roman"/>
                <w:bCs/>
                <w:color w:val="000000" w:themeColor="text1"/>
                <w:sz w:val="20"/>
                <w:szCs w:val="24"/>
              </w:rPr>
              <w:t xml:space="preserve"> </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Grupi </w:t>
            </w:r>
            <w:r w:rsidR="00D61A72" w:rsidRPr="004F2AC3">
              <w:rPr>
                <w:rFonts w:ascii="Garamond" w:eastAsia="Times New Roman" w:hAnsi="Garamond" w:cs="Times New Roman"/>
                <w:bCs/>
                <w:color w:val="000000" w:themeColor="text1"/>
                <w:sz w:val="20"/>
                <w:szCs w:val="24"/>
              </w:rPr>
              <w:t xml:space="preserve">ndërinstitucional i punës </w:t>
            </w:r>
            <w:r w:rsidRPr="004F2AC3">
              <w:rPr>
                <w:rFonts w:ascii="Garamond" w:eastAsia="Times New Roman" w:hAnsi="Garamond" w:cs="Times New Roman"/>
                <w:bCs/>
                <w:color w:val="000000" w:themeColor="text1"/>
                <w:sz w:val="20"/>
                <w:szCs w:val="24"/>
              </w:rPr>
              <w:t>për Integrimin Evropian</w:t>
            </w:r>
            <w:r w:rsidR="00D32864" w:rsidRPr="004F2AC3">
              <w:rPr>
                <w:rFonts w:ascii="Garamond" w:eastAsia="Times New Roman" w:hAnsi="Garamond" w:cs="Times New Roman"/>
                <w:bCs/>
                <w:color w:val="000000" w:themeColor="text1"/>
                <w:sz w:val="20"/>
                <w:szCs w:val="24"/>
              </w:rPr>
              <w:t>”</w:t>
            </w:r>
          </w:p>
        </w:tc>
        <w:tc>
          <w:tcPr>
            <w:tcW w:w="2381" w:type="dxa"/>
            <w:tcBorders>
              <w:top w:val="nil"/>
              <w:left w:val="nil"/>
              <w:bottom w:val="single" w:sz="8" w:space="0" w:color="4F81BD"/>
              <w:right w:val="single" w:sz="8" w:space="0" w:color="4F81BD"/>
            </w:tcBorders>
            <w:shd w:val="clear" w:color="auto" w:fill="auto"/>
            <w:vAlign w:val="center"/>
            <w:hideMark/>
          </w:tcPr>
          <w:p w14:paraId="57E54E23"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 takim në muaj</w:t>
            </w:r>
          </w:p>
        </w:tc>
      </w:tr>
      <w:tr w:rsidR="000F566F" w:rsidRPr="004F2AC3" w14:paraId="0A9CA22A" w14:textId="77777777" w:rsidTr="00B66BF4">
        <w:trPr>
          <w:trHeight w:val="242"/>
        </w:trPr>
        <w:tc>
          <w:tcPr>
            <w:tcW w:w="6660" w:type="dxa"/>
            <w:tcBorders>
              <w:top w:val="nil"/>
              <w:left w:val="single" w:sz="8" w:space="0" w:color="4F81BD"/>
              <w:bottom w:val="single" w:sz="8" w:space="0" w:color="4F81BD"/>
              <w:right w:val="nil"/>
            </w:tcBorders>
            <w:shd w:val="clear" w:color="auto" w:fill="auto"/>
            <w:noWrap/>
            <w:vAlign w:val="center"/>
            <w:hideMark/>
          </w:tcPr>
          <w:p w14:paraId="20A88677" w14:textId="0432E7BA" w:rsidR="000F566F" w:rsidRPr="004F2AC3" w:rsidRDefault="000F566F" w:rsidP="00F40AE3">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PPIE</w:t>
            </w:r>
            <w:r w:rsidR="00684E85" w:rsidRPr="004F2AC3">
              <w:rPr>
                <w:rFonts w:ascii="Garamond" w:eastAsia="Times New Roman" w:hAnsi="Garamond" w:cs="Times New Roman"/>
                <w:bCs/>
                <w:color w:val="000000" w:themeColor="text1"/>
                <w:sz w:val="20"/>
                <w:szCs w:val="24"/>
              </w:rPr>
              <w:t xml:space="preserve"> </w:t>
            </w:r>
            <w:r w:rsidR="00D32864" w:rsidRPr="004F2AC3">
              <w:rPr>
                <w:rFonts w:ascii="Garamond" w:eastAsia="Times New Roman" w:hAnsi="Garamond" w:cs="Times New Roman"/>
                <w:bCs/>
                <w:color w:val="000000" w:themeColor="text1"/>
                <w:sz w:val="20"/>
                <w:szCs w:val="24"/>
              </w:rPr>
              <w:t>“</w:t>
            </w:r>
            <w:r w:rsidRPr="004F2AC3">
              <w:rPr>
                <w:rFonts w:ascii="Garamond" w:eastAsia="Times New Roman" w:hAnsi="Garamond" w:cs="Times New Roman"/>
                <w:bCs/>
                <w:color w:val="000000" w:themeColor="text1"/>
                <w:sz w:val="20"/>
                <w:szCs w:val="24"/>
              </w:rPr>
              <w:t xml:space="preserve">Tryeza e </w:t>
            </w:r>
            <w:r w:rsidR="00D61A72" w:rsidRPr="004F2AC3">
              <w:rPr>
                <w:rFonts w:ascii="Garamond" w:eastAsia="Times New Roman" w:hAnsi="Garamond" w:cs="Times New Roman"/>
                <w:bCs/>
                <w:color w:val="000000" w:themeColor="text1"/>
                <w:sz w:val="20"/>
                <w:szCs w:val="24"/>
              </w:rPr>
              <w:t>diskutimit statistikat</w:t>
            </w:r>
            <w:r w:rsidR="00D32864" w:rsidRPr="004F2AC3">
              <w:rPr>
                <w:rFonts w:ascii="Garamond" w:eastAsia="Times New Roman" w:hAnsi="Garamond" w:cs="Times New Roman"/>
                <w:bCs/>
                <w:color w:val="000000" w:themeColor="text1"/>
                <w:sz w:val="20"/>
                <w:szCs w:val="24"/>
              </w:rPr>
              <w:t>”</w:t>
            </w:r>
          </w:p>
        </w:tc>
        <w:tc>
          <w:tcPr>
            <w:tcW w:w="2381" w:type="dxa"/>
            <w:tcBorders>
              <w:top w:val="nil"/>
              <w:left w:val="nil"/>
              <w:bottom w:val="single" w:sz="8" w:space="0" w:color="4F81BD"/>
              <w:right w:val="single" w:sz="8" w:space="0" w:color="4F81BD"/>
            </w:tcBorders>
            <w:shd w:val="clear" w:color="auto" w:fill="auto"/>
            <w:vAlign w:val="center"/>
            <w:hideMark/>
          </w:tcPr>
          <w:p w14:paraId="7C3B50EE"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 takim në muaj</w:t>
            </w:r>
          </w:p>
        </w:tc>
      </w:tr>
    </w:tbl>
    <w:p w14:paraId="1B975C1B" w14:textId="77777777"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p>
    <w:p w14:paraId="7C2FFFD2" w14:textId="7C4AC9D7" w:rsidR="000F566F" w:rsidRPr="004F2AC3" w:rsidRDefault="000F566F" w:rsidP="003338A8">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Ndërkohë, INSTAT</w:t>
      </w:r>
      <w:r w:rsidR="00C221AA"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në arenën ndërkombëtare, ku luan një rol aktiv dhe të njohur në komunitetin evropian dhe global t</w:t>
      </w:r>
      <w:r w:rsidRPr="004F2AC3">
        <w:rPr>
          <w:rFonts w:ascii="Garamond" w:hAnsi="Garamond" w:cs="Times New Roman"/>
          <w:color w:val="000000" w:themeColor="text1"/>
          <w:sz w:val="24"/>
          <w:szCs w:val="24"/>
        </w:rPr>
        <w:t>ë</w:t>
      </w:r>
      <w:r w:rsidRPr="004F2AC3">
        <w:rPr>
          <w:rFonts w:ascii="Garamond" w:eastAsia="Times New Roman" w:hAnsi="Garamond" w:cs="Times New Roman"/>
          <w:color w:val="000000" w:themeColor="text1"/>
          <w:sz w:val="24"/>
          <w:szCs w:val="24"/>
        </w:rPr>
        <w:t xml:space="preserve"> statistikave, gjatë vitit 2026</w:t>
      </w:r>
      <w:r w:rsidR="00684E85"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do të vijojë kontributin në takimet e nivelit të lartë. INSTAT</w:t>
      </w:r>
      <w:r w:rsidR="00C221AA"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do të përfaqësojë Shqipërinë në </w:t>
      </w:r>
      <w:r w:rsidR="00D61A72" w:rsidRPr="004F2AC3">
        <w:rPr>
          <w:rFonts w:ascii="Garamond" w:eastAsia="Times New Roman" w:hAnsi="Garamond" w:cs="Times New Roman"/>
          <w:color w:val="000000" w:themeColor="text1"/>
          <w:sz w:val="24"/>
          <w:szCs w:val="24"/>
        </w:rPr>
        <w:t>Grupin e Nivelit të Lartë për Partneritet, Koordinim dhe Zhvillim Kapacitetesh,</w:t>
      </w:r>
      <w:r w:rsidRPr="004F2AC3">
        <w:rPr>
          <w:rFonts w:ascii="Garamond" w:eastAsia="Times New Roman" w:hAnsi="Garamond" w:cs="Times New Roman"/>
          <w:color w:val="000000" w:themeColor="text1"/>
          <w:sz w:val="24"/>
          <w:szCs w:val="24"/>
        </w:rPr>
        <w:t xml:space="preserve"> të Kombeve të Bashkuara, në Byronë e Konferen</w:t>
      </w:r>
      <w:r w:rsidR="00D61A72" w:rsidRPr="004F2AC3">
        <w:rPr>
          <w:rFonts w:ascii="Garamond" w:eastAsia="Times New Roman" w:hAnsi="Garamond" w:cs="Times New Roman"/>
          <w:color w:val="000000" w:themeColor="text1"/>
          <w:sz w:val="24"/>
          <w:szCs w:val="24"/>
        </w:rPr>
        <w:t>cës së Statisticienëve Evropian</w:t>
      </w:r>
      <w:r w:rsidRPr="004F2AC3">
        <w:rPr>
          <w:rFonts w:ascii="Garamond" w:eastAsia="Times New Roman" w:hAnsi="Garamond" w:cs="Times New Roman"/>
          <w:color w:val="000000" w:themeColor="text1"/>
          <w:sz w:val="24"/>
          <w:szCs w:val="24"/>
        </w:rPr>
        <w:t xml:space="preserve"> të UNECE-s, në cilësinë e zëv</w:t>
      </w:r>
      <w:r w:rsidR="00C221AA" w:rsidRPr="004F2AC3">
        <w:rPr>
          <w:rFonts w:ascii="Garamond" w:eastAsia="Times New Roman" w:hAnsi="Garamond" w:cs="Times New Roman"/>
          <w:color w:val="000000" w:themeColor="text1"/>
          <w:sz w:val="24"/>
          <w:szCs w:val="24"/>
        </w:rPr>
        <w:t>e</w:t>
      </w:r>
      <w:r w:rsidRPr="004F2AC3">
        <w:rPr>
          <w:rFonts w:ascii="Garamond" w:eastAsia="Times New Roman" w:hAnsi="Garamond" w:cs="Times New Roman"/>
          <w:color w:val="000000" w:themeColor="text1"/>
          <w:sz w:val="24"/>
          <w:szCs w:val="24"/>
        </w:rPr>
        <w:t>ndëskryetarit, kontribut n</w:t>
      </w:r>
      <w:r w:rsidRPr="004F2AC3">
        <w:rPr>
          <w:rFonts w:ascii="Garamond" w:hAnsi="Garamond" w:cs="Times New Roman"/>
          <w:color w:val="000000" w:themeColor="text1"/>
          <w:sz w:val="24"/>
          <w:szCs w:val="24"/>
        </w:rPr>
        <w:t>ë Shoqatë</w:t>
      </w:r>
      <w:r w:rsidR="00C221AA" w:rsidRPr="004F2AC3">
        <w:rPr>
          <w:rFonts w:ascii="Garamond" w:hAnsi="Garamond" w:cs="Times New Roman"/>
          <w:color w:val="000000" w:themeColor="text1"/>
          <w:sz w:val="24"/>
          <w:szCs w:val="24"/>
        </w:rPr>
        <w:t>n Ndërkombëtare të Statistikave</w:t>
      </w:r>
      <w:r w:rsidRPr="004F2AC3">
        <w:rPr>
          <w:rFonts w:ascii="Garamond" w:hAnsi="Garamond" w:cs="Times New Roman"/>
          <w:color w:val="000000" w:themeColor="text1"/>
          <w:sz w:val="24"/>
          <w:szCs w:val="24"/>
        </w:rPr>
        <w:t xml:space="preserve">/ Institutit Ndërkombëtar të Statistikave, </w:t>
      </w:r>
      <w:r w:rsidRPr="004F2AC3">
        <w:rPr>
          <w:rFonts w:ascii="Garamond" w:eastAsia="Times New Roman" w:hAnsi="Garamond" w:cs="Times New Roman"/>
          <w:color w:val="000000" w:themeColor="text1"/>
          <w:sz w:val="24"/>
          <w:szCs w:val="24"/>
        </w:rPr>
        <w:t>si dhe do të kontribuojë në forume botërore të orga</w:t>
      </w:r>
      <w:r w:rsidR="003338A8" w:rsidRPr="004F2AC3">
        <w:rPr>
          <w:rFonts w:ascii="Garamond" w:eastAsia="Times New Roman" w:hAnsi="Garamond" w:cs="Times New Roman"/>
          <w:color w:val="000000" w:themeColor="text1"/>
          <w:sz w:val="24"/>
          <w:szCs w:val="24"/>
        </w:rPr>
        <w:t>nizuara nga Kombet e Bashkuara.</w:t>
      </w:r>
    </w:p>
    <w:p w14:paraId="587625FB" w14:textId="19B83E10" w:rsidR="000F566F" w:rsidRPr="004F2AC3" w:rsidRDefault="000F566F" w:rsidP="000F566F">
      <w:pPr>
        <w:spacing w:after="0" w:line="240" w:lineRule="auto"/>
        <w:ind w:firstLine="284"/>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Tabela nr. 28</w:t>
      </w:r>
      <w:r w:rsidR="00D61A72"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 </w:t>
      </w:r>
      <w:r w:rsidR="00D32864"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Frekuenca e takimeve në arenën ndërkombëtare</w:t>
      </w:r>
      <w:r w:rsidR="00D61A72" w:rsidRPr="004F2AC3">
        <w:rPr>
          <w:rFonts w:ascii="Garamond" w:eastAsia="Times New Roman" w:hAnsi="Garamond" w:cs="Times New Roman"/>
          <w:b/>
          <w:color w:val="000000" w:themeColor="text1"/>
          <w:sz w:val="24"/>
          <w:szCs w:val="24"/>
        </w:rPr>
        <w:t>”</w:t>
      </w:r>
    </w:p>
    <w:tbl>
      <w:tblPr>
        <w:tblW w:w="0" w:type="auto"/>
        <w:tblInd w:w="-10" w:type="dxa"/>
        <w:tblLayout w:type="fixed"/>
        <w:tblLook w:val="04A0" w:firstRow="1" w:lastRow="0" w:firstColumn="1" w:lastColumn="0" w:noHBand="0" w:noVBand="1"/>
      </w:tblPr>
      <w:tblGrid>
        <w:gridCol w:w="7177"/>
        <w:gridCol w:w="1810"/>
      </w:tblGrid>
      <w:tr w:rsidR="000F566F" w:rsidRPr="004F2AC3" w14:paraId="22D27B57" w14:textId="77777777" w:rsidTr="00B66BF4">
        <w:trPr>
          <w:trHeight w:val="282"/>
        </w:trPr>
        <w:tc>
          <w:tcPr>
            <w:tcW w:w="7177" w:type="dxa"/>
            <w:tcBorders>
              <w:top w:val="single" w:sz="8" w:space="0" w:color="4F81BD"/>
              <w:left w:val="single" w:sz="8" w:space="0" w:color="4F81BD"/>
              <w:bottom w:val="nil"/>
              <w:right w:val="nil"/>
            </w:tcBorders>
            <w:shd w:val="clear" w:color="000000" w:fill="4472C4"/>
            <w:vAlign w:val="center"/>
            <w:hideMark/>
          </w:tcPr>
          <w:p w14:paraId="479BF06A"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Aktivitetet</w:t>
            </w:r>
          </w:p>
        </w:tc>
        <w:tc>
          <w:tcPr>
            <w:tcW w:w="1810" w:type="dxa"/>
            <w:tcBorders>
              <w:top w:val="single" w:sz="8" w:space="0" w:color="4F81BD"/>
              <w:left w:val="nil"/>
              <w:bottom w:val="single" w:sz="8" w:space="0" w:color="4F81BD"/>
              <w:right w:val="single" w:sz="8" w:space="0" w:color="4F81BD"/>
            </w:tcBorders>
            <w:shd w:val="clear" w:color="000000" w:fill="4472C4"/>
            <w:vAlign w:val="center"/>
            <w:hideMark/>
          </w:tcPr>
          <w:p w14:paraId="4462F15E" w14:textId="77777777" w:rsidR="000F566F" w:rsidRPr="004F2AC3" w:rsidRDefault="000F566F" w:rsidP="00F40AE3">
            <w:pPr>
              <w:spacing w:after="0" w:line="240" w:lineRule="auto"/>
              <w:jc w:val="right"/>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2026 </w:t>
            </w:r>
          </w:p>
        </w:tc>
      </w:tr>
      <w:tr w:rsidR="000F566F" w:rsidRPr="004F2AC3" w14:paraId="0DE77029" w14:textId="77777777" w:rsidTr="00B66BF4">
        <w:trPr>
          <w:trHeight w:val="167"/>
        </w:trPr>
        <w:tc>
          <w:tcPr>
            <w:tcW w:w="7177" w:type="dxa"/>
            <w:tcBorders>
              <w:top w:val="single" w:sz="8" w:space="0" w:color="4F81BD"/>
              <w:left w:val="single" w:sz="8" w:space="0" w:color="4F81BD"/>
              <w:bottom w:val="single" w:sz="8" w:space="0" w:color="4F81BD"/>
              <w:right w:val="nil"/>
            </w:tcBorders>
            <w:shd w:val="clear" w:color="000000" w:fill="4472C4"/>
            <w:vAlign w:val="center"/>
            <w:hideMark/>
          </w:tcPr>
          <w:p w14:paraId="7FD28A6C"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Takime</w:t>
            </w:r>
          </w:p>
        </w:tc>
        <w:tc>
          <w:tcPr>
            <w:tcW w:w="1810" w:type="dxa"/>
            <w:tcBorders>
              <w:top w:val="nil"/>
              <w:left w:val="nil"/>
              <w:bottom w:val="single" w:sz="8" w:space="0" w:color="4F81BD"/>
              <w:right w:val="single" w:sz="8" w:space="0" w:color="4F81BD"/>
            </w:tcBorders>
            <w:shd w:val="clear" w:color="000000" w:fill="4472C4"/>
            <w:vAlign w:val="center"/>
            <w:hideMark/>
          </w:tcPr>
          <w:p w14:paraId="4B155EEC" w14:textId="3E38A3C3" w:rsidR="000F566F" w:rsidRPr="004F2AC3" w:rsidRDefault="000F566F" w:rsidP="00F40AE3">
            <w:pPr>
              <w:spacing w:after="0" w:line="240" w:lineRule="auto"/>
              <w:jc w:val="right"/>
              <w:rPr>
                <w:rFonts w:ascii="Garamond" w:eastAsia="Times New Roman" w:hAnsi="Garamond" w:cs="Times New Roman"/>
                <w:b/>
                <w:bCs/>
                <w:color w:val="000000" w:themeColor="text1"/>
                <w:sz w:val="20"/>
                <w:szCs w:val="24"/>
              </w:rPr>
            </w:pPr>
            <w:r w:rsidRPr="004F2AC3">
              <w:rPr>
                <w:rFonts w:ascii="Garamond" w:eastAsia="Times New Roman" w:hAnsi="Garamond" w:cs="Times New Roman"/>
                <w:b/>
                <w:bCs/>
                <w:color w:val="000000" w:themeColor="text1"/>
                <w:sz w:val="20"/>
                <w:szCs w:val="24"/>
              </w:rPr>
              <w:t>Frekuenca e</w:t>
            </w:r>
            <w:r w:rsidR="00684E85" w:rsidRPr="004F2AC3">
              <w:rPr>
                <w:rFonts w:ascii="Garamond" w:eastAsia="Times New Roman" w:hAnsi="Garamond" w:cs="Times New Roman"/>
                <w:b/>
                <w:bCs/>
                <w:color w:val="000000" w:themeColor="text1"/>
                <w:sz w:val="20"/>
                <w:szCs w:val="24"/>
              </w:rPr>
              <w:t xml:space="preserve"> </w:t>
            </w:r>
            <w:r w:rsidRPr="004F2AC3">
              <w:rPr>
                <w:rFonts w:ascii="Garamond" w:eastAsia="Times New Roman" w:hAnsi="Garamond" w:cs="Times New Roman"/>
                <w:b/>
                <w:bCs/>
                <w:color w:val="000000" w:themeColor="text1"/>
                <w:sz w:val="20"/>
                <w:szCs w:val="24"/>
              </w:rPr>
              <w:t>takimit</w:t>
            </w:r>
          </w:p>
        </w:tc>
      </w:tr>
      <w:tr w:rsidR="000F566F" w:rsidRPr="004F2AC3" w14:paraId="12E399C3" w14:textId="77777777" w:rsidTr="00B66BF4">
        <w:trPr>
          <w:trHeight w:val="282"/>
        </w:trPr>
        <w:tc>
          <w:tcPr>
            <w:tcW w:w="7177" w:type="dxa"/>
            <w:tcBorders>
              <w:top w:val="nil"/>
              <w:left w:val="single" w:sz="8" w:space="0" w:color="4F81BD"/>
              <w:bottom w:val="nil"/>
              <w:right w:val="nil"/>
            </w:tcBorders>
            <w:shd w:val="clear" w:color="auto" w:fill="auto"/>
            <w:noWrap/>
            <w:vAlign w:val="center"/>
            <w:hideMark/>
          </w:tcPr>
          <w:p w14:paraId="02C68201" w14:textId="76AC62BB" w:rsidR="000F566F" w:rsidRPr="004F2AC3" w:rsidRDefault="000F566F" w:rsidP="00F40AE3">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Grupi i Nivelit të Lartë për Partneritet, Koordinim dhe Zhvillim Kapacitetesh HLG</w:t>
            </w:r>
            <w:r w:rsidR="00D61A72" w:rsidRPr="004F2AC3">
              <w:rPr>
                <w:rFonts w:ascii="Garamond" w:eastAsia="Times New Roman" w:hAnsi="Garamond" w:cs="Times New Roman"/>
                <w:bCs/>
                <w:color w:val="000000" w:themeColor="text1"/>
                <w:sz w:val="20"/>
                <w:szCs w:val="24"/>
              </w:rPr>
              <w:t xml:space="preserve"> – </w:t>
            </w:r>
            <w:r w:rsidRPr="004F2AC3">
              <w:rPr>
                <w:rFonts w:ascii="Garamond" w:eastAsia="Times New Roman" w:hAnsi="Garamond" w:cs="Times New Roman"/>
                <w:bCs/>
                <w:color w:val="000000" w:themeColor="text1"/>
                <w:sz w:val="20"/>
                <w:szCs w:val="24"/>
              </w:rPr>
              <w:t>PCCB</w:t>
            </w:r>
          </w:p>
        </w:tc>
        <w:tc>
          <w:tcPr>
            <w:tcW w:w="1810" w:type="dxa"/>
            <w:tcBorders>
              <w:top w:val="nil"/>
              <w:left w:val="nil"/>
              <w:bottom w:val="nil"/>
              <w:right w:val="single" w:sz="8" w:space="0" w:color="4F81BD"/>
            </w:tcBorders>
            <w:shd w:val="clear" w:color="auto" w:fill="auto"/>
            <w:noWrap/>
            <w:vAlign w:val="center"/>
            <w:hideMark/>
          </w:tcPr>
          <w:p w14:paraId="1476212E" w14:textId="7F800EAA" w:rsidR="000F566F" w:rsidRPr="004F2AC3" w:rsidRDefault="000F566F" w:rsidP="00F40AE3">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4 takime në vit</w:t>
            </w:r>
            <w:r w:rsidR="00684E85" w:rsidRPr="004F2AC3">
              <w:rPr>
                <w:rFonts w:ascii="Garamond" w:eastAsia="Times New Roman" w:hAnsi="Garamond" w:cs="Times New Roman"/>
                <w:color w:val="000000" w:themeColor="text1"/>
                <w:sz w:val="20"/>
                <w:szCs w:val="24"/>
              </w:rPr>
              <w:t xml:space="preserve"> </w:t>
            </w:r>
          </w:p>
        </w:tc>
      </w:tr>
      <w:tr w:rsidR="000F566F" w:rsidRPr="004F2AC3" w14:paraId="3F5CBE57" w14:textId="77777777" w:rsidTr="00B66BF4">
        <w:trPr>
          <w:trHeight w:val="282"/>
        </w:trPr>
        <w:tc>
          <w:tcPr>
            <w:tcW w:w="7177" w:type="dxa"/>
            <w:tcBorders>
              <w:top w:val="single" w:sz="8" w:space="0" w:color="4F81BD"/>
              <w:left w:val="single" w:sz="8" w:space="0" w:color="4F81BD"/>
              <w:bottom w:val="nil"/>
              <w:right w:val="nil"/>
            </w:tcBorders>
            <w:shd w:val="clear" w:color="auto" w:fill="auto"/>
            <w:noWrap/>
            <w:vAlign w:val="center"/>
            <w:hideMark/>
          </w:tcPr>
          <w:p w14:paraId="408E9339" w14:textId="77777777" w:rsidR="000F566F" w:rsidRPr="004F2AC3" w:rsidRDefault="000F566F" w:rsidP="00F40AE3">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 xml:space="preserve">Komiteti drejtues i Forumit Botëror të të Dhënave </w:t>
            </w:r>
          </w:p>
        </w:tc>
        <w:tc>
          <w:tcPr>
            <w:tcW w:w="1810" w:type="dxa"/>
            <w:tcBorders>
              <w:top w:val="single" w:sz="8" w:space="0" w:color="4F81BD"/>
              <w:left w:val="nil"/>
              <w:bottom w:val="nil"/>
              <w:right w:val="single" w:sz="8" w:space="0" w:color="4F81BD"/>
            </w:tcBorders>
            <w:shd w:val="clear" w:color="auto" w:fill="auto"/>
            <w:noWrap/>
            <w:vAlign w:val="center"/>
            <w:hideMark/>
          </w:tcPr>
          <w:p w14:paraId="38B2D331"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12 takime në vit</w:t>
            </w:r>
          </w:p>
        </w:tc>
      </w:tr>
      <w:tr w:rsidR="000F566F" w:rsidRPr="004F2AC3" w14:paraId="55C79FA2" w14:textId="77777777" w:rsidTr="00B66BF4">
        <w:trPr>
          <w:trHeight w:val="282"/>
        </w:trPr>
        <w:tc>
          <w:tcPr>
            <w:tcW w:w="7177" w:type="dxa"/>
            <w:tcBorders>
              <w:top w:val="single" w:sz="8" w:space="0" w:color="4F81BD"/>
              <w:left w:val="single" w:sz="8" w:space="0" w:color="4F81BD"/>
              <w:bottom w:val="single" w:sz="8" w:space="0" w:color="4F81BD"/>
              <w:right w:val="nil"/>
            </w:tcBorders>
            <w:shd w:val="clear" w:color="auto" w:fill="auto"/>
            <w:noWrap/>
            <w:vAlign w:val="center"/>
            <w:hideMark/>
          </w:tcPr>
          <w:p w14:paraId="63FEEAA4" w14:textId="0C6A9E1D" w:rsidR="000F566F" w:rsidRPr="004F2AC3" w:rsidRDefault="000F566F" w:rsidP="00F40AE3">
            <w:pPr>
              <w:spacing w:after="0" w:line="240" w:lineRule="auto"/>
              <w:rPr>
                <w:rFonts w:ascii="Garamond" w:eastAsia="Times New Roman" w:hAnsi="Garamond" w:cs="Times New Roman"/>
                <w:bCs/>
                <w:color w:val="000000" w:themeColor="text1"/>
                <w:sz w:val="20"/>
                <w:szCs w:val="24"/>
              </w:rPr>
            </w:pPr>
            <w:r w:rsidRPr="004F2AC3">
              <w:rPr>
                <w:rFonts w:ascii="Garamond" w:eastAsia="Times New Roman" w:hAnsi="Garamond" w:cs="Times New Roman"/>
                <w:bCs/>
                <w:color w:val="000000" w:themeColor="text1"/>
                <w:sz w:val="20"/>
                <w:szCs w:val="24"/>
              </w:rPr>
              <w:t>Byroja e Konferen</w:t>
            </w:r>
            <w:r w:rsidR="00D61A72" w:rsidRPr="004F2AC3">
              <w:rPr>
                <w:rFonts w:ascii="Garamond" w:eastAsia="Times New Roman" w:hAnsi="Garamond" w:cs="Times New Roman"/>
                <w:bCs/>
                <w:color w:val="000000" w:themeColor="text1"/>
                <w:sz w:val="20"/>
                <w:szCs w:val="24"/>
              </w:rPr>
              <w:t>cës së Statisticienëve Evropian</w:t>
            </w:r>
            <w:r w:rsidRPr="004F2AC3">
              <w:rPr>
                <w:rFonts w:ascii="Garamond" w:eastAsia="Times New Roman" w:hAnsi="Garamond" w:cs="Times New Roman"/>
                <w:bCs/>
                <w:color w:val="000000" w:themeColor="text1"/>
                <w:sz w:val="20"/>
                <w:szCs w:val="24"/>
              </w:rPr>
              <w:t xml:space="preserve"> të UNECE-s</w:t>
            </w:r>
          </w:p>
        </w:tc>
        <w:tc>
          <w:tcPr>
            <w:tcW w:w="1810" w:type="dxa"/>
            <w:tcBorders>
              <w:top w:val="single" w:sz="8" w:space="0" w:color="4F81BD"/>
              <w:left w:val="nil"/>
              <w:bottom w:val="single" w:sz="8" w:space="0" w:color="4F81BD"/>
              <w:right w:val="single" w:sz="8" w:space="0" w:color="4F81BD"/>
            </w:tcBorders>
            <w:shd w:val="clear" w:color="auto" w:fill="auto"/>
            <w:noWrap/>
            <w:vAlign w:val="center"/>
            <w:hideMark/>
          </w:tcPr>
          <w:p w14:paraId="457C8A04" w14:textId="45CC047F" w:rsidR="000F566F" w:rsidRPr="004F2AC3" w:rsidRDefault="00684E85" w:rsidP="00F40AE3">
            <w:pPr>
              <w:spacing w:after="0" w:line="240" w:lineRule="auto"/>
              <w:jc w:val="right"/>
              <w:rPr>
                <w:rFonts w:ascii="Garamond" w:eastAsia="Times New Roman" w:hAnsi="Garamond" w:cs="Times New Roman"/>
                <w:color w:val="000000" w:themeColor="text1"/>
                <w:sz w:val="20"/>
                <w:szCs w:val="24"/>
              </w:rPr>
            </w:pPr>
            <w:r w:rsidRPr="004F2AC3">
              <w:rPr>
                <w:rFonts w:ascii="Garamond" w:eastAsia="Times New Roman" w:hAnsi="Garamond" w:cs="Times New Roman"/>
                <w:color w:val="000000" w:themeColor="text1"/>
                <w:sz w:val="20"/>
                <w:szCs w:val="24"/>
              </w:rPr>
              <w:t xml:space="preserve"> </w:t>
            </w:r>
            <w:r w:rsidR="000F566F" w:rsidRPr="004F2AC3">
              <w:rPr>
                <w:rFonts w:ascii="Garamond" w:eastAsia="Times New Roman" w:hAnsi="Garamond" w:cs="Times New Roman"/>
                <w:color w:val="000000" w:themeColor="text1"/>
                <w:sz w:val="20"/>
                <w:szCs w:val="24"/>
              </w:rPr>
              <w:t xml:space="preserve">3 takime në vit </w:t>
            </w:r>
          </w:p>
        </w:tc>
      </w:tr>
    </w:tbl>
    <w:p w14:paraId="6643DE12" w14:textId="77777777" w:rsidR="000F566F" w:rsidRPr="004F2AC3" w:rsidRDefault="000F566F" w:rsidP="003338A8">
      <w:pPr>
        <w:spacing w:after="0" w:line="240" w:lineRule="auto"/>
        <w:rPr>
          <w:rFonts w:ascii="Garamond" w:eastAsia="Times New Roman" w:hAnsi="Garamond" w:cs="Times New Roman"/>
          <w:b/>
          <w:color w:val="000000" w:themeColor="text1"/>
          <w:sz w:val="14"/>
          <w:szCs w:val="24"/>
        </w:rPr>
      </w:pPr>
    </w:p>
    <w:p w14:paraId="47A9FA0C" w14:textId="52973945"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eastAsia="Times New Roman" w:hAnsi="Garamond" w:cs="Times New Roman"/>
          <w:b/>
          <w:color w:val="000000" w:themeColor="text1"/>
          <w:sz w:val="24"/>
          <w:szCs w:val="24"/>
        </w:rPr>
        <w:t xml:space="preserve">Koordinimi i </w:t>
      </w:r>
      <w:r w:rsidR="00D61A72" w:rsidRPr="004F2AC3">
        <w:rPr>
          <w:rFonts w:ascii="Garamond" w:eastAsia="Times New Roman" w:hAnsi="Garamond" w:cs="Times New Roman"/>
          <w:b/>
          <w:color w:val="000000" w:themeColor="text1"/>
          <w:sz w:val="24"/>
          <w:szCs w:val="24"/>
        </w:rPr>
        <w:t>projekteve</w:t>
      </w:r>
    </w:p>
    <w:p w14:paraId="5EEA76D9" w14:textId="0F54FB37"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Prodhuesit e statistikave zyrtare në vend kanë bashkëpunim të ngushtë me institucionet homologe të vendeve të zhvilluara dhe janë të përfshirë në aktivitetet që zhvillojnë organizatat ndërkombëtare si Eurostati dhe Kombet e Bashkuara për modernizimin e prodhimit statistikor. Bashk</w:t>
      </w:r>
      <w:r w:rsidR="00C221AA" w:rsidRPr="004F2AC3">
        <w:rPr>
          <w:rFonts w:ascii="Garamond" w:eastAsia="Times New Roman" w:hAnsi="Garamond" w:cs="Times New Roman"/>
          <w:color w:val="000000" w:themeColor="text1"/>
          <w:sz w:val="24"/>
          <w:szCs w:val="24"/>
        </w:rPr>
        <w:t>ëpunimi statistikor me Eurostat</w:t>
      </w:r>
      <w:r w:rsidRPr="004F2AC3">
        <w:rPr>
          <w:rFonts w:ascii="Garamond" w:eastAsia="Times New Roman" w:hAnsi="Garamond" w:cs="Times New Roman"/>
          <w:color w:val="000000" w:themeColor="text1"/>
          <w:sz w:val="24"/>
          <w:szCs w:val="24"/>
        </w:rPr>
        <w:t>in synon jo vetëm forcimin e Sistemit Kombëtar Statistikor, duke përshtatur metodologjitë dhe praktikat më të mira të prodhimit statistikor, por edhe në drejtim të forcimit të kuadrit ligjor</w:t>
      </w:r>
      <w:r w:rsidR="00D61A72"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në përputhje me </w:t>
      </w:r>
      <w:r w:rsidRPr="004F2AC3">
        <w:rPr>
          <w:rFonts w:ascii="Garamond" w:eastAsia="Times New Roman" w:hAnsi="Garamond" w:cs="Times New Roman"/>
          <w:i/>
          <w:color w:val="000000" w:themeColor="text1"/>
          <w:sz w:val="24"/>
          <w:szCs w:val="24"/>
        </w:rPr>
        <w:t>acquis</w:t>
      </w:r>
      <w:r w:rsidRPr="004F2AC3">
        <w:rPr>
          <w:rFonts w:ascii="Garamond" w:eastAsia="Times New Roman" w:hAnsi="Garamond" w:cs="Times New Roman"/>
          <w:color w:val="000000" w:themeColor="text1"/>
          <w:sz w:val="24"/>
          <w:szCs w:val="24"/>
        </w:rPr>
        <w:t>, si dhe rritjes së kapaciteteve p</w:t>
      </w:r>
      <w:r w:rsidR="00D61A72" w:rsidRPr="004F2AC3">
        <w:rPr>
          <w:rFonts w:ascii="Garamond" w:eastAsia="Times New Roman" w:hAnsi="Garamond" w:cs="Times New Roman"/>
          <w:color w:val="000000" w:themeColor="text1"/>
          <w:sz w:val="24"/>
          <w:szCs w:val="24"/>
        </w:rPr>
        <w:t>rofesionale të statisticienëve.</w:t>
      </w:r>
    </w:p>
    <w:p w14:paraId="63DE5086" w14:textId="78C0E718"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Nëpërmjet projekteve mbështetëse të financuara nga fondet e Bashkimit Evropian përmes instrumenteve të tilla</w:t>
      </w:r>
      <w:r w:rsidR="00D61A72"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si IPA kombëtare dhe me shumëpërfitues, është arritur të ndërtohen metodologji dhe nivele komunikimi të cilat kanë mundësuar prodhimin e statistikave moderne dhe të krahasueshme. Gjithashtu, vende të ndryshme evropiane kontribuojnë me programet e tyre qeveritare për vendin tonë në fushën e përmirësimit të statistikave të nivelit vendor, infrastrukturën e teknologjisë s</w:t>
      </w:r>
      <w:r w:rsidR="00C221AA" w:rsidRPr="004F2AC3">
        <w:rPr>
          <w:rFonts w:ascii="Garamond" w:eastAsia="Times New Roman" w:hAnsi="Garamond" w:cs="Times New Roman"/>
          <w:color w:val="000000" w:themeColor="text1"/>
          <w:sz w:val="24"/>
          <w:szCs w:val="24"/>
        </w:rPr>
        <w:t>ë informacionit, ndërtimit të r</w:t>
      </w:r>
      <w:r w:rsidRPr="004F2AC3">
        <w:rPr>
          <w:rFonts w:ascii="Garamond" w:eastAsia="Times New Roman" w:hAnsi="Garamond" w:cs="Times New Roman"/>
          <w:color w:val="000000" w:themeColor="text1"/>
          <w:sz w:val="24"/>
          <w:szCs w:val="24"/>
        </w:rPr>
        <w:t>egjistrave, etj.</w:t>
      </w:r>
    </w:p>
    <w:p w14:paraId="64ADD0B1" w14:textId="2B252E8F" w:rsidR="000F566F" w:rsidRPr="004F2AC3" w:rsidRDefault="00D32864" w:rsidP="000F566F">
      <w:pPr>
        <w:spacing w:after="0" w:line="240" w:lineRule="auto"/>
        <w:ind w:firstLine="284"/>
        <w:contextualSpacing/>
        <w:jc w:val="both"/>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w:t>
      </w:r>
      <w:r w:rsidR="000F566F" w:rsidRPr="004F2AC3">
        <w:rPr>
          <w:rFonts w:ascii="Garamond" w:eastAsia="Times New Roman" w:hAnsi="Garamond" w:cs="Times New Roman"/>
          <w:b/>
          <w:color w:val="000000" w:themeColor="text1"/>
          <w:sz w:val="24"/>
          <w:szCs w:val="24"/>
        </w:rPr>
        <w:t xml:space="preserve">Programi i </w:t>
      </w:r>
      <w:r w:rsidR="00D61A72" w:rsidRPr="004F2AC3">
        <w:rPr>
          <w:rFonts w:ascii="Garamond" w:eastAsia="Times New Roman" w:hAnsi="Garamond" w:cs="Times New Roman"/>
          <w:b/>
          <w:color w:val="000000" w:themeColor="text1"/>
          <w:sz w:val="24"/>
          <w:szCs w:val="24"/>
        </w:rPr>
        <w:t xml:space="preserve">bashkëpunimit statistikor </w:t>
      </w:r>
      <w:r w:rsidR="000F566F" w:rsidRPr="004F2AC3">
        <w:rPr>
          <w:rFonts w:ascii="Garamond" w:eastAsia="Times New Roman" w:hAnsi="Garamond" w:cs="Times New Roman"/>
          <w:b/>
          <w:color w:val="000000" w:themeColor="text1"/>
          <w:sz w:val="24"/>
          <w:szCs w:val="24"/>
        </w:rPr>
        <w:t xml:space="preserve">me instrumentin </w:t>
      </w:r>
      <w:r w:rsidR="00D61A72" w:rsidRPr="004F2AC3">
        <w:rPr>
          <w:rFonts w:ascii="Garamond" w:eastAsia="Times New Roman" w:hAnsi="Garamond" w:cs="Times New Roman"/>
          <w:b/>
          <w:color w:val="000000" w:themeColor="text1"/>
          <w:sz w:val="24"/>
          <w:szCs w:val="24"/>
        </w:rPr>
        <w:t xml:space="preserve">shumëpërfitues </w:t>
      </w:r>
      <w:r w:rsidR="000F566F" w:rsidRPr="004F2AC3">
        <w:rPr>
          <w:rFonts w:ascii="Garamond" w:eastAsia="Times New Roman" w:hAnsi="Garamond" w:cs="Times New Roman"/>
          <w:b/>
          <w:color w:val="000000" w:themeColor="text1"/>
          <w:sz w:val="24"/>
          <w:szCs w:val="24"/>
        </w:rPr>
        <w:t>– IPA 2022</w:t>
      </w:r>
      <w:r w:rsidRPr="004F2AC3">
        <w:rPr>
          <w:rFonts w:ascii="Garamond" w:eastAsia="Times New Roman" w:hAnsi="Garamond" w:cs="Times New Roman"/>
          <w:b/>
          <w:color w:val="000000" w:themeColor="text1"/>
          <w:sz w:val="24"/>
          <w:szCs w:val="24"/>
        </w:rPr>
        <w:t>”</w:t>
      </w:r>
    </w:p>
    <w:p w14:paraId="7B2BFBE6" w14:textId="5D95E2BA"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Gjatë vitit 2026, do të vazhdojë zbatimi i Programit IPA 2022</w:t>
      </w:r>
      <w:r w:rsidR="00D61A72"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 xml:space="preserve">shumëpërfitues, i cili ka nisur në </w:t>
      </w:r>
      <w:r w:rsidR="00D61A72" w:rsidRPr="004F2AC3">
        <w:rPr>
          <w:rFonts w:ascii="Garamond" w:eastAsia="Times New Roman" w:hAnsi="Garamond" w:cs="Times New Roman"/>
          <w:color w:val="000000" w:themeColor="text1"/>
          <w:sz w:val="24"/>
          <w:szCs w:val="24"/>
        </w:rPr>
        <w:t xml:space="preserve">janar </w:t>
      </w:r>
      <w:r w:rsidRPr="004F2AC3">
        <w:rPr>
          <w:rFonts w:ascii="Garamond" w:eastAsia="Times New Roman" w:hAnsi="Garamond" w:cs="Times New Roman"/>
          <w:color w:val="000000" w:themeColor="text1"/>
          <w:sz w:val="24"/>
          <w:szCs w:val="24"/>
        </w:rPr>
        <w:t xml:space="preserve">2024 dhe pritet të zgjasë deri në </w:t>
      </w:r>
      <w:r w:rsidR="00D61A72" w:rsidRPr="004F2AC3">
        <w:rPr>
          <w:rFonts w:ascii="Garamond" w:eastAsia="Times New Roman" w:hAnsi="Garamond" w:cs="Times New Roman"/>
          <w:color w:val="000000" w:themeColor="text1"/>
          <w:sz w:val="24"/>
          <w:szCs w:val="24"/>
        </w:rPr>
        <w:t xml:space="preserve">dhjetor </w:t>
      </w:r>
      <w:r w:rsidRPr="004F2AC3">
        <w:rPr>
          <w:rFonts w:ascii="Garamond" w:eastAsia="Times New Roman" w:hAnsi="Garamond" w:cs="Times New Roman"/>
          <w:color w:val="000000" w:themeColor="text1"/>
          <w:sz w:val="24"/>
          <w:szCs w:val="24"/>
        </w:rPr>
        <w:t xml:space="preserve">2027. Mbështetja në kuadër të këtij programi përqendrohet në 15 fusha statistikore, nga të cilat një përfitues është Banka e Shqipërisë. Në fokus të mbështetjes janë: </w:t>
      </w:r>
      <w:r w:rsidR="00D61A72" w:rsidRPr="004F2AC3">
        <w:rPr>
          <w:rFonts w:ascii="Garamond" w:eastAsia="Times New Roman" w:hAnsi="Garamond" w:cs="Times New Roman"/>
          <w:color w:val="000000" w:themeColor="text1"/>
          <w:sz w:val="24"/>
          <w:szCs w:val="24"/>
        </w:rPr>
        <w:t>statistikat financiare të qeverisë dhe defiçiti i tejkaluar</w:t>
      </w:r>
      <w:r w:rsidRPr="004F2AC3">
        <w:rPr>
          <w:rFonts w:ascii="Garamond" w:eastAsia="Times New Roman" w:hAnsi="Garamond" w:cs="Times New Roman"/>
          <w:color w:val="000000" w:themeColor="text1"/>
          <w:sz w:val="24"/>
          <w:szCs w:val="24"/>
        </w:rPr>
        <w:t xml:space="preserve">, </w:t>
      </w:r>
      <w:r w:rsidR="00D61A72" w:rsidRPr="004F2AC3">
        <w:rPr>
          <w:rFonts w:ascii="Garamond" w:eastAsia="Times New Roman" w:hAnsi="Garamond" w:cs="Times New Roman"/>
          <w:color w:val="000000" w:themeColor="text1"/>
          <w:sz w:val="24"/>
          <w:szCs w:val="24"/>
        </w:rPr>
        <w:t>indeksi i harmonizuar i çmimeve të konsumatorit</w:t>
      </w:r>
      <w:r w:rsidRPr="004F2AC3">
        <w:rPr>
          <w:rFonts w:ascii="Garamond" w:eastAsia="Times New Roman" w:hAnsi="Garamond" w:cs="Times New Roman"/>
          <w:color w:val="000000" w:themeColor="text1"/>
          <w:sz w:val="24"/>
          <w:szCs w:val="24"/>
        </w:rPr>
        <w:t xml:space="preserve"> (HICP) dhe </w:t>
      </w:r>
      <w:r w:rsidR="00D61A72" w:rsidRPr="004F2AC3">
        <w:rPr>
          <w:rFonts w:ascii="Garamond" w:eastAsia="Times New Roman" w:hAnsi="Garamond" w:cs="Times New Roman"/>
          <w:color w:val="000000" w:themeColor="text1"/>
          <w:sz w:val="24"/>
          <w:szCs w:val="24"/>
        </w:rPr>
        <w:t xml:space="preserve">indeksi i çmimeve të banesave </w:t>
      </w:r>
      <w:r w:rsidRPr="004F2AC3">
        <w:rPr>
          <w:rFonts w:ascii="Garamond" w:eastAsia="Times New Roman" w:hAnsi="Garamond" w:cs="Times New Roman"/>
          <w:color w:val="000000" w:themeColor="text1"/>
          <w:sz w:val="24"/>
          <w:szCs w:val="24"/>
        </w:rPr>
        <w:t xml:space="preserve">(HPI), </w:t>
      </w:r>
      <w:r w:rsidR="00D61A72" w:rsidRPr="004F2AC3">
        <w:rPr>
          <w:rFonts w:ascii="Garamond" w:eastAsia="Times New Roman" w:hAnsi="Garamond" w:cs="Times New Roman"/>
          <w:color w:val="000000" w:themeColor="text1"/>
          <w:sz w:val="24"/>
          <w:szCs w:val="24"/>
        </w:rPr>
        <w:t xml:space="preserve">barazitë e fuqisë blerëse </w:t>
      </w:r>
      <w:r w:rsidRPr="004F2AC3">
        <w:rPr>
          <w:rFonts w:ascii="Garamond" w:eastAsia="Times New Roman" w:hAnsi="Garamond" w:cs="Times New Roman"/>
          <w:color w:val="000000" w:themeColor="text1"/>
          <w:sz w:val="24"/>
          <w:szCs w:val="24"/>
        </w:rPr>
        <w:t xml:space="preserve">(PPP), </w:t>
      </w:r>
      <w:r w:rsidR="00D61A72" w:rsidRPr="004F2AC3">
        <w:rPr>
          <w:rFonts w:ascii="Garamond" w:eastAsia="Times New Roman" w:hAnsi="Garamond" w:cs="Times New Roman"/>
          <w:color w:val="000000" w:themeColor="text1"/>
          <w:sz w:val="24"/>
          <w:szCs w:val="24"/>
        </w:rPr>
        <w:t>statistikat afatshkurtra të biznesit, statistikat e transportit, statistikat strukturore të biznesit, vrojtimi i forcës së punës, vrojtimi i të ardhurave dhe nivelit të jetesës</w:t>
      </w:r>
      <w:r w:rsidRPr="004F2AC3">
        <w:rPr>
          <w:rFonts w:ascii="Garamond" w:eastAsia="Times New Roman" w:hAnsi="Garamond" w:cs="Times New Roman"/>
          <w:color w:val="000000" w:themeColor="text1"/>
          <w:sz w:val="24"/>
          <w:szCs w:val="24"/>
        </w:rPr>
        <w:t xml:space="preserve">, Sistemi i Integruar Evropian për Mbrojtjen Sociale, </w:t>
      </w:r>
      <w:r w:rsidR="00D61A72" w:rsidRPr="004F2AC3">
        <w:rPr>
          <w:rFonts w:ascii="Garamond" w:eastAsia="Times New Roman" w:hAnsi="Garamond" w:cs="Times New Roman"/>
          <w:color w:val="000000" w:themeColor="text1"/>
          <w:sz w:val="24"/>
          <w:szCs w:val="24"/>
        </w:rPr>
        <w:t xml:space="preserve">llogaritë ekonomike të mjedisit, statistikat e ujit, menaxhimi i cilësisë, zhvillimi i qëndrueshëm, statistikat e qytetit/informacioni gjeografik, si dhe investimet e huaja direkte </w:t>
      </w:r>
      <w:r w:rsidRPr="004F2AC3">
        <w:rPr>
          <w:rFonts w:ascii="Garamond" w:eastAsia="Times New Roman" w:hAnsi="Garamond" w:cs="Times New Roman"/>
          <w:color w:val="000000" w:themeColor="text1"/>
          <w:sz w:val="24"/>
          <w:szCs w:val="24"/>
        </w:rPr>
        <w:t>(për të cilat përfitues është Banka e Shqipërisë).</w:t>
      </w:r>
    </w:p>
    <w:p w14:paraId="616BB272" w14:textId="2B0BAFDE"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Në këtë fazë të zbatimit, puna do të </w:t>
      </w:r>
      <w:r w:rsidR="00C221AA" w:rsidRPr="004F2AC3">
        <w:rPr>
          <w:rFonts w:ascii="Garamond" w:eastAsia="Times New Roman" w:hAnsi="Garamond" w:cs="Times New Roman"/>
          <w:color w:val="000000" w:themeColor="text1"/>
          <w:sz w:val="24"/>
          <w:szCs w:val="24"/>
        </w:rPr>
        <w:t>përqendrohet</w:t>
      </w:r>
      <w:r w:rsidRPr="004F2AC3">
        <w:rPr>
          <w:rFonts w:ascii="Garamond" w:eastAsia="Times New Roman" w:hAnsi="Garamond" w:cs="Times New Roman"/>
          <w:color w:val="000000" w:themeColor="text1"/>
          <w:sz w:val="24"/>
          <w:szCs w:val="24"/>
        </w:rPr>
        <w:t xml:space="preserve"> në realizimin e aktiviteteve të parashikuara në përputhje me planin e aktiviteteve dhe kuadrin logjik. Fokus do të jetë përmirësimi i cilësisë së prodhimit statistikor dhe transmetimit të të dhënave, ofrimi i asistencës teknike, si dhe forcimi i kapaciteteve të stafit të INSTAT</w:t>
      </w:r>
      <w:r w:rsidR="00D61A72" w:rsidRPr="004F2AC3">
        <w:rPr>
          <w:rFonts w:ascii="Garamond" w:eastAsia="Times New Roman" w:hAnsi="Garamond" w:cs="Times New Roman"/>
          <w:color w:val="000000" w:themeColor="text1"/>
          <w:sz w:val="24"/>
          <w:szCs w:val="24"/>
        </w:rPr>
        <w:t>-it</w:t>
      </w:r>
      <w:r w:rsidRPr="004F2AC3">
        <w:rPr>
          <w:rFonts w:ascii="Garamond" w:eastAsia="Times New Roman" w:hAnsi="Garamond" w:cs="Times New Roman"/>
          <w:color w:val="000000" w:themeColor="text1"/>
          <w:sz w:val="24"/>
          <w:szCs w:val="24"/>
        </w:rPr>
        <w:t>.</w:t>
      </w:r>
    </w:p>
    <w:p w14:paraId="35211C02" w14:textId="6380E045" w:rsidR="000F566F" w:rsidRPr="004F2AC3" w:rsidRDefault="00D32864" w:rsidP="000F566F">
      <w:pPr>
        <w:spacing w:after="0" w:line="240" w:lineRule="auto"/>
        <w:ind w:firstLine="284"/>
        <w:contextualSpacing/>
        <w:jc w:val="both"/>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w:t>
      </w:r>
      <w:r w:rsidR="000F566F" w:rsidRPr="004F2AC3">
        <w:rPr>
          <w:rFonts w:ascii="Garamond" w:eastAsia="Times New Roman" w:hAnsi="Garamond" w:cs="Times New Roman"/>
          <w:b/>
          <w:color w:val="000000" w:themeColor="text1"/>
          <w:sz w:val="24"/>
          <w:szCs w:val="24"/>
        </w:rPr>
        <w:t xml:space="preserve">Statistika të </w:t>
      </w:r>
      <w:r w:rsidR="00D61A72" w:rsidRPr="004F2AC3">
        <w:rPr>
          <w:rFonts w:ascii="Garamond" w:eastAsia="Times New Roman" w:hAnsi="Garamond" w:cs="Times New Roman"/>
          <w:b/>
          <w:color w:val="000000" w:themeColor="text1"/>
          <w:sz w:val="24"/>
          <w:szCs w:val="24"/>
        </w:rPr>
        <w:t xml:space="preserve">forta vendore </w:t>
      </w:r>
      <w:r w:rsidR="000F566F" w:rsidRPr="004F2AC3">
        <w:rPr>
          <w:rFonts w:ascii="Garamond" w:eastAsia="Times New Roman" w:hAnsi="Garamond" w:cs="Times New Roman"/>
          <w:b/>
          <w:color w:val="000000" w:themeColor="text1"/>
          <w:sz w:val="24"/>
          <w:szCs w:val="24"/>
        </w:rPr>
        <w:t>Shqiptare</w:t>
      </w:r>
      <w:r w:rsidRPr="004F2AC3">
        <w:rPr>
          <w:rFonts w:ascii="Garamond" w:eastAsia="Times New Roman" w:hAnsi="Garamond" w:cs="Times New Roman"/>
          <w:b/>
          <w:color w:val="000000" w:themeColor="text1"/>
          <w:sz w:val="24"/>
          <w:szCs w:val="24"/>
        </w:rPr>
        <w:t>”</w:t>
      </w:r>
      <w:r w:rsidR="000F566F" w:rsidRPr="004F2AC3">
        <w:rPr>
          <w:rFonts w:ascii="Garamond" w:eastAsia="Times New Roman" w:hAnsi="Garamond" w:cs="Times New Roman"/>
          <w:b/>
          <w:color w:val="000000" w:themeColor="text1"/>
          <w:sz w:val="24"/>
          <w:szCs w:val="24"/>
        </w:rPr>
        <w:t xml:space="preserve"> </w:t>
      </w:r>
      <w:r w:rsidR="00C221AA" w:rsidRPr="004F2AC3">
        <w:rPr>
          <w:rFonts w:ascii="Garamond" w:eastAsia="Times New Roman" w:hAnsi="Garamond" w:cs="Times New Roman"/>
          <w:b/>
          <w:color w:val="000000" w:themeColor="text1"/>
          <w:sz w:val="24"/>
          <w:szCs w:val="24"/>
        </w:rPr>
        <w:t>–</w:t>
      </w:r>
      <w:r w:rsidR="00D61A72" w:rsidRPr="004F2AC3">
        <w:rPr>
          <w:rFonts w:ascii="Garamond" w:eastAsia="Times New Roman" w:hAnsi="Garamond" w:cs="Times New Roman"/>
          <w:b/>
          <w:color w:val="000000" w:themeColor="text1"/>
          <w:sz w:val="24"/>
          <w:szCs w:val="24"/>
        </w:rPr>
        <w:t xml:space="preserve"> SALSTAT II</w:t>
      </w:r>
    </w:p>
    <w:p w14:paraId="523C570F" w14:textId="3EFC88F0"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Zyra e Bashkëpunimit </w:t>
      </w:r>
      <w:r w:rsidR="00C221AA" w:rsidRPr="004F2AC3">
        <w:rPr>
          <w:rFonts w:ascii="Garamond" w:eastAsia="Times New Roman" w:hAnsi="Garamond" w:cs="Times New Roman"/>
          <w:color w:val="000000" w:themeColor="text1"/>
          <w:sz w:val="24"/>
          <w:szCs w:val="24"/>
        </w:rPr>
        <w:t>Zviceran</w:t>
      </w:r>
      <w:r w:rsidRPr="004F2AC3">
        <w:rPr>
          <w:rFonts w:ascii="Garamond" w:eastAsia="Times New Roman" w:hAnsi="Garamond" w:cs="Times New Roman"/>
          <w:color w:val="000000" w:themeColor="text1"/>
          <w:sz w:val="24"/>
          <w:szCs w:val="24"/>
        </w:rPr>
        <w:t xml:space="preserve"> për Zhvillim dhe Bashkëpunim (SDC), në bashkëpunim me Zyrën Federale të Statistikave (FSO), ka mbështetur INSTAT-in nëpërmjet projektit SALSTAT, duke kontribuar në forcimin e kapaciteteve të stafit të bashkive përmes përmirësimit të njohurive në fushën e statistikave zyrtare dhe të Sistemit Kombëtar Statistikor. Projekti ka kontribuar</w:t>
      </w:r>
      <w:r w:rsidR="00174A6C"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gjithashtu</w:t>
      </w:r>
      <w:r w:rsidR="00174A6C"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edhe sigurimin e një pjese të pajisjeve kompjuterike për nevojat e Censit të Popullsisë dhe Banesave 2023.</w:t>
      </w:r>
    </w:p>
    <w:p w14:paraId="6FE4CE96" w14:textId="77777777"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Faza e dytë e projektit (2022–2026) është në zbatim, viti 2026 përkon me finalizimin dhe dorëzimin e rezultateve përfundimtare të Projektit. Gjatë kësaj faze, fokusi ka qenë në rritjen e kapaciteteve të stafit të bashkive, zyrave rajonale dhe përfaqësuesve të Agjencisë për Mbështetjen e Vetëqeverisjes Vendore, me synimin për ngritjen e njësive statistikore në nivel vendor. Një tjetër komponent kyç i projektit është krijimi i Regjistrit Statistikor të Ndërtesave dhe Banesave, si dhe i Regjistrit Statistikor të Popullsisë Rezidente, të cilët pritet të shërbejnë si burime të rëndësishme për prodhimin e statistikave vjetore mbi popullsinë dhe banesat në të ardhmen.</w:t>
      </w:r>
    </w:p>
    <w:p w14:paraId="3141ECAD" w14:textId="77777777" w:rsidR="000F566F" w:rsidRPr="004F2AC3" w:rsidRDefault="000F566F" w:rsidP="000F566F">
      <w:pPr>
        <w:spacing w:after="0" w:line="240" w:lineRule="auto"/>
        <w:ind w:firstLine="284"/>
        <w:contextualSpacing/>
        <w:jc w:val="both"/>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BRESTAT – Përforcimi i Regjistrit të Bizneseve për Statistika (</w:t>
      </w:r>
      <w:r w:rsidRPr="004F2AC3">
        <w:rPr>
          <w:rFonts w:ascii="Garamond" w:eastAsia="Times New Roman" w:hAnsi="Garamond" w:cs="Times New Roman"/>
          <w:b/>
          <w:i/>
          <w:color w:val="000000" w:themeColor="text1"/>
          <w:sz w:val="24"/>
          <w:szCs w:val="24"/>
        </w:rPr>
        <w:t>Business Register Empowerment of Statistics</w:t>
      </w:r>
      <w:r w:rsidRPr="004F2AC3">
        <w:rPr>
          <w:rFonts w:ascii="Garamond" w:eastAsia="Times New Roman" w:hAnsi="Garamond" w:cs="Times New Roman"/>
          <w:b/>
          <w:color w:val="000000" w:themeColor="text1"/>
          <w:sz w:val="24"/>
          <w:szCs w:val="24"/>
        </w:rPr>
        <w:t>)</w:t>
      </w:r>
    </w:p>
    <w:p w14:paraId="49216816" w14:textId="35BDF907"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Projekti BRESTAT, financuar nga IPA III, adreson sfidat lokale dhe të përbashkëta në rajonin e Adriatikut të Jugut, përkatësisht në Itali, Shqipëri dhe Mal të Zi. Një sfidë thelbësore që synon të trajtojë është harmonizimi i statistikave të biznesit dhe informacionit ekonomik ndërmjet këtyre vendeve. Diferencat në metodat dhe praktikat statistikore shkaktojnë pasaktësi që pengojnë analizën efektive të ekonomisë ndërkufitare dhe formulimin e politikave. Për të mbështetur vendimmarrjen e bazuar në të dhëna, është thelbësore të sigurohen të dhëna të besueshme dhe të krahasueshme për politikëbërësit dhe komunitetin e biznesit. Projekti synon të rrisë krahasueshmërinë e të dhënave dhe të forcojë përdorimin e tyre për vlerësimin e politikave. Gjithashtu, BRESTAT</w:t>
      </w:r>
      <w:r w:rsidR="00C221AA"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do të vlerësojë aktivitetin e ndërmarrjeve ndërkufitare dhe nevojat logjistike, duke prodhuar të dhëna që mbështesin planifikimin e infrastrukturës dhe integrimin ekonomik të rajonit.</w:t>
      </w:r>
    </w:p>
    <w:p w14:paraId="21A2F986" w14:textId="77777777"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Pas përgatitjes së dokumentacionit të aplikimit përgjatë vitit 2024 dhe nënshkrimit të marrëveshjes së partneritetit gjatë tremujorit të katërt të vitit 2025, projekti pritet të hyjë në fazën aktive të zbatimit në vitin 2026, me fokus në realizimin e aktiviteteve të planifikuara dhe arritjen e objektivave kryesorë.</w:t>
      </w:r>
    </w:p>
    <w:p w14:paraId="562B110E" w14:textId="69B73431" w:rsidR="000F566F" w:rsidRPr="004F2AC3" w:rsidRDefault="000F566F" w:rsidP="000F566F">
      <w:pPr>
        <w:spacing w:after="0" w:line="240" w:lineRule="auto"/>
        <w:ind w:firstLine="284"/>
        <w:contextualSpacing/>
        <w:jc w:val="both"/>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Zëra më të Fuqishëm për Zgjedhje më të Mira </w:t>
      </w:r>
      <w:r w:rsidR="00C221AA"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 Qendra Rinore për Ballkanin Perëndimor dhe Turqi </w:t>
      </w:r>
      <w:r w:rsidR="00C221AA"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 (</w:t>
      </w:r>
      <w:r w:rsidRPr="004F2AC3">
        <w:rPr>
          <w:rFonts w:ascii="Garamond" w:eastAsia="Times New Roman" w:hAnsi="Garamond" w:cs="Times New Roman"/>
          <w:b/>
          <w:i/>
          <w:color w:val="000000" w:themeColor="text1"/>
          <w:sz w:val="24"/>
          <w:szCs w:val="24"/>
        </w:rPr>
        <w:t>Stronger Voices for Better Choices</w:t>
      </w:r>
      <w:r w:rsidRPr="004F2AC3">
        <w:rPr>
          <w:rFonts w:ascii="Garamond" w:eastAsia="Times New Roman" w:hAnsi="Garamond" w:cs="Times New Roman"/>
          <w:b/>
          <w:color w:val="000000" w:themeColor="text1"/>
          <w:sz w:val="24"/>
          <w:szCs w:val="24"/>
        </w:rPr>
        <w:t>)</w:t>
      </w:r>
    </w:p>
    <w:p w14:paraId="4D3A2864" w14:textId="37B3D2D2"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Projekti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Zëra më të Fuqishëm për Zgjedhje më të Mira</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është në fazë zbatimi dhe mbulon periudhën 15 </w:t>
      </w:r>
      <w:r w:rsidR="00C221AA"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 xml:space="preserve">ëntor 2024 – 14 </w:t>
      </w:r>
      <w:r w:rsidR="00C221AA" w:rsidRPr="004F2AC3">
        <w:rPr>
          <w:rFonts w:ascii="Garamond" w:eastAsia="Times New Roman" w:hAnsi="Garamond" w:cs="Times New Roman"/>
          <w:color w:val="000000" w:themeColor="text1"/>
          <w:sz w:val="24"/>
          <w:szCs w:val="24"/>
        </w:rPr>
        <w:t>n</w:t>
      </w:r>
      <w:r w:rsidRPr="004F2AC3">
        <w:rPr>
          <w:rFonts w:ascii="Garamond" w:eastAsia="Times New Roman" w:hAnsi="Garamond" w:cs="Times New Roman"/>
          <w:color w:val="000000" w:themeColor="text1"/>
          <w:sz w:val="24"/>
          <w:szCs w:val="24"/>
        </w:rPr>
        <w:t>ëntor 2027. Gjatë vitit 2026, projekti do të jetë në fazën e dytë të zbatimit, me fokus në përforcimin e rezultateve të arritura dhe zgjerimin e ndikimit në nivel rajonal.</w:t>
      </w:r>
    </w:p>
    <w:p w14:paraId="4B2C6A28" w14:textId="77777777"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Qëllimi i projektit është forcimi i pjesëmarrjes qytetare, pajtimit dhe bashkëpunimit rajonal në Ballkanin Perëndimor dhe Turqi, me një vëmendje të veçantë të fuqizimit të të rinjve dhe organizatave të shoqërisë civile (OSHC). Projekti synon të adresojë sfidat demokratike dhe të kontribuojë në procesin e harmonizimit me Bashkimin Evropian.</w:t>
      </w:r>
    </w:p>
    <w:p w14:paraId="01F1549B" w14:textId="1B8E0839"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Gjatë vitit 2026, pritet të vijojë puna për </w:t>
      </w:r>
      <w:r w:rsidR="00C221AA" w:rsidRPr="004F2AC3">
        <w:rPr>
          <w:rFonts w:ascii="Garamond" w:eastAsia="Times New Roman" w:hAnsi="Garamond" w:cs="Times New Roman"/>
          <w:color w:val="000000" w:themeColor="text1"/>
          <w:sz w:val="24"/>
          <w:szCs w:val="24"/>
        </w:rPr>
        <w:t>përllogaritjen</w:t>
      </w:r>
      <w:r w:rsidRPr="004F2AC3">
        <w:rPr>
          <w:rFonts w:ascii="Garamond" w:eastAsia="Times New Roman" w:hAnsi="Garamond" w:cs="Times New Roman"/>
          <w:color w:val="000000" w:themeColor="text1"/>
          <w:sz w:val="24"/>
          <w:szCs w:val="24"/>
        </w:rPr>
        <w:t xml:space="preserve"> e Indeksit të Pjesëmarrjes Rinore (YPI), si një mjet matës për angazhimin e të rinjve në jetën publike, si dhe të zgjerohet mbështetja për OSHC-të përmes financimeve të vogla dhe aktiviteteve për forcimin e kapaciteteve të tyre. Gjithashtu, do të organizohen aktivitete rajonale, fushata ndërgjegjësuese dhe iniciativa për rritjen e pjesëmarrjes së të rinjve në vendimmarrje, me synimin për të ndërtuar një kulturë më të qëndrueshme demokratike dhe pjesëmarrëse në rajon.</w:t>
      </w:r>
    </w:p>
    <w:p w14:paraId="28BFCAE3" w14:textId="42D3922C" w:rsidR="000F566F" w:rsidRPr="004F2AC3" w:rsidRDefault="000F566F" w:rsidP="000F566F">
      <w:pPr>
        <w:spacing w:after="0" w:line="240" w:lineRule="auto"/>
        <w:ind w:firstLine="284"/>
        <w:contextualSpacing/>
        <w:jc w:val="both"/>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 xml:space="preserve">Vrojtimi i </w:t>
      </w:r>
      <w:r w:rsidR="00174A6C" w:rsidRPr="004F2AC3">
        <w:rPr>
          <w:rFonts w:ascii="Garamond" w:eastAsia="Times New Roman" w:hAnsi="Garamond" w:cs="Times New Roman"/>
          <w:b/>
          <w:color w:val="000000" w:themeColor="text1"/>
          <w:sz w:val="24"/>
          <w:szCs w:val="24"/>
        </w:rPr>
        <w:t xml:space="preserve">grupimeve të treguesve të shumëfishtë </w:t>
      </w:r>
      <w:r w:rsidRPr="004F2AC3">
        <w:rPr>
          <w:rFonts w:ascii="Garamond" w:eastAsia="Times New Roman" w:hAnsi="Garamond" w:cs="Times New Roman"/>
          <w:b/>
          <w:color w:val="000000" w:themeColor="text1"/>
          <w:sz w:val="24"/>
          <w:szCs w:val="24"/>
        </w:rPr>
        <w:t>(MICS)</w:t>
      </w:r>
    </w:p>
    <w:p w14:paraId="60D72ED8" w14:textId="313BD72A"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hAnsi="Garamond" w:cs="Times New Roman"/>
          <w:color w:val="000000" w:themeColor="text1"/>
          <w:sz w:val="24"/>
          <w:szCs w:val="24"/>
        </w:rPr>
        <w:t>Vrojtimi MICS (</w:t>
      </w:r>
      <w:r w:rsidRPr="004F2AC3">
        <w:rPr>
          <w:rFonts w:ascii="Garamond" w:hAnsi="Garamond" w:cs="Times New Roman"/>
          <w:i/>
          <w:color w:val="000000" w:themeColor="text1"/>
          <w:sz w:val="24"/>
          <w:szCs w:val="24"/>
        </w:rPr>
        <w:t>Multiple Indicator Cluster Survey</w:t>
      </w:r>
      <w:r w:rsidRPr="004F2AC3">
        <w:rPr>
          <w:rFonts w:ascii="Garamond" w:hAnsi="Garamond" w:cs="Times New Roman"/>
          <w:color w:val="000000" w:themeColor="text1"/>
          <w:sz w:val="24"/>
          <w:szCs w:val="24"/>
        </w:rPr>
        <w:t xml:space="preserve">) përfaqëson një instrument të rëndësishëm për mbledhjen e të dhënave statistikore cilësore në nivel kombëtar, të cilat ndihmojnë në vlerësimin e mirëqenies së fëmijëve dhe grave. Përmes kësaj ankete, synohet </w:t>
      </w:r>
      <w:r w:rsidRPr="004F2AC3">
        <w:rPr>
          <w:rFonts w:ascii="Garamond" w:eastAsia="Times New Roman" w:hAnsi="Garamond" w:cs="Times New Roman"/>
          <w:color w:val="000000" w:themeColor="text1"/>
          <w:sz w:val="24"/>
          <w:szCs w:val="24"/>
        </w:rPr>
        <w:t>mbledhja e të dhënave të detajuara mbi tregues të rëndësishëm</w:t>
      </w:r>
      <w:r w:rsidR="00174A6C"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si: shëndeti, arsimi, ushqyerja, barazia gjinore, uji dhe kanalizimet, si dhe kushtet e jetesës.</w:t>
      </w:r>
    </w:p>
    <w:p w14:paraId="3A2D0024" w14:textId="1778B6B3"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Gjatë periudhës </w:t>
      </w:r>
      <w:r w:rsidR="00C221AA" w:rsidRPr="004F2AC3">
        <w:rPr>
          <w:rFonts w:ascii="Garamond" w:eastAsia="Times New Roman" w:hAnsi="Garamond" w:cs="Times New Roman"/>
          <w:color w:val="000000" w:themeColor="text1"/>
          <w:sz w:val="24"/>
          <w:szCs w:val="24"/>
        </w:rPr>
        <w:t>d</w:t>
      </w:r>
      <w:r w:rsidRPr="004F2AC3">
        <w:rPr>
          <w:rFonts w:ascii="Garamond" w:eastAsia="Times New Roman" w:hAnsi="Garamond" w:cs="Times New Roman"/>
          <w:color w:val="000000" w:themeColor="text1"/>
          <w:sz w:val="24"/>
          <w:szCs w:val="24"/>
        </w:rPr>
        <w:t>hje</w:t>
      </w:r>
      <w:r w:rsidR="00C221AA" w:rsidRPr="004F2AC3">
        <w:rPr>
          <w:rFonts w:ascii="Garamond" w:eastAsia="Times New Roman" w:hAnsi="Garamond" w:cs="Times New Roman"/>
          <w:color w:val="000000" w:themeColor="text1"/>
          <w:sz w:val="24"/>
          <w:szCs w:val="24"/>
        </w:rPr>
        <w:t>tor 2025–j</w:t>
      </w:r>
      <w:r w:rsidRPr="004F2AC3">
        <w:rPr>
          <w:rFonts w:ascii="Garamond" w:eastAsia="Times New Roman" w:hAnsi="Garamond" w:cs="Times New Roman"/>
          <w:color w:val="000000" w:themeColor="text1"/>
          <w:sz w:val="24"/>
          <w:szCs w:val="24"/>
        </w:rPr>
        <w:t>anar 2026 do të realizohet mbledhja e të dhënave në terren, në vijim</w:t>
      </w:r>
      <w:r w:rsidR="00174A6C"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gjatë vitit 2026</w:t>
      </w:r>
      <w:r w:rsidR="00174A6C"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do të kryhet përpunimi dhe analizimi i tyre, me qëllim sigurimin e rezultateve cilësore dhe të qëndrueshme për përdorim në</w:t>
      </w:r>
      <w:r w:rsidRPr="004F2AC3">
        <w:rPr>
          <w:rFonts w:ascii="Garamond" w:hAnsi="Garamond" w:cs="Times New Roman"/>
          <w:color w:val="000000" w:themeColor="text1"/>
          <w:sz w:val="24"/>
          <w:szCs w:val="24"/>
        </w:rPr>
        <w:t xml:space="preserve"> prodhimin e statistikave dhe në procesin e vendimmarrjes.</w:t>
      </w:r>
    </w:p>
    <w:p w14:paraId="6B6B3F97" w14:textId="77777777"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Të dhënat e mbledhura do të jenë thelbësore për të kuptuar më mirë sfidat që prekin fëmijët dhe gratë në Shqipëri, duke mundësuar analiza të thelluara të shkaqeve dhe pasojave të fenomeneve sociale që lidhen me grupet më vulnerabël të popullsisë.</w:t>
      </w:r>
    </w:p>
    <w:p w14:paraId="0C736DE2" w14:textId="5A2135FA"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Një aspekt veçanërisht i rëndësishëm i MICS</w:t>
      </w:r>
      <w:r w:rsidR="00174A6C" w:rsidRPr="004F2AC3">
        <w:rPr>
          <w:rFonts w:ascii="Garamond" w:hAnsi="Garamond" w:cs="Times New Roman"/>
          <w:color w:val="000000" w:themeColor="text1"/>
          <w:sz w:val="24"/>
          <w:szCs w:val="24"/>
        </w:rPr>
        <w:t>-së</w:t>
      </w:r>
      <w:r w:rsidRPr="004F2AC3">
        <w:rPr>
          <w:rFonts w:ascii="Garamond" w:hAnsi="Garamond" w:cs="Times New Roman"/>
          <w:color w:val="000000" w:themeColor="text1"/>
          <w:sz w:val="24"/>
          <w:szCs w:val="24"/>
        </w:rPr>
        <w:t xml:space="preserve"> është fakti që rezultatet e këtij vrojtimi do të përdoren për të vlerësuar burimet administrative dhe për të krahasuar të dhënat me rezultatet e Censit, duke ndihmuar kështu në garantimin e cilësisë, besueshmërisë dhe përputhshmërisë së informacionit statistikor.</w:t>
      </w:r>
    </w:p>
    <w:p w14:paraId="434B2B7A" w14:textId="1F3BE5CE" w:rsidR="000F566F" w:rsidRPr="004F2AC3" w:rsidRDefault="000F566F" w:rsidP="000F566F">
      <w:pPr>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Vrojtimi MICS</w:t>
      </w:r>
      <w:r w:rsidR="006C07F7"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gjithashtu</w:t>
      </w:r>
      <w:r w:rsidR="006C07F7"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ofron një bazë të konsoliduar për vlerësimin e politikave sociale dhe hartimin e ndërhyrjeve të drejtuara dhe efektive në fushat e mbulimit të tij, në përputhje me angazhimet kombëtare dhe ndërkombëtare për zhvillimin e qëndrueshëm dhe mbrojtjen e të drejtave të fëmijëve dhe grave.</w:t>
      </w:r>
    </w:p>
    <w:p w14:paraId="7E0135C3" w14:textId="14989A5E" w:rsidR="000F566F" w:rsidRPr="004F2AC3" w:rsidRDefault="00D32864" w:rsidP="000F566F">
      <w:pPr>
        <w:spacing w:after="0" w:line="240" w:lineRule="auto"/>
        <w:ind w:firstLine="284"/>
        <w:contextualSpacing/>
        <w:jc w:val="both"/>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w:t>
      </w:r>
      <w:r w:rsidR="000F566F" w:rsidRPr="004F2AC3">
        <w:rPr>
          <w:rFonts w:ascii="Garamond" w:eastAsia="Times New Roman" w:hAnsi="Garamond" w:cs="Times New Roman"/>
          <w:b/>
          <w:color w:val="000000" w:themeColor="text1"/>
          <w:sz w:val="24"/>
          <w:szCs w:val="24"/>
        </w:rPr>
        <w:t xml:space="preserve">Statistikat Shqiptare në </w:t>
      </w:r>
      <w:r w:rsidR="006C07F7" w:rsidRPr="004F2AC3">
        <w:rPr>
          <w:rFonts w:ascii="Garamond" w:eastAsia="Times New Roman" w:hAnsi="Garamond" w:cs="Times New Roman"/>
          <w:b/>
          <w:color w:val="000000" w:themeColor="text1"/>
          <w:sz w:val="24"/>
          <w:szCs w:val="24"/>
        </w:rPr>
        <w:t xml:space="preserve">përputhje me legjislacionin kombëtar dhe kërkesat </w:t>
      </w:r>
      <w:r w:rsidR="000F566F" w:rsidRPr="004F2AC3">
        <w:rPr>
          <w:rFonts w:ascii="Garamond" w:eastAsia="Times New Roman" w:hAnsi="Garamond" w:cs="Times New Roman"/>
          <w:b/>
          <w:color w:val="000000" w:themeColor="text1"/>
          <w:sz w:val="24"/>
          <w:szCs w:val="24"/>
        </w:rPr>
        <w:t>e BE-së</w:t>
      </w:r>
      <w:r w:rsidRPr="004F2AC3">
        <w:rPr>
          <w:rFonts w:ascii="Garamond" w:eastAsia="Times New Roman" w:hAnsi="Garamond" w:cs="Times New Roman"/>
          <w:b/>
          <w:color w:val="000000" w:themeColor="text1"/>
          <w:sz w:val="24"/>
          <w:szCs w:val="24"/>
        </w:rPr>
        <w:t>”</w:t>
      </w:r>
      <w:r w:rsidR="00AE7B10" w:rsidRPr="004F2AC3">
        <w:rPr>
          <w:rFonts w:ascii="Garamond" w:eastAsia="Times New Roman" w:hAnsi="Garamond" w:cs="Times New Roman"/>
          <w:b/>
          <w:color w:val="000000" w:themeColor="text1"/>
          <w:sz w:val="24"/>
          <w:szCs w:val="24"/>
        </w:rPr>
        <w:t xml:space="preserve"> –</w:t>
      </w:r>
      <w:r w:rsidR="000F566F" w:rsidRPr="004F2AC3">
        <w:rPr>
          <w:rFonts w:ascii="Garamond" w:eastAsia="Times New Roman" w:hAnsi="Garamond" w:cs="Times New Roman"/>
          <w:b/>
          <w:color w:val="000000" w:themeColor="text1"/>
          <w:sz w:val="24"/>
          <w:szCs w:val="24"/>
        </w:rPr>
        <w:t xml:space="preserve"> SCB</w:t>
      </w:r>
    </w:p>
    <w:p w14:paraId="0F7872ED" w14:textId="7F35886F" w:rsidR="000F566F" w:rsidRPr="004F2AC3" w:rsidRDefault="000F566F" w:rsidP="00F12EB3">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Projekti ka për përmirësimin e përputhshmërisë së INSTAT-it me legjislacionin kombëtar dhe kërkesat e Bashkimit Evropian. Zbatimi i projektit është planifikuar të zhvillohet në periudhën 2025–2029, ku faza e zbatimit nis në tremujorin e katërt të 2025 dhe do të vazhdojë me intensitet gjatë viteve në vijim.</w:t>
      </w:r>
    </w:p>
    <w:p w14:paraId="1ADDB5F5" w14:textId="77777777"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Puna për planifikimin e misioneve të ekspertëve për vitin 2026, të cilët do të mbështesin stafin e INSTAT-it në realizimin e objektivave të projektit, ka nisur në tremujorin e tretë të vitit 2025. Këto misione do të mbështesin ndërhyrjet kryesore të projektit në gjashtë komponentë themelorë:</w:t>
      </w:r>
    </w:p>
    <w:p w14:paraId="469A32E6" w14:textId="0A3181CB" w:rsidR="000F566F" w:rsidRPr="004F2AC3" w:rsidRDefault="00F40AE3" w:rsidP="00F40AE3">
      <w:pPr>
        <w:pStyle w:val="TEKSTIIIII"/>
      </w:pPr>
      <w:r w:rsidRPr="004F2AC3">
        <w:t xml:space="preserve">- </w:t>
      </w:r>
      <w:r w:rsidR="000F566F" w:rsidRPr="004F2AC3">
        <w:t>Pajisja e stafit me aftësi dhe kapacitete (</w:t>
      </w:r>
      <w:r w:rsidR="000F566F" w:rsidRPr="004F2AC3">
        <w:rPr>
          <w:i/>
        </w:rPr>
        <w:t>Skills supply</w:t>
      </w:r>
      <w:r w:rsidR="000F566F" w:rsidRPr="004F2AC3">
        <w:t>)</w:t>
      </w:r>
      <w:r w:rsidR="00AE7B10" w:rsidRPr="004F2AC3">
        <w:t>;</w:t>
      </w:r>
    </w:p>
    <w:p w14:paraId="249F728E" w14:textId="1F5523D1" w:rsidR="000F566F" w:rsidRPr="004F2AC3" w:rsidRDefault="00F40AE3" w:rsidP="00F40AE3">
      <w:pPr>
        <w:pStyle w:val="TEKSTIIIII"/>
      </w:pPr>
      <w:r w:rsidRPr="004F2AC3">
        <w:t xml:space="preserve">- </w:t>
      </w:r>
      <w:r w:rsidR="000F566F" w:rsidRPr="004F2AC3">
        <w:t>Koordinimi i Sistemit Kombëtar Statistikor (</w:t>
      </w:r>
      <w:r w:rsidR="000F566F" w:rsidRPr="004F2AC3">
        <w:rPr>
          <w:i/>
        </w:rPr>
        <w:t>NSS coordination</w:t>
      </w:r>
      <w:r w:rsidR="000F566F" w:rsidRPr="004F2AC3">
        <w:t>)</w:t>
      </w:r>
      <w:r w:rsidR="00AE7B10" w:rsidRPr="004F2AC3">
        <w:t>;</w:t>
      </w:r>
    </w:p>
    <w:p w14:paraId="13FA72A0" w14:textId="4B08ABE1" w:rsidR="000F566F" w:rsidRPr="004F2AC3" w:rsidRDefault="00F40AE3" w:rsidP="00F40AE3">
      <w:pPr>
        <w:pStyle w:val="TEKSTIIIII"/>
      </w:pPr>
      <w:r w:rsidRPr="004F2AC3">
        <w:t xml:space="preserve">- </w:t>
      </w:r>
      <w:r w:rsidR="000F566F" w:rsidRPr="004F2AC3">
        <w:t>Komunikimi i jashtëm (</w:t>
      </w:r>
      <w:r w:rsidR="000F566F" w:rsidRPr="004F2AC3">
        <w:rPr>
          <w:i/>
        </w:rPr>
        <w:t>External communication</w:t>
      </w:r>
      <w:r w:rsidR="000F566F" w:rsidRPr="004F2AC3">
        <w:t>)</w:t>
      </w:r>
      <w:r w:rsidR="00AE7B10" w:rsidRPr="004F2AC3">
        <w:t>;</w:t>
      </w:r>
    </w:p>
    <w:p w14:paraId="0A0C3114" w14:textId="2EEAC21B" w:rsidR="000F566F" w:rsidRPr="004F2AC3" w:rsidRDefault="00F40AE3" w:rsidP="00F40AE3">
      <w:pPr>
        <w:pStyle w:val="TEKSTIIIII"/>
      </w:pPr>
      <w:r w:rsidRPr="004F2AC3">
        <w:t xml:space="preserve">- </w:t>
      </w:r>
      <w:r w:rsidR="000F566F" w:rsidRPr="004F2AC3">
        <w:t>Koordinimi i operacioneve të brendshme (</w:t>
      </w:r>
      <w:r w:rsidR="000F566F" w:rsidRPr="004F2AC3">
        <w:rPr>
          <w:i/>
        </w:rPr>
        <w:t>Coordination of internal operations</w:t>
      </w:r>
      <w:r w:rsidR="000F566F" w:rsidRPr="004F2AC3">
        <w:t>)</w:t>
      </w:r>
      <w:r w:rsidR="00AE7B10" w:rsidRPr="004F2AC3">
        <w:t>;</w:t>
      </w:r>
    </w:p>
    <w:p w14:paraId="10C394A6" w14:textId="62D23D88" w:rsidR="000F566F" w:rsidRPr="004F2AC3" w:rsidRDefault="00F40AE3" w:rsidP="00F40AE3">
      <w:pPr>
        <w:pStyle w:val="TEKSTIIIII"/>
      </w:pPr>
      <w:r w:rsidRPr="004F2AC3">
        <w:t xml:space="preserve">- </w:t>
      </w:r>
      <w:r w:rsidR="000F566F" w:rsidRPr="004F2AC3">
        <w:t>Menaxhimi dhe përpunimi i të dhënave (</w:t>
      </w:r>
      <w:r w:rsidR="000F566F" w:rsidRPr="004F2AC3">
        <w:rPr>
          <w:i/>
        </w:rPr>
        <w:t>Data management and processing</w:t>
      </w:r>
      <w:r w:rsidR="000F566F" w:rsidRPr="004F2AC3">
        <w:t>)</w:t>
      </w:r>
      <w:r w:rsidR="00AE7B10" w:rsidRPr="004F2AC3">
        <w:t>;</w:t>
      </w:r>
    </w:p>
    <w:p w14:paraId="3A2A699D" w14:textId="20E28015" w:rsidR="000F566F" w:rsidRPr="004F2AC3" w:rsidRDefault="00F40AE3" w:rsidP="00F40AE3">
      <w:pPr>
        <w:pStyle w:val="TEKSTIIIII"/>
      </w:pPr>
      <w:r w:rsidRPr="004F2AC3">
        <w:t xml:space="preserve">- </w:t>
      </w:r>
      <w:r w:rsidR="000F566F" w:rsidRPr="004F2AC3">
        <w:t>Prodhimi statistikor (</w:t>
      </w:r>
      <w:r w:rsidR="000F566F" w:rsidRPr="004F2AC3">
        <w:rPr>
          <w:i/>
        </w:rPr>
        <w:t>Statistical production</w:t>
      </w:r>
      <w:r w:rsidR="000F566F" w:rsidRPr="004F2AC3">
        <w:t>)</w:t>
      </w:r>
      <w:r w:rsidR="00AE7B10" w:rsidRPr="004F2AC3">
        <w:t>.</w:t>
      </w:r>
    </w:p>
    <w:p w14:paraId="2D93E8BB" w14:textId="1F0803C8" w:rsidR="000F566F" w:rsidRPr="004F2AC3" w:rsidRDefault="000F566F" w:rsidP="003338A8">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Përmes këtyre komponentëve, projekti synon të rrisë cilësinë, efikasitetin dhe integrimin e funksioneve statistikore në INSTAT, duke rritur nivelin e harmonizimit me standardet dhe kërkesat e Bashkimit Evropian, si dhe duke mbështetur zhvillimin e një sistemi statistikor më të qëndrueshëm </w:t>
      </w:r>
      <w:r w:rsidR="003338A8" w:rsidRPr="004F2AC3">
        <w:rPr>
          <w:rFonts w:ascii="Garamond" w:eastAsia="Times New Roman" w:hAnsi="Garamond" w:cs="Times New Roman"/>
          <w:color w:val="000000" w:themeColor="text1"/>
          <w:sz w:val="24"/>
          <w:szCs w:val="24"/>
        </w:rPr>
        <w:t>dhe të integruar.</w:t>
      </w:r>
    </w:p>
    <w:p w14:paraId="1E542C92" w14:textId="27DDD48E" w:rsidR="000F566F" w:rsidRPr="004F2AC3" w:rsidRDefault="000F566F" w:rsidP="000F566F">
      <w:pPr>
        <w:spacing w:after="0" w:line="240" w:lineRule="auto"/>
        <w:ind w:firstLine="284"/>
        <w:contextualSpacing/>
        <w:jc w:val="both"/>
        <w:rPr>
          <w:rFonts w:ascii="Garamond" w:eastAsia="Times New Roman" w:hAnsi="Garamond" w:cs="Times New Roman"/>
          <w:b/>
          <w:color w:val="000000" w:themeColor="text1"/>
          <w:sz w:val="24"/>
          <w:szCs w:val="24"/>
        </w:rPr>
      </w:pPr>
      <w:r w:rsidRPr="004F2AC3">
        <w:rPr>
          <w:rFonts w:ascii="Garamond" w:eastAsia="Times New Roman" w:hAnsi="Garamond" w:cs="Times New Roman"/>
          <w:b/>
          <w:color w:val="000000" w:themeColor="text1"/>
          <w:sz w:val="24"/>
          <w:szCs w:val="24"/>
        </w:rPr>
        <w:t>Tabela nr. 29</w:t>
      </w:r>
      <w:r w:rsidR="00AE7B10" w:rsidRPr="004F2AC3">
        <w:rPr>
          <w:rFonts w:ascii="Garamond" w:eastAsia="Times New Roman" w:hAnsi="Garamond" w:cs="Times New Roman"/>
          <w:b/>
          <w:color w:val="000000" w:themeColor="text1"/>
          <w:sz w:val="24"/>
          <w:szCs w:val="24"/>
        </w:rPr>
        <w:t>:</w:t>
      </w:r>
      <w:r w:rsidRPr="004F2AC3">
        <w:rPr>
          <w:rFonts w:ascii="Garamond" w:eastAsia="Times New Roman" w:hAnsi="Garamond" w:cs="Times New Roman"/>
          <w:b/>
          <w:color w:val="000000" w:themeColor="text1"/>
          <w:sz w:val="24"/>
          <w:szCs w:val="24"/>
        </w:rPr>
        <w:t xml:space="preserve"> Lista e </w:t>
      </w:r>
      <w:r w:rsidR="00AE7B10" w:rsidRPr="004F2AC3">
        <w:rPr>
          <w:rFonts w:ascii="Garamond" w:eastAsia="Times New Roman" w:hAnsi="Garamond" w:cs="Times New Roman"/>
          <w:b/>
          <w:color w:val="000000" w:themeColor="text1"/>
          <w:sz w:val="24"/>
          <w:szCs w:val="24"/>
        </w:rPr>
        <w:t>p</w:t>
      </w:r>
      <w:r w:rsidRPr="004F2AC3">
        <w:rPr>
          <w:rFonts w:ascii="Garamond" w:eastAsia="Times New Roman" w:hAnsi="Garamond" w:cs="Times New Roman"/>
          <w:b/>
          <w:color w:val="000000" w:themeColor="text1"/>
          <w:sz w:val="24"/>
          <w:szCs w:val="24"/>
        </w:rPr>
        <w:t>rojekteve aktive për vitin 2026</w:t>
      </w:r>
    </w:p>
    <w:tbl>
      <w:tblPr>
        <w:tblW w:w="0" w:type="auto"/>
        <w:tblInd w:w="-10" w:type="dxa"/>
        <w:tblLayout w:type="fixed"/>
        <w:tblLook w:val="04A0" w:firstRow="1" w:lastRow="0" w:firstColumn="1" w:lastColumn="0" w:noHBand="0" w:noVBand="1"/>
      </w:tblPr>
      <w:tblGrid>
        <w:gridCol w:w="4631"/>
        <w:gridCol w:w="2048"/>
        <w:gridCol w:w="1068"/>
        <w:gridCol w:w="1173"/>
      </w:tblGrid>
      <w:tr w:rsidR="000F566F" w:rsidRPr="004F2AC3" w14:paraId="269EE953" w14:textId="77777777" w:rsidTr="00B66BF4">
        <w:trPr>
          <w:trHeight w:val="225"/>
        </w:trPr>
        <w:tc>
          <w:tcPr>
            <w:tcW w:w="4631" w:type="dxa"/>
            <w:tcBorders>
              <w:top w:val="single" w:sz="8" w:space="0" w:color="4F81BD"/>
              <w:left w:val="single" w:sz="8" w:space="0" w:color="4F81BD"/>
              <w:bottom w:val="single" w:sz="8" w:space="0" w:color="4F81BD"/>
              <w:right w:val="nil"/>
            </w:tcBorders>
            <w:shd w:val="clear" w:color="000000" w:fill="4F81BD"/>
            <w:noWrap/>
            <w:vAlign w:val="center"/>
            <w:hideMark/>
          </w:tcPr>
          <w:p w14:paraId="1E3EA054" w14:textId="77777777" w:rsidR="000F566F" w:rsidRPr="004F2AC3" w:rsidRDefault="000F566F" w:rsidP="00F40AE3">
            <w:pPr>
              <w:spacing w:after="0" w:line="240" w:lineRule="auto"/>
              <w:rPr>
                <w:rFonts w:ascii="Garamond" w:eastAsia="Times New Roman" w:hAnsi="Garamond" w:cs="Times New Roman"/>
                <w:b/>
                <w:bCs/>
                <w:color w:val="000000" w:themeColor="text1"/>
                <w:sz w:val="18"/>
                <w:szCs w:val="24"/>
              </w:rPr>
            </w:pPr>
            <w:r w:rsidRPr="004F2AC3">
              <w:rPr>
                <w:rFonts w:ascii="Garamond" w:eastAsia="Times New Roman" w:hAnsi="Garamond" w:cs="Times New Roman"/>
                <w:b/>
                <w:bCs/>
                <w:color w:val="000000" w:themeColor="text1"/>
                <w:sz w:val="18"/>
                <w:szCs w:val="24"/>
              </w:rPr>
              <w:t xml:space="preserve">Projekti </w:t>
            </w:r>
          </w:p>
        </w:tc>
        <w:tc>
          <w:tcPr>
            <w:tcW w:w="2048" w:type="dxa"/>
            <w:tcBorders>
              <w:top w:val="single" w:sz="8" w:space="0" w:color="4F81BD"/>
              <w:left w:val="nil"/>
              <w:bottom w:val="single" w:sz="8" w:space="0" w:color="4F81BD"/>
              <w:right w:val="nil"/>
            </w:tcBorders>
            <w:shd w:val="clear" w:color="000000" w:fill="4F81BD"/>
            <w:noWrap/>
            <w:vAlign w:val="center"/>
            <w:hideMark/>
          </w:tcPr>
          <w:p w14:paraId="63996E56" w14:textId="77777777" w:rsidR="000F566F" w:rsidRPr="004F2AC3" w:rsidRDefault="000F566F" w:rsidP="00F40AE3">
            <w:pPr>
              <w:spacing w:after="0" w:line="240" w:lineRule="auto"/>
              <w:rPr>
                <w:rFonts w:ascii="Garamond" w:eastAsia="Times New Roman" w:hAnsi="Garamond" w:cs="Times New Roman"/>
                <w:b/>
                <w:bCs/>
                <w:color w:val="000000" w:themeColor="text1"/>
                <w:sz w:val="18"/>
                <w:szCs w:val="24"/>
              </w:rPr>
            </w:pPr>
            <w:r w:rsidRPr="004F2AC3">
              <w:rPr>
                <w:rFonts w:ascii="Garamond" w:eastAsia="Times New Roman" w:hAnsi="Garamond" w:cs="Times New Roman"/>
                <w:b/>
                <w:bCs/>
                <w:color w:val="000000" w:themeColor="text1"/>
                <w:sz w:val="18"/>
                <w:szCs w:val="24"/>
              </w:rPr>
              <w:t>Partneri</w:t>
            </w:r>
          </w:p>
        </w:tc>
        <w:tc>
          <w:tcPr>
            <w:tcW w:w="1068" w:type="dxa"/>
            <w:tcBorders>
              <w:top w:val="single" w:sz="8" w:space="0" w:color="4F81BD"/>
              <w:left w:val="nil"/>
              <w:bottom w:val="single" w:sz="8" w:space="0" w:color="4F81BD"/>
              <w:right w:val="nil"/>
            </w:tcBorders>
            <w:shd w:val="clear" w:color="000000" w:fill="4F81BD"/>
            <w:noWrap/>
            <w:vAlign w:val="center"/>
            <w:hideMark/>
          </w:tcPr>
          <w:p w14:paraId="102ABF73" w14:textId="77777777" w:rsidR="000F566F" w:rsidRPr="004F2AC3" w:rsidRDefault="000F566F" w:rsidP="00F40AE3">
            <w:pPr>
              <w:spacing w:after="0" w:line="240" w:lineRule="auto"/>
              <w:jc w:val="right"/>
              <w:rPr>
                <w:rFonts w:ascii="Garamond" w:eastAsia="Times New Roman" w:hAnsi="Garamond" w:cs="Times New Roman"/>
                <w:b/>
                <w:bCs/>
                <w:color w:val="000000" w:themeColor="text1"/>
                <w:sz w:val="18"/>
                <w:szCs w:val="24"/>
              </w:rPr>
            </w:pPr>
            <w:r w:rsidRPr="004F2AC3">
              <w:rPr>
                <w:rFonts w:ascii="Garamond" w:eastAsia="Times New Roman" w:hAnsi="Garamond" w:cs="Times New Roman"/>
                <w:b/>
                <w:bCs/>
                <w:color w:val="000000" w:themeColor="text1"/>
                <w:sz w:val="18"/>
                <w:szCs w:val="24"/>
              </w:rPr>
              <w:t>Fillimi</w:t>
            </w:r>
          </w:p>
        </w:tc>
        <w:tc>
          <w:tcPr>
            <w:tcW w:w="1173" w:type="dxa"/>
            <w:tcBorders>
              <w:top w:val="single" w:sz="8" w:space="0" w:color="4F81BD"/>
              <w:left w:val="nil"/>
              <w:bottom w:val="single" w:sz="8" w:space="0" w:color="4F81BD"/>
              <w:right w:val="single" w:sz="8" w:space="0" w:color="4F81BD"/>
            </w:tcBorders>
            <w:shd w:val="clear" w:color="000000" w:fill="4F81BD"/>
            <w:noWrap/>
            <w:vAlign w:val="center"/>
            <w:hideMark/>
          </w:tcPr>
          <w:p w14:paraId="52FF48F6" w14:textId="77777777" w:rsidR="000F566F" w:rsidRPr="004F2AC3" w:rsidRDefault="000F566F" w:rsidP="00F40AE3">
            <w:pPr>
              <w:spacing w:after="0" w:line="240" w:lineRule="auto"/>
              <w:jc w:val="right"/>
              <w:rPr>
                <w:rFonts w:ascii="Garamond" w:eastAsia="Times New Roman" w:hAnsi="Garamond" w:cs="Times New Roman"/>
                <w:b/>
                <w:bCs/>
                <w:color w:val="000000" w:themeColor="text1"/>
                <w:sz w:val="18"/>
                <w:szCs w:val="24"/>
              </w:rPr>
            </w:pPr>
            <w:r w:rsidRPr="004F2AC3">
              <w:rPr>
                <w:rFonts w:ascii="Garamond" w:eastAsia="Times New Roman" w:hAnsi="Garamond" w:cs="Times New Roman"/>
                <w:b/>
                <w:bCs/>
                <w:color w:val="000000" w:themeColor="text1"/>
                <w:sz w:val="18"/>
                <w:szCs w:val="24"/>
              </w:rPr>
              <w:t>Mbarimi</w:t>
            </w:r>
          </w:p>
        </w:tc>
      </w:tr>
      <w:tr w:rsidR="000F566F" w:rsidRPr="004F2AC3" w14:paraId="234ECD71" w14:textId="77777777" w:rsidTr="00B66BF4">
        <w:trPr>
          <w:trHeight w:val="225"/>
        </w:trPr>
        <w:tc>
          <w:tcPr>
            <w:tcW w:w="4631" w:type="dxa"/>
            <w:tcBorders>
              <w:top w:val="single" w:sz="8" w:space="0" w:color="4F81BD"/>
              <w:left w:val="single" w:sz="8" w:space="0" w:color="4F81BD"/>
              <w:bottom w:val="single" w:sz="8" w:space="0" w:color="4F81BD"/>
              <w:right w:val="nil"/>
            </w:tcBorders>
            <w:shd w:val="clear" w:color="auto" w:fill="auto"/>
            <w:noWrap/>
            <w:vAlign w:val="center"/>
            <w:hideMark/>
          </w:tcPr>
          <w:p w14:paraId="3969D478" w14:textId="0ABEDE9B" w:rsidR="000F566F" w:rsidRPr="004F2AC3" w:rsidRDefault="000F566F" w:rsidP="00F40AE3">
            <w:pPr>
              <w:spacing w:after="0" w:line="240" w:lineRule="auto"/>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 xml:space="preserve">Programi i </w:t>
            </w:r>
            <w:r w:rsidR="00F12EB3" w:rsidRPr="004F2AC3">
              <w:rPr>
                <w:rFonts w:ascii="Garamond" w:eastAsia="Times New Roman" w:hAnsi="Garamond" w:cs="Times New Roman"/>
                <w:color w:val="000000" w:themeColor="text1"/>
                <w:sz w:val="18"/>
                <w:szCs w:val="24"/>
              </w:rPr>
              <w:t xml:space="preserve">bashkëpunimit statistikor </w:t>
            </w:r>
            <w:r w:rsidRPr="004F2AC3">
              <w:rPr>
                <w:rFonts w:ascii="Garamond" w:eastAsia="Times New Roman" w:hAnsi="Garamond" w:cs="Times New Roman"/>
                <w:color w:val="000000" w:themeColor="text1"/>
                <w:sz w:val="18"/>
                <w:szCs w:val="24"/>
              </w:rPr>
              <w:t xml:space="preserve">me instrumentin </w:t>
            </w:r>
            <w:r w:rsidR="00AE7B10" w:rsidRPr="004F2AC3">
              <w:rPr>
                <w:rFonts w:ascii="Garamond" w:eastAsia="Times New Roman" w:hAnsi="Garamond" w:cs="Times New Roman"/>
                <w:color w:val="000000" w:themeColor="text1"/>
                <w:sz w:val="18"/>
                <w:szCs w:val="24"/>
              </w:rPr>
              <w:t xml:space="preserve">shumëpërfitues </w:t>
            </w:r>
            <w:r w:rsidRPr="004F2AC3">
              <w:rPr>
                <w:rFonts w:ascii="Garamond" w:eastAsia="Times New Roman" w:hAnsi="Garamond" w:cs="Times New Roman"/>
                <w:color w:val="000000" w:themeColor="text1"/>
                <w:sz w:val="18"/>
                <w:szCs w:val="24"/>
              </w:rPr>
              <w:t>– IPA 2022</w:t>
            </w:r>
          </w:p>
        </w:tc>
        <w:tc>
          <w:tcPr>
            <w:tcW w:w="2048" w:type="dxa"/>
            <w:tcBorders>
              <w:top w:val="single" w:sz="8" w:space="0" w:color="4F81BD"/>
              <w:left w:val="nil"/>
              <w:bottom w:val="single" w:sz="8" w:space="0" w:color="4F81BD"/>
              <w:right w:val="nil"/>
            </w:tcBorders>
            <w:shd w:val="clear" w:color="auto" w:fill="auto"/>
            <w:vAlign w:val="center"/>
            <w:hideMark/>
          </w:tcPr>
          <w:p w14:paraId="2C08C5BA" w14:textId="77777777" w:rsidR="000F566F" w:rsidRPr="004F2AC3" w:rsidRDefault="000F566F" w:rsidP="00F40AE3">
            <w:pPr>
              <w:spacing w:after="0" w:line="240" w:lineRule="auto"/>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Komisioni Evropian</w:t>
            </w:r>
          </w:p>
        </w:tc>
        <w:tc>
          <w:tcPr>
            <w:tcW w:w="1068" w:type="dxa"/>
            <w:tcBorders>
              <w:top w:val="single" w:sz="8" w:space="0" w:color="4F81BD"/>
              <w:left w:val="nil"/>
              <w:bottom w:val="single" w:sz="8" w:space="0" w:color="4F81BD"/>
              <w:right w:val="nil"/>
            </w:tcBorders>
            <w:shd w:val="clear" w:color="auto" w:fill="auto"/>
            <w:noWrap/>
            <w:vAlign w:val="center"/>
            <w:hideMark/>
          </w:tcPr>
          <w:p w14:paraId="67964B02"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Janar 2024</w:t>
            </w:r>
          </w:p>
        </w:tc>
        <w:tc>
          <w:tcPr>
            <w:tcW w:w="1173" w:type="dxa"/>
            <w:tcBorders>
              <w:top w:val="single" w:sz="8" w:space="0" w:color="4F81BD"/>
              <w:left w:val="nil"/>
              <w:bottom w:val="single" w:sz="8" w:space="0" w:color="4F81BD"/>
              <w:right w:val="single" w:sz="8" w:space="0" w:color="4F81BD"/>
            </w:tcBorders>
            <w:shd w:val="clear" w:color="auto" w:fill="auto"/>
            <w:noWrap/>
            <w:vAlign w:val="center"/>
            <w:hideMark/>
          </w:tcPr>
          <w:p w14:paraId="0BC86EC9"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Shkurt 2027</w:t>
            </w:r>
          </w:p>
        </w:tc>
      </w:tr>
      <w:tr w:rsidR="000F566F" w:rsidRPr="004F2AC3" w14:paraId="18381668" w14:textId="77777777" w:rsidTr="00B66BF4">
        <w:trPr>
          <w:trHeight w:val="225"/>
        </w:trPr>
        <w:tc>
          <w:tcPr>
            <w:tcW w:w="4631" w:type="dxa"/>
            <w:tcBorders>
              <w:top w:val="single" w:sz="8" w:space="0" w:color="4F81BD"/>
              <w:left w:val="single" w:sz="8" w:space="0" w:color="4F81BD"/>
              <w:bottom w:val="single" w:sz="8" w:space="0" w:color="4F81BD"/>
              <w:right w:val="nil"/>
            </w:tcBorders>
            <w:shd w:val="clear" w:color="auto" w:fill="auto"/>
            <w:vAlign w:val="center"/>
            <w:hideMark/>
          </w:tcPr>
          <w:p w14:paraId="212C3946" w14:textId="5F3A88DF" w:rsidR="000F566F" w:rsidRPr="004F2AC3" w:rsidRDefault="00D32864" w:rsidP="00F40AE3">
            <w:pPr>
              <w:spacing w:after="0" w:line="240" w:lineRule="auto"/>
              <w:jc w:val="both"/>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w:t>
            </w:r>
            <w:r w:rsidR="000F566F" w:rsidRPr="004F2AC3">
              <w:rPr>
                <w:rFonts w:ascii="Garamond" w:eastAsia="Times New Roman" w:hAnsi="Garamond" w:cs="Times New Roman"/>
                <w:color w:val="000000" w:themeColor="text1"/>
                <w:sz w:val="18"/>
                <w:szCs w:val="24"/>
              </w:rPr>
              <w:t xml:space="preserve">Statistika të </w:t>
            </w:r>
            <w:r w:rsidR="00F12EB3" w:rsidRPr="004F2AC3">
              <w:rPr>
                <w:rFonts w:ascii="Garamond" w:eastAsia="Times New Roman" w:hAnsi="Garamond" w:cs="Times New Roman"/>
                <w:color w:val="000000" w:themeColor="text1"/>
                <w:sz w:val="18"/>
                <w:szCs w:val="24"/>
              </w:rPr>
              <w:t xml:space="preserve">forta vendore </w:t>
            </w:r>
            <w:r w:rsidR="000F566F" w:rsidRPr="004F2AC3">
              <w:rPr>
                <w:rFonts w:ascii="Garamond" w:eastAsia="Times New Roman" w:hAnsi="Garamond" w:cs="Times New Roman"/>
                <w:color w:val="000000" w:themeColor="text1"/>
                <w:sz w:val="18"/>
                <w:szCs w:val="24"/>
              </w:rPr>
              <w:t>Shqiptare</w:t>
            </w:r>
            <w:r w:rsidRPr="004F2AC3">
              <w:rPr>
                <w:rFonts w:ascii="Garamond" w:eastAsia="Times New Roman" w:hAnsi="Garamond" w:cs="Times New Roman"/>
                <w:color w:val="000000" w:themeColor="text1"/>
                <w:sz w:val="18"/>
                <w:szCs w:val="24"/>
              </w:rPr>
              <w:t>”</w:t>
            </w:r>
            <w:r w:rsidR="000F566F" w:rsidRPr="004F2AC3">
              <w:rPr>
                <w:rFonts w:ascii="Garamond" w:eastAsia="Times New Roman" w:hAnsi="Garamond" w:cs="Times New Roman"/>
                <w:color w:val="000000" w:themeColor="text1"/>
                <w:sz w:val="18"/>
                <w:szCs w:val="24"/>
              </w:rPr>
              <w:t xml:space="preserve"> </w:t>
            </w:r>
            <w:r w:rsidR="00F12EB3" w:rsidRPr="004F2AC3">
              <w:rPr>
                <w:rFonts w:ascii="Garamond" w:eastAsia="Times New Roman" w:hAnsi="Garamond" w:cs="Times New Roman"/>
                <w:color w:val="000000" w:themeColor="text1"/>
                <w:sz w:val="18"/>
                <w:szCs w:val="24"/>
              </w:rPr>
              <w:t>–</w:t>
            </w:r>
            <w:r w:rsidR="000F566F" w:rsidRPr="004F2AC3">
              <w:rPr>
                <w:rFonts w:ascii="Garamond" w:eastAsia="Times New Roman" w:hAnsi="Garamond" w:cs="Times New Roman"/>
                <w:color w:val="000000" w:themeColor="text1"/>
                <w:sz w:val="18"/>
                <w:szCs w:val="24"/>
              </w:rPr>
              <w:t xml:space="preserve"> SALSTAT II </w:t>
            </w:r>
          </w:p>
        </w:tc>
        <w:tc>
          <w:tcPr>
            <w:tcW w:w="2048" w:type="dxa"/>
            <w:tcBorders>
              <w:top w:val="single" w:sz="8" w:space="0" w:color="4F81BD"/>
              <w:left w:val="nil"/>
              <w:bottom w:val="single" w:sz="8" w:space="0" w:color="4F81BD"/>
              <w:right w:val="nil"/>
            </w:tcBorders>
            <w:shd w:val="clear" w:color="auto" w:fill="auto"/>
            <w:vAlign w:val="center"/>
            <w:hideMark/>
          </w:tcPr>
          <w:p w14:paraId="389E0860" w14:textId="77777777" w:rsidR="000F566F" w:rsidRPr="004F2AC3" w:rsidRDefault="000F566F" w:rsidP="00F40AE3">
            <w:pPr>
              <w:spacing w:after="0" w:line="240" w:lineRule="auto"/>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SDC+FSO</w:t>
            </w:r>
          </w:p>
        </w:tc>
        <w:tc>
          <w:tcPr>
            <w:tcW w:w="1068" w:type="dxa"/>
            <w:tcBorders>
              <w:top w:val="single" w:sz="8" w:space="0" w:color="4F81BD"/>
              <w:left w:val="nil"/>
              <w:bottom w:val="single" w:sz="8" w:space="0" w:color="4F81BD"/>
              <w:right w:val="nil"/>
            </w:tcBorders>
            <w:shd w:val="clear" w:color="auto" w:fill="auto"/>
            <w:noWrap/>
            <w:vAlign w:val="center"/>
            <w:hideMark/>
          </w:tcPr>
          <w:p w14:paraId="21B40B77"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Tetor 2022</w:t>
            </w:r>
          </w:p>
        </w:tc>
        <w:tc>
          <w:tcPr>
            <w:tcW w:w="1173" w:type="dxa"/>
            <w:tcBorders>
              <w:top w:val="single" w:sz="8" w:space="0" w:color="4F81BD"/>
              <w:left w:val="nil"/>
              <w:bottom w:val="single" w:sz="8" w:space="0" w:color="4F81BD"/>
              <w:right w:val="single" w:sz="8" w:space="0" w:color="4F81BD"/>
            </w:tcBorders>
            <w:shd w:val="clear" w:color="auto" w:fill="auto"/>
            <w:noWrap/>
            <w:vAlign w:val="center"/>
            <w:hideMark/>
          </w:tcPr>
          <w:p w14:paraId="13289DBD"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Shtator 2026</w:t>
            </w:r>
          </w:p>
        </w:tc>
      </w:tr>
      <w:tr w:rsidR="000F566F" w:rsidRPr="004F2AC3" w14:paraId="0FEBE648" w14:textId="77777777" w:rsidTr="00B66BF4">
        <w:trPr>
          <w:trHeight w:val="225"/>
        </w:trPr>
        <w:tc>
          <w:tcPr>
            <w:tcW w:w="4631" w:type="dxa"/>
            <w:tcBorders>
              <w:top w:val="single" w:sz="8" w:space="0" w:color="4F81BD"/>
              <w:left w:val="single" w:sz="8" w:space="0" w:color="4F81BD"/>
              <w:bottom w:val="single" w:sz="8" w:space="0" w:color="4F81BD"/>
              <w:right w:val="nil"/>
            </w:tcBorders>
            <w:shd w:val="clear" w:color="auto" w:fill="auto"/>
            <w:noWrap/>
            <w:vAlign w:val="center"/>
            <w:hideMark/>
          </w:tcPr>
          <w:p w14:paraId="3AC056D8" w14:textId="66DD8199" w:rsidR="000F566F" w:rsidRPr="004F2AC3" w:rsidRDefault="000F566F" w:rsidP="00F40AE3">
            <w:pPr>
              <w:spacing w:after="0" w:line="240" w:lineRule="auto"/>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Përforcimi i Regjistrit të Bizneseve për Statistika</w:t>
            </w:r>
            <w:r w:rsidR="00F12EB3" w:rsidRPr="004F2AC3">
              <w:rPr>
                <w:rFonts w:ascii="Garamond" w:eastAsia="Times New Roman" w:hAnsi="Garamond" w:cs="Times New Roman"/>
                <w:color w:val="000000" w:themeColor="text1"/>
                <w:sz w:val="18"/>
                <w:szCs w:val="24"/>
              </w:rPr>
              <w:t xml:space="preserve"> –</w:t>
            </w:r>
            <w:r w:rsidRPr="004F2AC3">
              <w:rPr>
                <w:rFonts w:ascii="Garamond" w:eastAsia="Times New Roman" w:hAnsi="Garamond" w:cs="Times New Roman"/>
                <w:color w:val="000000" w:themeColor="text1"/>
                <w:sz w:val="18"/>
                <w:szCs w:val="24"/>
              </w:rPr>
              <w:t xml:space="preserve"> BRESTAT</w:t>
            </w:r>
          </w:p>
        </w:tc>
        <w:tc>
          <w:tcPr>
            <w:tcW w:w="2048" w:type="dxa"/>
            <w:tcBorders>
              <w:top w:val="single" w:sz="8" w:space="0" w:color="4F81BD"/>
              <w:left w:val="nil"/>
              <w:bottom w:val="single" w:sz="8" w:space="0" w:color="4F81BD"/>
              <w:right w:val="nil"/>
            </w:tcBorders>
            <w:shd w:val="clear" w:color="auto" w:fill="auto"/>
            <w:vAlign w:val="center"/>
            <w:hideMark/>
          </w:tcPr>
          <w:p w14:paraId="7FD065BF" w14:textId="77777777" w:rsidR="000F566F" w:rsidRPr="004F2AC3" w:rsidRDefault="000F566F" w:rsidP="00F40AE3">
            <w:pPr>
              <w:spacing w:after="0" w:line="240" w:lineRule="auto"/>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Dhoma e Tregtisë dhe Industrisë, Tiranë</w:t>
            </w:r>
          </w:p>
        </w:tc>
        <w:tc>
          <w:tcPr>
            <w:tcW w:w="1068" w:type="dxa"/>
            <w:tcBorders>
              <w:top w:val="single" w:sz="8" w:space="0" w:color="4F81BD"/>
              <w:left w:val="nil"/>
              <w:bottom w:val="single" w:sz="8" w:space="0" w:color="4F81BD"/>
              <w:right w:val="nil"/>
            </w:tcBorders>
            <w:shd w:val="clear" w:color="auto" w:fill="auto"/>
            <w:noWrap/>
            <w:vAlign w:val="center"/>
            <w:hideMark/>
          </w:tcPr>
          <w:p w14:paraId="78DC42F3"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Shtator 2025</w:t>
            </w:r>
          </w:p>
        </w:tc>
        <w:tc>
          <w:tcPr>
            <w:tcW w:w="1173" w:type="dxa"/>
            <w:tcBorders>
              <w:top w:val="single" w:sz="8" w:space="0" w:color="4F81BD"/>
              <w:left w:val="nil"/>
              <w:bottom w:val="single" w:sz="8" w:space="0" w:color="4F81BD"/>
              <w:right w:val="single" w:sz="8" w:space="0" w:color="4F81BD"/>
            </w:tcBorders>
            <w:shd w:val="clear" w:color="auto" w:fill="auto"/>
            <w:noWrap/>
            <w:vAlign w:val="center"/>
            <w:hideMark/>
          </w:tcPr>
          <w:p w14:paraId="35015A24"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Mars 2028</w:t>
            </w:r>
          </w:p>
        </w:tc>
      </w:tr>
      <w:tr w:rsidR="000F566F" w:rsidRPr="004F2AC3" w14:paraId="21B775DA" w14:textId="77777777" w:rsidTr="00B66BF4">
        <w:trPr>
          <w:trHeight w:val="214"/>
        </w:trPr>
        <w:tc>
          <w:tcPr>
            <w:tcW w:w="4631" w:type="dxa"/>
            <w:tcBorders>
              <w:top w:val="single" w:sz="8" w:space="0" w:color="4F81BD"/>
              <w:left w:val="single" w:sz="8" w:space="0" w:color="4F81BD"/>
              <w:bottom w:val="single" w:sz="8" w:space="0" w:color="4F81BD"/>
              <w:right w:val="nil"/>
            </w:tcBorders>
            <w:shd w:val="clear" w:color="auto" w:fill="auto"/>
            <w:noWrap/>
            <w:vAlign w:val="center"/>
            <w:hideMark/>
          </w:tcPr>
          <w:p w14:paraId="67EE0B68" w14:textId="53B280EB" w:rsidR="000F566F" w:rsidRPr="004F2AC3" w:rsidRDefault="000F566F" w:rsidP="00F40AE3">
            <w:pPr>
              <w:spacing w:after="0" w:line="240" w:lineRule="auto"/>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 xml:space="preserve">Zëra më të Fuqishëm për Zgjedhje më të Mira </w:t>
            </w:r>
            <w:r w:rsidR="00AE7B10" w:rsidRPr="004F2AC3">
              <w:rPr>
                <w:rFonts w:ascii="Garamond" w:eastAsia="Times New Roman" w:hAnsi="Garamond" w:cs="Times New Roman"/>
                <w:color w:val="000000" w:themeColor="text1"/>
                <w:sz w:val="18"/>
                <w:szCs w:val="24"/>
              </w:rPr>
              <w:t>–</w:t>
            </w:r>
            <w:r w:rsidRPr="004F2AC3">
              <w:rPr>
                <w:rFonts w:ascii="Garamond" w:eastAsia="Times New Roman" w:hAnsi="Garamond" w:cs="Times New Roman"/>
                <w:color w:val="000000" w:themeColor="text1"/>
                <w:sz w:val="18"/>
                <w:szCs w:val="24"/>
              </w:rPr>
              <w:t xml:space="preserve"> Qendra Rinore për Ballkanin Perëndimor dhe Turqi</w:t>
            </w:r>
          </w:p>
        </w:tc>
        <w:tc>
          <w:tcPr>
            <w:tcW w:w="2048" w:type="dxa"/>
            <w:tcBorders>
              <w:top w:val="single" w:sz="8" w:space="0" w:color="4F81BD"/>
              <w:left w:val="nil"/>
              <w:bottom w:val="single" w:sz="8" w:space="0" w:color="4F81BD"/>
              <w:right w:val="nil"/>
            </w:tcBorders>
            <w:shd w:val="clear" w:color="auto" w:fill="auto"/>
            <w:noWrap/>
            <w:vAlign w:val="center"/>
            <w:hideMark/>
          </w:tcPr>
          <w:p w14:paraId="323877EA" w14:textId="77777777" w:rsidR="000F566F" w:rsidRPr="004F2AC3" w:rsidRDefault="000F566F" w:rsidP="00F40AE3">
            <w:pPr>
              <w:spacing w:after="0" w:line="240" w:lineRule="auto"/>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 xml:space="preserve">Fondacioni Ana dhe </w:t>
            </w:r>
            <w:r w:rsidRPr="004F2AC3">
              <w:rPr>
                <w:rFonts w:ascii="Garamond" w:eastAsia="Times New Roman" w:hAnsi="Garamond" w:cs="Times New Roman"/>
                <w:i/>
                <w:color w:val="000000" w:themeColor="text1"/>
                <w:sz w:val="18"/>
                <w:szCs w:val="24"/>
              </w:rPr>
              <w:t>Vlade Divac</w:t>
            </w:r>
            <w:r w:rsidRPr="004F2AC3">
              <w:rPr>
                <w:rFonts w:ascii="Garamond" w:eastAsia="Times New Roman" w:hAnsi="Garamond" w:cs="Times New Roman"/>
                <w:color w:val="000000" w:themeColor="text1"/>
                <w:sz w:val="18"/>
                <w:szCs w:val="24"/>
              </w:rPr>
              <w:t xml:space="preserve"> (Serbi)</w:t>
            </w:r>
          </w:p>
        </w:tc>
        <w:tc>
          <w:tcPr>
            <w:tcW w:w="1068" w:type="dxa"/>
            <w:tcBorders>
              <w:top w:val="single" w:sz="8" w:space="0" w:color="4F81BD"/>
              <w:left w:val="nil"/>
              <w:bottom w:val="single" w:sz="8" w:space="0" w:color="4F81BD"/>
              <w:right w:val="nil"/>
            </w:tcBorders>
            <w:shd w:val="clear" w:color="auto" w:fill="auto"/>
            <w:noWrap/>
            <w:vAlign w:val="center"/>
            <w:hideMark/>
          </w:tcPr>
          <w:p w14:paraId="3B5D0B66"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 xml:space="preserve">Nëntor 2024 </w:t>
            </w:r>
          </w:p>
        </w:tc>
        <w:tc>
          <w:tcPr>
            <w:tcW w:w="1173" w:type="dxa"/>
            <w:tcBorders>
              <w:top w:val="single" w:sz="8" w:space="0" w:color="4F81BD"/>
              <w:left w:val="nil"/>
              <w:bottom w:val="single" w:sz="8" w:space="0" w:color="4F81BD"/>
              <w:right w:val="single" w:sz="8" w:space="0" w:color="4F81BD"/>
            </w:tcBorders>
            <w:shd w:val="clear" w:color="auto" w:fill="auto"/>
            <w:noWrap/>
            <w:vAlign w:val="center"/>
            <w:hideMark/>
          </w:tcPr>
          <w:p w14:paraId="7B8B1527"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Nëntor 2027</w:t>
            </w:r>
          </w:p>
        </w:tc>
      </w:tr>
      <w:tr w:rsidR="000F566F" w:rsidRPr="004F2AC3" w14:paraId="2427AD39" w14:textId="77777777" w:rsidTr="00B66BF4">
        <w:trPr>
          <w:trHeight w:val="225"/>
        </w:trPr>
        <w:tc>
          <w:tcPr>
            <w:tcW w:w="4631" w:type="dxa"/>
            <w:tcBorders>
              <w:top w:val="single" w:sz="8" w:space="0" w:color="4F81BD"/>
              <w:left w:val="single" w:sz="8" w:space="0" w:color="4F81BD"/>
              <w:bottom w:val="single" w:sz="8" w:space="0" w:color="4F81BD"/>
              <w:right w:val="nil"/>
            </w:tcBorders>
            <w:shd w:val="clear" w:color="auto" w:fill="auto"/>
            <w:vAlign w:val="center"/>
            <w:hideMark/>
          </w:tcPr>
          <w:p w14:paraId="1630E944" w14:textId="77777777" w:rsidR="000F566F" w:rsidRPr="004F2AC3" w:rsidRDefault="000F566F" w:rsidP="00F40AE3">
            <w:pPr>
              <w:spacing w:after="0" w:line="240" w:lineRule="auto"/>
              <w:jc w:val="both"/>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Vrojtimi i Grupimeve të Treguesve të Shumëfishtë (MICS)</w:t>
            </w:r>
          </w:p>
        </w:tc>
        <w:tc>
          <w:tcPr>
            <w:tcW w:w="2048" w:type="dxa"/>
            <w:tcBorders>
              <w:top w:val="single" w:sz="8" w:space="0" w:color="4F81BD"/>
              <w:left w:val="nil"/>
              <w:bottom w:val="single" w:sz="8" w:space="0" w:color="4F81BD"/>
              <w:right w:val="nil"/>
            </w:tcBorders>
            <w:shd w:val="clear" w:color="auto" w:fill="auto"/>
            <w:vAlign w:val="center"/>
            <w:hideMark/>
          </w:tcPr>
          <w:p w14:paraId="6D718A9A" w14:textId="77777777" w:rsidR="000F566F" w:rsidRPr="004F2AC3" w:rsidRDefault="000F566F" w:rsidP="00F40AE3">
            <w:pPr>
              <w:spacing w:after="0" w:line="240" w:lineRule="auto"/>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UNICEF</w:t>
            </w:r>
          </w:p>
        </w:tc>
        <w:tc>
          <w:tcPr>
            <w:tcW w:w="1068" w:type="dxa"/>
            <w:tcBorders>
              <w:top w:val="single" w:sz="8" w:space="0" w:color="4F81BD"/>
              <w:left w:val="nil"/>
              <w:bottom w:val="single" w:sz="8" w:space="0" w:color="4F81BD"/>
              <w:right w:val="nil"/>
            </w:tcBorders>
            <w:shd w:val="clear" w:color="auto" w:fill="auto"/>
            <w:noWrap/>
            <w:vAlign w:val="center"/>
            <w:hideMark/>
          </w:tcPr>
          <w:p w14:paraId="37DF18ED"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Janar 2025</w:t>
            </w:r>
          </w:p>
        </w:tc>
        <w:tc>
          <w:tcPr>
            <w:tcW w:w="1173" w:type="dxa"/>
            <w:tcBorders>
              <w:top w:val="single" w:sz="8" w:space="0" w:color="4F81BD"/>
              <w:left w:val="nil"/>
              <w:bottom w:val="single" w:sz="8" w:space="0" w:color="4F81BD"/>
              <w:right w:val="single" w:sz="8" w:space="0" w:color="4F81BD"/>
            </w:tcBorders>
            <w:shd w:val="clear" w:color="auto" w:fill="auto"/>
            <w:noWrap/>
            <w:vAlign w:val="center"/>
            <w:hideMark/>
          </w:tcPr>
          <w:p w14:paraId="04CC13FE"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Shtator 2026</w:t>
            </w:r>
          </w:p>
        </w:tc>
      </w:tr>
      <w:tr w:rsidR="000F566F" w:rsidRPr="004F2AC3" w14:paraId="1B28A8AB" w14:textId="77777777" w:rsidTr="00B66BF4">
        <w:trPr>
          <w:trHeight w:val="225"/>
        </w:trPr>
        <w:tc>
          <w:tcPr>
            <w:tcW w:w="4631" w:type="dxa"/>
            <w:tcBorders>
              <w:top w:val="single" w:sz="8" w:space="0" w:color="4F81BD"/>
              <w:left w:val="single" w:sz="8" w:space="0" w:color="4F81BD"/>
              <w:bottom w:val="single" w:sz="8" w:space="0" w:color="4F81BD"/>
              <w:right w:val="nil"/>
            </w:tcBorders>
            <w:shd w:val="clear" w:color="auto" w:fill="auto"/>
            <w:noWrap/>
            <w:vAlign w:val="center"/>
            <w:hideMark/>
          </w:tcPr>
          <w:p w14:paraId="212D3528" w14:textId="3058B21C" w:rsidR="000F566F" w:rsidRPr="004F2AC3" w:rsidRDefault="00D32864" w:rsidP="00F40AE3">
            <w:pPr>
              <w:spacing w:after="0" w:line="240" w:lineRule="auto"/>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w:t>
            </w:r>
            <w:r w:rsidR="000F566F" w:rsidRPr="004F2AC3">
              <w:rPr>
                <w:rFonts w:ascii="Garamond" w:eastAsia="Times New Roman" w:hAnsi="Garamond" w:cs="Times New Roman"/>
                <w:color w:val="000000" w:themeColor="text1"/>
                <w:sz w:val="18"/>
                <w:szCs w:val="24"/>
              </w:rPr>
              <w:t xml:space="preserve">Statistikat Shqiptare në </w:t>
            </w:r>
            <w:r w:rsidR="00F12EB3" w:rsidRPr="004F2AC3">
              <w:rPr>
                <w:rFonts w:ascii="Garamond" w:eastAsia="Times New Roman" w:hAnsi="Garamond" w:cs="Times New Roman"/>
                <w:color w:val="000000" w:themeColor="text1"/>
                <w:sz w:val="18"/>
                <w:szCs w:val="24"/>
              </w:rPr>
              <w:t xml:space="preserve">përputhje </w:t>
            </w:r>
            <w:r w:rsidR="000F566F" w:rsidRPr="004F2AC3">
              <w:rPr>
                <w:rFonts w:ascii="Garamond" w:eastAsia="Times New Roman" w:hAnsi="Garamond" w:cs="Times New Roman"/>
                <w:color w:val="000000" w:themeColor="text1"/>
                <w:sz w:val="18"/>
                <w:szCs w:val="24"/>
              </w:rPr>
              <w:t xml:space="preserve">me </w:t>
            </w:r>
            <w:r w:rsidR="00F12EB3" w:rsidRPr="004F2AC3">
              <w:rPr>
                <w:rFonts w:ascii="Garamond" w:eastAsia="Times New Roman" w:hAnsi="Garamond" w:cs="Times New Roman"/>
                <w:color w:val="000000" w:themeColor="text1"/>
                <w:sz w:val="18"/>
                <w:szCs w:val="24"/>
              </w:rPr>
              <w:t xml:space="preserve">legjislacionin kombëtar </w:t>
            </w:r>
            <w:r w:rsidR="000F566F" w:rsidRPr="004F2AC3">
              <w:rPr>
                <w:rFonts w:ascii="Garamond" w:eastAsia="Times New Roman" w:hAnsi="Garamond" w:cs="Times New Roman"/>
                <w:color w:val="000000" w:themeColor="text1"/>
                <w:sz w:val="18"/>
                <w:szCs w:val="24"/>
              </w:rPr>
              <w:t xml:space="preserve">dhe </w:t>
            </w:r>
            <w:r w:rsidR="00F12EB3" w:rsidRPr="004F2AC3">
              <w:rPr>
                <w:rFonts w:ascii="Garamond" w:eastAsia="Times New Roman" w:hAnsi="Garamond" w:cs="Times New Roman"/>
                <w:color w:val="000000" w:themeColor="text1"/>
                <w:sz w:val="18"/>
                <w:szCs w:val="24"/>
              </w:rPr>
              <w:t xml:space="preserve">kërkesat </w:t>
            </w:r>
            <w:r w:rsidR="000F566F" w:rsidRPr="004F2AC3">
              <w:rPr>
                <w:rFonts w:ascii="Garamond" w:eastAsia="Times New Roman" w:hAnsi="Garamond" w:cs="Times New Roman"/>
                <w:color w:val="000000" w:themeColor="text1"/>
                <w:sz w:val="18"/>
                <w:szCs w:val="24"/>
              </w:rPr>
              <w:t>e BE-së</w:t>
            </w:r>
            <w:r w:rsidRPr="004F2AC3">
              <w:rPr>
                <w:rFonts w:ascii="Garamond" w:eastAsia="Times New Roman" w:hAnsi="Garamond" w:cs="Times New Roman"/>
                <w:color w:val="000000" w:themeColor="text1"/>
                <w:sz w:val="18"/>
                <w:szCs w:val="24"/>
              </w:rPr>
              <w:t>”</w:t>
            </w:r>
            <w:r w:rsidR="00AE7B10" w:rsidRPr="004F2AC3">
              <w:rPr>
                <w:rFonts w:ascii="Garamond" w:eastAsia="Times New Roman" w:hAnsi="Garamond" w:cs="Times New Roman"/>
                <w:color w:val="000000" w:themeColor="text1"/>
                <w:sz w:val="18"/>
                <w:szCs w:val="24"/>
              </w:rPr>
              <w:t xml:space="preserve"> – </w:t>
            </w:r>
            <w:r w:rsidR="000F566F" w:rsidRPr="004F2AC3">
              <w:rPr>
                <w:rFonts w:ascii="Garamond" w:eastAsia="Times New Roman" w:hAnsi="Garamond" w:cs="Times New Roman"/>
                <w:color w:val="000000" w:themeColor="text1"/>
                <w:sz w:val="18"/>
                <w:szCs w:val="24"/>
              </w:rPr>
              <w:t>SCB</w:t>
            </w:r>
          </w:p>
        </w:tc>
        <w:tc>
          <w:tcPr>
            <w:tcW w:w="2048" w:type="dxa"/>
            <w:tcBorders>
              <w:top w:val="single" w:sz="8" w:space="0" w:color="4F81BD"/>
              <w:left w:val="nil"/>
              <w:bottom w:val="single" w:sz="8" w:space="0" w:color="4F81BD"/>
              <w:right w:val="nil"/>
            </w:tcBorders>
            <w:shd w:val="clear" w:color="auto" w:fill="auto"/>
            <w:noWrap/>
            <w:vAlign w:val="center"/>
            <w:hideMark/>
          </w:tcPr>
          <w:p w14:paraId="5E5D0404" w14:textId="77777777" w:rsidR="000F566F" w:rsidRPr="004F2AC3" w:rsidRDefault="000F566F" w:rsidP="00F40AE3">
            <w:pPr>
              <w:spacing w:after="0" w:line="240" w:lineRule="auto"/>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SIDA+SCB</w:t>
            </w:r>
          </w:p>
        </w:tc>
        <w:tc>
          <w:tcPr>
            <w:tcW w:w="1068" w:type="dxa"/>
            <w:tcBorders>
              <w:top w:val="single" w:sz="8" w:space="0" w:color="4F81BD"/>
              <w:left w:val="nil"/>
              <w:bottom w:val="single" w:sz="8" w:space="0" w:color="4F81BD"/>
              <w:right w:val="nil"/>
            </w:tcBorders>
            <w:shd w:val="clear" w:color="auto" w:fill="auto"/>
            <w:vAlign w:val="center"/>
            <w:hideMark/>
          </w:tcPr>
          <w:p w14:paraId="316FE80B"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Shtator 2025</w:t>
            </w:r>
          </w:p>
        </w:tc>
        <w:tc>
          <w:tcPr>
            <w:tcW w:w="1173" w:type="dxa"/>
            <w:tcBorders>
              <w:top w:val="single" w:sz="8" w:space="0" w:color="4F81BD"/>
              <w:left w:val="nil"/>
              <w:bottom w:val="single" w:sz="8" w:space="0" w:color="4F81BD"/>
              <w:right w:val="single" w:sz="8" w:space="0" w:color="4F81BD"/>
            </w:tcBorders>
            <w:shd w:val="clear" w:color="auto" w:fill="auto"/>
            <w:vAlign w:val="center"/>
            <w:hideMark/>
          </w:tcPr>
          <w:p w14:paraId="2D25B8A0" w14:textId="77777777" w:rsidR="000F566F" w:rsidRPr="004F2AC3" w:rsidRDefault="000F566F" w:rsidP="00F40AE3">
            <w:pPr>
              <w:spacing w:after="0" w:line="240" w:lineRule="auto"/>
              <w:jc w:val="right"/>
              <w:rPr>
                <w:rFonts w:ascii="Garamond" w:eastAsia="Times New Roman" w:hAnsi="Garamond" w:cs="Times New Roman"/>
                <w:color w:val="000000" w:themeColor="text1"/>
                <w:sz w:val="18"/>
                <w:szCs w:val="24"/>
              </w:rPr>
            </w:pPr>
            <w:r w:rsidRPr="004F2AC3">
              <w:rPr>
                <w:rFonts w:ascii="Garamond" w:eastAsia="Times New Roman" w:hAnsi="Garamond" w:cs="Times New Roman"/>
                <w:color w:val="000000" w:themeColor="text1"/>
                <w:sz w:val="18"/>
                <w:szCs w:val="24"/>
              </w:rPr>
              <w:t>Gusht 2029</w:t>
            </w:r>
          </w:p>
        </w:tc>
      </w:tr>
    </w:tbl>
    <w:p w14:paraId="2874271E" w14:textId="44AB6CEE" w:rsidR="000F566F" w:rsidRPr="004F2AC3" w:rsidRDefault="000F566F" w:rsidP="00AE7B10">
      <w:pPr>
        <w:spacing w:after="0" w:line="240" w:lineRule="auto"/>
        <w:contextualSpacing/>
        <w:jc w:val="both"/>
        <w:rPr>
          <w:rFonts w:ascii="Garamond" w:eastAsia="Times New Roman" w:hAnsi="Garamond" w:cs="Times New Roman"/>
          <w:color w:val="000000" w:themeColor="text1"/>
          <w:sz w:val="18"/>
          <w:szCs w:val="24"/>
        </w:rPr>
      </w:pPr>
    </w:p>
    <w:p w14:paraId="0B0D8517" w14:textId="77777777" w:rsidR="000F566F" w:rsidRPr="004F2AC3" w:rsidRDefault="000F566F" w:rsidP="000F566F">
      <w:pPr>
        <w:keepNext/>
        <w:keepLines/>
        <w:spacing w:after="0" w:line="240" w:lineRule="auto"/>
        <w:ind w:firstLine="284"/>
        <w:outlineLvl w:val="1"/>
        <w:rPr>
          <w:rFonts w:ascii="Garamond" w:eastAsiaTheme="majorEastAsia" w:hAnsi="Garamond" w:cs="Times New Roman"/>
          <w:b/>
          <w:bCs/>
          <w:color w:val="000000" w:themeColor="text1"/>
          <w:sz w:val="24"/>
          <w:szCs w:val="24"/>
        </w:rPr>
      </w:pPr>
      <w:bookmarkStart w:id="53" w:name="_Toc215132195"/>
      <w:r w:rsidRPr="004F2AC3">
        <w:rPr>
          <w:rFonts w:ascii="Garamond" w:eastAsiaTheme="majorEastAsia" w:hAnsi="Garamond" w:cs="Times New Roman"/>
          <w:b/>
          <w:bCs/>
          <w:color w:val="000000" w:themeColor="text1"/>
          <w:sz w:val="24"/>
          <w:szCs w:val="24"/>
        </w:rPr>
        <w:t>VII. Objektivat e Zhvillimit të Qëndrueshëm (SDG)</w:t>
      </w:r>
      <w:bookmarkEnd w:id="53"/>
    </w:p>
    <w:p w14:paraId="20B77902" w14:textId="3A40DF71" w:rsidR="000F566F" w:rsidRPr="004F2AC3" w:rsidRDefault="000F566F" w:rsidP="000F566F">
      <w:pPr>
        <w:widowControl w:val="0"/>
        <w:autoSpaceDE w:val="0"/>
        <w:autoSpaceDN w:val="0"/>
        <w:spacing w:after="0" w:line="240" w:lineRule="auto"/>
        <w:ind w:firstLine="284"/>
        <w:jc w:val="both"/>
        <w:rPr>
          <w:rFonts w:ascii="Garamond" w:eastAsia="Aptos" w:hAnsi="Garamond" w:cs="Times New Roman"/>
          <w:color w:val="000000" w:themeColor="text1"/>
          <w:sz w:val="24"/>
          <w:szCs w:val="24"/>
        </w:rPr>
      </w:pPr>
      <w:r w:rsidRPr="004F2AC3">
        <w:rPr>
          <w:rFonts w:ascii="Garamond" w:eastAsia="Times New Roman" w:hAnsi="Garamond" w:cs="Times New Roman"/>
          <w:color w:val="000000" w:themeColor="text1"/>
          <w:sz w:val="24"/>
          <w:szCs w:val="24"/>
        </w:rPr>
        <w:t>INSTAT</w:t>
      </w:r>
      <w:r w:rsidR="00AE7B10"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prej disa vitesh ka tashmë në planin e punës, zbatimin e Agjendës 2030 për Objektivat e Zhvillimit të Qëndrueshëm, pasi statistikat janë instrumenti i zgjedhur për të vendosur bazën për monitorimin e zbatimit të këtyre qëllimeve në nivel komb</w:t>
      </w:r>
      <w:r w:rsidR="00F12EB3" w:rsidRPr="004F2AC3">
        <w:rPr>
          <w:rFonts w:ascii="Garamond" w:eastAsia="Times New Roman" w:hAnsi="Garamond" w:cs="Times New Roman"/>
          <w:color w:val="000000" w:themeColor="text1"/>
          <w:sz w:val="24"/>
          <w:szCs w:val="24"/>
        </w:rPr>
        <w:t>ëtar, rajonal dhe ndërkombëtar.</w:t>
      </w:r>
    </w:p>
    <w:p w14:paraId="39A9F74D" w14:textId="043ACEC6" w:rsidR="000F566F" w:rsidRPr="004F2AC3" w:rsidRDefault="000F566F" w:rsidP="000F566F">
      <w:pPr>
        <w:widowControl w:val="0"/>
        <w:autoSpaceDE w:val="0"/>
        <w:autoSpaceDN w:val="0"/>
        <w:spacing w:after="0" w:line="240" w:lineRule="auto"/>
        <w:ind w:firstLine="284"/>
        <w:jc w:val="both"/>
        <w:rPr>
          <w:rFonts w:ascii="Garamond" w:eastAsia="Times New Roman" w:hAnsi="Garamond" w:cs="Times New Roman"/>
          <w:color w:val="000000" w:themeColor="text1"/>
          <w:sz w:val="24"/>
          <w:szCs w:val="24"/>
          <w:u w:val="single"/>
        </w:rPr>
      </w:pPr>
      <w:r w:rsidRPr="004F2AC3">
        <w:rPr>
          <w:rFonts w:ascii="Garamond" w:eastAsia="Times New Roman" w:hAnsi="Garamond" w:cs="Times New Roman"/>
          <w:color w:val="000000" w:themeColor="text1"/>
          <w:sz w:val="24"/>
          <w:szCs w:val="24"/>
        </w:rPr>
        <w:t>INSTAT</w:t>
      </w:r>
      <w:r w:rsidR="00AE7B10"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mbetet i angazhuar në rritjen e numrit të indikatorëve bazuar në të dhënat e Censit të Popullsisë dhe Banesave 2023</w:t>
      </w:r>
      <w:r w:rsidR="00F12EB3"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dhe vrojtimeve të tjera të kryera. Parashikohen 8 indikatorë të shtuar kryesisht në Objektivat 1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Jo varfëri</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3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Shëndet i mirë dhe mirëq</w:t>
      </w:r>
      <w:r w:rsidR="00F12EB3" w:rsidRPr="004F2AC3">
        <w:rPr>
          <w:rFonts w:ascii="Garamond" w:eastAsia="Times New Roman" w:hAnsi="Garamond" w:cs="Times New Roman"/>
          <w:color w:val="000000" w:themeColor="text1"/>
          <w:sz w:val="24"/>
          <w:szCs w:val="24"/>
        </w:rPr>
        <w:t>e</w:t>
      </w:r>
      <w:r w:rsidRPr="004F2AC3">
        <w:rPr>
          <w:rFonts w:ascii="Garamond" w:eastAsia="Times New Roman" w:hAnsi="Garamond" w:cs="Times New Roman"/>
          <w:color w:val="000000" w:themeColor="text1"/>
          <w:sz w:val="24"/>
          <w:szCs w:val="24"/>
        </w:rPr>
        <w:t>nie</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4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Edukim cilësor</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5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Barazi gjinore</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6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Ujë i pastër dhe higjienë</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10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Pabarazi të reduktuara</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16 </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Paqe, drejtësi dhe institucione të forta</w:t>
      </w:r>
      <w:r w:rsidR="00D32864"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w:t>
      </w:r>
      <w:r w:rsidR="00684E85" w:rsidRPr="004F2AC3">
        <w:rPr>
          <w:rFonts w:ascii="Garamond" w:eastAsia="Times New Roman"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 xml:space="preserve">duke çuar numrin </w:t>
      </w:r>
      <w:r w:rsidR="00F12EB3" w:rsidRPr="004F2AC3">
        <w:rPr>
          <w:rFonts w:ascii="Garamond" w:eastAsia="Times New Roman" w:hAnsi="Garamond" w:cs="Times New Roman"/>
          <w:color w:val="000000" w:themeColor="text1"/>
          <w:sz w:val="24"/>
          <w:szCs w:val="24"/>
        </w:rPr>
        <w:t>e indikatorëve në 74.</w:t>
      </w:r>
    </w:p>
    <w:p w14:paraId="488119F1" w14:textId="56FF42E1" w:rsidR="000F566F" w:rsidRPr="004F2AC3" w:rsidRDefault="000F566F" w:rsidP="000F566F">
      <w:pPr>
        <w:spacing w:after="0" w:line="240" w:lineRule="auto"/>
        <w:ind w:firstLine="284"/>
        <w:contextualSpacing/>
        <w:jc w:val="both"/>
        <w:rPr>
          <w:rFonts w:ascii="Garamond" w:eastAsia="Times New Roman" w:hAnsi="Garamond" w:cs="Times New Roman"/>
          <w:color w:val="000000" w:themeColor="text1"/>
          <w:sz w:val="24"/>
          <w:szCs w:val="24"/>
        </w:rPr>
      </w:pPr>
      <w:r w:rsidRPr="004F2AC3">
        <w:rPr>
          <w:rFonts w:ascii="Garamond" w:eastAsia="Times New Roman" w:hAnsi="Garamond" w:cs="Times New Roman"/>
          <w:color w:val="000000" w:themeColor="text1"/>
          <w:sz w:val="24"/>
          <w:szCs w:val="24"/>
        </w:rPr>
        <w:t>Gjithashtu</w:t>
      </w:r>
      <w:r w:rsidR="00AE7B10"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INSTAT</w:t>
      </w:r>
      <w:r w:rsidR="00AE7B10"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vijon zbatimin e një projekt statistikor për Objektivat e Zhvillimit të Qëndrueshëm (OZHQ-të), pjesë e Programit IPA 2022 shumëpërfitues, i cili po </w:t>
      </w:r>
      <w:r w:rsidR="00F12EB3" w:rsidRPr="004F2AC3">
        <w:rPr>
          <w:rFonts w:ascii="Garamond" w:eastAsia="Times New Roman" w:hAnsi="Garamond" w:cs="Times New Roman"/>
          <w:color w:val="000000" w:themeColor="text1"/>
          <w:sz w:val="24"/>
          <w:szCs w:val="24"/>
        </w:rPr>
        <w:t>realizohet gjatë periudhës 2024–2</w:t>
      </w:r>
      <w:r w:rsidRPr="004F2AC3">
        <w:rPr>
          <w:rFonts w:ascii="Garamond" w:eastAsia="Times New Roman" w:hAnsi="Garamond" w:cs="Times New Roman"/>
          <w:color w:val="000000" w:themeColor="text1"/>
          <w:sz w:val="24"/>
          <w:szCs w:val="24"/>
        </w:rPr>
        <w:t>027 dhe do të ketë në fokus rritjen e numrit të indikatorëve në përputhje me Eurostat</w:t>
      </w:r>
      <w:r w:rsidR="00F12EB3" w:rsidRPr="004F2AC3">
        <w:rPr>
          <w:rFonts w:ascii="Garamond" w:eastAsia="Times New Roman" w:hAnsi="Garamond" w:cs="Times New Roman"/>
          <w:color w:val="000000" w:themeColor="text1"/>
          <w:sz w:val="24"/>
          <w:szCs w:val="24"/>
        </w:rPr>
        <w:t>in</w:t>
      </w:r>
      <w:r w:rsidRPr="004F2AC3">
        <w:rPr>
          <w:rFonts w:ascii="Garamond" w:eastAsia="Times New Roman" w:hAnsi="Garamond" w:cs="Times New Roman"/>
          <w:color w:val="000000" w:themeColor="text1"/>
          <w:sz w:val="24"/>
          <w:szCs w:val="24"/>
        </w:rPr>
        <w:t>, përmirësimin e dashbordit për OZHQ-të, paraqitjen në mënyrë sa më të kuptueshme</w:t>
      </w:r>
      <w:r w:rsidRPr="004F2AC3">
        <w:rPr>
          <w:rFonts w:ascii="Garamond" w:hAnsi="Garamond" w:cs="Times New Roman"/>
          <w:color w:val="000000" w:themeColor="text1"/>
          <w:sz w:val="24"/>
          <w:szCs w:val="24"/>
        </w:rPr>
        <w:t xml:space="preserve"> </w:t>
      </w:r>
      <w:r w:rsidRPr="004F2AC3">
        <w:rPr>
          <w:rFonts w:ascii="Garamond" w:eastAsia="Times New Roman" w:hAnsi="Garamond" w:cs="Times New Roman"/>
          <w:color w:val="000000" w:themeColor="text1"/>
          <w:sz w:val="24"/>
          <w:szCs w:val="24"/>
        </w:rPr>
        <w:t>të treguesve dhe komunikimin e tyre tek përdoruesit. Gjatë vitit 2026 planifikohet realizimi i publikimit të një aneksi statistikor për raportin vullnetar kombëtar, si dhe përditësimi i platformës së OZHQ-ve htt</w:t>
      </w:r>
      <w:r w:rsidR="00AE7B10" w:rsidRPr="004F2AC3">
        <w:rPr>
          <w:rFonts w:ascii="Garamond" w:eastAsia="Times New Roman" w:hAnsi="Garamond" w:cs="Times New Roman"/>
          <w:color w:val="000000" w:themeColor="text1"/>
          <w:sz w:val="24"/>
          <w:szCs w:val="24"/>
        </w:rPr>
        <w:t>ps://www.instat.gov.al/sq/sdgs/</w:t>
      </w:r>
      <w:r w:rsidRPr="004F2AC3">
        <w:rPr>
          <w:rFonts w:ascii="Garamond" w:eastAsia="Times New Roman" w:hAnsi="Garamond" w:cs="Times New Roman"/>
          <w:color w:val="000000" w:themeColor="text1"/>
          <w:sz w:val="24"/>
          <w:szCs w:val="24"/>
        </w:rPr>
        <w:t xml:space="preserve">. </w:t>
      </w:r>
    </w:p>
    <w:p w14:paraId="6FD4F87B" w14:textId="77777777" w:rsidR="000F566F" w:rsidRPr="004F2AC3" w:rsidRDefault="000F566F" w:rsidP="000F566F">
      <w:pPr>
        <w:pStyle w:val="Heading2"/>
        <w:shd w:val="clear" w:color="auto" w:fill="FFFFFF" w:themeFill="background1"/>
        <w:spacing w:before="0" w:line="240" w:lineRule="auto"/>
        <w:ind w:firstLine="284"/>
        <w:rPr>
          <w:rFonts w:ascii="Garamond" w:hAnsi="Garamond" w:cs="Times New Roman"/>
          <w:noProof w:val="0"/>
          <w:color w:val="000000" w:themeColor="text1"/>
          <w:sz w:val="24"/>
          <w:szCs w:val="24"/>
        </w:rPr>
      </w:pPr>
      <w:bookmarkStart w:id="54" w:name="_Toc215132196"/>
      <w:r w:rsidRPr="004F2AC3">
        <w:rPr>
          <w:rFonts w:ascii="Garamond" w:hAnsi="Garamond" w:cs="Times New Roman"/>
          <w:noProof w:val="0"/>
          <w:color w:val="000000" w:themeColor="text1"/>
          <w:sz w:val="24"/>
          <w:szCs w:val="24"/>
        </w:rPr>
        <w:t>VIII. Burimet financiare dhe njerëzore</w:t>
      </w:r>
      <w:bookmarkEnd w:id="54"/>
    </w:p>
    <w:p w14:paraId="584D7786" w14:textId="1F8B9DA7"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Për zbatimin e Planit Vjetor 2026 është parashikuar buxheti i INSTAT</w:t>
      </w:r>
      <w:r w:rsidR="00AE7B10" w:rsidRPr="004F2AC3">
        <w:rPr>
          <w:rFonts w:ascii="Garamond" w:hAnsi="Garamond" w:cs="Times New Roman"/>
          <w:color w:val="000000" w:themeColor="text1"/>
          <w:sz w:val="24"/>
          <w:szCs w:val="24"/>
        </w:rPr>
        <w:t>-it</w:t>
      </w:r>
      <w:r w:rsidRPr="004F2AC3">
        <w:rPr>
          <w:rFonts w:ascii="Garamond" w:hAnsi="Garamond" w:cs="Times New Roman"/>
          <w:color w:val="000000" w:themeColor="text1"/>
          <w:sz w:val="24"/>
          <w:szCs w:val="24"/>
        </w:rPr>
        <w:t xml:space="preserve"> i nevojshëm për realizimin aktivitet</w:t>
      </w:r>
      <w:r w:rsidR="00F12EB3" w:rsidRPr="004F2AC3">
        <w:rPr>
          <w:rFonts w:ascii="Garamond" w:hAnsi="Garamond" w:cs="Times New Roman"/>
          <w:color w:val="000000" w:themeColor="text1"/>
          <w:sz w:val="24"/>
          <w:szCs w:val="24"/>
        </w:rPr>
        <w:t>eve statistikore. Sipas projekt</w:t>
      </w:r>
      <w:r w:rsidRPr="004F2AC3">
        <w:rPr>
          <w:rFonts w:ascii="Garamond" w:hAnsi="Garamond" w:cs="Times New Roman"/>
          <w:color w:val="000000" w:themeColor="text1"/>
          <w:sz w:val="24"/>
          <w:szCs w:val="24"/>
        </w:rPr>
        <w:t xml:space="preserve">ligjit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Për buxhetin e vitit 2026</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është bërë shpërndarja e buxhetit për institucionin, ku për Institutin e Statistikave buxheti i parashikuar për vitin 2026 paraqitet në tabelën e mëposhtme:</w:t>
      </w:r>
    </w:p>
    <w:p w14:paraId="2C085240" w14:textId="096DA902"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p>
    <w:tbl>
      <w:tblPr>
        <w:tblW w:w="9095" w:type="dxa"/>
        <w:tblLook w:val="04A0" w:firstRow="1" w:lastRow="0" w:firstColumn="1" w:lastColumn="0" w:noHBand="0" w:noVBand="1"/>
      </w:tblPr>
      <w:tblGrid>
        <w:gridCol w:w="994"/>
        <w:gridCol w:w="994"/>
        <w:gridCol w:w="3709"/>
        <w:gridCol w:w="1816"/>
        <w:gridCol w:w="1582"/>
      </w:tblGrid>
      <w:tr w:rsidR="000F566F" w:rsidRPr="004F2AC3" w14:paraId="7DD81D57" w14:textId="77777777" w:rsidTr="00B66BF4">
        <w:trPr>
          <w:trHeight w:val="271"/>
        </w:trPr>
        <w:tc>
          <w:tcPr>
            <w:tcW w:w="9095" w:type="dxa"/>
            <w:gridSpan w:val="5"/>
            <w:tcBorders>
              <w:top w:val="nil"/>
              <w:left w:val="nil"/>
              <w:bottom w:val="single" w:sz="8" w:space="0" w:color="4F81BD"/>
              <w:right w:val="nil"/>
            </w:tcBorders>
            <w:shd w:val="clear" w:color="auto" w:fill="auto"/>
            <w:noWrap/>
            <w:vAlign w:val="center"/>
          </w:tcPr>
          <w:p w14:paraId="684D703F" w14:textId="142354AB" w:rsidR="000F566F" w:rsidRPr="004F2AC3" w:rsidRDefault="000F566F" w:rsidP="00F40AE3">
            <w:pPr>
              <w:spacing w:after="0" w:line="240" w:lineRule="auto"/>
              <w:rPr>
                <w:rFonts w:ascii="Garamond" w:eastAsia="Times New Roman" w:hAnsi="Garamond" w:cs="Times New Roman"/>
                <w:b/>
                <w:bCs/>
                <w:iCs/>
                <w:color w:val="000000" w:themeColor="text1"/>
                <w:sz w:val="24"/>
                <w:szCs w:val="24"/>
                <w:lang w:eastAsia="en-GB"/>
              </w:rPr>
            </w:pPr>
            <w:r w:rsidRPr="004F2AC3">
              <w:rPr>
                <w:rFonts w:ascii="Garamond" w:eastAsia="Times New Roman" w:hAnsi="Garamond" w:cs="Times New Roman"/>
                <w:b/>
                <w:bCs/>
                <w:iCs/>
                <w:color w:val="000000" w:themeColor="text1"/>
                <w:sz w:val="24"/>
                <w:szCs w:val="24"/>
                <w:lang w:eastAsia="en-GB"/>
              </w:rPr>
              <w:t>Tabela nr. 30</w:t>
            </w:r>
            <w:r w:rsidR="00AE7B10" w:rsidRPr="004F2AC3">
              <w:rPr>
                <w:rFonts w:ascii="Garamond" w:eastAsia="Times New Roman" w:hAnsi="Garamond" w:cs="Times New Roman"/>
                <w:b/>
                <w:bCs/>
                <w:iCs/>
                <w:color w:val="000000" w:themeColor="text1"/>
                <w:sz w:val="24"/>
                <w:szCs w:val="24"/>
                <w:lang w:eastAsia="en-GB"/>
              </w:rPr>
              <w:t>:</w:t>
            </w:r>
            <w:r w:rsidRPr="004F2AC3">
              <w:rPr>
                <w:rFonts w:ascii="Garamond" w:eastAsia="Times New Roman" w:hAnsi="Garamond" w:cs="Times New Roman"/>
                <w:b/>
                <w:bCs/>
                <w:iCs/>
                <w:color w:val="000000" w:themeColor="text1"/>
                <w:sz w:val="24"/>
                <w:szCs w:val="24"/>
                <w:lang w:eastAsia="en-GB"/>
              </w:rPr>
              <w:t xml:space="preserve"> Parashikimi i buxhetit të INSTAT</w:t>
            </w:r>
            <w:r w:rsidR="00AE7B10" w:rsidRPr="004F2AC3">
              <w:rPr>
                <w:rFonts w:ascii="Garamond" w:eastAsia="Times New Roman" w:hAnsi="Garamond" w:cs="Times New Roman"/>
                <w:b/>
                <w:bCs/>
                <w:iCs/>
                <w:color w:val="000000" w:themeColor="text1"/>
                <w:sz w:val="24"/>
                <w:szCs w:val="24"/>
                <w:lang w:eastAsia="en-GB"/>
              </w:rPr>
              <w:t>-it</w:t>
            </w:r>
            <w:r w:rsidRPr="004F2AC3">
              <w:rPr>
                <w:rFonts w:ascii="Garamond" w:eastAsia="Times New Roman" w:hAnsi="Garamond" w:cs="Times New Roman"/>
                <w:b/>
                <w:bCs/>
                <w:iCs/>
                <w:color w:val="000000" w:themeColor="text1"/>
                <w:sz w:val="24"/>
                <w:szCs w:val="24"/>
                <w:lang w:eastAsia="en-GB"/>
              </w:rPr>
              <w:t xml:space="preserve"> për çdo fushë statistikore, si dhe për zëra të tjerë</w:t>
            </w:r>
          </w:p>
        </w:tc>
      </w:tr>
      <w:tr w:rsidR="000F566F" w:rsidRPr="004F2AC3" w14:paraId="5E0D8306" w14:textId="77777777" w:rsidTr="00B66BF4">
        <w:trPr>
          <w:trHeight w:val="271"/>
        </w:trPr>
        <w:tc>
          <w:tcPr>
            <w:tcW w:w="7513" w:type="dxa"/>
            <w:gridSpan w:val="4"/>
            <w:tcBorders>
              <w:top w:val="single" w:sz="8" w:space="0" w:color="4F81BD"/>
              <w:left w:val="single" w:sz="8" w:space="0" w:color="4F81BD"/>
              <w:bottom w:val="single" w:sz="8" w:space="0" w:color="4F81BD"/>
              <w:right w:val="nil"/>
            </w:tcBorders>
            <w:shd w:val="clear" w:color="000000" w:fill="4F81BD"/>
            <w:vAlign w:val="center"/>
            <w:hideMark/>
          </w:tcPr>
          <w:p w14:paraId="66EA877E"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4"/>
                <w:lang w:eastAsia="en-GB"/>
              </w:rPr>
            </w:pPr>
            <w:r w:rsidRPr="004F2AC3">
              <w:rPr>
                <w:rFonts w:ascii="Garamond" w:eastAsia="Times New Roman" w:hAnsi="Garamond" w:cs="Times New Roman"/>
                <w:b/>
                <w:bCs/>
                <w:color w:val="000000" w:themeColor="text1"/>
                <w:sz w:val="20"/>
                <w:szCs w:val="24"/>
                <w:lang w:eastAsia="en-GB"/>
              </w:rPr>
              <w:t>Produkti</w:t>
            </w:r>
          </w:p>
        </w:tc>
        <w:tc>
          <w:tcPr>
            <w:tcW w:w="1582" w:type="dxa"/>
            <w:tcBorders>
              <w:top w:val="nil"/>
              <w:left w:val="nil"/>
              <w:bottom w:val="nil"/>
              <w:right w:val="single" w:sz="8" w:space="0" w:color="4F81BD"/>
            </w:tcBorders>
            <w:shd w:val="clear" w:color="000000" w:fill="4F81BD"/>
            <w:noWrap/>
            <w:vAlign w:val="center"/>
            <w:hideMark/>
          </w:tcPr>
          <w:p w14:paraId="4E5CD466" w14:textId="77777777" w:rsidR="000F566F" w:rsidRPr="004F2AC3" w:rsidRDefault="000F566F" w:rsidP="00F40AE3">
            <w:pPr>
              <w:spacing w:after="0" w:line="240" w:lineRule="auto"/>
              <w:jc w:val="right"/>
              <w:rPr>
                <w:rFonts w:ascii="Garamond" w:eastAsia="Times New Roman" w:hAnsi="Garamond" w:cs="Times New Roman"/>
                <w:b/>
                <w:bCs/>
                <w:color w:val="000000" w:themeColor="text1"/>
                <w:sz w:val="20"/>
                <w:szCs w:val="24"/>
                <w:lang w:eastAsia="en-GB"/>
              </w:rPr>
            </w:pPr>
            <w:r w:rsidRPr="004F2AC3">
              <w:rPr>
                <w:rFonts w:ascii="Garamond" w:eastAsia="Times New Roman" w:hAnsi="Garamond" w:cs="Times New Roman"/>
                <w:b/>
                <w:bCs/>
                <w:color w:val="000000" w:themeColor="text1"/>
                <w:sz w:val="20"/>
                <w:szCs w:val="24"/>
                <w:lang w:eastAsia="en-GB"/>
              </w:rPr>
              <w:t xml:space="preserve">Viti 2026 </w:t>
            </w:r>
          </w:p>
          <w:p w14:paraId="5A4D2EE9" w14:textId="77777777" w:rsidR="000F566F" w:rsidRPr="004F2AC3" w:rsidRDefault="000F566F" w:rsidP="00F40AE3">
            <w:pPr>
              <w:spacing w:after="0" w:line="240" w:lineRule="auto"/>
              <w:jc w:val="right"/>
              <w:rPr>
                <w:rFonts w:ascii="Garamond" w:eastAsia="Times New Roman" w:hAnsi="Garamond" w:cs="Times New Roman"/>
                <w:b/>
                <w:bCs/>
                <w:color w:val="000000" w:themeColor="text1"/>
                <w:sz w:val="20"/>
                <w:szCs w:val="24"/>
                <w:lang w:eastAsia="en-GB"/>
              </w:rPr>
            </w:pPr>
            <w:r w:rsidRPr="004F2AC3">
              <w:rPr>
                <w:rFonts w:ascii="Garamond" w:eastAsia="Times New Roman" w:hAnsi="Garamond" w:cs="Times New Roman"/>
                <w:b/>
                <w:bCs/>
                <w:color w:val="000000" w:themeColor="text1"/>
                <w:sz w:val="20"/>
                <w:szCs w:val="24"/>
                <w:lang w:eastAsia="en-GB"/>
              </w:rPr>
              <w:t>000/lekë</w:t>
            </w:r>
          </w:p>
        </w:tc>
      </w:tr>
      <w:tr w:rsidR="000F566F" w:rsidRPr="004F2AC3" w14:paraId="76BD19FF" w14:textId="77777777" w:rsidTr="00B66BF4">
        <w:trPr>
          <w:trHeight w:val="271"/>
        </w:trPr>
        <w:tc>
          <w:tcPr>
            <w:tcW w:w="994" w:type="dxa"/>
            <w:tcBorders>
              <w:top w:val="nil"/>
              <w:left w:val="single" w:sz="8" w:space="0" w:color="4F81BD"/>
              <w:bottom w:val="single" w:sz="8" w:space="0" w:color="4F81BD"/>
              <w:right w:val="nil"/>
            </w:tcBorders>
            <w:shd w:val="clear" w:color="auto" w:fill="auto"/>
            <w:noWrap/>
            <w:vAlign w:val="center"/>
            <w:hideMark/>
          </w:tcPr>
          <w:p w14:paraId="476869FA"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1</w:t>
            </w:r>
          </w:p>
        </w:tc>
        <w:tc>
          <w:tcPr>
            <w:tcW w:w="6519" w:type="dxa"/>
            <w:gridSpan w:val="3"/>
            <w:tcBorders>
              <w:top w:val="single" w:sz="8" w:space="0" w:color="4F81BD"/>
              <w:left w:val="nil"/>
              <w:bottom w:val="single" w:sz="8" w:space="0" w:color="4F81BD"/>
              <w:right w:val="nil"/>
            </w:tcBorders>
            <w:shd w:val="clear" w:color="auto" w:fill="auto"/>
            <w:noWrap/>
            <w:vAlign w:val="center"/>
            <w:hideMark/>
          </w:tcPr>
          <w:p w14:paraId="0BB66BC6" w14:textId="53AF8CEB" w:rsidR="000F566F" w:rsidRPr="004F2AC3" w:rsidRDefault="000F566F" w:rsidP="00F40AE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Njësi statistikore për t</w:t>
            </w:r>
            <w:r w:rsidR="00F12EB3" w:rsidRPr="004F2AC3">
              <w:rPr>
                <w:rFonts w:ascii="Garamond" w:eastAsia="Times New Roman" w:hAnsi="Garamond" w:cs="Times New Roman"/>
                <w:color w:val="000000" w:themeColor="text1"/>
                <w:sz w:val="20"/>
                <w:szCs w:val="24"/>
                <w:lang w:eastAsia="en-GB"/>
              </w:rPr>
              <w:t>’</w:t>
            </w:r>
            <w:r w:rsidRPr="004F2AC3">
              <w:rPr>
                <w:rFonts w:ascii="Garamond" w:eastAsia="Times New Roman" w:hAnsi="Garamond" w:cs="Times New Roman"/>
                <w:color w:val="000000" w:themeColor="text1"/>
                <w:sz w:val="20"/>
                <w:szCs w:val="24"/>
                <w:lang w:eastAsia="en-GB"/>
              </w:rPr>
              <w:t>u vrojtuar</w:t>
            </w:r>
            <w:r w:rsidR="00F12EB3" w:rsidRPr="004F2AC3">
              <w:rPr>
                <w:rFonts w:ascii="Garamond" w:eastAsia="Times New Roman" w:hAnsi="Garamond" w:cs="Times New Roman"/>
                <w:color w:val="000000" w:themeColor="text1"/>
                <w:sz w:val="20"/>
                <w:szCs w:val="24"/>
                <w:lang w:eastAsia="en-GB"/>
              </w:rPr>
              <w:t>:</w:t>
            </w:r>
          </w:p>
        </w:tc>
        <w:tc>
          <w:tcPr>
            <w:tcW w:w="1582" w:type="dxa"/>
            <w:tcBorders>
              <w:top w:val="single" w:sz="8" w:space="0" w:color="4F81BD"/>
              <w:left w:val="nil"/>
              <w:bottom w:val="single" w:sz="8" w:space="0" w:color="4F81BD"/>
              <w:right w:val="single" w:sz="8" w:space="0" w:color="4F81BD"/>
            </w:tcBorders>
            <w:shd w:val="clear" w:color="000000" w:fill="FFFFFF"/>
            <w:noWrap/>
            <w:vAlign w:val="center"/>
            <w:hideMark/>
          </w:tcPr>
          <w:p w14:paraId="70513722"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hAnsi="Garamond" w:cs="Times New Roman"/>
                <w:color w:val="000000" w:themeColor="text1"/>
                <w:sz w:val="20"/>
                <w:szCs w:val="24"/>
              </w:rPr>
              <w:t>441,695</w:t>
            </w:r>
          </w:p>
        </w:tc>
      </w:tr>
      <w:tr w:rsidR="000F566F" w:rsidRPr="004F2AC3" w14:paraId="57EA7B74" w14:textId="77777777" w:rsidTr="00B66BF4">
        <w:trPr>
          <w:trHeight w:val="271"/>
        </w:trPr>
        <w:tc>
          <w:tcPr>
            <w:tcW w:w="994" w:type="dxa"/>
            <w:tcBorders>
              <w:top w:val="nil"/>
              <w:left w:val="single" w:sz="8" w:space="0" w:color="4F81BD"/>
              <w:bottom w:val="nil"/>
              <w:right w:val="nil"/>
            </w:tcBorders>
            <w:shd w:val="clear" w:color="auto" w:fill="auto"/>
            <w:noWrap/>
            <w:vAlign w:val="center"/>
            <w:hideMark/>
          </w:tcPr>
          <w:p w14:paraId="4F9B3536" w14:textId="1EDF9BD0" w:rsidR="000F566F" w:rsidRPr="004F2AC3" w:rsidRDefault="00F12EB3" w:rsidP="00F40AE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a)</w:t>
            </w:r>
          </w:p>
        </w:tc>
        <w:tc>
          <w:tcPr>
            <w:tcW w:w="6519" w:type="dxa"/>
            <w:gridSpan w:val="3"/>
            <w:tcBorders>
              <w:top w:val="single" w:sz="8" w:space="0" w:color="4F81BD"/>
              <w:left w:val="nil"/>
              <w:bottom w:val="single" w:sz="8" w:space="0" w:color="4F81BD"/>
              <w:right w:val="nil"/>
            </w:tcBorders>
            <w:shd w:val="clear" w:color="auto" w:fill="auto"/>
            <w:noWrap/>
            <w:vAlign w:val="center"/>
            <w:hideMark/>
          </w:tcPr>
          <w:p w14:paraId="10552FE9" w14:textId="6157C559" w:rsidR="000F566F" w:rsidRPr="004F2AC3" w:rsidRDefault="000F566F" w:rsidP="00F40AE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Statistikat Sociale dhe Demografike</w:t>
            </w:r>
            <w:r w:rsidR="00F12EB3" w:rsidRPr="004F2AC3">
              <w:rPr>
                <w:rFonts w:ascii="Garamond" w:eastAsia="Times New Roman" w:hAnsi="Garamond" w:cs="Times New Roman"/>
                <w:color w:val="000000" w:themeColor="text1"/>
                <w:sz w:val="20"/>
                <w:szCs w:val="24"/>
                <w:lang w:eastAsia="en-GB"/>
              </w:rPr>
              <w:t>;</w:t>
            </w:r>
          </w:p>
        </w:tc>
        <w:tc>
          <w:tcPr>
            <w:tcW w:w="1582" w:type="dxa"/>
            <w:tcBorders>
              <w:top w:val="nil"/>
              <w:left w:val="nil"/>
              <w:bottom w:val="nil"/>
              <w:right w:val="single" w:sz="8" w:space="0" w:color="4F81BD"/>
            </w:tcBorders>
            <w:shd w:val="clear" w:color="000000" w:fill="FFFFFF"/>
            <w:noWrap/>
            <w:vAlign w:val="center"/>
            <w:hideMark/>
          </w:tcPr>
          <w:p w14:paraId="2F1BC893"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hAnsi="Garamond" w:cs="Times New Roman"/>
                <w:color w:val="000000" w:themeColor="text1"/>
                <w:sz w:val="20"/>
                <w:szCs w:val="24"/>
              </w:rPr>
              <w:t>219,546</w:t>
            </w:r>
          </w:p>
        </w:tc>
      </w:tr>
      <w:tr w:rsidR="000F566F" w:rsidRPr="004F2AC3" w14:paraId="172B806C" w14:textId="77777777" w:rsidTr="00B66BF4">
        <w:trPr>
          <w:trHeight w:val="271"/>
        </w:trPr>
        <w:tc>
          <w:tcPr>
            <w:tcW w:w="994" w:type="dxa"/>
            <w:tcBorders>
              <w:top w:val="single" w:sz="8" w:space="0" w:color="4F81BD"/>
              <w:left w:val="single" w:sz="8" w:space="0" w:color="4F81BD"/>
              <w:bottom w:val="single" w:sz="8" w:space="0" w:color="4F81BD"/>
              <w:right w:val="nil"/>
            </w:tcBorders>
            <w:shd w:val="clear" w:color="auto" w:fill="auto"/>
            <w:noWrap/>
            <w:vAlign w:val="center"/>
            <w:hideMark/>
          </w:tcPr>
          <w:p w14:paraId="598EF8FD" w14:textId="5085B5E3" w:rsidR="000F566F" w:rsidRPr="004F2AC3" w:rsidRDefault="000F566F" w:rsidP="00F12EB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b</w:t>
            </w:r>
            <w:r w:rsidR="00F12EB3" w:rsidRPr="004F2AC3">
              <w:rPr>
                <w:rFonts w:ascii="Garamond" w:eastAsia="Times New Roman" w:hAnsi="Garamond" w:cs="Times New Roman"/>
                <w:color w:val="000000" w:themeColor="text1"/>
                <w:sz w:val="20"/>
                <w:szCs w:val="24"/>
                <w:lang w:eastAsia="en-GB"/>
              </w:rPr>
              <w:t>)</w:t>
            </w:r>
          </w:p>
        </w:tc>
        <w:tc>
          <w:tcPr>
            <w:tcW w:w="6519" w:type="dxa"/>
            <w:gridSpan w:val="3"/>
            <w:tcBorders>
              <w:top w:val="single" w:sz="8" w:space="0" w:color="4F81BD"/>
              <w:left w:val="nil"/>
              <w:bottom w:val="single" w:sz="8" w:space="0" w:color="4F81BD"/>
              <w:right w:val="nil"/>
            </w:tcBorders>
            <w:shd w:val="clear" w:color="auto" w:fill="auto"/>
            <w:noWrap/>
            <w:vAlign w:val="center"/>
            <w:hideMark/>
          </w:tcPr>
          <w:p w14:paraId="5CF2F8AC" w14:textId="3F917B89" w:rsidR="000F566F" w:rsidRPr="004F2AC3" w:rsidRDefault="000F566F" w:rsidP="00F40AE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Statistikat Ekonomike</w:t>
            </w:r>
            <w:r w:rsidR="00F12EB3" w:rsidRPr="004F2AC3">
              <w:rPr>
                <w:rFonts w:ascii="Garamond" w:eastAsia="Times New Roman" w:hAnsi="Garamond" w:cs="Times New Roman"/>
                <w:color w:val="000000" w:themeColor="text1"/>
                <w:sz w:val="20"/>
                <w:szCs w:val="24"/>
                <w:lang w:eastAsia="en-GB"/>
              </w:rPr>
              <w:t>;</w:t>
            </w:r>
          </w:p>
        </w:tc>
        <w:tc>
          <w:tcPr>
            <w:tcW w:w="1582" w:type="dxa"/>
            <w:tcBorders>
              <w:top w:val="single" w:sz="8" w:space="0" w:color="4F81BD"/>
              <w:left w:val="nil"/>
              <w:bottom w:val="single" w:sz="8" w:space="0" w:color="4F81BD"/>
              <w:right w:val="single" w:sz="8" w:space="0" w:color="4F81BD"/>
            </w:tcBorders>
            <w:shd w:val="clear" w:color="000000" w:fill="FFFFFF"/>
            <w:noWrap/>
            <w:vAlign w:val="center"/>
            <w:hideMark/>
          </w:tcPr>
          <w:p w14:paraId="703AB480"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hAnsi="Garamond" w:cs="Times New Roman"/>
                <w:color w:val="000000" w:themeColor="text1"/>
                <w:sz w:val="20"/>
                <w:szCs w:val="24"/>
              </w:rPr>
              <w:t>88,732</w:t>
            </w:r>
          </w:p>
        </w:tc>
      </w:tr>
      <w:tr w:rsidR="000F566F" w:rsidRPr="004F2AC3" w14:paraId="5572498F" w14:textId="77777777" w:rsidTr="00B66BF4">
        <w:trPr>
          <w:trHeight w:val="271"/>
        </w:trPr>
        <w:tc>
          <w:tcPr>
            <w:tcW w:w="994" w:type="dxa"/>
            <w:tcBorders>
              <w:top w:val="nil"/>
              <w:left w:val="single" w:sz="8" w:space="0" w:color="4F81BD"/>
              <w:bottom w:val="nil"/>
              <w:right w:val="nil"/>
            </w:tcBorders>
            <w:shd w:val="clear" w:color="auto" w:fill="auto"/>
            <w:noWrap/>
            <w:vAlign w:val="center"/>
            <w:hideMark/>
          </w:tcPr>
          <w:p w14:paraId="7AEA74B1" w14:textId="36FDC174" w:rsidR="000F566F" w:rsidRPr="004F2AC3" w:rsidRDefault="000F566F" w:rsidP="00F12EB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c</w:t>
            </w:r>
            <w:r w:rsidR="00F12EB3" w:rsidRPr="004F2AC3">
              <w:rPr>
                <w:rFonts w:ascii="Garamond" w:eastAsia="Times New Roman" w:hAnsi="Garamond" w:cs="Times New Roman"/>
                <w:color w:val="000000" w:themeColor="text1"/>
                <w:sz w:val="20"/>
                <w:szCs w:val="24"/>
                <w:lang w:eastAsia="en-GB"/>
              </w:rPr>
              <w:t>)</w:t>
            </w:r>
          </w:p>
        </w:tc>
        <w:tc>
          <w:tcPr>
            <w:tcW w:w="6519" w:type="dxa"/>
            <w:gridSpan w:val="3"/>
            <w:tcBorders>
              <w:top w:val="single" w:sz="8" w:space="0" w:color="4F81BD"/>
              <w:left w:val="nil"/>
              <w:bottom w:val="single" w:sz="8" w:space="0" w:color="4F81BD"/>
              <w:right w:val="nil"/>
            </w:tcBorders>
            <w:shd w:val="clear" w:color="auto" w:fill="auto"/>
            <w:noWrap/>
            <w:vAlign w:val="center"/>
            <w:hideMark/>
          </w:tcPr>
          <w:p w14:paraId="0F8B92C1" w14:textId="3DE4B93A" w:rsidR="000F566F" w:rsidRPr="004F2AC3" w:rsidRDefault="000F566F" w:rsidP="00F40AE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Statistikat Sektoriale</w:t>
            </w:r>
            <w:r w:rsidR="00F12EB3" w:rsidRPr="004F2AC3">
              <w:rPr>
                <w:rFonts w:ascii="Garamond" w:eastAsia="Times New Roman" w:hAnsi="Garamond" w:cs="Times New Roman"/>
                <w:color w:val="000000" w:themeColor="text1"/>
                <w:sz w:val="20"/>
                <w:szCs w:val="24"/>
                <w:lang w:eastAsia="en-GB"/>
              </w:rPr>
              <w:t>;</w:t>
            </w:r>
          </w:p>
        </w:tc>
        <w:tc>
          <w:tcPr>
            <w:tcW w:w="1582" w:type="dxa"/>
            <w:tcBorders>
              <w:top w:val="nil"/>
              <w:left w:val="nil"/>
              <w:bottom w:val="nil"/>
              <w:right w:val="single" w:sz="8" w:space="0" w:color="4F81BD"/>
            </w:tcBorders>
            <w:shd w:val="clear" w:color="000000" w:fill="FFFFFF"/>
            <w:noWrap/>
            <w:vAlign w:val="center"/>
            <w:hideMark/>
          </w:tcPr>
          <w:p w14:paraId="7889B1AE"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hAnsi="Garamond" w:cs="Times New Roman"/>
                <w:color w:val="000000" w:themeColor="text1"/>
                <w:sz w:val="20"/>
                <w:szCs w:val="24"/>
              </w:rPr>
              <w:t>69,443</w:t>
            </w:r>
          </w:p>
        </w:tc>
      </w:tr>
      <w:tr w:rsidR="000F566F" w:rsidRPr="004F2AC3" w14:paraId="3AB7B42D" w14:textId="77777777" w:rsidTr="00B66BF4">
        <w:trPr>
          <w:trHeight w:val="271"/>
        </w:trPr>
        <w:tc>
          <w:tcPr>
            <w:tcW w:w="994" w:type="dxa"/>
            <w:tcBorders>
              <w:top w:val="single" w:sz="8" w:space="0" w:color="4F81BD"/>
              <w:left w:val="single" w:sz="8" w:space="0" w:color="4F81BD"/>
              <w:bottom w:val="single" w:sz="8" w:space="0" w:color="4F81BD"/>
              <w:right w:val="nil"/>
            </w:tcBorders>
            <w:shd w:val="clear" w:color="auto" w:fill="auto"/>
            <w:noWrap/>
            <w:vAlign w:val="center"/>
            <w:hideMark/>
          </w:tcPr>
          <w:p w14:paraId="1C7CDBC7" w14:textId="13808152" w:rsidR="000F566F" w:rsidRPr="004F2AC3" w:rsidRDefault="000F566F" w:rsidP="00F12EB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d</w:t>
            </w:r>
            <w:r w:rsidR="00F12EB3" w:rsidRPr="004F2AC3">
              <w:rPr>
                <w:rFonts w:ascii="Garamond" w:eastAsia="Times New Roman" w:hAnsi="Garamond" w:cs="Times New Roman"/>
                <w:color w:val="000000" w:themeColor="text1"/>
                <w:sz w:val="20"/>
                <w:szCs w:val="24"/>
                <w:lang w:eastAsia="en-GB"/>
              </w:rPr>
              <w:t>)</w:t>
            </w:r>
          </w:p>
        </w:tc>
        <w:tc>
          <w:tcPr>
            <w:tcW w:w="6519" w:type="dxa"/>
            <w:gridSpan w:val="3"/>
            <w:tcBorders>
              <w:top w:val="single" w:sz="8" w:space="0" w:color="4F81BD"/>
              <w:left w:val="nil"/>
              <w:bottom w:val="single" w:sz="8" w:space="0" w:color="4F81BD"/>
              <w:right w:val="nil"/>
            </w:tcBorders>
            <w:shd w:val="clear" w:color="auto" w:fill="auto"/>
            <w:noWrap/>
            <w:vAlign w:val="center"/>
            <w:hideMark/>
          </w:tcPr>
          <w:p w14:paraId="7D081930" w14:textId="22D738DC" w:rsidR="000F566F" w:rsidRPr="004F2AC3" w:rsidRDefault="000F566F" w:rsidP="00F40AE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Statistikat e Mjedisit dhe Multidomain</w:t>
            </w:r>
            <w:r w:rsidR="00F12EB3" w:rsidRPr="004F2AC3">
              <w:rPr>
                <w:rFonts w:ascii="Garamond" w:eastAsia="Times New Roman" w:hAnsi="Garamond" w:cs="Times New Roman"/>
                <w:color w:val="000000" w:themeColor="text1"/>
                <w:sz w:val="20"/>
                <w:szCs w:val="24"/>
                <w:lang w:eastAsia="en-GB"/>
              </w:rPr>
              <w:t>;</w:t>
            </w:r>
          </w:p>
        </w:tc>
        <w:tc>
          <w:tcPr>
            <w:tcW w:w="1582" w:type="dxa"/>
            <w:tcBorders>
              <w:top w:val="single" w:sz="8" w:space="0" w:color="4F81BD"/>
              <w:left w:val="nil"/>
              <w:bottom w:val="single" w:sz="8" w:space="0" w:color="4F81BD"/>
              <w:right w:val="single" w:sz="8" w:space="0" w:color="4F81BD"/>
            </w:tcBorders>
            <w:shd w:val="clear" w:color="000000" w:fill="FFFFFF"/>
            <w:noWrap/>
            <w:vAlign w:val="center"/>
            <w:hideMark/>
          </w:tcPr>
          <w:p w14:paraId="3ABB339C"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hAnsi="Garamond" w:cs="Times New Roman"/>
                <w:color w:val="000000" w:themeColor="text1"/>
                <w:sz w:val="20"/>
                <w:szCs w:val="24"/>
              </w:rPr>
              <w:t>7,716</w:t>
            </w:r>
          </w:p>
        </w:tc>
      </w:tr>
      <w:tr w:rsidR="000F566F" w:rsidRPr="004F2AC3" w14:paraId="1D3F3FF8" w14:textId="77777777" w:rsidTr="00B66BF4">
        <w:trPr>
          <w:trHeight w:val="271"/>
        </w:trPr>
        <w:tc>
          <w:tcPr>
            <w:tcW w:w="994" w:type="dxa"/>
            <w:tcBorders>
              <w:top w:val="nil"/>
              <w:left w:val="single" w:sz="8" w:space="0" w:color="4F81BD"/>
              <w:bottom w:val="nil"/>
              <w:right w:val="nil"/>
            </w:tcBorders>
            <w:shd w:val="clear" w:color="auto" w:fill="auto"/>
            <w:noWrap/>
            <w:vAlign w:val="center"/>
            <w:hideMark/>
          </w:tcPr>
          <w:p w14:paraId="3487E748" w14:textId="146D96B7" w:rsidR="000F566F" w:rsidRPr="004F2AC3" w:rsidRDefault="000F566F" w:rsidP="00F12EB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e</w:t>
            </w:r>
            <w:r w:rsidR="00F12EB3" w:rsidRPr="004F2AC3">
              <w:rPr>
                <w:rFonts w:ascii="Garamond" w:eastAsia="Times New Roman" w:hAnsi="Garamond" w:cs="Times New Roman"/>
                <w:color w:val="000000" w:themeColor="text1"/>
                <w:sz w:val="20"/>
                <w:szCs w:val="24"/>
                <w:lang w:eastAsia="en-GB"/>
              </w:rPr>
              <w:t>)</w:t>
            </w:r>
          </w:p>
        </w:tc>
        <w:tc>
          <w:tcPr>
            <w:tcW w:w="6519" w:type="dxa"/>
            <w:gridSpan w:val="3"/>
            <w:tcBorders>
              <w:top w:val="single" w:sz="8" w:space="0" w:color="4F81BD"/>
              <w:left w:val="nil"/>
              <w:bottom w:val="single" w:sz="8" w:space="0" w:color="4F81BD"/>
              <w:right w:val="nil"/>
            </w:tcBorders>
            <w:shd w:val="clear" w:color="auto" w:fill="auto"/>
            <w:noWrap/>
            <w:vAlign w:val="center"/>
            <w:hideMark/>
          </w:tcPr>
          <w:p w14:paraId="5CC09331" w14:textId="1A831724" w:rsidR="000F566F" w:rsidRPr="004F2AC3" w:rsidRDefault="000F566F" w:rsidP="00F40AE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Shërbime për të tretë (B.SH)</w:t>
            </w:r>
            <w:r w:rsidR="00F12EB3" w:rsidRPr="004F2AC3">
              <w:rPr>
                <w:rFonts w:ascii="Garamond" w:eastAsia="Times New Roman" w:hAnsi="Garamond" w:cs="Times New Roman"/>
                <w:color w:val="000000" w:themeColor="text1"/>
                <w:sz w:val="20"/>
                <w:szCs w:val="24"/>
                <w:lang w:eastAsia="en-GB"/>
              </w:rPr>
              <w:t>.</w:t>
            </w:r>
          </w:p>
        </w:tc>
        <w:tc>
          <w:tcPr>
            <w:tcW w:w="1582" w:type="dxa"/>
            <w:tcBorders>
              <w:top w:val="nil"/>
              <w:left w:val="nil"/>
              <w:bottom w:val="nil"/>
              <w:right w:val="single" w:sz="8" w:space="0" w:color="4F81BD"/>
            </w:tcBorders>
            <w:shd w:val="clear" w:color="000000" w:fill="FFFFFF"/>
            <w:noWrap/>
            <w:vAlign w:val="center"/>
            <w:hideMark/>
          </w:tcPr>
          <w:p w14:paraId="62DB9711"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hAnsi="Garamond" w:cs="Times New Roman"/>
                <w:color w:val="000000" w:themeColor="text1"/>
                <w:sz w:val="20"/>
                <w:szCs w:val="24"/>
              </w:rPr>
              <w:t>56,258</w:t>
            </w:r>
          </w:p>
        </w:tc>
      </w:tr>
      <w:tr w:rsidR="000F566F" w:rsidRPr="004F2AC3" w14:paraId="19D537CD" w14:textId="77777777" w:rsidTr="00B66BF4">
        <w:trPr>
          <w:trHeight w:val="271"/>
        </w:trPr>
        <w:tc>
          <w:tcPr>
            <w:tcW w:w="994" w:type="dxa"/>
            <w:tcBorders>
              <w:top w:val="single" w:sz="8" w:space="0" w:color="4F81BD"/>
              <w:left w:val="single" w:sz="8" w:space="0" w:color="4F81BD"/>
              <w:bottom w:val="single" w:sz="8" w:space="0" w:color="4F81BD"/>
              <w:right w:val="nil"/>
            </w:tcBorders>
            <w:shd w:val="clear" w:color="auto" w:fill="auto"/>
            <w:noWrap/>
            <w:vAlign w:val="center"/>
            <w:hideMark/>
          </w:tcPr>
          <w:p w14:paraId="1E85C9F0"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2</w:t>
            </w:r>
          </w:p>
        </w:tc>
        <w:tc>
          <w:tcPr>
            <w:tcW w:w="6519" w:type="dxa"/>
            <w:gridSpan w:val="3"/>
            <w:tcBorders>
              <w:top w:val="single" w:sz="8" w:space="0" w:color="4F81BD"/>
              <w:left w:val="nil"/>
              <w:bottom w:val="single" w:sz="8" w:space="0" w:color="4F81BD"/>
              <w:right w:val="nil"/>
            </w:tcBorders>
            <w:shd w:val="clear" w:color="auto" w:fill="auto"/>
            <w:noWrap/>
            <w:vAlign w:val="center"/>
            <w:hideMark/>
          </w:tcPr>
          <w:p w14:paraId="0DA0C28C" w14:textId="5ECD1ADE" w:rsidR="000F566F" w:rsidRPr="004F2AC3" w:rsidRDefault="000F566F" w:rsidP="00F40AE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Personel i trajnuar</w:t>
            </w:r>
            <w:r w:rsidR="00F12EB3" w:rsidRPr="004F2AC3">
              <w:rPr>
                <w:rFonts w:ascii="Garamond" w:eastAsia="Times New Roman" w:hAnsi="Garamond" w:cs="Times New Roman"/>
                <w:color w:val="000000" w:themeColor="text1"/>
                <w:sz w:val="20"/>
                <w:szCs w:val="24"/>
                <w:lang w:eastAsia="en-GB"/>
              </w:rPr>
              <w:t>.</w:t>
            </w:r>
          </w:p>
        </w:tc>
        <w:tc>
          <w:tcPr>
            <w:tcW w:w="1582" w:type="dxa"/>
            <w:tcBorders>
              <w:top w:val="single" w:sz="8" w:space="0" w:color="4F81BD"/>
              <w:left w:val="nil"/>
              <w:bottom w:val="single" w:sz="8" w:space="0" w:color="4F81BD"/>
              <w:right w:val="single" w:sz="8" w:space="0" w:color="4F81BD"/>
            </w:tcBorders>
            <w:shd w:val="clear" w:color="000000" w:fill="FFFFFF"/>
            <w:noWrap/>
            <w:vAlign w:val="center"/>
            <w:hideMark/>
          </w:tcPr>
          <w:p w14:paraId="6B543DD6"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hAnsi="Garamond" w:cs="Times New Roman"/>
                <w:color w:val="000000" w:themeColor="text1"/>
                <w:sz w:val="20"/>
                <w:szCs w:val="24"/>
              </w:rPr>
              <w:t>495,307</w:t>
            </w:r>
          </w:p>
        </w:tc>
      </w:tr>
      <w:tr w:rsidR="000F566F" w:rsidRPr="004F2AC3" w14:paraId="7649C6F8" w14:textId="77777777" w:rsidTr="00B66BF4">
        <w:trPr>
          <w:trHeight w:val="271"/>
        </w:trPr>
        <w:tc>
          <w:tcPr>
            <w:tcW w:w="994" w:type="dxa"/>
            <w:tcBorders>
              <w:top w:val="nil"/>
              <w:left w:val="single" w:sz="8" w:space="0" w:color="4F81BD"/>
              <w:bottom w:val="nil"/>
              <w:right w:val="nil"/>
            </w:tcBorders>
            <w:shd w:val="clear" w:color="auto" w:fill="auto"/>
            <w:noWrap/>
            <w:vAlign w:val="center"/>
            <w:hideMark/>
          </w:tcPr>
          <w:p w14:paraId="23CA6D18"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3</w:t>
            </w:r>
          </w:p>
        </w:tc>
        <w:tc>
          <w:tcPr>
            <w:tcW w:w="6519" w:type="dxa"/>
            <w:gridSpan w:val="3"/>
            <w:tcBorders>
              <w:top w:val="single" w:sz="8" w:space="0" w:color="4F81BD"/>
              <w:left w:val="nil"/>
              <w:bottom w:val="single" w:sz="8" w:space="0" w:color="4F81BD"/>
              <w:right w:val="nil"/>
            </w:tcBorders>
            <w:shd w:val="clear" w:color="auto" w:fill="auto"/>
            <w:noWrap/>
            <w:vAlign w:val="center"/>
            <w:hideMark/>
          </w:tcPr>
          <w:p w14:paraId="27C7FF59" w14:textId="32C5017F" w:rsidR="000F566F" w:rsidRPr="004F2AC3" w:rsidRDefault="000F566F" w:rsidP="00F40AE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 xml:space="preserve">Blerje </w:t>
            </w:r>
            <w:r w:rsidR="00AE7B10" w:rsidRPr="004F2AC3">
              <w:rPr>
                <w:rFonts w:ascii="Garamond" w:eastAsia="Times New Roman" w:hAnsi="Garamond" w:cs="Times New Roman"/>
                <w:color w:val="000000" w:themeColor="text1"/>
                <w:sz w:val="20"/>
                <w:szCs w:val="24"/>
                <w:lang w:eastAsia="en-GB"/>
              </w:rPr>
              <w:t>pajisje</w:t>
            </w:r>
            <w:r w:rsidRPr="004F2AC3">
              <w:rPr>
                <w:rFonts w:ascii="Garamond" w:eastAsia="Times New Roman" w:hAnsi="Garamond" w:cs="Times New Roman"/>
                <w:color w:val="000000" w:themeColor="text1"/>
                <w:sz w:val="20"/>
                <w:szCs w:val="24"/>
                <w:lang w:eastAsia="en-GB"/>
              </w:rPr>
              <w:t>, sisteme, makineri të ndryshme</w:t>
            </w:r>
            <w:r w:rsidR="00F12EB3" w:rsidRPr="004F2AC3">
              <w:rPr>
                <w:rFonts w:ascii="Garamond" w:eastAsia="Times New Roman" w:hAnsi="Garamond" w:cs="Times New Roman"/>
                <w:color w:val="000000" w:themeColor="text1"/>
                <w:sz w:val="20"/>
                <w:szCs w:val="24"/>
                <w:lang w:eastAsia="en-GB"/>
              </w:rPr>
              <w:t>.</w:t>
            </w:r>
          </w:p>
        </w:tc>
        <w:tc>
          <w:tcPr>
            <w:tcW w:w="1582" w:type="dxa"/>
            <w:tcBorders>
              <w:top w:val="nil"/>
              <w:left w:val="nil"/>
              <w:bottom w:val="nil"/>
              <w:right w:val="single" w:sz="8" w:space="0" w:color="4F81BD"/>
            </w:tcBorders>
            <w:shd w:val="clear" w:color="000000" w:fill="FFFFFF"/>
            <w:noWrap/>
            <w:vAlign w:val="center"/>
            <w:hideMark/>
          </w:tcPr>
          <w:p w14:paraId="3E9BB3B4"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hAnsi="Garamond" w:cs="Times New Roman"/>
                <w:color w:val="000000" w:themeColor="text1"/>
                <w:sz w:val="20"/>
                <w:szCs w:val="24"/>
              </w:rPr>
              <w:t>115,600</w:t>
            </w:r>
          </w:p>
        </w:tc>
      </w:tr>
      <w:tr w:rsidR="000F566F" w:rsidRPr="004F2AC3" w14:paraId="1D1B69EE" w14:textId="77777777" w:rsidTr="00B66BF4">
        <w:trPr>
          <w:trHeight w:val="271"/>
        </w:trPr>
        <w:tc>
          <w:tcPr>
            <w:tcW w:w="994" w:type="dxa"/>
            <w:tcBorders>
              <w:top w:val="single" w:sz="8" w:space="0" w:color="4F81BD"/>
              <w:left w:val="single" w:sz="8" w:space="0" w:color="4F81BD"/>
              <w:bottom w:val="single" w:sz="8" w:space="0" w:color="4F81BD"/>
              <w:right w:val="nil"/>
            </w:tcBorders>
            <w:shd w:val="clear" w:color="auto" w:fill="auto"/>
            <w:noWrap/>
            <w:vAlign w:val="center"/>
            <w:hideMark/>
          </w:tcPr>
          <w:p w14:paraId="07631C59"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4</w:t>
            </w:r>
          </w:p>
        </w:tc>
        <w:tc>
          <w:tcPr>
            <w:tcW w:w="6519" w:type="dxa"/>
            <w:gridSpan w:val="3"/>
            <w:tcBorders>
              <w:top w:val="single" w:sz="8" w:space="0" w:color="4F81BD"/>
              <w:left w:val="nil"/>
              <w:bottom w:val="single" w:sz="8" w:space="0" w:color="4F81BD"/>
              <w:right w:val="nil"/>
            </w:tcBorders>
            <w:shd w:val="clear" w:color="auto" w:fill="auto"/>
            <w:noWrap/>
            <w:vAlign w:val="center"/>
            <w:hideMark/>
          </w:tcPr>
          <w:p w14:paraId="00432660" w14:textId="43F0B1A7" w:rsidR="000F566F" w:rsidRPr="004F2AC3" w:rsidRDefault="000F566F" w:rsidP="00F40AE3">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Financim i huaj</w:t>
            </w:r>
            <w:r w:rsidR="00F12EB3" w:rsidRPr="004F2AC3">
              <w:rPr>
                <w:rFonts w:ascii="Garamond" w:eastAsia="Times New Roman" w:hAnsi="Garamond" w:cs="Times New Roman"/>
                <w:color w:val="000000" w:themeColor="text1"/>
                <w:sz w:val="20"/>
                <w:szCs w:val="24"/>
                <w:lang w:eastAsia="en-GB"/>
              </w:rPr>
              <w:t>.</w:t>
            </w:r>
          </w:p>
        </w:tc>
        <w:tc>
          <w:tcPr>
            <w:tcW w:w="1582" w:type="dxa"/>
            <w:tcBorders>
              <w:top w:val="single" w:sz="8" w:space="0" w:color="4F81BD"/>
              <w:left w:val="nil"/>
              <w:bottom w:val="single" w:sz="8" w:space="0" w:color="4F81BD"/>
              <w:right w:val="single" w:sz="8" w:space="0" w:color="4F81BD"/>
            </w:tcBorders>
            <w:shd w:val="clear" w:color="000000" w:fill="FFFFFF"/>
            <w:noWrap/>
            <w:vAlign w:val="center"/>
            <w:hideMark/>
          </w:tcPr>
          <w:p w14:paraId="2B23F284"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r w:rsidRPr="004F2AC3">
              <w:rPr>
                <w:rFonts w:ascii="Garamond" w:hAnsi="Garamond" w:cs="Times New Roman"/>
                <w:color w:val="000000" w:themeColor="text1"/>
                <w:sz w:val="20"/>
                <w:szCs w:val="24"/>
              </w:rPr>
              <w:t>100,000</w:t>
            </w:r>
          </w:p>
        </w:tc>
      </w:tr>
      <w:tr w:rsidR="000F566F" w:rsidRPr="004F2AC3" w14:paraId="25300093" w14:textId="77777777" w:rsidTr="00B66BF4">
        <w:trPr>
          <w:trHeight w:val="271"/>
        </w:trPr>
        <w:tc>
          <w:tcPr>
            <w:tcW w:w="994" w:type="dxa"/>
            <w:tcBorders>
              <w:top w:val="nil"/>
              <w:left w:val="single" w:sz="8" w:space="0" w:color="4F81BD"/>
              <w:bottom w:val="single" w:sz="8" w:space="0" w:color="4F81BD"/>
              <w:right w:val="nil"/>
            </w:tcBorders>
            <w:shd w:val="clear" w:color="auto" w:fill="auto"/>
            <w:noWrap/>
            <w:vAlign w:val="center"/>
            <w:hideMark/>
          </w:tcPr>
          <w:p w14:paraId="3FBB8543"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4"/>
                <w:lang w:eastAsia="en-GB"/>
              </w:rPr>
            </w:pPr>
            <w:r w:rsidRPr="004F2AC3">
              <w:rPr>
                <w:rFonts w:ascii="Garamond" w:eastAsia="Times New Roman" w:hAnsi="Garamond" w:cs="Times New Roman"/>
                <w:b/>
                <w:bCs/>
                <w:color w:val="000000" w:themeColor="text1"/>
                <w:sz w:val="20"/>
                <w:szCs w:val="24"/>
                <w:lang w:eastAsia="en-GB"/>
              </w:rPr>
              <w:t> </w:t>
            </w:r>
          </w:p>
        </w:tc>
        <w:tc>
          <w:tcPr>
            <w:tcW w:w="6519" w:type="dxa"/>
            <w:gridSpan w:val="3"/>
            <w:tcBorders>
              <w:top w:val="nil"/>
              <w:left w:val="nil"/>
              <w:bottom w:val="single" w:sz="8" w:space="0" w:color="4F81BD"/>
              <w:right w:val="nil"/>
            </w:tcBorders>
            <w:shd w:val="clear" w:color="auto" w:fill="auto"/>
            <w:noWrap/>
            <w:vAlign w:val="center"/>
            <w:hideMark/>
          </w:tcPr>
          <w:p w14:paraId="17F41EDA"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4"/>
                <w:lang w:eastAsia="en-GB"/>
              </w:rPr>
            </w:pPr>
            <w:r w:rsidRPr="004F2AC3">
              <w:rPr>
                <w:rFonts w:ascii="Garamond" w:eastAsia="Times New Roman" w:hAnsi="Garamond" w:cs="Times New Roman"/>
                <w:b/>
                <w:bCs/>
                <w:color w:val="000000" w:themeColor="text1"/>
                <w:sz w:val="20"/>
                <w:szCs w:val="24"/>
                <w:lang w:eastAsia="en-GB"/>
              </w:rPr>
              <w:t>Gjithsej</w:t>
            </w:r>
          </w:p>
        </w:tc>
        <w:tc>
          <w:tcPr>
            <w:tcW w:w="1582" w:type="dxa"/>
            <w:tcBorders>
              <w:top w:val="single" w:sz="8" w:space="0" w:color="4F81BD"/>
              <w:left w:val="nil"/>
              <w:bottom w:val="single" w:sz="8" w:space="0" w:color="4F81BD"/>
              <w:right w:val="single" w:sz="8" w:space="0" w:color="4F81BD"/>
            </w:tcBorders>
            <w:shd w:val="clear" w:color="000000" w:fill="FFFFFF"/>
            <w:noWrap/>
            <w:vAlign w:val="center"/>
            <w:hideMark/>
          </w:tcPr>
          <w:p w14:paraId="0B505DED" w14:textId="77777777" w:rsidR="000F566F" w:rsidRPr="004F2AC3" w:rsidRDefault="000F566F" w:rsidP="00F40AE3">
            <w:pPr>
              <w:spacing w:after="0" w:line="240" w:lineRule="auto"/>
              <w:jc w:val="right"/>
              <w:rPr>
                <w:rFonts w:ascii="Garamond" w:eastAsia="Times New Roman" w:hAnsi="Garamond" w:cs="Times New Roman"/>
                <w:b/>
                <w:bCs/>
                <w:color w:val="000000" w:themeColor="text1"/>
                <w:sz w:val="20"/>
                <w:szCs w:val="24"/>
                <w:lang w:eastAsia="en-GB"/>
              </w:rPr>
            </w:pPr>
            <w:r w:rsidRPr="004F2AC3">
              <w:rPr>
                <w:rFonts w:ascii="Garamond" w:hAnsi="Garamond" w:cs="Times New Roman"/>
                <w:b/>
                <w:bCs/>
                <w:color w:val="000000" w:themeColor="text1"/>
                <w:sz w:val="20"/>
                <w:szCs w:val="24"/>
              </w:rPr>
              <w:t>1,152,602</w:t>
            </w:r>
          </w:p>
        </w:tc>
      </w:tr>
      <w:tr w:rsidR="000F566F" w:rsidRPr="004F2AC3" w14:paraId="4222712B" w14:textId="77777777" w:rsidTr="00B66BF4">
        <w:trPr>
          <w:trHeight w:val="258"/>
        </w:trPr>
        <w:tc>
          <w:tcPr>
            <w:tcW w:w="994" w:type="dxa"/>
            <w:tcBorders>
              <w:top w:val="nil"/>
              <w:left w:val="nil"/>
              <w:bottom w:val="nil"/>
              <w:right w:val="nil"/>
            </w:tcBorders>
            <w:shd w:val="clear" w:color="auto" w:fill="auto"/>
            <w:vAlign w:val="center"/>
            <w:hideMark/>
          </w:tcPr>
          <w:p w14:paraId="3D92D913" w14:textId="77777777" w:rsidR="000F566F" w:rsidRPr="004F2AC3" w:rsidRDefault="000F566F" w:rsidP="00F40AE3">
            <w:pPr>
              <w:spacing w:after="0" w:line="240" w:lineRule="auto"/>
              <w:jc w:val="right"/>
              <w:rPr>
                <w:rFonts w:ascii="Garamond" w:eastAsia="Times New Roman" w:hAnsi="Garamond" w:cs="Times New Roman"/>
                <w:b/>
                <w:bCs/>
                <w:color w:val="000000" w:themeColor="text1"/>
                <w:sz w:val="20"/>
                <w:szCs w:val="24"/>
                <w:lang w:eastAsia="en-GB"/>
              </w:rPr>
            </w:pPr>
          </w:p>
        </w:tc>
        <w:tc>
          <w:tcPr>
            <w:tcW w:w="994" w:type="dxa"/>
            <w:tcBorders>
              <w:top w:val="nil"/>
              <w:left w:val="nil"/>
              <w:bottom w:val="nil"/>
              <w:right w:val="nil"/>
            </w:tcBorders>
            <w:shd w:val="clear" w:color="auto" w:fill="auto"/>
            <w:vAlign w:val="center"/>
            <w:hideMark/>
          </w:tcPr>
          <w:p w14:paraId="459E874B" w14:textId="77777777" w:rsidR="000F566F" w:rsidRPr="004F2AC3" w:rsidRDefault="000F566F" w:rsidP="00F40AE3">
            <w:pPr>
              <w:spacing w:after="0" w:line="240" w:lineRule="auto"/>
              <w:rPr>
                <w:rFonts w:ascii="Garamond" w:eastAsia="Times New Roman" w:hAnsi="Garamond" w:cs="Times New Roman"/>
                <w:color w:val="000000" w:themeColor="text1"/>
                <w:sz w:val="20"/>
                <w:szCs w:val="24"/>
                <w:lang w:eastAsia="en-GB"/>
              </w:rPr>
            </w:pPr>
          </w:p>
        </w:tc>
        <w:tc>
          <w:tcPr>
            <w:tcW w:w="3709" w:type="dxa"/>
            <w:tcBorders>
              <w:top w:val="nil"/>
              <w:left w:val="nil"/>
              <w:bottom w:val="nil"/>
              <w:right w:val="nil"/>
            </w:tcBorders>
            <w:shd w:val="clear" w:color="auto" w:fill="auto"/>
            <w:vAlign w:val="center"/>
            <w:hideMark/>
          </w:tcPr>
          <w:p w14:paraId="6DB91678"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p>
        </w:tc>
        <w:tc>
          <w:tcPr>
            <w:tcW w:w="3398" w:type="dxa"/>
            <w:gridSpan w:val="2"/>
            <w:tcBorders>
              <w:top w:val="nil"/>
              <w:left w:val="nil"/>
              <w:bottom w:val="nil"/>
              <w:right w:val="nil"/>
            </w:tcBorders>
            <w:shd w:val="clear" w:color="auto" w:fill="auto"/>
            <w:vAlign w:val="center"/>
            <w:hideMark/>
          </w:tcPr>
          <w:p w14:paraId="709FEBB5" w14:textId="77777777" w:rsidR="000F566F" w:rsidRPr="004F2AC3" w:rsidRDefault="000F566F" w:rsidP="00F40AE3">
            <w:pPr>
              <w:spacing w:after="0" w:line="240" w:lineRule="auto"/>
              <w:jc w:val="right"/>
              <w:rPr>
                <w:rFonts w:ascii="Garamond" w:eastAsia="Times New Roman" w:hAnsi="Garamond" w:cs="Times New Roman"/>
                <w:color w:val="000000" w:themeColor="text1"/>
                <w:sz w:val="20"/>
                <w:szCs w:val="24"/>
                <w:lang w:eastAsia="en-GB"/>
              </w:rPr>
            </w:pPr>
          </w:p>
        </w:tc>
      </w:tr>
      <w:tr w:rsidR="000F566F" w:rsidRPr="004F2AC3" w14:paraId="79D6E039" w14:textId="77777777" w:rsidTr="00B66BF4">
        <w:trPr>
          <w:trHeight w:val="258"/>
        </w:trPr>
        <w:tc>
          <w:tcPr>
            <w:tcW w:w="9095" w:type="dxa"/>
            <w:gridSpan w:val="5"/>
            <w:tcBorders>
              <w:top w:val="nil"/>
              <w:left w:val="nil"/>
              <w:bottom w:val="nil"/>
              <w:right w:val="nil"/>
            </w:tcBorders>
            <w:shd w:val="clear" w:color="auto" w:fill="auto"/>
            <w:noWrap/>
            <w:vAlign w:val="center"/>
            <w:hideMark/>
          </w:tcPr>
          <w:p w14:paraId="3E5C668C" w14:textId="55D08A40" w:rsidR="000F566F" w:rsidRPr="004F2AC3" w:rsidRDefault="000F566F" w:rsidP="00AE7B10">
            <w:pPr>
              <w:spacing w:after="0" w:line="240" w:lineRule="auto"/>
              <w:rPr>
                <w:rFonts w:ascii="Garamond" w:eastAsia="Times New Roman" w:hAnsi="Garamond" w:cs="Times New Roman"/>
                <w:color w:val="000000" w:themeColor="text1"/>
                <w:sz w:val="20"/>
                <w:szCs w:val="24"/>
                <w:lang w:eastAsia="en-GB"/>
              </w:rPr>
            </w:pPr>
            <w:r w:rsidRPr="004F2AC3">
              <w:rPr>
                <w:rFonts w:ascii="Garamond" w:eastAsia="Times New Roman" w:hAnsi="Garamond" w:cs="Times New Roman"/>
                <w:color w:val="000000" w:themeColor="text1"/>
                <w:sz w:val="20"/>
                <w:szCs w:val="24"/>
                <w:lang w:eastAsia="en-GB"/>
              </w:rPr>
              <w:t>*Shënim</w:t>
            </w:r>
            <w:r w:rsidR="00AE7B10" w:rsidRPr="004F2AC3">
              <w:rPr>
                <w:rFonts w:ascii="Garamond" w:eastAsia="Times New Roman" w:hAnsi="Garamond" w:cs="Times New Roman"/>
                <w:color w:val="000000" w:themeColor="text1"/>
                <w:sz w:val="20"/>
                <w:szCs w:val="24"/>
                <w:lang w:eastAsia="en-GB"/>
              </w:rPr>
              <w:t>.</w:t>
            </w:r>
            <w:r w:rsidRPr="004F2AC3">
              <w:rPr>
                <w:rFonts w:ascii="Garamond" w:eastAsia="Times New Roman" w:hAnsi="Garamond" w:cs="Times New Roman"/>
                <w:color w:val="000000" w:themeColor="text1"/>
                <w:sz w:val="20"/>
                <w:szCs w:val="24"/>
                <w:lang w:eastAsia="en-GB"/>
              </w:rPr>
              <w:t xml:space="preserve"> Buxheti sipas tavaneve buxhetore faza I (PBA 2026</w:t>
            </w:r>
            <w:r w:rsidR="00AE7B10" w:rsidRPr="004F2AC3">
              <w:rPr>
                <w:rFonts w:ascii="Garamond" w:eastAsia="Times New Roman" w:hAnsi="Garamond" w:cs="Times New Roman"/>
                <w:color w:val="000000" w:themeColor="text1"/>
                <w:sz w:val="20"/>
                <w:szCs w:val="24"/>
                <w:lang w:eastAsia="en-GB"/>
              </w:rPr>
              <w:t>–</w:t>
            </w:r>
            <w:r w:rsidRPr="004F2AC3">
              <w:rPr>
                <w:rFonts w:ascii="Garamond" w:eastAsia="Times New Roman" w:hAnsi="Garamond" w:cs="Times New Roman"/>
                <w:color w:val="000000" w:themeColor="text1"/>
                <w:sz w:val="20"/>
                <w:szCs w:val="24"/>
                <w:lang w:eastAsia="en-GB"/>
              </w:rPr>
              <w:t>2028)</w:t>
            </w:r>
          </w:p>
        </w:tc>
      </w:tr>
    </w:tbl>
    <w:p w14:paraId="4364E2F8" w14:textId="77777777" w:rsidR="000F566F" w:rsidRPr="004F2AC3" w:rsidRDefault="000F566F" w:rsidP="00F12EB3">
      <w:pPr>
        <w:shd w:val="clear" w:color="auto" w:fill="FFFFFF"/>
        <w:tabs>
          <w:tab w:val="left" w:pos="709"/>
        </w:tabs>
        <w:spacing w:after="0" w:line="240" w:lineRule="auto"/>
        <w:jc w:val="both"/>
        <w:rPr>
          <w:rFonts w:ascii="Garamond" w:hAnsi="Garamond" w:cs="Times New Roman"/>
          <w:color w:val="000000" w:themeColor="text1"/>
          <w:sz w:val="10"/>
          <w:szCs w:val="24"/>
        </w:rPr>
      </w:pPr>
    </w:p>
    <w:p w14:paraId="69310A46" w14:textId="2745BFD4" w:rsidR="000F566F" w:rsidRPr="004F2AC3" w:rsidRDefault="000F566F" w:rsidP="00F12EB3">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Paraqitja e zërave financiarë sipas përqindjes që zënë në buxhetin total rezulton të j</w:t>
      </w:r>
      <w:r w:rsidR="00F12EB3" w:rsidRPr="004F2AC3">
        <w:rPr>
          <w:rFonts w:ascii="Garamond" w:hAnsi="Garamond" w:cs="Times New Roman"/>
          <w:color w:val="000000" w:themeColor="text1"/>
          <w:sz w:val="24"/>
          <w:szCs w:val="24"/>
        </w:rPr>
        <w:t>etë si në grafikun e mëposhtëm.</w:t>
      </w:r>
    </w:p>
    <w:p w14:paraId="19640E8D" w14:textId="08184ADB"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i/>
          <w:color w:val="000000" w:themeColor="text1"/>
          <w:sz w:val="24"/>
          <w:szCs w:val="24"/>
        </w:rPr>
      </w:pPr>
      <w:r w:rsidRPr="004F2AC3">
        <w:rPr>
          <w:rFonts w:ascii="Garamond" w:hAnsi="Garamond" w:cs="Times New Roman"/>
          <w:i/>
          <w:color w:val="000000" w:themeColor="text1"/>
          <w:sz w:val="24"/>
          <w:szCs w:val="24"/>
        </w:rPr>
        <w:t>Figura nr. 6</w:t>
      </w:r>
      <w:r w:rsidR="00AE7B10" w:rsidRPr="004F2AC3">
        <w:rPr>
          <w:rFonts w:ascii="Garamond" w:hAnsi="Garamond" w:cs="Times New Roman"/>
          <w:i/>
          <w:color w:val="000000" w:themeColor="text1"/>
          <w:sz w:val="24"/>
          <w:szCs w:val="24"/>
        </w:rPr>
        <w:t>.</w:t>
      </w:r>
      <w:r w:rsidRPr="004F2AC3">
        <w:rPr>
          <w:rFonts w:ascii="Garamond" w:hAnsi="Garamond" w:cs="Times New Roman"/>
          <w:i/>
          <w:color w:val="000000" w:themeColor="text1"/>
          <w:sz w:val="24"/>
          <w:szCs w:val="24"/>
        </w:rPr>
        <w:t xml:space="preserve"> Zërat financiarë në buxhetin total</w:t>
      </w:r>
    </w:p>
    <w:p w14:paraId="2E8EF903" w14:textId="77777777"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b/>
          <w:color w:val="000000" w:themeColor="text1"/>
          <w:sz w:val="24"/>
          <w:szCs w:val="24"/>
        </w:rPr>
      </w:pPr>
    </w:p>
    <w:p w14:paraId="3DF3AE00" w14:textId="77777777" w:rsidR="000F566F" w:rsidRPr="004F2AC3" w:rsidRDefault="000F566F" w:rsidP="000F566F">
      <w:pPr>
        <w:shd w:val="clear" w:color="auto" w:fill="FFFFFF"/>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noProof/>
          <w:color w:val="000000" w:themeColor="text1"/>
          <w:sz w:val="24"/>
          <w:szCs w:val="24"/>
          <w:lang w:eastAsia="sq-AL"/>
        </w:rPr>
        <w:drawing>
          <wp:inline distT="0" distB="0" distL="0" distR="0" wp14:anchorId="64736FA2" wp14:editId="5DA33AD7">
            <wp:extent cx="5629275" cy="1818229"/>
            <wp:effectExtent l="0" t="0" r="0" b="0"/>
            <wp:docPr id="3" name="Chart 3">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1FA7F4E0-7174-4CA1-B8F5-3B07CEE3EC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866FB89" w14:textId="736A24B8"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w:t>
      </w:r>
    </w:p>
    <w:p w14:paraId="68FC9BD9" w14:textId="7F6A8999" w:rsidR="000F566F" w:rsidRPr="004F2AC3" w:rsidRDefault="000F566F" w:rsidP="00F12EB3">
      <w:pPr>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Për</w:t>
      </w:r>
      <w:r w:rsidR="00AE7B10" w:rsidRPr="004F2AC3">
        <w:rPr>
          <w:rFonts w:ascii="Garamond" w:hAnsi="Garamond" w:cs="Times New Roman"/>
          <w:color w:val="000000" w:themeColor="text1"/>
          <w:sz w:val="24"/>
          <w:szCs w:val="24"/>
        </w:rPr>
        <w:t xml:space="preserve"> </w:t>
      </w:r>
      <w:r w:rsidR="0090530D">
        <w:rPr>
          <w:rFonts w:ascii="Garamond" w:hAnsi="Garamond" w:cs="Times New Roman"/>
          <w:color w:val="000000" w:themeColor="text1"/>
          <w:sz w:val="24"/>
          <w:szCs w:val="24"/>
        </w:rPr>
        <w:t>sa u</w:t>
      </w:r>
      <w:r w:rsidRPr="004F2AC3">
        <w:rPr>
          <w:rFonts w:ascii="Garamond" w:hAnsi="Garamond" w:cs="Times New Roman"/>
          <w:color w:val="000000" w:themeColor="text1"/>
          <w:sz w:val="24"/>
          <w:szCs w:val="24"/>
        </w:rPr>
        <w:t xml:space="preserve"> përket burimeve njerëzore, stafi i angazhuar për realizimin e Planit të PSZ 2026 është stafi i INSTAT</w:t>
      </w:r>
      <w:r w:rsidR="00AE7B10" w:rsidRPr="004F2AC3">
        <w:rPr>
          <w:rFonts w:ascii="Garamond" w:hAnsi="Garamond" w:cs="Times New Roman"/>
          <w:color w:val="000000" w:themeColor="text1"/>
          <w:sz w:val="24"/>
          <w:szCs w:val="24"/>
        </w:rPr>
        <w:t>-it</w:t>
      </w:r>
      <w:r w:rsidRPr="004F2AC3">
        <w:rPr>
          <w:rFonts w:ascii="Garamond" w:hAnsi="Garamond" w:cs="Times New Roman"/>
          <w:color w:val="000000" w:themeColor="text1"/>
          <w:sz w:val="24"/>
          <w:szCs w:val="24"/>
        </w:rPr>
        <w:t>, 20 punonjës nga Banka e Shqipëris</w:t>
      </w:r>
      <w:r w:rsidR="00F12EB3" w:rsidRPr="004F2AC3">
        <w:rPr>
          <w:rFonts w:ascii="Garamond" w:hAnsi="Garamond" w:cs="Times New Roman"/>
          <w:color w:val="000000" w:themeColor="text1"/>
          <w:sz w:val="24"/>
          <w:szCs w:val="24"/>
        </w:rPr>
        <w:t xml:space="preserve">ë, 19 punonjës nga Ministria e </w:t>
      </w:r>
      <w:r w:rsidRPr="004F2AC3">
        <w:rPr>
          <w:rFonts w:ascii="Garamond" w:hAnsi="Garamond" w:cs="Times New Roman"/>
          <w:color w:val="000000" w:themeColor="text1"/>
          <w:sz w:val="24"/>
          <w:szCs w:val="24"/>
        </w:rPr>
        <w:t>Financave, 4 punonjës nga Agjencia Kombëtare e Burimeve Natyrore.</w:t>
      </w:r>
    </w:p>
    <w:p w14:paraId="3DF3C13A" w14:textId="2A5C557D" w:rsidR="000F566F" w:rsidRPr="004F2AC3" w:rsidRDefault="000F566F" w:rsidP="000F566F">
      <w:pPr>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eastAsia="Times New Roman" w:hAnsi="Garamond" w:cs="Times New Roman"/>
          <w:bCs/>
          <w:color w:val="000000" w:themeColor="text1"/>
          <w:sz w:val="24"/>
          <w:szCs w:val="24"/>
        </w:rPr>
        <w:t xml:space="preserve"> Në zbatim të Strategjisë së Trajnimeve dhe Zhvillimit Profesional 2022–2026</w:t>
      </w:r>
      <w:r w:rsidRPr="004F2AC3">
        <w:rPr>
          <w:rFonts w:ascii="Garamond" w:eastAsia="Times New Roman" w:hAnsi="Garamond" w:cs="Times New Roman"/>
          <w:color w:val="000000" w:themeColor="text1"/>
          <w:sz w:val="24"/>
          <w:szCs w:val="24"/>
        </w:rPr>
        <w:t>, gjatë vitit 2026, INSTAT</w:t>
      </w:r>
      <w:r w:rsidR="00AE7B10" w:rsidRPr="004F2AC3">
        <w:rPr>
          <w:rFonts w:ascii="Garamond" w:eastAsia="Times New Roman" w:hAnsi="Garamond" w:cs="Times New Roman"/>
          <w:color w:val="000000" w:themeColor="text1"/>
          <w:sz w:val="24"/>
          <w:szCs w:val="24"/>
        </w:rPr>
        <w:t>-i</w:t>
      </w:r>
      <w:r w:rsidRPr="004F2AC3">
        <w:rPr>
          <w:rFonts w:ascii="Garamond" w:eastAsia="Times New Roman" w:hAnsi="Garamond" w:cs="Times New Roman"/>
          <w:color w:val="000000" w:themeColor="text1"/>
          <w:sz w:val="24"/>
          <w:szCs w:val="24"/>
        </w:rPr>
        <w:t xml:space="preserve"> do të përqendrohet në mënyrë të veçantë në forcimin e kapaciteteve profesionale në të gjitha hallkat e prodhimit statistikor. Krahas trajnimeve të dedikuara për stafin e brendshëm dhe stafin e agjencive statistikore, vëmendje e veçantë do </w:t>
      </w:r>
      <w:r w:rsidR="00C221AA" w:rsidRPr="004F2AC3">
        <w:rPr>
          <w:rFonts w:ascii="Garamond" w:eastAsia="Times New Roman" w:hAnsi="Garamond" w:cs="Times New Roman"/>
          <w:color w:val="000000" w:themeColor="text1"/>
          <w:sz w:val="24"/>
          <w:szCs w:val="24"/>
        </w:rPr>
        <w:t>t’i</w:t>
      </w:r>
      <w:r w:rsidRPr="004F2AC3">
        <w:rPr>
          <w:rFonts w:ascii="Garamond" w:eastAsia="Times New Roman" w:hAnsi="Garamond" w:cs="Times New Roman"/>
          <w:color w:val="000000" w:themeColor="text1"/>
          <w:sz w:val="24"/>
          <w:szCs w:val="24"/>
        </w:rPr>
        <w:t xml:space="preserve"> kushtohet</w:t>
      </w:r>
      <w:r w:rsidR="00F12EB3"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gjithashtu</w:t>
      </w:r>
      <w:r w:rsidR="00F12EB3"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edhe ngritjes së kapaciteteve të punonjësve të institucioneve që shërbejnë si burime administrative, në kuadër të zbatimit të </w:t>
      </w:r>
      <w:r w:rsidRPr="004F2AC3">
        <w:rPr>
          <w:rFonts w:ascii="Garamond" w:eastAsia="Times New Roman" w:hAnsi="Garamond" w:cs="Times New Roman"/>
          <w:bCs/>
          <w:color w:val="000000" w:themeColor="text1"/>
          <w:sz w:val="24"/>
          <w:szCs w:val="24"/>
        </w:rPr>
        <w:t>Programit Statistikor Zyrtar pesëvjeçar</w:t>
      </w:r>
      <w:r w:rsidRPr="004F2AC3">
        <w:rPr>
          <w:rFonts w:ascii="Garamond" w:eastAsia="Times New Roman" w:hAnsi="Garamond" w:cs="Times New Roman"/>
          <w:color w:val="000000" w:themeColor="text1"/>
          <w:sz w:val="24"/>
          <w:szCs w:val="24"/>
        </w:rPr>
        <w:t>.</w:t>
      </w:r>
    </w:p>
    <w:p w14:paraId="4B48AF67" w14:textId="59B5009C" w:rsidR="000F566F" w:rsidRPr="004F2AC3" w:rsidRDefault="000F566F" w:rsidP="000F566F">
      <w:pPr>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 Në këtë kuadër, është planifikuar një program i zgjeruar trajnimesh, i cili synon përmirësimin e njohurive metodologjike, zbatimin e standardeve ndërkombëtare dhe fuqizimin e përdorimit të teknologjive moderne për grumbullimin, përpunimin, analizimin dhe shpërndarjen e të dhënave statistikore.</w:t>
      </w:r>
    </w:p>
    <w:p w14:paraId="3E7DDA62" w14:textId="2E494E65" w:rsidR="000F566F" w:rsidRPr="004F2AC3" w:rsidRDefault="000F566F" w:rsidP="000F566F">
      <w:pPr>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 Trajnimet do të përfshijnë</w:t>
      </w:r>
      <w:r w:rsidR="00F12EB3"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gjithashtu</w:t>
      </w:r>
      <w:r w:rsidR="00F12EB3" w:rsidRPr="004F2AC3">
        <w:rPr>
          <w:rFonts w:ascii="Garamond" w:eastAsia="Times New Roman" w:hAnsi="Garamond" w:cs="Times New Roman"/>
          <w:color w:val="000000" w:themeColor="text1"/>
          <w:sz w:val="24"/>
          <w:szCs w:val="24"/>
        </w:rPr>
        <w:t>,</w:t>
      </w:r>
      <w:r w:rsidRPr="004F2AC3">
        <w:rPr>
          <w:rFonts w:ascii="Garamond" w:eastAsia="Times New Roman" w:hAnsi="Garamond" w:cs="Times New Roman"/>
          <w:color w:val="000000" w:themeColor="text1"/>
          <w:sz w:val="24"/>
          <w:szCs w:val="24"/>
        </w:rPr>
        <w:t xml:space="preserve"> çështje që lidhen me cilësinë statistikore, edukimin statistikor dhe aftësimin për komunikimin profesional të statistikave, me synimin për të rritur transparencën dhe përmirësuar ndërveprimin me përdoruesit përfundimtarë të të dhënave.</w:t>
      </w:r>
    </w:p>
    <w:p w14:paraId="7D2FC4E1" w14:textId="5915E32A" w:rsidR="000F566F" w:rsidRPr="004F2AC3" w:rsidRDefault="000F566F" w:rsidP="000F566F">
      <w:pPr>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eastAsia="Times New Roman" w:hAnsi="Garamond" w:cs="Times New Roman"/>
          <w:color w:val="000000" w:themeColor="text1"/>
          <w:sz w:val="24"/>
          <w:szCs w:val="24"/>
        </w:rPr>
        <w:t xml:space="preserve"> Ky angazhim gjithëpërfshirës për zhvillimin e vazhdueshëm profesional do të ndikojë në rritjen e besueshmërisë, krahasueshmërisë dhe efikasitetit të statistikave zyrtare, si dhe në forcimin e rolit të institucioneve statistikore si një aktor kyç në mbështetje të vendimmarrjes së bazuar në evidencë dhe në shërbim të publikut.</w:t>
      </w:r>
    </w:p>
    <w:p w14:paraId="32A843D2" w14:textId="77777777" w:rsidR="000F566F" w:rsidRPr="004F2AC3" w:rsidRDefault="000F566F" w:rsidP="000F566F">
      <w:pPr>
        <w:pStyle w:val="Heading2"/>
        <w:spacing w:before="0" w:line="240" w:lineRule="auto"/>
        <w:ind w:firstLine="284"/>
        <w:rPr>
          <w:rFonts w:ascii="Garamond" w:hAnsi="Garamond" w:cs="Times New Roman"/>
          <w:noProof w:val="0"/>
          <w:color w:val="000000" w:themeColor="text1"/>
          <w:sz w:val="24"/>
          <w:szCs w:val="24"/>
        </w:rPr>
      </w:pPr>
      <w:bookmarkStart w:id="55" w:name="_Toc215132197"/>
      <w:r w:rsidRPr="004F2AC3">
        <w:rPr>
          <w:rFonts w:ascii="Garamond" w:hAnsi="Garamond" w:cs="Times New Roman"/>
          <w:noProof w:val="0"/>
          <w:color w:val="000000" w:themeColor="text1"/>
          <w:sz w:val="24"/>
          <w:szCs w:val="24"/>
        </w:rPr>
        <w:t>IX. Analiza SWOT</w:t>
      </w:r>
      <w:bookmarkEnd w:id="55"/>
    </w:p>
    <w:p w14:paraId="7C3EA65A" w14:textId="0429E421" w:rsidR="000F566F" w:rsidRPr="004F2AC3" w:rsidRDefault="000F566F" w:rsidP="000F566F">
      <w:pPr>
        <w:tabs>
          <w:tab w:val="left" w:pos="720"/>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Analiza SWOT (pikat e forta, të dobëta, mundësitë dhe kërcënimet) është një kornizë e përdorur për të vlerësuar pozicionin e institucioneve prodhuese të statistikave zyrtare dhe për të zhvilluar programin nga ana strategjike. Analiza vlerëson faktorët e brendshëm dhe të jashtëm, si dhe potencialin aktual dhe të ardhshëm. Ky instrument është krijuar për të lehtësuar vështrimin realist, të bazuar në fakte, të drejtuar nga të dhënat në pikat e forta dhe të dobëta të Sistemit Kombëtar Statistikor </w:t>
      </w:r>
      <w:r w:rsidR="00F12EB3" w:rsidRPr="004F2AC3">
        <w:rPr>
          <w:rFonts w:ascii="Garamond" w:hAnsi="Garamond" w:cs="Times New Roman"/>
          <w:color w:val="000000" w:themeColor="text1"/>
          <w:sz w:val="24"/>
          <w:szCs w:val="24"/>
        </w:rPr>
        <w:t>dhe institucioneve mbështetëse.</w:t>
      </w:r>
    </w:p>
    <w:p w14:paraId="0A80CD73" w14:textId="741DF7C6" w:rsidR="000F566F" w:rsidRPr="004F2AC3" w:rsidRDefault="000F566F" w:rsidP="000F566F">
      <w:pPr>
        <w:tabs>
          <w:tab w:val="left" w:pos="720"/>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Analiza SWOT përfshin klimën në të cilën funksionon Sistemi Kombëtar Statistikor, duke vënë në qendër INSTAT-in, si institucioni përgjegjës për koordinimin dhe monitorimin e ecurisë dhe performancës së këtij sistemi. Duke marrë parasysh kuadrin ligjor, ambientin dhe kulturën statistikore të institucioneve prodhuese dhe atyre furnizuese me të dhëna administrative, INSTAT-i ka vlerësuar kapacitetin, mekanizmat dhe burimet e nevojshme për të garantuar zbatimin e suksesshëm të aktiviteteve të parashikuara në program.</w:t>
      </w:r>
    </w:p>
    <w:p w14:paraId="0A5666E8" w14:textId="008C6E1E" w:rsidR="000F566F" w:rsidRPr="004F2AC3" w:rsidRDefault="000F566F" w:rsidP="000F566F">
      <w:pPr>
        <w:tabs>
          <w:tab w:val="left" w:pos="720"/>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Një ndihmë të madhe për analizën kanë dhënë dhe japin raportet periodike të vlerësimit, të hartuara nga ekspertët e Eurostatit (</w:t>
      </w:r>
      <w:r w:rsidRPr="004F2AC3">
        <w:rPr>
          <w:rFonts w:ascii="Garamond" w:hAnsi="Garamond" w:cs="Times New Roman"/>
          <w:i/>
          <w:color w:val="000000" w:themeColor="text1"/>
          <w:sz w:val="24"/>
          <w:szCs w:val="24"/>
        </w:rPr>
        <w:t>Peer Reviews</w:t>
      </w:r>
      <w:r w:rsidRPr="004F2AC3">
        <w:rPr>
          <w:rFonts w:ascii="Garamond" w:hAnsi="Garamond" w:cs="Times New Roman"/>
          <w:color w:val="000000" w:themeColor="text1"/>
          <w:sz w:val="24"/>
          <w:szCs w:val="24"/>
        </w:rPr>
        <w:t>), përfshirja e statisticienëve në forumet ndërkombëtare dhe asistenca e huaj për akti</w:t>
      </w:r>
      <w:r w:rsidR="00F12EB3" w:rsidRPr="004F2AC3">
        <w:rPr>
          <w:rFonts w:ascii="Garamond" w:hAnsi="Garamond" w:cs="Times New Roman"/>
          <w:color w:val="000000" w:themeColor="text1"/>
          <w:sz w:val="24"/>
          <w:szCs w:val="24"/>
        </w:rPr>
        <w:t>vitete të veçanta statistikore.</w:t>
      </w:r>
    </w:p>
    <w:p w14:paraId="0B2FF2E1" w14:textId="708EB354" w:rsidR="000F566F" w:rsidRPr="004F2AC3" w:rsidRDefault="000F566F" w:rsidP="00AE7B10">
      <w:pPr>
        <w:tabs>
          <w:tab w:val="left" w:pos="720"/>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Në këtë këndvështrim, </w:t>
      </w:r>
      <w:r w:rsidR="00AE7B10" w:rsidRPr="004F2AC3">
        <w:rPr>
          <w:rFonts w:ascii="Garamond" w:hAnsi="Garamond" w:cs="Times New Roman"/>
          <w:color w:val="000000" w:themeColor="text1"/>
          <w:sz w:val="24"/>
          <w:szCs w:val="24"/>
        </w:rPr>
        <w:t>analiza SWOT hartohet si vijon:</w:t>
      </w:r>
    </w:p>
    <w:p w14:paraId="5AEA0350" w14:textId="77777777" w:rsidR="00F40AE3" w:rsidRPr="004F2AC3" w:rsidRDefault="00F40AE3"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PIKAT E FORTA</w:t>
      </w:r>
    </w:p>
    <w:p w14:paraId="5E8DEA01" w14:textId="2B76E6FD"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Legjislacion i përafruar. Ligji nr. 17/2018</w:t>
      </w:r>
      <w:r w:rsidR="00AE7B10"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Për statistikat zyrtare</w:t>
      </w:r>
      <w:r w:rsidR="00D32864"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xml:space="preserve"> është përafruar me Rregulloren (BE) 223/2009</w:t>
      </w:r>
      <w:r w:rsidR="00AE7B10"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Për statistikat Evropiane</w:t>
      </w:r>
      <w:r w:rsidR="00D32864"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e ndryshuar, në interes të formalizimit të Sistemit Kombëtar Statistikor, rolit aktiv të përdoruesve dhe ndërtimit të instrumenteve monitoruese/raportuese. Kjo kornizë mundëson zbatimin e parimeve themelore të statistikave zyrtare, duke garantuar besueshmërinë dhe</w:t>
      </w:r>
      <w:r w:rsidR="00F12EB3" w:rsidRPr="004F2AC3">
        <w:rPr>
          <w:rFonts w:ascii="Garamond" w:hAnsi="Garamond" w:cs="Times New Roman"/>
          <w:color w:val="000000" w:themeColor="text1"/>
          <w:sz w:val="24"/>
          <w:szCs w:val="24"/>
        </w:rPr>
        <w:t xml:space="preserve"> konfidencialitetin statistikor.</w:t>
      </w:r>
    </w:p>
    <w:p w14:paraId="05570F52" w14:textId="3C5716EB"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Mandat i konsoliduar për aksesin në të dhëna. Legjislacioni për statistikat zyrtare ngarkon çdo institucion publik, mbajtës i të dhënave administrative, të furnizojë prodhuesit e statistikave zyrtare me informacionin e duhur vetëm për qëllime statistikore.</w:t>
      </w:r>
    </w:p>
    <w:p w14:paraId="77F35FED" w14:textId="7C37BD83"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Komunikim i formalizuar me aktorët. Gjatë vitit të fundit, INSTAT</w:t>
      </w:r>
      <w:r w:rsidR="00AE7B10" w:rsidRPr="004F2AC3">
        <w:rPr>
          <w:rFonts w:ascii="Garamond" w:hAnsi="Garamond" w:cs="Times New Roman"/>
          <w:color w:val="000000" w:themeColor="text1"/>
          <w:sz w:val="24"/>
          <w:szCs w:val="24"/>
        </w:rPr>
        <w:t>-i</w:t>
      </w:r>
      <w:r w:rsidR="00F40AE3" w:rsidRPr="004F2AC3">
        <w:rPr>
          <w:rFonts w:ascii="Garamond" w:hAnsi="Garamond" w:cs="Times New Roman"/>
          <w:color w:val="000000" w:themeColor="text1"/>
          <w:sz w:val="24"/>
          <w:szCs w:val="24"/>
        </w:rPr>
        <w:t xml:space="preserve"> ka intensifikuar format e komunikimit me institucionet që furnizojnë prodhuesit statistikorë me të dhëna administrative. Gjithashtu, marrëdhënia ndërmjet prodhuesve të statistikave zyrtare është formalizuar nëpërmjet krijimit të Komitetit të Prodhuesve Statistikorë, instrument i cili siguron një koordinim më të mirë në aspektin e planifikimit dhe shpërndarjes.</w:t>
      </w:r>
    </w:p>
    <w:p w14:paraId="4EB40E91" w14:textId="686F415C"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Punonjës të kualifikuar, të njohur për profesionalizmin dhe eksperiencën. Personeli i sistemit statistikor, veçanërisht i INSTAT-it, gëzon kapacitetet profesionale jo vetëm në fushat statistikore, por edhe në ato mbështetëse, si teknologji i</w:t>
      </w:r>
      <w:r w:rsidR="00F12EB3" w:rsidRPr="004F2AC3">
        <w:rPr>
          <w:rFonts w:ascii="Garamond" w:hAnsi="Garamond" w:cs="Times New Roman"/>
          <w:color w:val="000000" w:themeColor="text1"/>
          <w:sz w:val="24"/>
          <w:szCs w:val="24"/>
        </w:rPr>
        <w:t>nformacioni dhe administrative.</w:t>
      </w:r>
    </w:p>
    <w:p w14:paraId="6C9FBA19" w14:textId="5901E006"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Infrastrukturë trajnimi. Qendra e Trajnimit Statistikor, sipas kërkesave të ligjit për statistikat zyrtare, ka mundësuar përgatitjen e trajnerëve dhe moduleve më të rëndësishme për të rritur kapacitetet profesionale të statisticienëve. Trajnimet ofrojnë njohuri mbi harmonizimin dhe standardet e akteve ndërkombëtare, njohuri teknike për disa fusha statistikore dhe njohuri themelore në aspektin menaxherial/lidership.</w:t>
      </w:r>
    </w:p>
    <w:p w14:paraId="46B340BA" w14:textId="6ADB5400"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Mbështetje ndërkombëtare. Sistemi Kombëtar Statistikor mbështetet nga programet e Bashkimit Evropian dhe të disa vendeve anëtare për kryerjen e sukse</w:t>
      </w:r>
      <w:r w:rsidR="00AE7B10" w:rsidRPr="004F2AC3">
        <w:rPr>
          <w:rFonts w:ascii="Garamond" w:hAnsi="Garamond" w:cs="Times New Roman"/>
          <w:color w:val="000000" w:themeColor="text1"/>
          <w:sz w:val="24"/>
          <w:szCs w:val="24"/>
        </w:rPr>
        <w:t>s</w:t>
      </w:r>
      <w:r w:rsidR="00F40AE3" w:rsidRPr="004F2AC3">
        <w:rPr>
          <w:rFonts w:ascii="Garamond" w:hAnsi="Garamond" w:cs="Times New Roman"/>
          <w:color w:val="000000" w:themeColor="text1"/>
          <w:sz w:val="24"/>
          <w:szCs w:val="24"/>
        </w:rPr>
        <w:t>shme të aktiviteteve statistikore</w:t>
      </w:r>
      <w:r w:rsidR="00F12EB3"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xml:space="preserve"> si dhe modernizimin e fazave të ndryshme të procesimit. Njëkohësisht, mbështetja ka ndihmuar në proceset e vlerësimit të performancës për të evidentuar pikat që kanë nevojë për ndërhyrje përmirësuese në të ardhmen.</w:t>
      </w:r>
    </w:p>
    <w:p w14:paraId="65C6EBEC" w14:textId="40CF2676"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Marrëdhënie ndërkombëtare. Prodhuesit e statistikave zyrtare janë në gjendje të bashkëpunojnë me partnerët e huaj për projekte të ndryshme rajonale dhe më gjerë</w:t>
      </w:r>
      <w:r w:rsidR="00F12EB3"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xml:space="preserve"> si dhe të kontribuojnë në nxjerrjen e udhëzimeve përmirësuese për prodhim statistikor. Nga ana tjetër, bashkëpunimet kanë ndikuar në rritjen e njohurive nëpërmjet shkëmbimit të eksperiencave.</w:t>
      </w:r>
    </w:p>
    <w:p w14:paraId="1B559A19" w14:textId="0D0BB664"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Konfidencialiteti i të dhënave. Për të rritur besueshmërinë e individëve, INSTAT</w:t>
      </w:r>
      <w:r w:rsidR="00AE7B10" w:rsidRPr="004F2AC3">
        <w:rPr>
          <w:rFonts w:ascii="Garamond" w:hAnsi="Garamond" w:cs="Times New Roman"/>
          <w:color w:val="000000" w:themeColor="text1"/>
          <w:sz w:val="24"/>
          <w:szCs w:val="24"/>
        </w:rPr>
        <w:t>-i</w:t>
      </w:r>
      <w:r w:rsidR="00F40AE3" w:rsidRPr="004F2AC3">
        <w:rPr>
          <w:rFonts w:ascii="Garamond" w:hAnsi="Garamond" w:cs="Times New Roman"/>
          <w:color w:val="000000" w:themeColor="text1"/>
          <w:sz w:val="24"/>
          <w:szCs w:val="24"/>
        </w:rPr>
        <w:t xml:space="preserve"> dhe prodhuesit e tjerë të statistikave zyrtare kanë ndërtuar infrastrukturën e duhur ligjore dhe teknike për të garantuar trajtimin e të dhënave të tyre si konfidenciale dhe në përputhje me legjislacionin për mbrojtjen e të dhënave personale.</w:t>
      </w:r>
    </w:p>
    <w:p w14:paraId="3E0570FF" w14:textId="143F70DB"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 xml:space="preserve">Cilësia statistikore. Përdorimi i instrumenteve GSBPM, Metadata, SIMS dhe </w:t>
      </w:r>
      <w:r w:rsidR="00F12EB3" w:rsidRPr="004F2AC3">
        <w:rPr>
          <w:rFonts w:ascii="Garamond" w:hAnsi="Garamond" w:cs="Times New Roman"/>
          <w:color w:val="000000" w:themeColor="text1"/>
          <w:sz w:val="24"/>
          <w:szCs w:val="24"/>
        </w:rPr>
        <w:t>raportet e cilësisë</w:t>
      </w:r>
      <w:r w:rsidR="00F40AE3" w:rsidRPr="004F2AC3">
        <w:rPr>
          <w:rFonts w:ascii="Garamond" w:hAnsi="Garamond" w:cs="Times New Roman"/>
          <w:color w:val="000000" w:themeColor="text1"/>
          <w:sz w:val="24"/>
          <w:szCs w:val="24"/>
        </w:rPr>
        <w:t>, shërbejnë jo vetëm për përmirësimin e cilësisë së aktiviteteve statistikore, por edhe për rritjen e transparencës së prodhuesve në lidhje me publikun.</w:t>
      </w:r>
    </w:p>
    <w:p w14:paraId="71CCBE26" w14:textId="0B92E9D9"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Plani i vazhdimësisë. Për arsye të eksperiencës negative të shkaktuar nga shkaqet madhore, tërmetet dhe pandemia, INSTAT</w:t>
      </w:r>
      <w:r w:rsidR="00F12EB3" w:rsidRPr="004F2AC3">
        <w:rPr>
          <w:rFonts w:ascii="Garamond" w:hAnsi="Garamond" w:cs="Times New Roman"/>
          <w:color w:val="000000" w:themeColor="text1"/>
          <w:sz w:val="24"/>
          <w:szCs w:val="24"/>
        </w:rPr>
        <w:t>-i</w:t>
      </w:r>
      <w:r w:rsidR="00F40AE3" w:rsidRPr="004F2AC3">
        <w:rPr>
          <w:rFonts w:ascii="Garamond" w:hAnsi="Garamond" w:cs="Times New Roman"/>
          <w:color w:val="000000" w:themeColor="text1"/>
          <w:sz w:val="24"/>
          <w:szCs w:val="24"/>
        </w:rPr>
        <w:t xml:space="preserve"> ka hartuar </w:t>
      </w:r>
      <w:r w:rsidR="00F12EB3" w:rsidRPr="004F2AC3">
        <w:rPr>
          <w:rFonts w:ascii="Garamond" w:hAnsi="Garamond" w:cs="Times New Roman"/>
          <w:color w:val="000000" w:themeColor="text1"/>
          <w:sz w:val="24"/>
          <w:szCs w:val="24"/>
        </w:rPr>
        <w:t xml:space="preserve">planin e vazhdimësisë </w:t>
      </w:r>
      <w:r w:rsidR="00F40AE3" w:rsidRPr="004F2AC3">
        <w:rPr>
          <w:rFonts w:ascii="Garamond" w:hAnsi="Garamond" w:cs="Times New Roman"/>
          <w:color w:val="000000" w:themeColor="text1"/>
          <w:sz w:val="24"/>
          <w:szCs w:val="24"/>
        </w:rPr>
        <w:t>për reagimin e institucionit në rast të ndeshjes së pengesave të tilla në të ardhmen.</w:t>
      </w:r>
    </w:p>
    <w:p w14:paraId="56A7BE00" w14:textId="3FA26ED4"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Këshilli i Statistikave si zëri i përdoruesve. Përdoruesit e statistikave zyrtare janë klienti i produkteve statistikore. Këshilli i Statistikave përbëhet nga përfaqësues të përdoruesve kryesorë në vend. Zëri i tyre ndihmon në proceset e planifikimit statistikor dhe monitorimit të performancës së sistemit.</w:t>
      </w:r>
    </w:p>
    <w:p w14:paraId="7C30EC20" w14:textId="240F793F"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Mbështetje e qeverisë mbi besueshmërinë në të dhënat statistikore zyrtare. Këshilli i Ministrave, nëpërmjet VKM</w:t>
      </w:r>
      <w:r w:rsidR="008F4963" w:rsidRPr="004F2AC3">
        <w:rPr>
          <w:rFonts w:ascii="Garamond" w:hAnsi="Garamond" w:cs="Times New Roman"/>
          <w:color w:val="000000" w:themeColor="text1"/>
          <w:sz w:val="24"/>
          <w:szCs w:val="24"/>
        </w:rPr>
        <w:t>-së</w:t>
      </w:r>
      <w:r w:rsidR="00F40AE3" w:rsidRPr="004F2AC3">
        <w:rPr>
          <w:rFonts w:ascii="Garamond" w:hAnsi="Garamond" w:cs="Times New Roman"/>
          <w:color w:val="000000" w:themeColor="text1"/>
          <w:sz w:val="24"/>
          <w:szCs w:val="24"/>
        </w:rPr>
        <w:t xml:space="preserve"> nr. 650, datë 10.11.2017, ka </w:t>
      </w:r>
      <w:r w:rsidR="00AE7B10" w:rsidRPr="004F2AC3">
        <w:rPr>
          <w:rFonts w:ascii="Garamond" w:hAnsi="Garamond" w:cs="Times New Roman"/>
          <w:color w:val="000000" w:themeColor="text1"/>
          <w:sz w:val="24"/>
          <w:szCs w:val="24"/>
        </w:rPr>
        <w:t>shprehur</w:t>
      </w:r>
      <w:r w:rsidR="00F40AE3" w:rsidRPr="004F2AC3">
        <w:rPr>
          <w:rFonts w:ascii="Garamond" w:hAnsi="Garamond" w:cs="Times New Roman"/>
          <w:color w:val="000000" w:themeColor="text1"/>
          <w:sz w:val="24"/>
          <w:szCs w:val="24"/>
        </w:rPr>
        <w:t xml:space="preserve"> angazhimin e tij për të respektuar kërkesat e standardeve evropiane dhe parimet statistikore, ka garantuar ruajtjen e pavarësisë profesionale të INSTAT-it dhe alokimin e burimeve të nevojshme financiare dhe njerëzore për kryerjen e aktiviteteve statistikore të programit.</w:t>
      </w:r>
    </w:p>
    <w:p w14:paraId="58443A64" w14:textId="77777777" w:rsidR="00F40AE3" w:rsidRPr="004F2AC3" w:rsidRDefault="00F40AE3"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PIKAT E DOBËTA</w:t>
      </w:r>
    </w:p>
    <w:p w14:paraId="4C80FA00" w14:textId="0321FC7B"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Burime të pamjaftueshme. Burime të pamjaftueshme njerëzore nuk mundësojnë përmbushjen e kërkesave në</w:t>
      </w:r>
      <w:r w:rsidR="008F4963" w:rsidRPr="004F2AC3">
        <w:rPr>
          <w:rFonts w:ascii="Garamond" w:hAnsi="Garamond" w:cs="Times New Roman"/>
          <w:color w:val="000000" w:themeColor="text1"/>
          <w:sz w:val="24"/>
          <w:szCs w:val="24"/>
        </w:rPr>
        <w:t xml:space="preserve"> rritje për statistika zyrtare.</w:t>
      </w:r>
    </w:p>
    <w:p w14:paraId="0B03AC84" w14:textId="464A371D"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Auditi statistikor. INSTAT</w:t>
      </w:r>
      <w:r w:rsidR="00AE7B10" w:rsidRPr="004F2AC3">
        <w:rPr>
          <w:rFonts w:ascii="Garamond" w:hAnsi="Garamond" w:cs="Times New Roman"/>
          <w:color w:val="000000" w:themeColor="text1"/>
          <w:sz w:val="24"/>
          <w:szCs w:val="24"/>
        </w:rPr>
        <w:t>-i</w:t>
      </w:r>
      <w:r w:rsidR="00F40AE3" w:rsidRPr="004F2AC3">
        <w:rPr>
          <w:rFonts w:ascii="Garamond" w:hAnsi="Garamond" w:cs="Times New Roman"/>
          <w:color w:val="000000" w:themeColor="text1"/>
          <w:sz w:val="24"/>
          <w:szCs w:val="24"/>
        </w:rPr>
        <w:t>, nën cilësinë e institucionit përgjegjës për të garantuar zbatueshmërinë e parimeve statistikore, nuk zotëron kontroll të mjaftueshëm mbi cilësinë e të dhënave të ofruara nga institucionet publike dhe prodhuesit e tjerë të statistikave zyrtare, kryesisht mbi saktësinë, përpikmërinë, afatin kohor, etj.</w:t>
      </w:r>
    </w:p>
    <w:p w14:paraId="26FE079D" w14:textId="01783143"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Edukimi statistikor. Mangësitë në njohuritë statistikore ndikojnë negativisht në interpretimin e drejtë të treguesve statistikorë nga grupet e interesit, siç janë përdoruesit dhe media. Për këtë, trajnimi i vazhdueshëm i përdoruesve për fusha të ndryshme të statistikës do të ndikonte në rritjen e shkallës së interpretimit dhe analizave të informacionit statistikor.</w:t>
      </w:r>
    </w:p>
    <w:p w14:paraId="7A76ECB2" w14:textId="6CF4254E"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Shpërndarja e informacionit statistikor. Shpërndarja e informacionit statistikor, në kohë dhe formate të aksesueshme për përdoruesit duhet të jetë prioritet i INSTAT</w:t>
      </w:r>
      <w:r w:rsidR="00AE7B10" w:rsidRPr="004F2AC3">
        <w:rPr>
          <w:rFonts w:ascii="Garamond" w:hAnsi="Garamond" w:cs="Times New Roman"/>
          <w:color w:val="000000" w:themeColor="text1"/>
          <w:sz w:val="24"/>
          <w:szCs w:val="24"/>
        </w:rPr>
        <w:t>-it</w:t>
      </w:r>
      <w:r w:rsidR="008F4963"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xml:space="preserve"> duke përafruar të dhënat e publikuara në kalendar me ato të standardeve ndërkombëtare.</w:t>
      </w:r>
    </w:p>
    <w:p w14:paraId="627EAC9F" w14:textId="77777777" w:rsidR="00F40AE3" w:rsidRPr="004F2AC3" w:rsidRDefault="00F40AE3"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MUNDËSITË</w:t>
      </w:r>
    </w:p>
    <w:p w14:paraId="30B12914" w14:textId="21F4458B"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Integrimi Evropian. Procesi i Integrimit Evropian, veçanërisht hapja e negociatave për anëtarësim në BE, rrit ndjeshëm nevojën për statistika cilësore, të besueshme dhe të krahasueshme me ato të vendeve anëtare. Ky proces krijon mundësi konkrete për bashkëpunim të thellu</w:t>
      </w:r>
      <w:r w:rsidR="008F4963" w:rsidRPr="004F2AC3">
        <w:rPr>
          <w:rFonts w:ascii="Garamond" w:hAnsi="Garamond" w:cs="Times New Roman"/>
          <w:color w:val="000000" w:themeColor="text1"/>
          <w:sz w:val="24"/>
          <w:szCs w:val="24"/>
        </w:rPr>
        <w:t>ar midis INSTAT-it dhe Eurostat</w:t>
      </w:r>
      <w:r w:rsidR="00F40AE3" w:rsidRPr="004F2AC3">
        <w:rPr>
          <w:rFonts w:ascii="Garamond" w:hAnsi="Garamond" w:cs="Times New Roman"/>
          <w:color w:val="000000" w:themeColor="text1"/>
          <w:sz w:val="24"/>
          <w:szCs w:val="24"/>
        </w:rPr>
        <w:t>it, duke mundësuar shkëmbime të vlefshme të eksperiencave më të mira dhe përforcimin e kapaciteteve teknike.</w:t>
      </w:r>
    </w:p>
    <w:p w14:paraId="1781AB86" w14:textId="1C70B893" w:rsidR="00F40AE3" w:rsidRPr="004F2AC3" w:rsidRDefault="00F40AE3"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Në të njëjtën kohë, procesi i integrimit kontribuon në rritjen e ndërgjegjësimit dhe përgatitjen e stafit statistikor për të zbatuar standardet evropiane. Përafrimi me </w:t>
      </w:r>
      <w:r w:rsidRPr="004F2AC3">
        <w:rPr>
          <w:rFonts w:ascii="Garamond" w:hAnsi="Garamond" w:cs="Times New Roman"/>
          <w:i/>
          <w:color w:val="000000" w:themeColor="text1"/>
          <w:sz w:val="24"/>
          <w:szCs w:val="24"/>
        </w:rPr>
        <w:t>acquis communautaire</w:t>
      </w:r>
      <w:r w:rsidRPr="004F2AC3">
        <w:rPr>
          <w:rFonts w:ascii="Garamond" w:hAnsi="Garamond" w:cs="Times New Roman"/>
          <w:color w:val="000000" w:themeColor="text1"/>
          <w:sz w:val="24"/>
          <w:szCs w:val="24"/>
        </w:rPr>
        <w:t xml:space="preserve">, veçanërisht me kërkesat e </w:t>
      </w:r>
      <w:r w:rsidR="008F4963" w:rsidRPr="004F2AC3">
        <w:rPr>
          <w:rFonts w:ascii="Garamond" w:hAnsi="Garamond" w:cs="Times New Roman"/>
          <w:color w:val="000000" w:themeColor="text1"/>
          <w:sz w:val="24"/>
          <w:szCs w:val="24"/>
        </w:rPr>
        <w:t xml:space="preserve">kapitullit </w:t>
      </w:r>
      <w:r w:rsidRPr="004F2AC3">
        <w:rPr>
          <w:rFonts w:ascii="Garamond" w:hAnsi="Garamond" w:cs="Times New Roman"/>
          <w:color w:val="000000" w:themeColor="text1"/>
          <w:sz w:val="24"/>
          <w:szCs w:val="24"/>
        </w:rPr>
        <w:t>18 (Statistikat), ndikon drejtpërdrejt në përmirësimin e kuadrit ligjor për statistikat zyrtare dhe në forcimin e Sistemit Kombëtar Statistikor.</w:t>
      </w:r>
    </w:p>
    <w:p w14:paraId="649E038D" w14:textId="3B619E4D"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 xml:space="preserve">Infrastruktura moderne dhe evolucioni teknologjik. Përparimet e vazhdueshme në </w:t>
      </w:r>
      <w:r w:rsidR="008F4963" w:rsidRPr="004F2AC3">
        <w:rPr>
          <w:rFonts w:ascii="Garamond" w:hAnsi="Garamond" w:cs="Times New Roman"/>
          <w:color w:val="000000" w:themeColor="text1"/>
          <w:sz w:val="24"/>
          <w:szCs w:val="24"/>
        </w:rPr>
        <w:t xml:space="preserve">teknologjinë </w:t>
      </w:r>
      <w:r w:rsidR="00F40AE3" w:rsidRPr="004F2AC3">
        <w:rPr>
          <w:rFonts w:ascii="Garamond" w:hAnsi="Garamond" w:cs="Times New Roman"/>
          <w:color w:val="000000" w:themeColor="text1"/>
          <w:sz w:val="24"/>
          <w:szCs w:val="24"/>
        </w:rPr>
        <w:t xml:space="preserve">e </w:t>
      </w:r>
      <w:r w:rsidR="008F4963" w:rsidRPr="004F2AC3">
        <w:rPr>
          <w:rFonts w:ascii="Garamond" w:hAnsi="Garamond" w:cs="Times New Roman"/>
          <w:color w:val="000000" w:themeColor="text1"/>
          <w:sz w:val="24"/>
          <w:szCs w:val="24"/>
        </w:rPr>
        <w:t xml:space="preserve">informacionit </w:t>
      </w:r>
      <w:r w:rsidR="00F40AE3" w:rsidRPr="004F2AC3">
        <w:rPr>
          <w:rFonts w:ascii="Garamond" w:hAnsi="Garamond" w:cs="Times New Roman"/>
          <w:color w:val="000000" w:themeColor="text1"/>
          <w:sz w:val="24"/>
          <w:szCs w:val="24"/>
        </w:rPr>
        <w:t>ofrojnë një mundësi të rëndësishme për të forcuar sistemet e komunikimit ndërmjet INSTAT-it, furnizuesve të të dhënave administrative dhe përdoruesve të statistikave. Investimet e realizuara me mbështetjen e buxhetit të shtetit dhe donatorëve kanë mundësuar ngritjen e sistemeve bashkëkohore IT dhe rritjen e kapaciteteve profesionale të stafit. Duke shfrytëzuar ekspertizën e stafit IT dhe duke ndjekur në mënyrë të vazhdueshme zhvillimet teknologjike, INSTAT</w:t>
      </w:r>
      <w:r w:rsidR="00AE7B10" w:rsidRPr="004F2AC3">
        <w:rPr>
          <w:rFonts w:ascii="Garamond" w:hAnsi="Garamond" w:cs="Times New Roman"/>
          <w:color w:val="000000" w:themeColor="text1"/>
          <w:sz w:val="24"/>
          <w:szCs w:val="24"/>
        </w:rPr>
        <w:t>-i</w:t>
      </w:r>
      <w:r w:rsidR="00F40AE3" w:rsidRPr="004F2AC3">
        <w:rPr>
          <w:rFonts w:ascii="Garamond" w:hAnsi="Garamond" w:cs="Times New Roman"/>
          <w:color w:val="000000" w:themeColor="text1"/>
          <w:sz w:val="24"/>
          <w:szCs w:val="24"/>
        </w:rPr>
        <w:t xml:space="preserve"> ka mundësinë të konsolidojë më tej pozicionin e tij si institucion modern, i harmonizuar me standardet dhe praktikat</w:t>
      </w:r>
      <w:r w:rsidR="008F4963" w:rsidRPr="004F2AC3">
        <w:rPr>
          <w:rFonts w:ascii="Garamond" w:hAnsi="Garamond" w:cs="Times New Roman"/>
          <w:color w:val="000000" w:themeColor="text1"/>
          <w:sz w:val="24"/>
          <w:szCs w:val="24"/>
        </w:rPr>
        <w:t xml:space="preserve"> më të avancuara ndërkombëtare.</w:t>
      </w:r>
    </w:p>
    <w:p w14:paraId="1CFB2A31" w14:textId="4DEC8405"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Procesi zhvillimor për cilësinë statistikore. Përmirësimet në aspektin e cilësisë së statistikave që prodhon sistemi, ndikojnë në zbatimin e parimeve statistikore</w:t>
      </w:r>
      <w:r w:rsidR="008F4963"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xml:space="preserve"> si dhe transparencën e besueshmërinë e publikut në to.</w:t>
      </w:r>
    </w:p>
    <w:p w14:paraId="6A8E57D7" w14:textId="205D6486"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Përmbushje e kërkesave. Statistikat zyrtare të prodhuara do të mbështesin politik</w:t>
      </w:r>
      <w:r w:rsidR="003338A8" w:rsidRPr="004F2AC3">
        <w:rPr>
          <w:rFonts w:ascii="Garamond" w:hAnsi="Garamond" w:cs="Times New Roman"/>
          <w:color w:val="000000" w:themeColor="text1"/>
          <w:sz w:val="24"/>
          <w:szCs w:val="24"/>
        </w:rPr>
        <w:t>ë</w:t>
      </w:r>
      <w:r w:rsidR="00F40AE3" w:rsidRPr="004F2AC3">
        <w:rPr>
          <w:rFonts w:ascii="Garamond" w:hAnsi="Garamond" w:cs="Times New Roman"/>
          <w:color w:val="000000" w:themeColor="text1"/>
          <w:sz w:val="24"/>
          <w:szCs w:val="24"/>
        </w:rPr>
        <w:t>bërësit për hartimin e dokumenteve strategjike, politikave makroekonomike dhe sociale</w:t>
      </w:r>
      <w:r w:rsidR="008F4963"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xml:space="preserve"> si në nivel kombëtar ashtu edhe rajonal.</w:t>
      </w:r>
    </w:p>
    <w:p w14:paraId="71CCBC3A" w14:textId="7D111402"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Rritja e pagave. Rritja e pagave ndikon në rritjen e kënaqësisë së punonjësve, duke sjellë rritje të motivimit dhe performancës në punë. Gjithashtu, në nivel institucional ky instrument krijon mundësi që të reduktohen largimet duke sjellë si pasojë stabilitet në lëvizjet e punonjësve.</w:t>
      </w:r>
    </w:p>
    <w:p w14:paraId="6DE162B9" w14:textId="77777777" w:rsidR="00F40AE3" w:rsidRPr="004F2AC3" w:rsidRDefault="00F40AE3"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KËRCËNIMET</w:t>
      </w:r>
    </w:p>
    <w:p w14:paraId="7A95556E" w14:textId="21E8E74E"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 xml:space="preserve">Moszbatimi i detyrimeve që rrjedhin nga ky </w:t>
      </w:r>
      <w:r w:rsidR="008F4963" w:rsidRPr="004F2AC3">
        <w:rPr>
          <w:rFonts w:ascii="Garamond" w:hAnsi="Garamond" w:cs="Times New Roman"/>
          <w:color w:val="000000" w:themeColor="text1"/>
          <w:sz w:val="24"/>
          <w:szCs w:val="24"/>
        </w:rPr>
        <w:t xml:space="preserve">program nga të gjithë aktorët, si </w:t>
      </w:r>
      <w:r w:rsidR="00F40AE3" w:rsidRPr="004F2AC3">
        <w:rPr>
          <w:rFonts w:ascii="Garamond" w:hAnsi="Garamond" w:cs="Times New Roman"/>
          <w:color w:val="000000" w:themeColor="text1"/>
          <w:sz w:val="24"/>
          <w:szCs w:val="24"/>
        </w:rPr>
        <w:t>mosrespektimi i afateve kohore për dërgimin e të dhënave dhe informacioni jo i plotë nga njësitë statistikore dhe siguruesit e të dhënave administrative, do të sillte vonesë në zbatimin e aktiviteteve statistikore sipas afateve të parashikuara dhe mangësi në sasinë dhe cilësinë e treguesve.</w:t>
      </w:r>
    </w:p>
    <w:p w14:paraId="4DFB5179" w14:textId="54FE8F56"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Mungesa e strukturave statistikore</w:t>
      </w:r>
      <w:r w:rsidR="008F4963"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xml:space="preserve"> si dhe rishikimi i herëpashershëm i strukturës organizative në ministritë e linjës dhe institucionet e tjera që sigurojnë të dhënat administrative, rrezikon zbatimin cilësor të këtij programi.</w:t>
      </w:r>
    </w:p>
    <w:p w14:paraId="3D717A2E" w14:textId="1362985D"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 xml:space="preserve">Mungesa e burimeve financiare dhe njerëzore mund të rrezikojë moskryerjen e vrojtimeve të parashikuara në këtë </w:t>
      </w:r>
      <w:r w:rsidR="008F4963" w:rsidRPr="004F2AC3">
        <w:rPr>
          <w:rFonts w:ascii="Garamond" w:hAnsi="Garamond" w:cs="Times New Roman"/>
          <w:color w:val="000000" w:themeColor="text1"/>
          <w:sz w:val="24"/>
          <w:szCs w:val="24"/>
        </w:rPr>
        <w:t>program</w:t>
      </w:r>
      <w:r w:rsidR="00F40AE3" w:rsidRPr="004F2AC3">
        <w:rPr>
          <w:rFonts w:ascii="Garamond" w:hAnsi="Garamond" w:cs="Times New Roman"/>
          <w:color w:val="000000" w:themeColor="text1"/>
          <w:sz w:val="24"/>
          <w:szCs w:val="24"/>
        </w:rPr>
        <w:t>.</w:t>
      </w:r>
    </w:p>
    <w:p w14:paraId="45690DC7" w14:textId="286D1793"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Mospërdorimi i klasifikimeve të njëjta në të gjitha institucionet. Nëse nuk do të arrihet përdorimi i klasifikimeve të parashikuara të implementohen gjatë zbatimit të këtij programi, atëherë kjo do të sillte mospërputhshmërinë e të dhënave për të njëjtët tregues.</w:t>
      </w:r>
    </w:p>
    <w:p w14:paraId="6A4267AD" w14:textId="2DE822AC"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Sulmet kibernetike: Siguria e të dhënave në kohën e sotme nuk është një detyrë e lehtë, në një mjedis ku sistemet e TI-së janë subjekt ndaj sulmeve kibernetike, hakerimeve dhe shumë kërcënimeve të tjera që mjediset e informacionit të di</w:t>
      </w:r>
      <w:r w:rsidR="00AE7B10" w:rsidRPr="004F2AC3">
        <w:rPr>
          <w:rFonts w:ascii="Garamond" w:hAnsi="Garamond" w:cs="Times New Roman"/>
          <w:color w:val="000000" w:themeColor="text1"/>
          <w:sz w:val="24"/>
          <w:szCs w:val="24"/>
        </w:rPr>
        <w:t>gj</w:t>
      </w:r>
      <w:r w:rsidR="00F40AE3" w:rsidRPr="004F2AC3">
        <w:rPr>
          <w:rFonts w:ascii="Garamond" w:hAnsi="Garamond" w:cs="Times New Roman"/>
          <w:color w:val="000000" w:themeColor="text1"/>
          <w:sz w:val="24"/>
          <w:szCs w:val="24"/>
        </w:rPr>
        <w:t>italizuar i ekspozohen, pavarësisht vendndodhjes apo mënyrës së lidhjes të përdorur.</w:t>
      </w:r>
    </w:p>
    <w:p w14:paraId="109056A1" w14:textId="5A4E7143" w:rsidR="00F40AE3"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 xml:space="preserve">Mospërafrimi i akteve me </w:t>
      </w:r>
      <w:r w:rsidR="00F40AE3" w:rsidRPr="004F2AC3">
        <w:rPr>
          <w:rFonts w:ascii="Garamond" w:hAnsi="Garamond" w:cs="Times New Roman"/>
          <w:i/>
          <w:color w:val="000000" w:themeColor="text1"/>
          <w:sz w:val="24"/>
          <w:szCs w:val="24"/>
        </w:rPr>
        <w:t>acquis communitaire</w:t>
      </w:r>
      <w:r w:rsidR="00F40AE3" w:rsidRPr="004F2AC3">
        <w:rPr>
          <w:rFonts w:ascii="Garamond" w:hAnsi="Garamond" w:cs="Times New Roman"/>
          <w:color w:val="000000" w:themeColor="text1"/>
          <w:sz w:val="24"/>
          <w:szCs w:val="24"/>
        </w:rPr>
        <w:t xml:space="preserve"> c</w:t>
      </w:r>
      <w:r w:rsidR="00AE7B10" w:rsidRPr="004F2AC3">
        <w:rPr>
          <w:rFonts w:ascii="Garamond" w:hAnsi="Garamond" w:cs="Times New Roman"/>
          <w:color w:val="000000" w:themeColor="text1"/>
          <w:sz w:val="24"/>
          <w:szCs w:val="24"/>
        </w:rPr>
        <w:t>e</w:t>
      </w:r>
      <w:r w:rsidR="00F40AE3" w:rsidRPr="004F2AC3">
        <w:rPr>
          <w:rFonts w:ascii="Garamond" w:hAnsi="Garamond" w:cs="Times New Roman"/>
          <w:color w:val="000000" w:themeColor="text1"/>
          <w:sz w:val="24"/>
          <w:szCs w:val="24"/>
        </w:rPr>
        <w:t>non mosrealizimin e programit sipas standardeve evropiane, duke penguar/vonuar procesin e integrimit në fushën e statistikave.</w:t>
      </w:r>
    </w:p>
    <w:p w14:paraId="06D33FDB" w14:textId="24227E27" w:rsidR="000F566F" w:rsidRPr="004F2AC3" w:rsidRDefault="00FB752F" w:rsidP="00F40AE3">
      <w:pPr>
        <w:tabs>
          <w:tab w:val="left" w:pos="0"/>
          <w:tab w:val="left" w:pos="720"/>
        </w:tabs>
        <w:spacing w:after="0" w:line="240" w:lineRule="auto"/>
        <w:ind w:firstLine="284"/>
        <w:contextualSpacing/>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40AE3" w:rsidRPr="004F2AC3">
        <w:rPr>
          <w:rFonts w:ascii="Garamond" w:hAnsi="Garamond" w:cs="Times New Roman"/>
          <w:color w:val="000000" w:themeColor="text1"/>
          <w:sz w:val="24"/>
          <w:szCs w:val="24"/>
        </w:rPr>
        <w:t>Forcat madhore. Nga eksperienca e viteve të fundit, fenomene të tilla si tërmetet dhe pandemitë mund të ndikojnë drejtpërdrejtë në vazhdueshmërinë e proceseve statistikore</w:t>
      </w:r>
      <w:r w:rsidR="008F4963" w:rsidRPr="004F2AC3">
        <w:rPr>
          <w:rFonts w:ascii="Garamond" w:hAnsi="Garamond" w:cs="Times New Roman"/>
          <w:color w:val="000000" w:themeColor="text1"/>
          <w:sz w:val="24"/>
          <w:szCs w:val="24"/>
        </w:rPr>
        <w:t>,</w:t>
      </w:r>
      <w:r w:rsidR="00F40AE3" w:rsidRPr="004F2AC3">
        <w:rPr>
          <w:rFonts w:ascii="Garamond" w:hAnsi="Garamond" w:cs="Times New Roman"/>
          <w:color w:val="000000" w:themeColor="text1"/>
          <w:sz w:val="24"/>
          <w:szCs w:val="24"/>
        </w:rPr>
        <w:t xml:space="preserve"> si dhe të kenë impakt në nivelet buxheto</w:t>
      </w:r>
      <w:r w:rsidR="008F4963" w:rsidRPr="004F2AC3">
        <w:rPr>
          <w:rFonts w:ascii="Garamond" w:hAnsi="Garamond" w:cs="Times New Roman"/>
          <w:color w:val="000000" w:themeColor="text1"/>
          <w:sz w:val="24"/>
          <w:szCs w:val="24"/>
        </w:rPr>
        <w:t>re.</w:t>
      </w:r>
    </w:p>
    <w:p w14:paraId="714565A2" w14:textId="77777777" w:rsidR="000F566F" w:rsidRPr="004F2AC3" w:rsidRDefault="000F566F" w:rsidP="000F566F">
      <w:pPr>
        <w:pStyle w:val="Heading2"/>
        <w:shd w:val="clear" w:color="auto" w:fill="FFFFFF" w:themeFill="background1"/>
        <w:spacing w:before="0" w:line="240" w:lineRule="auto"/>
        <w:ind w:firstLine="284"/>
        <w:jc w:val="both"/>
        <w:rPr>
          <w:rFonts w:ascii="Garamond" w:eastAsia="MS Mincho" w:hAnsi="Garamond" w:cs="Times New Roman"/>
          <w:noProof w:val="0"/>
          <w:color w:val="000000" w:themeColor="text1"/>
          <w:sz w:val="24"/>
          <w:szCs w:val="24"/>
        </w:rPr>
      </w:pPr>
      <w:bookmarkStart w:id="56" w:name="_Toc215132198"/>
      <w:r w:rsidRPr="004F2AC3">
        <w:rPr>
          <w:rFonts w:ascii="Garamond" w:eastAsia="MS Mincho" w:hAnsi="Garamond" w:cs="Times New Roman"/>
          <w:noProof w:val="0"/>
          <w:color w:val="000000" w:themeColor="text1"/>
          <w:sz w:val="24"/>
          <w:szCs w:val="24"/>
        </w:rPr>
        <w:t>X. Analiza e risqeve dhe problemet e pritshme për kryerjen e aktiviteteve</w:t>
      </w:r>
      <w:bookmarkEnd w:id="56"/>
    </w:p>
    <w:p w14:paraId="0E58F715" w14:textId="40FF1DB4"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Secili aktivitet statistikor i parashikuar në Programin Vjetor 2026 dhe pasqyruar në </w:t>
      </w:r>
      <w:r w:rsidR="008F4963" w:rsidRPr="004F2AC3">
        <w:rPr>
          <w:rFonts w:ascii="Garamond" w:hAnsi="Garamond" w:cs="Times New Roman"/>
          <w:color w:val="000000" w:themeColor="text1"/>
          <w:sz w:val="24"/>
          <w:szCs w:val="24"/>
        </w:rPr>
        <w:t xml:space="preserve">aneksin </w:t>
      </w:r>
      <w:r w:rsidRPr="004F2AC3">
        <w:rPr>
          <w:rFonts w:ascii="Garamond" w:hAnsi="Garamond" w:cs="Times New Roman"/>
          <w:color w:val="000000" w:themeColor="text1"/>
          <w:sz w:val="24"/>
          <w:szCs w:val="24"/>
        </w:rPr>
        <w:t>e këtij plani, shoqërohet edhe me problematikat dhe nivelin e risqeve të mundshme që mund të ndikojnë në performancën e aktiviteteve. Në vështrimin e përgjithshëm të aneksit, konstatohet se ka një ngjashmëri në tematikat e risqeve të aktiviteteve, pavarësisht fushës apo temës në të cilën ata parashikohen kryesisht në vonesat në sigurimin e të dhënave, mospërmbushja e kritereve të cilësisë</w:t>
      </w:r>
      <w:r w:rsidR="008F4963"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 saktësia, përpikmëria dhe krahasueshmëria, për të dhënat administrative/vrojtimet statistikore, transmetimin e të dhënave, nivelin profesional, burimet financiare dhe njerëzore për kryerjen e aktivite</w:t>
      </w:r>
      <w:r w:rsidR="008F4963" w:rsidRPr="004F2AC3">
        <w:rPr>
          <w:rFonts w:ascii="Garamond" w:hAnsi="Garamond" w:cs="Times New Roman"/>
          <w:color w:val="000000" w:themeColor="text1"/>
          <w:sz w:val="24"/>
          <w:szCs w:val="24"/>
        </w:rPr>
        <w:t>teve dhe lëvizjet e stafit.</w:t>
      </w:r>
    </w:p>
    <w:p w14:paraId="060BA498" w14:textId="5C5342E4"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Ndër risqet e analizuara është dhe pezullimi/vonesa e mbledhjes, prodhimit dhe shpërndarjes </w:t>
      </w:r>
      <w:r w:rsidR="008F4963" w:rsidRPr="004F2AC3">
        <w:rPr>
          <w:rFonts w:ascii="Garamond" w:hAnsi="Garamond" w:cs="Times New Roman"/>
          <w:color w:val="000000" w:themeColor="text1"/>
          <w:sz w:val="24"/>
          <w:szCs w:val="24"/>
        </w:rPr>
        <w:t>s</w:t>
      </w:r>
      <w:r w:rsidRPr="004F2AC3">
        <w:rPr>
          <w:rFonts w:ascii="Garamond" w:hAnsi="Garamond" w:cs="Times New Roman"/>
          <w:color w:val="000000" w:themeColor="text1"/>
          <w:sz w:val="24"/>
          <w:szCs w:val="24"/>
        </w:rPr>
        <w:t>ë statistikave zyrtare</w:t>
      </w:r>
      <w:r w:rsidR="008F4963"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si</w:t>
      </w:r>
      <w:r w:rsidR="008F4963"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pasojë e fatkeqësive natyrore, pandemive globale, apo sulmeve kibernetike, të cilat paraqesin kërcënime të mëdha për sigurinë e sistemeve të </w:t>
      </w:r>
      <w:r w:rsidR="008F4963" w:rsidRPr="004F2AC3">
        <w:rPr>
          <w:rFonts w:ascii="Garamond" w:hAnsi="Garamond" w:cs="Times New Roman"/>
          <w:color w:val="000000" w:themeColor="text1"/>
          <w:sz w:val="24"/>
          <w:szCs w:val="24"/>
        </w:rPr>
        <w:t>teknologjisë së informacionit</w:t>
      </w:r>
      <w:r w:rsidRPr="004F2AC3">
        <w:rPr>
          <w:rFonts w:ascii="Garamond" w:hAnsi="Garamond" w:cs="Times New Roman"/>
          <w:color w:val="000000" w:themeColor="text1"/>
          <w:sz w:val="24"/>
          <w:szCs w:val="24"/>
        </w:rPr>
        <w:t>. Në një mjedis ku sistemet di</w:t>
      </w:r>
      <w:r w:rsidR="00AE7B10" w:rsidRPr="004F2AC3">
        <w:rPr>
          <w:rFonts w:ascii="Garamond" w:hAnsi="Garamond" w:cs="Times New Roman"/>
          <w:color w:val="000000" w:themeColor="text1"/>
          <w:sz w:val="24"/>
          <w:szCs w:val="24"/>
        </w:rPr>
        <w:t>gj</w:t>
      </w:r>
      <w:r w:rsidRPr="004F2AC3">
        <w:rPr>
          <w:rFonts w:ascii="Garamond" w:hAnsi="Garamond" w:cs="Times New Roman"/>
          <w:color w:val="000000" w:themeColor="text1"/>
          <w:sz w:val="24"/>
          <w:szCs w:val="24"/>
        </w:rPr>
        <w:t>itale janë gjithnjë e më të ekspozuara ndaj hakerimeve dhe sulmeve të tjera të sofistikuara, ruajtja e sigurisë së të dhënave bëhet një risk i vazhdueshëm, pavarësisht vendndodhjes apo mënyrës së lidhjes të përdorur.</w:t>
      </w:r>
    </w:p>
    <w:p w14:paraId="07B60508" w14:textId="77777777" w:rsidR="000F566F" w:rsidRDefault="000F566F" w:rsidP="000F566F">
      <w:pPr>
        <w:shd w:val="clear" w:color="auto" w:fill="FFFFFF" w:themeFill="background1"/>
        <w:tabs>
          <w:tab w:val="left" w:pos="709"/>
        </w:tabs>
        <w:spacing w:after="0" w:line="240" w:lineRule="auto"/>
        <w:ind w:firstLine="284"/>
        <w:jc w:val="both"/>
        <w:rPr>
          <w:rFonts w:ascii="Garamond" w:hAnsi="Garamond" w:cs="Times New Roman"/>
          <w:b/>
          <w:color w:val="000000" w:themeColor="text1"/>
          <w:sz w:val="24"/>
          <w:szCs w:val="24"/>
          <w:highlight w:val="yellow"/>
        </w:rPr>
      </w:pPr>
    </w:p>
    <w:p w14:paraId="3790C105" w14:textId="77777777" w:rsidR="00484960" w:rsidRDefault="00484960" w:rsidP="000F566F">
      <w:pPr>
        <w:shd w:val="clear" w:color="auto" w:fill="FFFFFF" w:themeFill="background1"/>
        <w:tabs>
          <w:tab w:val="left" w:pos="709"/>
        </w:tabs>
        <w:spacing w:after="0" w:line="240" w:lineRule="auto"/>
        <w:ind w:firstLine="284"/>
        <w:jc w:val="both"/>
        <w:rPr>
          <w:rFonts w:ascii="Garamond" w:hAnsi="Garamond" w:cs="Times New Roman"/>
          <w:b/>
          <w:color w:val="000000" w:themeColor="text1"/>
          <w:sz w:val="24"/>
          <w:szCs w:val="24"/>
          <w:highlight w:val="yellow"/>
        </w:rPr>
      </w:pPr>
    </w:p>
    <w:p w14:paraId="4749A652" w14:textId="77777777" w:rsidR="00484960" w:rsidRDefault="00484960" w:rsidP="000F566F">
      <w:pPr>
        <w:shd w:val="clear" w:color="auto" w:fill="FFFFFF" w:themeFill="background1"/>
        <w:tabs>
          <w:tab w:val="left" w:pos="709"/>
        </w:tabs>
        <w:spacing w:after="0" w:line="240" w:lineRule="auto"/>
        <w:ind w:firstLine="284"/>
        <w:jc w:val="both"/>
        <w:rPr>
          <w:rFonts w:ascii="Garamond" w:hAnsi="Garamond" w:cs="Times New Roman"/>
          <w:b/>
          <w:color w:val="000000" w:themeColor="text1"/>
          <w:sz w:val="24"/>
          <w:szCs w:val="24"/>
          <w:highlight w:val="yellow"/>
        </w:rPr>
      </w:pPr>
    </w:p>
    <w:p w14:paraId="6F7E78E5" w14:textId="77777777" w:rsidR="00484960" w:rsidRDefault="00484960" w:rsidP="000F566F">
      <w:pPr>
        <w:shd w:val="clear" w:color="auto" w:fill="FFFFFF" w:themeFill="background1"/>
        <w:tabs>
          <w:tab w:val="left" w:pos="709"/>
        </w:tabs>
        <w:spacing w:after="0" w:line="240" w:lineRule="auto"/>
        <w:ind w:firstLine="284"/>
        <w:jc w:val="both"/>
        <w:rPr>
          <w:rFonts w:ascii="Garamond" w:hAnsi="Garamond" w:cs="Times New Roman"/>
          <w:b/>
          <w:color w:val="000000" w:themeColor="text1"/>
          <w:sz w:val="24"/>
          <w:szCs w:val="24"/>
          <w:highlight w:val="yellow"/>
        </w:rPr>
      </w:pPr>
    </w:p>
    <w:p w14:paraId="61F0D29D" w14:textId="77777777" w:rsidR="00484960" w:rsidRDefault="00484960" w:rsidP="000F566F">
      <w:pPr>
        <w:shd w:val="clear" w:color="auto" w:fill="FFFFFF" w:themeFill="background1"/>
        <w:tabs>
          <w:tab w:val="left" w:pos="709"/>
        </w:tabs>
        <w:spacing w:after="0" w:line="240" w:lineRule="auto"/>
        <w:ind w:firstLine="284"/>
        <w:jc w:val="both"/>
        <w:rPr>
          <w:rFonts w:ascii="Garamond" w:hAnsi="Garamond" w:cs="Times New Roman"/>
          <w:b/>
          <w:color w:val="000000" w:themeColor="text1"/>
          <w:sz w:val="24"/>
          <w:szCs w:val="24"/>
          <w:highlight w:val="yellow"/>
        </w:rPr>
      </w:pPr>
    </w:p>
    <w:p w14:paraId="6ECCC0C0" w14:textId="77777777" w:rsidR="00484960" w:rsidRPr="004F2AC3" w:rsidRDefault="00484960" w:rsidP="000F566F">
      <w:pPr>
        <w:shd w:val="clear" w:color="auto" w:fill="FFFFFF" w:themeFill="background1"/>
        <w:tabs>
          <w:tab w:val="left" w:pos="709"/>
        </w:tabs>
        <w:spacing w:after="0" w:line="240" w:lineRule="auto"/>
        <w:ind w:firstLine="284"/>
        <w:jc w:val="both"/>
        <w:rPr>
          <w:rFonts w:ascii="Garamond" w:hAnsi="Garamond" w:cs="Times New Roman"/>
          <w:b/>
          <w:color w:val="000000" w:themeColor="text1"/>
          <w:sz w:val="24"/>
          <w:szCs w:val="24"/>
          <w:highlight w:val="yellow"/>
        </w:rPr>
      </w:pPr>
      <w:bookmarkStart w:id="57" w:name="_GoBack"/>
      <w:bookmarkEnd w:id="57"/>
    </w:p>
    <w:p w14:paraId="6CEBC504" w14:textId="48DB9D0F" w:rsidR="000F566F" w:rsidRPr="004F2AC3" w:rsidRDefault="000F566F" w:rsidP="000F566F">
      <w:pPr>
        <w:shd w:val="clear" w:color="auto" w:fill="FFFFFF" w:themeFill="background1"/>
        <w:tabs>
          <w:tab w:val="left" w:pos="2355"/>
        </w:tabs>
        <w:spacing w:after="0" w:line="240" w:lineRule="auto"/>
        <w:ind w:firstLine="284"/>
        <w:jc w:val="both"/>
        <w:rPr>
          <w:rFonts w:ascii="Garamond" w:hAnsi="Garamond" w:cs="Times New Roman"/>
          <w:b/>
          <w:color w:val="000000" w:themeColor="text1"/>
          <w:sz w:val="24"/>
          <w:szCs w:val="24"/>
        </w:rPr>
      </w:pPr>
      <w:r w:rsidRPr="004F2AC3">
        <w:rPr>
          <w:rFonts w:ascii="Garamond" w:hAnsi="Garamond" w:cs="Times New Roman"/>
          <w:b/>
          <w:color w:val="000000" w:themeColor="text1"/>
          <w:sz w:val="24"/>
          <w:szCs w:val="24"/>
        </w:rPr>
        <w:t>Tabela nr. 31</w:t>
      </w:r>
      <w:r w:rsidR="00AE7B10" w:rsidRPr="004F2AC3">
        <w:rPr>
          <w:rFonts w:ascii="Garamond" w:hAnsi="Garamond" w:cs="Times New Roman"/>
          <w:b/>
          <w:color w:val="000000" w:themeColor="text1"/>
          <w:sz w:val="24"/>
          <w:szCs w:val="24"/>
        </w:rPr>
        <w:t>:</w:t>
      </w:r>
      <w:r w:rsidRPr="004F2AC3">
        <w:rPr>
          <w:rFonts w:ascii="Garamond" w:hAnsi="Garamond" w:cs="Times New Roman"/>
          <w:b/>
          <w:color w:val="000000" w:themeColor="text1"/>
          <w:sz w:val="24"/>
          <w:szCs w:val="24"/>
        </w:rPr>
        <w:t xml:space="preserve"> Risqet dhe nivelet e tyre për secilën fushë statistikore</w:t>
      </w:r>
    </w:p>
    <w:tbl>
      <w:tblPr>
        <w:tblW w:w="0" w:type="auto"/>
        <w:tblInd w:w="-10" w:type="dxa"/>
        <w:tblLook w:val="04A0" w:firstRow="1" w:lastRow="0" w:firstColumn="1" w:lastColumn="0" w:noHBand="0" w:noVBand="1"/>
      </w:tblPr>
      <w:tblGrid>
        <w:gridCol w:w="1980"/>
        <w:gridCol w:w="5130"/>
        <w:gridCol w:w="1906"/>
      </w:tblGrid>
      <w:tr w:rsidR="000F566F" w:rsidRPr="004F2AC3" w14:paraId="672690DC" w14:textId="77777777" w:rsidTr="00AE7B10">
        <w:trPr>
          <w:trHeight w:val="315"/>
        </w:trPr>
        <w:tc>
          <w:tcPr>
            <w:tcW w:w="1980" w:type="dxa"/>
            <w:tcBorders>
              <w:top w:val="single" w:sz="8" w:space="0" w:color="4F81BD"/>
              <w:left w:val="single" w:sz="8" w:space="0" w:color="4F81BD"/>
              <w:bottom w:val="single" w:sz="8" w:space="0" w:color="4F81BD"/>
              <w:right w:val="single" w:sz="8" w:space="0" w:color="4F81BD"/>
            </w:tcBorders>
            <w:shd w:val="clear" w:color="000000" w:fill="4472C4"/>
            <w:vAlign w:val="center"/>
            <w:hideMark/>
          </w:tcPr>
          <w:p w14:paraId="2BF224BD" w14:textId="77777777" w:rsidR="000F566F" w:rsidRPr="004F2AC3" w:rsidRDefault="000F566F" w:rsidP="00F40AE3">
            <w:pPr>
              <w:spacing w:after="0" w:line="240" w:lineRule="auto"/>
              <w:jc w:val="center"/>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Fusha statistikore</w:t>
            </w:r>
          </w:p>
        </w:tc>
        <w:tc>
          <w:tcPr>
            <w:tcW w:w="5130" w:type="dxa"/>
            <w:tcBorders>
              <w:top w:val="single" w:sz="8" w:space="0" w:color="4F81BD"/>
              <w:left w:val="nil"/>
              <w:bottom w:val="single" w:sz="8" w:space="0" w:color="4F81BD"/>
              <w:right w:val="single" w:sz="8" w:space="0" w:color="4F81BD"/>
            </w:tcBorders>
            <w:shd w:val="clear" w:color="000000" w:fill="4472C4"/>
            <w:vAlign w:val="center"/>
            <w:hideMark/>
          </w:tcPr>
          <w:p w14:paraId="03782AED" w14:textId="77777777" w:rsidR="000F566F" w:rsidRPr="004F2AC3" w:rsidRDefault="000F566F" w:rsidP="00F40AE3">
            <w:pPr>
              <w:spacing w:after="0" w:line="240" w:lineRule="auto"/>
              <w:jc w:val="center"/>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Risku</w:t>
            </w:r>
          </w:p>
        </w:tc>
        <w:tc>
          <w:tcPr>
            <w:tcW w:w="1906" w:type="dxa"/>
            <w:tcBorders>
              <w:top w:val="single" w:sz="8" w:space="0" w:color="4F81BD"/>
              <w:left w:val="nil"/>
              <w:bottom w:val="single" w:sz="8" w:space="0" w:color="4F81BD"/>
              <w:right w:val="single" w:sz="8" w:space="0" w:color="4F81BD"/>
            </w:tcBorders>
            <w:shd w:val="clear" w:color="000000" w:fill="4472C4"/>
            <w:noWrap/>
            <w:vAlign w:val="center"/>
            <w:hideMark/>
          </w:tcPr>
          <w:p w14:paraId="3413656B" w14:textId="180C5FF3" w:rsidR="000F566F" w:rsidRPr="004F2AC3" w:rsidRDefault="000F566F" w:rsidP="00F40AE3">
            <w:pPr>
              <w:spacing w:after="0" w:line="240" w:lineRule="auto"/>
              <w:jc w:val="center"/>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Niveli i riskut:</w:t>
            </w:r>
            <w:r w:rsidR="00684E85" w:rsidRPr="004F2AC3">
              <w:rPr>
                <w:rFonts w:ascii="Garamond" w:eastAsia="Times New Roman" w:hAnsi="Garamond" w:cs="Times New Roman"/>
                <w:b/>
                <w:bCs/>
                <w:color w:val="000000" w:themeColor="text1"/>
                <w:sz w:val="20"/>
                <w:szCs w:val="20"/>
              </w:rPr>
              <w:t xml:space="preserve"> </w:t>
            </w:r>
            <w:r w:rsidRPr="004F2AC3">
              <w:rPr>
                <w:rFonts w:ascii="Garamond" w:eastAsia="Times New Roman" w:hAnsi="Garamond" w:cs="Times New Roman"/>
                <w:b/>
                <w:bCs/>
                <w:color w:val="000000" w:themeColor="text1"/>
                <w:sz w:val="20"/>
                <w:szCs w:val="20"/>
              </w:rPr>
              <w:t>1-3 i ulët, 4</w:t>
            </w:r>
            <w:r w:rsidR="00AE7B10" w:rsidRPr="004F2AC3">
              <w:rPr>
                <w:rFonts w:ascii="Garamond" w:eastAsia="Times New Roman" w:hAnsi="Garamond" w:cs="Times New Roman"/>
                <w:b/>
                <w:bCs/>
                <w:color w:val="000000" w:themeColor="text1"/>
                <w:sz w:val="20"/>
                <w:szCs w:val="20"/>
              </w:rPr>
              <w:t>–</w:t>
            </w:r>
            <w:r w:rsidRPr="004F2AC3">
              <w:rPr>
                <w:rFonts w:ascii="Garamond" w:eastAsia="Times New Roman" w:hAnsi="Garamond" w:cs="Times New Roman"/>
                <w:b/>
                <w:bCs/>
                <w:color w:val="000000" w:themeColor="text1"/>
                <w:sz w:val="20"/>
                <w:szCs w:val="20"/>
              </w:rPr>
              <w:t>6 i mesëm, 7</w:t>
            </w:r>
            <w:r w:rsidR="00AE7B10" w:rsidRPr="004F2AC3">
              <w:rPr>
                <w:rFonts w:ascii="Garamond" w:eastAsia="Times New Roman" w:hAnsi="Garamond" w:cs="Times New Roman"/>
                <w:b/>
                <w:bCs/>
                <w:color w:val="000000" w:themeColor="text1"/>
                <w:sz w:val="20"/>
                <w:szCs w:val="20"/>
              </w:rPr>
              <w:t>–</w:t>
            </w:r>
            <w:r w:rsidRPr="004F2AC3">
              <w:rPr>
                <w:rFonts w:ascii="Garamond" w:eastAsia="Times New Roman" w:hAnsi="Garamond" w:cs="Times New Roman"/>
                <w:b/>
                <w:bCs/>
                <w:color w:val="000000" w:themeColor="text1"/>
                <w:sz w:val="20"/>
                <w:szCs w:val="20"/>
              </w:rPr>
              <w:t>9 i lartë</w:t>
            </w:r>
          </w:p>
        </w:tc>
      </w:tr>
      <w:tr w:rsidR="000F566F" w:rsidRPr="004F2AC3" w14:paraId="42212843" w14:textId="77777777" w:rsidTr="00AE7B10">
        <w:trPr>
          <w:trHeight w:hRule="exact" w:val="767"/>
        </w:trPr>
        <w:tc>
          <w:tcPr>
            <w:tcW w:w="1980" w:type="dxa"/>
            <w:vMerge w:val="restart"/>
            <w:tcBorders>
              <w:top w:val="nil"/>
              <w:left w:val="single" w:sz="8" w:space="0" w:color="4F81BD"/>
              <w:bottom w:val="single" w:sz="8" w:space="0" w:color="4F81BD"/>
              <w:right w:val="single" w:sz="8" w:space="0" w:color="4F81BD"/>
            </w:tcBorders>
            <w:shd w:val="clear" w:color="000000" w:fill="FFFFFF"/>
            <w:vAlign w:val="center"/>
            <w:hideMark/>
          </w:tcPr>
          <w:p w14:paraId="4D9043B4" w14:textId="43697F6C" w:rsidR="000F566F" w:rsidRPr="004F2AC3" w:rsidRDefault="000F566F" w:rsidP="00F40AE3">
            <w:pPr>
              <w:spacing w:after="0" w:line="240" w:lineRule="auto"/>
              <w:jc w:val="center"/>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 xml:space="preserve">1 </w:t>
            </w:r>
            <w:r w:rsidR="00D32864" w:rsidRPr="004F2AC3">
              <w:rPr>
                <w:rFonts w:ascii="Garamond" w:eastAsia="Times New Roman" w:hAnsi="Garamond" w:cs="Times New Roman"/>
                <w:b/>
                <w:bCs/>
                <w:color w:val="000000" w:themeColor="text1"/>
                <w:sz w:val="20"/>
                <w:szCs w:val="20"/>
              </w:rPr>
              <w:t>“</w:t>
            </w:r>
            <w:r w:rsidRPr="004F2AC3">
              <w:rPr>
                <w:rFonts w:ascii="Garamond" w:eastAsia="Times New Roman" w:hAnsi="Garamond" w:cs="Times New Roman"/>
                <w:b/>
                <w:bCs/>
                <w:color w:val="000000" w:themeColor="text1"/>
                <w:sz w:val="20"/>
                <w:szCs w:val="20"/>
              </w:rPr>
              <w:t xml:space="preserve">Statistikat </w:t>
            </w:r>
            <w:r w:rsidR="008F4963" w:rsidRPr="004F2AC3">
              <w:rPr>
                <w:rFonts w:ascii="Garamond" w:eastAsia="Times New Roman" w:hAnsi="Garamond" w:cs="Times New Roman"/>
                <w:b/>
                <w:bCs/>
                <w:color w:val="000000" w:themeColor="text1"/>
                <w:sz w:val="20"/>
                <w:szCs w:val="20"/>
              </w:rPr>
              <w:t>demografike dhe sociale</w:t>
            </w:r>
            <w:r w:rsidR="00D32864" w:rsidRPr="004F2AC3">
              <w:rPr>
                <w:rFonts w:ascii="Garamond" w:eastAsia="Times New Roman" w:hAnsi="Garamond" w:cs="Times New Roman"/>
                <w:b/>
                <w:bCs/>
                <w:color w:val="000000" w:themeColor="text1"/>
                <w:sz w:val="20"/>
                <w:szCs w:val="20"/>
              </w:rPr>
              <w:t>”</w:t>
            </w:r>
          </w:p>
        </w:tc>
        <w:tc>
          <w:tcPr>
            <w:tcW w:w="5130" w:type="dxa"/>
            <w:tcBorders>
              <w:top w:val="nil"/>
              <w:left w:val="nil"/>
              <w:bottom w:val="single" w:sz="8" w:space="0" w:color="4F81BD"/>
              <w:right w:val="single" w:sz="8" w:space="0" w:color="4F81BD"/>
            </w:tcBorders>
            <w:shd w:val="clear" w:color="000000" w:fill="FFFFFF"/>
            <w:vAlign w:val="center"/>
            <w:hideMark/>
          </w:tcPr>
          <w:p w14:paraId="32822CEE" w14:textId="3380DB4D" w:rsidR="000F566F" w:rsidRPr="004F2AC3" w:rsidRDefault="000F566F" w:rsidP="008F496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 xml:space="preserve">Pezullimi/vonesa e mbledhjes, prodhimit dhe shpërndarjes </w:t>
            </w:r>
            <w:r w:rsidR="008F4963" w:rsidRPr="004F2AC3">
              <w:rPr>
                <w:rFonts w:ascii="Garamond" w:eastAsia="Times New Roman" w:hAnsi="Garamond" w:cs="Times New Roman"/>
                <w:color w:val="000000" w:themeColor="text1"/>
                <w:sz w:val="20"/>
                <w:szCs w:val="20"/>
              </w:rPr>
              <w:t>s</w:t>
            </w:r>
            <w:r w:rsidRPr="004F2AC3">
              <w:rPr>
                <w:rFonts w:ascii="Garamond" w:eastAsia="Times New Roman" w:hAnsi="Garamond" w:cs="Times New Roman"/>
                <w:color w:val="000000" w:themeColor="text1"/>
                <w:sz w:val="20"/>
                <w:szCs w:val="20"/>
              </w:rPr>
              <w:t>ë statistikave zyrtare si</w:t>
            </w:r>
            <w:r w:rsidR="00AE7B10" w:rsidRPr="004F2AC3">
              <w:rPr>
                <w:rFonts w:ascii="Garamond" w:eastAsia="Times New Roman" w:hAnsi="Garamond" w:cs="Times New Roman"/>
                <w:color w:val="000000" w:themeColor="text1"/>
                <w:sz w:val="20"/>
                <w:szCs w:val="20"/>
              </w:rPr>
              <w:t xml:space="preserve"> pasojë e </w:t>
            </w:r>
            <w:r w:rsidR="008F4963" w:rsidRPr="004F2AC3">
              <w:rPr>
                <w:rFonts w:ascii="Garamond" w:eastAsia="Times New Roman" w:hAnsi="Garamond" w:cs="Times New Roman"/>
                <w:color w:val="000000" w:themeColor="text1"/>
                <w:sz w:val="20"/>
                <w:szCs w:val="20"/>
              </w:rPr>
              <w:t>fatkeqësive natyrore/pandemi globale</w:t>
            </w:r>
          </w:p>
        </w:tc>
        <w:tc>
          <w:tcPr>
            <w:tcW w:w="1906" w:type="dxa"/>
            <w:tcBorders>
              <w:top w:val="nil"/>
              <w:left w:val="nil"/>
              <w:bottom w:val="single" w:sz="8" w:space="0" w:color="4F81BD"/>
              <w:right w:val="single" w:sz="8" w:space="0" w:color="4F81BD"/>
            </w:tcBorders>
            <w:shd w:val="clear" w:color="000000" w:fill="FFFFFF"/>
            <w:vAlign w:val="center"/>
            <w:hideMark/>
          </w:tcPr>
          <w:p w14:paraId="47026673"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6</w:t>
            </w:r>
          </w:p>
        </w:tc>
      </w:tr>
      <w:tr w:rsidR="000F566F" w:rsidRPr="004F2AC3" w14:paraId="206B1D92" w14:textId="77777777" w:rsidTr="00AE7B10">
        <w:trPr>
          <w:trHeight w:val="763"/>
        </w:trPr>
        <w:tc>
          <w:tcPr>
            <w:tcW w:w="1980" w:type="dxa"/>
            <w:vMerge/>
            <w:tcBorders>
              <w:top w:val="nil"/>
              <w:left w:val="single" w:sz="8" w:space="0" w:color="4F81BD"/>
              <w:bottom w:val="single" w:sz="8" w:space="0" w:color="4F81BD"/>
              <w:right w:val="single" w:sz="8" w:space="0" w:color="4F81BD"/>
            </w:tcBorders>
            <w:vAlign w:val="center"/>
            <w:hideMark/>
          </w:tcPr>
          <w:p w14:paraId="0D126E0E"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1714CF27" w14:textId="28BA00CD" w:rsidR="000F566F" w:rsidRPr="004F2AC3" w:rsidRDefault="000F566F" w:rsidP="008F496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Vonesa në procesin e grumbullimit të të dhënave nga burimet administrative</w:t>
            </w:r>
            <w:r w:rsidR="008F4963" w:rsidRPr="004F2AC3">
              <w:rPr>
                <w:rFonts w:ascii="Garamond" w:eastAsia="Times New Roman" w:hAnsi="Garamond" w:cs="Times New Roman"/>
                <w:color w:val="000000" w:themeColor="text1"/>
                <w:sz w:val="20"/>
                <w:szCs w:val="20"/>
              </w:rPr>
              <w:t xml:space="preserve">, si dhe nga vrojtimi i forcave të punës </w:t>
            </w:r>
            <w:r w:rsidRPr="004F2AC3">
              <w:rPr>
                <w:rFonts w:ascii="Garamond" w:eastAsia="Times New Roman" w:hAnsi="Garamond" w:cs="Times New Roman"/>
                <w:color w:val="000000" w:themeColor="text1"/>
                <w:sz w:val="20"/>
                <w:szCs w:val="20"/>
              </w:rPr>
              <w:t>për vlerësimin e migracionit</w:t>
            </w:r>
          </w:p>
        </w:tc>
        <w:tc>
          <w:tcPr>
            <w:tcW w:w="1906" w:type="dxa"/>
            <w:tcBorders>
              <w:top w:val="nil"/>
              <w:left w:val="nil"/>
              <w:bottom w:val="single" w:sz="8" w:space="0" w:color="4F81BD"/>
              <w:right w:val="single" w:sz="8" w:space="0" w:color="4F81BD"/>
            </w:tcBorders>
            <w:shd w:val="clear" w:color="000000" w:fill="FFFFFF"/>
            <w:vAlign w:val="center"/>
            <w:hideMark/>
          </w:tcPr>
          <w:p w14:paraId="145BCA43"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3</w:t>
            </w:r>
          </w:p>
        </w:tc>
      </w:tr>
      <w:tr w:rsidR="000F566F" w:rsidRPr="004F2AC3" w14:paraId="655D2241" w14:textId="77777777" w:rsidTr="00AE7B10">
        <w:trPr>
          <w:trHeight w:val="555"/>
        </w:trPr>
        <w:tc>
          <w:tcPr>
            <w:tcW w:w="1980" w:type="dxa"/>
            <w:vMerge/>
            <w:tcBorders>
              <w:top w:val="nil"/>
              <w:left w:val="single" w:sz="8" w:space="0" w:color="4F81BD"/>
              <w:bottom w:val="single" w:sz="8" w:space="0" w:color="4F81BD"/>
              <w:right w:val="single" w:sz="8" w:space="0" w:color="4F81BD"/>
            </w:tcBorders>
            <w:vAlign w:val="center"/>
            <w:hideMark/>
          </w:tcPr>
          <w:p w14:paraId="485A2A7A"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461C6C40" w14:textId="430450A4"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Mospërmbushja e kritereve të cilësisë</w:t>
            </w:r>
            <w:r w:rsidR="008F4963" w:rsidRPr="004F2AC3">
              <w:rPr>
                <w:rFonts w:ascii="Garamond" w:eastAsia="Times New Roman" w:hAnsi="Garamond" w:cs="Times New Roman"/>
                <w:color w:val="000000" w:themeColor="text1"/>
                <w:sz w:val="20"/>
                <w:szCs w:val="20"/>
              </w:rPr>
              <w:t>,</w:t>
            </w:r>
            <w:r w:rsidRPr="004F2AC3">
              <w:rPr>
                <w:rFonts w:ascii="Garamond" w:eastAsia="Times New Roman" w:hAnsi="Garamond" w:cs="Times New Roman"/>
                <w:color w:val="000000" w:themeColor="text1"/>
                <w:sz w:val="20"/>
                <w:szCs w:val="20"/>
              </w:rPr>
              <w:t xml:space="preserve"> si: saktësia, përpikmëria dhe krahasueshmëria, për të dhënat administrative/vrojtimet statistikore</w:t>
            </w:r>
          </w:p>
        </w:tc>
        <w:tc>
          <w:tcPr>
            <w:tcW w:w="1906" w:type="dxa"/>
            <w:tcBorders>
              <w:top w:val="nil"/>
              <w:left w:val="nil"/>
              <w:bottom w:val="single" w:sz="8" w:space="0" w:color="4F81BD"/>
              <w:right w:val="single" w:sz="8" w:space="0" w:color="4F81BD"/>
            </w:tcBorders>
            <w:shd w:val="clear" w:color="000000" w:fill="FFFFFF"/>
            <w:vAlign w:val="center"/>
            <w:hideMark/>
          </w:tcPr>
          <w:p w14:paraId="4B71BC99"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6</w:t>
            </w:r>
          </w:p>
        </w:tc>
      </w:tr>
      <w:tr w:rsidR="000F566F" w:rsidRPr="004F2AC3" w14:paraId="380830EF" w14:textId="77777777" w:rsidTr="00AE7B10">
        <w:trPr>
          <w:trHeight w:hRule="exact" w:val="857"/>
        </w:trPr>
        <w:tc>
          <w:tcPr>
            <w:tcW w:w="1980" w:type="dxa"/>
            <w:vMerge w:val="restart"/>
            <w:tcBorders>
              <w:top w:val="nil"/>
              <w:left w:val="single" w:sz="8" w:space="0" w:color="4F81BD"/>
              <w:bottom w:val="single" w:sz="8" w:space="0" w:color="4F81BD"/>
              <w:right w:val="single" w:sz="8" w:space="0" w:color="4F81BD"/>
            </w:tcBorders>
            <w:shd w:val="clear" w:color="000000" w:fill="FFFFFF"/>
            <w:vAlign w:val="center"/>
            <w:hideMark/>
          </w:tcPr>
          <w:p w14:paraId="40F80E4D" w14:textId="12BF9230" w:rsidR="000F566F" w:rsidRPr="004F2AC3" w:rsidRDefault="000F566F" w:rsidP="00F40AE3">
            <w:pPr>
              <w:spacing w:after="0" w:line="240" w:lineRule="auto"/>
              <w:jc w:val="center"/>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 xml:space="preserve">2 </w:t>
            </w:r>
            <w:r w:rsidR="00D32864" w:rsidRPr="004F2AC3">
              <w:rPr>
                <w:rFonts w:ascii="Garamond" w:eastAsia="Times New Roman" w:hAnsi="Garamond" w:cs="Times New Roman"/>
                <w:b/>
                <w:bCs/>
                <w:color w:val="000000" w:themeColor="text1"/>
                <w:sz w:val="20"/>
                <w:szCs w:val="20"/>
              </w:rPr>
              <w:t>“</w:t>
            </w:r>
            <w:r w:rsidRPr="004F2AC3">
              <w:rPr>
                <w:rFonts w:ascii="Garamond" w:eastAsia="Times New Roman" w:hAnsi="Garamond" w:cs="Times New Roman"/>
                <w:b/>
                <w:bCs/>
                <w:color w:val="000000" w:themeColor="text1"/>
                <w:sz w:val="20"/>
                <w:szCs w:val="20"/>
              </w:rPr>
              <w:t xml:space="preserve">Statistikat </w:t>
            </w:r>
            <w:r w:rsidR="008F4963" w:rsidRPr="004F2AC3">
              <w:rPr>
                <w:rFonts w:ascii="Garamond" w:eastAsia="Times New Roman" w:hAnsi="Garamond" w:cs="Times New Roman"/>
                <w:b/>
                <w:bCs/>
                <w:color w:val="000000" w:themeColor="text1"/>
                <w:sz w:val="20"/>
                <w:szCs w:val="20"/>
              </w:rPr>
              <w:t>ekonomike</w:t>
            </w:r>
            <w:r w:rsidR="00D32864" w:rsidRPr="004F2AC3">
              <w:rPr>
                <w:rFonts w:ascii="Garamond" w:eastAsia="Times New Roman" w:hAnsi="Garamond" w:cs="Times New Roman"/>
                <w:b/>
                <w:bCs/>
                <w:color w:val="000000" w:themeColor="text1"/>
                <w:sz w:val="20"/>
                <w:szCs w:val="20"/>
              </w:rPr>
              <w:t>”</w:t>
            </w:r>
          </w:p>
        </w:tc>
        <w:tc>
          <w:tcPr>
            <w:tcW w:w="5130" w:type="dxa"/>
            <w:tcBorders>
              <w:top w:val="nil"/>
              <w:left w:val="nil"/>
              <w:bottom w:val="single" w:sz="8" w:space="0" w:color="4F81BD"/>
              <w:right w:val="single" w:sz="8" w:space="0" w:color="4F81BD"/>
            </w:tcBorders>
            <w:shd w:val="clear" w:color="000000" w:fill="FFFFFF"/>
            <w:vAlign w:val="center"/>
            <w:hideMark/>
          </w:tcPr>
          <w:p w14:paraId="07496F07" w14:textId="7EEF67A1" w:rsidR="000F566F" w:rsidRPr="004F2AC3" w:rsidRDefault="000F566F" w:rsidP="008F496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 xml:space="preserve">Pezullimi/vonesa e mbledhjes, prodhimit dhe shpërndarjes </w:t>
            </w:r>
            <w:r w:rsidR="008F4963" w:rsidRPr="004F2AC3">
              <w:rPr>
                <w:rFonts w:ascii="Garamond" w:eastAsia="Times New Roman" w:hAnsi="Garamond" w:cs="Times New Roman"/>
                <w:color w:val="000000" w:themeColor="text1"/>
                <w:sz w:val="20"/>
                <w:szCs w:val="20"/>
              </w:rPr>
              <w:t>s</w:t>
            </w:r>
            <w:r w:rsidRPr="004F2AC3">
              <w:rPr>
                <w:rFonts w:ascii="Garamond" w:eastAsia="Times New Roman" w:hAnsi="Garamond" w:cs="Times New Roman"/>
                <w:color w:val="000000" w:themeColor="text1"/>
                <w:sz w:val="20"/>
                <w:szCs w:val="20"/>
              </w:rPr>
              <w:t xml:space="preserve">ë statistikave zyrtare si pasojë e </w:t>
            </w:r>
            <w:r w:rsidR="008F4963" w:rsidRPr="004F2AC3">
              <w:rPr>
                <w:rFonts w:ascii="Garamond" w:eastAsia="Times New Roman" w:hAnsi="Garamond" w:cs="Times New Roman"/>
                <w:color w:val="000000" w:themeColor="text1"/>
                <w:sz w:val="20"/>
                <w:szCs w:val="20"/>
              </w:rPr>
              <w:t>fatkeqësive natyrore/pandemisë globale</w:t>
            </w:r>
          </w:p>
        </w:tc>
        <w:tc>
          <w:tcPr>
            <w:tcW w:w="1906" w:type="dxa"/>
            <w:tcBorders>
              <w:top w:val="nil"/>
              <w:left w:val="nil"/>
              <w:bottom w:val="single" w:sz="8" w:space="0" w:color="4F81BD"/>
              <w:right w:val="single" w:sz="8" w:space="0" w:color="4F81BD"/>
            </w:tcBorders>
            <w:shd w:val="clear" w:color="000000" w:fill="FFFFFF"/>
            <w:vAlign w:val="center"/>
            <w:hideMark/>
          </w:tcPr>
          <w:p w14:paraId="273504DC"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6</w:t>
            </w:r>
          </w:p>
        </w:tc>
      </w:tr>
      <w:tr w:rsidR="000F566F" w:rsidRPr="004F2AC3" w14:paraId="625CD751" w14:textId="77777777" w:rsidTr="00AE7B10">
        <w:trPr>
          <w:trHeight w:val="682"/>
        </w:trPr>
        <w:tc>
          <w:tcPr>
            <w:tcW w:w="1980" w:type="dxa"/>
            <w:vMerge/>
            <w:tcBorders>
              <w:top w:val="nil"/>
              <w:left w:val="single" w:sz="8" w:space="0" w:color="4F81BD"/>
              <w:bottom w:val="single" w:sz="8" w:space="0" w:color="4F81BD"/>
              <w:right w:val="single" w:sz="8" w:space="0" w:color="4F81BD"/>
            </w:tcBorders>
            <w:vAlign w:val="center"/>
            <w:hideMark/>
          </w:tcPr>
          <w:p w14:paraId="2D49FF77"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0ADA4C61" w14:textId="1A5E48A1" w:rsidR="000F566F" w:rsidRPr="004F2AC3" w:rsidRDefault="000F566F" w:rsidP="008F496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 xml:space="preserve">Pezullimi/vonesa e prodhimit dhe shpërndarjes </w:t>
            </w:r>
            <w:r w:rsidR="008F4963" w:rsidRPr="004F2AC3">
              <w:rPr>
                <w:rFonts w:ascii="Garamond" w:eastAsia="Times New Roman" w:hAnsi="Garamond" w:cs="Times New Roman"/>
                <w:color w:val="000000" w:themeColor="text1"/>
                <w:sz w:val="20"/>
                <w:szCs w:val="20"/>
              </w:rPr>
              <w:t>s</w:t>
            </w:r>
            <w:r w:rsidRPr="004F2AC3">
              <w:rPr>
                <w:rFonts w:ascii="Garamond" w:eastAsia="Times New Roman" w:hAnsi="Garamond" w:cs="Times New Roman"/>
                <w:color w:val="000000" w:themeColor="text1"/>
                <w:sz w:val="20"/>
                <w:szCs w:val="20"/>
              </w:rPr>
              <w:t>ë statistikave zyrtare si pasojë e largimit të stafit</w:t>
            </w:r>
          </w:p>
        </w:tc>
        <w:tc>
          <w:tcPr>
            <w:tcW w:w="1906" w:type="dxa"/>
            <w:tcBorders>
              <w:top w:val="nil"/>
              <w:left w:val="nil"/>
              <w:bottom w:val="single" w:sz="8" w:space="0" w:color="4F81BD"/>
              <w:right w:val="single" w:sz="8" w:space="0" w:color="4F81BD"/>
            </w:tcBorders>
            <w:shd w:val="clear" w:color="000000" w:fill="FFFFFF"/>
            <w:vAlign w:val="center"/>
            <w:hideMark/>
          </w:tcPr>
          <w:p w14:paraId="73B0D809"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6</w:t>
            </w:r>
          </w:p>
        </w:tc>
      </w:tr>
      <w:tr w:rsidR="000F566F" w:rsidRPr="004F2AC3" w14:paraId="1250F078" w14:textId="77777777" w:rsidTr="00AE7B10">
        <w:trPr>
          <w:trHeight w:val="315"/>
        </w:trPr>
        <w:tc>
          <w:tcPr>
            <w:tcW w:w="1980" w:type="dxa"/>
            <w:vMerge/>
            <w:tcBorders>
              <w:top w:val="nil"/>
              <w:left w:val="single" w:sz="8" w:space="0" w:color="4F81BD"/>
              <w:bottom w:val="single" w:sz="8" w:space="0" w:color="4F81BD"/>
              <w:right w:val="single" w:sz="8" w:space="0" w:color="4F81BD"/>
            </w:tcBorders>
            <w:vAlign w:val="center"/>
            <w:hideMark/>
          </w:tcPr>
          <w:p w14:paraId="1EBD169E"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57197D38" w14:textId="3675BD78"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Ndryshim i bazës l</w:t>
            </w:r>
            <w:r w:rsidR="008F4963" w:rsidRPr="004F2AC3">
              <w:rPr>
                <w:rFonts w:ascii="Garamond" w:eastAsia="Times New Roman" w:hAnsi="Garamond" w:cs="Times New Roman"/>
                <w:color w:val="000000" w:themeColor="text1"/>
                <w:sz w:val="20"/>
                <w:szCs w:val="20"/>
              </w:rPr>
              <w:t>igjore të burimit administrativ</w:t>
            </w:r>
          </w:p>
        </w:tc>
        <w:tc>
          <w:tcPr>
            <w:tcW w:w="1906" w:type="dxa"/>
            <w:tcBorders>
              <w:top w:val="nil"/>
              <w:left w:val="nil"/>
              <w:bottom w:val="single" w:sz="8" w:space="0" w:color="4F81BD"/>
              <w:right w:val="single" w:sz="8" w:space="0" w:color="4F81BD"/>
            </w:tcBorders>
            <w:shd w:val="clear" w:color="000000" w:fill="FFFFFF"/>
            <w:vAlign w:val="center"/>
            <w:hideMark/>
          </w:tcPr>
          <w:p w14:paraId="07E5B4AC"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5</w:t>
            </w:r>
          </w:p>
        </w:tc>
      </w:tr>
      <w:tr w:rsidR="000F566F" w:rsidRPr="004F2AC3" w14:paraId="4C974AAD" w14:textId="77777777" w:rsidTr="00AE7B10">
        <w:trPr>
          <w:trHeight w:val="637"/>
        </w:trPr>
        <w:tc>
          <w:tcPr>
            <w:tcW w:w="1980" w:type="dxa"/>
            <w:vMerge/>
            <w:tcBorders>
              <w:top w:val="nil"/>
              <w:left w:val="single" w:sz="8" w:space="0" w:color="4F81BD"/>
              <w:bottom w:val="single" w:sz="8" w:space="0" w:color="4F81BD"/>
              <w:right w:val="single" w:sz="8" w:space="0" w:color="4F81BD"/>
            </w:tcBorders>
            <w:vAlign w:val="center"/>
            <w:hideMark/>
          </w:tcPr>
          <w:p w14:paraId="4625F818"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39AB9C04" w14:textId="77777777"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Procesimi elektronik jo i saktë nga SIFQ për konsolidimin e të dhënave dhe gjenerimin e raporteve financiare</w:t>
            </w:r>
          </w:p>
        </w:tc>
        <w:tc>
          <w:tcPr>
            <w:tcW w:w="1906" w:type="dxa"/>
            <w:tcBorders>
              <w:top w:val="nil"/>
              <w:left w:val="nil"/>
              <w:bottom w:val="single" w:sz="8" w:space="0" w:color="4F81BD"/>
              <w:right w:val="single" w:sz="8" w:space="0" w:color="4F81BD"/>
            </w:tcBorders>
            <w:shd w:val="clear" w:color="000000" w:fill="FFFFFF"/>
            <w:vAlign w:val="center"/>
            <w:hideMark/>
          </w:tcPr>
          <w:p w14:paraId="078D237E"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9</w:t>
            </w:r>
          </w:p>
        </w:tc>
      </w:tr>
      <w:tr w:rsidR="000F566F" w:rsidRPr="004F2AC3" w14:paraId="2455A433" w14:textId="77777777" w:rsidTr="00AE7B10">
        <w:trPr>
          <w:trHeight w:hRule="exact" w:val="749"/>
        </w:trPr>
        <w:tc>
          <w:tcPr>
            <w:tcW w:w="1980" w:type="dxa"/>
            <w:vMerge w:val="restart"/>
            <w:tcBorders>
              <w:top w:val="nil"/>
              <w:left w:val="single" w:sz="8" w:space="0" w:color="4F81BD"/>
              <w:bottom w:val="single" w:sz="8" w:space="0" w:color="4F81BD"/>
              <w:right w:val="single" w:sz="8" w:space="0" w:color="4F81BD"/>
            </w:tcBorders>
            <w:shd w:val="clear" w:color="000000" w:fill="FFFFFF"/>
            <w:vAlign w:val="center"/>
            <w:hideMark/>
          </w:tcPr>
          <w:p w14:paraId="6318A7A3" w14:textId="573631E3" w:rsidR="000F566F" w:rsidRPr="004F2AC3" w:rsidRDefault="000F566F" w:rsidP="00F40AE3">
            <w:pPr>
              <w:spacing w:after="0" w:line="240" w:lineRule="auto"/>
              <w:jc w:val="center"/>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 xml:space="preserve">3 </w:t>
            </w:r>
            <w:r w:rsidR="00D32864" w:rsidRPr="004F2AC3">
              <w:rPr>
                <w:rFonts w:ascii="Garamond" w:eastAsia="Times New Roman" w:hAnsi="Garamond" w:cs="Times New Roman"/>
                <w:b/>
                <w:bCs/>
                <w:color w:val="000000" w:themeColor="text1"/>
                <w:sz w:val="20"/>
                <w:szCs w:val="20"/>
              </w:rPr>
              <w:t>“</w:t>
            </w:r>
            <w:r w:rsidRPr="004F2AC3">
              <w:rPr>
                <w:rFonts w:ascii="Garamond" w:eastAsia="Times New Roman" w:hAnsi="Garamond" w:cs="Times New Roman"/>
                <w:b/>
                <w:bCs/>
                <w:color w:val="000000" w:themeColor="text1"/>
                <w:sz w:val="20"/>
                <w:szCs w:val="20"/>
              </w:rPr>
              <w:t xml:space="preserve">Statistikat </w:t>
            </w:r>
            <w:r w:rsidR="008F4963" w:rsidRPr="004F2AC3">
              <w:rPr>
                <w:rFonts w:ascii="Garamond" w:eastAsia="Times New Roman" w:hAnsi="Garamond" w:cs="Times New Roman"/>
                <w:b/>
                <w:bCs/>
                <w:color w:val="000000" w:themeColor="text1"/>
                <w:sz w:val="20"/>
                <w:szCs w:val="20"/>
              </w:rPr>
              <w:t>sektoriale</w:t>
            </w:r>
            <w:r w:rsidR="00D32864" w:rsidRPr="004F2AC3">
              <w:rPr>
                <w:rFonts w:ascii="Garamond" w:eastAsia="Times New Roman" w:hAnsi="Garamond" w:cs="Times New Roman"/>
                <w:b/>
                <w:bCs/>
                <w:color w:val="000000" w:themeColor="text1"/>
                <w:sz w:val="20"/>
                <w:szCs w:val="20"/>
              </w:rPr>
              <w:t>”</w:t>
            </w:r>
          </w:p>
        </w:tc>
        <w:tc>
          <w:tcPr>
            <w:tcW w:w="5130" w:type="dxa"/>
            <w:tcBorders>
              <w:top w:val="nil"/>
              <w:left w:val="nil"/>
              <w:bottom w:val="single" w:sz="8" w:space="0" w:color="4F81BD"/>
              <w:right w:val="single" w:sz="8" w:space="0" w:color="4F81BD"/>
            </w:tcBorders>
            <w:shd w:val="clear" w:color="000000" w:fill="FFFFFF"/>
            <w:vAlign w:val="center"/>
            <w:hideMark/>
          </w:tcPr>
          <w:p w14:paraId="43E3FB6C" w14:textId="22214378" w:rsidR="000F566F" w:rsidRPr="004F2AC3" w:rsidRDefault="000F566F" w:rsidP="008F496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 xml:space="preserve">Pezullimi/vonesa e mbledhjes, prodhimit dhe shpërndarjes </w:t>
            </w:r>
            <w:r w:rsidR="008F4963" w:rsidRPr="004F2AC3">
              <w:rPr>
                <w:rFonts w:ascii="Garamond" w:eastAsia="Times New Roman" w:hAnsi="Garamond" w:cs="Times New Roman"/>
                <w:color w:val="000000" w:themeColor="text1"/>
                <w:sz w:val="20"/>
                <w:szCs w:val="20"/>
              </w:rPr>
              <w:t>s</w:t>
            </w:r>
            <w:r w:rsidRPr="004F2AC3">
              <w:rPr>
                <w:rFonts w:ascii="Garamond" w:eastAsia="Times New Roman" w:hAnsi="Garamond" w:cs="Times New Roman"/>
                <w:color w:val="000000" w:themeColor="text1"/>
                <w:sz w:val="20"/>
                <w:szCs w:val="20"/>
              </w:rPr>
              <w:t xml:space="preserve">ë statistikave zyrtare si </w:t>
            </w:r>
            <w:r w:rsidR="00AE7B10" w:rsidRPr="004F2AC3">
              <w:rPr>
                <w:rFonts w:ascii="Garamond" w:eastAsia="Times New Roman" w:hAnsi="Garamond" w:cs="Times New Roman"/>
                <w:color w:val="000000" w:themeColor="text1"/>
                <w:sz w:val="20"/>
                <w:szCs w:val="20"/>
              </w:rPr>
              <w:t xml:space="preserve">pasojë e </w:t>
            </w:r>
            <w:r w:rsidR="008F4963" w:rsidRPr="004F2AC3">
              <w:rPr>
                <w:rFonts w:ascii="Garamond" w:eastAsia="Times New Roman" w:hAnsi="Garamond" w:cs="Times New Roman"/>
                <w:color w:val="000000" w:themeColor="text1"/>
                <w:sz w:val="20"/>
                <w:szCs w:val="20"/>
              </w:rPr>
              <w:t>fatkeqësive natyrore/pandemisë globale</w:t>
            </w:r>
          </w:p>
        </w:tc>
        <w:tc>
          <w:tcPr>
            <w:tcW w:w="1906" w:type="dxa"/>
            <w:tcBorders>
              <w:top w:val="nil"/>
              <w:left w:val="nil"/>
              <w:bottom w:val="single" w:sz="8" w:space="0" w:color="4F81BD"/>
              <w:right w:val="single" w:sz="8" w:space="0" w:color="4F81BD"/>
            </w:tcBorders>
            <w:shd w:val="clear" w:color="000000" w:fill="FFFFFF"/>
            <w:vAlign w:val="center"/>
            <w:hideMark/>
          </w:tcPr>
          <w:p w14:paraId="1C312498"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4</w:t>
            </w:r>
          </w:p>
        </w:tc>
      </w:tr>
      <w:tr w:rsidR="000F566F" w:rsidRPr="004F2AC3" w14:paraId="0428DEED" w14:textId="77777777" w:rsidTr="00AE7B10">
        <w:trPr>
          <w:trHeight w:val="574"/>
        </w:trPr>
        <w:tc>
          <w:tcPr>
            <w:tcW w:w="1980" w:type="dxa"/>
            <w:vMerge/>
            <w:tcBorders>
              <w:top w:val="nil"/>
              <w:left w:val="single" w:sz="8" w:space="0" w:color="4F81BD"/>
              <w:bottom w:val="single" w:sz="8" w:space="0" w:color="4F81BD"/>
              <w:right w:val="single" w:sz="8" w:space="0" w:color="4F81BD"/>
            </w:tcBorders>
            <w:vAlign w:val="center"/>
            <w:hideMark/>
          </w:tcPr>
          <w:p w14:paraId="04890F39"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1919B741" w14:textId="77777777"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Vonesa të tjera në procesin e grumbullimit, kontrollit dhe hedhjes së të dhënave</w:t>
            </w:r>
          </w:p>
        </w:tc>
        <w:tc>
          <w:tcPr>
            <w:tcW w:w="1906" w:type="dxa"/>
            <w:tcBorders>
              <w:top w:val="nil"/>
              <w:left w:val="nil"/>
              <w:bottom w:val="single" w:sz="8" w:space="0" w:color="4F81BD"/>
              <w:right w:val="single" w:sz="8" w:space="0" w:color="4F81BD"/>
            </w:tcBorders>
            <w:shd w:val="clear" w:color="000000" w:fill="FFFFFF"/>
            <w:vAlign w:val="center"/>
            <w:hideMark/>
          </w:tcPr>
          <w:p w14:paraId="0A97FF46"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4</w:t>
            </w:r>
          </w:p>
        </w:tc>
      </w:tr>
      <w:tr w:rsidR="000F566F" w:rsidRPr="004F2AC3" w14:paraId="72475258" w14:textId="77777777" w:rsidTr="00AE7B10">
        <w:trPr>
          <w:trHeight w:val="799"/>
        </w:trPr>
        <w:tc>
          <w:tcPr>
            <w:tcW w:w="1980" w:type="dxa"/>
            <w:vMerge/>
            <w:tcBorders>
              <w:top w:val="nil"/>
              <w:left w:val="single" w:sz="8" w:space="0" w:color="4F81BD"/>
              <w:bottom w:val="single" w:sz="8" w:space="0" w:color="4F81BD"/>
              <w:right w:val="single" w:sz="8" w:space="0" w:color="4F81BD"/>
            </w:tcBorders>
            <w:vAlign w:val="center"/>
            <w:hideMark/>
          </w:tcPr>
          <w:p w14:paraId="2EFCC9F2"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32DC03F5" w14:textId="27708F42"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Mospërmbushja e kritereve të cilësisë</w:t>
            </w:r>
            <w:r w:rsidR="008F4963" w:rsidRPr="004F2AC3">
              <w:rPr>
                <w:rFonts w:ascii="Garamond" w:eastAsia="Times New Roman" w:hAnsi="Garamond" w:cs="Times New Roman"/>
                <w:color w:val="000000" w:themeColor="text1"/>
                <w:sz w:val="20"/>
                <w:szCs w:val="20"/>
              </w:rPr>
              <w:t>,</w:t>
            </w:r>
            <w:r w:rsidRPr="004F2AC3">
              <w:rPr>
                <w:rFonts w:ascii="Garamond" w:eastAsia="Times New Roman" w:hAnsi="Garamond" w:cs="Times New Roman"/>
                <w:color w:val="000000" w:themeColor="text1"/>
                <w:sz w:val="20"/>
                <w:szCs w:val="20"/>
              </w:rPr>
              <w:t xml:space="preserve"> si: saktësia, përpikmëria dhe krahasueshmëria, për vrojtimet statistikore</w:t>
            </w:r>
            <w:r w:rsidR="00684E85" w:rsidRPr="004F2AC3">
              <w:rPr>
                <w:rFonts w:ascii="Garamond" w:eastAsia="Times New Roman" w:hAnsi="Garamond" w:cs="Times New Roman"/>
                <w:color w:val="000000" w:themeColor="text1"/>
                <w:sz w:val="20"/>
                <w:szCs w:val="20"/>
              </w:rPr>
              <w:t xml:space="preserve"> </w:t>
            </w:r>
            <w:r w:rsidRPr="004F2AC3">
              <w:rPr>
                <w:rFonts w:ascii="Garamond" w:eastAsia="Times New Roman" w:hAnsi="Garamond" w:cs="Times New Roman"/>
                <w:color w:val="000000" w:themeColor="text1"/>
                <w:sz w:val="20"/>
                <w:szCs w:val="20"/>
              </w:rPr>
              <w:t>d</w:t>
            </w:r>
            <w:r w:rsidR="00AE7B10" w:rsidRPr="004F2AC3">
              <w:rPr>
                <w:rFonts w:ascii="Garamond" w:eastAsia="Times New Roman" w:hAnsi="Garamond" w:cs="Times New Roman"/>
                <w:color w:val="000000" w:themeColor="text1"/>
                <w:sz w:val="20"/>
                <w:szCs w:val="20"/>
              </w:rPr>
              <w:t>he për të dhënat administrative</w:t>
            </w:r>
          </w:p>
        </w:tc>
        <w:tc>
          <w:tcPr>
            <w:tcW w:w="1906" w:type="dxa"/>
            <w:tcBorders>
              <w:top w:val="nil"/>
              <w:left w:val="nil"/>
              <w:bottom w:val="single" w:sz="8" w:space="0" w:color="4F81BD"/>
              <w:right w:val="single" w:sz="8" w:space="0" w:color="4F81BD"/>
            </w:tcBorders>
            <w:shd w:val="clear" w:color="000000" w:fill="FFFFFF"/>
            <w:vAlign w:val="center"/>
            <w:hideMark/>
          </w:tcPr>
          <w:p w14:paraId="3D90ACF0"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4</w:t>
            </w:r>
          </w:p>
        </w:tc>
      </w:tr>
      <w:tr w:rsidR="000F566F" w:rsidRPr="004F2AC3" w14:paraId="2DCA2781" w14:textId="77777777" w:rsidTr="00AE7B10">
        <w:trPr>
          <w:trHeight w:val="375"/>
        </w:trPr>
        <w:tc>
          <w:tcPr>
            <w:tcW w:w="1980" w:type="dxa"/>
            <w:vMerge/>
            <w:tcBorders>
              <w:top w:val="nil"/>
              <w:left w:val="single" w:sz="8" w:space="0" w:color="4F81BD"/>
              <w:bottom w:val="single" w:sz="8" w:space="0" w:color="4F81BD"/>
              <w:right w:val="single" w:sz="8" w:space="0" w:color="4F81BD"/>
            </w:tcBorders>
            <w:vAlign w:val="center"/>
            <w:hideMark/>
          </w:tcPr>
          <w:p w14:paraId="352EEE09"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646E90AE" w14:textId="7CF0D2B3"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Gabime të bëra nga stafi ekspert gjatë përpunimit dhe nxjerrjes së r</w:t>
            </w:r>
            <w:r w:rsidR="008F4963" w:rsidRPr="004F2AC3">
              <w:rPr>
                <w:rFonts w:ascii="Garamond" w:eastAsia="Times New Roman" w:hAnsi="Garamond" w:cs="Times New Roman"/>
                <w:color w:val="000000" w:themeColor="text1"/>
                <w:sz w:val="20"/>
                <w:szCs w:val="20"/>
              </w:rPr>
              <w:t>ezultateve</w:t>
            </w:r>
          </w:p>
        </w:tc>
        <w:tc>
          <w:tcPr>
            <w:tcW w:w="1906" w:type="dxa"/>
            <w:tcBorders>
              <w:top w:val="nil"/>
              <w:left w:val="nil"/>
              <w:bottom w:val="single" w:sz="8" w:space="0" w:color="4F81BD"/>
              <w:right w:val="single" w:sz="8" w:space="0" w:color="4F81BD"/>
            </w:tcBorders>
            <w:shd w:val="clear" w:color="000000" w:fill="FFFFFF"/>
            <w:vAlign w:val="center"/>
            <w:hideMark/>
          </w:tcPr>
          <w:p w14:paraId="00B15302"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3</w:t>
            </w:r>
          </w:p>
        </w:tc>
      </w:tr>
      <w:tr w:rsidR="000F566F" w:rsidRPr="004F2AC3" w14:paraId="726187C7" w14:textId="77777777" w:rsidTr="00AE7B10">
        <w:trPr>
          <w:trHeight w:val="583"/>
        </w:trPr>
        <w:tc>
          <w:tcPr>
            <w:tcW w:w="1980" w:type="dxa"/>
            <w:vMerge/>
            <w:tcBorders>
              <w:top w:val="nil"/>
              <w:left w:val="single" w:sz="8" w:space="0" w:color="4F81BD"/>
              <w:bottom w:val="single" w:sz="8" w:space="0" w:color="4F81BD"/>
              <w:right w:val="single" w:sz="8" w:space="0" w:color="4F81BD"/>
            </w:tcBorders>
            <w:vAlign w:val="center"/>
            <w:hideMark/>
          </w:tcPr>
          <w:p w14:paraId="3F5A470C"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05646BC5" w14:textId="000560AA" w:rsidR="000F566F" w:rsidRPr="004F2AC3" w:rsidRDefault="008F4963"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Mospajisja</w:t>
            </w:r>
            <w:r w:rsidR="000F566F" w:rsidRPr="004F2AC3">
              <w:rPr>
                <w:rFonts w:ascii="Garamond" w:eastAsia="Times New Roman" w:hAnsi="Garamond" w:cs="Times New Roman"/>
                <w:color w:val="000000" w:themeColor="text1"/>
                <w:sz w:val="20"/>
                <w:szCs w:val="20"/>
              </w:rPr>
              <w:t xml:space="preserve"> e sistemeve të mbledhjes së të dhënave me </w:t>
            </w:r>
            <w:r w:rsidRPr="004F2AC3">
              <w:rPr>
                <w:rFonts w:ascii="Garamond" w:eastAsia="Times New Roman" w:hAnsi="Garamond" w:cs="Times New Roman"/>
                <w:color w:val="000000" w:themeColor="text1"/>
                <w:sz w:val="20"/>
                <w:szCs w:val="20"/>
              </w:rPr>
              <w:t xml:space="preserve">të </w:t>
            </w:r>
            <w:r w:rsidR="00AE7B10" w:rsidRPr="004F2AC3">
              <w:rPr>
                <w:rFonts w:ascii="Garamond" w:eastAsia="Times New Roman" w:hAnsi="Garamond" w:cs="Times New Roman"/>
                <w:color w:val="000000" w:themeColor="text1"/>
                <w:sz w:val="20"/>
                <w:szCs w:val="20"/>
              </w:rPr>
              <w:t>gjithë</w:t>
            </w:r>
            <w:r w:rsidR="000F566F" w:rsidRPr="004F2AC3">
              <w:rPr>
                <w:rFonts w:ascii="Garamond" w:eastAsia="Times New Roman" w:hAnsi="Garamond" w:cs="Times New Roman"/>
                <w:color w:val="000000" w:themeColor="text1"/>
                <w:sz w:val="20"/>
                <w:szCs w:val="20"/>
              </w:rPr>
              <w:t xml:space="preserve"> funksionet</w:t>
            </w:r>
            <w:r w:rsidR="00684E85" w:rsidRPr="004F2AC3">
              <w:rPr>
                <w:rFonts w:ascii="Garamond" w:eastAsia="Times New Roman" w:hAnsi="Garamond" w:cs="Times New Roman"/>
                <w:color w:val="000000" w:themeColor="text1"/>
                <w:sz w:val="20"/>
                <w:szCs w:val="20"/>
              </w:rPr>
              <w:t xml:space="preserve"> </w:t>
            </w:r>
            <w:r w:rsidR="000F566F" w:rsidRPr="004F2AC3">
              <w:rPr>
                <w:rFonts w:ascii="Garamond" w:eastAsia="Times New Roman" w:hAnsi="Garamond" w:cs="Times New Roman"/>
                <w:color w:val="000000" w:themeColor="text1"/>
                <w:sz w:val="20"/>
                <w:szCs w:val="20"/>
              </w:rPr>
              <w:t>e nevojshme</w:t>
            </w:r>
          </w:p>
        </w:tc>
        <w:tc>
          <w:tcPr>
            <w:tcW w:w="1906" w:type="dxa"/>
            <w:tcBorders>
              <w:top w:val="nil"/>
              <w:left w:val="nil"/>
              <w:bottom w:val="single" w:sz="8" w:space="0" w:color="4F81BD"/>
              <w:right w:val="single" w:sz="8" w:space="0" w:color="4F81BD"/>
            </w:tcBorders>
            <w:shd w:val="clear" w:color="000000" w:fill="FFFFFF"/>
            <w:vAlign w:val="center"/>
            <w:hideMark/>
          </w:tcPr>
          <w:p w14:paraId="78871C9C"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3</w:t>
            </w:r>
          </w:p>
        </w:tc>
      </w:tr>
      <w:tr w:rsidR="000F566F" w:rsidRPr="004F2AC3" w14:paraId="7C7FF692" w14:textId="77777777" w:rsidTr="00AE7B10">
        <w:trPr>
          <w:trHeight w:val="315"/>
        </w:trPr>
        <w:tc>
          <w:tcPr>
            <w:tcW w:w="1980" w:type="dxa"/>
            <w:vMerge/>
            <w:tcBorders>
              <w:top w:val="nil"/>
              <w:left w:val="single" w:sz="8" w:space="0" w:color="4F81BD"/>
              <w:bottom w:val="single" w:sz="8" w:space="0" w:color="4F81BD"/>
              <w:right w:val="single" w:sz="8" w:space="0" w:color="4F81BD"/>
            </w:tcBorders>
            <w:vAlign w:val="center"/>
            <w:hideMark/>
          </w:tcPr>
          <w:p w14:paraId="22A2C7EB"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59DC4821" w14:textId="77777777"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Probleme me sistemin CAPI gjatë mbledhjes së të dhënave</w:t>
            </w:r>
          </w:p>
        </w:tc>
        <w:tc>
          <w:tcPr>
            <w:tcW w:w="1906" w:type="dxa"/>
            <w:tcBorders>
              <w:top w:val="nil"/>
              <w:left w:val="nil"/>
              <w:bottom w:val="single" w:sz="8" w:space="0" w:color="4F81BD"/>
              <w:right w:val="single" w:sz="8" w:space="0" w:color="4F81BD"/>
            </w:tcBorders>
            <w:shd w:val="clear" w:color="000000" w:fill="FFFFFF"/>
            <w:vAlign w:val="center"/>
            <w:hideMark/>
          </w:tcPr>
          <w:p w14:paraId="72C7F7F2"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4</w:t>
            </w:r>
          </w:p>
        </w:tc>
      </w:tr>
      <w:tr w:rsidR="000F566F" w:rsidRPr="004F2AC3" w14:paraId="052B7A39" w14:textId="77777777" w:rsidTr="00AE7B10">
        <w:trPr>
          <w:trHeight w:val="315"/>
        </w:trPr>
        <w:tc>
          <w:tcPr>
            <w:tcW w:w="1980" w:type="dxa"/>
            <w:vMerge/>
            <w:tcBorders>
              <w:top w:val="nil"/>
              <w:left w:val="single" w:sz="8" w:space="0" w:color="4F81BD"/>
              <w:bottom w:val="single" w:sz="8" w:space="0" w:color="4F81BD"/>
              <w:right w:val="single" w:sz="8" w:space="0" w:color="4F81BD"/>
            </w:tcBorders>
            <w:vAlign w:val="center"/>
            <w:hideMark/>
          </w:tcPr>
          <w:p w14:paraId="54234263"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67B6B9D6" w14:textId="77777777"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Mungesa e stafit përgjegjës në agjencitë e tjera statistikore</w:t>
            </w:r>
          </w:p>
        </w:tc>
        <w:tc>
          <w:tcPr>
            <w:tcW w:w="1906" w:type="dxa"/>
            <w:tcBorders>
              <w:top w:val="nil"/>
              <w:left w:val="nil"/>
              <w:bottom w:val="single" w:sz="8" w:space="0" w:color="4F81BD"/>
              <w:right w:val="single" w:sz="8" w:space="0" w:color="4F81BD"/>
            </w:tcBorders>
            <w:shd w:val="clear" w:color="000000" w:fill="FFFFFF"/>
            <w:vAlign w:val="center"/>
            <w:hideMark/>
          </w:tcPr>
          <w:p w14:paraId="680439D4"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3</w:t>
            </w:r>
          </w:p>
        </w:tc>
      </w:tr>
      <w:tr w:rsidR="000F566F" w:rsidRPr="004F2AC3" w14:paraId="7A027E49" w14:textId="77777777" w:rsidTr="00AE7B10">
        <w:trPr>
          <w:trHeight w:hRule="exact" w:val="884"/>
        </w:trPr>
        <w:tc>
          <w:tcPr>
            <w:tcW w:w="1980" w:type="dxa"/>
            <w:vMerge w:val="restart"/>
            <w:tcBorders>
              <w:top w:val="nil"/>
              <w:left w:val="single" w:sz="8" w:space="0" w:color="4F81BD"/>
              <w:bottom w:val="single" w:sz="8" w:space="0" w:color="4F81BD"/>
              <w:right w:val="single" w:sz="8" w:space="0" w:color="4F81BD"/>
            </w:tcBorders>
            <w:shd w:val="clear" w:color="000000" w:fill="FFFFFF"/>
            <w:vAlign w:val="center"/>
            <w:hideMark/>
          </w:tcPr>
          <w:p w14:paraId="6FFC8803" w14:textId="7E0491EB" w:rsidR="000F566F" w:rsidRPr="004F2AC3" w:rsidRDefault="000F566F" w:rsidP="00F40AE3">
            <w:pPr>
              <w:spacing w:after="0" w:line="240" w:lineRule="auto"/>
              <w:jc w:val="center"/>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 xml:space="preserve">4 </w:t>
            </w:r>
            <w:r w:rsidR="00D32864" w:rsidRPr="004F2AC3">
              <w:rPr>
                <w:rFonts w:ascii="Garamond" w:eastAsia="Times New Roman" w:hAnsi="Garamond" w:cs="Times New Roman"/>
                <w:b/>
                <w:bCs/>
                <w:color w:val="000000" w:themeColor="text1"/>
                <w:sz w:val="20"/>
                <w:szCs w:val="20"/>
              </w:rPr>
              <w:t>“</w:t>
            </w:r>
            <w:r w:rsidRPr="004F2AC3">
              <w:rPr>
                <w:rFonts w:ascii="Garamond" w:eastAsia="Times New Roman" w:hAnsi="Garamond" w:cs="Times New Roman"/>
                <w:b/>
                <w:bCs/>
                <w:color w:val="000000" w:themeColor="text1"/>
                <w:sz w:val="20"/>
                <w:szCs w:val="20"/>
              </w:rPr>
              <w:t xml:space="preserve">Statistikat e </w:t>
            </w:r>
            <w:r w:rsidR="008F4963" w:rsidRPr="004F2AC3">
              <w:rPr>
                <w:rFonts w:ascii="Garamond" w:eastAsia="Times New Roman" w:hAnsi="Garamond" w:cs="Times New Roman"/>
                <w:b/>
                <w:bCs/>
                <w:color w:val="000000" w:themeColor="text1"/>
                <w:sz w:val="20"/>
                <w:szCs w:val="20"/>
              </w:rPr>
              <w:t>mjedisit dhe multidomain</w:t>
            </w:r>
          </w:p>
        </w:tc>
        <w:tc>
          <w:tcPr>
            <w:tcW w:w="5130" w:type="dxa"/>
            <w:tcBorders>
              <w:top w:val="nil"/>
              <w:left w:val="nil"/>
              <w:bottom w:val="single" w:sz="8" w:space="0" w:color="4F81BD"/>
              <w:right w:val="single" w:sz="8" w:space="0" w:color="4F81BD"/>
            </w:tcBorders>
            <w:shd w:val="clear" w:color="000000" w:fill="FFFFFF"/>
            <w:vAlign w:val="center"/>
            <w:hideMark/>
          </w:tcPr>
          <w:p w14:paraId="45FADAD8" w14:textId="10BDAB19" w:rsidR="000F566F" w:rsidRPr="004F2AC3" w:rsidRDefault="000F566F" w:rsidP="008F496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 xml:space="preserve"> Pezullimi/vonesa e mbledhjes, prodhimit dhe shpërndarjes </w:t>
            </w:r>
            <w:r w:rsidR="008F4963" w:rsidRPr="004F2AC3">
              <w:rPr>
                <w:rFonts w:ascii="Garamond" w:eastAsia="Times New Roman" w:hAnsi="Garamond" w:cs="Times New Roman"/>
                <w:color w:val="000000" w:themeColor="text1"/>
                <w:sz w:val="20"/>
                <w:szCs w:val="20"/>
              </w:rPr>
              <w:t>s</w:t>
            </w:r>
            <w:r w:rsidRPr="004F2AC3">
              <w:rPr>
                <w:rFonts w:ascii="Garamond" w:eastAsia="Times New Roman" w:hAnsi="Garamond" w:cs="Times New Roman"/>
                <w:color w:val="000000" w:themeColor="text1"/>
                <w:sz w:val="20"/>
                <w:szCs w:val="20"/>
              </w:rPr>
              <w:t xml:space="preserve">ë statistikave zyrtare si pasojë e </w:t>
            </w:r>
            <w:r w:rsidR="008F4963" w:rsidRPr="004F2AC3">
              <w:rPr>
                <w:rFonts w:ascii="Garamond" w:eastAsia="Times New Roman" w:hAnsi="Garamond" w:cs="Times New Roman"/>
                <w:color w:val="000000" w:themeColor="text1"/>
                <w:sz w:val="20"/>
                <w:szCs w:val="20"/>
              </w:rPr>
              <w:t>fatkeqësive natyrore/pandemisë globale</w:t>
            </w:r>
          </w:p>
        </w:tc>
        <w:tc>
          <w:tcPr>
            <w:tcW w:w="1906" w:type="dxa"/>
            <w:tcBorders>
              <w:top w:val="nil"/>
              <w:left w:val="nil"/>
              <w:bottom w:val="single" w:sz="8" w:space="0" w:color="4F81BD"/>
              <w:right w:val="single" w:sz="8" w:space="0" w:color="4F81BD"/>
            </w:tcBorders>
            <w:shd w:val="clear" w:color="000000" w:fill="FFFFFF"/>
            <w:vAlign w:val="center"/>
            <w:hideMark/>
          </w:tcPr>
          <w:p w14:paraId="43AA5EC5"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4</w:t>
            </w:r>
          </w:p>
        </w:tc>
      </w:tr>
      <w:tr w:rsidR="000F566F" w:rsidRPr="004F2AC3" w14:paraId="59A68E70" w14:textId="77777777" w:rsidTr="00AE7B10">
        <w:trPr>
          <w:trHeight w:val="375"/>
        </w:trPr>
        <w:tc>
          <w:tcPr>
            <w:tcW w:w="1980" w:type="dxa"/>
            <w:vMerge/>
            <w:tcBorders>
              <w:top w:val="nil"/>
              <w:left w:val="single" w:sz="8" w:space="0" w:color="4F81BD"/>
              <w:bottom w:val="single" w:sz="8" w:space="0" w:color="4F81BD"/>
              <w:right w:val="single" w:sz="8" w:space="0" w:color="4F81BD"/>
            </w:tcBorders>
            <w:vAlign w:val="center"/>
            <w:hideMark/>
          </w:tcPr>
          <w:p w14:paraId="4CB3A4BD"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22C3C7FE" w14:textId="29A026CA"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 xml:space="preserve">Vonesa të tjera në procesin e grumbullimit, </w:t>
            </w:r>
            <w:r w:rsidR="00AE7B10" w:rsidRPr="004F2AC3">
              <w:rPr>
                <w:rFonts w:ascii="Garamond" w:eastAsia="Times New Roman" w:hAnsi="Garamond" w:cs="Times New Roman"/>
                <w:color w:val="000000" w:themeColor="text1"/>
                <w:sz w:val="20"/>
                <w:szCs w:val="20"/>
              </w:rPr>
              <w:t>kontrollit</w:t>
            </w:r>
            <w:r w:rsidRPr="004F2AC3">
              <w:rPr>
                <w:rFonts w:ascii="Garamond" w:eastAsia="Times New Roman" w:hAnsi="Garamond" w:cs="Times New Roman"/>
                <w:color w:val="000000" w:themeColor="text1"/>
                <w:sz w:val="20"/>
                <w:szCs w:val="20"/>
              </w:rPr>
              <w:t xml:space="preserve"> dhe hedhjes së</w:t>
            </w:r>
            <w:r w:rsidR="00684E85" w:rsidRPr="004F2AC3">
              <w:rPr>
                <w:rFonts w:ascii="Garamond" w:eastAsia="Times New Roman" w:hAnsi="Garamond" w:cs="Times New Roman"/>
                <w:color w:val="000000" w:themeColor="text1"/>
                <w:sz w:val="20"/>
                <w:szCs w:val="20"/>
              </w:rPr>
              <w:t xml:space="preserve"> </w:t>
            </w:r>
            <w:r w:rsidRPr="004F2AC3">
              <w:rPr>
                <w:rFonts w:ascii="Garamond" w:eastAsia="Times New Roman" w:hAnsi="Garamond" w:cs="Times New Roman"/>
                <w:color w:val="000000" w:themeColor="text1"/>
                <w:sz w:val="20"/>
                <w:szCs w:val="20"/>
              </w:rPr>
              <w:t>të dhënave</w:t>
            </w:r>
          </w:p>
        </w:tc>
        <w:tc>
          <w:tcPr>
            <w:tcW w:w="1906" w:type="dxa"/>
            <w:tcBorders>
              <w:top w:val="nil"/>
              <w:left w:val="nil"/>
              <w:bottom w:val="single" w:sz="8" w:space="0" w:color="4F81BD"/>
              <w:right w:val="single" w:sz="8" w:space="0" w:color="4F81BD"/>
            </w:tcBorders>
            <w:shd w:val="clear" w:color="000000" w:fill="FFFFFF"/>
            <w:vAlign w:val="center"/>
            <w:hideMark/>
          </w:tcPr>
          <w:p w14:paraId="4BDC333D"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4</w:t>
            </w:r>
          </w:p>
        </w:tc>
      </w:tr>
      <w:tr w:rsidR="000F566F" w:rsidRPr="004F2AC3" w14:paraId="33F3E431" w14:textId="77777777" w:rsidTr="00AE7B10">
        <w:trPr>
          <w:trHeight w:val="375"/>
        </w:trPr>
        <w:tc>
          <w:tcPr>
            <w:tcW w:w="1980" w:type="dxa"/>
            <w:vMerge/>
            <w:tcBorders>
              <w:top w:val="nil"/>
              <w:left w:val="single" w:sz="8" w:space="0" w:color="4F81BD"/>
              <w:bottom w:val="single" w:sz="8" w:space="0" w:color="4F81BD"/>
              <w:right w:val="single" w:sz="8" w:space="0" w:color="4F81BD"/>
            </w:tcBorders>
            <w:vAlign w:val="center"/>
            <w:hideMark/>
          </w:tcPr>
          <w:p w14:paraId="65B35260"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2B6C1819" w14:textId="06309299"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Mospërmbushja e kritereve të cilësisë</w:t>
            </w:r>
            <w:r w:rsidR="008F4963" w:rsidRPr="004F2AC3">
              <w:rPr>
                <w:rFonts w:ascii="Garamond" w:eastAsia="Times New Roman" w:hAnsi="Garamond" w:cs="Times New Roman"/>
                <w:color w:val="000000" w:themeColor="text1"/>
                <w:sz w:val="20"/>
                <w:szCs w:val="20"/>
              </w:rPr>
              <w:t>,</w:t>
            </w:r>
            <w:r w:rsidRPr="004F2AC3">
              <w:rPr>
                <w:rFonts w:ascii="Garamond" w:eastAsia="Times New Roman" w:hAnsi="Garamond" w:cs="Times New Roman"/>
                <w:color w:val="000000" w:themeColor="text1"/>
                <w:sz w:val="20"/>
                <w:szCs w:val="20"/>
              </w:rPr>
              <w:t xml:space="preserve"> si: saktësia, përpikmëria dhe krahasueshmëria, për vrojtimet statistikore</w:t>
            </w:r>
          </w:p>
        </w:tc>
        <w:tc>
          <w:tcPr>
            <w:tcW w:w="1906" w:type="dxa"/>
            <w:tcBorders>
              <w:top w:val="nil"/>
              <w:left w:val="nil"/>
              <w:bottom w:val="single" w:sz="8" w:space="0" w:color="4F81BD"/>
              <w:right w:val="single" w:sz="8" w:space="0" w:color="4F81BD"/>
            </w:tcBorders>
            <w:shd w:val="clear" w:color="000000" w:fill="FFFFFF"/>
            <w:vAlign w:val="center"/>
            <w:hideMark/>
          </w:tcPr>
          <w:p w14:paraId="6CE54E25"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4</w:t>
            </w:r>
          </w:p>
        </w:tc>
      </w:tr>
      <w:tr w:rsidR="000F566F" w:rsidRPr="004F2AC3" w14:paraId="0E01D428" w14:textId="77777777" w:rsidTr="00AE7B10">
        <w:trPr>
          <w:trHeight w:hRule="exact" w:val="375"/>
        </w:trPr>
        <w:tc>
          <w:tcPr>
            <w:tcW w:w="1980" w:type="dxa"/>
            <w:vMerge w:val="restart"/>
            <w:tcBorders>
              <w:top w:val="nil"/>
              <w:left w:val="single" w:sz="8" w:space="0" w:color="4F81BD"/>
              <w:bottom w:val="single" w:sz="8" w:space="0" w:color="4F81BD"/>
              <w:right w:val="single" w:sz="8" w:space="0" w:color="4F81BD"/>
            </w:tcBorders>
            <w:shd w:val="clear" w:color="000000" w:fill="FFFFFF"/>
            <w:vAlign w:val="center"/>
            <w:hideMark/>
          </w:tcPr>
          <w:p w14:paraId="2E86044B" w14:textId="77777777" w:rsidR="000F566F" w:rsidRPr="004F2AC3" w:rsidRDefault="000F566F" w:rsidP="00F40AE3">
            <w:pPr>
              <w:spacing w:after="0" w:line="240" w:lineRule="auto"/>
              <w:jc w:val="center"/>
              <w:rPr>
                <w:rFonts w:ascii="Garamond" w:eastAsia="Times New Roman" w:hAnsi="Garamond" w:cs="Times New Roman"/>
                <w:b/>
                <w:bCs/>
                <w:color w:val="000000" w:themeColor="text1"/>
                <w:sz w:val="20"/>
                <w:szCs w:val="20"/>
              </w:rPr>
            </w:pPr>
            <w:r w:rsidRPr="004F2AC3">
              <w:rPr>
                <w:rFonts w:ascii="Garamond" w:eastAsia="Times New Roman" w:hAnsi="Garamond" w:cs="Times New Roman"/>
                <w:b/>
                <w:bCs/>
                <w:color w:val="000000" w:themeColor="text1"/>
                <w:sz w:val="20"/>
                <w:szCs w:val="20"/>
              </w:rPr>
              <w:t>Të tjera</w:t>
            </w:r>
          </w:p>
        </w:tc>
        <w:tc>
          <w:tcPr>
            <w:tcW w:w="5130" w:type="dxa"/>
            <w:tcBorders>
              <w:top w:val="nil"/>
              <w:left w:val="nil"/>
              <w:bottom w:val="single" w:sz="8" w:space="0" w:color="4F81BD"/>
              <w:right w:val="single" w:sz="8" w:space="0" w:color="4F81BD"/>
            </w:tcBorders>
            <w:shd w:val="clear" w:color="000000" w:fill="FFFFFF"/>
            <w:vAlign w:val="center"/>
            <w:hideMark/>
          </w:tcPr>
          <w:p w14:paraId="665F7893" w14:textId="77777777"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Sulmet kibernetike</w:t>
            </w:r>
          </w:p>
        </w:tc>
        <w:tc>
          <w:tcPr>
            <w:tcW w:w="1906" w:type="dxa"/>
            <w:tcBorders>
              <w:top w:val="nil"/>
              <w:left w:val="nil"/>
              <w:bottom w:val="single" w:sz="8" w:space="0" w:color="4F81BD"/>
              <w:right w:val="single" w:sz="8" w:space="0" w:color="4F81BD"/>
            </w:tcBorders>
            <w:shd w:val="clear" w:color="000000" w:fill="FFFFFF"/>
            <w:vAlign w:val="center"/>
            <w:hideMark/>
          </w:tcPr>
          <w:p w14:paraId="77A19C9B"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7</w:t>
            </w:r>
          </w:p>
        </w:tc>
      </w:tr>
      <w:tr w:rsidR="000F566F" w:rsidRPr="004F2AC3" w14:paraId="5C307763" w14:textId="77777777" w:rsidTr="00AE7B10">
        <w:trPr>
          <w:trHeight w:val="375"/>
        </w:trPr>
        <w:tc>
          <w:tcPr>
            <w:tcW w:w="1980" w:type="dxa"/>
            <w:vMerge/>
            <w:tcBorders>
              <w:top w:val="nil"/>
              <w:left w:val="single" w:sz="8" w:space="0" w:color="4F81BD"/>
              <w:bottom w:val="single" w:sz="8" w:space="0" w:color="4F81BD"/>
              <w:right w:val="single" w:sz="8" w:space="0" w:color="4F81BD"/>
            </w:tcBorders>
            <w:vAlign w:val="center"/>
            <w:hideMark/>
          </w:tcPr>
          <w:p w14:paraId="7734C118" w14:textId="77777777" w:rsidR="000F566F" w:rsidRPr="004F2AC3" w:rsidRDefault="000F566F" w:rsidP="00F40AE3">
            <w:pPr>
              <w:spacing w:after="0" w:line="240" w:lineRule="auto"/>
              <w:rPr>
                <w:rFonts w:ascii="Garamond" w:eastAsia="Times New Roman" w:hAnsi="Garamond" w:cs="Times New Roman"/>
                <w:b/>
                <w:bCs/>
                <w:color w:val="000000" w:themeColor="text1"/>
                <w:sz w:val="20"/>
                <w:szCs w:val="20"/>
              </w:rPr>
            </w:pPr>
          </w:p>
        </w:tc>
        <w:tc>
          <w:tcPr>
            <w:tcW w:w="5130" w:type="dxa"/>
            <w:tcBorders>
              <w:top w:val="nil"/>
              <w:left w:val="nil"/>
              <w:bottom w:val="single" w:sz="8" w:space="0" w:color="4F81BD"/>
              <w:right w:val="single" w:sz="8" w:space="0" w:color="4F81BD"/>
            </w:tcBorders>
            <w:shd w:val="clear" w:color="000000" w:fill="FFFFFF"/>
            <w:vAlign w:val="center"/>
            <w:hideMark/>
          </w:tcPr>
          <w:p w14:paraId="3DE0A942" w14:textId="77777777" w:rsidR="000F566F" w:rsidRPr="004F2AC3" w:rsidRDefault="000F566F" w:rsidP="00F40AE3">
            <w:pPr>
              <w:spacing w:after="0" w:line="240" w:lineRule="auto"/>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Lëvizja e stafit</w:t>
            </w:r>
          </w:p>
        </w:tc>
        <w:tc>
          <w:tcPr>
            <w:tcW w:w="1906" w:type="dxa"/>
            <w:tcBorders>
              <w:top w:val="nil"/>
              <w:left w:val="nil"/>
              <w:bottom w:val="single" w:sz="8" w:space="0" w:color="4F81BD"/>
              <w:right w:val="single" w:sz="8" w:space="0" w:color="4F81BD"/>
            </w:tcBorders>
            <w:shd w:val="clear" w:color="000000" w:fill="FFFFFF"/>
            <w:vAlign w:val="center"/>
            <w:hideMark/>
          </w:tcPr>
          <w:p w14:paraId="6ECA2669" w14:textId="77777777" w:rsidR="000F566F" w:rsidRPr="004F2AC3" w:rsidRDefault="000F566F" w:rsidP="00F40AE3">
            <w:pPr>
              <w:spacing w:after="0" w:line="240" w:lineRule="auto"/>
              <w:jc w:val="center"/>
              <w:rPr>
                <w:rFonts w:ascii="Garamond" w:eastAsia="Times New Roman" w:hAnsi="Garamond" w:cs="Times New Roman"/>
                <w:color w:val="000000" w:themeColor="text1"/>
                <w:sz w:val="20"/>
                <w:szCs w:val="20"/>
              </w:rPr>
            </w:pPr>
            <w:r w:rsidRPr="004F2AC3">
              <w:rPr>
                <w:rFonts w:ascii="Garamond" w:eastAsia="Times New Roman" w:hAnsi="Garamond" w:cs="Times New Roman"/>
                <w:color w:val="000000" w:themeColor="text1"/>
                <w:sz w:val="20"/>
                <w:szCs w:val="20"/>
              </w:rPr>
              <w:t>5</w:t>
            </w:r>
          </w:p>
        </w:tc>
      </w:tr>
    </w:tbl>
    <w:p w14:paraId="4A610ADF" w14:textId="77777777" w:rsidR="000F566F" w:rsidRPr="004F2AC3" w:rsidRDefault="000F566F" w:rsidP="000F566F">
      <w:pPr>
        <w:shd w:val="clear" w:color="auto" w:fill="FFFFFF" w:themeFill="background1"/>
        <w:tabs>
          <w:tab w:val="left" w:pos="2355"/>
        </w:tabs>
        <w:spacing w:after="0" w:line="240" w:lineRule="auto"/>
        <w:ind w:firstLine="284"/>
        <w:jc w:val="both"/>
        <w:rPr>
          <w:rFonts w:ascii="Garamond" w:hAnsi="Garamond" w:cs="Times New Roman"/>
          <w:b/>
          <w:i/>
          <w:color w:val="000000" w:themeColor="text1"/>
          <w:sz w:val="24"/>
          <w:szCs w:val="24"/>
        </w:rPr>
      </w:pPr>
    </w:p>
    <w:p w14:paraId="34E2D869" w14:textId="6718389D"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Për reduktimin e risqeve, INSTAT</w:t>
      </w:r>
      <w:r w:rsidR="00AE7B10"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ka ndërmarrë një sërë iniciativash, të cilat kanë të bëjnë me formalizimin e veprimtarive të planifikimit, zbatimit, monitorimit dhe raportimit të aktiviteteve statistikore. Për të përmirësuar sigurinë ndaj sulmeve kibernetike, INSTAT</w:t>
      </w:r>
      <w:r w:rsidR="00AE7B10"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ka implementuar masa specifike mbrojtëse, duke përfshirë ngritjen e infrastrukturave të avancuara të sigurisë kibernetike, përditësimin e vazhdueshëm të protokolleve të sigurisë, zbatimin e sistemeve të monitorimit për zbulimin e hershëm të kërcënimeve dhe trajnimin periodik të sta</w:t>
      </w:r>
      <w:r w:rsidR="00617779" w:rsidRPr="004F2AC3">
        <w:rPr>
          <w:rFonts w:ascii="Garamond" w:hAnsi="Garamond" w:cs="Times New Roman"/>
          <w:color w:val="000000" w:themeColor="text1"/>
          <w:sz w:val="24"/>
          <w:szCs w:val="24"/>
        </w:rPr>
        <w:t>fit për mbrojtjen e të dhënave.</w:t>
      </w:r>
    </w:p>
    <w:p w14:paraId="7D94F4CE" w14:textId="4B467B44"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Gjithashtu, për të reduktuar vonesat në transmetimin e informacionit, si dhe për të përmirësuar cilësinë e të dhënave administrative që sigurohen nga institucionet prodhuese, gjatë vitit 2026, INSTAT</w:t>
      </w:r>
      <w:r w:rsidR="00AE7B10" w:rsidRPr="004F2AC3">
        <w:rPr>
          <w:rFonts w:ascii="Garamond" w:hAnsi="Garamond" w:cs="Times New Roman"/>
          <w:color w:val="000000" w:themeColor="text1"/>
          <w:sz w:val="24"/>
          <w:szCs w:val="24"/>
        </w:rPr>
        <w:t>-i</w:t>
      </w:r>
      <w:r w:rsidRPr="004F2AC3">
        <w:rPr>
          <w:rFonts w:ascii="Garamond" w:hAnsi="Garamond" w:cs="Times New Roman"/>
          <w:color w:val="000000" w:themeColor="text1"/>
          <w:sz w:val="24"/>
          <w:szCs w:val="24"/>
        </w:rPr>
        <w:t xml:space="preserve"> ka negociuar me institucionet publike marrëveshje mirëkuptimi</w:t>
      </w:r>
      <w:r w:rsidR="0061777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duke përcaktuar detyra dhe përgjegjësi të qarta ndërinstitucionale, ngritje grupesh pune dhe përcaktimin e formave dhe afateve të transmetimit të të dhënave të nevojshme. Ndikim të drejtpërdrejtë në reduktimin e risqeve kanë edhe aktivitetet zbatuese për arritjen e objektivave strategjikë të zhvillimit të Sistemit Kombëtar Statistikor, të reflektuara në </w:t>
      </w:r>
      <w:r w:rsidR="00617779" w:rsidRPr="004F2AC3">
        <w:rPr>
          <w:rFonts w:ascii="Garamond" w:hAnsi="Garamond" w:cs="Times New Roman"/>
          <w:color w:val="000000" w:themeColor="text1"/>
          <w:sz w:val="24"/>
          <w:szCs w:val="24"/>
        </w:rPr>
        <w:t xml:space="preserve">seksionin </w:t>
      </w:r>
      <w:r w:rsidRPr="004F2AC3">
        <w:rPr>
          <w:rFonts w:ascii="Garamond" w:hAnsi="Garamond" w:cs="Times New Roman"/>
          <w:color w:val="000000" w:themeColor="text1"/>
          <w:sz w:val="24"/>
          <w:szCs w:val="24"/>
        </w:rPr>
        <w:t>II të këtij dokumenti.</w:t>
      </w:r>
    </w:p>
    <w:p w14:paraId="19C8989F" w14:textId="24ADE577" w:rsidR="000F566F" w:rsidRPr="004F2AC3" w:rsidRDefault="000F566F" w:rsidP="000F566F">
      <w:pPr>
        <w:pStyle w:val="Heading2"/>
        <w:spacing w:before="0" w:line="240" w:lineRule="auto"/>
        <w:ind w:firstLine="284"/>
        <w:rPr>
          <w:rFonts w:ascii="Garamond" w:hAnsi="Garamond" w:cs="Times New Roman"/>
          <w:noProof w:val="0"/>
          <w:color w:val="000000" w:themeColor="text1"/>
          <w:sz w:val="24"/>
          <w:szCs w:val="24"/>
        </w:rPr>
      </w:pPr>
      <w:bookmarkStart w:id="58" w:name="_Toc215132199"/>
      <w:r w:rsidRPr="004F2AC3">
        <w:rPr>
          <w:rFonts w:ascii="Garamond" w:hAnsi="Garamond" w:cs="Times New Roman"/>
          <w:noProof w:val="0"/>
          <w:color w:val="000000" w:themeColor="text1"/>
          <w:sz w:val="24"/>
          <w:szCs w:val="24"/>
        </w:rPr>
        <w:t xml:space="preserve">XI. Notë shpjeguese për përdorimin e </w:t>
      </w:r>
      <w:r w:rsidR="00AE7B10" w:rsidRPr="004F2AC3">
        <w:rPr>
          <w:rFonts w:ascii="Garamond" w:hAnsi="Garamond" w:cs="Times New Roman"/>
          <w:noProof w:val="0"/>
          <w:color w:val="000000" w:themeColor="text1"/>
          <w:sz w:val="24"/>
          <w:szCs w:val="24"/>
        </w:rPr>
        <w:t>a</w:t>
      </w:r>
      <w:r w:rsidRPr="004F2AC3">
        <w:rPr>
          <w:rFonts w:ascii="Garamond" w:hAnsi="Garamond" w:cs="Times New Roman"/>
          <w:noProof w:val="0"/>
          <w:color w:val="000000" w:themeColor="text1"/>
          <w:sz w:val="24"/>
          <w:szCs w:val="24"/>
        </w:rPr>
        <w:t>neksit</w:t>
      </w:r>
      <w:bookmarkEnd w:id="58"/>
    </w:p>
    <w:p w14:paraId="2697453C" w14:textId="4D1B129C"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Aneksi i Planit Vjetor 2026 është hartuar sipas klasifikimit të përcaktuar në </w:t>
      </w:r>
      <w:r w:rsidR="00AE7B10" w:rsidRPr="004F2AC3">
        <w:rPr>
          <w:rFonts w:ascii="Garamond" w:hAnsi="Garamond" w:cs="Times New Roman"/>
          <w:color w:val="000000" w:themeColor="text1"/>
          <w:sz w:val="24"/>
          <w:szCs w:val="24"/>
        </w:rPr>
        <w:t>s</w:t>
      </w:r>
      <w:r w:rsidRPr="004F2AC3">
        <w:rPr>
          <w:rFonts w:ascii="Garamond" w:hAnsi="Garamond" w:cs="Times New Roman"/>
          <w:color w:val="000000" w:themeColor="text1"/>
          <w:sz w:val="24"/>
          <w:szCs w:val="24"/>
        </w:rPr>
        <w:t>htojcën 1</w:t>
      </w:r>
      <w:r w:rsidR="0061777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të ligjit të statistikave zyrtare (</w:t>
      </w:r>
      <w:r w:rsidR="00AE7B10" w:rsidRPr="004F2AC3">
        <w:rPr>
          <w:rFonts w:ascii="Garamond" w:hAnsi="Garamond" w:cs="Times New Roman"/>
          <w:color w:val="000000" w:themeColor="text1"/>
          <w:sz w:val="24"/>
          <w:szCs w:val="24"/>
        </w:rPr>
        <w:t>f</w:t>
      </w:r>
      <w:r w:rsidRPr="004F2AC3">
        <w:rPr>
          <w:rFonts w:ascii="Garamond" w:hAnsi="Garamond" w:cs="Times New Roman"/>
          <w:color w:val="000000" w:themeColor="text1"/>
          <w:sz w:val="24"/>
          <w:szCs w:val="24"/>
        </w:rPr>
        <w:t>u</w:t>
      </w:r>
      <w:r w:rsidR="00AE7B10" w:rsidRPr="004F2AC3">
        <w:rPr>
          <w:rFonts w:ascii="Garamond" w:hAnsi="Garamond" w:cs="Times New Roman"/>
          <w:color w:val="000000" w:themeColor="text1"/>
          <w:sz w:val="24"/>
          <w:szCs w:val="24"/>
        </w:rPr>
        <w:t>shë/temë/</w:t>
      </w:r>
      <w:r w:rsidRPr="004F2AC3">
        <w:rPr>
          <w:rFonts w:ascii="Garamond" w:hAnsi="Garamond" w:cs="Times New Roman"/>
          <w:color w:val="000000" w:themeColor="text1"/>
          <w:sz w:val="24"/>
          <w:szCs w:val="24"/>
        </w:rPr>
        <w:t>nëntemë)</w:t>
      </w:r>
      <w:r w:rsidR="00617779"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duke ndjekur përmbajtjen e Programit të Statistikave Zyrtare 2022</w:t>
      </w:r>
      <w:r w:rsidR="00AE7B10"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2026 për çdo modul. Përputhja e moduleve me temën është në linjë me klasifikimin statistikor të Kompendium 2025 të Eurostat</w:t>
      </w:r>
      <w:r w:rsidR="00617779" w:rsidRPr="004F2AC3">
        <w:rPr>
          <w:rFonts w:ascii="Garamond" w:hAnsi="Garamond" w:cs="Times New Roman"/>
          <w:color w:val="000000" w:themeColor="text1"/>
          <w:sz w:val="24"/>
          <w:szCs w:val="24"/>
        </w:rPr>
        <w:t>it</w:t>
      </w:r>
      <w:r w:rsidRPr="004F2AC3">
        <w:rPr>
          <w:rFonts w:ascii="Garamond" w:hAnsi="Garamond" w:cs="Times New Roman"/>
          <w:color w:val="000000" w:themeColor="text1"/>
          <w:sz w:val="24"/>
          <w:szCs w:val="24"/>
        </w:rPr>
        <w:t>. Çdo aktivitet statistikor i parashikuar për një temë të caktuar, shoqërohet me kolona të cilat tregojnë:</w:t>
      </w:r>
    </w:p>
    <w:p w14:paraId="20AFA0B3" w14:textId="223D38F9"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Kodi</w:t>
      </w:r>
      <w:r w:rsidR="0061777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w:t>
      </w:r>
      <w:r w:rsidR="00617779"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aktivitetit;</w:t>
      </w:r>
    </w:p>
    <w:p w14:paraId="0CB4A6BB" w14:textId="144D4E75"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Emërtimi</w:t>
      </w:r>
      <w:r w:rsidR="0061777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w:t>
      </w:r>
      <w:r w:rsidR="00617779"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aktivitetit;</w:t>
      </w:r>
    </w:p>
    <w:p w14:paraId="096D1427" w14:textId="3A360F82"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Lloji</w:t>
      </w:r>
      <w:r w:rsidR="0061777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w:t>
      </w:r>
      <w:r w:rsidR="00617779"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aktivitetit</w:t>
      </w:r>
      <w:r w:rsidR="00AE7B10" w:rsidRPr="004F2AC3">
        <w:rPr>
          <w:rFonts w:ascii="Garamond" w:hAnsi="Garamond" w:cs="Times New Roman"/>
          <w:color w:val="000000" w:themeColor="text1"/>
          <w:sz w:val="24"/>
          <w:szCs w:val="24"/>
        </w:rPr>
        <w:t>.</w:t>
      </w:r>
    </w:p>
    <w:p w14:paraId="38AAC2D5" w14:textId="49232894"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Përqindj</w:t>
      </w:r>
      <w:r w:rsidR="00617779" w:rsidRPr="004F2AC3">
        <w:rPr>
          <w:rFonts w:ascii="Garamond" w:hAnsi="Garamond" w:cs="Times New Roman"/>
          <w:color w:val="000000" w:themeColor="text1"/>
          <w:sz w:val="24"/>
          <w:szCs w:val="24"/>
        </w:rPr>
        <w:t>en</w:t>
      </w:r>
      <w:r w:rsidRPr="004F2AC3">
        <w:rPr>
          <w:rFonts w:ascii="Garamond" w:hAnsi="Garamond" w:cs="Times New Roman"/>
          <w:color w:val="000000" w:themeColor="text1"/>
          <w:sz w:val="24"/>
          <w:szCs w:val="24"/>
        </w:rPr>
        <w:t xml:space="preserve"> e të dhënave nga </w:t>
      </w:r>
      <w:r w:rsidR="00617779" w:rsidRPr="004F2AC3">
        <w:rPr>
          <w:rFonts w:ascii="Garamond" w:hAnsi="Garamond" w:cs="Times New Roman"/>
          <w:color w:val="000000" w:themeColor="text1"/>
          <w:sz w:val="24"/>
          <w:szCs w:val="24"/>
        </w:rPr>
        <w:t xml:space="preserve">burimi </w:t>
      </w:r>
      <w:r w:rsidRPr="004F2AC3">
        <w:rPr>
          <w:rFonts w:ascii="Garamond" w:hAnsi="Garamond" w:cs="Times New Roman"/>
          <w:color w:val="000000" w:themeColor="text1"/>
          <w:sz w:val="24"/>
          <w:szCs w:val="24"/>
        </w:rPr>
        <w:t>administrativ/vrojtimi</w:t>
      </w:r>
      <w:r w:rsidR="00617779" w:rsidRPr="004F2AC3">
        <w:rPr>
          <w:rFonts w:ascii="Garamond" w:hAnsi="Garamond" w:cs="Times New Roman"/>
          <w:color w:val="000000" w:themeColor="text1"/>
          <w:sz w:val="24"/>
          <w:szCs w:val="24"/>
        </w:rPr>
        <w:t>;</w:t>
      </w:r>
    </w:p>
    <w:p w14:paraId="0A0134BB" w14:textId="77777777"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Periodiciteti;</w:t>
      </w:r>
    </w:p>
    <w:p w14:paraId="6B50AB1E" w14:textId="06E7DBE0"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 Treguesit </w:t>
      </w:r>
      <w:r w:rsidR="00617779" w:rsidRPr="004F2AC3">
        <w:rPr>
          <w:rFonts w:ascii="Garamond" w:hAnsi="Garamond" w:cs="Times New Roman"/>
          <w:color w:val="000000" w:themeColor="text1"/>
          <w:sz w:val="24"/>
          <w:szCs w:val="24"/>
        </w:rPr>
        <w:t>statistikorë</w:t>
      </w:r>
      <w:r w:rsidR="00AE7B10" w:rsidRPr="004F2AC3">
        <w:rPr>
          <w:rFonts w:ascii="Garamond" w:hAnsi="Garamond" w:cs="Times New Roman"/>
          <w:color w:val="000000" w:themeColor="text1"/>
          <w:sz w:val="24"/>
          <w:szCs w:val="24"/>
        </w:rPr>
        <w:t xml:space="preserve">; </w:t>
      </w:r>
    </w:p>
    <w:p w14:paraId="10C19F27" w14:textId="1B5D15DE"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Afati</w:t>
      </w:r>
      <w:r w:rsidR="0061777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w:t>
      </w:r>
      <w:r w:rsidR="00617779"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grumbullimit të të dhënave;</w:t>
      </w:r>
    </w:p>
    <w:p w14:paraId="6F035B61" w14:textId="01413E31"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Afati</w:t>
      </w:r>
      <w:r w:rsidR="0061777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w:t>
      </w:r>
      <w:r w:rsidR="00617779"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përpunimit të të dhënave</w:t>
      </w:r>
    </w:p>
    <w:p w14:paraId="6ED58BA0" w14:textId="2877BA3C"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Afati</w:t>
      </w:r>
      <w:r w:rsidR="0061777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w:t>
      </w:r>
      <w:r w:rsidR="00617779"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publikimit të rezultateve;</w:t>
      </w:r>
    </w:p>
    <w:p w14:paraId="115A6ED7" w14:textId="77777777"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Institucionet përgjegjëse për furnizimin me të dhëna;</w:t>
      </w:r>
    </w:p>
    <w:p w14:paraId="555AEF5E" w14:textId="135C7D7D"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Institucioni</w:t>
      </w:r>
      <w:r w:rsidR="0061777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përgjegjës për aktivitetin;</w:t>
      </w:r>
    </w:p>
    <w:p w14:paraId="1C9DCB02" w14:textId="37C10A09"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Risku</w:t>
      </w:r>
      <w:r w:rsidR="0061777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w:t>
      </w:r>
      <w:r w:rsidR="00617779"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pritshëm;</w:t>
      </w:r>
    </w:p>
    <w:p w14:paraId="6C81C7BE" w14:textId="4D92F2E5"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Niveli</w:t>
      </w:r>
      <w:r w:rsidR="0061777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w:t>
      </w:r>
      <w:r w:rsidR="00617779" w:rsidRPr="004F2AC3">
        <w:rPr>
          <w:rFonts w:ascii="Garamond" w:hAnsi="Garamond" w:cs="Times New Roman"/>
          <w:color w:val="000000" w:themeColor="text1"/>
          <w:sz w:val="24"/>
          <w:szCs w:val="24"/>
        </w:rPr>
        <w:t>e</w:t>
      </w:r>
      <w:r w:rsidRPr="004F2AC3">
        <w:rPr>
          <w:rFonts w:ascii="Garamond" w:hAnsi="Garamond" w:cs="Times New Roman"/>
          <w:color w:val="000000" w:themeColor="text1"/>
          <w:sz w:val="24"/>
          <w:szCs w:val="24"/>
        </w:rPr>
        <w:t xml:space="preserve"> riskut;</w:t>
      </w:r>
    </w:p>
    <w:p w14:paraId="49D8B0D2" w14:textId="3ABB2057"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Burimi</w:t>
      </w:r>
      <w:r w:rsidR="00617779" w:rsidRPr="004F2AC3">
        <w:rPr>
          <w:rFonts w:ascii="Garamond" w:hAnsi="Garamond" w:cs="Times New Roman"/>
          <w:color w:val="000000" w:themeColor="text1"/>
          <w:sz w:val="24"/>
          <w:szCs w:val="24"/>
        </w:rPr>
        <w:t>n</w:t>
      </w:r>
      <w:r w:rsidRPr="004F2AC3">
        <w:rPr>
          <w:rFonts w:ascii="Garamond" w:hAnsi="Garamond" w:cs="Times New Roman"/>
          <w:color w:val="000000" w:themeColor="text1"/>
          <w:sz w:val="24"/>
          <w:szCs w:val="24"/>
        </w:rPr>
        <w:t xml:space="preserve"> financiar për mbulimin e aktivitetit.</w:t>
      </w:r>
    </w:p>
    <w:p w14:paraId="1904383E" w14:textId="54BF51E7"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Shkurtimet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D</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M</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dhe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V</w:t>
      </w:r>
      <w:r w:rsidR="00D32864" w:rsidRPr="004F2AC3">
        <w:rPr>
          <w:rFonts w:ascii="Garamond" w:hAnsi="Garamond" w:cs="Times New Roman"/>
          <w:color w:val="000000" w:themeColor="text1"/>
          <w:sz w:val="24"/>
          <w:szCs w:val="24"/>
        </w:rPr>
        <w:t>”</w:t>
      </w:r>
      <w:r w:rsidR="00617779" w:rsidRPr="004F2AC3">
        <w:rPr>
          <w:rFonts w:ascii="Garamond" w:hAnsi="Garamond" w:cs="Times New Roman"/>
          <w:color w:val="000000" w:themeColor="text1"/>
          <w:sz w:val="24"/>
          <w:szCs w:val="24"/>
        </w:rPr>
        <w:t xml:space="preserve"> kanë kuptimin përkatësisht:</w:t>
      </w:r>
    </w:p>
    <w:p w14:paraId="51EE4EBB" w14:textId="2E20E87D"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D </w:t>
      </w:r>
      <w:r w:rsidR="00AE7B10"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Ditë</w:t>
      </w:r>
      <w:r w:rsidR="00617779" w:rsidRPr="004F2AC3">
        <w:rPr>
          <w:rFonts w:ascii="Garamond" w:hAnsi="Garamond" w:cs="Times New Roman"/>
          <w:color w:val="000000" w:themeColor="text1"/>
          <w:sz w:val="24"/>
          <w:szCs w:val="24"/>
        </w:rPr>
        <w:t>;</w:t>
      </w:r>
    </w:p>
    <w:p w14:paraId="3E4F3C38" w14:textId="77D4E4EC"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M </w:t>
      </w:r>
      <w:r w:rsidR="00AE7B10"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Muaj</w:t>
      </w:r>
      <w:r w:rsidR="00617779" w:rsidRPr="004F2AC3">
        <w:rPr>
          <w:rFonts w:ascii="Garamond" w:hAnsi="Garamond" w:cs="Times New Roman"/>
          <w:color w:val="000000" w:themeColor="text1"/>
          <w:sz w:val="24"/>
          <w:szCs w:val="24"/>
        </w:rPr>
        <w:t>;</w:t>
      </w:r>
    </w:p>
    <w:p w14:paraId="00C5F37C" w14:textId="0735853B"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T </w:t>
      </w:r>
      <w:r w:rsidR="00AE7B10"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Tremujor</w:t>
      </w:r>
      <w:r w:rsidR="00617779" w:rsidRPr="004F2AC3">
        <w:rPr>
          <w:rFonts w:ascii="Garamond" w:hAnsi="Garamond" w:cs="Times New Roman"/>
          <w:color w:val="000000" w:themeColor="text1"/>
          <w:sz w:val="24"/>
          <w:szCs w:val="24"/>
        </w:rPr>
        <w:t>;</w:t>
      </w:r>
    </w:p>
    <w:p w14:paraId="451A85EF" w14:textId="4DA23E8D"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V </w:t>
      </w:r>
      <w:r w:rsidR="00AE7B10"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Vit</w:t>
      </w:r>
      <w:r w:rsidR="00AE7B10" w:rsidRPr="004F2AC3">
        <w:rPr>
          <w:rFonts w:ascii="Garamond" w:hAnsi="Garamond" w:cs="Times New Roman"/>
          <w:color w:val="000000" w:themeColor="text1"/>
          <w:sz w:val="24"/>
          <w:szCs w:val="24"/>
        </w:rPr>
        <w:t>.</w:t>
      </w:r>
    </w:p>
    <w:p w14:paraId="2590E9E9" w14:textId="58141029"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Periudhë reference do të thotë periudha së cilës i referohen të dhënat e grumbulluara apo rezultatet e publikuara</w:t>
      </w:r>
      <w:r w:rsidR="00617779" w:rsidRPr="004F2AC3">
        <w:rPr>
          <w:rFonts w:ascii="Garamond" w:hAnsi="Garamond" w:cs="Times New Roman"/>
          <w:color w:val="000000" w:themeColor="text1"/>
          <w:sz w:val="24"/>
          <w:szCs w:val="24"/>
        </w:rPr>
        <w:t>.</w:t>
      </w:r>
    </w:p>
    <w:p w14:paraId="5ED46B7A" w14:textId="77777777"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Shembull I: 1.1.1.1 Statistikat e Popullsisë</w:t>
      </w:r>
    </w:p>
    <w:p w14:paraId="162BFF24" w14:textId="2589DD42"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Në kolonën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Afati i grumbullimit të të dhënave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rezulton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V+120 D</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Kjo do të thotë se grumbullimi i të dhënave mbyllet 120 ditë pas </w:t>
      </w:r>
      <w:r w:rsidR="00617779" w:rsidRPr="004F2AC3">
        <w:rPr>
          <w:rFonts w:ascii="Garamond" w:hAnsi="Garamond" w:cs="Times New Roman"/>
          <w:color w:val="000000" w:themeColor="text1"/>
          <w:sz w:val="24"/>
          <w:szCs w:val="24"/>
        </w:rPr>
        <w:t>përfundimit të vitit referencë.</w:t>
      </w:r>
    </w:p>
    <w:p w14:paraId="30E7B70F" w14:textId="426A8632"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P.sh. Për vitin referencë 2025, afati i grumbullimit të të dhënave është data 1 </w:t>
      </w:r>
      <w:r w:rsidR="00AE7B10" w:rsidRPr="004F2AC3">
        <w:rPr>
          <w:rFonts w:ascii="Garamond" w:hAnsi="Garamond" w:cs="Times New Roman"/>
          <w:color w:val="000000" w:themeColor="text1"/>
          <w:sz w:val="24"/>
          <w:szCs w:val="24"/>
        </w:rPr>
        <w:t>m</w:t>
      </w:r>
      <w:r w:rsidRPr="004F2AC3">
        <w:rPr>
          <w:rFonts w:ascii="Garamond" w:hAnsi="Garamond" w:cs="Times New Roman"/>
          <w:color w:val="000000" w:themeColor="text1"/>
          <w:sz w:val="24"/>
          <w:szCs w:val="24"/>
        </w:rPr>
        <w:t>aj 2026.</w:t>
      </w:r>
    </w:p>
    <w:p w14:paraId="44669004" w14:textId="0EB8391F"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Në kolonën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Afati i përpunimit të të dhënave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rezulton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V+140 D</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Kjo do të thotë që të dhënat përpunohen brenda datës 20 </w:t>
      </w:r>
      <w:r w:rsidR="00AE7B10" w:rsidRPr="004F2AC3">
        <w:rPr>
          <w:rFonts w:ascii="Garamond" w:hAnsi="Garamond" w:cs="Times New Roman"/>
          <w:color w:val="000000" w:themeColor="text1"/>
          <w:sz w:val="24"/>
          <w:szCs w:val="24"/>
        </w:rPr>
        <w:t>m</w:t>
      </w:r>
      <w:r w:rsidR="00617779" w:rsidRPr="004F2AC3">
        <w:rPr>
          <w:rFonts w:ascii="Garamond" w:hAnsi="Garamond" w:cs="Times New Roman"/>
          <w:color w:val="000000" w:themeColor="text1"/>
          <w:sz w:val="24"/>
          <w:szCs w:val="24"/>
        </w:rPr>
        <w:t>aj</w:t>
      </w:r>
      <w:r w:rsidRPr="004F2AC3">
        <w:rPr>
          <w:rFonts w:ascii="Garamond" w:hAnsi="Garamond" w:cs="Times New Roman"/>
          <w:color w:val="000000" w:themeColor="text1"/>
          <w:sz w:val="24"/>
          <w:szCs w:val="24"/>
        </w:rPr>
        <w:t xml:space="preserve"> 2026.</w:t>
      </w:r>
    </w:p>
    <w:p w14:paraId="2DAFD3ED" w14:textId="634C144B"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Në kolonën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Afati i publikimit të rezultateve</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rezulton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V+152 D</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Kjo do të thotë se rezultatet do të publikohen 152 ditë pas mbylljes së vitit referencë. Nëse viti referencë është 2024, atëherë publikimi i rezultateve do të jetë brenda datës 2 </w:t>
      </w:r>
      <w:r w:rsidR="00AE7B10" w:rsidRPr="004F2AC3">
        <w:rPr>
          <w:rFonts w:ascii="Garamond" w:hAnsi="Garamond" w:cs="Times New Roman"/>
          <w:color w:val="000000" w:themeColor="text1"/>
          <w:sz w:val="24"/>
          <w:szCs w:val="24"/>
        </w:rPr>
        <w:t>q</w:t>
      </w:r>
      <w:r w:rsidRPr="004F2AC3">
        <w:rPr>
          <w:rFonts w:ascii="Garamond" w:hAnsi="Garamond" w:cs="Times New Roman"/>
          <w:color w:val="000000" w:themeColor="text1"/>
          <w:sz w:val="24"/>
          <w:szCs w:val="24"/>
        </w:rPr>
        <w:t>ershor 2026.</w:t>
      </w:r>
    </w:p>
    <w:p w14:paraId="4508157D" w14:textId="77777777"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Shembull III:1.4.2.1 Statistikat e Shëndetit dhe Sigurisë në Punë</w:t>
      </w:r>
    </w:p>
    <w:p w14:paraId="622D3114" w14:textId="1A6B16A8"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 xml:space="preserve">Në kolonën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Afati i grumbullimit</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rezulton </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Dita e 180 e V</w:t>
      </w:r>
      <w:r w:rsidR="00D32864" w:rsidRPr="004F2AC3">
        <w:rPr>
          <w:rFonts w:ascii="Garamond" w:hAnsi="Garamond" w:cs="Times New Roman"/>
          <w:color w:val="000000" w:themeColor="text1"/>
          <w:sz w:val="24"/>
          <w:szCs w:val="24"/>
        </w:rPr>
        <w:t>”</w:t>
      </w:r>
      <w:r w:rsidRPr="004F2AC3">
        <w:rPr>
          <w:rFonts w:ascii="Garamond" w:hAnsi="Garamond" w:cs="Times New Roman"/>
          <w:color w:val="000000" w:themeColor="text1"/>
          <w:sz w:val="24"/>
          <w:szCs w:val="24"/>
        </w:rPr>
        <w:t xml:space="preserve">. Kjo do të thotë që të dhënat grumbullohen brenda vitit referencë, përkatësisht në ditën e 180 të tij, brenda datës 30 </w:t>
      </w:r>
      <w:r w:rsidR="00AE7B10" w:rsidRPr="004F2AC3">
        <w:rPr>
          <w:rFonts w:ascii="Garamond" w:hAnsi="Garamond" w:cs="Times New Roman"/>
          <w:color w:val="000000" w:themeColor="text1"/>
          <w:sz w:val="24"/>
          <w:szCs w:val="24"/>
        </w:rPr>
        <w:t>q</w:t>
      </w:r>
      <w:r w:rsidRPr="004F2AC3">
        <w:rPr>
          <w:rFonts w:ascii="Garamond" w:hAnsi="Garamond" w:cs="Times New Roman"/>
          <w:color w:val="000000" w:themeColor="text1"/>
          <w:sz w:val="24"/>
          <w:szCs w:val="24"/>
        </w:rPr>
        <w:t>ershor të vitit referencë.</w:t>
      </w:r>
    </w:p>
    <w:p w14:paraId="7AC0AFD8" w14:textId="77777777" w:rsidR="000F566F" w:rsidRPr="004F2AC3" w:rsidRDefault="000F566F" w:rsidP="000F566F">
      <w:pPr>
        <w:pStyle w:val="Heading2"/>
        <w:spacing w:before="0" w:line="240" w:lineRule="auto"/>
        <w:ind w:firstLine="284"/>
        <w:rPr>
          <w:rFonts w:ascii="Garamond" w:hAnsi="Garamond" w:cs="Times New Roman"/>
          <w:noProof w:val="0"/>
          <w:color w:val="000000" w:themeColor="text1"/>
          <w:sz w:val="24"/>
          <w:szCs w:val="24"/>
        </w:rPr>
      </w:pPr>
      <w:bookmarkStart w:id="59" w:name="_Toc215132200"/>
      <w:r w:rsidRPr="004F2AC3">
        <w:rPr>
          <w:rFonts w:ascii="Garamond" w:hAnsi="Garamond" w:cs="Times New Roman"/>
          <w:noProof w:val="0"/>
          <w:color w:val="000000" w:themeColor="text1"/>
          <w:sz w:val="24"/>
          <w:szCs w:val="24"/>
        </w:rPr>
        <w:t>XII. Aneksi</w:t>
      </w:r>
      <w:bookmarkEnd w:id="59"/>
      <w:r w:rsidRPr="004F2AC3">
        <w:rPr>
          <w:rFonts w:ascii="Garamond" w:hAnsi="Garamond" w:cs="Times New Roman"/>
          <w:noProof w:val="0"/>
          <w:color w:val="000000" w:themeColor="text1"/>
          <w:sz w:val="24"/>
          <w:szCs w:val="24"/>
        </w:rPr>
        <w:t xml:space="preserve"> </w:t>
      </w:r>
    </w:p>
    <w:p w14:paraId="4D26DAAB" w14:textId="77777777"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r w:rsidRPr="004F2AC3">
        <w:rPr>
          <w:rFonts w:ascii="Garamond" w:hAnsi="Garamond" w:cs="Times New Roman"/>
          <w:color w:val="000000" w:themeColor="text1"/>
          <w:sz w:val="24"/>
          <w:szCs w:val="24"/>
        </w:rPr>
        <w:t>Aktivitetet statistikore për vitin 2026.</w:t>
      </w:r>
    </w:p>
    <w:p w14:paraId="669FACDB" w14:textId="77777777" w:rsidR="000F566F" w:rsidRPr="004F2AC3" w:rsidRDefault="000F566F" w:rsidP="000F566F">
      <w:pPr>
        <w:shd w:val="clear" w:color="auto" w:fill="FFFFFF" w:themeFill="background1"/>
        <w:tabs>
          <w:tab w:val="left" w:pos="709"/>
        </w:tabs>
        <w:spacing w:after="0" w:line="240" w:lineRule="auto"/>
        <w:ind w:firstLine="284"/>
        <w:jc w:val="both"/>
        <w:rPr>
          <w:rFonts w:ascii="Garamond" w:hAnsi="Garamond" w:cs="Times New Roman"/>
          <w:color w:val="000000" w:themeColor="text1"/>
          <w:sz w:val="24"/>
          <w:szCs w:val="24"/>
        </w:rPr>
      </w:pPr>
    </w:p>
    <w:p w14:paraId="225B5FFD" w14:textId="77777777" w:rsidR="004B57D5" w:rsidRPr="004F2AC3" w:rsidRDefault="004B57D5" w:rsidP="004B57D5">
      <w:pPr>
        <w:rPr>
          <w:rFonts w:ascii="Times New Roman" w:hAnsi="Times New Roman" w:cs="Times New Roman"/>
        </w:rPr>
      </w:pPr>
    </w:p>
    <w:p w14:paraId="306A63B5" w14:textId="190D4B5C" w:rsidR="004B57D5" w:rsidRPr="004F2AC3" w:rsidRDefault="004B57D5" w:rsidP="00A8176B">
      <w:pPr>
        <w:pStyle w:val="TEKSTIIIII"/>
      </w:pPr>
    </w:p>
    <w:p w14:paraId="2E10BC46" w14:textId="53139794" w:rsidR="0021321C" w:rsidRPr="004F2AC3" w:rsidRDefault="0021321C" w:rsidP="00A8176B">
      <w:pPr>
        <w:pStyle w:val="TEKSTIIIII"/>
      </w:pPr>
    </w:p>
    <w:p w14:paraId="31AAF3EA" w14:textId="065C281C" w:rsidR="0021321C" w:rsidRPr="004F2AC3" w:rsidRDefault="0021321C" w:rsidP="00A8176B">
      <w:pPr>
        <w:pStyle w:val="TEKSTIIIII"/>
      </w:pPr>
    </w:p>
    <w:p w14:paraId="187B7452" w14:textId="532A1F77" w:rsidR="0021321C" w:rsidRPr="004F2AC3" w:rsidRDefault="0021321C" w:rsidP="00A8176B">
      <w:pPr>
        <w:pStyle w:val="TEKSTIIIII"/>
      </w:pPr>
    </w:p>
    <w:p w14:paraId="1206027B" w14:textId="0B99F1E4" w:rsidR="0021321C" w:rsidRPr="004F2AC3" w:rsidRDefault="0021321C" w:rsidP="00A8176B">
      <w:pPr>
        <w:pStyle w:val="TEKSTIIIII"/>
      </w:pPr>
    </w:p>
    <w:p w14:paraId="2BE17D10" w14:textId="0487A25D" w:rsidR="0021321C" w:rsidRPr="004F2AC3" w:rsidRDefault="0021321C" w:rsidP="00A8176B">
      <w:pPr>
        <w:pStyle w:val="TEKSTIIIII"/>
      </w:pPr>
    </w:p>
    <w:p w14:paraId="626C6B34" w14:textId="7459842D" w:rsidR="0021321C" w:rsidRPr="004F2AC3" w:rsidRDefault="0021321C" w:rsidP="00A8176B">
      <w:pPr>
        <w:pStyle w:val="TEKSTIIIII"/>
      </w:pPr>
    </w:p>
    <w:p w14:paraId="2930ADD5" w14:textId="4B89850B" w:rsidR="0021321C" w:rsidRPr="004F2AC3" w:rsidRDefault="0021321C" w:rsidP="00A8176B">
      <w:pPr>
        <w:pStyle w:val="TEKSTIIIII"/>
      </w:pPr>
    </w:p>
    <w:p w14:paraId="75C1C777" w14:textId="260E2395" w:rsidR="0021321C" w:rsidRPr="004F2AC3" w:rsidRDefault="0021321C" w:rsidP="00A8176B">
      <w:pPr>
        <w:pStyle w:val="TEKSTIIIII"/>
      </w:pPr>
    </w:p>
    <w:p w14:paraId="0777CEA5" w14:textId="1A3F364F" w:rsidR="0021321C" w:rsidRPr="004F2AC3" w:rsidRDefault="0021321C" w:rsidP="00A8176B">
      <w:pPr>
        <w:pStyle w:val="TEKSTIIIII"/>
      </w:pPr>
    </w:p>
    <w:p w14:paraId="0613282E" w14:textId="27F91805" w:rsidR="0021321C" w:rsidRPr="004F2AC3" w:rsidRDefault="0021321C" w:rsidP="00A8176B">
      <w:pPr>
        <w:pStyle w:val="TEKSTIIIII"/>
      </w:pPr>
    </w:p>
    <w:p w14:paraId="1A1B5135" w14:textId="25072C7B" w:rsidR="0021321C" w:rsidRPr="004F2AC3" w:rsidRDefault="0021321C" w:rsidP="00A8176B">
      <w:pPr>
        <w:pStyle w:val="TEKSTIIIII"/>
      </w:pPr>
    </w:p>
    <w:p w14:paraId="1F423670" w14:textId="4A2F32AA" w:rsidR="0021321C" w:rsidRPr="004F2AC3" w:rsidRDefault="0021321C" w:rsidP="00A8176B">
      <w:pPr>
        <w:pStyle w:val="TEKSTIIIII"/>
      </w:pPr>
    </w:p>
    <w:p w14:paraId="0FB784A5" w14:textId="0E685C1A" w:rsidR="0021321C" w:rsidRPr="004F2AC3" w:rsidRDefault="0021321C" w:rsidP="00A8176B">
      <w:pPr>
        <w:pStyle w:val="TEKSTIIIII"/>
      </w:pPr>
    </w:p>
    <w:p w14:paraId="54A200B9" w14:textId="6602AAA5" w:rsidR="0021321C" w:rsidRPr="004F2AC3" w:rsidRDefault="0021321C" w:rsidP="00A8176B">
      <w:pPr>
        <w:pStyle w:val="TEKSTIIIII"/>
      </w:pPr>
    </w:p>
    <w:p w14:paraId="0F597C4C" w14:textId="770228DA" w:rsidR="0021321C" w:rsidRPr="004F2AC3" w:rsidRDefault="0021321C" w:rsidP="00A8176B">
      <w:pPr>
        <w:pStyle w:val="TEKSTIIIII"/>
      </w:pPr>
    </w:p>
    <w:p w14:paraId="28E62AB5" w14:textId="210130CE" w:rsidR="0021321C" w:rsidRPr="004F2AC3" w:rsidRDefault="0021321C" w:rsidP="00A8176B">
      <w:pPr>
        <w:pStyle w:val="TEKSTIIIII"/>
      </w:pPr>
    </w:p>
    <w:p w14:paraId="45BA1A83" w14:textId="0F97FEF7" w:rsidR="0021321C" w:rsidRPr="004F2AC3" w:rsidRDefault="0021321C" w:rsidP="00A8176B">
      <w:pPr>
        <w:pStyle w:val="TEKSTIIIII"/>
      </w:pPr>
    </w:p>
    <w:p w14:paraId="5B9CB3F2" w14:textId="77777777" w:rsidR="0021321C" w:rsidRPr="004F2AC3" w:rsidRDefault="0021321C" w:rsidP="00A8176B">
      <w:pPr>
        <w:pStyle w:val="TEKSTIIIII"/>
        <w:sectPr w:rsidR="0021321C" w:rsidRPr="004F2AC3" w:rsidSect="00C02B3E">
          <w:headerReference w:type="default" r:id="rId26"/>
          <w:footerReference w:type="default" r:id="rId27"/>
          <w:pgSz w:w="11906" w:h="16838" w:code="9"/>
          <w:pgMar w:top="1080" w:right="1152" w:bottom="1152" w:left="1152" w:header="709" w:footer="709" w:gutter="0"/>
          <w:cols w:space="708"/>
          <w:titlePg/>
          <w:docGrid w:linePitch="360"/>
        </w:sectPr>
      </w:pPr>
    </w:p>
    <w:tbl>
      <w:tblPr>
        <w:tblW w:w="9350" w:type="dxa"/>
        <w:jc w:val="center"/>
        <w:tblLook w:val="04A0" w:firstRow="1" w:lastRow="0" w:firstColumn="1" w:lastColumn="0" w:noHBand="0" w:noVBand="1"/>
      </w:tblPr>
      <w:tblGrid>
        <w:gridCol w:w="615"/>
        <w:gridCol w:w="615"/>
        <w:gridCol w:w="431"/>
        <w:gridCol w:w="427"/>
        <w:gridCol w:w="565"/>
        <w:gridCol w:w="555"/>
        <w:gridCol w:w="575"/>
        <w:gridCol w:w="852"/>
        <w:gridCol w:w="681"/>
        <w:gridCol w:w="693"/>
        <w:gridCol w:w="516"/>
        <w:gridCol w:w="667"/>
        <w:gridCol w:w="659"/>
        <w:gridCol w:w="1466"/>
        <w:gridCol w:w="804"/>
        <w:gridCol w:w="650"/>
        <w:gridCol w:w="696"/>
        <w:gridCol w:w="621"/>
        <w:gridCol w:w="595"/>
        <w:gridCol w:w="1087"/>
        <w:gridCol w:w="830"/>
      </w:tblGrid>
      <w:tr w:rsidR="00C73163" w:rsidRPr="004F2AC3" w14:paraId="1BE45725" w14:textId="77777777" w:rsidTr="0021321C">
        <w:trPr>
          <w:trHeight w:val="180"/>
          <w:jc w:val="center"/>
        </w:trPr>
        <w:tc>
          <w:tcPr>
            <w:tcW w:w="388"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3744CEB" w14:textId="7D94F2ED"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 xml:space="preserve">Kodi i </w:t>
            </w:r>
            <w:r w:rsidR="006400E2" w:rsidRPr="004F2AC3">
              <w:rPr>
                <w:rFonts w:ascii="Garamond" w:eastAsia="Times New Roman" w:hAnsi="Garamond" w:cs="Times New Roman"/>
                <w:b/>
                <w:bCs/>
                <w:color w:val="000000"/>
                <w:sz w:val="10"/>
                <w:szCs w:val="10"/>
                <w:lang w:eastAsia="sq-AL"/>
              </w:rPr>
              <w:t>fushës statis</w:t>
            </w:r>
            <w:r w:rsidRPr="004F2AC3">
              <w:rPr>
                <w:rFonts w:ascii="Garamond" w:eastAsia="Times New Roman" w:hAnsi="Garamond" w:cs="Times New Roman"/>
                <w:b/>
                <w:bCs/>
                <w:color w:val="000000"/>
                <w:sz w:val="10"/>
                <w:szCs w:val="10"/>
                <w:lang w:eastAsia="sq-AL"/>
              </w:rPr>
              <w:t>tikore</w:t>
            </w:r>
          </w:p>
        </w:tc>
        <w:tc>
          <w:tcPr>
            <w:tcW w:w="389" w:type="dxa"/>
            <w:tcBorders>
              <w:top w:val="single" w:sz="4" w:space="0" w:color="auto"/>
              <w:left w:val="nil"/>
              <w:bottom w:val="single" w:sz="4" w:space="0" w:color="auto"/>
              <w:right w:val="single" w:sz="4" w:space="0" w:color="auto"/>
            </w:tcBorders>
            <w:shd w:val="clear" w:color="000000" w:fill="BFBFBF"/>
            <w:vAlign w:val="center"/>
            <w:hideMark/>
          </w:tcPr>
          <w:p w14:paraId="5FB7B287" w14:textId="717667D0"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 xml:space="preserve">Fusha </w:t>
            </w:r>
            <w:r w:rsidR="006400E2" w:rsidRPr="004F2AC3">
              <w:rPr>
                <w:rFonts w:ascii="Garamond" w:eastAsia="Times New Roman" w:hAnsi="Garamond" w:cs="Times New Roman"/>
                <w:b/>
                <w:bCs/>
                <w:color w:val="000000"/>
                <w:sz w:val="10"/>
                <w:szCs w:val="10"/>
                <w:lang w:eastAsia="sq-AL"/>
              </w:rPr>
              <w:t>statistikore</w:t>
            </w:r>
          </w:p>
        </w:tc>
        <w:tc>
          <w:tcPr>
            <w:tcW w:w="232" w:type="dxa"/>
            <w:tcBorders>
              <w:top w:val="single" w:sz="4" w:space="0" w:color="auto"/>
              <w:left w:val="nil"/>
              <w:bottom w:val="single" w:sz="4" w:space="0" w:color="auto"/>
              <w:right w:val="single" w:sz="4" w:space="0" w:color="auto"/>
            </w:tcBorders>
            <w:shd w:val="clear" w:color="000000" w:fill="BFBFBF"/>
            <w:vAlign w:val="center"/>
            <w:hideMark/>
          </w:tcPr>
          <w:p w14:paraId="2548D91C" w14:textId="5D57AA79"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 xml:space="preserve">Kodi i </w:t>
            </w:r>
            <w:r w:rsidR="006400E2" w:rsidRPr="004F2AC3">
              <w:rPr>
                <w:rFonts w:ascii="Garamond" w:eastAsia="Times New Roman" w:hAnsi="Garamond" w:cs="Times New Roman"/>
                <w:b/>
                <w:bCs/>
                <w:color w:val="000000"/>
                <w:sz w:val="10"/>
                <w:szCs w:val="10"/>
                <w:lang w:eastAsia="sq-AL"/>
              </w:rPr>
              <w:t>temës</w:t>
            </w:r>
          </w:p>
        </w:tc>
        <w:tc>
          <w:tcPr>
            <w:tcW w:w="208" w:type="dxa"/>
            <w:tcBorders>
              <w:top w:val="single" w:sz="4" w:space="0" w:color="auto"/>
              <w:left w:val="nil"/>
              <w:bottom w:val="single" w:sz="4" w:space="0" w:color="auto"/>
              <w:right w:val="single" w:sz="4" w:space="0" w:color="auto"/>
            </w:tcBorders>
            <w:shd w:val="clear" w:color="000000" w:fill="BFBFBF"/>
            <w:vAlign w:val="center"/>
            <w:hideMark/>
          </w:tcPr>
          <w:p w14:paraId="76BDC882"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Tema</w:t>
            </w:r>
          </w:p>
        </w:tc>
        <w:tc>
          <w:tcPr>
            <w:tcW w:w="320" w:type="dxa"/>
            <w:tcBorders>
              <w:top w:val="single" w:sz="4" w:space="0" w:color="auto"/>
              <w:left w:val="nil"/>
              <w:bottom w:val="single" w:sz="4" w:space="0" w:color="auto"/>
              <w:right w:val="single" w:sz="4" w:space="0" w:color="auto"/>
            </w:tcBorders>
            <w:shd w:val="clear" w:color="000000" w:fill="BFBFBF"/>
            <w:vAlign w:val="center"/>
            <w:hideMark/>
          </w:tcPr>
          <w:p w14:paraId="69C20C0D"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Kodi i nëntemës</w:t>
            </w:r>
          </w:p>
        </w:tc>
        <w:tc>
          <w:tcPr>
            <w:tcW w:w="309" w:type="dxa"/>
            <w:tcBorders>
              <w:top w:val="single" w:sz="4" w:space="0" w:color="auto"/>
              <w:left w:val="nil"/>
              <w:bottom w:val="single" w:sz="4" w:space="0" w:color="auto"/>
              <w:right w:val="nil"/>
            </w:tcBorders>
            <w:shd w:val="clear" w:color="000000" w:fill="BFBFBF"/>
            <w:vAlign w:val="center"/>
            <w:hideMark/>
          </w:tcPr>
          <w:p w14:paraId="54552D0E"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Nëntema</w:t>
            </w:r>
          </w:p>
        </w:tc>
        <w:tc>
          <w:tcPr>
            <w:tcW w:w="349"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2AE6639" w14:textId="5D793872"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Kodi i Akt</w:t>
            </w:r>
            <w:r w:rsidR="006400E2" w:rsidRPr="004F2AC3">
              <w:rPr>
                <w:rFonts w:ascii="Garamond" w:eastAsia="Times New Roman" w:hAnsi="Garamond" w:cs="Times New Roman"/>
                <w:b/>
                <w:bCs/>
                <w:color w:val="000000"/>
                <w:sz w:val="10"/>
                <w:szCs w:val="10"/>
                <w:lang w:eastAsia="sq-AL"/>
              </w:rPr>
              <w:t>i</w:t>
            </w:r>
            <w:r w:rsidRPr="004F2AC3">
              <w:rPr>
                <w:rFonts w:ascii="Garamond" w:eastAsia="Times New Roman" w:hAnsi="Garamond" w:cs="Times New Roman"/>
                <w:b/>
                <w:bCs/>
                <w:color w:val="000000"/>
                <w:sz w:val="10"/>
                <w:szCs w:val="10"/>
                <w:lang w:eastAsia="sq-AL"/>
              </w:rPr>
              <w:t>vitetit statistikor</w:t>
            </w:r>
          </w:p>
        </w:tc>
        <w:tc>
          <w:tcPr>
            <w:tcW w:w="563" w:type="dxa"/>
            <w:tcBorders>
              <w:top w:val="single" w:sz="4" w:space="0" w:color="auto"/>
              <w:left w:val="nil"/>
              <w:bottom w:val="single" w:sz="4" w:space="0" w:color="auto"/>
              <w:right w:val="single" w:sz="4" w:space="0" w:color="auto"/>
            </w:tcBorders>
            <w:shd w:val="clear" w:color="000000" w:fill="BFBFBF"/>
            <w:vAlign w:val="center"/>
            <w:hideMark/>
          </w:tcPr>
          <w:p w14:paraId="57948760"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Aktiviteti</w:t>
            </w:r>
          </w:p>
        </w:tc>
        <w:tc>
          <w:tcPr>
            <w:tcW w:w="446" w:type="dxa"/>
            <w:tcBorders>
              <w:top w:val="single" w:sz="4" w:space="0" w:color="auto"/>
              <w:left w:val="nil"/>
              <w:bottom w:val="single" w:sz="4" w:space="0" w:color="auto"/>
              <w:right w:val="single" w:sz="4" w:space="0" w:color="auto"/>
            </w:tcBorders>
            <w:shd w:val="clear" w:color="000000" w:fill="BFBFBF"/>
            <w:vAlign w:val="center"/>
            <w:hideMark/>
          </w:tcPr>
          <w:p w14:paraId="781A5293"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Lloji i aktivitetit</w:t>
            </w:r>
          </w:p>
        </w:tc>
        <w:tc>
          <w:tcPr>
            <w:tcW w:w="450" w:type="dxa"/>
            <w:tcBorders>
              <w:top w:val="single" w:sz="4" w:space="0" w:color="auto"/>
              <w:left w:val="nil"/>
              <w:bottom w:val="single" w:sz="4" w:space="0" w:color="auto"/>
              <w:right w:val="single" w:sz="4" w:space="0" w:color="auto"/>
            </w:tcBorders>
            <w:shd w:val="clear" w:color="000000" w:fill="BFBFBF"/>
            <w:vAlign w:val="center"/>
            <w:hideMark/>
          </w:tcPr>
          <w:p w14:paraId="24DED667" w14:textId="77777777" w:rsidR="0021321C" w:rsidRPr="004F2AC3" w:rsidRDefault="0021321C" w:rsidP="0021321C">
            <w:pPr>
              <w:spacing w:after="0" w:line="240" w:lineRule="auto"/>
              <w:jc w:val="center"/>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 nga Burimi administrativ</w:t>
            </w:r>
          </w:p>
        </w:tc>
        <w:tc>
          <w:tcPr>
            <w:tcW w:w="301" w:type="dxa"/>
            <w:tcBorders>
              <w:top w:val="single" w:sz="4" w:space="0" w:color="auto"/>
              <w:left w:val="nil"/>
              <w:bottom w:val="single" w:sz="4" w:space="0" w:color="auto"/>
              <w:right w:val="single" w:sz="4" w:space="0" w:color="auto"/>
            </w:tcBorders>
            <w:shd w:val="clear" w:color="000000" w:fill="BFBFBF"/>
            <w:vAlign w:val="center"/>
            <w:hideMark/>
          </w:tcPr>
          <w:p w14:paraId="13D3F0C8" w14:textId="77777777" w:rsidR="0021321C" w:rsidRPr="004F2AC3" w:rsidRDefault="0021321C" w:rsidP="0021321C">
            <w:pPr>
              <w:spacing w:after="0" w:line="240" w:lineRule="auto"/>
              <w:jc w:val="center"/>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 nga Vrojtimi</w:t>
            </w:r>
          </w:p>
        </w:tc>
        <w:tc>
          <w:tcPr>
            <w:tcW w:w="426" w:type="dxa"/>
            <w:tcBorders>
              <w:top w:val="single" w:sz="4" w:space="0" w:color="auto"/>
              <w:left w:val="nil"/>
              <w:bottom w:val="single" w:sz="4" w:space="0" w:color="auto"/>
              <w:right w:val="single" w:sz="4" w:space="0" w:color="auto"/>
            </w:tcBorders>
            <w:shd w:val="clear" w:color="000000" w:fill="BFBFBF"/>
            <w:vAlign w:val="center"/>
            <w:hideMark/>
          </w:tcPr>
          <w:p w14:paraId="44C8E772"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Tipi i aktivitetit</w:t>
            </w:r>
          </w:p>
        </w:tc>
        <w:tc>
          <w:tcPr>
            <w:tcW w:w="409" w:type="dxa"/>
            <w:tcBorders>
              <w:top w:val="single" w:sz="4" w:space="0" w:color="auto"/>
              <w:left w:val="nil"/>
              <w:bottom w:val="single" w:sz="4" w:space="0" w:color="auto"/>
              <w:right w:val="single" w:sz="4" w:space="0" w:color="auto"/>
            </w:tcBorders>
            <w:shd w:val="clear" w:color="000000" w:fill="BFBFBF"/>
            <w:vAlign w:val="center"/>
            <w:hideMark/>
          </w:tcPr>
          <w:p w14:paraId="6A63E27E"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Periodiciteti i aktivitetit</w:t>
            </w:r>
          </w:p>
        </w:tc>
        <w:tc>
          <w:tcPr>
            <w:tcW w:w="1098" w:type="dxa"/>
            <w:tcBorders>
              <w:top w:val="single" w:sz="4" w:space="0" w:color="auto"/>
              <w:left w:val="nil"/>
              <w:bottom w:val="single" w:sz="4" w:space="0" w:color="auto"/>
              <w:right w:val="single" w:sz="4" w:space="0" w:color="auto"/>
            </w:tcBorders>
            <w:shd w:val="clear" w:color="000000" w:fill="BFBFBF"/>
            <w:vAlign w:val="center"/>
            <w:hideMark/>
          </w:tcPr>
          <w:p w14:paraId="14F4F310"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Treguesit statistikorë</w:t>
            </w:r>
          </w:p>
        </w:tc>
        <w:tc>
          <w:tcPr>
            <w:tcW w:w="554" w:type="dxa"/>
            <w:tcBorders>
              <w:top w:val="single" w:sz="4" w:space="0" w:color="auto"/>
              <w:left w:val="nil"/>
              <w:bottom w:val="single" w:sz="4" w:space="0" w:color="auto"/>
              <w:right w:val="single" w:sz="4" w:space="0" w:color="auto"/>
            </w:tcBorders>
            <w:shd w:val="clear" w:color="000000" w:fill="BFBFBF"/>
            <w:vAlign w:val="center"/>
            <w:hideMark/>
          </w:tcPr>
          <w:p w14:paraId="141D66E3"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Institucioni përgjegjës për furnizimin me të dhëna</w:t>
            </w:r>
          </w:p>
        </w:tc>
        <w:tc>
          <w:tcPr>
            <w:tcW w:w="413" w:type="dxa"/>
            <w:tcBorders>
              <w:top w:val="single" w:sz="4" w:space="0" w:color="auto"/>
              <w:left w:val="nil"/>
              <w:bottom w:val="single" w:sz="4" w:space="0" w:color="auto"/>
              <w:right w:val="single" w:sz="4" w:space="0" w:color="auto"/>
            </w:tcBorders>
            <w:shd w:val="clear" w:color="000000" w:fill="BFBFBF"/>
            <w:vAlign w:val="center"/>
            <w:hideMark/>
          </w:tcPr>
          <w:p w14:paraId="4700BD2D"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Institucioni përgjegjës për prodhimin e të dhënave</w:t>
            </w:r>
          </w:p>
        </w:tc>
        <w:tc>
          <w:tcPr>
            <w:tcW w:w="466" w:type="dxa"/>
            <w:tcBorders>
              <w:top w:val="single" w:sz="4" w:space="0" w:color="auto"/>
              <w:left w:val="nil"/>
              <w:bottom w:val="single" w:sz="4" w:space="0" w:color="auto"/>
              <w:right w:val="single" w:sz="4" w:space="0" w:color="auto"/>
            </w:tcBorders>
            <w:shd w:val="clear" w:color="000000" w:fill="BFBFBF"/>
            <w:vAlign w:val="center"/>
            <w:hideMark/>
          </w:tcPr>
          <w:p w14:paraId="02662F5C" w14:textId="101B220C"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 xml:space="preserve"> Afati i </w:t>
            </w:r>
            <w:r w:rsidR="006400E2" w:rsidRPr="004F2AC3">
              <w:rPr>
                <w:rFonts w:ascii="Garamond" w:eastAsia="Times New Roman" w:hAnsi="Garamond" w:cs="Times New Roman"/>
                <w:b/>
                <w:bCs/>
                <w:color w:val="000000"/>
                <w:sz w:val="10"/>
                <w:szCs w:val="10"/>
                <w:lang w:eastAsia="sq-AL"/>
              </w:rPr>
              <w:t xml:space="preserve">grumbullimit </w:t>
            </w:r>
            <w:r w:rsidRPr="004F2AC3">
              <w:rPr>
                <w:rFonts w:ascii="Garamond" w:eastAsia="Times New Roman" w:hAnsi="Garamond" w:cs="Times New Roman"/>
                <w:b/>
                <w:bCs/>
                <w:color w:val="000000"/>
                <w:sz w:val="10"/>
                <w:szCs w:val="10"/>
                <w:lang w:eastAsia="sq-AL"/>
              </w:rPr>
              <w:t xml:space="preserve">të të dhënave </w:t>
            </w:r>
          </w:p>
        </w:tc>
        <w:tc>
          <w:tcPr>
            <w:tcW w:w="385" w:type="dxa"/>
            <w:tcBorders>
              <w:top w:val="single" w:sz="4" w:space="0" w:color="auto"/>
              <w:left w:val="nil"/>
              <w:bottom w:val="single" w:sz="4" w:space="0" w:color="auto"/>
              <w:right w:val="single" w:sz="4" w:space="0" w:color="auto"/>
            </w:tcBorders>
            <w:shd w:val="clear" w:color="000000" w:fill="BFBFBF"/>
            <w:vAlign w:val="center"/>
            <w:hideMark/>
          </w:tcPr>
          <w:p w14:paraId="25337EE4" w14:textId="1B8F2278"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 xml:space="preserve">Afati i </w:t>
            </w:r>
            <w:r w:rsidR="00712644" w:rsidRPr="004F2AC3">
              <w:rPr>
                <w:rFonts w:ascii="Garamond" w:eastAsia="Times New Roman" w:hAnsi="Garamond" w:cs="Times New Roman"/>
                <w:b/>
                <w:bCs/>
                <w:color w:val="000000"/>
                <w:sz w:val="10"/>
                <w:szCs w:val="10"/>
                <w:lang w:eastAsia="sq-AL"/>
              </w:rPr>
              <w:t xml:space="preserve">përpunimit </w:t>
            </w:r>
            <w:r w:rsidRPr="004F2AC3">
              <w:rPr>
                <w:rFonts w:ascii="Garamond" w:eastAsia="Times New Roman" w:hAnsi="Garamond" w:cs="Times New Roman"/>
                <w:b/>
                <w:bCs/>
                <w:color w:val="000000"/>
                <w:sz w:val="10"/>
                <w:szCs w:val="10"/>
                <w:lang w:eastAsia="sq-AL"/>
              </w:rPr>
              <w:t>të të dhënave</w:t>
            </w:r>
          </w:p>
        </w:tc>
        <w:tc>
          <w:tcPr>
            <w:tcW w:w="361" w:type="dxa"/>
            <w:tcBorders>
              <w:top w:val="single" w:sz="4" w:space="0" w:color="auto"/>
              <w:left w:val="nil"/>
              <w:bottom w:val="single" w:sz="4" w:space="0" w:color="auto"/>
              <w:right w:val="single" w:sz="4" w:space="0" w:color="auto"/>
            </w:tcBorders>
            <w:shd w:val="clear" w:color="000000" w:fill="BFBFBF"/>
            <w:vAlign w:val="center"/>
            <w:hideMark/>
          </w:tcPr>
          <w:p w14:paraId="4397B996" w14:textId="70CA44BC"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 xml:space="preserve">Afati i </w:t>
            </w:r>
            <w:r w:rsidR="006400E2" w:rsidRPr="004F2AC3">
              <w:rPr>
                <w:rFonts w:ascii="Garamond" w:eastAsia="Times New Roman" w:hAnsi="Garamond" w:cs="Times New Roman"/>
                <w:b/>
                <w:bCs/>
                <w:color w:val="000000"/>
                <w:sz w:val="10"/>
                <w:szCs w:val="10"/>
                <w:lang w:eastAsia="sq-AL"/>
              </w:rPr>
              <w:t xml:space="preserve">publikimit </w:t>
            </w:r>
            <w:r w:rsidRPr="004F2AC3">
              <w:rPr>
                <w:rFonts w:ascii="Garamond" w:eastAsia="Times New Roman" w:hAnsi="Garamond" w:cs="Times New Roman"/>
                <w:b/>
                <w:bCs/>
                <w:color w:val="000000"/>
                <w:sz w:val="10"/>
                <w:szCs w:val="10"/>
                <w:lang w:eastAsia="sq-AL"/>
              </w:rPr>
              <w:t>të të dhënave</w:t>
            </w:r>
          </w:p>
        </w:tc>
        <w:tc>
          <w:tcPr>
            <w:tcW w:w="732" w:type="dxa"/>
            <w:tcBorders>
              <w:top w:val="single" w:sz="4" w:space="0" w:color="auto"/>
              <w:left w:val="nil"/>
              <w:bottom w:val="single" w:sz="4" w:space="0" w:color="auto"/>
              <w:right w:val="single" w:sz="4" w:space="0" w:color="auto"/>
            </w:tcBorders>
            <w:shd w:val="clear" w:color="000000" w:fill="BFBFBF"/>
            <w:vAlign w:val="center"/>
            <w:hideMark/>
          </w:tcPr>
          <w:p w14:paraId="2EB78849"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Risku dhe nivelet</w:t>
            </w:r>
          </w:p>
        </w:tc>
        <w:tc>
          <w:tcPr>
            <w:tcW w:w="551" w:type="dxa"/>
            <w:tcBorders>
              <w:top w:val="single" w:sz="4" w:space="0" w:color="auto"/>
              <w:left w:val="nil"/>
              <w:bottom w:val="single" w:sz="4" w:space="0" w:color="auto"/>
              <w:right w:val="single" w:sz="4" w:space="0" w:color="auto"/>
            </w:tcBorders>
            <w:shd w:val="clear" w:color="000000" w:fill="BFBFBF"/>
            <w:vAlign w:val="center"/>
            <w:hideMark/>
          </w:tcPr>
          <w:p w14:paraId="51F4155C" w14:textId="77777777" w:rsidR="0021321C" w:rsidRPr="004F2AC3" w:rsidRDefault="0021321C" w:rsidP="0021321C">
            <w:pPr>
              <w:spacing w:after="0" w:line="240" w:lineRule="auto"/>
              <w:rPr>
                <w:rFonts w:ascii="Garamond" w:eastAsia="Times New Roman" w:hAnsi="Garamond" w:cs="Times New Roman"/>
                <w:b/>
                <w:bCs/>
                <w:color w:val="000000"/>
                <w:sz w:val="10"/>
                <w:szCs w:val="10"/>
                <w:lang w:eastAsia="sq-AL"/>
              </w:rPr>
            </w:pPr>
            <w:r w:rsidRPr="004F2AC3">
              <w:rPr>
                <w:rFonts w:ascii="Garamond" w:eastAsia="Times New Roman" w:hAnsi="Garamond" w:cs="Times New Roman"/>
                <w:b/>
                <w:bCs/>
                <w:color w:val="000000"/>
                <w:sz w:val="10"/>
                <w:szCs w:val="10"/>
                <w:lang w:eastAsia="sq-AL"/>
              </w:rPr>
              <w:t>Burimet financiare</w:t>
            </w:r>
          </w:p>
        </w:tc>
      </w:tr>
      <w:tr w:rsidR="0021321C" w:rsidRPr="004F2AC3" w14:paraId="5D4EDC01" w14:textId="77777777" w:rsidTr="0021321C">
        <w:trPr>
          <w:trHeight w:val="180"/>
          <w:jc w:val="center"/>
        </w:trPr>
        <w:tc>
          <w:tcPr>
            <w:tcW w:w="388" w:type="dxa"/>
            <w:tcBorders>
              <w:top w:val="nil"/>
              <w:left w:val="single" w:sz="4" w:space="0" w:color="000000"/>
              <w:bottom w:val="single" w:sz="4" w:space="0" w:color="000000"/>
              <w:right w:val="nil"/>
            </w:tcBorders>
            <w:shd w:val="clear" w:color="000000" w:fill="F0F0F0"/>
            <w:vAlign w:val="center"/>
            <w:hideMark/>
          </w:tcPr>
          <w:p w14:paraId="21EFEF6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w:t>
            </w:r>
          </w:p>
        </w:tc>
        <w:tc>
          <w:tcPr>
            <w:tcW w:w="8962" w:type="dxa"/>
            <w:gridSpan w:val="20"/>
            <w:tcBorders>
              <w:top w:val="single" w:sz="4" w:space="0" w:color="auto"/>
              <w:left w:val="single" w:sz="4" w:space="0" w:color="auto"/>
              <w:bottom w:val="single" w:sz="4" w:space="0" w:color="auto"/>
              <w:right w:val="single" w:sz="4" w:space="0" w:color="auto"/>
            </w:tcBorders>
            <w:shd w:val="clear" w:color="000000" w:fill="F0F0F0"/>
            <w:vAlign w:val="center"/>
            <w:hideMark/>
          </w:tcPr>
          <w:p w14:paraId="0CC0D8EE" w14:textId="433C25D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w:t>
            </w:r>
            <w:r w:rsidR="00617779" w:rsidRPr="004F2AC3">
              <w:rPr>
                <w:rFonts w:ascii="Garamond" w:eastAsia="Times New Roman" w:hAnsi="Garamond" w:cs="Times New Roman"/>
                <w:color w:val="000000"/>
                <w:sz w:val="10"/>
                <w:szCs w:val="10"/>
                <w:lang w:eastAsia="sq-AL"/>
              </w:rPr>
              <w:t>sociale dhe demografike</w:t>
            </w:r>
          </w:p>
        </w:tc>
      </w:tr>
      <w:tr w:rsidR="0021321C" w:rsidRPr="004F2AC3" w14:paraId="65F24F7C" w14:textId="77777777" w:rsidTr="0021321C">
        <w:trPr>
          <w:trHeight w:val="180"/>
          <w:jc w:val="center"/>
        </w:trPr>
        <w:tc>
          <w:tcPr>
            <w:tcW w:w="388" w:type="dxa"/>
            <w:tcBorders>
              <w:top w:val="nil"/>
              <w:left w:val="nil"/>
              <w:bottom w:val="nil"/>
              <w:right w:val="nil"/>
            </w:tcBorders>
            <w:shd w:val="clear" w:color="000000" w:fill="FFFFFF"/>
            <w:vAlign w:val="bottom"/>
            <w:hideMark/>
          </w:tcPr>
          <w:p w14:paraId="355AFF6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F04377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single" w:sz="4" w:space="0" w:color="000000"/>
              <w:bottom w:val="single" w:sz="4" w:space="0" w:color="000000"/>
              <w:right w:val="nil"/>
            </w:tcBorders>
            <w:shd w:val="clear" w:color="000000" w:fill="F0F0F0"/>
            <w:vAlign w:val="center"/>
            <w:hideMark/>
          </w:tcPr>
          <w:p w14:paraId="5FD049B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54A8AC9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Popullsia me vendbanim të zakonshëm në Shqipëri dhe jashtë saj</w:t>
            </w:r>
          </w:p>
        </w:tc>
      </w:tr>
      <w:tr w:rsidR="0021321C" w:rsidRPr="004F2AC3" w14:paraId="188F133C" w14:textId="77777777" w:rsidTr="0021321C">
        <w:trPr>
          <w:trHeight w:val="180"/>
          <w:jc w:val="center"/>
        </w:trPr>
        <w:tc>
          <w:tcPr>
            <w:tcW w:w="388" w:type="dxa"/>
            <w:tcBorders>
              <w:top w:val="nil"/>
              <w:left w:val="nil"/>
              <w:bottom w:val="nil"/>
              <w:right w:val="nil"/>
            </w:tcBorders>
            <w:shd w:val="clear" w:color="000000" w:fill="FFFFFF"/>
            <w:vAlign w:val="bottom"/>
            <w:hideMark/>
          </w:tcPr>
          <w:p w14:paraId="1BE0231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0AED11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D975D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2E540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6FDFCF6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782402D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Demografi, migracion dhe projeksione</w:t>
            </w:r>
          </w:p>
        </w:tc>
      </w:tr>
      <w:tr w:rsidR="00C73163" w:rsidRPr="004F2AC3" w14:paraId="54B80A8C" w14:textId="77777777" w:rsidTr="0021321C">
        <w:trPr>
          <w:trHeight w:val="180"/>
          <w:jc w:val="center"/>
        </w:trPr>
        <w:tc>
          <w:tcPr>
            <w:tcW w:w="388" w:type="dxa"/>
            <w:tcBorders>
              <w:top w:val="nil"/>
              <w:left w:val="nil"/>
              <w:bottom w:val="nil"/>
              <w:right w:val="nil"/>
            </w:tcBorders>
            <w:shd w:val="clear" w:color="000000" w:fill="FFFFFF"/>
            <w:vAlign w:val="bottom"/>
            <w:hideMark/>
          </w:tcPr>
          <w:p w14:paraId="43E19FC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1BAFA2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D1C26E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C0D393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259EA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E8F788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110FB66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1.1.1.1</w:t>
            </w:r>
          </w:p>
        </w:tc>
        <w:tc>
          <w:tcPr>
            <w:tcW w:w="563" w:type="dxa"/>
            <w:tcBorders>
              <w:top w:val="nil"/>
              <w:left w:val="nil"/>
              <w:bottom w:val="single" w:sz="4" w:space="0" w:color="auto"/>
              <w:right w:val="single" w:sz="4" w:space="0" w:color="auto"/>
            </w:tcBorders>
            <w:shd w:val="clear" w:color="auto" w:fill="auto"/>
            <w:vAlign w:val="center"/>
            <w:hideMark/>
          </w:tcPr>
          <w:p w14:paraId="22D53B8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Popullsisë</w:t>
            </w:r>
          </w:p>
        </w:tc>
        <w:tc>
          <w:tcPr>
            <w:tcW w:w="446" w:type="dxa"/>
            <w:tcBorders>
              <w:top w:val="nil"/>
              <w:left w:val="nil"/>
              <w:bottom w:val="single" w:sz="4" w:space="0" w:color="auto"/>
              <w:right w:val="single" w:sz="4" w:space="0" w:color="auto"/>
            </w:tcBorders>
            <w:shd w:val="clear" w:color="auto" w:fill="auto"/>
            <w:vAlign w:val="center"/>
            <w:hideMark/>
          </w:tcPr>
          <w:p w14:paraId="69586C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000000" w:fill="FFFFFF"/>
            <w:noWrap/>
            <w:vAlign w:val="center"/>
            <w:hideMark/>
          </w:tcPr>
          <w:p w14:paraId="003AC98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60%</w:t>
            </w:r>
          </w:p>
        </w:tc>
        <w:tc>
          <w:tcPr>
            <w:tcW w:w="301" w:type="dxa"/>
            <w:tcBorders>
              <w:top w:val="nil"/>
              <w:left w:val="nil"/>
              <w:bottom w:val="single" w:sz="4" w:space="0" w:color="auto"/>
              <w:right w:val="single" w:sz="4" w:space="0" w:color="auto"/>
            </w:tcBorders>
            <w:shd w:val="clear" w:color="000000" w:fill="FFFFFF"/>
            <w:noWrap/>
            <w:vAlign w:val="center"/>
            <w:hideMark/>
          </w:tcPr>
          <w:p w14:paraId="6A52D97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40%</w:t>
            </w:r>
          </w:p>
        </w:tc>
        <w:tc>
          <w:tcPr>
            <w:tcW w:w="426" w:type="dxa"/>
            <w:tcBorders>
              <w:top w:val="nil"/>
              <w:left w:val="nil"/>
              <w:bottom w:val="single" w:sz="4" w:space="0" w:color="auto"/>
              <w:right w:val="single" w:sz="4" w:space="0" w:color="auto"/>
            </w:tcBorders>
            <w:shd w:val="clear" w:color="auto" w:fill="auto"/>
            <w:vAlign w:val="center"/>
            <w:hideMark/>
          </w:tcPr>
          <w:p w14:paraId="076DDA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1C54722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000000" w:fill="FFFFFF"/>
            <w:vAlign w:val="center"/>
            <w:hideMark/>
          </w:tcPr>
          <w:p w14:paraId="6EAB4AA8" w14:textId="642C841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Dendësia e popullsisë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Fëmijë, adoleshentë dhe të rinj në raport me popullsinë e përgjithshme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Koeficienti i rritjes së popullsisë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Mosha mediane e popullsisë sipas qarkut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Piramida e popullsisë më 1 janar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Popullsia me 1 janar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Popullsia më 1 janar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 rajonit, qarkut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Popullsia më 1 janar sipas moshës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Popullsia më 1 janar sipas moshës, rajonit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Popullsia më 1 janar sipas qarkut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Popullsia mesatare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Popullsia mesatare sipas qarkut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Raporti gjinor i popullsisë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Raporti i varësisë gjithsej</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Raporti i varësisë së të moshuarve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Raporti i varësisë së të rinjve</w:t>
            </w:r>
            <w:r w:rsidR="00712644"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3C5BF3BC" w14:textId="08200256" w:rsidR="0021321C" w:rsidRPr="004F2AC3" w:rsidRDefault="00712644"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INSTAT-i;</w:t>
            </w:r>
            <w:r w:rsidRPr="004F2AC3">
              <w:rPr>
                <w:rFonts w:ascii="Garamond" w:eastAsia="Times New Roman" w:hAnsi="Garamond" w:cs="Times New Roman"/>
                <w:color w:val="000000"/>
                <w:sz w:val="10"/>
                <w:szCs w:val="10"/>
                <w:lang w:eastAsia="sq-AL"/>
              </w:rPr>
              <w:br/>
            </w:r>
            <w:r w:rsidR="0021321C" w:rsidRPr="004F2AC3">
              <w:rPr>
                <w:rFonts w:ascii="Garamond" w:eastAsia="Times New Roman" w:hAnsi="Garamond" w:cs="Times New Roman"/>
                <w:color w:val="000000"/>
                <w:sz w:val="10"/>
                <w:szCs w:val="10"/>
                <w:lang w:eastAsia="sq-AL"/>
              </w:rPr>
              <w:t>Drejtoria e Përgjithshme e Gjendjes Civile</w:t>
            </w:r>
            <w:r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2EA251EF" w14:textId="664D398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12644"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242E011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+ 120 D</w:t>
            </w:r>
          </w:p>
        </w:tc>
        <w:tc>
          <w:tcPr>
            <w:tcW w:w="385" w:type="dxa"/>
            <w:tcBorders>
              <w:top w:val="nil"/>
              <w:left w:val="nil"/>
              <w:bottom w:val="single" w:sz="4" w:space="0" w:color="auto"/>
              <w:right w:val="single" w:sz="4" w:space="0" w:color="auto"/>
            </w:tcBorders>
            <w:shd w:val="clear" w:color="000000" w:fill="FFFFFF"/>
            <w:vAlign w:val="center"/>
            <w:hideMark/>
          </w:tcPr>
          <w:p w14:paraId="13ED6D5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+ 140 D</w:t>
            </w:r>
          </w:p>
        </w:tc>
        <w:tc>
          <w:tcPr>
            <w:tcW w:w="361" w:type="dxa"/>
            <w:tcBorders>
              <w:top w:val="nil"/>
              <w:left w:val="nil"/>
              <w:bottom w:val="single" w:sz="4" w:space="0" w:color="auto"/>
              <w:right w:val="single" w:sz="4" w:space="0" w:color="auto"/>
            </w:tcBorders>
            <w:shd w:val="clear" w:color="000000" w:fill="FFFFFF"/>
            <w:vAlign w:val="center"/>
            <w:hideMark/>
          </w:tcPr>
          <w:p w14:paraId="1689224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+ 152 D</w:t>
            </w:r>
          </w:p>
        </w:tc>
        <w:tc>
          <w:tcPr>
            <w:tcW w:w="732" w:type="dxa"/>
            <w:tcBorders>
              <w:top w:val="nil"/>
              <w:left w:val="nil"/>
              <w:bottom w:val="single" w:sz="4" w:space="0" w:color="auto"/>
              <w:right w:val="single" w:sz="4" w:space="0" w:color="auto"/>
            </w:tcBorders>
            <w:shd w:val="clear" w:color="000000" w:fill="FFFFFF"/>
            <w:vAlign w:val="center"/>
            <w:hideMark/>
          </w:tcPr>
          <w:p w14:paraId="25F434E4" w14:textId="05365A6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si dhe nga AFP</w:t>
            </w:r>
            <w:r w:rsidR="00712644" w:rsidRPr="004F2AC3">
              <w:rPr>
                <w:rFonts w:ascii="Garamond" w:eastAsia="Times New Roman" w:hAnsi="Garamond" w:cs="Times New Roman"/>
                <w:color w:val="000000"/>
                <w:sz w:val="10"/>
                <w:szCs w:val="10"/>
                <w:lang w:eastAsia="sq-AL"/>
              </w:rPr>
              <w:t>-ja</w:t>
            </w:r>
            <w:r w:rsidRPr="004F2AC3">
              <w:rPr>
                <w:rFonts w:ascii="Garamond" w:eastAsia="Times New Roman" w:hAnsi="Garamond" w:cs="Times New Roman"/>
                <w:color w:val="000000"/>
                <w:sz w:val="10"/>
                <w:szCs w:val="10"/>
                <w:lang w:eastAsia="sq-AL"/>
              </w:rPr>
              <w:t xml:space="preserve"> për </w:t>
            </w:r>
            <w:r w:rsidR="006400E2" w:rsidRPr="004F2AC3">
              <w:rPr>
                <w:rFonts w:ascii="Garamond" w:eastAsia="Times New Roman" w:hAnsi="Garamond" w:cs="Times New Roman"/>
                <w:color w:val="000000"/>
                <w:sz w:val="10"/>
                <w:szCs w:val="10"/>
                <w:lang w:eastAsia="sq-AL"/>
              </w:rPr>
              <w:t>vlerësimin</w:t>
            </w:r>
            <w:r w:rsidRPr="004F2AC3">
              <w:rPr>
                <w:rFonts w:ascii="Garamond" w:eastAsia="Times New Roman" w:hAnsi="Garamond" w:cs="Times New Roman"/>
                <w:color w:val="000000"/>
                <w:sz w:val="10"/>
                <w:szCs w:val="10"/>
                <w:lang w:eastAsia="sq-AL"/>
              </w:rPr>
              <w:t xml:space="preserve"> e migracionit -|- 6</w:t>
            </w:r>
            <w:r w:rsidRPr="004F2AC3">
              <w:rPr>
                <w:rFonts w:ascii="Garamond" w:eastAsia="Times New Roman" w:hAnsi="Garamond" w:cs="Times New Roman"/>
                <w:color w:val="000000"/>
                <w:sz w:val="10"/>
                <w:szCs w:val="10"/>
                <w:lang w:eastAsia="sq-AL"/>
              </w:rPr>
              <w:br/>
              <w:t>2. Mospërmbushja e kritereve të cilësisë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si: saktësia, përpikmëria dhe krahasueshmëria, për të dhënat administrative/vrojtimet statistikore -|- 6</w:t>
            </w:r>
            <w:r w:rsidRPr="004F2AC3">
              <w:rPr>
                <w:rFonts w:ascii="Garamond" w:eastAsia="Times New Roman" w:hAnsi="Garamond" w:cs="Times New Roman"/>
                <w:color w:val="000000"/>
                <w:sz w:val="10"/>
                <w:szCs w:val="10"/>
                <w:lang w:eastAsia="sq-AL"/>
              </w:rPr>
              <w:br/>
              <w:t>3. Pezullimi/vonesa e mbledhjes, prodhimit dhe shpërndarjes të statistikave zyrtare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si pasojë e </w:t>
            </w:r>
            <w:r w:rsidR="00712644" w:rsidRPr="004F2AC3">
              <w:rPr>
                <w:rFonts w:ascii="Garamond" w:eastAsia="Times New Roman" w:hAnsi="Garamond" w:cs="Times New Roman"/>
                <w:color w:val="000000"/>
                <w:sz w:val="10"/>
                <w:szCs w:val="10"/>
                <w:lang w:eastAsia="sq-AL"/>
              </w:rPr>
              <w:t xml:space="preserve">fatkeqësive </w:t>
            </w:r>
            <w:r w:rsidRPr="004F2AC3">
              <w:rPr>
                <w:rFonts w:ascii="Garamond" w:eastAsia="Times New Roman" w:hAnsi="Garamond" w:cs="Times New Roman"/>
                <w:color w:val="000000"/>
                <w:sz w:val="10"/>
                <w:szCs w:val="10"/>
                <w:lang w:eastAsia="sq-AL"/>
              </w:rPr>
              <w:t xml:space="preserve">natyrore/ </w:t>
            </w:r>
            <w:r w:rsidR="00712644" w:rsidRPr="004F2AC3">
              <w:rPr>
                <w:rFonts w:ascii="Garamond" w:eastAsia="Times New Roman" w:hAnsi="Garamond" w:cs="Times New Roman"/>
                <w:color w:val="000000"/>
                <w:sz w:val="10"/>
                <w:szCs w:val="10"/>
                <w:lang w:eastAsia="sq-AL"/>
              </w:rPr>
              <w:t xml:space="preserve">pandemi globale </w:t>
            </w:r>
            <w:r w:rsidRPr="004F2AC3">
              <w:rPr>
                <w:rFonts w:ascii="Garamond" w:eastAsia="Times New Roman" w:hAnsi="Garamond" w:cs="Times New Roman"/>
                <w:color w:val="000000"/>
                <w:sz w:val="10"/>
                <w:szCs w:val="10"/>
                <w:lang w:eastAsia="sq-AL"/>
              </w:rPr>
              <w:t>-|- 6</w:t>
            </w:r>
          </w:p>
        </w:tc>
        <w:tc>
          <w:tcPr>
            <w:tcW w:w="551" w:type="dxa"/>
            <w:tcBorders>
              <w:top w:val="nil"/>
              <w:left w:val="nil"/>
              <w:bottom w:val="single" w:sz="4" w:space="0" w:color="auto"/>
              <w:right w:val="single" w:sz="4" w:space="0" w:color="auto"/>
            </w:tcBorders>
            <w:shd w:val="clear" w:color="000000" w:fill="FFFFFF"/>
            <w:vAlign w:val="center"/>
            <w:hideMark/>
          </w:tcPr>
          <w:p w14:paraId="249DCC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08BD33BD" w14:textId="77777777" w:rsidTr="0021321C">
        <w:trPr>
          <w:trHeight w:val="180"/>
          <w:jc w:val="center"/>
        </w:trPr>
        <w:tc>
          <w:tcPr>
            <w:tcW w:w="388" w:type="dxa"/>
            <w:tcBorders>
              <w:top w:val="nil"/>
              <w:left w:val="nil"/>
              <w:bottom w:val="nil"/>
              <w:right w:val="nil"/>
            </w:tcBorders>
            <w:shd w:val="clear" w:color="000000" w:fill="FFFFFF"/>
            <w:vAlign w:val="bottom"/>
            <w:hideMark/>
          </w:tcPr>
          <w:p w14:paraId="337989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897427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DDEE5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B0B679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F91B6B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41B60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694EF64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1.1.1.3</w:t>
            </w:r>
          </w:p>
        </w:tc>
        <w:tc>
          <w:tcPr>
            <w:tcW w:w="563" w:type="dxa"/>
            <w:tcBorders>
              <w:top w:val="nil"/>
              <w:left w:val="nil"/>
              <w:bottom w:val="single" w:sz="4" w:space="0" w:color="auto"/>
              <w:right w:val="single" w:sz="4" w:space="0" w:color="auto"/>
            </w:tcBorders>
            <w:shd w:val="clear" w:color="auto" w:fill="auto"/>
            <w:vAlign w:val="center"/>
            <w:hideMark/>
          </w:tcPr>
          <w:p w14:paraId="154A38D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Migracionit Ndërkombëtar</w:t>
            </w:r>
          </w:p>
        </w:tc>
        <w:tc>
          <w:tcPr>
            <w:tcW w:w="446" w:type="dxa"/>
            <w:tcBorders>
              <w:top w:val="nil"/>
              <w:left w:val="nil"/>
              <w:bottom w:val="single" w:sz="4" w:space="0" w:color="auto"/>
              <w:right w:val="single" w:sz="4" w:space="0" w:color="auto"/>
            </w:tcBorders>
            <w:shd w:val="clear" w:color="auto" w:fill="auto"/>
            <w:vAlign w:val="center"/>
            <w:hideMark/>
          </w:tcPr>
          <w:p w14:paraId="5B72608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 (Derivuar nga LFS)</w:t>
            </w:r>
          </w:p>
        </w:tc>
        <w:tc>
          <w:tcPr>
            <w:tcW w:w="450" w:type="dxa"/>
            <w:tcBorders>
              <w:top w:val="nil"/>
              <w:left w:val="nil"/>
              <w:bottom w:val="single" w:sz="4" w:space="0" w:color="auto"/>
              <w:right w:val="single" w:sz="4" w:space="0" w:color="auto"/>
            </w:tcBorders>
            <w:shd w:val="clear" w:color="000000" w:fill="FFFFFF"/>
            <w:noWrap/>
            <w:vAlign w:val="center"/>
            <w:hideMark/>
          </w:tcPr>
          <w:p w14:paraId="4DEEC4A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40%</w:t>
            </w:r>
          </w:p>
        </w:tc>
        <w:tc>
          <w:tcPr>
            <w:tcW w:w="301" w:type="dxa"/>
            <w:tcBorders>
              <w:top w:val="nil"/>
              <w:left w:val="nil"/>
              <w:bottom w:val="single" w:sz="4" w:space="0" w:color="auto"/>
              <w:right w:val="single" w:sz="4" w:space="0" w:color="auto"/>
            </w:tcBorders>
            <w:shd w:val="clear" w:color="000000" w:fill="FFFFFF"/>
            <w:noWrap/>
            <w:vAlign w:val="center"/>
            <w:hideMark/>
          </w:tcPr>
          <w:p w14:paraId="5BFB4D2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60%</w:t>
            </w:r>
          </w:p>
        </w:tc>
        <w:tc>
          <w:tcPr>
            <w:tcW w:w="426" w:type="dxa"/>
            <w:tcBorders>
              <w:top w:val="nil"/>
              <w:left w:val="nil"/>
              <w:bottom w:val="single" w:sz="4" w:space="0" w:color="auto"/>
              <w:right w:val="single" w:sz="4" w:space="0" w:color="auto"/>
            </w:tcBorders>
            <w:shd w:val="clear" w:color="auto" w:fill="auto"/>
            <w:vAlign w:val="center"/>
            <w:hideMark/>
          </w:tcPr>
          <w:p w14:paraId="52CBAF2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B0A564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069D0B6F" w14:textId="47C5F2F1"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Arsyet e emigrimit</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br/>
              <w:t>2. Emigracioni sipas gjinisë dhe moshës</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Koeficienti bruto i emigrantëve</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Koeficienti bruto i imigrantëve</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Koeficienti bruto i migracionit të brendshëm neto sipas qarkut</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 Lëvizjet e brendshme të popullsisë sipas qarkut</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7. Migracioni i brendshëm sipas grup-moshës dhe gjinisë</w:t>
            </w:r>
            <w:r w:rsidR="00712644" w:rsidRPr="004F2AC3">
              <w:rPr>
                <w:rFonts w:ascii="Garamond" w:eastAsia="Times New Roman" w:hAnsi="Garamond" w:cs="Times New Roman"/>
                <w:sz w:val="10"/>
                <w:szCs w:val="10"/>
                <w:lang w:eastAsia="sq-AL"/>
              </w:rPr>
              <w:t>;</w:t>
            </w:r>
            <w:r w:rsidR="00712644" w:rsidRPr="004F2AC3">
              <w:rPr>
                <w:rFonts w:ascii="Garamond" w:eastAsia="Times New Roman" w:hAnsi="Garamond" w:cs="Times New Roman"/>
                <w:sz w:val="10"/>
                <w:szCs w:val="10"/>
                <w:lang w:eastAsia="sq-AL"/>
              </w:rPr>
              <w:br/>
              <w:t>8. Migracioni neto;</w:t>
            </w:r>
            <w:r w:rsidRPr="004F2AC3">
              <w:rPr>
                <w:rFonts w:ascii="Garamond" w:eastAsia="Times New Roman" w:hAnsi="Garamond" w:cs="Times New Roman"/>
                <w:sz w:val="10"/>
                <w:szCs w:val="10"/>
                <w:lang w:eastAsia="sq-AL"/>
              </w:rPr>
              <w:br/>
              <w:t>9. Numri i emigrantëve</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10. Numri i imigrantëve</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11. Piramida e lëvizjeve të brendshme sipas grup</w:t>
            </w:r>
            <w:r w:rsidR="00D449AF"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moshës dhe gjinisë</w:t>
            </w:r>
            <w:r w:rsidR="00712644"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51CC5DCA" w14:textId="0D87E65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12644" w:rsidRPr="004F2AC3">
              <w:rPr>
                <w:rFonts w:ascii="Garamond" w:eastAsia="Times New Roman" w:hAnsi="Garamond" w:cs="Times New Roman"/>
                <w:color w:val="000000"/>
                <w:sz w:val="10"/>
                <w:szCs w:val="10"/>
                <w:lang w:eastAsia="sq-AL"/>
              </w:rPr>
              <w:t>-i;</w:t>
            </w:r>
            <w:r w:rsidR="00712644"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color w:val="000000"/>
                <w:sz w:val="10"/>
                <w:szCs w:val="10"/>
                <w:lang w:eastAsia="sq-AL"/>
              </w:rPr>
              <w:t>Drejtoria e Përgjithshme e Gjendjes Civile</w:t>
            </w:r>
            <w:r w:rsidR="00712644"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2836FEA1" w14:textId="1211028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12644"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60D31DB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+ 120 D</w:t>
            </w:r>
          </w:p>
        </w:tc>
        <w:tc>
          <w:tcPr>
            <w:tcW w:w="385" w:type="dxa"/>
            <w:tcBorders>
              <w:top w:val="nil"/>
              <w:left w:val="nil"/>
              <w:bottom w:val="single" w:sz="4" w:space="0" w:color="auto"/>
              <w:right w:val="single" w:sz="4" w:space="0" w:color="auto"/>
            </w:tcBorders>
            <w:shd w:val="clear" w:color="000000" w:fill="FFFFFF"/>
            <w:vAlign w:val="center"/>
            <w:hideMark/>
          </w:tcPr>
          <w:p w14:paraId="1E27A3F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+ 140 D</w:t>
            </w:r>
          </w:p>
        </w:tc>
        <w:tc>
          <w:tcPr>
            <w:tcW w:w="361" w:type="dxa"/>
            <w:tcBorders>
              <w:top w:val="nil"/>
              <w:left w:val="nil"/>
              <w:bottom w:val="single" w:sz="4" w:space="0" w:color="auto"/>
              <w:right w:val="single" w:sz="4" w:space="0" w:color="auto"/>
            </w:tcBorders>
            <w:shd w:val="clear" w:color="000000" w:fill="FFFFFF"/>
            <w:vAlign w:val="center"/>
            <w:hideMark/>
          </w:tcPr>
          <w:p w14:paraId="71C8F95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+ 152 D</w:t>
            </w:r>
          </w:p>
        </w:tc>
        <w:tc>
          <w:tcPr>
            <w:tcW w:w="732" w:type="dxa"/>
            <w:tcBorders>
              <w:top w:val="nil"/>
              <w:left w:val="nil"/>
              <w:bottom w:val="single" w:sz="4" w:space="0" w:color="auto"/>
              <w:right w:val="single" w:sz="4" w:space="0" w:color="auto"/>
            </w:tcBorders>
            <w:shd w:val="clear" w:color="000000" w:fill="FFFFFF"/>
            <w:vAlign w:val="center"/>
            <w:hideMark/>
          </w:tcPr>
          <w:p w14:paraId="46125F90" w14:textId="2C6AC1A5"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Vonesa në procesin e grumbullimit të të dhënave nga AFP</w:t>
            </w:r>
            <w:r w:rsidR="00712644" w:rsidRPr="004F2AC3">
              <w:rPr>
                <w:rFonts w:ascii="Garamond" w:eastAsia="Times New Roman" w:hAnsi="Garamond" w:cs="Times New Roman"/>
                <w:sz w:val="10"/>
                <w:szCs w:val="10"/>
                <w:lang w:eastAsia="sq-AL"/>
              </w:rPr>
              <w:t>-ja</w:t>
            </w:r>
            <w:r w:rsidRPr="004F2AC3">
              <w:rPr>
                <w:rFonts w:ascii="Garamond" w:eastAsia="Times New Roman" w:hAnsi="Garamond" w:cs="Times New Roman"/>
                <w:sz w:val="10"/>
                <w:szCs w:val="10"/>
                <w:lang w:eastAsia="sq-AL"/>
              </w:rPr>
              <w:t xml:space="preserve"> për vlerësimin e migracionit -|- 6</w:t>
            </w:r>
            <w:r w:rsidRPr="004F2AC3">
              <w:rPr>
                <w:rFonts w:ascii="Garamond" w:eastAsia="Times New Roman" w:hAnsi="Garamond" w:cs="Times New Roman"/>
                <w:sz w:val="10"/>
                <w:szCs w:val="10"/>
                <w:lang w:eastAsia="sq-AL"/>
              </w:rPr>
              <w:br/>
              <w:t>2. Mospërmbushja e kritereve të cilësisë</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si: saktësia, përpikmëria dhe krahasueshmëria, për vrojtimet statistikore -|- 6</w:t>
            </w:r>
          </w:p>
        </w:tc>
        <w:tc>
          <w:tcPr>
            <w:tcW w:w="551" w:type="dxa"/>
            <w:tcBorders>
              <w:top w:val="nil"/>
              <w:left w:val="nil"/>
              <w:bottom w:val="single" w:sz="4" w:space="0" w:color="auto"/>
              <w:right w:val="single" w:sz="4" w:space="0" w:color="auto"/>
            </w:tcBorders>
            <w:shd w:val="clear" w:color="000000" w:fill="FFFFFF"/>
            <w:vAlign w:val="center"/>
            <w:hideMark/>
          </w:tcPr>
          <w:p w14:paraId="49E8F2F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Buxhet shteti</w:t>
            </w:r>
          </w:p>
        </w:tc>
      </w:tr>
      <w:tr w:rsidR="00C73163" w:rsidRPr="004F2AC3" w14:paraId="3D6AC841" w14:textId="77777777" w:rsidTr="0021321C">
        <w:trPr>
          <w:trHeight w:val="180"/>
          <w:jc w:val="center"/>
        </w:trPr>
        <w:tc>
          <w:tcPr>
            <w:tcW w:w="388" w:type="dxa"/>
            <w:tcBorders>
              <w:top w:val="nil"/>
              <w:left w:val="nil"/>
              <w:bottom w:val="nil"/>
              <w:right w:val="nil"/>
            </w:tcBorders>
            <w:shd w:val="clear" w:color="000000" w:fill="FFFFFF"/>
            <w:vAlign w:val="bottom"/>
            <w:hideMark/>
          </w:tcPr>
          <w:p w14:paraId="5D769CD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A6CEE3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FFC116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4341F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EB748C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86F34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000000"/>
              <w:right w:val="single" w:sz="4" w:space="0" w:color="auto"/>
            </w:tcBorders>
            <w:shd w:val="clear" w:color="auto" w:fill="auto"/>
            <w:vAlign w:val="center"/>
            <w:hideMark/>
          </w:tcPr>
          <w:p w14:paraId="4D4AC0F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1.1.1.5</w:t>
            </w:r>
          </w:p>
        </w:tc>
        <w:tc>
          <w:tcPr>
            <w:tcW w:w="563" w:type="dxa"/>
            <w:vMerge w:val="restart"/>
            <w:tcBorders>
              <w:top w:val="nil"/>
              <w:left w:val="single" w:sz="4" w:space="0" w:color="auto"/>
              <w:bottom w:val="single" w:sz="4" w:space="0" w:color="000000"/>
              <w:right w:val="single" w:sz="4" w:space="0" w:color="auto"/>
            </w:tcBorders>
            <w:shd w:val="clear" w:color="auto" w:fill="auto"/>
            <w:vAlign w:val="center"/>
            <w:hideMark/>
          </w:tcPr>
          <w:p w14:paraId="47D9D20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ngjarjeve jetësore</w:t>
            </w:r>
          </w:p>
        </w:tc>
        <w:tc>
          <w:tcPr>
            <w:tcW w:w="446" w:type="dxa"/>
            <w:vMerge w:val="restart"/>
            <w:tcBorders>
              <w:top w:val="nil"/>
              <w:left w:val="single" w:sz="4" w:space="0" w:color="auto"/>
              <w:bottom w:val="single" w:sz="4" w:space="0" w:color="000000"/>
              <w:right w:val="single" w:sz="4" w:space="0" w:color="auto"/>
            </w:tcBorders>
            <w:shd w:val="clear" w:color="auto" w:fill="auto"/>
            <w:vAlign w:val="center"/>
            <w:hideMark/>
          </w:tcPr>
          <w:p w14:paraId="0A5AE13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vMerge w:val="restart"/>
            <w:tcBorders>
              <w:top w:val="nil"/>
              <w:left w:val="single" w:sz="4" w:space="0" w:color="auto"/>
              <w:bottom w:val="single" w:sz="4" w:space="0" w:color="000000"/>
              <w:right w:val="single" w:sz="4" w:space="0" w:color="auto"/>
            </w:tcBorders>
            <w:shd w:val="clear" w:color="auto" w:fill="auto"/>
            <w:vAlign w:val="center"/>
            <w:hideMark/>
          </w:tcPr>
          <w:p w14:paraId="5B7D99F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vMerge w:val="restart"/>
            <w:tcBorders>
              <w:top w:val="nil"/>
              <w:left w:val="single" w:sz="4" w:space="0" w:color="auto"/>
              <w:bottom w:val="single" w:sz="4" w:space="0" w:color="000000"/>
              <w:right w:val="single" w:sz="4" w:space="0" w:color="auto"/>
            </w:tcBorders>
            <w:shd w:val="clear" w:color="auto" w:fill="auto"/>
            <w:vAlign w:val="center"/>
            <w:hideMark/>
          </w:tcPr>
          <w:p w14:paraId="7C88AD6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22709731" w14:textId="6D72A5E0"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I </w:t>
            </w:r>
            <w:r w:rsidR="006400E2" w:rsidRPr="004F2AC3">
              <w:rPr>
                <w:rFonts w:ascii="Garamond" w:eastAsia="Times New Roman" w:hAnsi="Garamond" w:cs="Times New Roman"/>
                <w:color w:val="000000"/>
                <w:sz w:val="10"/>
                <w:szCs w:val="10"/>
                <w:lang w:eastAsia="sq-AL"/>
              </w:rPr>
              <w:t>vazhdueshëm</w:t>
            </w:r>
          </w:p>
        </w:tc>
        <w:tc>
          <w:tcPr>
            <w:tcW w:w="409" w:type="dxa"/>
            <w:vMerge w:val="restart"/>
            <w:tcBorders>
              <w:top w:val="nil"/>
              <w:left w:val="single" w:sz="4" w:space="0" w:color="auto"/>
              <w:bottom w:val="single" w:sz="4" w:space="0" w:color="000000"/>
              <w:right w:val="single" w:sz="4" w:space="0" w:color="auto"/>
            </w:tcBorders>
            <w:shd w:val="clear" w:color="auto" w:fill="auto"/>
            <w:vAlign w:val="center"/>
            <w:hideMark/>
          </w:tcPr>
          <w:p w14:paraId="5464FFC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single" w:sz="4" w:space="0" w:color="auto"/>
              <w:left w:val="nil"/>
              <w:bottom w:val="nil"/>
              <w:right w:val="nil"/>
            </w:tcBorders>
            <w:shd w:val="clear" w:color="000000" w:fill="FFFFFF"/>
            <w:hideMark/>
          </w:tcPr>
          <w:p w14:paraId="41B4577F" w14:textId="3968C332" w:rsidR="0021321C" w:rsidRPr="004F2AC3" w:rsidRDefault="0021321C" w:rsidP="00D80B69">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Abortet e ndërprera ligjërisht sipas grup-moshës së nënës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Divorcet gjithsej</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Divorcet me kërkesë</w:t>
            </w:r>
            <w:r w:rsidR="00712644" w:rsidRPr="004F2AC3">
              <w:rPr>
                <w:rFonts w:ascii="Garamond" w:eastAsia="Times New Roman" w:hAnsi="Garamond" w:cs="Times New Roman"/>
                <w:color w:val="000000"/>
                <w:sz w:val="10"/>
                <w:szCs w:val="10"/>
                <w:lang w:eastAsia="sq-AL"/>
              </w:rPr>
              <w:t>n e bashkëshortes/bashkëshortit;</w:t>
            </w:r>
            <w:r w:rsidRPr="004F2AC3">
              <w:rPr>
                <w:rFonts w:ascii="Garamond" w:eastAsia="Times New Roman" w:hAnsi="Garamond" w:cs="Times New Roman"/>
                <w:color w:val="000000"/>
                <w:sz w:val="10"/>
                <w:szCs w:val="10"/>
                <w:lang w:eastAsia="sq-AL"/>
              </w:rPr>
              <w:br/>
              <w:t>4. Indeksi sintetik i fekonditetit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Jetëgjatësia e pritur në moshën 55 vjeç</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Jetëgjatësia e pritur në moshën 80 vjeç</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Jetëgjatësia në lindje sipas qarkut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Jetëgjatësia në moshën 60 vjeç</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Jetëgjatësia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Koeficientët specifikë të fekonditetit sipas grup-moshës</w:t>
            </w:r>
            <w:r w:rsidRPr="004F2AC3">
              <w:rPr>
                <w:rFonts w:ascii="Garamond" w:eastAsia="Times New Roman" w:hAnsi="Garamond" w:cs="Times New Roman"/>
                <w:color w:val="000000"/>
                <w:sz w:val="10"/>
                <w:szCs w:val="10"/>
                <w:lang w:eastAsia="sq-AL"/>
              </w:rPr>
              <w:br/>
              <w:t>11. Koeficienti bruto i divorceve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Koeficienti bruto i lindjeve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Koeficienti bruto i martesës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Koeficienti bruto i riprodhimit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Koeficienti bruto i vdekjeve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Koeficienti i divorceve për 100 martesa</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17. Koeficienti i lindshmërisë tek adoleshentët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18. Koeficienti i shtesës natyrore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19. Koeficienti neto i riprodhimit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Lindjet e asistuara</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21. Lindjet e gjalla sipas muajit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22. Lindjet e gjalla sipas peshës së lindjes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23. Lindjet e gjalla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24. Lindjet e gjalla sipas qarkut, tregues tremujor</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25. Lindjet në adoleshencë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26. Lindjet sipas bashkisë</w:t>
            </w:r>
            <w:r w:rsidR="00712644" w:rsidRPr="004F2AC3">
              <w:rPr>
                <w:rFonts w:ascii="Garamond" w:eastAsia="Times New Roman" w:hAnsi="Garamond" w:cs="Times New Roman"/>
                <w:color w:val="000000"/>
                <w:sz w:val="10"/>
                <w:szCs w:val="10"/>
                <w:lang w:eastAsia="sq-AL"/>
              </w:rPr>
              <w:t>;</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3E8D6872" w14:textId="3DE1F58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Drejtoria e Përgjithshme e Gjendjes Civile</w:t>
            </w:r>
            <w:r w:rsidR="00712644" w:rsidRPr="004F2AC3">
              <w:rPr>
                <w:rFonts w:ascii="Garamond" w:eastAsia="Times New Roman" w:hAnsi="Garamond" w:cs="Times New Roman"/>
                <w:color w:val="000000"/>
                <w:sz w:val="10"/>
                <w:szCs w:val="10"/>
                <w:lang w:eastAsia="sq-AL"/>
              </w:rPr>
              <w:t>.</w:t>
            </w:r>
          </w:p>
        </w:tc>
        <w:tc>
          <w:tcPr>
            <w:tcW w:w="413" w:type="dxa"/>
            <w:vMerge w:val="restart"/>
            <w:tcBorders>
              <w:top w:val="nil"/>
              <w:left w:val="single" w:sz="4" w:space="0" w:color="auto"/>
              <w:bottom w:val="single" w:sz="4" w:space="0" w:color="000000"/>
              <w:right w:val="single" w:sz="4" w:space="0" w:color="auto"/>
            </w:tcBorders>
            <w:shd w:val="clear" w:color="auto" w:fill="auto"/>
            <w:vAlign w:val="center"/>
            <w:hideMark/>
          </w:tcPr>
          <w:p w14:paraId="51ECB7ED" w14:textId="285A0C5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12644" w:rsidRPr="004F2AC3">
              <w:rPr>
                <w:rFonts w:ascii="Garamond" w:eastAsia="Times New Roman" w:hAnsi="Garamond" w:cs="Times New Roman"/>
                <w:color w:val="000000"/>
                <w:sz w:val="10"/>
                <w:szCs w:val="10"/>
                <w:lang w:eastAsia="sq-AL"/>
              </w:rPr>
              <w:t>-i</w:t>
            </w:r>
          </w:p>
        </w:tc>
        <w:tc>
          <w:tcPr>
            <w:tcW w:w="466" w:type="dxa"/>
            <w:vMerge w:val="restart"/>
            <w:tcBorders>
              <w:top w:val="nil"/>
              <w:left w:val="single" w:sz="4" w:space="0" w:color="auto"/>
              <w:bottom w:val="single" w:sz="4" w:space="0" w:color="auto"/>
              <w:right w:val="single" w:sz="4" w:space="0" w:color="auto"/>
            </w:tcBorders>
            <w:shd w:val="clear" w:color="auto" w:fill="auto"/>
            <w:vAlign w:val="center"/>
            <w:hideMark/>
          </w:tcPr>
          <w:p w14:paraId="0158E92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+ 15D</w:t>
            </w:r>
          </w:p>
        </w:tc>
        <w:tc>
          <w:tcPr>
            <w:tcW w:w="385" w:type="dxa"/>
            <w:vMerge w:val="restart"/>
            <w:tcBorders>
              <w:top w:val="nil"/>
              <w:left w:val="single" w:sz="4" w:space="0" w:color="auto"/>
              <w:bottom w:val="single" w:sz="4" w:space="0" w:color="000000"/>
              <w:right w:val="single" w:sz="4" w:space="0" w:color="auto"/>
            </w:tcBorders>
            <w:shd w:val="clear" w:color="auto" w:fill="auto"/>
            <w:vAlign w:val="center"/>
            <w:hideMark/>
          </w:tcPr>
          <w:p w14:paraId="4AF424E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+ 35D</w:t>
            </w:r>
          </w:p>
        </w:tc>
        <w:tc>
          <w:tcPr>
            <w:tcW w:w="361" w:type="dxa"/>
            <w:vMerge w:val="restart"/>
            <w:tcBorders>
              <w:top w:val="nil"/>
              <w:left w:val="single" w:sz="4" w:space="0" w:color="auto"/>
              <w:bottom w:val="single" w:sz="4" w:space="0" w:color="000000"/>
              <w:right w:val="single" w:sz="4" w:space="0" w:color="auto"/>
            </w:tcBorders>
            <w:shd w:val="clear" w:color="auto" w:fill="auto"/>
            <w:vAlign w:val="center"/>
            <w:hideMark/>
          </w:tcPr>
          <w:p w14:paraId="133969B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+ 45D</w:t>
            </w:r>
          </w:p>
        </w:tc>
        <w:tc>
          <w:tcPr>
            <w:tcW w:w="7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98AF8D" w14:textId="5929ED7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-|- 3</w:t>
            </w:r>
            <w:r w:rsidRPr="004F2AC3">
              <w:rPr>
                <w:rFonts w:ascii="Garamond" w:eastAsia="Times New Roman" w:hAnsi="Garamond" w:cs="Times New Roman"/>
                <w:color w:val="000000"/>
                <w:sz w:val="10"/>
                <w:szCs w:val="10"/>
                <w:lang w:eastAsia="sq-AL"/>
              </w:rPr>
              <w:br/>
              <w:t>2. Mospërmbushja e kritereve të cilësisë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si: saktësia, përpikmëria dhe krahasueshmëria, për të dhënat administrative -|- 3</w:t>
            </w:r>
            <w:r w:rsidRPr="004F2AC3">
              <w:rPr>
                <w:rFonts w:ascii="Garamond" w:eastAsia="Times New Roman" w:hAnsi="Garamond" w:cs="Times New Roman"/>
                <w:color w:val="000000"/>
                <w:sz w:val="10"/>
                <w:szCs w:val="10"/>
                <w:lang w:eastAsia="sq-AL"/>
              </w:rPr>
              <w:br/>
              <w:t xml:space="preserve">3. Pezullimi/vonesa e mbledhjes, prodhimit dhe shpërndarjes të statistikave zyrtare si pasojë e </w:t>
            </w:r>
            <w:r w:rsidR="00712644" w:rsidRPr="004F2AC3">
              <w:rPr>
                <w:rFonts w:ascii="Garamond" w:eastAsia="Times New Roman" w:hAnsi="Garamond" w:cs="Times New Roman"/>
                <w:color w:val="000000"/>
                <w:sz w:val="10"/>
                <w:szCs w:val="10"/>
                <w:lang w:eastAsia="sq-AL"/>
              </w:rPr>
              <w:t xml:space="preserve">fatkeqësive </w:t>
            </w:r>
            <w:r w:rsidRPr="004F2AC3">
              <w:rPr>
                <w:rFonts w:ascii="Garamond" w:eastAsia="Times New Roman" w:hAnsi="Garamond" w:cs="Times New Roman"/>
                <w:color w:val="000000"/>
                <w:sz w:val="10"/>
                <w:szCs w:val="10"/>
                <w:lang w:eastAsia="sq-AL"/>
              </w:rPr>
              <w:t xml:space="preserve">natyrore/ </w:t>
            </w:r>
            <w:r w:rsidR="00712644" w:rsidRPr="004F2AC3">
              <w:rPr>
                <w:rFonts w:ascii="Garamond" w:eastAsia="Times New Roman" w:hAnsi="Garamond" w:cs="Times New Roman"/>
                <w:color w:val="000000"/>
                <w:sz w:val="10"/>
                <w:szCs w:val="10"/>
                <w:lang w:eastAsia="sq-AL"/>
              </w:rPr>
              <w:t xml:space="preserve">pandemi globale </w:t>
            </w:r>
            <w:r w:rsidRPr="004F2AC3">
              <w:rPr>
                <w:rFonts w:ascii="Garamond" w:eastAsia="Times New Roman" w:hAnsi="Garamond" w:cs="Times New Roman"/>
                <w:color w:val="000000"/>
                <w:sz w:val="10"/>
                <w:szCs w:val="10"/>
                <w:lang w:eastAsia="sq-AL"/>
              </w:rPr>
              <w:t>-|- 3</w:t>
            </w:r>
          </w:p>
        </w:tc>
        <w:tc>
          <w:tcPr>
            <w:tcW w:w="551" w:type="dxa"/>
            <w:vMerge w:val="restart"/>
            <w:tcBorders>
              <w:top w:val="nil"/>
              <w:left w:val="single" w:sz="4" w:space="0" w:color="auto"/>
              <w:bottom w:val="single" w:sz="4" w:space="0" w:color="000000"/>
              <w:right w:val="single" w:sz="4" w:space="0" w:color="auto"/>
            </w:tcBorders>
            <w:shd w:val="clear" w:color="auto" w:fill="auto"/>
            <w:vAlign w:val="center"/>
            <w:hideMark/>
          </w:tcPr>
          <w:p w14:paraId="28937E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2499021E" w14:textId="77777777" w:rsidTr="0021321C">
        <w:trPr>
          <w:trHeight w:val="180"/>
          <w:jc w:val="center"/>
        </w:trPr>
        <w:tc>
          <w:tcPr>
            <w:tcW w:w="388" w:type="dxa"/>
            <w:tcBorders>
              <w:top w:val="nil"/>
              <w:left w:val="nil"/>
              <w:bottom w:val="nil"/>
              <w:right w:val="nil"/>
            </w:tcBorders>
            <w:shd w:val="clear" w:color="000000" w:fill="FFFFFF"/>
            <w:vAlign w:val="bottom"/>
            <w:hideMark/>
          </w:tcPr>
          <w:p w14:paraId="4491481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486A7F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CE5946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E7A202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E3187D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D34F1A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1326CC5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5279DC1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27FCC72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27700A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1062692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2A67A29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64D5CD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000000" w:fill="FFFFFF"/>
            <w:hideMark/>
          </w:tcPr>
          <w:p w14:paraId="79415179" w14:textId="19952E98" w:rsidR="0021321C" w:rsidRPr="004F2AC3" w:rsidRDefault="0021321C" w:rsidP="00D80B69">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27. Lindjet sipas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28. Lindjet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 së nënës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29. Lindjet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 së nënës, qarkut dhe rajonit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30. Lindjet sipas llojit (binjak, trinjak, etj.)</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31. Lindjet sipas moshës së babait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32. Lindjet sipas moshës së nënës, vitit të lindjes së nënës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33. Lindjet sipas moshës së nënës, vitit të lindjes së nënës dhe radhës në lindje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34. Lindjet sipas moshës së nënës, vitit të lindjes së nënës dhe rajonit të rezidencës së nënës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35. Lindjet sipas radhës së lindjes së fëmijës dhe gjinisë</w:t>
            </w:r>
            <w:r w:rsidRPr="004F2AC3">
              <w:rPr>
                <w:rFonts w:ascii="Garamond" w:eastAsia="Times New Roman" w:hAnsi="Garamond" w:cs="Times New Roman"/>
                <w:color w:val="000000"/>
                <w:sz w:val="10"/>
                <w:szCs w:val="10"/>
                <w:lang w:eastAsia="sq-AL"/>
              </w:rPr>
              <w:br/>
              <w:t>36. Lindjet sipas viteve të martesës së nënës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37. Martesat sipas bashkisë</w:t>
            </w:r>
            <w:r w:rsidRPr="004F2AC3">
              <w:rPr>
                <w:rFonts w:ascii="Garamond" w:eastAsia="Times New Roman" w:hAnsi="Garamond" w:cs="Times New Roman"/>
                <w:color w:val="000000"/>
                <w:sz w:val="10"/>
                <w:szCs w:val="10"/>
                <w:lang w:eastAsia="sq-AL"/>
              </w:rPr>
              <w:br/>
              <w:t>38. Martesat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39. Martesat sipas muajit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40. Martesat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41. Martesat sipas shtetësisë së bashkëshortëve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42. Mosha mesatare e martesës sipas qarkut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43. Mosha mesatare e nënës në lindje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44. Raporti gjinor në lindje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45. Shtesa natyrore e popullsisë sipas qarkut dhe sipas bashkisë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46. Tabelat e jetës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47. Vdekjet e grupuara në ditë, nën 1 vjeç, sipas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48. Vdekjet fetale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49. Vdekjet mbi 1 vjeç sipas qarkut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50. Vdekjet nën 1 vjeç sipas qarkut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51. Vdekjet sipas bashkisë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52. Vdekjet sipas gjinisë</w:t>
            </w:r>
            <w:r w:rsidR="00712644"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59DF7C0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6DA6EA8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auto"/>
              <w:right w:val="single" w:sz="4" w:space="0" w:color="auto"/>
            </w:tcBorders>
            <w:vAlign w:val="center"/>
            <w:hideMark/>
          </w:tcPr>
          <w:p w14:paraId="3780BEF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612A2BD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29E0E6D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3403C89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10338C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69523919" w14:textId="77777777" w:rsidTr="0021321C">
        <w:trPr>
          <w:trHeight w:val="180"/>
          <w:jc w:val="center"/>
        </w:trPr>
        <w:tc>
          <w:tcPr>
            <w:tcW w:w="388" w:type="dxa"/>
            <w:tcBorders>
              <w:top w:val="nil"/>
              <w:left w:val="nil"/>
              <w:bottom w:val="nil"/>
              <w:right w:val="nil"/>
            </w:tcBorders>
            <w:shd w:val="clear" w:color="000000" w:fill="FFFFFF"/>
            <w:vAlign w:val="bottom"/>
            <w:hideMark/>
          </w:tcPr>
          <w:p w14:paraId="1CF3049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20366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78A9EE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C000AF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8B1A54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21DB4A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78A88F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75965F7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24D85D9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1B8A9D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2FB7F4F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3F3D30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2985DB2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000000" w:fill="FFFFFF"/>
            <w:hideMark/>
          </w:tcPr>
          <w:p w14:paraId="0F342C60" w14:textId="427BEC8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53. Vdekjet sipas gjinisë, moshës, vitit të lindjes dhe shtetësisë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54. Vdekjet sipas gjinisë, moshës, vitit të lindjes dhe statusit ligjor martesor</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55. Vdekjet sipas gjinisë, rajonit, moshës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56. Vdekjet sipas gjinisë, rajonit, qarkut dhe grup-moshës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57. Vdekjet sipas grup-moshës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58. Vdekjet sipas muajit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59. Vdekjet sipas qarkut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60. Vdekjet sipas qarkut, tregues tremujor</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61. Vdekshmëria foshnjore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62. Vdekshmëria nën 5 vjeç</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63. Vdekshmëria neonatale</w:t>
            </w:r>
            <w:r w:rsidR="00712644"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5F9718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42A1ED1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auto"/>
              <w:right w:val="single" w:sz="4" w:space="0" w:color="auto"/>
            </w:tcBorders>
            <w:vAlign w:val="center"/>
            <w:hideMark/>
          </w:tcPr>
          <w:p w14:paraId="5912640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3194290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1BF5B1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3B9EC73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554C40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5FD0D956" w14:textId="77777777" w:rsidTr="0021321C">
        <w:trPr>
          <w:trHeight w:val="180"/>
          <w:jc w:val="center"/>
        </w:trPr>
        <w:tc>
          <w:tcPr>
            <w:tcW w:w="388" w:type="dxa"/>
            <w:tcBorders>
              <w:top w:val="nil"/>
              <w:left w:val="nil"/>
              <w:bottom w:val="nil"/>
              <w:right w:val="nil"/>
            </w:tcBorders>
            <w:shd w:val="clear" w:color="000000" w:fill="FFFFFF"/>
            <w:vAlign w:val="bottom"/>
            <w:hideMark/>
          </w:tcPr>
          <w:p w14:paraId="1265577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4D837F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5E87F4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367EAF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4ADB83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781999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61EEB7E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1.1.1.6</w:t>
            </w:r>
          </w:p>
        </w:tc>
        <w:tc>
          <w:tcPr>
            <w:tcW w:w="563" w:type="dxa"/>
            <w:tcBorders>
              <w:top w:val="nil"/>
              <w:left w:val="nil"/>
              <w:bottom w:val="single" w:sz="4" w:space="0" w:color="auto"/>
              <w:right w:val="single" w:sz="4" w:space="0" w:color="auto"/>
            </w:tcBorders>
            <w:shd w:val="clear" w:color="auto" w:fill="auto"/>
            <w:vAlign w:val="center"/>
            <w:hideMark/>
          </w:tcPr>
          <w:p w14:paraId="1E122F00" w14:textId="6519819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Anketa e Grupimeve të treguesve të shumëfishtë</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(MICS)</w:t>
            </w:r>
          </w:p>
        </w:tc>
        <w:tc>
          <w:tcPr>
            <w:tcW w:w="446" w:type="dxa"/>
            <w:tcBorders>
              <w:top w:val="nil"/>
              <w:left w:val="nil"/>
              <w:bottom w:val="single" w:sz="4" w:space="0" w:color="auto"/>
              <w:right w:val="single" w:sz="4" w:space="0" w:color="auto"/>
            </w:tcBorders>
            <w:shd w:val="clear" w:color="auto" w:fill="auto"/>
            <w:vAlign w:val="center"/>
            <w:hideMark/>
          </w:tcPr>
          <w:p w14:paraId="3AA1E6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7007F14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vAlign w:val="center"/>
            <w:hideMark/>
          </w:tcPr>
          <w:p w14:paraId="7BC06C6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200BF1C1" w14:textId="7026B0E0"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000000" w:fill="FFFFFF"/>
            <w:vAlign w:val="center"/>
            <w:hideMark/>
          </w:tcPr>
          <w:p w14:paraId="05464B7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papërcaktuar</w:t>
            </w:r>
          </w:p>
        </w:tc>
        <w:tc>
          <w:tcPr>
            <w:tcW w:w="1098" w:type="dxa"/>
            <w:tcBorders>
              <w:top w:val="single" w:sz="4" w:space="0" w:color="auto"/>
              <w:left w:val="nil"/>
              <w:bottom w:val="single" w:sz="4" w:space="0" w:color="auto"/>
              <w:right w:val="single" w:sz="4" w:space="0" w:color="auto"/>
            </w:tcBorders>
            <w:shd w:val="clear" w:color="000000" w:fill="FFFFFF"/>
            <w:vAlign w:val="center"/>
            <w:hideMark/>
          </w:tcPr>
          <w:p w14:paraId="74C9B93E" w14:textId="5670F5EF" w:rsidR="0021321C" w:rsidRPr="004F2AC3" w:rsidRDefault="0021321C" w:rsidP="00D80B69">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i/>
                <w:iCs/>
                <w:sz w:val="10"/>
                <w:szCs w:val="10"/>
                <w:lang w:eastAsia="sq-AL"/>
              </w:rPr>
              <w:t>MICS - Temat bazë</w:t>
            </w:r>
            <w:r w:rsidRPr="004F2AC3">
              <w:rPr>
                <w:rFonts w:ascii="Garamond" w:eastAsia="Times New Roman" w:hAnsi="Garamond" w:cs="Times New Roman"/>
                <w:sz w:val="10"/>
                <w:szCs w:val="10"/>
                <w:lang w:eastAsia="sq-AL"/>
              </w:rPr>
              <w:br/>
              <w:t>1. Tregues të përgjithshëm</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Vdekshmëria</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Lindshmëria dhe kujdesi i nënës</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Imunizimi, ushqyerja e fëmijëve dhe shëndeti i tyre</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Arsimi/edukimi</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 Dhuna, fëmijët që punojnë, martesat e hershme</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7. F</w:t>
            </w:r>
            <w:r w:rsidR="00D80B69" w:rsidRPr="004F2AC3">
              <w:rPr>
                <w:rFonts w:ascii="Garamond" w:eastAsia="Times New Roman" w:hAnsi="Garamond" w:cs="Times New Roman"/>
                <w:sz w:val="10"/>
                <w:szCs w:val="10"/>
                <w:lang w:eastAsia="sq-AL"/>
              </w:rPr>
              <w:t>urnizimi me ujë dhe kanalizimet</w:t>
            </w:r>
            <w:r w:rsidRPr="004F2AC3">
              <w:rPr>
                <w:rFonts w:ascii="Garamond" w:eastAsia="Times New Roman" w:hAnsi="Garamond" w:cs="Times New Roman"/>
                <w:i/>
                <w:iCs/>
                <w:sz w:val="10"/>
                <w:szCs w:val="10"/>
                <w:lang w:eastAsia="sq-AL"/>
              </w:rPr>
              <w:br/>
              <w:t>MICS - Temat plotësuese</w:t>
            </w:r>
            <w:r w:rsidRPr="004F2AC3">
              <w:rPr>
                <w:rFonts w:ascii="Garamond" w:eastAsia="Times New Roman" w:hAnsi="Garamond" w:cs="Times New Roman"/>
                <w:i/>
                <w:iCs/>
                <w:sz w:val="10"/>
                <w:szCs w:val="10"/>
                <w:lang w:eastAsia="sq-AL"/>
              </w:rPr>
              <w:br/>
            </w:r>
            <w:r w:rsidRPr="004F2AC3">
              <w:rPr>
                <w:rFonts w:ascii="Garamond" w:eastAsia="Times New Roman" w:hAnsi="Garamond" w:cs="Times New Roman"/>
                <w:sz w:val="10"/>
                <w:szCs w:val="10"/>
                <w:lang w:eastAsia="sq-AL"/>
              </w:rPr>
              <w:t>1. Pirja e duhanit, pasiguria për ushqimin, emergjenca</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Riprodhimi dhe planifikimi familjar</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Shëndeti, ushqyerja dhe zhvillimi i fëmijëve</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Mësimi dhe fitimi i aftësive për të ardhmen</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Mbrojtja nga dhuna dhe shfrytëzimi</w:t>
            </w:r>
            <w:r w:rsidR="0071264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 Mundësi të barabarta për jetën</w:t>
            </w:r>
            <w:r w:rsidR="00712644"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79D47562" w14:textId="659D595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12644"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66A82629" w14:textId="651BC64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12644"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nil"/>
            </w:tcBorders>
            <w:shd w:val="clear" w:color="000000" w:fill="FFFFFF"/>
            <w:vAlign w:val="center"/>
            <w:hideMark/>
          </w:tcPr>
          <w:p w14:paraId="5BCCF2F2" w14:textId="7F611C29"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Dhjetor 2025</w:t>
            </w:r>
            <w:r w:rsidR="00712644" w:rsidRPr="004F2AC3">
              <w:rPr>
                <w:rFonts w:ascii="Garamond" w:eastAsia="Times New Roman" w:hAnsi="Garamond" w:cs="Times New Roman"/>
                <w:sz w:val="10"/>
                <w:szCs w:val="10"/>
                <w:lang w:eastAsia="sq-AL"/>
              </w:rPr>
              <w:t xml:space="preserve"> – j</w:t>
            </w:r>
            <w:r w:rsidRPr="004F2AC3">
              <w:rPr>
                <w:rFonts w:ascii="Garamond" w:eastAsia="Times New Roman" w:hAnsi="Garamond" w:cs="Times New Roman"/>
                <w:sz w:val="10"/>
                <w:szCs w:val="10"/>
                <w:lang w:eastAsia="sq-AL"/>
              </w:rPr>
              <w:t>anar 2026</w:t>
            </w:r>
          </w:p>
        </w:tc>
        <w:tc>
          <w:tcPr>
            <w:tcW w:w="385" w:type="dxa"/>
            <w:tcBorders>
              <w:top w:val="nil"/>
              <w:left w:val="single" w:sz="4" w:space="0" w:color="auto"/>
              <w:bottom w:val="single" w:sz="4" w:space="0" w:color="auto"/>
              <w:right w:val="single" w:sz="4" w:space="0" w:color="auto"/>
            </w:tcBorders>
            <w:shd w:val="clear" w:color="000000" w:fill="FFFFFF"/>
            <w:vAlign w:val="center"/>
            <w:hideMark/>
          </w:tcPr>
          <w:p w14:paraId="6091180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V+240D</w:t>
            </w:r>
          </w:p>
        </w:tc>
        <w:tc>
          <w:tcPr>
            <w:tcW w:w="361" w:type="dxa"/>
            <w:tcBorders>
              <w:top w:val="nil"/>
              <w:left w:val="nil"/>
              <w:bottom w:val="single" w:sz="4" w:space="0" w:color="auto"/>
              <w:right w:val="single" w:sz="4" w:space="0" w:color="auto"/>
            </w:tcBorders>
            <w:shd w:val="clear" w:color="000000" w:fill="FFFFFF"/>
            <w:vAlign w:val="center"/>
            <w:hideMark/>
          </w:tcPr>
          <w:p w14:paraId="39530CB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V+270D</w:t>
            </w:r>
          </w:p>
        </w:tc>
        <w:tc>
          <w:tcPr>
            <w:tcW w:w="732" w:type="dxa"/>
            <w:tcBorders>
              <w:top w:val="nil"/>
              <w:left w:val="nil"/>
              <w:bottom w:val="single" w:sz="4" w:space="0" w:color="auto"/>
              <w:right w:val="single" w:sz="4" w:space="0" w:color="auto"/>
            </w:tcBorders>
            <w:shd w:val="clear" w:color="auto" w:fill="auto"/>
            <w:vAlign w:val="center"/>
            <w:hideMark/>
          </w:tcPr>
          <w:p w14:paraId="421BE2AF" w14:textId="6073049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për shkak të kushteve atmosferike në zona të thella malore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-|- 3</w:t>
            </w:r>
          </w:p>
        </w:tc>
        <w:tc>
          <w:tcPr>
            <w:tcW w:w="551" w:type="dxa"/>
            <w:tcBorders>
              <w:top w:val="nil"/>
              <w:left w:val="nil"/>
              <w:bottom w:val="single" w:sz="4" w:space="0" w:color="auto"/>
              <w:right w:val="single" w:sz="4" w:space="0" w:color="auto"/>
            </w:tcBorders>
            <w:shd w:val="clear" w:color="auto" w:fill="auto"/>
            <w:vAlign w:val="center"/>
            <w:hideMark/>
          </w:tcPr>
          <w:p w14:paraId="42D4265F" w14:textId="0D7C26D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Kombinuar (Buxhet </w:t>
            </w:r>
            <w:r w:rsidR="006400E2" w:rsidRPr="004F2AC3">
              <w:rPr>
                <w:rFonts w:ascii="Garamond" w:eastAsia="Times New Roman" w:hAnsi="Garamond" w:cs="Times New Roman"/>
                <w:color w:val="000000"/>
                <w:sz w:val="10"/>
                <w:szCs w:val="10"/>
                <w:lang w:eastAsia="sq-AL"/>
              </w:rPr>
              <w:t>shteti+donatorët)</w:t>
            </w:r>
          </w:p>
        </w:tc>
      </w:tr>
      <w:tr w:rsidR="0021321C" w:rsidRPr="004F2AC3" w14:paraId="298A633E" w14:textId="77777777" w:rsidTr="0021321C">
        <w:trPr>
          <w:trHeight w:val="180"/>
          <w:jc w:val="center"/>
        </w:trPr>
        <w:tc>
          <w:tcPr>
            <w:tcW w:w="388" w:type="dxa"/>
            <w:tcBorders>
              <w:top w:val="nil"/>
              <w:left w:val="nil"/>
              <w:bottom w:val="nil"/>
              <w:right w:val="nil"/>
            </w:tcBorders>
            <w:shd w:val="clear" w:color="000000" w:fill="FFFFFF"/>
            <w:vAlign w:val="bottom"/>
            <w:hideMark/>
          </w:tcPr>
          <w:p w14:paraId="6A2E956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8257B9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103F38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FA346E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2F2F2"/>
            <w:vAlign w:val="center"/>
            <w:hideMark/>
          </w:tcPr>
          <w:p w14:paraId="75E5091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1.1.2</w:t>
            </w:r>
          </w:p>
        </w:tc>
        <w:tc>
          <w:tcPr>
            <w:tcW w:w="7813" w:type="dxa"/>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6E9A1E54" w14:textId="16970E3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Censi i Popullsisë dhe Banesave,</w:t>
            </w:r>
            <w:r w:rsidR="00684E85" w:rsidRPr="004F2AC3">
              <w:rPr>
                <w:rFonts w:ascii="Garamond" w:eastAsia="Times New Roman" w:hAnsi="Garamond" w:cs="Times New Roman"/>
                <w:color w:val="000000"/>
                <w:sz w:val="10"/>
                <w:szCs w:val="10"/>
                <w:lang w:eastAsia="sq-AL"/>
              </w:rPr>
              <w:t xml:space="preserve"> </w:t>
            </w:r>
            <w:r w:rsidR="00712644" w:rsidRPr="004F2AC3">
              <w:rPr>
                <w:rFonts w:ascii="Garamond" w:eastAsia="Times New Roman" w:hAnsi="Garamond" w:cs="Times New Roman"/>
                <w:color w:val="000000"/>
                <w:sz w:val="10"/>
                <w:szCs w:val="10"/>
                <w:lang w:eastAsia="sq-AL"/>
              </w:rPr>
              <w:t xml:space="preserve">azilkërkuesit </w:t>
            </w:r>
            <w:r w:rsidRPr="004F2AC3">
              <w:rPr>
                <w:rFonts w:ascii="Garamond" w:eastAsia="Times New Roman" w:hAnsi="Garamond" w:cs="Times New Roman"/>
                <w:color w:val="000000"/>
                <w:sz w:val="10"/>
                <w:szCs w:val="10"/>
                <w:lang w:eastAsia="sq-AL"/>
              </w:rPr>
              <w:t>dhe të huajt</w:t>
            </w:r>
          </w:p>
        </w:tc>
      </w:tr>
      <w:tr w:rsidR="00C73163" w:rsidRPr="004F2AC3" w14:paraId="18F0E6F6" w14:textId="77777777" w:rsidTr="0021321C">
        <w:trPr>
          <w:trHeight w:val="180"/>
          <w:jc w:val="center"/>
        </w:trPr>
        <w:tc>
          <w:tcPr>
            <w:tcW w:w="388" w:type="dxa"/>
            <w:tcBorders>
              <w:top w:val="nil"/>
              <w:left w:val="nil"/>
              <w:bottom w:val="nil"/>
              <w:right w:val="nil"/>
            </w:tcBorders>
            <w:shd w:val="clear" w:color="000000" w:fill="FFFFFF"/>
            <w:vAlign w:val="bottom"/>
            <w:hideMark/>
          </w:tcPr>
          <w:p w14:paraId="3D0E1C9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16A8E6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FE5502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B406F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208868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C1DC49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1D0C46C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1.1.2.1</w:t>
            </w:r>
          </w:p>
        </w:tc>
        <w:tc>
          <w:tcPr>
            <w:tcW w:w="563" w:type="dxa"/>
            <w:tcBorders>
              <w:top w:val="nil"/>
              <w:left w:val="nil"/>
              <w:bottom w:val="single" w:sz="4" w:space="0" w:color="auto"/>
              <w:right w:val="single" w:sz="4" w:space="0" w:color="auto"/>
            </w:tcBorders>
            <w:shd w:val="clear" w:color="000000" w:fill="FFFFFF"/>
            <w:vAlign w:val="center"/>
            <w:hideMark/>
          </w:tcPr>
          <w:p w14:paraId="7B04EDE0" w14:textId="133085EC" w:rsidR="0021321C" w:rsidRPr="004F2AC3" w:rsidRDefault="00A26622"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Aktivitetet</w:t>
            </w:r>
            <w:r w:rsidR="0021321C" w:rsidRPr="004F2AC3">
              <w:rPr>
                <w:rFonts w:ascii="Garamond" w:eastAsia="Times New Roman" w:hAnsi="Garamond" w:cs="Times New Roman"/>
                <w:sz w:val="10"/>
                <w:szCs w:val="10"/>
                <w:lang w:eastAsia="sq-AL"/>
              </w:rPr>
              <w:t xml:space="preserve"> në kuadër të Censit të Popullsisë dhe Banesave: 2023</w:t>
            </w:r>
          </w:p>
        </w:tc>
        <w:tc>
          <w:tcPr>
            <w:tcW w:w="446" w:type="dxa"/>
            <w:tcBorders>
              <w:top w:val="nil"/>
              <w:left w:val="nil"/>
              <w:bottom w:val="single" w:sz="4" w:space="0" w:color="auto"/>
              <w:right w:val="single" w:sz="4" w:space="0" w:color="auto"/>
            </w:tcBorders>
            <w:shd w:val="clear" w:color="000000" w:fill="FFFFFF"/>
            <w:vAlign w:val="center"/>
            <w:hideMark/>
          </w:tcPr>
          <w:p w14:paraId="0726AE8D"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single" w:sz="4" w:space="0" w:color="auto"/>
              <w:right w:val="single" w:sz="4" w:space="0" w:color="auto"/>
            </w:tcBorders>
            <w:shd w:val="clear" w:color="000000" w:fill="FFFFFF"/>
            <w:noWrap/>
            <w:vAlign w:val="center"/>
            <w:hideMark/>
          </w:tcPr>
          <w:p w14:paraId="72031A9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7C1FAB4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65FACB6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000000" w:fill="FFFFFF"/>
            <w:vAlign w:val="center"/>
            <w:hideMark/>
          </w:tcPr>
          <w:p w14:paraId="615973E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herë në 10 vite</w:t>
            </w:r>
          </w:p>
        </w:tc>
        <w:tc>
          <w:tcPr>
            <w:tcW w:w="1098" w:type="dxa"/>
            <w:tcBorders>
              <w:top w:val="nil"/>
              <w:left w:val="nil"/>
              <w:bottom w:val="single" w:sz="4" w:space="0" w:color="auto"/>
              <w:right w:val="single" w:sz="4" w:space="0" w:color="auto"/>
            </w:tcBorders>
            <w:shd w:val="clear" w:color="000000" w:fill="FFFFFF"/>
            <w:vAlign w:val="center"/>
            <w:hideMark/>
          </w:tcPr>
          <w:p w14:paraId="3FC01DB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4840C3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778CA36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6965DBF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03B4976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vAlign w:val="center"/>
            <w:hideMark/>
          </w:tcPr>
          <w:p w14:paraId="422224B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32E82EF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105E9E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59561FBA" w14:textId="77777777" w:rsidTr="0021321C">
        <w:trPr>
          <w:trHeight w:val="180"/>
          <w:jc w:val="center"/>
        </w:trPr>
        <w:tc>
          <w:tcPr>
            <w:tcW w:w="388" w:type="dxa"/>
            <w:tcBorders>
              <w:top w:val="nil"/>
              <w:left w:val="nil"/>
              <w:bottom w:val="nil"/>
              <w:right w:val="nil"/>
            </w:tcBorders>
            <w:shd w:val="clear" w:color="000000" w:fill="FFFFFF"/>
            <w:vAlign w:val="bottom"/>
            <w:hideMark/>
          </w:tcPr>
          <w:p w14:paraId="6CD92EA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2DF9AD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74483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A7490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4D751C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36998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nil"/>
              <w:bottom w:val="nil"/>
              <w:right w:val="nil"/>
            </w:tcBorders>
            <w:shd w:val="clear" w:color="000000" w:fill="FFFFFF"/>
            <w:vAlign w:val="center"/>
            <w:hideMark/>
          </w:tcPr>
          <w:p w14:paraId="5509C34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63" w:type="dxa"/>
            <w:tcBorders>
              <w:top w:val="nil"/>
              <w:left w:val="single" w:sz="4" w:space="0" w:color="auto"/>
              <w:bottom w:val="single" w:sz="4" w:space="0" w:color="auto"/>
              <w:right w:val="single" w:sz="4" w:space="0" w:color="auto"/>
            </w:tcBorders>
            <w:shd w:val="clear" w:color="000000" w:fill="FFFFFF"/>
            <w:vAlign w:val="center"/>
            <w:hideMark/>
          </w:tcPr>
          <w:p w14:paraId="729626CE" w14:textId="3D0CDA2E"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Analizat tematike mbi fusha të ndryshme</w:t>
            </w:r>
          </w:p>
        </w:tc>
        <w:tc>
          <w:tcPr>
            <w:tcW w:w="446" w:type="dxa"/>
            <w:tcBorders>
              <w:top w:val="nil"/>
              <w:left w:val="nil"/>
              <w:bottom w:val="nil"/>
              <w:right w:val="nil"/>
            </w:tcBorders>
            <w:shd w:val="clear" w:color="000000" w:fill="FFFFFF"/>
            <w:vAlign w:val="center"/>
            <w:hideMark/>
          </w:tcPr>
          <w:p w14:paraId="055B91C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nil"/>
              <w:right w:val="nil"/>
            </w:tcBorders>
            <w:shd w:val="clear" w:color="000000" w:fill="FFFFFF"/>
            <w:noWrap/>
            <w:vAlign w:val="center"/>
            <w:hideMark/>
          </w:tcPr>
          <w:p w14:paraId="24F3D97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nil"/>
              <w:right w:val="nil"/>
            </w:tcBorders>
            <w:shd w:val="clear" w:color="000000" w:fill="FFFFFF"/>
            <w:noWrap/>
            <w:vAlign w:val="center"/>
            <w:hideMark/>
          </w:tcPr>
          <w:p w14:paraId="39EA1B6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nil"/>
              <w:right w:val="nil"/>
            </w:tcBorders>
            <w:shd w:val="clear" w:color="000000" w:fill="FFFFFF"/>
            <w:vAlign w:val="center"/>
            <w:hideMark/>
          </w:tcPr>
          <w:p w14:paraId="6529CCE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nil"/>
              <w:right w:val="nil"/>
            </w:tcBorders>
            <w:shd w:val="clear" w:color="000000" w:fill="FFFFFF"/>
            <w:vAlign w:val="center"/>
            <w:hideMark/>
          </w:tcPr>
          <w:p w14:paraId="0FA5AFC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nil"/>
              <w:right w:val="nil"/>
            </w:tcBorders>
            <w:shd w:val="clear" w:color="000000" w:fill="FFFFFF"/>
            <w:vAlign w:val="center"/>
            <w:hideMark/>
          </w:tcPr>
          <w:p w14:paraId="625434A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554" w:type="dxa"/>
            <w:tcBorders>
              <w:top w:val="nil"/>
              <w:left w:val="nil"/>
              <w:bottom w:val="nil"/>
              <w:right w:val="nil"/>
            </w:tcBorders>
            <w:shd w:val="clear" w:color="000000" w:fill="FFFFFF"/>
            <w:vAlign w:val="center"/>
            <w:hideMark/>
          </w:tcPr>
          <w:p w14:paraId="537618E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nil"/>
              <w:right w:val="nil"/>
            </w:tcBorders>
            <w:shd w:val="clear" w:color="000000" w:fill="FFFFFF"/>
            <w:vAlign w:val="center"/>
            <w:hideMark/>
          </w:tcPr>
          <w:p w14:paraId="74A655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nil"/>
              <w:right w:val="nil"/>
            </w:tcBorders>
            <w:shd w:val="clear" w:color="000000" w:fill="FFFFFF"/>
            <w:vAlign w:val="center"/>
            <w:hideMark/>
          </w:tcPr>
          <w:p w14:paraId="2C25F63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nil"/>
              <w:right w:val="nil"/>
            </w:tcBorders>
            <w:shd w:val="clear" w:color="000000" w:fill="FFFFFF"/>
            <w:vAlign w:val="center"/>
            <w:hideMark/>
          </w:tcPr>
          <w:p w14:paraId="4763EB4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nil"/>
              <w:right w:val="nil"/>
            </w:tcBorders>
            <w:shd w:val="clear" w:color="000000" w:fill="FFFFFF"/>
            <w:vAlign w:val="center"/>
            <w:hideMark/>
          </w:tcPr>
          <w:p w14:paraId="5F47002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732" w:type="dxa"/>
            <w:tcBorders>
              <w:top w:val="nil"/>
              <w:left w:val="nil"/>
              <w:bottom w:val="nil"/>
              <w:right w:val="nil"/>
            </w:tcBorders>
            <w:shd w:val="clear" w:color="000000" w:fill="FFFFFF"/>
            <w:vAlign w:val="center"/>
            <w:hideMark/>
          </w:tcPr>
          <w:p w14:paraId="41DEAD5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nil"/>
              <w:right w:val="single" w:sz="4" w:space="0" w:color="auto"/>
            </w:tcBorders>
            <w:shd w:val="clear" w:color="000000" w:fill="FFFFFF"/>
            <w:vAlign w:val="center"/>
            <w:hideMark/>
          </w:tcPr>
          <w:p w14:paraId="16ABD6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734A3E30" w14:textId="77777777" w:rsidTr="0021321C">
        <w:trPr>
          <w:trHeight w:val="180"/>
          <w:jc w:val="center"/>
        </w:trPr>
        <w:tc>
          <w:tcPr>
            <w:tcW w:w="388" w:type="dxa"/>
            <w:tcBorders>
              <w:top w:val="nil"/>
              <w:left w:val="nil"/>
              <w:bottom w:val="nil"/>
              <w:right w:val="nil"/>
            </w:tcBorders>
            <w:shd w:val="clear" w:color="000000" w:fill="FFFFFF"/>
            <w:vAlign w:val="bottom"/>
            <w:hideMark/>
          </w:tcPr>
          <w:p w14:paraId="580C0D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1771BF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177CD0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C0290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96DF5A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A761D9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nil"/>
              <w:bottom w:val="nil"/>
              <w:right w:val="nil"/>
            </w:tcBorders>
            <w:shd w:val="clear" w:color="000000" w:fill="FFFFFF"/>
            <w:vAlign w:val="center"/>
            <w:hideMark/>
          </w:tcPr>
          <w:p w14:paraId="605A622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63" w:type="dxa"/>
            <w:tcBorders>
              <w:top w:val="nil"/>
              <w:left w:val="single" w:sz="4" w:space="0" w:color="auto"/>
              <w:bottom w:val="nil"/>
              <w:right w:val="single" w:sz="4" w:space="0" w:color="auto"/>
            </w:tcBorders>
            <w:shd w:val="clear" w:color="000000" w:fill="FFFFFF"/>
            <w:vAlign w:val="center"/>
            <w:hideMark/>
          </w:tcPr>
          <w:p w14:paraId="0675524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Mikrodata në dispozicion për përdoruesit e jashtëm</w:t>
            </w:r>
          </w:p>
        </w:tc>
        <w:tc>
          <w:tcPr>
            <w:tcW w:w="446" w:type="dxa"/>
            <w:tcBorders>
              <w:top w:val="nil"/>
              <w:left w:val="nil"/>
              <w:bottom w:val="nil"/>
              <w:right w:val="nil"/>
            </w:tcBorders>
            <w:shd w:val="clear" w:color="000000" w:fill="FFFFFF"/>
            <w:vAlign w:val="center"/>
            <w:hideMark/>
          </w:tcPr>
          <w:p w14:paraId="5DE175C2"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nil"/>
              <w:right w:val="nil"/>
            </w:tcBorders>
            <w:shd w:val="clear" w:color="000000" w:fill="FFFFFF"/>
            <w:noWrap/>
            <w:vAlign w:val="center"/>
            <w:hideMark/>
          </w:tcPr>
          <w:p w14:paraId="2D6F6DC4"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nil"/>
              <w:right w:val="nil"/>
            </w:tcBorders>
            <w:shd w:val="clear" w:color="000000" w:fill="FFFFFF"/>
            <w:noWrap/>
            <w:vAlign w:val="center"/>
            <w:hideMark/>
          </w:tcPr>
          <w:p w14:paraId="26D2CD5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nil"/>
              <w:right w:val="nil"/>
            </w:tcBorders>
            <w:shd w:val="clear" w:color="000000" w:fill="FFFFFF"/>
            <w:vAlign w:val="center"/>
            <w:hideMark/>
          </w:tcPr>
          <w:p w14:paraId="001BA9D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nil"/>
              <w:right w:val="nil"/>
            </w:tcBorders>
            <w:shd w:val="clear" w:color="000000" w:fill="FFFFFF"/>
            <w:vAlign w:val="center"/>
            <w:hideMark/>
          </w:tcPr>
          <w:p w14:paraId="404E876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nil"/>
              <w:right w:val="nil"/>
            </w:tcBorders>
            <w:shd w:val="clear" w:color="000000" w:fill="FFFFFF"/>
            <w:vAlign w:val="center"/>
            <w:hideMark/>
          </w:tcPr>
          <w:p w14:paraId="1FAD310B"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554" w:type="dxa"/>
            <w:tcBorders>
              <w:top w:val="nil"/>
              <w:left w:val="nil"/>
              <w:bottom w:val="nil"/>
              <w:right w:val="nil"/>
            </w:tcBorders>
            <w:shd w:val="clear" w:color="000000" w:fill="FFFFFF"/>
            <w:vAlign w:val="center"/>
            <w:hideMark/>
          </w:tcPr>
          <w:p w14:paraId="523F44D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nil"/>
              <w:right w:val="nil"/>
            </w:tcBorders>
            <w:shd w:val="clear" w:color="000000" w:fill="FFFFFF"/>
            <w:vAlign w:val="center"/>
            <w:hideMark/>
          </w:tcPr>
          <w:p w14:paraId="603FED4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nil"/>
              <w:right w:val="nil"/>
            </w:tcBorders>
            <w:shd w:val="clear" w:color="000000" w:fill="FFFFFF"/>
            <w:vAlign w:val="center"/>
            <w:hideMark/>
          </w:tcPr>
          <w:p w14:paraId="0F7D9C9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nil"/>
              <w:right w:val="nil"/>
            </w:tcBorders>
            <w:shd w:val="clear" w:color="000000" w:fill="FFFFFF"/>
            <w:vAlign w:val="center"/>
            <w:hideMark/>
          </w:tcPr>
          <w:p w14:paraId="60ED661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nil"/>
              <w:right w:val="nil"/>
            </w:tcBorders>
            <w:shd w:val="clear" w:color="000000" w:fill="FFFFFF"/>
            <w:vAlign w:val="center"/>
            <w:hideMark/>
          </w:tcPr>
          <w:p w14:paraId="0E721EE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732" w:type="dxa"/>
            <w:tcBorders>
              <w:top w:val="nil"/>
              <w:left w:val="nil"/>
              <w:bottom w:val="nil"/>
              <w:right w:val="nil"/>
            </w:tcBorders>
            <w:shd w:val="clear" w:color="000000" w:fill="FFFFFF"/>
            <w:vAlign w:val="center"/>
            <w:hideMark/>
          </w:tcPr>
          <w:p w14:paraId="4B1948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nil"/>
              <w:right w:val="single" w:sz="4" w:space="0" w:color="auto"/>
            </w:tcBorders>
            <w:shd w:val="clear" w:color="000000" w:fill="FFFFFF"/>
            <w:vAlign w:val="center"/>
            <w:hideMark/>
          </w:tcPr>
          <w:p w14:paraId="23F1189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21321C" w:rsidRPr="004F2AC3" w14:paraId="7BF00380" w14:textId="77777777" w:rsidTr="0021321C">
        <w:trPr>
          <w:trHeight w:val="180"/>
          <w:jc w:val="center"/>
        </w:trPr>
        <w:tc>
          <w:tcPr>
            <w:tcW w:w="388" w:type="dxa"/>
            <w:tcBorders>
              <w:top w:val="nil"/>
              <w:left w:val="nil"/>
              <w:bottom w:val="nil"/>
              <w:right w:val="nil"/>
            </w:tcBorders>
            <w:shd w:val="clear" w:color="000000" w:fill="FFFFFF"/>
            <w:vAlign w:val="bottom"/>
            <w:hideMark/>
          </w:tcPr>
          <w:p w14:paraId="02409AA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379724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522BCF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0B7CA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25D9C01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DAA5E4A" w14:textId="0F49119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Censi i Popullsisë dhe Banesave,</w:t>
            </w:r>
            <w:r w:rsidR="00684E85" w:rsidRPr="004F2AC3">
              <w:rPr>
                <w:rFonts w:ascii="Garamond" w:eastAsia="Times New Roman" w:hAnsi="Garamond" w:cs="Times New Roman"/>
                <w:color w:val="000000"/>
                <w:sz w:val="10"/>
                <w:szCs w:val="10"/>
                <w:lang w:eastAsia="sq-AL"/>
              </w:rPr>
              <w:t xml:space="preserve"> </w:t>
            </w:r>
            <w:r w:rsidR="00712644" w:rsidRPr="004F2AC3">
              <w:rPr>
                <w:rFonts w:ascii="Garamond" w:eastAsia="Times New Roman" w:hAnsi="Garamond" w:cs="Times New Roman"/>
                <w:color w:val="000000"/>
                <w:sz w:val="10"/>
                <w:szCs w:val="10"/>
                <w:lang w:eastAsia="sq-AL"/>
              </w:rPr>
              <w:t xml:space="preserve">azilkërkuesit </w:t>
            </w:r>
            <w:r w:rsidRPr="004F2AC3">
              <w:rPr>
                <w:rFonts w:ascii="Garamond" w:eastAsia="Times New Roman" w:hAnsi="Garamond" w:cs="Times New Roman"/>
                <w:color w:val="000000"/>
                <w:sz w:val="10"/>
                <w:szCs w:val="10"/>
                <w:lang w:eastAsia="sq-AL"/>
              </w:rPr>
              <w:t>dhe të huajt</w:t>
            </w:r>
          </w:p>
        </w:tc>
      </w:tr>
      <w:tr w:rsidR="00C73163" w:rsidRPr="004F2AC3" w14:paraId="6A26550A" w14:textId="77777777" w:rsidTr="0021321C">
        <w:trPr>
          <w:trHeight w:val="180"/>
          <w:jc w:val="center"/>
        </w:trPr>
        <w:tc>
          <w:tcPr>
            <w:tcW w:w="388" w:type="dxa"/>
            <w:tcBorders>
              <w:top w:val="nil"/>
              <w:left w:val="nil"/>
              <w:bottom w:val="nil"/>
              <w:right w:val="nil"/>
            </w:tcBorders>
            <w:shd w:val="clear" w:color="000000" w:fill="FFFFFF"/>
            <w:vAlign w:val="bottom"/>
            <w:hideMark/>
          </w:tcPr>
          <w:p w14:paraId="41C33A0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996E03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C24492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716B58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D3EF8E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3DE746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4823804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1.1.2.2</w:t>
            </w:r>
          </w:p>
        </w:tc>
        <w:tc>
          <w:tcPr>
            <w:tcW w:w="563" w:type="dxa"/>
            <w:tcBorders>
              <w:top w:val="nil"/>
              <w:left w:val="nil"/>
              <w:bottom w:val="single" w:sz="4" w:space="0" w:color="auto"/>
              <w:right w:val="single" w:sz="4" w:space="0" w:color="auto"/>
            </w:tcBorders>
            <w:shd w:val="clear" w:color="auto" w:fill="auto"/>
            <w:vAlign w:val="center"/>
            <w:hideMark/>
          </w:tcPr>
          <w:p w14:paraId="14FC47B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azilit dhe të huajve</w:t>
            </w:r>
          </w:p>
        </w:tc>
        <w:tc>
          <w:tcPr>
            <w:tcW w:w="446" w:type="dxa"/>
            <w:tcBorders>
              <w:top w:val="nil"/>
              <w:left w:val="nil"/>
              <w:bottom w:val="single" w:sz="4" w:space="0" w:color="auto"/>
              <w:right w:val="single" w:sz="4" w:space="0" w:color="auto"/>
            </w:tcBorders>
            <w:shd w:val="clear" w:color="auto" w:fill="auto"/>
            <w:vAlign w:val="center"/>
            <w:hideMark/>
          </w:tcPr>
          <w:p w14:paraId="2D57BB8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19C1FC8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vAlign w:val="center"/>
            <w:hideMark/>
          </w:tcPr>
          <w:p w14:paraId="4202137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64B0EA0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auto" w:fill="auto"/>
            <w:vAlign w:val="center"/>
            <w:hideMark/>
          </w:tcPr>
          <w:p w14:paraId="720F2B2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auto" w:fill="auto"/>
            <w:vAlign w:val="center"/>
            <w:hideMark/>
          </w:tcPr>
          <w:p w14:paraId="4AF6F60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auto" w:fill="auto"/>
            <w:noWrap/>
            <w:vAlign w:val="center"/>
            <w:hideMark/>
          </w:tcPr>
          <w:p w14:paraId="7F49E8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auto" w:fill="auto"/>
            <w:noWrap/>
            <w:vAlign w:val="center"/>
            <w:hideMark/>
          </w:tcPr>
          <w:p w14:paraId="51685A0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auto" w:fill="auto"/>
            <w:noWrap/>
            <w:vAlign w:val="center"/>
            <w:hideMark/>
          </w:tcPr>
          <w:p w14:paraId="2B53745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auto" w:fill="auto"/>
            <w:noWrap/>
            <w:vAlign w:val="center"/>
            <w:hideMark/>
          </w:tcPr>
          <w:p w14:paraId="3BA43D9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26DAFAC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noWrap/>
            <w:vAlign w:val="center"/>
            <w:hideMark/>
          </w:tcPr>
          <w:p w14:paraId="39D498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auto" w:fill="auto"/>
            <w:noWrap/>
            <w:vAlign w:val="center"/>
            <w:hideMark/>
          </w:tcPr>
          <w:p w14:paraId="2BF8281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49B399F3" w14:textId="77777777" w:rsidTr="0021321C">
        <w:trPr>
          <w:trHeight w:val="180"/>
          <w:jc w:val="center"/>
        </w:trPr>
        <w:tc>
          <w:tcPr>
            <w:tcW w:w="388" w:type="dxa"/>
            <w:tcBorders>
              <w:top w:val="nil"/>
              <w:left w:val="nil"/>
              <w:bottom w:val="nil"/>
              <w:right w:val="nil"/>
            </w:tcBorders>
            <w:shd w:val="clear" w:color="000000" w:fill="FFFFFF"/>
            <w:vAlign w:val="bottom"/>
            <w:hideMark/>
          </w:tcPr>
          <w:p w14:paraId="5B994F4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38421A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F0CC87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87400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53D9B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7729B0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12B1B90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1.1.2.2.1</w:t>
            </w:r>
          </w:p>
        </w:tc>
        <w:tc>
          <w:tcPr>
            <w:tcW w:w="563" w:type="dxa"/>
            <w:tcBorders>
              <w:top w:val="nil"/>
              <w:left w:val="nil"/>
              <w:bottom w:val="single" w:sz="4" w:space="0" w:color="auto"/>
              <w:right w:val="single" w:sz="4" w:space="0" w:color="auto"/>
            </w:tcBorders>
            <w:shd w:val="clear" w:color="000000" w:fill="FFFFFF"/>
            <w:vAlign w:val="center"/>
            <w:hideMark/>
          </w:tcPr>
          <w:p w14:paraId="471318F4" w14:textId="0E83D02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e </w:t>
            </w:r>
            <w:r w:rsidR="00712644" w:rsidRPr="004F2AC3">
              <w:rPr>
                <w:rFonts w:ascii="Garamond" w:eastAsia="Times New Roman" w:hAnsi="Garamond" w:cs="Times New Roman"/>
                <w:color w:val="000000"/>
                <w:sz w:val="10"/>
                <w:szCs w:val="10"/>
                <w:lang w:eastAsia="sq-AL"/>
              </w:rPr>
              <w:t>azilit</w:t>
            </w:r>
          </w:p>
        </w:tc>
        <w:tc>
          <w:tcPr>
            <w:tcW w:w="446" w:type="dxa"/>
            <w:tcBorders>
              <w:top w:val="nil"/>
              <w:left w:val="nil"/>
              <w:bottom w:val="single" w:sz="4" w:space="0" w:color="auto"/>
              <w:right w:val="single" w:sz="4" w:space="0" w:color="auto"/>
            </w:tcBorders>
            <w:shd w:val="clear" w:color="auto" w:fill="auto"/>
            <w:vAlign w:val="center"/>
            <w:hideMark/>
          </w:tcPr>
          <w:p w14:paraId="42B12E5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224AC5E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2997C92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3F0D800A" w14:textId="42C6F27C"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03F5DE6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0A628019" w14:textId="0C513ED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br/>
              <w:t>1. Numri i azilkërkuesve në Shqipëri</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Azilkërkuesit sipas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Azilkërkuesit sipas vendit të origjinës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Fitimi dhe lënia e shtetësisë shqiptare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 Fitimi i shtetësisë </w:t>
            </w:r>
            <w:r w:rsidR="00712644" w:rsidRPr="004F2AC3">
              <w:rPr>
                <w:rFonts w:ascii="Garamond" w:eastAsia="Times New Roman" w:hAnsi="Garamond" w:cs="Times New Roman"/>
                <w:color w:val="000000"/>
                <w:sz w:val="10"/>
                <w:szCs w:val="10"/>
                <w:lang w:eastAsia="sq-AL"/>
              </w:rPr>
              <w:t xml:space="preserve">shqiptare </w:t>
            </w:r>
            <w:r w:rsidRPr="004F2AC3">
              <w:rPr>
                <w:rFonts w:ascii="Garamond" w:eastAsia="Times New Roman" w:hAnsi="Garamond" w:cs="Times New Roman"/>
                <w:color w:val="000000"/>
                <w:sz w:val="10"/>
                <w:szCs w:val="10"/>
                <w:lang w:eastAsia="sq-AL"/>
              </w:rPr>
              <w:t>sipas vendit të origjinës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6. Fitimi dhe lënia e shtetësisë </w:t>
            </w:r>
            <w:r w:rsidR="00712644" w:rsidRPr="004F2AC3">
              <w:rPr>
                <w:rFonts w:ascii="Garamond" w:eastAsia="Times New Roman" w:hAnsi="Garamond" w:cs="Times New Roman"/>
                <w:color w:val="000000"/>
                <w:sz w:val="10"/>
                <w:szCs w:val="10"/>
                <w:lang w:eastAsia="sq-AL"/>
              </w:rPr>
              <w:t>shqiptare</w:t>
            </w:r>
            <w:r w:rsidRPr="004F2AC3">
              <w:rPr>
                <w:rFonts w:ascii="Garamond" w:eastAsia="Times New Roman" w:hAnsi="Garamond" w:cs="Times New Roman"/>
                <w:color w:val="000000"/>
                <w:sz w:val="10"/>
                <w:szCs w:val="10"/>
                <w:lang w:eastAsia="sq-AL"/>
              </w:rPr>
              <w:t>, sipas grup-moshës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Kërkesat për azil sipas muajit</w:t>
            </w:r>
            <w:r w:rsidR="00712644"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7FD8EEA8" w14:textId="18DDB64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Punëve të Brendshme</w:t>
            </w:r>
            <w:r w:rsidR="00712644"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4048B059" w14:textId="4E442CD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12644"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3FA20FF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+ 153 D</w:t>
            </w:r>
          </w:p>
        </w:tc>
        <w:tc>
          <w:tcPr>
            <w:tcW w:w="385" w:type="dxa"/>
            <w:tcBorders>
              <w:top w:val="nil"/>
              <w:left w:val="nil"/>
              <w:bottom w:val="single" w:sz="4" w:space="0" w:color="auto"/>
              <w:right w:val="single" w:sz="4" w:space="0" w:color="auto"/>
            </w:tcBorders>
            <w:shd w:val="clear" w:color="000000" w:fill="FFFFFF"/>
            <w:vAlign w:val="center"/>
            <w:hideMark/>
          </w:tcPr>
          <w:p w14:paraId="474C259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+ 174 D</w:t>
            </w:r>
          </w:p>
        </w:tc>
        <w:tc>
          <w:tcPr>
            <w:tcW w:w="361" w:type="dxa"/>
            <w:tcBorders>
              <w:top w:val="nil"/>
              <w:left w:val="nil"/>
              <w:bottom w:val="single" w:sz="4" w:space="0" w:color="auto"/>
              <w:right w:val="single" w:sz="4" w:space="0" w:color="auto"/>
            </w:tcBorders>
            <w:shd w:val="clear" w:color="000000" w:fill="FFFFFF"/>
            <w:vAlign w:val="center"/>
            <w:hideMark/>
          </w:tcPr>
          <w:p w14:paraId="4F4AF30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+ 185 D</w:t>
            </w:r>
          </w:p>
        </w:tc>
        <w:tc>
          <w:tcPr>
            <w:tcW w:w="732" w:type="dxa"/>
            <w:tcBorders>
              <w:top w:val="nil"/>
              <w:left w:val="nil"/>
              <w:bottom w:val="single" w:sz="4" w:space="0" w:color="auto"/>
              <w:right w:val="single" w:sz="4" w:space="0" w:color="auto"/>
            </w:tcBorders>
            <w:shd w:val="clear" w:color="auto" w:fill="auto"/>
            <w:vAlign w:val="center"/>
            <w:hideMark/>
          </w:tcPr>
          <w:p w14:paraId="095A90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-|- 3</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të dhënat administrative -|- 3</w:t>
            </w:r>
            <w:r w:rsidRPr="004F2AC3">
              <w:rPr>
                <w:rFonts w:ascii="Garamond" w:eastAsia="Times New Roman" w:hAnsi="Garamond" w:cs="Times New Roman"/>
                <w:color w:val="000000"/>
                <w:sz w:val="10"/>
                <w:szCs w:val="10"/>
                <w:lang w:eastAsia="sq-AL"/>
              </w:rPr>
              <w:br/>
              <w:t>3. Pezullimi/vonesa e mbledhjes, prodhimit dhe shpërndarjes të statistikave zyrtare si pasojë e Fatkeqësive natyrore/ Pandemi Globale -|- 3</w:t>
            </w:r>
          </w:p>
        </w:tc>
        <w:tc>
          <w:tcPr>
            <w:tcW w:w="551" w:type="dxa"/>
            <w:tcBorders>
              <w:top w:val="nil"/>
              <w:left w:val="nil"/>
              <w:bottom w:val="single" w:sz="4" w:space="0" w:color="auto"/>
              <w:right w:val="single" w:sz="4" w:space="0" w:color="auto"/>
            </w:tcBorders>
            <w:shd w:val="clear" w:color="auto" w:fill="auto"/>
            <w:vAlign w:val="center"/>
            <w:hideMark/>
          </w:tcPr>
          <w:p w14:paraId="726C8E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3B6DAC66" w14:textId="77777777" w:rsidTr="0021321C">
        <w:trPr>
          <w:trHeight w:val="180"/>
          <w:jc w:val="center"/>
        </w:trPr>
        <w:tc>
          <w:tcPr>
            <w:tcW w:w="388" w:type="dxa"/>
            <w:tcBorders>
              <w:top w:val="nil"/>
              <w:left w:val="nil"/>
              <w:bottom w:val="nil"/>
              <w:right w:val="nil"/>
            </w:tcBorders>
            <w:shd w:val="clear" w:color="000000" w:fill="FFFFFF"/>
            <w:vAlign w:val="bottom"/>
            <w:hideMark/>
          </w:tcPr>
          <w:p w14:paraId="0A25CB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6F63D5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F9D0F8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76A43E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2BAD64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4BBE6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000000" w:fill="FFFFFF"/>
            <w:vAlign w:val="center"/>
            <w:hideMark/>
          </w:tcPr>
          <w:p w14:paraId="27997FC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1.1.2.2.2</w:t>
            </w:r>
          </w:p>
        </w:tc>
        <w:tc>
          <w:tcPr>
            <w:tcW w:w="563" w:type="dxa"/>
            <w:tcBorders>
              <w:top w:val="nil"/>
              <w:left w:val="nil"/>
              <w:bottom w:val="nil"/>
              <w:right w:val="single" w:sz="4" w:space="0" w:color="auto"/>
            </w:tcBorders>
            <w:shd w:val="clear" w:color="000000" w:fill="FFFFFF"/>
            <w:vAlign w:val="center"/>
            <w:hideMark/>
          </w:tcPr>
          <w:p w14:paraId="46C6F50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të huajve</w:t>
            </w:r>
          </w:p>
        </w:tc>
        <w:tc>
          <w:tcPr>
            <w:tcW w:w="446" w:type="dxa"/>
            <w:tcBorders>
              <w:top w:val="nil"/>
              <w:left w:val="nil"/>
              <w:bottom w:val="nil"/>
              <w:right w:val="single" w:sz="4" w:space="0" w:color="auto"/>
            </w:tcBorders>
            <w:shd w:val="clear" w:color="auto" w:fill="auto"/>
            <w:vAlign w:val="center"/>
            <w:hideMark/>
          </w:tcPr>
          <w:p w14:paraId="59B275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nil"/>
              <w:right w:val="single" w:sz="4" w:space="0" w:color="auto"/>
            </w:tcBorders>
            <w:shd w:val="clear" w:color="000000" w:fill="FFFFFF"/>
            <w:noWrap/>
            <w:vAlign w:val="center"/>
            <w:hideMark/>
          </w:tcPr>
          <w:p w14:paraId="2E5230DA"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nil"/>
              <w:right w:val="single" w:sz="4" w:space="0" w:color="auto"/>
            </w:tcBorders>
            <w:shd w:val="clear" w:color="auto" w:fill="auto"/>
            <w:vAlign w:val="center"/>
            <w:hideMark/>
          </w:tcPr>
          <w:p w14:paraId="2228D90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nil"/>
              <w:right w:val="single" w:sz="4" w:space="0" w:color="auto"/>
            </w:tcBorders>
            <w:shd w:val="clear" w:color="auto" w:fill="auto"/>
            <w:vAlign w:val="center"/>
            <w:hideMark/>
          </w:tcPr>
          <w:p w14:paraId="141A1C50" w14:textId="7EBFF7A1"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48BCE2D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nil"/>
              <w:right w:val="single" w:sz="4" w:space="0" w:color="auto"/>
            </w:tcBorders>
            <w:shd w:val="clear" w:color="000000" w:fill="FFFFFF"/>
            <w:vAlign w:val="center"/>
            <w:hideMark/>
          </w:tcPr>
          <w:p w14:paraId="1156E0F2" w14:textId="268C013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Numri i të huajve me leje qëndrimi që jetojnë në Shqipëri</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Të huajt me leje qëndrimi sipas grup-moshës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Aplikimet për leje qëndrimi sipas vendit të origjinës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Aplikimet për leje qëndrimi në Shqipëri</w:t>
            </w:r>
            <w:r w:rsidR="00D80B69"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sipas afatit të qëndrimit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Të huajt me leje qëndrimi sipas vendit të origjinës/kontinenteve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Të huajt me leje qëndrimi sipas arsyes së aplikimit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Të huaj</w:t>
            </w:r>
            <w:r w:rsidR="00712644" w:rsidRPr="004F2AC3">
              <w:rPr>
                <w:rFonts w:ascii="Garamond" w:eastAsia="Times New Roman" w:hAnsi="Garamond" w:cs="Times New Roman"/>
                <w:color w:val="000000"/>
                <w:sz w:val="10"/>
                <w:szCs w:val="10"/>
                <w:lang w:eastAsia="sq-AL"/>
              </w:rPr>
              <w:t>t me leje qëndrimi sipas arsyes;</w:t>
            </w:r>
            <w:r w:rsidRPr="004F2AC3">
              <w:rPr>
                <w:rFonts w:ascii="Garamond" w:eastAsia="Times New Roman" w:hAnsi="Garamond" w:cs="Times New Roman"/>
                <w:color w:val="000000"/>
                <w:sz w:val="10"/>
                <w:szCs w:val="10"/>
                <w:lang w:eastAsia="sq-AL"/>
              </w:rPr>
              <w:br/>
              <w:t>8. Të huajt e parregullt sipas vendit të origjinës</w:t>
            </w:r>
            <w:r w:rsidR="00712644"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4D00560A" w14:textId="0587E79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Drejtoria e Përgjithshme e Policisë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Drejtoria për Kufirin dhe Migracionin</w:t>
            </w:r>
            <w:r w:rsidR="00712644" w:rsidRPr="004F2AC3">
              <w:rPr>
                <w:rFonts w:ascii="Garamond" w:eastAsia="Times New Roman" w:hAnsi="Garamond" w:cs="Times New Roman"/>
                <w:color w:val="000000"/>
                <w:sz w:val="10"/>
                <w:szCs w:val="10"/>
                <w:lang w:eastAsia="sq-AL"/>
              </w:rPr>
              <w:t>.</w:t>
            </w:r>
          </w:p>
        </w:tc>
        <w:tc>
          <w:tcPr>
            <w:tcW w:w="413" w:type="dxa"/>
            <w:tcBorders>
              <w:top w:val="nil"/>
              <w:left w:val="nil"/>
              <w:bottom w:val="nil"/>
              <w:right w:val="single" w:sz="4" w:space="0" w:color="auto"/>
            </w:tcBorders>
            <w:shd w:val="clear" w:color="auto" w:fill="auto"/>
            <w:vAlign w:val="center"/>
            <w:hideMark/>
          </w:tcPr>
          <w:p w14:paraId="20F1AB54" w14:textId="22AFDBB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12644"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000000" w:fill="FFFFFF"/>
            <w:vAlign w:val="center"/>
            <w:hideMark/>
          </w:tcPr>
          <w:p w14:paraId="72468C5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+ 182 D</w:t>
            </w:r>
          </w:p>
        </w:tc>
        <w:tc>
          <w:tcPr>
            <w:tcW w:w="385" w:type="dxa"/>
            <w:tcBorders>
              <w:top w:val="nil"/>
              <w:left w:val="nil"/>
              <w:bottom w:val="nil"/>
              <w:right w:val="single" w:sz="4" w:space="0" w:color="auto"/>
            </w:tcBorders>
            <w:shd w:val="clear" w:color="000000" w:fill="FFFFFF"/>
            <w:vAlign w:val="center"/>
            <w:hideMark/>
          </w:tcPr>
          <w:p w14:paraId="17836CE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+ 220 D</w:t>
            </w:r>
          </w:p>
        </w:tc>
        <w:tc>
          <w:tcPr>
            <w:tcW w:w="361" w:type="dxa"/>
            <w:tcBorders>
              <w:top w:val="nil"/>
              <w:left w:val="nil"/>
              <w:bottom w:val="nil"/>
              <w:right w:val="single" w:sz="4" w:space="0" w:color="auto"/>
            </w:tcBorders>
            <w:shd w:val="clear" w:color="000000" w:fill="FFFFFF"/>
            <w:vAlign w:val="center"/>
            <w:hideMark/>
          </w:tcPr>
          <w:p w14:paraId="27F5BED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+ 234 D</w:t>
            </w:r>
          </w:p>
        </w:tc>
        <w:tc>
          <w:tcPr>
            <w:tcW w:w="732" w:type="dxa"/>
            <w:tcBorders>
              <w:top w:val="nil"/>
              <w:left w:val="nil"/>
              <w:bottom w:val="nil"/>
              <w:right w:val="single" w:sz="4" w:space="0" w:color="auto"/>
            </w:tcBorders>
            <w:shd w:val="clear" w:color="auto" w:fill="auto"/>
            <w:vAlign w:val="center"/>
            <w:hideMark/>
          </w:tcPr>
          <w:p w14:paraId="19A75803" w14:textId="03D5DB8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-|- 3</w:t>
            </w:r>
            <w:r w:rsidRPr="004F2AC3">
              <w:rPr>
                <w:rFonts w:ascii="Garamond" w:eastAsia="Times New Roman" w:hAnsi="Garamond" w:cs="Times New Roman"/>
                <w:color w:val="000000"/>
                <w:sz w:val="10"/>
                <w:szCs w:val="10"/>
                <w:lang w:eastAsia="sq-AL"/>
              </w:rPr>
              <w:br/>
              <w:t>2. Mospërmbushja e kritereve të cilësisë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si: saktësia, përpikmëria dhe krahasueshmëria, për të dhënat administrative -|- 3</w:t>
            </w:r>
            <w:r w:rsidRPr="004F2AC3">
              <w:rPr>
                <w:rFonts w:ascii="Garamond" w:eastAsia="Times New Roman" w:hAnsi="Garamond" w:cs="Times New Roman"/>
                <w:color w:val="000000"/>
                <w:sz w:val="10"/>
                <w:szCs w:val="10"/>
                <w:lang w:eastAsia="sq-AL"/>
              </w:rPr>
              <w:br/>
              <w:t xml:space="preserve">3. Pezullimi/vonesa e mbledhjes, prodhimit dhe shpërndarjes të statistikave zyrtare si pasojë e </w:t>
            </w:r>
            <w:r w:rsidR="00712644" w:rsidRPr="004F2AC3">
              <w:rPr>
                <w:rFonts w:ascii="Garamond" w:eastAsia="Times New Roman" w:hAnsi="Garamond" w:cs="Times New Roman"/>
                <w:color w:val="000000"/>
                <w:sz w:val="10"/>
                <w:szCs w:val="10"/>
                <w:lang w:eastAsia="sq-AL"/>
              </w:rPr>
              <w:t>fatkeqësive natyrore/pandemi globale -</w:t>
            </w:r>
            <w:r w:rsidRPr="004F2AC3">
              <w:rPr>
                <w:rFonts w:ascii="Garamond" w:eastAsia="Times New Roman" w:hAnsi="Garamond" w:cs="Times New Roman"/>
                <w:color w:val="000000"/>
                <w:sz w:val="10"/>
                <w:szCs w:val="10"/>
                <w:lang w:eastAsia="sq-AL"/>
              </w:rPr>
              <w:t>|- 3</w:t>
            </w:r>
          </w:p>
        </w:tc>
        <w:tc>
          <w:tcPr>
            <w:tcW w:w="551" w:type="dxa"/>
            <w:tcBorders>
              <w:top w:val="nil"/>
              <w:left w:val="nil"/>
              <w:bottom w:val="nil"/>
              <w:right w:val="single" w:sz="4" w:space="0" w:color="auto"/>
            </w:tcBorders>
            <w:shd w:val="clear" w:color="auto" w:fill="auto"/>
            <w:vAlign w:val="center"/>
            <w:hideMark/>
          </w:tcPr>
          <w:p w14:paraId="43E8220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1A2C4F0E" w14:textId="77777777" w:rsidTr="0021321C">
        <w:trPr>
          <w:trHeight w:val="180"/>
          <w:jc w:val="center"/>
        </w:trPr>
        <w:tc>
          <w:tcPr>
            <w:tcW w:w="388" w:type="dxa"/>
            <w:tcBorders>
              <w:top w:val="nil"/>
              <w:left w:val="nil"/>
              <w:bottom w:val="nil"/>
              <w:right w:val="nil"/>
            </w:tcBorders>
            <w:shd w:val="clear" w:color="000000" w:fill="FFFFFF"/>
            <w:vAlign w:val="bottom"/>
            <w:hideMark/>
          </w:tcPr>
          <w:p w14:paraId="797BA0B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6D085C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8A84D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BA682A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4DF02F4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1.1.3</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25321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gjinore</w:t>
            </w:r>
          </w:p>
        </w:tc>
      </w:tr>
      <w:tr w:rsidR="00C73163" w:rsidRPr="004F2AC3" w14:paraId="20931601" w14:textId="77777777" w:rsidTr="0021321C">
        <w:trPr>
          <w:trHeight w:val="180"/>
          <w:jc w:val="center"/>
        </w:trPr>
        <w:tc>
          <w:tcPr>
            <w:tcW w:w="388" w:type="dxa"/>
            <w:tcBorders>
              <w:top w:val="nil"/>
              <w:left w:val="nil"/>
              <w:bottom w:val="nil"/>
              <w:right w:val="nil"/>
            </w:tcBorders>
            <w:shd w:val="clear" w:color="000000" w:fill="FFFFFF"/>
            <w:vAlign w:val="bottom"/>
            <w:hideMark/>
          </w:tcPr>
          <w:p w14:paraId="30E19D2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A56F5E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52467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0ACF9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6ECB20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176098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000000"/>
              <w:right w:val="single" w:sz="4" w:space="0" w:color="auto"/>
            </w:tcBorders>
            <w:shd w:val="clear" w:color="auto" w:fill="auto"/>
            <w:vAlign w:val="center"/>
            <w:hideMark/>
          </w:tcPr>
          <w:p w14:paraId="1857BA1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1.1.3.1</w:t>
            </w:r>
          </w:p>
        </w:tc>
        <w:tc>
          <w:tcPr>
            <w:tcW w:w="563" w:type="dxa"/>
            <w:vMerge w:val="restart"/>
            <w:tcBorders>
              <w:top w:val="nil"/>
              <w:left w:val="single" w:sz="4" w:space="0" w:color="auto"/>
              <w:bottom w:val="single" w:sz="4" w:space="0" w:color="000000"/>
              <w:right w:val="single" w:sz="4" w:space="0" w:color="auto"/>
            </w:tcBorders>
            <w:shd w:val="clear" w:color="auto" w:fill="auto"/>
            <w:vAlign w:val="center"/>
            <w:hideMark/>
          </w:tcPr>
          <w:p w14:paraId="7889B89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gjinore</w:t>
            </w:r>
          </w:p>
        </w:tc>
        <w:tc>
          <w:tcPr>
            <w:tcW w:w="446" w:type="dxa"/>
            <w:vMerge w:val="restart"/>
            <w:tcBorders>
              <w:top w:val="nil"/>
              <w:left w:val="single" w:sz="4" w:space="0" w:color="auto"/>
              <w:bottom w:val="single" w:sz="4" w:space="0" w:color="000000"/>
              <w:right w:val="single" w:sz="4" w:space="0" w:color="auto"/>
            </w:tcBorders>
            <w:shd w:val="clear" w:color="auto" w:fill="auto"/>
            <w:vAlign w:val="center"/>
            <w:hideMark/>
          </w:tcPr>
          <w:p w14:paraId="567CB08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vMerge w:val="restart"/>
            <w:tcBorders>
              <w:top w:val="nil"/>
              <w:left w:val="single" w:sz="4" w:space="0" w:color="auto"/>
              <w:bottom w:val="single" w:sz="4" w:space="0" w:color="000000"/>
              <w:right w:val="single" w:sz="4" w:space="0" w:color="auto"/>
            </w:tcBorders>
            <w:shd w:val="clear" w:color="auto" w:fill="auto"/>
            <w:vAlign w:val="center"/>
            <w:hideMark/>
          </w:tcPr>
          <w:p w14:paraId="088D4C8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50%</w:t>
            </w:r>
          </w:p>
        </w:tc>
        <w:tc>
          <w:tcPr>
            <w:tcW w:w="301" w:type="dxa"/>
            <w:vMerge w:val="restart"/>
            <w:tcBorders>
              <w:top w:val="nil"/>
              <w:left w:val="single" w:sz="4" w:space="0" w:color="auto"/>
              <w:bottom w:val="single" w:sz="4" w:space="0" w:color="000000"/>
              <w:right w:val="single" w:sz="4" w:space="0" w:color="auto"/>
            </w:tcBorders>
            <w:shd w:val="clear" w:color="auto" w:fill="auto"/>
            <w:vAlign w:val="center"/>
            <w:hideMark/>
          </w:tcPr>
          <w:p w14:paraId="2FBD282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50%</w:t>
            </w:r>
          </w:p>
        </w:tc>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06B9ABCC" w14:textId="032CD365" w:rsidR="0021321C" w:rsidRPr="004F2AC3" w:rsidRDefault="006400E2"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auto" w:fill="auto"/>
            <w:vAlign w:val="center"/>
            <w:hideMark/>
          </w:tcPr>
          <w:p w14:paraId="1C0065D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nil"/>
            </w:tcBorders>
            <w:shd w:val="clear" w:color="000000" w:fill="FFFFFF"/>
            <w:vAlign w:val="center"/>
            <w:hideMark/>
          </w:tcPr>
          <w:p w14:paraId="56507DF7" w14:textId="6208398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Përbërja e parlamentit që nga viti 1920</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Deputetët sipas partive politike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Përbërja e parlamentit sipas pozicionit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Përbërja e komisioneve parlamentare sipas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Pozicionet në sistemin e drejtësisë sipas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Pjesëmarrja e gruas në misionet diplomatike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Numri i punonjësve në strukturat e policisë sipas gradave dhe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Numri i punonjësve në forcat e armatosura sipas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Të dhëna gjinore për kandidimin në zgjedhjet për organet e qeverisjes vendore për Këshillin Bashkiak</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Pozicionet sipas nivelit të menaxhimit në institucionet e administratës publike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Përfituesit e skemave mbështetëse nga Agjencia Shqiptare e 1Zhvillimit të Investimeve sipas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Kreditë e marra në bankat e nivelit të dytë të ndara sipas gjinisë së kredimarrësit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Pensione në skemën e sigurimeve shoqërore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Kontribuesit në skemën e sigurimit vullnetar sipas gjinisë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Numri total i punëkërkuesve të papunë, të regjistruar në kurse formimi profesional dhe në programe të nxitjes së punësimit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Punëkërkues të papunë të regjistruar në kurse formimi profesional</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17. Punëkërkues të papunë pjesëmarrës në programe të nxitjes së punësimit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18. Punëkërkues të papunë sipas grup</w:t>
            </w:r>
            <w:r w:rsidR="00D449AF" w:rsidRPr="004F2AC3">
              <w:rPr>
                <w:rFonts w:ascii="Garamond" w:eastAsia="Times New Roman" w:hAnsi="Garamond" w:cs="Times New Roman"/>
                <w:color w:val="000000"/>
                <w:sz w:val="10"/>
                <w:szCs w:val="10"/>
                <w:lang w:eastAsia="sq-AL"/>
              </w:rPr>
              <w:t>-</w:t>
            </w:r>
            <w:r w:rsidR="00712644" w:rsidRPr="004F2AC3">
              <w:rPr>
                <w:rFonts w:ascii="Garamond" w:eastAsia="Times New Roman" w:hAnsi="Garamond" w:cs="Times New Roman"/>
                <w:color w:val="000000"/>
                <w:sz w:val="10"/>
                <w:szCs w:val="10"/>
                <w:lang w:eastAsia="sq-AL"/>
              </w:rPr>
              <w:t>moshave dhe gjinisë;</w:t>
            </w:r>
            <w:r w:rsidRPr="004F2AC3">
              <w:rPr>
                <w:rFonts w:ascii="Garamond" w:eastAsia="Times New Roman" w:hAnsi="Garamond" w:cs="Times New Roman"/>
                <w:color w:val="000000"/>
                <w:sz w:val="10"/>
                <w:szCs w:val="10"/>
                <w:lang w:eastAsia="sq-AL"/>
              </w:rPr>
              <w:br/>
              <w:t>19. Numri i familjeve që marrin ndihmë ekonomike, sipas gjinisë së kryefamiljarit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Përqindja e grave të moshës 18</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 të dhunuara</w:t>
            </w:r>
            <w:r w:rsidR="00712644" w:rsidRPr="004F2AC3">
              <w:rPr>
                <w:rFonts w:ascii="Garamond" w:eastAsia="Times New Roman" w:hAnsi="Garamond" w:cs="Times New Roman"/>
                <w:color w:val="000000"/>
                <w:sz w:val="10"/>
                <w:szCs w:val="10"/>
                <w:lang w:eastAsia="sq-AL"/>
              </w:rPr>
              <w:t xml:space="preserve"> fizikisht në 12 muajt e fundit;</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68FD4CC9" w14:textId="41E3B51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12644"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Kryeministria</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Banka e Shqipërisë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Ministria e Shëndetësisë dhe </w:t>
            </w:r>
            <w:r w:rsidR="00D80B69" w:rsidRPr="004F2AC3">
              <w:rPr>
                <w:rFonts w:ascii="Garamond" w:eastAsia="Times New Roman" w:hAnsi="Garamond" w:cs="Times New Roman"/>
                <w:color w:val="000000"/>
                <w:sz w:val="10"/>
                <w:szCs w:val="10"/>
                <w:lang w:eastAsia="sq-AL"/>
              </w:rPr>
              <w:t>Mirëqenies</w:t>
            </w:r>
            <w:r w:rsidR="00712644" w:rsidRPr="004F2AC3">
              <w:rPr>
                <w:rFonts w:ascii="Garamond" w:eastAsia="Times New Roman" w:hAnsi="Garamond" w:cs="Times New Roman"/>
                <w:color w:val="000000"/>
                <w:sz w:val="10"/>
                <w:szCs w:val="10"/>
                <w:lang w:eastAsia="sq-AL"/>
              </w:rPr>
              <w:t xml:space="preserve"> Sociale;</w:t>
            </w:r>
            <w:r w:rsidR="00712644" w:rsidRPr="004F2AC3">
              <w:rPr>
                <w:rFonts w:ascii="Garamond" w:eastAsia="Times New Roman" w:hAnsi="Garamond" w:cs="Times New Roman"/>
                <w:color w:val="000000"/>
                <w:sz w:val="10"/>
                <w:szCs w:val="10"/>
                <w:lang w:eastAsia="sq-AL"/>
              </w:rPr>
              <w:br/>
              <w:t>Ministria e Arsimit;</w:t>
            </w:r>
            <w:r w:rsidRPr="004F2AC3">
              <w:rPr>
                <w:rFonts w:ascii="Garamond" w:eastAsia="Times New Roman" w:hAnsi="Garamond" w:cs="Times New Roman"/>
                <w:color w:val="000000"/>
                <w:sz w:val="10"/>
                <w:szCs w:val="10"/>
                <w:lang w:eastAsia="sq-AL"/>
              </w:rPr>
              <w:br/>
              <w:t>Ministria e Infrastrukturës dhe Energjisë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Ministria e Drejtësisë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Ministri për Marrëdhëniet me Parlamentin</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Drejtoria e Përgjithshme e Policisë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Instituti i Sigurimeve Shoqërore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Instituti i Shëndetit Publik</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Shërbimi Kombëtar i Punësimit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Komisioni Qendror i Zgjedhjeve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Shkolla e Magjistraturës</w:t>
            </w:r>
            <w:r w:rsidR="00712644" w:rsidRPr="004F2AC3">
              <w:rPr>
                <w:rFonts w:ascii="Garamond" w:eastAsia="Times New Roman" w:hAnsi="Garamond" w:cs="Times New Roman"/>
                <w:color w:val="000000"/>
                <w:sz w:val="10"/>
                <w:szCs w:val="10"/>
                <w:lang w:eastAsia="sq-AL"/>
              </w:rPr>
              <w:t>.</w:t>
            </w:r>
          </w:p>
        </w:tc>
        <w:tc>
          <w:tcPr>
            <w:tcW w:w="413" w:type="dxa"/>
            <w:vMerge w:val="restart"/>
            <w:tcBorders>
              <w:top w:val="nil"/>
              <w:left w:val="single" w:sz="4" w:space="0" w:color="auto"/>
              <w:bottom w:val="single" w:sz="4" w:space="0" w:color="000000"/>
              <w:right w:val="single" w:sz="4" w:space="0" w:color="auto"/>
            </w:tcBorders>
            <w:shd w:val="clear" w:color="auto" w:fill="auto"/>
            <w:vAlign w:val="center"/>
            <w:hideMark/>
          </w:tcPr>
          <w:p w14:paraId="5877B5FA" w14:textId="5D7BC50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12644" w:rsidRPr="004F2AC3">
              <w:rPr>
                <w:rFonts w:ascii="Garamond" w:eastAsia="Times New Roman" w:hAnsi="Garamond" w:cs="Times New Roman"/>
                <w:color w:val="000000"/>
                <w:sz w:val="10"/>
                <w:szCs w:val="10"/>
                <w:lang w:eastAsia="sq-AL"/>
              </w:rPr>
              <w:t>-i</w:t>
            </w:r>
          </w:p>
        </w:tc>
        <w:tc>
          <w:tcPr>
            <w:tcW w:w="466" w:type="dxa"/>
            <w:vMerge w:val="restart"/>
            <w:tcBorders>
              <w:top w:val="nil"/>
              <w:left w:val="single" w:sz="4" w:space="0" w:color="auto"/>
              <w:bottom w:val="single" w:sz="4" w:space="0" w:color="000000"/>
              <w:right w:val="single" w:sz="4" w:space="0" w:color="auto"/>
            </w:tcBorders>
            <w:shd w:val="clear" w:color="auto" w:fill="auto"/>
            <w:vAlign w:val="center"/>
            <w:hideMark/>
          </w:tcPr>
          <w:p w14:paraId="038D147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+ 152D</w:t>
            </w:r>
          </w:p>
        </w:tc>
        <w:tc>
          <w:tcPr>
            <w:tcW w:w="385" w:type="dxa"/>
            <w:vMerge w:val="restart"/>
            <w:tcBorders>
              <w:top w:val="nil"/>
              <w:left w:val="single" w:sz="4" w:space="0" w:color="auto"/>
              <w:bottom w:val="single" w:sz="4" w:space="0" w:color="000000"/>
              <w:right w:val="single" w:sz="4" w:space="0" w:color="auto"/>
            </w:tcBorders>
            <w:shd w:val="clear" w:color="auto" w:fill="auto"/>
            <w:vAlign w:val="center"/>
            <w:hideMark/>
          </w:tcPr>
          <w:p w14:paraId="5655AD4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+ 223D</w:t>
            </w:r>
          </w:p>
        </w:tc>
        <w:tc>
          <w:tcPr>
            <w:tcW w:w="361" w:type="dxa"/>
            <w:vMerge w:val="restart"/>
            <w:tcBorders>
              <w:top w:val="nil"/>
              <w:left w:val="single" w:sz="4" w:space="0" w:color="auto"/>
              <w:bottom w:val="single" w:sz="4" w:space="0" w:color="000000"/>
              <w:right w:val="single" w:sz="4" w:space="0" w:color="auto"/>
            </w:tcBorders>
            <w:shd w:val="clear" w:color="auto" w:fill="auto"/>
            <w:vAlign w:val="center"/>
            <w:hideMark/>
          </w:tcPr>
          <w:p w14:paraId="2FE57D8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+ 264D</w:t>
            </w:r>
          </w:p>
        </w:tc>
        <w:tc>
          <w:tcPr>
            <w:tcW w:w="732" w:type="dxa"/>
            <w:vMerge w:val="restart"/>
            <w:tcBorders>
              <w:top w:val="nil"/>
              <w:left w:val="single" w:sz="4" w:space="0" w:color="auto"/>
              <w:bottom w:val="single" w:sz="4" w:space="0" w:color="000000"/>
              <w:right w:val="single" w:sz="4" w:space="0" w:color="auto"/>
            </w:tcBorders>
            <w:shd w:val="clear" w:color="auto" w:fill="auto"/>
            <w:vAlign w:val="center"/>
            <w:hideMark/>
          </w:tcPr>
          <w:p w14:paraId="16C63704" w14:textId="77777777" w:rsidR="00712644"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si dhe nga AFP</w:t>
            </w:r>
            <w:r w:rsidR="00712644" w:rsidRPr="004F2AC3">
              <w:rPr>
                <w:rFonts w:ascii="Garamond" w:eastAsia="Times New Roman" w:hAnsi="Garamond" w:cs="Times New Roman"/>
                <w:color w:val="000000"/>
                <w:sz w:val="10"/>
                <w:szCs w:val="10"/>
                <w:lang w:eastAsia="sq-AL"/>
              </w:rPr>
              <w:t>-ja</w:t>
            </w:r>
            <w:r w:rsidRPr="004F2AC3">
              <w:rPr>
                <w:rFonts w:ascii="Garamond" w:eastAsia="Times New Roman" w:hAnsi="Garamond" w:cs="Times New Roman"/>
                <w:color w:val="000000"/>
                <w:sz w:val="10"/>
                <w:szCs w:val="10"/>
                <w:lang w:eastAsia="sq-AL"/>
              </w:rPr>
              <w:t xml:space="preserve"> për </w:t>
            </w:r>
            <w:r w:rsidR="00D80B69" w:rsidRPr="004F2AC3">
              <w:rPr>
                <w:rFonts w:ascii="Garamond" w:eastAsia="Times New Roman" w:hAnsi="Garamond" w:cs="Times New Roman"/>
                <w:color w:val="000000"/>
                <w:sz w:val="10"/>
                <w:szCs w:val="10"/>
                <w:lang w:eastAsia="sq-AL"/>
              </w:rPr>
              <w:t>vlerësimin</w:t>
            </w:r>
            <w:r w:rsidRPr="004F2AC3">
              <w:rPr>
                <w:rFonts w:ascii="Garamond" w:eastAsia="Times New Roman" w:hAnsi="Garamond" w:cs="Times New Roman"/>
                <w:color w:val="000000"/>
                <w:sz w:val="10"/>
                <w:szCs w:val="10"/>
                <w:lang w:eastAsia="sq-AL"/>
              </w:rPr>
              <w:t xml:space="preserve"> e migracionit -|- 6 -|- 1</w:t>
            </w:r>
            <w:r w:rsidRPr="004F2AC3">
              <w:rPr>
                <w:rFonts w:ascii="Garamond" w:eastAsia="Times New Roman" w:hAnsi="Garamond" w:cs="Times New Roman"/>
                <w:color w:val="000000"/>
                <w:sz w:val="10"/>
                <w:szCs w:val="10"/>
                <w:lang w:eastAsia="sq-AL"/>
              </w:rPr>
              <w:br/>
              <w:t xml:space="preserve">1. Vonesa në procesin e grumbullimit të të dhënave nga burimet administrative, si dhe nga AFP për </w:t>
            </w:r>
            <w:r w:rsidR="00D80B69" w:rsidRPr="004F2AC3">
              <w:rPr>
                <w:rFonts w:ascii="Garamond" w:eastAsia="Times New Roman" w:hAnsi="Garamond" w:cs="Times New Roman"/>
                <w:color w:val="000000"/>
                <w:sz w:val="10"/>
                <w:szCs w:val="10"/>
                <w:lang w:eastAsia="sq-AL"/>
              </w:rPr>
              <w:t>vlerësimin</w:t>
            </w:r>
            <w:r w:rsidRPr="004F2AC3">
              <w:rPr>
                <w:rFonts w:ascii="Garamond" w:eastAsia="Times New Roman" w:hAnsi="Garamond" w:cs="Times New Roman"/>
                <w:color w:val="000000"/>
                <w:sz w:val="10"/>
                <w:szCs w:val="10"/>
                <w:lang w:eastAsia="sq-AL"/>
              </w:rPr>
              <w:t xml:space="preserve"> e migracionit </w:t>
            </w:r>
          </w:p>
          <w:p w14:paraId="66CE6E71" w14:textId="77777777" w:rsidR="00712644"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 Mospërmbushja e kritereve të cilësisë si: saktësia, përpikmëria dhe krahasueshmëria, për të dhënat administrative/vrojtimet statistikore -|- 6 -|- 1</w:t>
            </w:r>
            <w:r w:rsidRPr="004F2AC3">
              <w:rPr>
                <w:rFonts w:ascii="Garamond" w:eastAsia="Times New Roman" w:hAnsi="Garamond" w:cs="Times New Roman"/>
                <w:color w:val="000000"/>
                <w:sz w:val="10"/>
                <w:szCs w:val="10"/>
                <w:lang w:eastAsia="sq-AL"/>
              </w:rPr>
              <w:br/>
              <w:t xml:space="preserve">1. Vonesa në procesin e grumbullimit të të dhënave nga burimet administrative, si dhe nga AFP për </w:t>
            </w:r>
            <w:r w:rsidR="00D80B69" w:rsidRPr="004F2AC3">
              <w:rPr>
                <w:rFonts w:ascii="Garamond" w:eastAsia="Times New Roman" w:hAnsi="Garamond" w:cs="Times New Roman"/>
                <w:color w:val="000000"/>
                <w:sz w:val="10"/>
                <w:szCs w:val="10"/>
                <w:lang w:eastAsia="sq-AL"/>
              </w:rPr>
              <w:t>vlerësimin</w:t>
            </w:r>
            <w:r w:rsidRPr="004F2AC3">
              <w:rPr>
                <w:rFonts w:ascii="Garamond" w:eastAsia="Times New Roman" w:hAnsi="Garamond" w:cs="Times New Roman"/>
                <w:color w:val="000000"/>
                <w:sz w:val="10"/>
                <w:szCs w:val="10"/>
                <w:lang w:eastAsia="sq-AL"/>
              </w:rPr>
              <w:t xml:space="preserve"> e migracionit </w:t>
            </w:r>
          </w:p>
          <w:p w14:paraId="120D3368" w14:textId="2F564F8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 Mospërmbushja e kritereve të cilësisë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si: saktësia, përpikmëria dhe krahasueshmëria, për të dhënat administrative/vrojtimet statistikore -|- 63. Pezullimi/vonesa e mbledhjes, prodhimit dhe shpërndarjes të statistikave zyrtare si pasojë e </w:t>
            </w:r>
            <w:r w:rsidR="00712644" w:rsidRPr="004F2AC3">
              <w:rPr>
                <w:rFonts w:ascii="Garamond" w:eastAsia="Times New Roman" w:hAnsi="Garamond" w:cs="Times New Roman"/>
                <w:color w:val="000000"/>
                <w:sz w:val="10"/>
                <w:szCs w:val="10"/>
                <w:lang w:eastAsia="sq-AL"/>
              </w:rPr>
              <w:t>fatkeqësive natyrore/pandemi global</w:t>
            </w:r>
            <w:r w:rsidRPr="004F2AC3">
              <w:rPr>
                <w:rFonts w:ascii="Garamond" w:eastAsia="Times New Roman" w:hAnsi="Garamond" w:cs="Times New Roman"/>
                <w:color w:val="000000"/>
                <w:sz w:val="10"/>
                <w:szCs w:val="10"/>
                <w:lang w:eastAsia="sq-AL"/>
              </w:rPr>
              <w:t>e -|- 6 -|- 1</w:t>
            </w:r>
          </w:p>
        </w:tc>
        <w:tc>
          <w:tcPr>
            <w:tcW w:w="551" w:type="dxa"/>
            <w:tcBorders>
              <w:top w:val="nil"/>
              <w:left w:val="nil"/>
              <w:bottom w:val="single" w:sz="4" w:space="0" w:color="auto"/>
              <w:right w:val="single" w:sz="4" w:space="0" w:color="auto"/>
            </w:tcBorders>
            <w:shd w:val="clear" w:color="auto" w:fill="auto"/>
            <w:vAlign w:val="center"/>
            <w:hideMark/>
          </w:tcPr>
          <w:p w14:paraId="1F79D95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4B7133A5" w14:textId="77777777" w:rsidTr="0021321C">
        <w:trPr>
          <w:trHeight w:val="180"/>
          <w:jc w:val="center"/>
        </w:trPr>
        <w:tc>
          <w:tcPr>
            <w:tcW w:w="388" w:type="dxa"/>
            <w:tcBorders>
              <w:top w:val="nil"/>
              <w:left w:val="nil"/>
              <w:bottom w:val="nil"/>
              <w:right w:val="nil"/>
            </w:tcBorders>
            <w:shd w:val="clear" w:color="000000" w:fill="FFFFFF"/>
            <w:vAlign w:val="bottom"/>
            <w:hideMark/>
          </w:tcPr>
          <w:p w14:paraId="45BFD77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BB9C5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0D7AE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D43D9C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F06D16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39B5C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6A3ECB3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0606AE3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49560E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0566110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37A7AF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3710342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03AD66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auto" w:fill="auto"/>
            <w:vAlign w:val="center"/>
            <w:hideMark/>
          </w:tcPr>
          <w:p w14:paraId="2E33CF0A" w14:textId="515F253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 Përqindja e grave të moshës 18</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 të dhunuara fizikisht ndonjëherë në jetë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22. Përqindja e grave të moshës 18</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 të dhunuara seksualisht në 12 muajt e fundit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23. Përqindja e grave të moshës 18</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 të dhunuara seksualisht ndonjëherë në jetë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24. Përqindja e grave të moshës 18</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 të dhunuara psiko</w:t>
            </w:r>
            <w:r w:rsidR="00712644" w:rsidRPr="004F2AC3">
              <w:rPr>
                <w:rFonts w:ascii="Garamond" w:eastAsia="Times New Roman" w:hAnsi="Garamond" w:cs="Times New Roman"/>
                <w:color w:val="000000"/>
                <w:sz w:val="10"/>
                <w:szCs w:val="10"/>
                <w:lang w:eastAsia="sq-AL"/>
              </w:rPr>
              <w:t>logjikisht në 12 muajt e fundit;</w:t>
            </w:r>
            <w:r w:rsidRPr="004F2AC3">
              <w:rPr>
                <w:rFonts w:ascii="Garamond" w:eastAsia="Times New Roman" w:hAnsi="Garamond" w:cs="Times New Roman"/>
                <w:color w:val="000000"/>
                <w:sz w:val="10"/>
                <w:szCs w:val="10"/>
                <w:lang w:eastAsia="sq-AL"/>
              </w:rPr>
              <w:br/>
              <w:t>25. Përqindja e grave të moshës 18</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 të dhunuara psikologjikisht ndonjëherë në jetë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26. Përqindja e grave të moshës 18</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 të dhunuara fizikisht dhe/ose seksualisht në 12 muajt e fundit nga partneri</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27. Përqindja e grave të moshës 18</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 të dhunuara fizikisht dhe/ose seksualisht ndonjëherë në jetë nga partneri</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28. Përqindja e grave të moshës 18</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 të dhunuara ekonomikisht ndonjëherë në jetë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29. Përqindja e grave të moshës 20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24 vjeç që janë martuar ose hynë në një marrëdhënie para moshës 18 vjeç</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 30. Mosha mesatare e daljes në pension për pensionet e reja të pleqërisë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31 Ankesa sipas të drejtës së shkelur dhe gjinisë</w:t>
            </w:r>
            <w:r w:rsidR="00712644"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149A7E5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05EC881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5E2CFF8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7F544BA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5FE6ABB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2F5777D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tcBorders>
              <w:top w:val="nil"/>
              <w:left w:val="nil"/>
              <w:bottom w:val="single" w:sz="4" w:space="0" w:color="auto"/>
              <w:right w:val="single" w:sz="4" w:space="0" w:color="auto"/>
            </w:tcBorders>
            <w:shd w:val="clear" w:color="auto" w:fill="auto"/>
            <w:vAlign w:val="center"/>
            <w:hideMark/>
          </w:tcPr>
          <w:p w14:paraId="499DF29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392C7765" w14:textId="77777777" w:rsidTr="0021321C">
        <w:trPr>
          <w:trHeight w:val="180"/>
          <w:jc w:val="center"/>
        </w:trPr>
        <w:tc>
          <w:tcPr>
            <w:tcW w:w="388" w:type="dxa"/>
            <w:tcBorders>
              <w:top w:val="nil"/>
              <w:left w:val="nil"/>
              <w:bottom w:val="nil"/>
              <w:right w:val="nil"/>
            </w:tcBorders>
            <w:shd w:val="clear" w:color="000000" w:fill="FFFFFF"/>
            <w:vAlign w:val="bottom"/>
            <w:hideMark/>
          </w:tcPr>
          <w:p w14:paraId="50D72D2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9EB7C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A19931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22DC33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0A5C16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1F8A83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000000"/>
              <w:right w:val="single" w:sz="4" w:space="0" w:color="auto"/>
            </w:tcBorders>
            <w:shd w:val="clear" w:color="auto" w:fill="auto"/>
            <w:vAlign w:val="center"/>
            <w:hideMark/>
          </w:tcPr>
          <w:p w14:paraId="6B5B0B9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1.1.3.2</w:t>
            </w:r>
          </w:p>
        </w:tc>
        <w:tc>
          <w:tcPr>
            <w:tcW w:w="563" w:type="dxa"/>
            <w:vMerge w:val="restart"/>
            <w:tcBorders>
              <w:top w:val="nil"/>
              <w:left w:val="single" w:sz="4" w:space="0" w:color="auto"/>
              <w:bottom w:val="single" w:sz="4" w:space="0" w:color="000000"/>
              <w:right w:val="single" w:sz="4" w:space="0" w:color="auto"/>
            </w:tcBorders>
            <w:shd w:val="clear" w:color="auto" w:fill="auto"/>
            <w:vAlign w:val="center"/>
            <w:hideMark/>
          </w:tcPr>
          <w:p w14:paraId="1ED9A184"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Indeksi i barazisë gjinore</w:t>
            </w:r>
          </w:p>
        </w:tc>
        <w:tc>
          <w:tcPr>
            <w:tcW w:w="446" w:type="dxa"/>
            <w:vMerge w:val="restart"/>
            <w:tcBorders>
              <w:top w:val="nil"/>
              <w:left w:val="single" w:sz="4" w:space="0" w:color="auto"/>
              <w:bottom w:val="single" w:sz="4" w:space="0" w:color="000000"/>
              <w:right w:val="single" w:sz="4" w:space="0" w:color="auto"/>
            </w:tcBorders>
            <w:shd w:val="clear" w:color="auto" w:fill="auto"/>
            <w:vAlign w:val="center"/>
            <w:hideMark/>
          </w:tcPr>
          <w:p w14:paraId="1E15F4D6"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Kombinim i burimeve administrative dhe vrojtimeve</w:t>
            </w:r>
          </w:p>
        </w:tc>
        <w:tc>
          <w:tcPr>
            <w:tcW w:w="4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5E6BD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40%</w:t>
            </w:r>
          </w:p>
        </w:tc>
        <w:tc>
          <w:tcPr>
            <w:tcW w:w="3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5BF67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60%</w:t>
            </w:r>
          </w:p>
        </w:tc>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630BFC0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auto" w:fill="auto"/>
            <w:vAlign w:val="center"/>
            <w:hideMark/>
          </w:tcPr>
          <w:p w14:paraId="5DD000C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nil"/>
              <w:right w:val="single" w:sz="4" w:space="0" w:color="auto"/>
            </w:tcBorders>
            <w:shd w:val="clear" w:color="000000" w:fill="FFFFFF"/>
            <w:vAlign w:val="center"/>
            <w:hideMark/>
          </w:tcPr>
          <w:p w14:paraId="0FBB3DB9" w14:textId="5E947453" w:rsidR="0021321C" w:rsidRPr="004F2AC3" w:rsidRDefault="0021321C" w:rsidP="00D80B69">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Norma ekuivalente e punësimit në kohë të plotë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Kohëzgjatja e jetës në punë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Të punësuar në arsim, humanitare, shëndetësi dhe punë sociale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Aftësia për të marrë kohë për çështje personale dhe familjare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Indeksi i Prosperitetit të Karrierës</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Të ardhurat mesatare mujore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Të ardhura neto mesatare të ekuivalentuara</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Jo në risk varfërie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Ndarja e kuintileve S20/80 të të ardhurave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Popullsia me arsim të lartë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Arsimi dhe trajnimi formal dhe jo formal</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12. Studentët në arsim të lartë në fushat e arsimit, shëndet dhe </w:t>
            </w:r>
            <w:r w:rsidR="006400E2" w:rsidRPr="004F2AC3">
              <w:rPr>
                <w:rFonts w:ascii="Garamond" w:eastAsia="Times New Roman" w:hAnsi="Garamond" w:cs="Times New Roman"/>
                <w:color w:val="000000"/>
                <w:sz w:val="10"/>
                <w:szCs w:val="10"/>
                <w:lang w:eastAsia="sq-AL"/>
              </w:rPr>
              <w:t>mirëqenie</w:t>
            </w:r>
            <w:r w:rsidRPr="004F2AC3">
              <w:rPr>
                <w:rFonts w:ascii="Garamond" w:eastAsia="Times New Roman" w:hAnsi="Garamond" w:cs="Times New Roman"/>
                <w:color w:val="000000"/>
                <w:sz w:val="10"/>
                <w:szCs w:val="10"/>
                <w:lang w:eastAsia="sq-AL"/>
              </w:rPr>
              <w:t>, arte dhe humanitare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13. Kujdesi për fëmijët dhe gjyshërit ose personat e moshuar ose me aftësi të </w:t>
            </w:r>
            <w:r w:rsidR="006400E2" w:rsidRPr="004F2AC3">
              <w:rPr>
                <w:rFonts w:ascii="Garamond" w:eastAsia="Times New Roman" w:hAnsi="Garamond" w:cs="Times New Roman"/>
                <w:color w:val="000000"/>
                <w:sz w:val="10"/>
                <w:szCs w:val="10"/>
                <w:lang w:eastAsia="sq-AL"/>
              </w:rPr>
              <w:t>kufizuara</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Personat që bëjnë garim dhe/ose punë shtëpie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Aktivitetet sportive, kulturore dhe të kohës së lirë</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Aktivitet vullnetare dhe ato bamirëse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17. Përpjesa ministrore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18. Përpjesa e anëtarëve të bordeve për kompanitë e kuotuara</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19. Përpjesa e anëtarëve të bankës </w:t>
            </w:r>
            <w:r w:rsidR="006400E2" w:rsidRPr="004F2AC3">
              <w:rPr>
                <w:rFonts w:ascii="Garamond" w:eastAsia="Times New Roman" w:hAnsi="Garamond" w:cs="Times New Roman"/>
                <w:color w:val="000000"/>
                <w:sz w:val="10"/>
                <w:szCs w:val="10"/>
                <w:lang w:eastAsia="sq-AL"/>
              </w:rPr>
              <w:t>qendrore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Përpjesa e anëtarëve të organizatave të kompanive të kërkimit</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21. Përpjesa e anëtarëve të bord</w:t>
            </w:r>
            <w:r w:rsidR="00712644" w:rsidRPr="004F2AC3">
              <w:rPr>
                <w:rFonts w:ascii="Garamond" w:eastAsia="Times New Roman" w:hAnsi="Garamond" w:cs="Times New Roman"/>
                <w:color w:val="000000"/>
                <w:sz w:val="10"/>
                <w:szCs w:val="10"/>
                <w:lang w:eastAsia="sq-AL"/>
              </w:rPr>
              <w:t>it të organizatave transmetuese;</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1D3B8ABF" w14:textId="0B54EB3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Kryeministria</w:t>
            </w:r>
            <w:r w:rsidR="009A0388" w:rsidRPr="004F2AC3">
              <w:rPr>
                <w:rFonts w:ascii="Garamond" w:eastAsia="Times New Roman" w:hAnsi="Garamond" w:cs="Times New Roman"/>
                <w:color w:val="000000"/>
                <w:sz w:val="10"/>
                <w:szCs w:val="10"/>
                <w:lang w:eastAsia="sq-AL"/>
              </w:rPr>
              <w:t xml:space="preserve">; </w:t>
            </w:r>
            <w:r w:rsidR="009A0388" w:rsidRPr="004F2AC3">
              <w:rPr>
                <w:rFonts w:ascii="Garamond" w:eastAsia="Times New Roman" w:hAnsi="Garamond" w:cs="Times New Roman"/>
                <w:color w:val="000000"/>
                <w:sz w:val="10"/>
                <w:szCs w:val="10"/>
                <w:lang w:eastAsia="sq-AL"/>
              </w:rPr>
              <w:br/>
              <w:t>Banka e Shqipërisë;</w:t>
            </w:r>
            <w:r w:rsidRPr="004F2AC3">
              <w:rPr>
                <w:rFonts w:ascii="Garamond" w:eastAsia="Times New Roman" w:hAnsi="Garamond" w:cs="Times New Roman"/>
                <w:color w:val="000000"/>
                <w:sz w:val="10"/>
                <w:szCs w:val="10"/>
                <w:lang w:eastAsia="sq-AL"/>
              </w:rPr>
              <w:br/>
              <w:t>Komisioni Qendror i Zgjedhjeve</w:t>
            </w:r>
            <w:r w:rsidR="009A0388" w:rsidRPr="004F2AC3">
              <w:rPr>
                <w:rFonts w:ascii="Garamond" w:eastAsia="Times New Roman" w:hAnsi="Garamond" w:cs="Times New Roman"/>
                <w:color w:val="000000"/>
                <w:sz w:val="10"/>
                <w:szCs w:val="10"/>
                <w:lang w:eastAsia="sq-AL"/>
              </w:rPr>
              <w:t>.</w:t>
            </w:r>
          </w:p>
        </w:tc>
        <w:tc>
          <w:tcPr>
            <w:tcW w:w="413" w:type="dxa"/>
            <w:vMerge w:val="restart"/>
            <w:tcBorders>
              <w:top w:val="nil"/>
              <w:left w:val="single" w:sz="4" w:space="0" w:color="auto"/>
              <w:bottom w:val="single" w:sz="4" w:space="0" w:color="000000"/>
              <w:right w:val="single" w:sz="4" w:space="0" w:color="auto"/>
            </w:tcBorders>
            <w:shd w:val="clear" w:color="auto" w:fill="auto"/>
            <w:vAlign w:val="center"/>
            <w:hideMark/>
          </w:tcPr>
          <w:p w14:paraId="10467F22" w14:textId="4F2B080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6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87E23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V+90D</w:t>
            </w:r>
          </w:p>
        </w:tc>
        <w:tc>
          <w:tcPr>
            <w:tcW w:w="3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6FF226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V+150</w:t>
            </w:r>
          </w:p>
        </w:tc>
        <w:tc>
          <w:tcPr>
            <w:tcW w:w="3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4D817D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vMerge w:val="restart"/>
            <w:tcBorders>
              <w:top w:val="nil"/>
              <w:left w:val="single" w:sz="4" w:space="0" w:color="auto"/>
              <w:bottom w:val="single" w:sz="4" w:space="0" w:color="000000"/>
              <w:right w:val="single" w:sz="4" w:space="0" w:color="auto"/>
            </w:tcBorders>
            <w:shd w:val="clear" w:color="auto" w:fill="auto"/>
            <w:vAlign w:val="center"/>
            <w:hideMark/>
          </w:tcPr>
          <w:p w14:paraId="1117A3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marrjen e të dhënave nga burimet administrative -|- 4</w:t>
            </w:r>
          </w:p>
        </w:tc>
        <w:tc>
          <w:tcPr>
            <w:tcW w:w="551" w:type="dxa"/>
            <w:vMerge w:val="restart"/>
            <w:tcBorders>
              <w:top w:val="nil"/>
              <w:left w:val="single" w:sz="4" w:space="0" w:color="auto"/>
              <w:bottom w:val="single" w:sz="4" w:space="0" w:color="000000"/>
              <w:right w:val="single" w:sz="4" w:space="0" w:color="auto"/>
            </w:tcBorders>
            <w:shd w:val="clear" w:color="auto" w:fill="auto"/>
            <w:vAlign w:val="center"/>
            <w:hideMark/>
          </w:tcPr>
          <w:p w14:paraId="52E513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47952A78" w14:textId="77777777" w:rsidTr="0021321C">
        <w:trPr>
          <w:trHeight w:val="180"/>
          <w:jc w:val="center"/>
        </w:trPr>
        <w:tc>
          <w:tcPr>
            <w:tcW w:w="388" w:type="dxa"/>
            <w:tcBorders>
              <w:top w:val="nil"/>
              <w:left w:val="nil"/>
              <w:bottom w:val="nil"/>
              <w:right w:val="nil"/>
            </w:tcBorders>
            <w:shd w:val="clear" w:color="000000" w:fill="FFFFFF"/>
            <w:vAlign w:val="bottom"/>
            <w:hideMark/>
          </w:tcPr>
          <w:p w14:paraId="79ED2FB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B4D3B8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CF18A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94EBBE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C8BB24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6436FC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742466F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338F99C7"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270B4508"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7664004C"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756C4CE1"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56CE5BE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45A7C89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single" w:sz="4" w:space="0" w:color="auto"/>
              <w:right w:val="single" w:sz="4" w:space="0" w:color="auto"/>
            </w:tcBorders>
            <w:shd w:val="clear" w:color="000000" w:fill="FFFFFF"/>
            <w:hideMark/>
          </w:tcPr>
          <w:p w14:paraId="50C71A60" w14:textId="2EC8AED4" w:rsidR="0021321C" w:rsidRPr="004F2AC3" w:rsidRDefault="0021321C" w:rsidP="004F2AC3">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 Përpjesa e anëtarëve e kompanive të trupit më të lartë vendimmarrës të organizatave sportive Olimpike</w:t>
            </w:r>
            <w:r w:rsidR="00712644" w:rsidRPr="004F2AC3">
              <w:rPr>
                <w:rFonts w:ascii="Garamond" w:eastAsia="Times New Roman" w:hAnsi="Garamond" w:cs="Times New Roman"/>
                <w:color w:val="000000"/>
                <w:sz w:val="10"/>
                <w:szCs w:val="10"/>
                <w:lang w:eastAsia="sq-AL"/>
              </w:rPr>
              <w:t>;</w:t>
            </w:r>
            <w:r w:rsidR="00712644" w:rsidRPr="004F2AC3">
              <w:rPr>
                <w:rFonts w:ascii="Garamond" w:eastAsia="Times New Roman" w:hAnsi="Garamond" w:cs="Times New Roman"/>
                <w:color w:val="000000"/>
                <w:sz w:val="10"/>
                <w:szCs w:val="10"/>
                <w:lang w:eastAsia="sq-AL"/>
              </w:rPr>
              <w:br/>
              <w:t xml:space="preserve">23. Shëndeti i </w:t>
            </w:r>
            <w:r w:rsidR="003338A8" w:rsidRPr="004F2AC3">
              <w:rPr>
                <w:rFonts w:ascii="Garamond" w:eastAsia="Times New Roman" w:hAnsi="Garamond" w:cs="Times New Roman"/>
                <w:color w:val="000000"/>
                <w:sz w:val="10"/>
                <w:szCs w:val="10"/>
                <w:lang w:eastAsia="sq-AL"/>
              </w:rPr>
              <w:t>vet</w:t>
            </w:r>
            <w:r w:rsidR="004F2AC3">
              <w:rPr>
                <w:rFonts w:ascii="Garamond" w:eastAsia="Times New Roman" w:hAnsi="Garamond" w:cs="Times New Roman"/>
                <w:color w:val="000000"/>
                <w:sz w:val="10"/>
                <w:szCs w:val="10"/>
                <w:lang w:eastAsia="sq-AL"/>
              </w:rPr>
              <w:t>ë</w:t>
            </w:r>
            <w:r w:rsidR="003338A8" w:rsidRPr="004F2AC3">
              <w:rPr>
                <w:rFonts w:ascii="Garamond" w:eastAsia="Times New Roman" w:hAnsi="Garamond" w:cs="Times New Roman"/>
                <w:color w:val="000000"/>
                <w:sz w:val="10"/>
                <w:szCs w:val="10"/>
                <w:lang w:eastAsia="sq-AL"/>
              </w:rPr>
              <w:t>perceptuar</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24. Jetëgjatësia e shëndetshme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25. Duhanpirja e dëmshme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26. Aktiviteti fizik dhe/ose konsumi i frutave dhe perimeve</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27. Nevojat e paplotësuara për ekzaminim mjekësor</w:t>
            </w:r>
            <w:r w:rsidR="0071264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28. Nevojat e paplotësuara për ekzaminim dentar</w:t>
            </w:r>
            <w:r w:rsidR="00712644"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014BC6B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53124AC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7FCB32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315FE98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478E957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4408E3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2411527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1C9CF66C" w14:textId="77777777" w:rsidTr="0021321C">
        <w:trPr>
          <w:trHeight w:val="180"/>
          <w:jc w:val="center"/>
        </w:trPr>
        <w:tc>
          <w:tcPr>
            <w:tcW w:w="388" w:type="dxa"/>
            <w:tcBorders>
              <w:top w:val="nil"/>
              <w:left w:val="nil"/>
              <w:bottom w:val="nil"/>
              <w:right w:val="nil"/>
            </w:tcBorders>
            <w:shd w:val="clear" w:color="000000" w:fill="FFFFFF"/>
            <w:vAlign w:val="bottom"/>
            <w:hideMark/>
          </w:tcPr>
          <w:p w14:paraId="408B20E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478FE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0D0044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73FE25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8DA19D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21D18F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3154158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1.1.3.3</w:t>
            </w:r>
          </w:p>
        </w:tc>
        <w:tc>
          <w:tcPr>
            <w:tcW w:w="563" w:type="dxa"/>
            <w:tcBorders>
              <w:top w:val="nil"/>
              <w:left w:val="nil"/>
              <w:bottom w:val="nil"/>
              <w:right w:val="single" w:sz="4" w:space="0" w:color="auto"/>
            </w:tcBorders>
            <w:shd w:val="clear" w:color="auto" w:fill="auto"/>
            <w:vAlign w:val="center"/>
            <w:hideMark/>
          </w:tcPr>
          <w:p w14:paraId="01CB76D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nga Anketa e Dhunës në Familje</w:t>
            </w:r>
          </w:p>
        </w:tc>
        <w:tc>
          <w:tcPr>
            <w:tcW w:w="446" w:type="dxa"/>
            <w:tcBorders>
              <w:top w:val="nil"/>
              <w:left w:val="nil"/>
              <w:bottom w:val="nil"/>
              <w:right w:val="single" w:sz="4" w:space="0" w:color="auto"/>
            </w:tcBorders>
            <w:shd w:val="clear" w:color="auto" w:fill="auto"/>
            <w:vAlign w:val="center"/>
            <w:hideMark/>
          </w:tcPr>
          <w:p w14:paraId="759A5AC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nil"/>
              <w:right w:val="single" w:sz="4" w:space="0" w:color="auto"/>
            </w:tcBorders>
            <w:shd w:val="clear" w:color="auto" w:fill="auto"/>
            <w:vAlign w:val="center"/>
            <w:hideMark/>
          </w:tcPr>
          <w:p w14:paraId="3D98CA1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nil"/>
              <w:right w:val="single" w:sz="4" w:space="0" w:color="auto"/>
            </w:tcBorders>
            <w:shd w:val="clear" w:color="auto" w:fill="auto"/>
            <w:vAlign w:val="center"/>
            <w:hideMark/>
          </w:tcPr>
          <w:p w14:paraId="298D269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426" w:type="dxa"/>
            <w:tcBorders>
              <w:top w:val="nil"/>
              <w:left w:val="nil"/>
              <w:bottom w:val="nil"/>
              <w:right w:val="single" w:sz="4" w:space="0" w:color="auto"/>
            </w:tcBorders>
            <w:shd w:val="clear" w:color="auto" w:fill="auto"/>
            <w:vAlign w:val="center"/>
            <w:hideMark/>
          </w:tcPr>
          <w:p w14:paraId="270DAFEB" w14:textId="1803D6C6"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53228E0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6FAFA39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nil"/>
              <w:right w:val="single" w:sz="4" w:space="0" w:color="auto"/>
            </w:tcBorders>
            <w:shd w:val="clear" w:color="auto" w:fill="auto"/>
            <w:vAlign w:val="center"/>
            <w:hideMark/>
          </w:tcPr>
          <w:p w14:paraId="4022E9A3" w14:textId="6DB3955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13" w:type="dxa"/>
            <w:tcBorders>
              <w:top w:val="nil"/>
              <w:left w:val="nil"/>
              <w:bottom w:val="nil"/>
              <w:right w:val="single" w:sz="4" w:space="0" w:color="auto"/>
            </w:tcBorders>
            <w:shd w:val="clear" w:color="auto" w:fill="auto"/>
            <w:vAlign w:val="center"/>
            <w:hideMark/>
          </w:tcPr>
          <w:p w14:paraId="1669E4B7" w14:textId="0A94C74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7777F36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5V + 365D</w:t>
            </w:r>
          </w:p>
        </w:tc>
        <w:tc>
          <w:tcPr>
            <w:tcW w:w="385" w:type="dxa"/>
            <w:tcBorders>
              <w:top w:val="nil"/>
              <w:left w:val="nil"/>
              <w:bottom w:val="nil"/>
              <w:right w:val="single" w:sz="4" w:space="0" w:color="auto"/>
            </w:tcBorders>
            <w:shd w:val="clear" w:color="auto" w:fill="auto"/>
            <w:vAlign w:val="center"/>
            <w:hideMark/>
          </w:tcPr>
          <w:p w14:paraId="4FC2B09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5V + 306D</w:t>
            </w:r>
          </w:p>
        </w:tc>
        <w:tc>
          <w:tcPr>
            <w:tcW w:w="361" w:type="dxa"/>
            <w:tcBorders>
              <w:top w:val="nil"/>
              <w:left w:val="nil"/>
              <w:bottom w:val="nil"/>
              <w:right w:val="single" w:sz="4" w:space="0" w:color="auto"/>
            </w:tcBorders>
            <w:shd w:val="clear" w:color="auto" w:fill="auto"/>
            <w:noWrap/>
            <w:vAlign w:val="center"/>
            <w:hideMark/>
          </w:tcPr>
          <w:p w14:paraId="7AFD141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nil"/>
              <w:right w:val="single" w:sz="4" w:space="0" w:color="auto"/>
            </w:tcBorders>
            <w:shd w:val="clear" w:color="auto" w:fill="auto"/>
            <w:vAlign w:val="center"/>
            <w:hideMark/>
          </w:tcPr>
          <w:p w14:paraId="59F815D6" w14:textId="44FF2BA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Pezullimi/vonesa e mbledhjes, prodhimit dhe shpërndarjes të statistikave zyrtare si pasojë e Fatkeqësive natyrore/ Pandemi Globale -|- 6 -|- 1</w:t>
            </w:r>
          </w:p>
        </w:tc>
        <w:tc>
          <w:tcPr>
            <w:tcW w:w="551" w:type="dxa"/>
            <w:tcBorders>
              <w:top w:val="nil"/>
              <w:left w:val="nil"/>
              <w:bottom w:val="nil"/>
              <w:right w:val="single" w:sz="4" w:space="0" w:color="auto"/>
            </w:tcBorders>
            <w:shd w:val="clear" w:color="auto" w:fill="auto"/>
            <w:vAlign w:val="center"/>
            <w:hideMark/>
          </w:tcPr>
          <w:p w14:paraId="1D6A932D" w14:textId="228E8E5E" w:rsidR="0021321C" w:rsidRPr="004F2AC3" w:rsidRDefault="0021321C" w:rsidP="009A0388">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Kombinuar (</w:t>
            </w:r>
            <w:r w:rsidR="009A0388" w:rsidRPr="004F2AC3">
              <w:rPr>
                <w:rFonts w:ascii="Garamond" w:eastAsia="Times New Roman" w:hAnsi="Garamond" w:cs="Times New Roman"/>
                <w:color w:val="000000"/>
                <w:sz w:val="10"/>
                <w:szCs w:val="10"/>
                <w:lang w:eastAsia="sq-AL"/>
              </w:rPr>
              <w:t>b</w:t>
            </w:r>
            <w:r w:rsidRPr="004F2AC3">
              <w:rPr>
                <w:rFonts w:ascii="Garamond" w:eastAsia="Times New Roman" w:hAnsi="Garamond" w:cs="Times New Roman"/>
                <w:color w:val="000000"/>
                <w:sz w:val="10"/>
                <w:szCs w:val="10"/>
                <w:lang w:eastAsia="sq-AL"/>
              </w:rPr>
              <w:t xml:space="preserve">uxhet </w:t>
            </w:r>
            <w:r w:rsidR="006400E2" w:rsidRPr="004F2AC3">
              <w:rPr>
                <w:rFonts w:ascii="Garamond" w:eastAsia="Times New Roman" w:hAnsi="Garamond" w:cs="Times New Roman"/>
                <w:color w:val="000000"/>
                <w:sz w:val="10"/>
                <w:szCs w:val="10"/>
                <w:lang w:eastAsia="sq-AL"/>
              </w:rPr>
              <w:t>shteti+donatorët)</w:t>
            </w:r>
          </w:p>
        </w:tc>
      </w:tr>
      <w:tr w:rsidR="0021321C" w:rsidRPr="004F2AC3" w14:paraId="31FEE064" w14:textId="77777777" w:rsidTr="0021321C">
        <w:trPr>
          <w:trHeight w:val="180"/>
          <w:jc w:val="center"/>
        </w:trPr>
        <w:tc>
          <w:tcPr>
            <w:tcW w:w="388" w:type="dxa"/>
            <w:tcBorders>
              <w:top w:val="nil"/>
              <w:left w:val="nil"/>
              <w:bottom w:val="nil"/>
              <w:right w:val="nil"/>
            </w:tcBorders>
            <w:shd w:val="clear" w:color="000000" w:fill="FFFFFF"/>
            <w:vAlign w:val="bottom"/>
            <w:hideMark/>
          </w:tcPr>
          <w:p w14:paraId="4CA6553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420F4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1F4B0FD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1.2</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1DAA86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Puna dhe Kostot e Punës</w:t>
            </w:r>
          </w:p>
        </w:tc>
      </w:tr>
      <w:tr w:rsidR="0021321C" w:rsidRPr="004F2AC3" w14:paraId="6DF5D896" w14:textId="77777777" w:rsidTr="0021321C">
        <w:trPr>
          <w:trHeight w:val="180"/>
          <w:jc w:val="center"/>
        </w:trPr>
        <w:tc>
          <w:tcPr>
            <w:tcW w:w="388" w:type="dxa"/>
            <w:tcBorders>
              <w:top w:val="nil"/>
              <w:left w:val="nil"/>
              <w:bottom w:val="nil"/>
              <w:right w:val="nil"/>
            </w:tcBorders>
            <w:shd w:val="clear" w:color="000000" w:fill="FFFFFF"/>
            <w:vAlign w:val="bottom"/>
            <w:hideMark/>
          </w:tcPr>
          <w:p w14:paraId="19F321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F66E45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952BB4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5E6FB7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094AD7C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1.2.1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745DB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Punësimi dhe Papunësia</w:t>
            </w:r>
          </w:p>
        </w:tc>
      </w:tr>
      <w:tr w:rsidR="00C73163" w:rsidRPr="004F2AC3" w14:paraId="7082C801" w14:textId="77777777" w:rsidTr="0021321C">
        <w:trPr>
          <w:trHeight w:val="180"/>
          <w:jc w:val="center"/>
        </w:trPr>
        <w:tc>
          <w:tcPr>
            <w:tcW w:w="388" w:type="dxa"/>
            <w:tcBorders>
              <w:top w:val="nil"/>
              <w:left w:val="nil"/>
              <w:bottom w:val="nil"/>
              <w:right w:val="nil"/>
            </w:tcBorders>
            <w:shd w:val="clear" w:color="000000" w:fill="FFFFFF"/>
            <w:vAlign w:val="bottom"/>
            <w:hideMark/>
          </w:tcPr>
          <w:p w14:paraId="0B82D5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54FDA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377BAB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34284B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9E9A3C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33D514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5263E2E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1.2.1.1</w:t>
            </w:r>
          </w:p>
        </w:tc>
        <w:tc>
          <w:tcPr>
            <w:tcW w:w="563" w:type="dxa"/>
            <w:tcBorders>
              <w:top w:val="nil"/>
              <w:left w:val="nil"/>
              <w:bottom w:val="single" w:sz="4" w:space="0" w:color="auto"/>
              <w:right w:val="single" w:sz="4" w:space="0" w:color="auto"/>
            </w:tcBorders>
            <w:shd w:val="clear" w:color="auto" w:fill="auto"/>
            <w:vAlign w:val="center"/>
            <w:hideMark/>
          </w:tcPr>
          <w:p w14:paraId="5D0507D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Forcave të Punës</w:t>
            </w:r>
          </w:p>
        </w:tc>
        <w:tc>
          <w:tcPr>
            <w:tcW w:w="446" w:type="dxa"/>
            <w:tcBorders>
              <w:top w:val="nil"/>
              <w:left w:val="nil"/>
              <w:bottom w:val="single" w:sz="4" w:space="0" w:color="auto"/>
              <w:right w:val="single" w:sz="4" w:space="0" w:color="auto"/>
            </w:tcBorders>
            <w:shd w:val="clear" w:color="auto" w:fill="auto"/>
            <w:vAlign w:val="center"/>
            <w:hideMark/>
          </w:tcPr>
          <w:p w14:paraId="250AC5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29411BE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vAlign w:val="center"/>
            <w:hideMark/>
          </w:tcPr>
          <w:p w14:paraId="41D763F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7F22399D" w14:textId="1F455D51"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5F09422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single" w:sz="4" w:space="0" w:color="auto"/>
              <w:right w:val="single" w:sz="4" w:space="0" w:color="auto"/>
            </w:tcBorders>
            <w:shd w:val="clear" w:color="000000" w:fill="FFFFFF"/>
            <w:vAlign w:val="center"/>
            <w:hideMark/>
          </w:tcPr>
          <w:p w14:paraId="013BD7C5" w14:textId="5CE6F6E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Shkalla e përfshirjes në forcat e punës</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Shkalla e papunësisë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r>
            <w:r w:rsidR="009A0388" w:rsidRPr="004F2AC3">
              <w:rPr>
                <w:rFonts w:ascii="Garamond" w:eastAsia="Times New Roman" w:hAnsi="Garamond" w:cs="Times New Roman"/>
                <w:color w:val="000000"/>
                <w:sz w:val="10"/>
                <w:szCs w:val="10"/>
                <w:lang w:eastAsia="sq-AL"/>
              </w:rPr>
              <w:t>3. Shkalla e punësimit.</w:t>
            </w:r>
          </w:p>
        </w:tc>
        <w:tc>
          <w:tcPr>
            <w:tcW w:w="554" w:type="dxa"/>
            <w:tcBorders>
              <w:top w:val="nil"/>
              <w:left w:val="nil"/>
              <w:bottom w:val="single" w:sz="4" w:space="0" w:color="auto"/>
              <w:right w:val="single" w:sz="4" w:space="0" w:color="auto"/>
            </w:tcBorders>
            <w:shd w:val="clear" w:color="auto" w:fill="auto"/>
            <w:vAlign w:val="center"/>
            <w:hideMark/>
          </w:tcPr>
          <w:p w14:paraId="6FD14EDF" w14:textId="4D3A897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4BCBA498" w14:textId="1E4BAC8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5E7629A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+ 6D</w:t>
            </w:r>
          </w:p>
        </w:tc>
        <w:tc>
          <w:tcPr>
            <w:tcW w:w="385" w:type="dxa"/>
            <w:tcBorders>
              <w:top w:val="nil"/>
              <w:left w:val="nil"/>
              <w:bottom w:val="single" w:sz="4" w:space="0" w:color="auto"/>
              <w:right w:val="single" w:sz="4" w:space="0" w:color="auto"/>
            </w:tcBorders>
            <w:shd w:val="clear" w:color="auto" w:fill="auto"/>
            <w:vAlign w:val="center"/>
            <w:hideMark/>
          </w:tcPr>
          <w:p w14:paraId="762965C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+ 32D</w:t>
            </w:r>
          </w:p>
        </w:tc>
        <w:tc>
          <w:tcPr>
            <w:tcW w:w="361" w:type="dxa"/>
            <w:tcBorders>
              <w:top w:val="nil"/>
              <w:left w:val="nil"/>
              <w:bottom w:val="single" w:sz="4" w:space="0" w:color="auto"/>
              <w:right w:val="single" w:sz="4" w:space="0" w:color="auto"/>
            </w:tcBorders>
            <w:shd w:val="clear" w:color="auto" w:fill="auto"/>
            <w:vAlign w:val="center"/>
            <w:hideMark/>
          </w:tcPr>
          <w:p w14:paraId="2D32694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+ 72D</w:t>
            </w:r>
          </w:p>
        </w:tc>
        <w:tc>
          <w:tcPr>
            <w:tcW w:w="732" w:type="dxa"/>
            <w:tcBorders>
              <w:top w:val="nil"/>
              <w:left w:val="nil"/>
              <w:bottom w:val="single" w:sz="4" w:space="0" w:color="auto"/>
              <w:right w:val="single" w:sz="4" w:space="0" w:color="auto"/>
            </w:tcBorders>
            <w:shd w:val="clear" w:color="auto" w:fill="auto"/>
            <w:vAlign w:val="center"/>
            <w:hideMark/>
          </w:tcPr>
          <w:p w14:paraId="01FD5E2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Vonesë në marrjen e të dhënave nga terreni -|- 2</w:t>
            </w:r>
          </w:p>
        </w:tc>
        <w:tc>
          <w:tcPr>
            <w:tcW w:w="551" w:type="dxa"/>
            <w:tcBorders>
              <w:top w:val="nil"/>
              <w:left w:val="nil"/>
              <w:bottom w:val="single" w:sz="4" w:space="0" w:color="auto"/>
              <w:right w:val="single" w:sz="4" w:space="0" w:color="auto"/>
            </w:tcBorders>
            <w:shd w:val="clear" w:color="auto" w:fill="auto"/>
            <w:vAlign w:val="center"/>
            <w:hideMark/>
          </w:tcPr>
          <w:p w14:paraId="7011A8B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5E839350" w14:textId="77777777" w:rsidTr="0021321C">
        <w:trPr>
          <w:trHeight w:val="180"/>
          <w:jc w:val="center"/>
        </w:trPr>
        <w:tc>
          <w:tcPr>
            <w:tcW w:w="388" w:type="dxa"/>
            <w:tcBorders>
              <w:top w:val="nil"/>
              <w:left w:val="nil"/>
              <w:bottom w:val="nil"/>
              <w:right w:val="nil"/>
            </w:tcBorders>
            <w:shd w:val="clear" w:color="000000" w:fill="FFFFFF"/>
            <w:vAlign w:val="bottom"/>
            <w:hideMark/>
          </w:tcPr>
          <w:p w14:paraId="643FB6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B46CC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60F78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A9A150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425B57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5AF5C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238B555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1.2.1.2</w:t>
            </w:r>
          </w:p>
        </w:tc>
        <w:tc>
          <w:tcPr>
            <w:tcW w:w="563" w:type="dxa"/>
            <w:tcBorders>
              <w:top w:val="nil"/>
              <w:left w:val="nil"/>
              <w:bottom w:val="nil"/>
              <w:right w:val="single" w:sz="4" w:space="0" w:color="auto"/>
            </w:tcBorders>
            <w:shd w:val="clear" w:color="auto" w:fill="auto"/>
            <w:vAlign w:val="center"/>
            <w:hideMark/>
          </w:tcPr>
          <w:p w14:paraId="3354F0F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Tregut të Punës</w:t>
            </w:r>
          </w:p>
        </w:tc>
        <w:tc>
          <w:tcPr>
            <w:tcW w:w="446" w:type="dxa"/>
            <w:tcBorders>
              <w:top w:val="nil"/>
              <w:left w:val="nil"/>
              <w:bottom w:val="nil"/>
              <w:right w:val="single" w:sz="4" w:space="0" w:color="auto"/>
            </w:tcBorders>
            <w:shd w:val="clear" w:color="auto" w:fill="auto"/>
            <w:vAlign w:val="center"/>
            <w:hideMark/>
          </w:tcPr>
          <w:p w14:paraId="5CAE480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nil"/>
              <w:right w:val="single" w:sz="4" w:space="0" w:color="auto"/>
            </w:tcBorders>
            <w:shd w:val="clear" w:color="auto" w:fill="auto"/>
            <w:vAlign w:val="center"/>
            <w:hideMark/>
          </w:tcPr>
          <w:p w14:paraId="250EACE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tcBorders>
              <w:top w:val="nil"/>
              <w:left w:val="nil"/>
              <w:bottom w:val="nil"/>
              <w:right w:val="single" w:sz="4" w:space="0" w:color="auto"/>
            </w:tcBorders>
            <w:shd w:val="clear" w:color="auto" w:fill="auto"/>
            <w:vAlign w:val="center"/>
            <w:hideMark/>
          </w:tcPr>
          <w:p w14:paraId="3F0D059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nil"/>
              <w:right w:val="single" w:sz="4" w:space="0" w:color="auto"/>
            </w:tcBorders>
            <w:shd w:val="clear" w:color="auto" w:fill="auto"/>
            <w:vAlign w:val="center"/>
            <w:hideMark/>
          </w:tcPr>
          <w:p w14:paraId="719D7276" w14:textId="499C6CA4"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403D009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nil"/>
              <w:right w:val="single" w:sz="4" w:space="0" w:color="auto"/>
            </w:tcBorders>
            <w:shd w:val="clear" w:color="auto" w:fill="auto"/>
            <w:vAlign w:val="center"/>
            <w:hideMark/>
          </w:tcPr>
          <w:p w14:paraId="7F4BA37F" w14:textId="0B04680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Bilanci i forcave të punës</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Të punësuar sipas sekto</w:t>
            </w:r>
            <w:r w:rsidR="009A0388" w:rsidRPr="004F2AC3">
              <w:rPr>
                <w:rFonts w:ascii="Garamond" w:eastAsia="Times New Roman" w:hAnsi="Garamond" w:cs="Times New Roman"/>
                <w:color w:val="000000"/>
                <w:sz w:val="10"/>
                <w:szCs w:val="10"/>
                <w:lang w:eastAsia="sq-AL"/>
              </w:rPr>
              <w:t>rëve</w:t>
            </w:r>
            <w:r w:rsidR="009A0388" w:rsidRPr="004F2AC3">
              <w:rPr>
                <w:rFonts w:ascii="Garamond" w:eastAsia="Times New Roman" w:hAnsi="Garamond" w:cs="Times New Roman"/>
                <w:color w:val="000000"/>
                <w:sz w:val="10"/>
                <w:szCs w:val="10"/>
                <w:lang w:eastAsia="sq-AL"/>
              </w:rPr>
              <w:br/>
              <w:t xml:space="preserve">3. Të punësuar në sektorin </w:t>
            </w:r>
            <w:r w:rsidRPr="004F2AC3">
              <w:rPr>
                <w:rFonts w:ascii="Garamond" w:eastAsia="Times New Roman" w:hAnsi="Garamond" w:cs="Times New Roman"/>
                <w:color w:val="000000"/>
                <w:sz w:val="10"/>
                <w:szCs w:val="10"/>
                <w:lang w:eastAsia="sq-AL"/>
              </w:rPr>
              <w:t>shtetëror sipas nivelit arsimor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Të punësuar në sektorin shtetëror sipas grupeve kryesore të profesioneve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xml:space="preserve">Shkalla e </w:t>
            </w:r>
            <w:r w:rsidR="006400E2" w:rsidRPr="004F2AC3">
              <w:rPr>
                <w:rFonts w:ascii="Garamond" w:eastAsia="Times New Roman" w:hAnsi="Garamond" w:cs="Times New Roman"/>
                <w:color w:val="000000"/>
                <w:sz w:val="10"/>
                <w:szCs w:val="10"/>
                <w:lang w:eastAsia="sq-AL"/>
              </w:rPr>
              <w:t>papunësisë</w:t>
            </w:r>
            <w:r w:rsidRPr="004F2AC3">
              <w:rPr>
                <w:rFonts w:ascii="Garamond" w:eastAsia="Times New Roman" w:hAnsi="Garamond" w:cs="Times New Roman"/>
                <w:color w:val="000000"/>
                <w:sz w:val="10"/>
                <w:szCs w:val="10"/>
                <w:lang w:eastAsia="sq-AL"/>
              </w:rPr>
              <w:t xml:space="preserve"> së regjistruar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Punëkërkues të papunë të regjistruar sipas gjinisë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Punëkërkues të papune të regjistruar sipas nivelit arsimor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Punëkërkues të p</w:t>
            </w:r>
            <w:r w:rsidR="005B3A9C" w:rsidRPr="004F2AC3">
              <w:rPr>
                <w:rFonts w:ascii="Garamond" w:eastAsia="Times New Roman" w:hAnsi="Garamond" w:cs="Times New Roman"/>
                <w:color w:val="000000"/>
                <w:sz w:val="10"/>
                <w:szCs w:val="10"/>
                <w:lang w:eastAsia="sq-AL"/>
              </w:rPr>
              <w:t>apunë të regjistruar sipas grup-</w:t>
            </w:r>
            <w:r w:rsidRPr="004F2AC3">
              <w:rPr>
                <w:rFonts w:ascii="Garamond" w:eastAsia="Times New Roman" w:hAnsi="Garamond" w:cs="Times New Roman"/>
                <w:color w:val="000000"/>
                <w:sz w:val="10"/>
                <w:szCs w:val="10"/>
                <w:lang w:eastAsia="sq-AL"/>
              </w:rPr>
              <w:t>moshave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Punëkërkues të papunë të reg</w:t>
            </w:r>
            <w:r w:rsidR="009A0388" w:rsidRPr="004F2AC3">
              <w:rPr>
                <w:rFonts w:ascii="Garamond" w:eastAsia="Times New Roman" w:hAnsi="Garamond" w:cs="Times New Roman"/>
                <w:color w:val="000000"/>
                <w:sz w:val="10"/>
                <w:szCs w:val="10"/>
                <w:lang w:eastAsia="sq-AL"/>
              </w:rPr>
              <w:t>jistruar në numër dhe përqindje.</w:t>
            </w:r>
          </w:p>
        </w:tc>
        <w:tc>
          <w:tcPr>
            <w:tcW w:w="554" w:type="dxa"/>
            <w:tcBorders>
              <w:top w:val="nil"/>
              <w:left w:val="nil"/>
              <w:bottom w:val="nil"/>
              <w:right w:val="single" w:sz="4" w:space="0" w:color="auto"/>
            </w:tcBorders>
            <w:shd w:val="clear" w:color="auto" w:fill="auto"/>
            <w:vAlign w:val="center"/>
            <w:hideMark/>
          </w:tcPr>
          <w:p w14:paraId="13CC43C3" w14:textId="2F16CA1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13" w:type="dxa"/>
            <w:tcBorders>
              <w:top w:val="nil"/>
              <w:left w:val="nil"/>
              <w:bottom w:val="nil"/>
              <w:right w:val="single" w:sz="4" w:space="0" w:color="auto"/>
            </w:tcBorders>
            <w:shd w:val="clear" w:color="auto" w:fill="auto"/>
            <w:vAlign w:val="center"/>
            <w:hideMark/>
          </w:tcPr>
          <w:p w14:paraId="1E5056CD" w14:textId="619864A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0B1EAA7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+ 46D</w:t>
            </w:r>
          </w:p>
        </w:tc>
        <w:tc>
          <w:tcPr>
            <w:tcW w:w="385" w:type="dxa"/>
            <w:tcBorders>
              <w:top w:val="nil"/>
              <w:left w:val="nil"/>
              <w:bottom w:val="nil"/>
              <w:right w:val="single" w:sz="4" w:space="0" w:color="auto"/>
            </w:tcBorders>
            <w:shd w:val="clear" w:color="auto" w:fill="auto"/>
            <w:noWrap/>
            <w:vAlign w:val="center"/>
            <w:hideMark/>
          </w:tcPr>
          <w:p w14:paraId="327EC00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nil"/>
              <w:right w:val="single" w:sz="4" w:space="0" w:color="auto"/>
            </w:tcBorders>
            <w:shd w:val="clear" w:color="auto" w:fill="auto"/>
            <w:vAlign w:val="center"/>
            <w:hideMark/>
          </w:tcPr>
          <w:p w14:paraId="439A48E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+ 72D</w:t>
            </w:r>
          </w:p>
        </w:tc>
        <w:tc>
          <w:tcPr>
            <w:tcW w:w="732" w:type="dxa"/>
            <w:tcBorders>
              <w:top w:val="nil"/>
              <w:left w:val="nil"/>
              <w:bottom w:val="nil"/>
              <w:right w:val="single" w:sz="4" w:space="0" w:color="auto"/>
            </w:tcBorders>
            <w:shd w:val="clear" w:color="auto" w:fill="auto"/>
            <w:vAlign w:val="center"/>
            <w:hideMark/>
          </w:tcPr>
          <w:p w14:paraId="10EB96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Vonesë në marrjen e të dhënave -|- 2</w:t>
            </w:r>
          </w:p>
        </w:tc>
        <w:tc>
          <w:tcPr>
            <w:tcW w:w="551" w:type="dxa"/>
            <w:tcBorders>
              <w:top w:val="nil"/>
              <w:left w:val="nil"/>
              <w:bottom w:val="nil"/>
              <w:right w:val="single" w:sz="4" w:space="0" w:color="auto"/>
            </w:tcBorders>
            <w:shd w:val="clear" w:color="auto" w:fill="auto"/>
            <w:vAlign w:val="center"/>
            <w:hideMark/>
          </w:tcPr>
          <w:p w14:paraId="3903B6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4D025881" w14:textId="77777777" w:rsidTr="0021321C">
        <w:trPr>
          <w:trHeight w:val="180"/>
          <w:jc w:val="center"/>
        </w:trPr>
        <w:tc>
          <w:tcPr>
            <w:tcW w:w="388" w:type="dxa"/>
            <w:tcBorders>
              <w:top w:val="nil"/>
              <w:left w:val="nil"/>
              <w:bottom w:val="nil"/>
              <w:right w:val="nil"/>
            </w:tcBorders>
            <w:shd w:val="clear" w:color="000000" w:fill="FFFFFF"/>
            <w:vAlign w:val="bottom"/>
            <w:hideMark/>
          </w:tcPr>
          <w:p w14:paraId="78B752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BD3D5C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8BDF6E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AB60F8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257E819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1.2.2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13E45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Kostoja e punës dhe të ardhurat nga puna</w:t>
            </w:r>
          </w:p>
        </w:tc>
      </w:tr>
      <w:tr w:rsidR="00C73163" w:rsidRPr="004F2AC3" w14:paraId="66372351" w14:textId="77777777" w:rsidTr="0021321C">
        <w:trPr>
          <w:trHeight w:val="180"/>
          <w:jc w:val="center"/>
        </w:trPr>
        <w:tc>
          <w:tcPr>
            <w:tcW w:w="388" w:type="dxa"/>
            <w:tcBorders>
              <w:top w:val="nil"/>
              <w:left w:val="nil"/>
              <w:bottom w:val="nil"/>
              <w:right w:val="nil"/>
            </w:tcBorders>
            <w:shd w:val="clear" w:color="000000" w:fill="FFFFFF"/>
            <w:vAlign w:val="bottom"/>
            <w:hideMark/>
          </w:tcPr>
          <w:p w14:paraId="6E0A21F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5C68C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D0F914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946299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3B7429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881F9B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0D5696B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1.2.2.1</w:t>
            </w:r>
          </w:p>
        </w:tc>
        <w:tc>
          <w:tcPr>
            <w:tcW w:w="563" w:type="dxa"/>
            <w:tcBorders>
              <w:top w:val="nil"/>
              <w:left w:val="nil"/>
              <w:bottom w:val="single" w:sz="4" w:space="0" w:color="auto"/>
              <w:right w:val="single" w:sz="4" w:space="0" w:color="auto"/>
            </w:tcBorders>
            <w:shd w:val="clear" w:color="auto" w:fill="auto"/>
            <w:vAlign w:val="center"/>
            <w:hideMark/>
          </w:tcPr>
          <w:p w14:paraId="4DE08FC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nga Anketa e Kostos së Punës</w:t>
            </w:r>
          </w:p>
        </w:tc>
        <w:tc>
          <w:tcPr>
            <w:tcW w:w="446" w:type="dxa"/>
            <w:tcBorders>
              <w:top w:val="nil"/>
              <w:left w:val="nil"/>
              <w:bottom w:val="single" w:sz="4" w:space="0" w:color="auto"/>
              <w:right w:val="single" w:sz="4" w:space="0" w:color="auto"/>
            </w:tcBorders>
            <w:shd w:val="clear" w:color="auto" w:fill="auto"/>
            <w:vAlign w:val="center"/>
            <w:hideMark/>
          </w:tcPr>
          <w:p w14:paraId="3AF94A1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089D45E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vAlign w:val="center"/>
            <w:hideMark/>
          </w:tcPr>
          <w:p w14:paraId="148F831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60A3D5FA" w14:textId="61B53C70"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0854B78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Çdo 2 vite</w:t>
            </w:r>
          </w:p>
        </w:tc>
        <w:tc>
          <w:tcPr>
            <w:tcW w:w="1098" w:type="dxa"/>
            <w:tcBorders>
              <w:top w:val="nil"/>
              <w:left w:val="nil"/>
              <w:bottom w:val="nil"/>
              <w:right w:val="single" w:sz="4" w:space="0" w:color="auto"/>
            </w:tcBorders>
            <w:shd w:val="clear" w:color="auto" w:fill="auto"/>
            <w:vAlign w:val="center"/>
            <w:hideMark/>
          </w:tcPr>
          <w:p w14:paraId="3510A7FB" w14:textId="03E711B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Kostoja mesatare e punës për njësi pune me kohë të plotë sipas aktiviteteve </w:t>
            </w:r>
            <w:r w:rsidR="009A0388" w:rsidRPr="004F2AC3">
              <w:rPr>
                <w:rFonts w:ascii="Garamond" w:eastAsia="Times New Roman" w:hAnsi="Garamond" w:cs="Times New Roman"/>
                <w:color w:val="000000"/>
                <w:sz w:val="10"/>
                <w:szCs w:val="10"/>
                <w:lang w:eastAsia="sq-AL"/>
              </w:rPr>
              <w:t>ekonomike, në lekë;</w:t>
            </w:r>
            <w:r w:rsidRPr="004F2AC3">
              <w:rPr>
                <w:rFonts w:ascii="Garamond" w:eastAsia="Times New Roman" w:hAnsi="Garamond" w:cs="Times New Roman"/>
                <w:color w:val="000000"/>
                <w:sz w:val="10"/>
                <w:szCs w:val="10"/>
                <w:lang w:eastAsia="sq-AL"/>
              </w:rPr>
              <w:br/>
              <w:t>2. Kostoja mesatare e punës për njësi pune me kohë të plotë sipas ma</w:t>
            </w:r>
            <w:r w:rsidR="009A0388" w:rsidRPr="004F2AC3">
              <w:rPr>
                <w:rFonts w:ascii="Garamond" w:eastAsia="Times New Roman" w:hAnsi="Garamond" w:cs="Times New Roman"/>
                <w:color w:val="000000"/>
                <w:sz w:val="10"/>
                <w:szCs w:val="10"/>
                <w:lang w:eastAsia="sq-AL"/>
              </w:rPr>
              <w:t>dhësisë së ndërmarrjes, në lekë;</w:t>
            </w:r>
            <w:r w:rsidRPr="004F2AC3">
              <w:rPr>
                <w:rFonts w:ascii="Garamond" w:eastAsia="Times New Roman" w:hAnsi="Garamond" w:cs="Times New Roman"/>
                <w:color w:val="000000"/>
                <w:sz w:val="10"/>
                <w:szCs w:val="10"/>
                <w:lang w:eastAsia="sq-AL"/>
              </w:rPr>
              <w:br/>
              <w:t>3. Komponentët e kostos mesatare vjetore për njësi pune me kohë të plotë sipas aktiviteteve ekonomike të agreguara</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4. Struktura e kostos së punës sipas madhësisë së ndërmarrjes</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5. Struktura e kostos së punës sipas aktivitetit ekonomik</w:t>
            </w:r>
            <w:r w:rsidR="009A038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5B091309" w14:textId="3891D6C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062C2BB8" w14:textId="29B70E6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noWrap/>
            <w:vAlign w:val="center"/>
            <w:hideMark/>
          </w:tcPr>
          <w:p w14:paraId="6795F77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auto" w:fill="auto"/>
            <w:vAlign w:val="center"/>
            <w:hideMark/>
          </w:tcPr>
          <w:p w14:paraId="7F42ED2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+ 445D</w:t>
            </w:r>
          </w:p>
        </w:tc>
        <w:tc>
          <w:tcPr>
            <w:tcW w:w="361" w:type="dxa"/>
            <w:tcBorders>
              <w:top w:val="nil"/>
              <w:left w:val="nil"/>
              <w:bottom w:val="single" w:sz="4" w:space="0" w:color="auto"/>
              <w:right w:val="single" w:sz="4" w:space="0" w:color="auto"/>
            </w:tcBorders>
            <w:shd w:val="clear" w:color="auto" w:fill="auto"/>
            <w:vAlign w:val="center"/>
            <w:hideMark/>
          </w:tcPr>
          <w:p w14:paraId="45913DC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V+590</w:t>
            </w:r>
          </w:p>
        </w:tc>
        <w:tc>
          <w:tcPr>
            <w:tcW w:w="732" w:type="dxa"/>
            <w:tcBorders>
              <w:top w:val="nil"/>
              <w:left w:val="nil"/>
              <w:bottom w:val="single" w:sz="4" w:space="0" w:color="auto"/>
              <w:right w:val="single" w:sz="4" w:space="0" w:color="auto"/>
            </w:tcBorders>
            <w:shd w:val="clear" w:color="auto" w:fill="auto"/>
            <w:vAlign w:val="center"/>
            <w:hideMark/>
          </w:tcPr>
          <w:p w14:paraId="6FFC975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Vonesë në marrjen e të dhënave nga terreni -|- 2</w:t>
            </w:r>
          </w:p>
        </w:tc>
        <w:tc>
          <w:tcPr>
            <w:tcW w:w="551" w:type="dxa"/>
            <w:tcBorders>
              <w:top w:val="nil"/>
              <w:left w:val="nil"/>
              <w:bottom w:val="single" w:sz="4" w:space="0" w:color="auto"/>
              <w:right w:val="single" w:sz="4" w:space="0" w:color="auto"/>
            </w:tcBorders>
            <w:shd w:val="clear" w:color="auto" w:fill="auto"/>
            <w:vAlign w:val="center"/>
            <w:hideMark/>
          </w:tcPr>
          <w:p w14:paraId="4846FBD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0242E88E" w14:textId="77777777" w:rsidTr="0021321C">
        <w:trPr>
          <w:trHeight w:val="180"/>
          <w:jc w:val="center"/>
        </w:trPr>
        <w:tc>
          <w:tcPr>
            <w:tcW w:w="388" w:type="dxa"/>
            <w:tcBorders>
              <w:top w:val="nil"/>
              <w:left w:val="nil"/>
              <w:bottom w:val="nil"/>
              <w:right w:val="nil"/>
            </w:tcBorders>
            <w:shd w:val="clear" w:color="000000" w:fill="FFFFFF"/>
            <w:vAlign w:val="bottom"/>
            <w:hideMark/>
          </w:tcPr>
          <w:p w14:paraId="6C52C29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DFF6D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B1F4B7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A9E978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127EF9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41F034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24CE17C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1.2.2.2</w:t>
            </w:r>
          </w:p>
        </w:tc>
        <w:tc>
          <w:tcPr>
            <w:tcW w:w="563" w:type="dxa"/>
            <w:tcBorders>
              <w:top w:val="nil"/>
              <w:left w:val="nil"/>
              <w:bottom w:val="nil"/>
              <w:right w:val="single" w:sz="4" w:space="0" w:color="auto"/>
            </w:tcBorders>
            <w:shd w:val="clear" w:color="auto" w:fill="auto"/>
            <w:vAlign w:val="center"/>
            <w:hideMark/>
          </w:tcPr>
          <w:p w14:paraId="11723A3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mbi pagat</w:t>
            </w:r>
          </w:p>
        </w:tc>
        <w:tc>
          <w:tcPr>
            <w:tcW w:w="446" w:type="dxa"/>
            <w:tcBorders>
              <w:top w:val="nil"/>
              <w:left w:val="nil"/>
              <w:bottom w:val="nil"/>
              <w:right w:val="single" w:sz="4" w:space="0" w:color="auto"/>
            </w:tcBorders>
            <w:shd w:val="clear" w:color="auto" w:fill="auto"/>
            <w:vAlign w:val="center"/>
            <w:hideMark/>
          </w:tcPr>
          <w:p w14:paraId="662FB6B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nil"/>
              <w:right w:val="single" w:sz="4" w:space="0" w:color="auto"/>
            </w:tcBorders>
            <w:shd w:val="clear" w:color="auto" w:fill="auto"/>
            <w:vAlign w:val="center"/>
            <w:hideMark/>
          </w:tcPr>
          <w:p w14:paraId="4F81F59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tcBorders>
              <w:top w:val="nil"/>
              <w:left w:val="nil"/>
              <w:bottom w:val="nil"/>
              <w:right w:val="single" w:sz="4" w:space="0" w:color="auto"/>
            </w:tcBorders>
            <w:shd w:val="clear" w:color="auto" w:fill="auto"/>
            <w:vAlign w:val="center"/>
            <w:hideMark/>
          </w:tcPr>
          <w:p w14:paraId="47B814B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nil"/>
              <w:right w:val="single" w:sz="4" w:space="0" w:color="auto"/>
            </w:tcBorders>
            <w:shd w:val="clear" w:color="auto" w:fill="auto"/>
            <w:vAlign w:val="center"/>
            <w:hideMark/>
          </w:tcPr>
          <w:p w14:paraId="7BFEE540" w14:textId="25E4A78F"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7CADBA5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single" w:sz="4" w:space="0" w:color="auto"/>
              <w:left w:val="nil"/>
              <w:bottom w:val="nil"/>
              <w:right w:val="single" w:sz="4" w:space="0" w:color="auto"/>
            </w:tcBorders>
            <w:shd w:val="clear" w:color="auto" w:fill="auto"/>
            <w:vAlign w:val="center"/>
            <w:hideMark/>
          </w:tcPr>
          <w:p w14:paraId="2FD37434" w14:textId="6E9E869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Paga mesatare mujore </w:t>
            </w:r>
            <w:r w:rsidR="006400E2" w:rsidRPr="004F2AC3">
              <w:rPr>
                <w:rFonts w:ascii="Garamond" w:eastAsia="Times New Roman" w:hAnsi="Garamond" w:cs="Times New Roman"/>
                <w:color w:val="000000"/>
                <w:sz w:val="10"/>
                <w:szCs w:val="10"/>
                <w:lang w:eastAsia="sq-AL"/>
              </w:rPr>
              <w:t>për</w:t>
            </w:r>
            <w:r w:rsidRPr="004F2AC3">
              <w:rPr>
                <w:rFonts w:ascii="Garamond" w:eastAsia="Times New Roman" w:hAnsi="Garamond" w:cs="Times New Roman"/>
                <w:color w:val="000000"/>
                <w:sz w:val="10"/>
                <w:szCs w:val="10"/>
                <w:lang w:eastAsia="sq-AL"/>
              </w:rPr>
              <w:t xml:space="preserve"> t</w:t>
            </w:r>
            <w:r w:rsidR="00D449AF" w:rsidRPr="004F2AC3">
              <w:rPr>
                <w:rFonts w:ascii="Garamond" w:hAnsi="Garamond" w:cs="Times New Roman"/>
                <w:color w:val="000000" w:themeColor="text1"/>
                <w:sz w:val="10"/>
                <w:szCs w:val="10"/>
              </w:rPr>
              <w:t>ë</w:t>
            </w:r>
            <w:r w:rsidRPr="004F2AC3">
              <w:rPr>
                <w:rFonts w:ascii="Garamond" w:eastAsia="Times New Roman" w:hAnsi="Garamond" w:cs="Times New Roman"/>
                <w:color w:val="000000"/>
                <w:sz w:val="10"/>
                <w:szCs w:val="10"/>
                <w:lang w:eastAsia="sq-AL"/>
              </w:rPr>
              <w:t xml:space="preserve"> </w:t>
            </w:r>
            <w:r w:rsidR="006400E2" w:rsidRPr="004F2AC3">
              <w:rPr>
                <w:rFonts w:ascii="Garamond" w:eastAsia="Times New Roman" w:hAnsi="Garamond" w:cs="Times New Roman"/>
                <w:color w:val="000000"/>
                <w:sz w:val="10"/>
                <w:szCs w:val="10"/>
                <w:lang w:eastAsia="sq-AL"/>
              </w:rPr>
              <w:t>punësuarit</w:t>
            </w:r>
            <w:r w:rsidRPr="004F2AC3">
              <w:rPr>
                <w:rFonts w:ascii="Garamond" w:eastAsia="Times New Roman" w:hAnsi="Garamond" w:cs="Times New Roman"/>
                <w:color w:val="000000"/>
                <w:sz w:val="10"/>
                <w:szCs w:val="10"/>
                <w:lang w:eastAsia="sq-AL"/>
              </w:rPr>
              <w:t xml:space="preserve"> me page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Paga mesatare mujore </w:t>
            </w:r>
            <w:r w:rsidR="006400E2" w:rsidRPr="004F2AC3">
              <w:rPr>
                <w:rFonts w:ascii="Garamond" w:eastAsia="Times New Roman" w:hAnsi="Garamond" w:cs="Times New Roman"/>
                <w:color w:val="000000"/>
                <w:sz w:val="10"/>
                <w:szCs w:val="10"/>
                <w:lang w:eastAsia="sq-AL"/>
              </w:rPr>
              <w:t>për</w:t>
            </w:r>
            <w:r w:rsidRPr="004F2AC3">
              <w:rPr>
                <w:rFonts w:ascii="Garamond" w:eastAsia="Times New Roman" w:hAnsi="Garamond" w:cs="Times New Roman"/>
                <w:color w:val="000000"/>
                <w:sz w:val="10"/>
                <w:szCs w:val="10"/>
                <w:lang w:eastAsia="sq-AL"/>
              </w:rPr>
              <w:t xml:space="preserve"> t</w:t>
            </w:r>
            <w:r w:rsidR="00D449AF" w:rsidRPr="004F2AC3">
              <w:rPr>
                <w:rFonts w:ascii="Garamond" w:hAnsi="Garamond" w:cs="Times New Roman"/>
                <w:color w:val="000000" w:themeColor="text1"/>
                <w:sz w:val="10"/>
                <w:szCs w:val="10"/>
              </w:rPr>
              <w:t>ë</w:t>
            </w:r>
            <w:r w:rsidRPr="004F2AC3">
              <w:rPr>
                <w:rFonts w:ascii="Garamond" w:eastAsia="Times New Roman" w:hAnsi="Garamond" w:cs="Times New Roman"/>
                <w:color w:val="000000"/>
                <w:sz w:val="10"/>
                <w:szCs w:val="10"/>
                <w:lang w:eastAsia="sq-AL"/>
              </w:rPr>
              <w:t xml:space="preserve"> </w:t>
            </w:r>
            <w:r w:rsidR="006400E2" w:rsidRPr="004F2AC3">
              <w:rPr>
                <w:rFonts w:ascii="Garamond" w:eastAsia="Times New Roman" w:hAnsi="Garamond" w:cs="Times New Roman"/>
                <w:color w:val="000000"/>
                <w:sz w:val="10"/>
                <w:szCs w:val="10"/>
                <w:lang w:eastAsia="sq-AL"/>
              </w:rPr>
              <w:t>punësuarit</w:t>
            </w:r>
            <w:r w:rsidRPr="004F2AC3">
              <w:rPr>
                <w:rFonts w:ascii="Garamond" w:eastAsia="Times New Roman" w:hAnsi="Garamond" w:cs="Times New Roman"/>
                <w:color w:val="000000"/>
                <w:sz w:val="10"/>
                <w:szCs w:val="10"/>
                <w:lang w:eastAsia="sq-AL"/>
              </w:rPr>
              <w:t xml:space="preserve"> me pag</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n</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sektorin </w:t>
            </w:r>
            <w:r w:rsidR="006400E2" w:rsidRPr="004F2AC3">
              <w:rPr>
                <w:rFonts w:ascii="Garamond" w:eastAsia="Times New Roman" w:hAnsi="Garamond" w:cs="Times New Roman"/>
                <w:color w:val="000000"/>
                <w:sz w:val="10"/>
                <w:szCs w:val="10"/>
                <w:lang w:eastAsia="sq-AL"/>
              </w:rPr>
              <w:t>shtetëror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Paga mesatare mujore </w:t>
            </w:r>
            <w:r w:rsidR="006400E2" w:rsidRPr="004F2AC3">
              <w:rPr>
                <w:rFonts w:ascii="Garamond" w:eastAsia="Times New Roman" w:hAnsi="Garamond" w:cs="Times New Roman"/>
                <w:color w:val="000000"/>
                <w:sz w:val="10"/>
                <w:szCs w:val="10"/>
                <w:lang w:eastAsia="sq-AL"/>
              </w:rPr>
              <w:t>për</w:t>
            </w:r>
            <w:r w:rsidRPr="004F2AC3">
              <w:rPr>
                <w:rFonts w:ascii="Garamond" w:eastAsia="Times New Roman" w:hAnsi="Garamond" w:cs="Times New Roman"/>
                <w:color w:val="000000"/>
                <w:sz w:val="10"/>
                <w:szCs w:val="10"/>
                <w:lang w:eastAsia="sq-AL"/>
              </w:rPr>
              <w:t xml:space="preserve"> t</w:t>
            </w:r>
            <w:r w:rsidR="00D449AF" w:rsidRPr="004F2AC3">
              <w:rPr>
                <w:rFonts w:ascii="Garamond" w:hAnsi="Garamond" w:cs="Times New Roman"/>
                <w:color w:val="000000" w:themeColor="text1"/>
                <w:sz w:val="10"/>
                <w:szCs w:val="10"/>
              </w:rPr>
              <w:t>ë</w:t>
            </w:r>
            <w:r w:rsidRPr="004F2AC3">
              <w:rPr>
                <w:rFonts w:ascii="Garamond" w:eastAsia="Times New Roman" w:hAnsi="Garamond" w:cs="Times New Roman"/>
                <w:color w:val="000000"/>
                <w:sz w:val="10"/>
                <w:szCs w:val="10"/>
                <w:lang w:eastAsia="sq-AL"/>
              </w:rPr>
              <w:t xml:space="preserve"> </w:t>
            </w:r>
            <w:r w:rsidR="006400E2" w:rsidRPr="004F2AC3">
              <w:rPr>
                <w:rFonts w:ascii="Garamond" w:eastAsia="Times New Roman" w:hAnsi="Garamond" w:cs="Times New Roman"/>
                <w:color w:val="000000"/>
                <w:sz w:val="10"/>
                <w:szCs w:val="10"/>
                <w:lang w:eastAsia="sq-AL"/>
              </w:rPr>
              <w:t>punësuarit</w:t>
            </w:r>
            <w:r w:rsidRPr="004F2AC3">
              <w:rPr>
                <w:rFonts w:ascii="Garamond" w:eastAsia="Times New Roman" w:hAnsi="Garamond" w:cs="Times New Roman"/>
                <w:color w:val="000000"/>
                <w:sz w:val="10"/>
                <w:szCs w:val="10"/>
                <w:lang w:eastAsia="sq-AL"/>
              </w:rPr>
              <w:t xml:space="preserve"> me pag</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n</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sektorin privat</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Paga mesatare mujore sipas aktiviteteve ekonomike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Paga mesatare mujore sipas grup-profesioneve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Hendeku gjinor i pagave sipas aktiviteteve ekonomike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Hendeku gjinor i pagave sipas grup-profesioneve</w:t>
            </w:r>
            <w:r w:rsidR="009A0388"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5E1DB074" w14:textId="38554DF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13" w:type="dxa"/>
            <w:tcBorders>
              <w:top w:val="nil"/>
              <w:left w:val="nil"/>
              <w:bottom w:val="nil"/>
              <w:right w:val="single" w:sz="4" w:space="0" w:color="auto"/>
            </w:tcBorders>
            <w:shd w:val="clear" w:color="auto" w:fill="auto"/>
            <w:vAlign w:val="center"/>
            <w:hideMark/>
          </w:tcPr>
          <w:p w14:paraId="34072982" w14:textId="5E5E6F7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11D0322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-3D</w:t>
            </w:r>
          </w:p>
        </w:tc>
        <w:tc>
          <w:tcPr>
            <w:tcW w:w="385" w:type="dxa"/>
            <w:tcBorders>
              <w:top w:val="nil"/>
              <w:left w:val="nil"/>
              <w:bottom w:val="nil"/>
              <w:right w:val="single" w:sz="4" w:space="0" w:color="auto"/>
            </w:tcBorders>
            <w:shd w:val="clear" w:color="auto" w:fill="auto"/>
            <w:vAlign w:val="center"/>
            <w:hideMark/>
          </w:tcPr>
          <w:p w14:paraId="7B1FBD8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+ 60D</w:t>
            </w:r>
          </w:p>
        </w:tc>
        <w:tc>
          <w:tcPr>
            <w:tcW w:w="361" w:type="dxa"/>
            <w:tcBorders>
              <w:top w:val="nil"/>
              <w:left w:val="nil"/>
              <w:bottom w:val="nil"/>
              <w:right w:val="single" w:sz="4" w:space="0" w:color="auto"/>
            </w:tcBorders>
            <w:shd w:val="clear" w:color="auto" w:fill="auto"/>
            <w:vAlign w:val="center"/>
            <w:hideMark/>
          </w:tcPr>
          <w:p w14:paraId="0BB7D8D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+ 72D</w:t>
            </w:r>
          </w:p>
        </w:tc>
        <w:tc>
          <w:tcPr>
            <w:tcW w:w="732" w:type="dxa"/>
            <w:tcBorders>
              <w:top w:val="nil"/>
              <w:left w:val="nil"/>
              <w:bottom w:val="nil"/>
              <w:right w:val="single" w:sz="4" w:space="0" w:color="auto"/>
            </w:tcBorders>
            <w:shd w:val="clear" w:color="auto" w:fill="auto"/>
            <w:vAlign w:val="center"/>
            <w:hideMark/>
          </w:tcPr>
          <w:p w14:paraId="2705708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Vonesë në marrjen e të dhënave -|- 2</w:t>
            </w:r>
          </w:p>
        </w:tc>
        <w:tc>
          <w:tcPr>
            <w:tcW w:w="551" w:type="dxa"/>
            <w:tcBorders>
              <w:top w:val="nil"/>
              <w:left w:val="nil"/>
              <w:bottom w:val="nil"/>
              <w:right w:val="single" w:sz="4" w:space="0" w:color="auto"/>
            </w:tcBorders>
            <w:shd w:val="clear" w:color="auto" w:fill="auto"/>
            <w:vAlign w:val="center"/>
            <w:hideMark/>
          </w:tcPr>
          <w:p w14:paraId="16BA405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417F0D84" w14:textId="77777777" w:rsidTr="0021321C">
        <w:trPr>
          <w:trHeight w:val="180"/>
          <w:jc w:val="center"/>
        </w:trPr>
        <w:tc>
          <w:tcPr>
            <w:tcW w:w="388" w:type="dxa"/>
            <w:tcBorders>
              <w:top w:val="nil"/>
              <w:left w:val="nil"/>
              <w:bottom w:val="nil"/>
              <w:right w:val="nil"/>
            </w:tcBorders>
            <w:shd w:val="clear" w:color="000000" w:fill="FFFFFF"/>
            <w:vAlign w:val="bottom"/>
            <w:hideMark/>
          </w:tcPr>
          <w:p w14:paraId="5BE043B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5936D5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43D5D47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1.3</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7D44550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Arsimi dhe trajnimet</w:t>
            </w:r>
          </w:p>
        </w:tc>
      </w:tr>
      <w:tr w:rsidR="0021321C" w:rsidRPr="004F2AC3" w14:paraId="2842C6A0" w14:textId="77777777" w:rsidTr="0021321C">
        <w:trPr>
          <w:trHeight w:val="180"/>
          <w:jc w:val="center"/>
        </w:trPr>
        <w:tc>
          <w:tcPr>
            <w:tcW w:w="388" w:type="dxa"/>
            <w:tcBorders>
              <w:top w:val="nil"/>
              <w:left w:val="nil"/>
              <w:bottom w:val="nil"/>
              <w:right w:val="nil"/>
            </w:tcBorders>
            <w:shd w:val="clear" w:color="000000" w:fill="FFFFFF"/>
            <w:vAlign w:val="bottom"/>
            <w:hideMark/>
          </w:tcPr>
          <w:p w14:paraId="4236534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9267C5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47D583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7AD454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3D47FA8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1.3.1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D62F4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Arsimi</w:t>
            </w:r>
          </w:p>
        </w:tc>
      </w:tr>
      <w:tr w:rsidR="00C73163" w:rsidRPr="004F2AC3" w14:paraId="0B55DCF5" w14:textId="77777777" w:rsidTr="0021321C">
        <w:trPr>
          <w:trHeight w:val="180"/>
          <w:jc w:val="center"/>
        </w:trPr>
        <w:tc>
          <w:tcPr>
            <w:tcW w:w="388" w:type="dxa"/>
            <w:tcBorders>
              <w:top w:val="nil"/>
              <w:left w:val="nil"/>
              <w:bottom w:val="nil"/>
              <w:right w:val="nil"/>
            </w:tcBorders>
            <w:shd w:val="clear" w:color="000000" w:fill="FFFFFF"/>
            <w:vAlign w:val="bottom"/>
            <w:hideMark/>
          </w:tcPr>
          <w:p w14:paraId="24CAB8C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01E625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8AE524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296747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0FF900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745A5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000000"/>
              <w:right w:val="single" w:sz="4" w:space="0" w:color="auto"/>
            </w:tcBorders>
            <w:shd w:val="clear" w:color="auto" w:fill="auto"/>
            <w:vAlign w:val="center"/>
            <w:hideMark/>
          </w:tcPr>
          <w:p w14:paraId="65D9C04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1.3.1.1</w:t>
            </w:r>
          </w:p>
        </w:tc>
        <w:tc>
          <w:tcPr>
            <w:tcW w:w="563" w:type="dxa"/>
            <w:vMerge w:val="restart"/>
            <w:tcBorders>
              <w:top w:val="nil"/>
              <w:left w:val="single" w:sz="4" w:space="0" w:color="auto"/>
              <w:bottom w:val="single" w:sz="4" w:space="0" w:color="000000"/>
              <w:right w:val="single" w:sz="4" w:space="0" w:color="auto"/>
            </w:tcBorders>
            <w:shd w:val="clear" w:color="auto" w:fill="auto"/>
            <w:vAlign w:val="center"/>
            <w:hideMark/>
          </w:tcPr>
          <w:p w14:paraId="6DB18A5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regjistrimeve në arsim</w:t>
            </w:r>
          </w:p>
        </w:tc>
        <w:tc>
          <w:tcPr>
            <w:tcW w:w="446" w:type="dxa"/>
            <w:vMerge w:val="restart"/>
            <w:tcBorders>
              <w:top w:val="nil"/>
              <w:left w:val="single" w:sz="4" w:space="0" w:color="auto"/>
              <w:bottom w:val="single" w:sz="4" w:space="0" w:color="000000"/>
              <w:right w:val="single" w:sz="4" w:space="0" w:color="auto"/>
            </w:tcBorders>
            <w:shd w:val="clear" w:color="auto" w:fill="auto"/>
            <w:vAlign w:val="center"/>
            <w:hideMark/>
          </w:tcPr>
          <w:p w14:paraId="4F14970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vMerge w:val="restart"/>
            <w:tcBorders>
              <w:top w:val="nil"/>
              <w:left w:val="single" w:sz="4" w:space="0" w:color="auto"/>
              <w:bottom w:val="single" w:sz="4" w:space="0" w:color="000000"/>
              <w:right w:val="single" w:sz="4" w:space="0" w:color="auto"/>
            </w:tcBorders>
            <w:shd w:val="clear" w:color="auto" w:fill="auto"/>
            <w:vAlign w:val="center"/>
            <w:hideMark/>
          </w:tcPr>
          <w:p w14:paraId="63F1B6C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vMerge w:val="restart"/>
            <w:tcBorders>
              <w:top w:val="nil"/>
              <w:left w:val="single" w:sz="4" w:space="0" w:color="auto"/>
              <w:bottom w:val="single" w:sz="4" w:space="0" w:color="000000"/>
              <w:right w:val="single" w:sz="4" w:space="0" w:color="auto"/>
            </w:tcBorders>
            <w:shd w:val="clear" w:color="auto" w:fill="auto"/>
            <w:vAlign w:val="center"/>
            <w:hideMark/>
          </w:tcPr>
          <w:p w14:paraId="4AFE2A6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13AE05D8" w14:textId="32B3B252" w:rsidR="0021321C" w:rsidRPr="004F2AC3" w:rsidRDefault="006400E2"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auto" w:fill="auto"/>
            <w:vAlign w:val="center"/>
            <w:hideMark/>
          </w:tcPr>
          <w:p w14:paraId="1622E11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nil"/>
            </w:tcBorders>
            <w:shd w:val="clear" w:color="000000" w:fill="FFFFFF"/>
            <w:hideMark/>
          </w:tcPr>
          <w:p w14:paraId="532152D1" w14:textId="51E3BED0" w:rsidR="0021321C" w:rsidRPr="004F2AC3" w:rsidRDefault="0021321C" w:rsidP="00D80B69">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Kopshte dhe fëmijë të regjistruar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Raporti bruto i regjistrimeve në kopshte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GER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Raporti i neto i regjistrimeve në kopshte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Indeksi i barazisë gjinore GPI (mbi GER)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Raporti fëmijëve në kopshte sipas gjinisë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Raporti i fëmijëve në kopshte publike dhe jopublike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Përqindja e fëmijëve nga mosha 3</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6 vjeç të përfshirë në edukimin në fëmijërinë e hershme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Shkalla e pjesëmarrjes të fëmijëve 5</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6 vjeç në klasat përgatitore dhe grupet e 3-ta të kopshteve, sipas gjinisë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w:t>
            </w:r>
            <w:r w:rsidR="009A0388" w:rsidRPr="004F2AC3">
              <w:rPr>
                <w:rFonts w:ascii="Garamond" w:eastAsia="Times New Roman" w:hAnsi="Garamond" w:cs="Times New Roman"/>
                <w:color w:val="000000"/>
                <w:sz w:val="10"/>
                <w:szCs w:val="10"/>
                <w:lang w:eastAsia="sq-AL"/>
              </w:rPr>
              <w:t xml:space="preserve"> Numri i edukatoreve në kopshte;</w:t>
            </w:r>
            <w:r w:rsidRPr="004F2AC3">
              <w:rPr>
                <w:rFonts w:ascii="Garamond" w:eastAsia="Times New Roman" w:hAnsi="Garamond" w:cs="Times New Roman"/>
                <w:color w:val="000000"/>
                <w:sz w:val="10"/>
                <w:szCs w:val="10"/>
                <w:lang w:eastAsia="sq-AL"/>
              </w:rPr>
              <w:br/>
              <w:t>10. Raporti i</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fëmijëve për një edukatore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11. </w:t>
            </w:r>
            <w:r w:rsidR="006400E2" w:rsidRPr="004F2AC3">
              <w:rPr>
                <w:rFonts w:ascii="Garamond" w:eastAsia="Times New Roman" w:hAnsi="Garamond" w:cs="Times New Roman"/>
                <w:color w:val="000000"/>
                <w:sz w:val="10"/>
                <w:szCs w:val="10"/>
                <w:lang w:eastAsia="sq-AL"/>
              </w:rPr>
              <w:t>Fëmijë</w:t>
            </w:r>
            <w:r w:rsidRPr="004F2AC3">
              <w:rPr>
                <w:rFonts w:ascii="Garamond" w:eastAsia="Times New Roman" w:hAnsi="Garamond" w:cs="Times New Roman"/>
                <w:color w:val="000000"/>
                <w:sz w:val="10"/>
                <w:szCs w:val="10"/>
                <w:lang w:eastAsia="sq-AL"/>
              </w:rPr>
              <w:t xml:space="preserve"> të regjistruar në kopshte publike sipas bashkive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w:t>
            </w:r>
            <w:r w:rsidR="009A0388" w:rsidRPr="004F2AC3">
              <w:rPr>
                <w:rFonts w:ascii="Garamond" w:eastAsia="Times New Roman" w:hAnsi="Garamond" w:cs="Times New Roman"/>
                <w:color w:val="000000"/>
                <w:sz w:val="10"/>
                <w:szCs w:val="10"/>
                <w:lang w:eastAsia="sq-AL"/>
              </w:rPr>
              <w:t>. Numri i nxënësve në arsimin 9-</w:t>
            </w:r>
            <w:r w:rsidRPr="004F2AC3">
              <w:rPr>
                <w:rFonts w:ascii="Garamond" w:eastAsia="Times New Roman" w:hAnsi="Garamond" w:cs="Times New Roman"/>
                <w:color w:val="000000"/>
                <w:sz w:val="10"/>
                <w:szCs w:val="10"/>
                <w:lang w:eastAsia="sq-AL"/>
              </w:rPr>
              <w:t>vjeçar publik dhe privat</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13. Përqindja e fëmijëve jashtë shkolle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1</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14. Përqindja e fëmijëve jashtë shkolle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2</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Raporti bruto i regjistrimeve në klasën e pestë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Raporti bruto i regjistrimeve në klasën e nëntë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17. Përqindja e fëmijëve të moshës më të madhe për klasën përkatëse</w:t>
            </w:r>
            <w:r w:rsidR="009A0388" w:rsidRPr="004F2AC3">
              <w:rPr>
                <w:rFonts w:ascii="Garamond" w:eastAsia="Times New Roman" w:hAnsi="Garamond" w:cs="Times New Roman"/>
                <w:color w:val="000000"/>
                <w:sz w:val="10"/>
                <w:szCs w:val="10"/>
                <w:lang w:eastAsia="sq-AL"/>
              </w:rPr>
              <w:t xml:space="preserve"> – </w:t>
            </w:r>
            <w:r w:rsidRPr="004F2AC3">
              <w:rPr>
                <w:rFonts w:ascii="Garamond" w:eastAsia="Times New Roman" w:hAnsi="Garamond" w:cs="Times New Roman"/>
                <w:color w:val="000000"/>
                <w:sz w:val="10"/>
                <w:szCs w:val="10"/>
                <w:lang w:eastAsia="sq-AL"/>
              </w:rPr>
              <w:t>niveli ISCED 1</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18. Përqindja e fëmijëve të moshës më të madhe për klasën përkatëse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2</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19. Raporti bruto i regjistrimeve </w:t>
            </w:r>
            <w:r w:rsidR="009A0388" w:rsidRPr="004F2AC3">
              <w:rPr>
                <w:rFonts w:ascii="Garamond" w:eastAsia="Times New Roman" w:hAnsi="Garamond" w:cs="Times New Roman"/>
                <w:color w:val="000000"/>
                <w:sz w:val="10"/>
                <w:szCs w:val="10"/>
                <w:lang w:eastAsia="sq-AL"/>
              </w:rPr>
              <w:t>në arsimin 9-</w:t>
            </w:r>
            <w:r w:rsidRPr="004F2AC3">
              <w:rPr>
                <w:rFonts w:ascii="Garamond" w:eastAsia="Times New Roman" w:hAnsi="Garamond" w:cs="Times New Roman"/>
                <w:color w:val="000000"/>
                <w:sz w:val="10"/>
                <w:szCs w:val="10"/>
                <w:lang w:eastAsia="sq-AL"/>
              </w:rPr>
              <w:t xml:space="preserve">vjeçar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GER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Raporti i ne</w:t>
            </w:r>
            <w:r w:rsidR="009A0388" w:rsidRPr="004F2AC3">
              <w:rPr>
                <w:rFonts w:ascii="Garamond" w:eastAsia="Times New Roman" w:hAnsi="Garamond" w:cs="Times New Roman"/>
                <w:color w:val="000000"/>
                <w:sz w:val="10"/>
                <w:szCs w:val="10"/>
                <w:lang w:eastAsia="sq-AL"/>
              </w:rPr>
              <w:t>to i regjistrimeve në arsimin 9-</w:t>
            </w:r>
            <w:r w:rsidRPr="004F2AC3">
              <w:rPr>
                <w:rFonts w:ascii="Garamond" w:eastAsia="Times New Roman" w:hAnsi="Garamond" w:cs="Times New Roman"/>
                <w:color w:val="000000"/>
                <w:sz w:val="10"/>
                <w:szCs w:val="10"/>
                <w:lang w:eastAsia="sq-AL"/>
              </w:rPr>
              <w:t xml:space="preserve">vjeçar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21. Indeksi i barazisë gjinore GPI (mbi GER)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22. Indeksi i paritetit gjinor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1</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23. Indeksi i paritetit gjinor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2</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24. Shkalla e pjesëmarrjes në të mësuarit e organizuar (1 vit para moshës zyrtare të hyrjes në fillore)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4.2.2 SDG</w:t>
            </w:r>
            <w:r w:rsidR="009A0388"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40730F9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Ministria e Arsimit </w:t>
            </w:r>
          </w:p>
        </w:tc>
        <w:tc>
          <w:tcPr>
            <w:tcW w:w="413" w:type="dxa"/>
            <w:vMerge w:val="restart"/>
            <w:tcBorders>
              <w:top w:val="nil"/>
              <w:left w:val="single" w:sz="4" w:space="0" w:color="auto"/>
              <w:bottom w:val="single" w:sz="4" w:space="0" w:color="000000"/>
              <w:right w:val="single" w:sz="4" w:space="0" w:color="auto"/>
            </w:tcBorders>
            <w:shd w:val="clear" w:color="auto" w:fill="auto"/>
            <w:vAlign w:val="center"/>
            <w:hideMark/>
          </w:tcPr>
          <w:p w14:paraId="192AE543" w14:textId="50A0352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66" w:type="dxa"/>
            <w:vMerge w:val="restart"/>
            <w:tcBorders>
              <w:top w:val="nil"/>
              <w:left w:val="single" w:sz="4" w:space="0" w:color="auto"/>
              <w:bottom w:val="single" w:sz="4" w:space="0" w:color="000000"/>
              <w:right w:val="single" w:sz="4" w:space="0" w:color="auto"/>
            </w:tcBorders>
            <w:shd w:val="clear" w:color="auto" w:fill="auto"/>
            <w:vAlign w:val="center"/>
            <w:hideMark/>
          </w:tcPr>
          <w:p w14:paraId="1DA9EC0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-30D</w:t>
            </w:r>
          </w:p>
        </w:tc>
        <w:tc>
          <w:tcPr>
            <w:tcW w:w="385" w:type="dxa"/>
            <w:vMerge w:val="restart"/>
            <w:tcBorders>
              <w:top w:val="nil"/>
              <w:left w:val="single" w:sz="4" w:space="0" w:color="auto"/>
              <w:bottom w:val="single" w:sz="4" w:space="0" w:color="000000"/>
              <w:right w:val="single" w:sz="4" w:space="0" w:color="auto"/>
            </w:tcBorders>
            <w:shd w:val="clear" w:color="auto" w:fill="auto"/>
            <w:vAlign w:val="center"/>
            <w:hideMark/>
          </w:tcPr>
          <w:p w14:paraId="1AD13E6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+ 160D</w:t>
            </w:r>
          </w:p>
        </w:tc>
        <w:tc>
          <w:tcPr>
            <w:tcW w:w="361" w:type="dxa"/>
            <w:vMerge w:val="restart"/>
            <w:tcBorders>
              <w:top w:val="nil"/>
              <w:left w:val="single" w:sz="4" w:space="0" w:color="auto"/>
              <w:bottom w:val="single" w:sz="4" w:space="0" w:color="000000"/>
              <w:right w:val="single" w:sz="4" w:space="0" w:color="auto"/>
            </w:tcBorders>
            <w:shd w:val="clear" w:color="auto" w:fill="auto"/>
            <w:vAlign w:val="center"/>
            <w:hideMark/>
          </w:tcPr>
          <w:p w14:paraId="68530E0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+ 167D</w:t>
            </w:r>
          </w:p>
        </w:tc>
        <w:tc>
          <w:tcPr>
            <w:tcW w:w="732" w:type="dxa"/>
            <w:vMerge w:val="restart"/>
            <w:tcBorders>
              <w:top w:val="nil"/>
              <w:left w:val="single" w:sz="4" w:space="0" w:color="auto"/>
              <w:bottom w:val="single" w:sz="4" w:space="0" w:color="000000"/>
              <w:right w:val="single" w:sz="4" w:space="0" w:color="auto"/>
            </w:tcBorders>
            <w:shd w:val="clear" w:color="auto" w:fill="auto"/>
            <w:vAlign w:val="center"/>
            <w:hideMark/>
          </w:tcPr>
          <w:p w14:paraId="554D962E" w14:textId="09A296A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-|- 4</w:t>
            </w:r>
            <w:r w:rsidRPr="004F2AC3">
              <w:rPr>
                <w:rFonts w:ascii="Garamond" w:eastAsia="Times New Roman" w:hAnsi="Garamond" w:cs="Times New Roman"/>
                <w:color w:val="000000"/>
                <w:sz w:val="10"/>
                <w:szCs w:val="10"/>
                <w:lang w:eastAsia="sq-AL"/>
              </w:rPr>
              <w:br/>
              <w:t xml:space="preserve">2. Pezullimi/vonesa e mbledhjes, prodhimit dhe shpërndarjes të statistikave zyrtare si pasojë e </w:t>
            </w:r>
            <w:r w:rsidR="009A0388" w:rsidRPr="004F2AC3">
              <w:rPr>
                <w:rFonts w:ascii="Garamond" w:eastAsia="Times New Roman" w:hAnsi="Garamond" w:cs="Times New Roman"/>
                <w:color w:val="000000"/>
                <w:sz w:val="10"/>
                <w:szCs w:val="10"/>
                <w:lang w:eastAsia="sq-AL"/>
              </w:rPr>
              <w:t>fatkeqësive natyrore/pandemi globale e</w:t>
            </w:r>
            <w:r w:rsidRPr="004F2AC3">
              <w:rPr>
                <w:rFonts w:ascii="Garamond" w:eastAsia="Times New Roman" w:hAnsi="Garamond" w:cs="Times New Roman"/>
                <w:color w:val="000000"/>
                <w:sz w:val="10"/>
                <w:szCs w:val="10"/>
                <w:lang w:eastAsia="sq-AL"/>
              </w:rPr>
              <w:t>tj. -|- 4</w:t>
            </w:r>
          </w:p>
        </w:tc>
        <w:tc>
          <w:tcPr>
            <w:tcW w:w="551" w:type="dxa"/>
            <w:vMerge w:val="restart"/>
            <w:tcBorders>
              <w:top w:val="nil"/>
              <w:left w:val="single" w:sz="4" w:space="0" w:color="auto"/>
              <w:bottom w:val="single" w:sz="4" w:space="0" w:color="000000"/>
              <w:right w:val="single" w:sz="4" w:space="0" w:color="auto"/>
            </w:tcBorders>
            <w:shd w:val="clear" w:color="auto" w:fill="auto"/>
            <w:vAlign w:val="center"/>
            <w:hideMark/>
          </w:tcPr>
          <w:p w14:paraId="1C873D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424C7C7F" w14:textId="77777777" w:rsidTr="0021321C">
        <w:trPr>
          <w:trHeight w:val="180"/>
          <w:jc w:val="center"/>
        </w:trPr>
        <w:tc>
          <w:tcPr>
            <w:tcW w:w="388" w:type="dxa"/>
            <w:tcBorders>
              <w:top w:val="nil"/>
              <w:left w:val="nil"/>
              <w:bottom w:val="nil"/>
              <w:right w:val="nil"/>
            </w:tcBorders>
            <w:shd w:val="clear" w:color="000000" w:fill="FFFFFF"/>
            <w:vAlign w:val="bottom"/>
            <w:hideMark/>
          </w:tcPr>
          <w:p w14:paraId="780A64F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1CF456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7A617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9DD5B0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BF92E3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16F1A0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0E461F7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3330DB9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7463EE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38D16B6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5512844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42691E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55D0D4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000000" w:fill="FFFFFF"/>
            <w:hideMark/>
          </w:tcPr>
          <w:p w14:paraId="47724DE3" w14:textId="3D39269D" w:rsidR="0021321C" w:rsidRPr="004F2AC3" w:rsidRDefault="0021321C" w:rsidP="00D80B69">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25. Raporti bruto i regjistrimeve në ciklin e ulët të arsimit 9-vjeçar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GER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26. Raporti bruto i regjistrimeve n</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ciklin e lartë të arsimit 9- vjeçar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GER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27. Raporti neto i regjistrimeve n</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ciklin e ulët të arsimit 9- vjeçar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28. Raporti neto i regjistrimeve n</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ciklin e lartë të arsimit 9- vjeçar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29. Raporti i nxënësve meshkuj-femra për të dy ciklet e arsimit 9-vjeçar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(Indeksi i paritetit gjinor- niveli ISCED 1+2)</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30. Raporti i nxënësve në shkolla publike dhe jopublike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31</w:t>
            </w:r>
            <w:r w:rsidR="009A0388" w:rsidRPr="004F2AC3">
              <w:rPr>
                <w:rFonts w:ascii="Garamond" w:eastAsia="Times New Roman" w:hAnsi="Garamond" w:cs="Times New Roman"/>
                <w:color w:val="000000"/>
                <w:sz w:val="10"/>
                <w:szCs w:val="10"/>
                <w:lang w:eastAsia="sq-AL"/>
              </w:rPr>
              <w:t>. Numri i mësuesve në arsimin 9-</w:t>
            </w:r>
            <w:r w:rsidRPr="004F2AC3">
              <w:rPr>
                <w:rFonts w:ascii="Garamond" w:eastAsia="Times New Roman" w:hAnsi="Garamond" w:cs="Times New Roman"/>
                <w:color w:val="000000"/>
                <w:sz w:val="10"/>
                <w:szCs w:val="10"/>
                <w:lang w:eastAsia="sq-AL"/>
              </w:rPr>
              <w:t>vjeçar publik dhe privat</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32. Raporti nxënës për mësues për të dy ciklet e arsimit 9-vjeçar</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PTR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33. Niveli i shkollimit të trupit arsimor sipas cikleve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34. Numri i shkolla</w:t>
            </w:r>
            <w:r w:rsidR="009A0388" w:rsidRPr="004F2AC3">
              <w:rPr>
                <w:rFonts w:ascii="Garamond" w:eastAsia="Times New Roman" w:hAnsi="Garamond" w:cs="Times New Roman"/>
                <w:color w:val="000000"/>
                <w:sz w:val="10"/>
                <w:szCs w:val="10"/>
                <w:lang w:eastAsia="sq-AL"/>
              </w:rPr>
              <w:t>ve 9-</w:t>
            </w:r>
            <w:r w:rsidRPr="004F2AC3">
              <w:rPr>
                <w:rFonts w:ascii="Garamond" w:eastAsia="Times New Roman" w:hAnsi="Garamond" w:cs="Times New Roman"/>
                <w:color w:val="000000"/>
                <w:sz w:val="10"/>
                <w:szCs w:val="10"/>
                <w:lang w:eastAsia="sq-AL"/>
              </w:rPr>
              <w:t>vjeçare publik dhe privat</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35. Raporti i nxënësve për klasë për të dy ciklet e arsimit 9-vjeçar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36. Përqin</w:t>
            </w:r>
            <w:r w:rsidR="009A0388" w:rsidRPr="004F2AC3">
              <w:rPr>
                <w:rFonts w:ascii="Garamond" w:eastAsia="Times New Roman" w:hAnsi="Garamond" w:cs="Times New Roman"/>
                <w:color w:val="000000"/>
                <w:sz w:val="10"/>
                <w:szCs w:val="10"/>
                <w:lang w:eastAsia="sq-AL"/>
              </w:rPr>
              <w:t>dja e përsëritësve në arsimin 9-</w:t>
            </w:r>
            <w:r w:rsidRPr="004F2AC3">
              <w:rPr>
                <w:rFonts w:ascii="Garamond" w:eastAsia="Times New Roman" w:hAnsi="Garamond" w:cs="Times New Roman"/>
                <w:color w:val="000000"/>
                <w:sz w:val="10"/>
                <w:szCs w:val="10"/>
                <w:lang w:eastAsia="sq-AL"/>
              </w:rPr>
              <w:t>vjeçar dhe sipas cikleve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37. Numri i </w:t>
            </w:r>
            <w:r w:rsidR="006400E2" w:rsidRPr="004F2AC3">
              <w:rPr>
                <w:rFonts w:ascii="Garamond" w:eastAsia="Times New Roman" w:hAnsi="Garamond" w:cs="Times New Roman"/>
                <w:color w:val="000000"/>
                <w:sz w:val="10"/>
                <w:szCs w:val="10"/>
                <w:lang w:eastAsia="sq-AL"/>
              </w:rPr>
              <w:t>nxënësve</w:t>
            </w:r>
            <w:r w:rsidR="005B3A9C" w:rsidRPr="004F2AC3">
              <w:rPr>
                <w:rFonts w:ascii="Garamond" w:eastAsia="Times New Roman" w:hAnsi="Garamond" w:cs="Times New Roman"/>
                <w:color w:val="000000"/>
                <w:sz w:val="10"/>
                <w:szCs w:val="10"/>
                <w:lang w:eastAsia="sq-AL"/>
              </w:rPr>
              <w:t xml:space="preserve"> në arsimin 9-</w:t>
            </w:r>
            <w:r w:rsidRPr="004F2AC3">
              <w:rPr>
                <w:rFonts w:ascii="Garamond" w:eastAsia="Times New Roman" w:hAnsi="Garamond" w:cs="Times New Roman"/>
                <w:color w:val="000000"/>
                <w:sz w:val="10"/>
                <w:szCs w:val="10"/>
                <w:lang w:eastAsia="sq-AL"/>
              </w:rPr>
              <w:t>vjeçar publik sipas bashkive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38. Raporti i nxënësve pë</w:t>
            </w:r>
            <w:r w:rsidR="009A0388" w:rsidRPr="004F2AC3">
              <w:rPr>
                <w:rFonts w:ascii="Garamond" w:eastAsia="Times New Roman" w:hAnsi="Garamond" w:cs="Times New Roman"/>
                <w:color w:val="000000"/>
                <w:sz w:val="10"/>
                <w:szCs w:val="10"/>
                <w:lang w:eastAsia="sq-AL"/>
              </w:rPr>
              <w:t>r klasë në arsimin 9-</w:t>
            </w:r>
            <w:r w:rsidRPr="004F2AC3">
              <w:rPr>
                <w:rFonts w:ascii="Garamond" w:eastAsia="Times New Roman" w:hAnsi="Garamond" w:cs="Times New Roman"/>
                <w:color w:val="000000"/>
                <w:sz w:val="10"/>
                <w:szCs w:val="10"/>
                <w:lang w:eastAsia="sq-AL"/>
              </w:rPr>
              <w:t>vjeçar publik sipas bashkive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39. Raporti i n</w:t>
            </w:r>
            <w:r w:rsidR="009A0388" w:rsidRPr="004F2AC3">
              <w:rPr>
                <w:rFonts w:ascii="Garamond" w:eastAsia="Times New Roman" w:hAnsi="Garamond" w:cs="Times New Roman"/>
                <w:color w:val="000000"/>
                <w:sz w:val="10"/>
                <w:szCs w:val="10"/>
                <w:lang w:eastAsia="sq-AL"/>
              </w:rPr>
              <w:t>xënësve për mësues në arsimin 9-</w:t>
            </w:r>
            <w:r w:rsidRPr="004F2AC3">
              <w:rPr>
                <w:rFonts w:ascii="Garamond" w:eastAsia="Times New Roman" w:hAnsi="Garamond" w:cs="Times New Roman"/>
                <w:color w:val="000000"/>
                <w:sz w:val="10"/>
                <w:szCs w:val="10"/>
                <w:lang w:eastAsia="sq-AL"/>
              </w:rPr>
              <w:t>vjeçar publik sipas bashkive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40. Raporti bruto i regjistrimeve GER </w:t>
            </w:r>
            <w:r w:rsidR="009A0388"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arsimi i mesëm</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41. Raporti neto i regjistrimeve NER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arsimi i mesëm</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42. Përqindja e shkollave me infrastrukturën dhe materialet e përshtatura për nxënësit me aftësi të kufizuara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1</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43. Përqindja e shkollave me infrastrukturën dhe materialet e përshtatura për nxënësit me aftësi të kufizuara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2</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44. Përqindja e shkollave që kanë akses në energji elektrike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1</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45. Përqindja e shkollave që kanë akses në internet për qëllime pedagogjike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1</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46. Përqindja e shkollave që kanë akses në kompjuterë për qëllime pedagogjike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1</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47. Përqindja e shkollave që kanë akses në energji elektrike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2</w:t>
            </w:r>
            <w:r w:rsidR="009A0388"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0722D3B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5E20A33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252254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310B56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1AFE15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209204B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1CCB677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3B6C294A" w14:textId="77777777" w:rsidTr="0021321C">
        <w:trPr>
          <w:trHeight w:val="180"/>
          <w:jc w:val="center"/>
        </w:trPr>
        <w:tc>
          <w:tcPr>
            <w:tcW w:w="388" w:type="dxa"/>
            <w:tcBorders>
              <w:top w:val="nil"/>
              <w:left w:val="nil"/>
              <w:bottom w:val="nil"/>
              <w:right w:val="nil"/>
            </w:tcBorders>
            <w:shd w:val="clear" w:color="000000" w:fill="FFFFFF"/>
            <w:vAlign w:val="bottom"/>
            <w:hideMark/>
          </w:tcPr>
          <w:p w14:paraId="0B50E63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99B6EF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AFBF38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EBA9C6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80EAF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66CAF2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6289559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49A598E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70E803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0FE1E64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684D0BE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6ECDDD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6AACEB2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000000" w:fill="FFFFFF"/>
            <w:hideMark/>
          </w:tcPr>
          <w:p w14:paraId="06C57B4E" w14:textId="70A59B02" w:rsidR="0021321C" w:rsidRPr="004F2AC3" w:rsidRDefault="0021321C" w:rsidP="00D80B69">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48. Përqindja e shkollave që kanë akses në internet për qëllime pedagogjike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2</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49. Përqindja e shkollave që kanë akses në kompjuter për qëllime pedagogjike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2</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50. Përqindja e mësuesve që kanë marrë trajnim gjatë punës në 12 muajt e fundit sipas llojit të trajnimit</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51. Indeksi i barazisë gjinore GPI (on GER)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(Indeksi i paritetit gjinor- niveli ISCED 3)</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52. Numri i nxënësve për klasë me kohë të plotë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50. Përqindja e mësuesve që kanë marrë trajnim gjatë punës në 12 muajt e fundit sipas llojit të trajnimit</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51. Indeksi i barazisë gjinore GPI (on GER)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(Indeksi i paritetit gjinor- niveli ISCED 3)</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52. Numri i nxënësve për klasë me kohë të plotë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53. Numri i nxënësve për mësues me kohë të plotë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54. Numri i </w:t>
            </w:r>
            <w:r w:rsidR="006400E2" w:rsidRPr="004F2AC3">
              <w:rPr>
                <w:rFonts w:ascii="Garamond" w:eastAsia="Times New Roman" w:hAnsi="Garamond" w:cs="Times New Roman"/>
                <w:color w:val="000000"/>
                <w:sz w:val="10"/>
                <w:szCs w:val="10"/>
                <w:lang w:eastAsia="sq-AL"/>
              </w:rPr>
              <w:t>nxënësve</w:t>
            </w:r>
            <w:r w:rsidRPr="004F2AC3">
              <w:rPr>
                <w:rFonts w:ascii="Garamond" w:eastAsia="Times New Roman" w:hAnsi="Garamond" w:cs="Times New Roman"/>
                <w:color w:val="000000"/>
                <w:sz w:val="10"/>
                <w:szCs w:val="10"/>
                <w:lang w:eastAsia="sq-AL"/>
              </w:rPr>
              <w:t xml:space="preserve"> në arsimin e mesëm publik sipas programeve dhe bashkive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55. Niveli i shkollimit e trupit mësimor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56. Numri i shkollave të mesme dhe raporti publik-privat</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57. Numri i nxënësve në arsimin e mesëm</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58. Raporti bruto i regjistrimeve GER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arsimi i lartë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ISCED_5-8</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59. Përqindja e fëmijëve jashtë shkolle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3</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60. Përqindja e shkollave me infrastrukturën dhe materialet e përshtatura për nxënësit me aftësi të kufizuara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3</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61. Përqindja e shkollave që kanë akses në energji elektrike - Niveli ISCED 3</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62. Përqindja e shkollave që kanë akses në internet për qëllime pedagogjike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3</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63. Përqindja e shkollave që kanë akses në kompjuterë për qëllime pedagogjike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Niveli ISCED 3</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64. Përqindja e mësuesve që kanë marrë trajnim gjatë punës në 12 muajt e fundit sipas llojit të trajnimit</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65. Raporti meshkuj femra i studentëve në arsimin e lartë </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Indeksi i barazisë gjinore GPI (on GER)</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66. Raporti i studentëve të regjistruar në shkollat e larta publike/private sipas gjinisë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67. Studentë të regjistruar në shkollat e larta sipas fushave të studimit</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68. Trup mësimor efektiv dhe i jashtëm në universitete publike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69. Raporti i studentëve të regjistruar</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sipas gjinisë në universitete e fakultete</w:t>
            </w:r>
            <w:r w:rsidR="009A0388"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61180DC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72D5EF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14612B8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6ECF1C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1A7ABC8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719F70C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0CB5F45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4A75B99C" w14:textId="77777777" w:rsidTr="0021321C">
        <w:trPr>
          <w:trHeight w:val="180"/>
          <w:jc w:val="center"/>
        </w:trPr>
        <w:tc>
          <w:tcPr>
            <w:tcW w:w="388" w:type="dxa"/>
            <w:tcBorders>
              <w:top w:val="nil"/>
              <w:left w:val="nil"/>
              <w:bottom w:val="nil"/>
              <w:right w:val="nil"/>
            </w:tcBorders>
            <w:shd w:val="clear" w:color="000000" w:fill="FFFFFF"/>
            <w:vAlign w:val="bottom"/>
            <w:hideMark/>
          </w:tcPr>
          <w:p w14:paraId="3F78DAB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A6C833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FF2A6C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AF5EDC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7B0977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CAF300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37D181A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7B680E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61FE6A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783E0C0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7F5F99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119EBE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11F6818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000000" w:fill="FFFFFF"/>
            <w:hideMark/>
          </w:tcPr>
          <w:p w14:paraId="38D43325" w14:textId="5AF23F4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70. Studentë të pranuar të rinj për vitin akademik me kohë të plotë ose të pjesshme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71. Raporti i studentëve në arsimin publik me studentë</w:t>
            </w:r>
            <w:r w:rsidR="009A0388" w:rsidRPr="004F2AC3">
              <w:rPr>
                <w:rFonts w:ascii="Garamond" w:eastAsia="Times New Roman" w:hAnsi="Garamond" w:cs="Times New Roman"/>
                <w:color w:val="000000"/>
                <w:sz w:val="10"/>
                <w:szCs w:val="10"/>
                <w:lang w:eastAsia="sq-AL"/>
              </w:rPr>
              <w:t xml:space="preserve"> në arsimin jo</w:t>
            </w:r>
            <w:r w:rsidRPr="004F2AC3">
              <w:rPr>
                <w:rFonts w:ascii="Garamond" w:eastAsia="Times New Roman" w:hAnsi="Garamond" w:cs="Times New Roman"/>
                <w:color w:val="000000"/>
                <w:sz w:val="10"/>
                <w:szCs w:val="10"/>
                <w:lang w:eastAsia="sq-AL"/>
              </w:rPr>
              <w:t>publik</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72. Raporti i studentëve të huaj me vendës</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73. Numri i studentëve të huaj si përqindje e numrit total të studentëve në arsimin e lartë në Shqipëri</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74. Përqindja e studentëve të regjistruar në programet STEM</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75. Numri i Universiteteve publike e private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76. Shpenzime të buxhetit të shtetit për arsimin publik</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77. Përqindja e shpenzimeve për arsimin ndaj totalit gjithsej të shpenzimeve dhe GDP</w:t>
            </w:r>
            <w:r w:rsidR="009A0388"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3FBAEC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0101981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353465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362B789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3CBE8A3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74CA4A0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0F87092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6DB25C31" w14:textId="77777777" w:rsidTr="0021321C">
        <w:trPr>
          <w:trHeight w:val="180"/>
          <w:jc w:val="center"/>
        </w:trPr>
        <w:tc>
          <w:tcPr>
            <w:tcW w:w="388" w:type="dxa"/>
            <w:tcBorders>
              <w:top w:val="nil"/>
              <w:left w:val="nil"/>
              <w:bottom w:val="nil"/>
              <w:right w:val="nil"/>
            </w:tcBorders>
            <w:shd w:val="clear" w:color="000000" w:fill="FFFFFF"/>
            <w:vAlign w:val="bottom"/>
            <w:hideMark/>
          </w:tcPr>
          <w:p w14:paraId="215E7D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0F6CE9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76083B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CAA164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425022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AD1392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778AB84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1.3.1.2</w:t>
            </w:r>
          </w:p>
        </w:tc>
        <w:tc>
          <w:tcPr>
            <w:tcW w:w="563" w:type="dxa"/>
            <w:tcBorders>
              <w:top w:val="nil"/>
              <w:left w:val="nil"/>
              <w:bottom w:val="single" w:sz="4" w:space="0" w:color="auto"/>
              <w:right w:val="single" w:sz="4" w:space="0" w:color="auto"/>
            </w:tcBorders>
            <w:shd w:val="clear" w:color="auto" w:fill="auto"/>
            <w:vAlign w:val="center"/>
            <w:hideMark/>
          </w:tcPr>
          <w:p w14:paraId="1FCD5D1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diplomimeve në arsim</w:t>
            </w:r>
          </w:p>
        </w:tc>
        <w:tc>
          <w:tcPr>
            <w:tcW w:w="446" w:type="dxa"/>
            <w:tcBorders>
              <w:top w:val="nil"/>
              <w:left w:val="nil"/>
              <w:bottom w:val="single" w:sz="4" w:space="0" w:color="auto"/>
              <w:right w:val="single" w:sz="4" w:space="0" w:color="auto"/>
            </w:tcBorders>
            <w:shd w:val="clear" w:color="auto" w:fill="auto"/>
            <w:vAlign w:val="center"/>
            <w:hideMark/>
          </w:tcPr>
          <w:p w14:paraId="2478B2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vAlign w:val="center"/>
            <w:hideMark/>
          </w:tcPr>
          <w:p w14:paraId="45739A8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7EFB6A9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0E34AB8D" w14:textId="74755C9E"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15A5F66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single" w:sz="4" w:space="0" w:color="auto"/>
              <w:right w:val="single" w:sz="4" w:space="0" w:color="auto"/>
            </w:tcBorders>
            <w:shd w:val="clear" w:color="000000" w:fill="FFFFFF"/>
            <w:vAlign w:val="center"/>
            <w:hideMark/>
          </w:tcPr>
          <w:p w14:paraId="1AEA670C" w14:textId="6923226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Raporti i nxënësve që </w:t>
            </w:r>
            <w:r w:rsidR="00E96E49" w:rsidRPr="004F2AC3">
              <w:rPr>
                <w:rFonts w:ascii="Garamond" w:eastAsia="Times New Roman" w:hAnsi="Garamond" w:cs="Times New Roman"/>
                <w:color w:val="000000"/>
                <w:sz w:val="10"/>
                <w:szCs w:val="10"/>
                <w:lang w:eastAsia="sq-AL"/>
              </w:rPr>
              <w:t>marrin</w:t>
            </w:r>
            <w:r w:rsidRPr="004F2AC3">
              <w:rPr>
                <w:rFonts w:ascii="Garamond" w:eastAsia="Times New Roman" w:hAnsi="Garamond" w:cs="Times New Roman"/>
                <w:color w:val="000000"/>
                <w:sz w:val="10"/>
                <w:szCs w:val="10"/>
                <w:lang w:eastAsia="sq-AL"/>
              </w:rPr>
              <w:t xml:space="preserve"> dëftesë pjekurie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Raporti i studentëve të diplomuar sipas gjinisë në universitete e fakultete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Raporti i studentëve t</w:t>
            </w:r>
            <w:r w:rsidR="00D449AF"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regjistruar e të diplomuar me kohë të plotë ose të pjesshme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Të larguarit herët nga shkollimi (</w:t>
            </w:r>
            <w:r w:rsidRPr="004F2AC3">
              <w:rPr>
                <w:rFonts w:ascii="Garamond" w:eastAsia="Times New Roman" w:hAnsi="Garamond" w:cs="Times New Roman"/>
                <w:i/>
                <w:color w:val="000000"/>
                <w:sz w:val="10"/>
                <w:szCs w:val="10"/>
                <w:lang w:eastAsia="sq-AL"/>
              </w:rPr>
              <w:t>Early School leavers</w:t>
            </w:r>
            <w:r w:rsidR="005B3A9C" w:rsidRPr="004F2AC3">
              <w:rPr>
                <w:rFonts w:ascii="Garamond" w:eastAsia="Times New Roman" w:hAnsi="Garamond" w:cs="Times New Roman"/>
                <w:color w:val="000000"/>
                <w:sz w:val="10"/>
                <w:szCs w:val="10"/>
                <w:lang w:eastAsia="sq-AL"/>
              </w:rPr>
              <w:t>) (nga LFS)</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Përqindja e popullsisë të moshës 30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34 vjeç me arsimim të lartë (nga LFS)</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Studentë të diplomuar dhe sipas fushave të studimit</w:t>
            </w:r>
            <w:r w:rsidR="009A038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2D7FEF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Ministria e Arsimit </w:t>
            </w:r>
          </w:p>
        </w:tc>
        <w:tc>
          <w:tcPr>
            <w:tcW w:w="413" w:type="dxa"/>
            <w:tcBorders>
              <w:top w:val="nil"/>
              <w:left w:val="nil"/>
              <w:bottom w:val="single" w:sz="4" w:space="0" w:color="auto"/>
              <w:right w:val="single" w:sz="4" w:space="0" w:color="auto"/>
            </w:tcBorders>
            <w:shd w:val="clear" w:color="auto" w:fill="auto"/>
            <w:vAlign w:val="center"/>
            <w:hideMark/>
          </w:tcPr>
          <w:p w14:paraId="20131D66" w14:textId="0516C87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185B921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+ 31D</w:t>
            </w:r>
          </w:p>
        </w:tc>
        <w:tc>
          <w:tcPr>
            <w:tcW w:w="385" w:type="dxa"/>
            <w:tcBorders>
              <w:top w:val="nil"/>
              <w:left w:val="nil"/>
              <w:bottom w:val="single" w:sz="4" w:space="0" w:color="auto"/>
              <w:right w:val="single" w:sz="4" w:space="0" w:color="auto"/>
            </w:tcBorders>
            <w:shd w:val="clear" w:color="auto" w:fill="auto"/>
            <w:vAlign w:val="center"/>
            <w:hideMark/>
          </w:tcPr>
          <w:p w14:paraId="0C016E5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+ 126D</w:t>
            </w:r>
          </w:p>
        </w:tc>
        <w:tc>
          <w:tcPr>
            <w:tcW w:w="361" w:type="dxa"/>
            <w:tcBorders>
              <w:top w:val="nil"/>
              <w:left w:val="nil"/>
              <w:bottom w:val="single" w:sz="4" w:space="0" w:color="auto"/>
              <w:right w:val="single" w:sz="4" w:space="0" w:color="auto"/>
            </w:tcBorders>
            <w:shd w:val="clear" w:color="auto" w:fill="auto"/>
            <w:vAlign w:val="center"/>
            <w:hideMark/>
          </w:tcPr>
          <w:p w14:paraId="2DF34A4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+ 132D</w:t>
            </w:r>
          </w:p>
        </w:tc>
        <w:tc>
          <w:tcPr>
            <w:tcW w:w="732" w:type="dxa"/>
            <w:tcBorders>
              <w:top w:val="nil"/>
              <w:left w:val="nil"/>
              <w:bottom w:val="single" w:sz="4" w:space="0" w:color="auto"/>
              <w:right w:val="single" w:sz="4" w:space="0" w:color="auto"/>
            </w:tcBorders>
            <w:shd w:val="clear" w:color="auto" w:fill="auto"/>
            <w:vAlign w:val="center"/>
            <w:hideMark/>
          </w:tcPr>
          <w:p w14:paraId="6975B952" w14:textId="73C89B1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-|- 4</w:t>
            </w:r>
            <w:r w:rsidRPr="004F2AC3">
              <w:rPr>
                <w:rFonts w:ascii="Garamond" w:eastAsia="Times New Roman" w:hAnsi="Garamond" w:cs="Times New Roman"/>
                <w:color w:val="000000"/>
                <w:sz w:val="10"/>
                <w:szCs w:val="10"/>
                <w:lang w:eastAsia="sq-AL"/>
              </w:rPr>
              <w:br/>
              <w:t xml:space="preserve">2. Pezullimi/vonesa e mbledhjes, prodhimit dhe shpërndarjes të statistikave zyrtare si pasojë e </w:t>
            </w:r>
            <w:r w:rsidR="009A0388" w:rsidRPr="004F2AC3">
              <w:rPr>
                <w:rFonts w:ascii="Garamond" w:eastAsia="Times New Roman" w:hAnsi="Garamond" w:cs="Times New Roman"/>
                <w:color w:val="000000"/>
                <w:sz w:val="10"/>
                <w:szCs w:val="10"/>
                <w:lang w:eastAsia="sq-AL"/>
              </w:rPr>
              <w:t>fatkeqësive natyrore/pandemi globale e</w:t>
            </w:r>
            <w:r w:rsidRPr="004F2AC3">
              <w:rPr>
                <w:rFonts w:ascii="Garamond" w:eastAsia="Times New Roman" w:hAnsi="Garamond" w:cs="Times New Roman"/>
                <w:color w:val="000000"/>
                <w:sz w:val="10"/>
                <w:szCs w:val="10"/>
                <w:lang w:eastAsia="sq-AL"/>
              </w:rPr>
              <w:t>tj. -|- 4</w:t>
            </w:r>
          </w:p>
        </w:tc>
        <w:tc>
          <w:tcPr>
            <w:tcW w:w="551" w:type="dxa"/>
            <w:tcBorders>
              <w:top w:val="nil"/>
              <w:left w:val="nil"/>
              <w:bottom w:val="single" w:sz="4" w:space="0" w:color="auto"/>
              <w:right w:val="single" w:sz="4" w:space="0" w:color="auto"/>
            </w:tcBorders>
            <w:shd w:val="clear" w:color="auto" w:fill="auto"/>
            <w:vAlign w:val="center"/>
            <w:hideMark/>
          </w:tcPr>
          <w:p w14:paraId="645360B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65F24ABE" w14:textId="77777777" w:rsidTr="0021321C">
        <w:trPr>
          <w:trHeight w:val="180"/>
          <w:jc w:val="center"/>
        </w:trPr>
        <w:tc>
          <w:tcPr>
            <w:tcW w:w="388" w:type="dxa"/>
            <w:tcBorders>
              <w:top w:val="nil"/>
              <w:left w:val="nil"/>
              <w:bottom w:val="nil"/>
              <w:right w:val="nil"/>
            </w:tcBorders>
            <w:shd w:val="clear" w:color="000000" w:fill="FFFFFF"/>
            <w:vAlign w:val="bottom"/>
            <w:hideMark/>
          </w:tcPr>
          <w:p w14:paraId="6E87AC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5F094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59862CE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1.4</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0B76C1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Shëndetësia </w:t>
            </w:r>
          </w:p>
        </w:tc>
      </w:tr>
      <w:tr w:rsidR="0021321C" w:rsidRPr="004F2AC3" w14:paraId="2263125B" w14:textId="77777777" w:rsidTr="0021321C">
        <w:trPr>
          <w:trHeight w:val="180"/>
          <w:jc w:val="center"/>
        </w:trPr>
        <w:tc>
          <w:tcPr>
            <w:tcW w:w="388" w:type="dxa"/>
            <w:tcBorders>
              <w:top w:val="nil"/>
              <w:left w:val="nil"/>
              <w:bottom w:val="nil"/>
              <w:right w:val="nil"/>
            </w:tcBorders>
            <w:shd w:val="clear" w:color="000000" w:fill="FFFFFF"/>
            <w:vAlign w:val="bottom"/>
            <w:hideMark/>
          </w:tcPr>
          <w:p w14:paraId="1B2A3CE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E6E661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C5079B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659719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5068669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1.4.1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5035289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Shëndeti publik</w:t>
            </w:r>
          </w:p>
        </w:tc>
      </w:tr>
      <w:tr w:rsidR="00C73163" w:rsidRPr="004F2AC3" w14:paraId="175296E4" w14:textId="77777777" w:rsidTr="0021321C">
        <w:trPr>
          <w:trHeight w:val="180"/>
          <w:jc w:val="center"/>
        </w:trPr>
        <w:tc>
          <w:tcPr>
            <w:tcW w:w="388" w:type="dxa"/>
            <w:tcBorders>
              <w:top w:val="nil"/>
              <w:left w:val="nil"/>
              <w:bottom w:val="nil"/>
              <w:right w:val="nil"/>
            </w:tcBorders>
            <w:shd w:val="clear" w:color="000000" w:fill="FFFFFF"/>
            <w:vAlign w:val="bottom"/>
            <w:hideMark/>
          </w:tcPr>
          <w:p w14:paraId="4DC3FD4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2D987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E3AD37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1CEF43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B7BAB1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26035C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5FFCD12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1.4.1.1</w:t>
            </w:r>
          </w:p>
        </w:tc>
        <w:tc>
          <w:tcPr>
            <w:tcW w:w="563" w:type="dxa"/>
            <w:tcBorders>
              <w:top w:val="nil"/>
              <w:left w:val="nil"/>
              <w:bottom w:val="single" w:sz="4" w:space="0" w:color="auto"/>
              <w:right w:val="single" w:sz="4" w:space="0" w:color="auto"/>
            </w:tcBorders>
            <w:shd w:val="clear" w:color="auto" w:fill="auto"/>
            <w:vAlign w:val="center"/>
            <w:hideMark/>
          </w:tcPr>
          <w:p w14:paraId="00F019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Shkaqet e vdekjeve</w:t>
            </w:r>
          </w:p>
        </w:tc>
        <w:tc>
          <w:tcPr>
            <w:tcW w:w="446" w:type="dxa"/>
            <w:tcBorders>
              <w:top w:val="nil"/>
              <w:left w:val="nil"/>
              <w:bottom w:val="single" w:sz="4" w:space="0" w:color="auto"/>
              <w:right w:val="single" w:sz="4" w:space="0" w:color="auto"/>
            </w:tcBorders>
            <w:shd w:val="clear" w:color="auto" w:fill="auto"/>
            <w:vAlign w:val="center"/>
            <w:hideMark/>
          </w:tcPr>
          <w:p w14:paraId="160E87D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vAlign w:val="center"/>
            <w:hideMark/>
          </w:tcPr>
          <w:p w14:paraId="467EC64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0889A8D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241DFDE5" w14:textId="1F47BC86"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2DA1F4D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393B7E61" w14:textId="608B8FB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Shkaqet e vdekjeve sipas gjinisë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Shkaqet e vdekjeve sipas qarkut</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Shkaqet e vdekjeve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Shkaqet e vdekjeve sipas vendndodhjes</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Shkaqet e vdekjeve sipas grup</w:t>
            </w:r>
            <w:r w:rsidR="00E96E4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sëmundjeve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Shkaqet e vdekjeve sipas tipit të vdekjes</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7. </w:t>
            </w:r>
            <w:r w:rsidR="00E96E49" w:rsidRPr="004F2AC3">
              <w:rPr>
                <w:rFonts w:ascii="Garamond" w:eastAsia="Times New Roman" w:hAnsi="Garamond" w:cs="Times New Roman"/>
                <w:color w:val="000000"/>
                <w:sz w:val="10"/>
                <w:szCs w:val="10"/>
                <w:lang w:eastAsia="sq-AL"/>
              </w:rPr>
              <w:t>Vdekshmëria</w:t>
            </w:r>
            <w:r w:rsidRPr="004F2AC3">
              <w:rPr>
                <w:rFonts w:ascii="Garamond" w:eastAsia="Times New Roman" w:hAnsi="Garamond" w:cs="Times New Roman"/>
                <w:color w:val="000000"/>
                <w:sz w:val="10"/>
                <w:szCs w:val="10"/>
                <w:lang w:eastAsia="sq-AL"/>
              </w:rPr>
              <w:t xml:space="preserve"> </w:t>
            </w:r>
            <w:r w:rsidR="00E96E49" w:rsidRPr="004F2AC3">
              <w:rPr>
                <w:rFonts w:ascii="Garamond" w:eastAsia="Times New Roman" w:hAnsi="Garamond" w:cs="Times New Roman"/>
                <w:color w:val="000000"/>
                <w:sz w:val="10"/>
                <w:szCs w:val="10"/>
                <w:lang w:eastAsia="sq-AL"/>
              </w:rPr>
              <w:t>amtare</w:t>
            </w:r>
            <w:r w:rsidR="009A038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3A6C1C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Drejtoria e Përgjithshme e Gjendjes Civile</w:t>
            </w:r>
          </w:p>
        </w:tc>
        <w:tc>
          <w:tcPr>
            <w:tcW w:w="413" w:type="dxa"/>
            <w:tcBorders>
              <w:top w:val="nil"/>
              <w:left w:val="nil"/>
              <w:bottom w:val="single" w:sz="4" w:space="0" w:color="auto"/>
              <w:right w:val="single" w:sz="4" w:space="0" w:color="auto"/>
            </w:tcBorders>
            <w:shd w:val="clear" w:color="auto" w:fill="auto"/>
            <w:vAlign w:val="center"/>
            <w:hideMark/>
          </w:tcPr>
          <w:p w14:paraId="60938B67" w14:textId="44C7CCB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1757E7B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+ 58D</w:t>
            </w:r>
          </w:p>
        </w:tc>
        <w:tc>
          <w:tcPr>
            <w:tcW w:w="385" w:type="dxa"/>
            <w:tcBorders>
              <w:top w:val="nil"/>
              <w:left w:val="nil"/>
              <w:bottom w:val="single" w:sz="4" w:space="0" w:color="auto"/>
              <w:right w:val="single" w:sz="4" w:space="0" w:color="auto"/>
            </w:tcBorders>
            <w:shd w:val="clear" w:color="auto" w:fill="auto"/>
            <w:vAlign w:val="center"/>
            <w:hideMark/>
          </w:tcPr>
          <w:p w14:paraId="2261A75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+ 162D</w:t>
            </w:r>
          </w:p>
        </w:tc>
        <w:tc>
          <w:tcPr>
            <w:tcW w:w="361" w:type="dxa"/>
            <w:tcBorders>
              <w:top w:val="nil"/>
              <w:left w:val="nil"/>
              <w:bottom w:val="single" w:sz="4" w:space="0" w:color="auto"/>
              <w:right w:val="single" w:sz="4" w:space="0" w:color="auto"/>
            </w:tcBorders>
            <w:shd w:val="clear" w:color="auto" w:fill="auto"/>
            <w:vAlign w:val="center"/>
            <w:hideMark/>
          </w:tcPr>
          <w:p w14:paraId="175D3CC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+ 169D</w:t>
            </w:r>
          </w:p>
        </w:tc>
        <w:tc>
          <w:tcPr>
            <w:tcW w:w="732" w:type="dxa"/>
            <w:tcBorders>
              <w:top w:val="nil"/>
              <w:left w:val="nil"/>
              <w:bottom w:val="single" w:sz="4" w:space="0" w:color="auto"/>
              <w:right w:val="single" w:sz="4" w:space="0" w:color="auto"/>
            </w:tcBorders>
            <w:shd w:val="clear" w:color="auto" w:fill="auto"/>
            <w:vAlign w:val="center"/>
            <w:hideMark/>
          </w:tcPr>
          <w:p w14:paraId="6EF14A0C" w14:textId="4976018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-|- 3</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të dhënat administrative/vrojtimet statistikore -|- 3</w:t>
            </w:r>
            <w:r w:rsidRPr="004F2AC3">
              <w:rPr>
                <w:rFonts w:ascii="Garamond" w:eastAsia="Times New Roman" w:hAnsi="Garamond" w:cs="Times New Roman"/>
                <w:color w:val="000000"/>
                <w:sz w:val="10"/>
                <w:szCs w:val="10"/>
                <w:lang w:eastAsia="sq-AL"/>
              </w:rPr>
              <w:br/>
              <w:t xml:space="preserve">3. Pezullimi/vonesa e mbledhjes, prodhimit dhe shpërndarjes të statistikave zyrtare si pasojë e </w:t>
            </w:r>
            <w:r w:rsidR="009A0388" w:rsidRPr="004F2AC3">
              <w:rPr>
                <w:rFonts w:ascii="Garamond" w:eastAsia="Times New Roman" w:hAnsi="Garamond" w:cs="Times New Roman"/>
                <w:color w:val="000000"/>
                <w:sz w:val="10"/>
                <w:szCs w:val="10"/>
                <w:lang w:eastAsia="sq-AL"/>
              </w:rPr>
              <w:t>fatkeqësive natyrore/pandemi global</w:t>
            </w:r>
            <w:r w:rsidRPr="004F2AC3">
              <w:rPr>
                <w:rFonts w:ascii="Garamond" w:eastAsia="Times New Roman" w:hAnsi="Garamond" w:cs="Times New Roman"/>
                <w:color w:val="000000"/>
                <w:sz w:val="10"/>
                <w:szCs w:val="10"/>
                <w:lang w:eastAsia="sq-AL"/>
              </w:rPr>
              <w:t>e -|- 1</w:t>
            </w:r>
          </w:p>
        </w:tc>
        <w:tc>
          <w:tcPr>
            <w:tcW w:w="551" w:type="dxa"/>
            <w:tcBorders>
              <w:top w:val="nil"/>
              <w:left w:val="nil"/>
              <w:bottom w:val="single" w:sz="4" w:space="0" w:color="auto"/>
              <w:right w:val="single" w:sz="4" w:space="0" w:color="auto"/>
            </w:tcBorders>
            <w:shd w:val="clear" w:color="auto" w:fill="auto"/>
            <w:vAlign w:val="center"/>
            <w:hideMark/>
          </w:tcPr>
          <w:p w14:paraId="39B2B18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0D5ACF39" w14:textId="77777777" w:rsidTr="0021321C">
        <w:trPr>
          <w:trHeight w:val="180"/>
          <w:jc w:val="center"/>
        </w:trPr>
        <w:tc>
          <w:tcPr>
            <w:tcW w:w="388" w:type="dxa"/>
            <w:tcBorders>
              <w:top w:val="nil"/>
              <w:left w:val="nil"/>
              <w:bottom w:val="nil"/>
              <w:right w:val="nil"/>
            </w:tcBorders>
            <w:shd w:val="clear" w:color="000000" w:fill="FFFFFF"/>
            <w:vAlign w:val="bottom"/>
            <w:hideMark/>
          </w:tcPr>
          <w:p w14:paraId="5673576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1EE166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5DEB93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C749BF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08F5D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6FEB4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000000"/>
              <w:right w:val="single" w:sz="4" w:space="0" w:color="auto"/>
            </w:tcBorders>
            <w:shd w:val="clear" w:color="auto" w:fill="auto"/>
            <w:vAlign w:val="center"/>
            <w:hideMark/>
          </w:tcPr>
          <w:p w14:paraId="3457A1E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1.4.1.2</w:t>
            </w:r>
          </w:p>
        </w:tc>
        <w:tc>
          <w:tcPr>
            <w:tcW w:w="563" w:type="dxa"/>
            <w:vMerge w:val="restart"/>
            <w:tcBorders>
              <w:top w:val="nil"/>
              <w:left w:val="single" w:sz="4" w:space="0" w:color="auto"/>
              <w:bottom w:val="single" w:sz="4" w:space="0" w:color="000000"/>
              <w:right w:val="single" w:sz="4" w:space="0" w:color="auto"/>
            </w:tcBorders>
            <w:shd w:val="clear" w:color="auto" w:fill="auto"/>
            <w:vAlign w:val="center"/>
            <w:hideMark/>
          </w:tcPr>
          <w:p w14:paraId="20EAC9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Shëndeti publik</w:t>
            </w:r>
          </w:p>
        </w:tc>
        <w:tc>
          <w:tcPr>
            <w:tcW w:w="446" w:type="dxa"/>
            <w:vMerge w:val="restart"/>
            <w:tcBorders>
              <w:top w:val="nil"/>
              <w:left w:val="single" w:sz="4" w:space="0" w:color="auto"/>
              <w:bottom w:val="single" w:sz="4" w:space="0" w:color="000000"/>
              <w:right w:val="single" w:sz="4" w:space="0" w:color="auto"/>
            </w:tcBorders>
            <w:shd w:val="clear" w:color="auto" w:fill="auto"/>
            <w:vAlign w:val="center"/>
            <w:hideMark/>
          </w:tcPr>
          <w:p w14:paraId="6A47B2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vMerge w:val="restart"/>
            <w:tcBorders>
              <w:top w:val="nil"/>
              <w:left w:val="single" w:sz="4" w:space="0" w:color="auto"/>
              <w:bottom w:val="single" w:sz="4" w:space="0" w:color="000000"/>
              <w:right w:val="single" w:sz="4" w:space="0" w:color="auto"/>
            </w:tcBorders>
            <w:shd w:val="clear" w:color="auto" w:fill="auto"/>
            <w:vAlign w:val="center"/>
            <w:hideMark/>
          </w:tcPr>
          <w:p w14:paraId="5B981C1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vMerge w:val="restart"/>
            <w:tcBorders>
              <w:top w:val="nil"/>
              <w:left w:val="single" w:sz="4" w:space="0" w:color="auto"/>
              <w:bottom w:val="single" w:sz="4" w:space="0" w:color="000000"/>
              <w:right w:val="single" w:sz="4" w:space="0" w:color="auto"/>
            </w:tcBorders>
            <w:shd w:val="clear" w:color="auto" w:fill="auto"/>
            <w:vAlign w:val="center"/>
            <w:hideMark/>
          </w:tcPr>
          <w:p w14:paraId="75796EC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4E9C71E8" w14:textId="1F061A78" w:rsidR="0021321C" w:rsidRPr="004F2AC3" w:rsidRDefault="006400E2"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auto" w:fill="auto"/>
            <w:vAlign w:val="center"/>
            <w:hideMark/>
          </w:tcPr>
          <w:p w14:paraId="62CABD6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auto" w:fill="auto"/>
            <w:vAlign w:val="center"/>
            <w:hideMark/>
          </w:tcPr>
          <w:p w14:paraId="16D0F662" w14:textId="13DC1C6E" w:rsidR="0021321C" w:rsidRPr="004F2AC3" w:rsidRDefault="0021321C" w:rsidP="00E80646">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Numri i vizitave në moshat deri në 14 vjeç</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2. Numri i vizitave në moshat mbi 14 vjeç</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Numri i vizitave në banesë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Numri i vizitave gjinekologjike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Numri i vizitave obsetrikale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Numri i vizitave të para obsetrikale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7. Numri i grave me barra </w:t>
            </w:r>
            <w:r w:rsidR="00E96E49" w:rsidRPr="004F2AC3">
              <w:rPr>
                <w:rFonts w:ascii="Garamond" w:eastAsia="Times New Roman" w:hAnsi="Garamond" w:cs="Times New Roman"/>
                <w:color w:val="000000"/>
                <w:sz w:val="10"/>
                <w:szCs w:val="10"/>
                <w:lang w:eastAsia="sq-AL"/>
              </w:rPr>
              <w:t>patologjike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8. Numri i </w:t>
            </w:r>
            <w:r w:rsidR="00E96E49" w:rsidRPr="004F2AC3">
              <w:rPr>
                <w:rFonts w:ascii="Garamond" w:eastAsia="Times New Roman" w:hAnsi="Garamond" w:cs="Times New Roman"/>
                <w:color w:val="000000"/>
                <w:sz w:val="10"/>
                <w:szCs w:val="10"/>
                <w:lang w:eastAsia="sq-AL"/>
              </w:rPr>
              <w:t>fëmijëve</w:t>
            </w:r>
            <w:r w:rsidRPr="004F2AC3">
              <w:rPr>
                <w:rFonts w:ascii="Garamond" w:eastAsia="Times New Roman" w:hAnsi="Garamond" w:cs="Times New Roman"/>
                <w:color w:val="000000"/>
                <w:sz w:val="10"/>
                <w:szCs w:val="10"/>
                <w:lang w:eastAsia="sq-AL"/>
              </w:rPr>
              <w:t xml:space="preserve"> që ushqehen me gji</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9. Numri i </w:t>
            </w:r>
            <w:r w:rsidR="00E96E49" w:rsidRPr="004F2AC3">
              <w:rPr>
                <w:rFonts w:ascii="Garamond" w:eastAsia="Times New Roman" w:hAnsi="Garamond" w:cs="Times New Roman"/>
                <w:color w:val="000000"/>
                <w:sz w:val="10"/>
                <w:szCs w:val="10"/>
                <w:lang w:eastAsia="sq-AL"/>
              </w:rPr>
              <w:t>fëmijëve</w:t>
            </w:r>
            <w:r w:rsidRPr="004F2AC3">
              <w:rPr>
                <w:rFonts w:ascii="Garamond" w:eastAsia="Times New Roman" w:hAnsi="Garamond" w:cs="Times New Roman"/>
                <w:color w:val="000000"/>
                <w:sz w:val="10"/>
                <w:szCs w:val="10"/>
                <w:lang w:eastAsia="sq-AL"/>
              </w:rPr>
              <w:t xml:space="preserve"> që ushqehen me ushqim artificial</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Numri i konsultimeve të kryera pranë ko</w:t>
            </w:r>
            <w:r w:rsidR="00E96E49" w:rsidRPr="004F2AC3">
              <w:rPr>
                <w:rFonts w:ascii="Garamond" w:eastAsia="Times New Roman" w:hAnsi="Garamond" w:cs="Times New Roman"/>
                <w:color w:val="000000"/>
                <w:sz w:val="10"/>
                <w:szCs w:val="10"/>
                <w:lang w:eastAsia="sq-AL"/>
              </w:rPr>
              <w:t>n</w:t>
            </w:r>
            <w:r w:rsidRPr="004F2AC3">
              <w:rPr>
                <w:rFonts w:ascii="Garamond" w:eastAsia="Times New Roman" w:hAnsi="Garamond" w:cs="Times New Roman"/>
                <w:color w:val="000000"/>
                <w:sz w:val="10"/>
                <w:szCs w:val="10"/>
                <w:lang w:eastAsia="sq-AL"/>
              </w:rPr>
              <w:t>sultorit të gruas</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Numri i konsultimeve të kryera pranë shërbimit obsetrik</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Numri i fëmijëve të vaksinuar për tuberk</w:t>
            </w:r>
            <w:r w:rsidR="00E80646" w:rsidRPr="004F2AC3">
              <w:rPr>
                <w:rFonts w:ascii="Garamond" w:eastAsia="Times New Roman" w:hAnsi="Garamond" w:cs="Times New Roman"/>
                <w:color w:val="000000"/>
                <w:sz w:val="10"/>
                <w:szCs w:val="10"/>
                <w:lang w:eastAsia="sq-AL"/>
              </w:rPr>
              <w:t>u</w:t>
            </w:r>
            <w:r w:rsidRPr="004F2AC3">
              <w:rPr>
                <w:rFonts w:ascii="Garamond" w:eastAsia="Times New Roman" w:hAnsi="Garamond" w:cs="Times New Roman"/>
                <w:color w:val="000000"/>
                <w:sz w:val="10"/>
                <w:szCs w:val="10"/>
                <w:lang w:eastAsia="sq-AL"/>
              </w:rPr>
              <w:t>lozin</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Numri i fëmijëve të vaksinuar për difterinë</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Numri i fëmijëve të vaksinuar për tetanozin</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Numri i fëmijëve të vaksinuar për pertusin</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16. Numri i fëmijëve të vaksinuar për </w:t>
            </w:r>
            <w:r w:rsidR="009A0388" w:rsidRPr="004F2AC3">
              <w:rPr>
                <w:rFonts w:ascii="Garamond" w:eastAsia="Times New Roman" w:hAnsi="Garamond" w:cs="Times New Roman"/>
                <w:color w:val="000000"/>
                <w:sz w:val="10"/>
                <w:szCs w:val="10"/>
                <w:lang w:eastAsia="sq-AL"/>
              </w:rPr>
              <w:t>poliomielitin;</w:t>
            </w:r>
            <w:r w:rsidRPr="004F2AC3">
              <w:rPr>
                <w:rFonts w:ascii="Garamond" w:eastAsia="Times New Roman" w:hAnsi="Garamond" w:cs="Times New Roman"/>
                <w:color w:val="000000"/>
                <w:sz w:val="10"/>
                <w:szCs w:val="10"/>
                <w:lang w:eastAsia="sq-AL"/>
              </w:rPr>
              <w:br/>
              <w:t>17. Numri i mjekëve në Institucione sipas specialiteteve</w:t>
            </w:r>
            <w:r w:rsidR="009A038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18. Numri i mjekëve të familjes</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r>
            <w:r w:rsidR="009A0388" w:rsidRPr="004F2AC3">
              <w:rPr>
                <w:rFonts w:ascii="Garamond" w:eastAsia="Times New Roman" w:hAnsi="Garamond" w:cs="Times New Roman"/>
                <w:color w:val="000000"/>
                <w:sz w:val="10"/>
                <w:szCs w:val="10"/>
                <w:lang w:eastAsia="sq-AL"/>
              </w:rPr>
              <w:t xml:space="preserve">19. Numri i mami </w:t>
            </w:r>
            <w:r w:rsidR="00E80646" w:rsidRPr="004F2AC3">
              <w:rPr>
                <w:rFonts w:ascii="Garamond" w:eastAsia="Times New Roman" w:hAnsi="Garamond" w:cs="Times New Roman"/>
                <w:color w:val="000000"/>
                <w:sz w:val="10"/>
                <w:szCs w:val="10"/>
                <w:lang w:eastAsia="sq-AL"/>
              </w:rPr>
              <w:t>–</w:t>
            </w:r>
            <w:r w:rsidR="009A0388" w:rsidRPr="004F2AC3">
              <w:rPr>
                <w:rFonts w:ascii="Garamond" w:eastAsia="Times New Roman" w:hAnsi="Garamond" w:cs="Times New Roman"/>
                <w:color w:val="000000"/>
                <w:sz w:val="10"/>
                <w:szCs w:val="10"/>
                <w:lang w:eastAsia="sq-AL"/>
              </w:rPr>
              <w:t xml:space="preserve"> infermierëve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Numri i personelit shëndetësor (ndihmës)</w:t>
            </w:r>
            <w:r w:rsidR="00E80646"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21. Numri i institucioneve me shtretër</w:t>
            </w:r>
            <w:r w:rsidR="00E80646" w:rsidRPr="004F2AC3">
              <w:rPr>
                <w:rFonts w:ascii="Garamond" w:eastAsia="Times New Roman" w:hAnsi="Garamond" w:cs="Times New Roman"/>
                <w:color w:val="000000"/>
                <w:sz w:val="10"/>
                <w:szCs w:val="10"/>
                <w:lang w:eastAsia="sq-AL"/>
              </w:rPr>
              <w:t>;</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6988B889" w14:textId="546767D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Ministria e Shëndetësisë dhe </w:t>
            </w:r>
            <w:r w:rsidR="00D80B69" w:rsidRPr="004F2AC3">
              <w:rPr>
                <w:rFonts w:ascii="Garamond" w:eastAsia="Times New Roman" w:hAnsi="Garamond" w:cs="Times New Roman"/>
                <w:color w:val="000000"/>
                <w:sz w:val="10"/>
                <w:szCs w:val="10"/>
                <w:lang w:eastAsia="sq-AL"/>
              </w:rPr>
              <w:t>Mirëqenies</w:t>
            </w:r>
            <w:r w:rsidRPr="004F2AC3">
              <w:rPr>
                <w:rFonts w:ascii="Garamond" w:eastAsia="Times New Roman" w:hAnsi="Garamond" w:cs="Times New Roman"/>
                <w:color w:val="000000"/>
                <w:sz w:val="10"/>
                <w:szCs w:val="10"/>
                <w:lang w:eastAsia="sq-AL"/>
              </w:rPr>
              <w:t xml:space="preserve"> Sociale</w:t>
            </w:r>
            <w:r w:rsidR="009A0388" w:rsidRPr="004F2AC3">
              <w:rPr>
                <w:rFonts w:ascii="Garamond" w:eastAsia="Times New Roman" w:hAnsi="Garamond" w:cs="Times New Roman"/>
                <w:color w:val="000000"/>
                <w:sz w:val="10"/>
                <w:szCs w:val="10"/>
                <w:lang w:eastAsia="sq-AL"/>
              </w:rPr>
              <w:t xml:space="preserve">; </w:t>
            </w:r>
            <w:r w:rsidR="009A0388"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color w:val="000000"/>
                <w:sz w:val="10"/>
                <w:szCs w:val="10"/>
                <w:lang w:eastAsia="sq-AL"/>
              </w:rPr>
              <w:t>Instituti i Sigurimeve Shoqërore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 Fondi i Sigurimit të Detyrueshëm të Kujdesit Shëndetësor</w:t>
            </w:r>
            <w:r w:rsidR="00E80646" w:rsidRPr="004F2AC3">
              <w:rPr>
                <w:rFonts w:ascii="Garamond" w:eastAsia="Times New Roman" w:hAnsi="Garamond" w:cs="Times New Roman"/>
                <w:color w:val="000000"/>
                <w:sz w:val="10"/>
                <w:szCs w:val="10"/>
                <w:lang w:eastAsia="sq-AL"/>
              </w:rPr>
              <w:t>.</w:t>
            </w:r>
          </w:p>
        </w:tc>
        <w:tc>
          <w:tcPr>
            <w:tcW w:w="413" w:type="dxa"/>
            <w:vMerge w:val="restart"/>
            <w:tcBorders>
              <w:top w:val="nil"/>
              <w:left w:val="single" w:sz="4" w:space="0" w:color="auto"/>
              <w:bottom w:val="single" w:sz="4" w:space="0" w:color="000000"/>
              <w:right w:val="single" w:sz="4" w:space="0" w:color="auto"/>
            </w:tcBorders>
            <w:shd w:val="clear" w:color="auto" w:fill="auto"/>
            <w:vAlign w:val="center"/>
            <w:hideMark/>
          </w:tcPr>
          <w:p w14:paraId="3D1C3CAE" w14:textId="1E3087C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9A0388" w:rsidRPr="004F2AC3">
              <w:rPr>
                <w:rFonts w:ascii="Garamond" w:eastAsia="Times New Roman" w:hAnsi="Garamond" w:cs="Times New Roman"/>
                <w:color w:val="000000"/>
                <w:sz w:val="10"/>
                <w:szCs w:val="10"/>
                <w:lang w:eastAsia="sq-AL"/>
              </w:rPr>
              <w:t>-i</w:t>
            </w:r>
          </w:p>
        </w:tc>
        <w:tc>
          <w:tcPr>
            <w:tcW w:w="466" w:type="dxa"/>
            <w:vMerge w:val="restart"/>
            <w:tcBorders>
              <w:top w:val="nil"/>
              <w:left w:val="single" w:sz="4" w:space="0" w:color="auto"/>
              <w:bottom w:val="single" w:sz="4" w:space="0" w:color="000000"/>
              <w:right w:val="single" w:sz="4" w:space="0" w:color="auto"/>
            </w:tcBorders>
            <w:shd w:val="clear" w:color="auto" w:fill="auto"/>
            <w:vAlign w:val="center"/>
            <w:hideMark/>
          </w:tcPr>
          <w:p w14:paraId="7F50C20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+ 244D</w:t>
            </w:r>
          </w:p>
        </w:tc>
        <w:tc>
          <w:tcPr>
            <w:tcW w:w="385" w:type="dxa"/>
            <w:vMerge w:val="restart"/>
            <w:tcBorders>
              <w:top w:val="nil"/>
              <w:left w:val="single" w:sz="4" w:space="0" w:color="auto"/>
              <w:bottom w:val="single" w:sz="4" w:space="0" w:color="000000"/>
              <w:right w:val="single" w:sz="4" w:space="0" w:color="auto"/>
            </w:tcBorders>
            <w:shd w:val="clear" w:color="auto" w:fill="auto"/>
            <w:vAlign w:val="center"/>
            <w:hideMark/>
          </w:tcPr>
          <w:p w14:paraId="5830E9E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+ 307D</w:t>
            </w:r>
          </w:p>
        </w:tc>
        <w:tc>
          <w:tcPr>
            <w:tcW w:w="361" w:type="dxa"/>
            <w:vMerge w:val="restart"/>
            <w:tcBorders>
              <w:top w:val="nil"/>
              <w:left w:val="single" w:sz="4" w:space="0" w:color="auto"/>
              <w:bottom w:val="single" w:sz="4" w:space="0" w:color="000000"/>
              <w:right w:val="single" w:sz="4" w:space="0" w:color="auto"/>
            </w:tcBorders>
            <w:shd w:val="clear" w:color="auto" w:fill="auto"/>
            <w:vAlign w:val="center"/>
            <w:hideMark/>
          </w:tcPr>
          <w:p w14:paraId="6789141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+ 318D</w:t>
            </w:r>
          </w:p>
        </w:tc>
        <w:tc>
          <w:tcPr>
            <w:tcW w:w="732" w:type="dxa"/>
            <w:vMerge w:val="restart"/>
            <w:tcBorders>
              <w:top w:val="nil"/>
              <w:left w:val="single" w:sz="4" w:space="0" w:color="auto"/>
              <w:bottom w:val="single" w:sz="4" w:space="0" w:color="000000"/>
              <w:right w:val="single" w:sz="4" w:space="0" w:color="auto"/>
            </w:tcBorders>
            <w:shd w:val="clear" w:color="auto" w:fill="auto"/>
            <w:vAlign w:val="center"/>
            <w:hideMark/>
          </w:tcPr>
          <w:p w14:paraId="10D558EE" w14:textId="356B9FC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-|- 3</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të dhënat administrative/vrojtimet statistikore -|- 3</w:t>
            </w:r>
            <w:r w:rsidRPr="004F2AC3">
              <w:rPr>
                <w:rFonts w:ascii="Garamond" w:eastAsia="Times New Roman" w:hAnsi="Garamond" w:cs="Times New Roman"/>
                <w:color w:val="000000"/>
                <w:sz w:val="10"/>
                <w:szCs w:val="10"/>
                <w:lang w:eastAsia="sq-AL"/>
              </w:rPr>
              <w:br/>
              <w:t xml:space="preserve">3. Pezullimi/vonesa e mbledhjes, prodhimit dhe shpërndarjes të statistikave zyrtare si pasojë e </w:t>
            </w:r>
            <w:r w:rsidR="00E80646" w:rsidRPr="004F2AC3">
              <w:rPr>
                <w:rFonts w:ascii="Garamond" w:eastAsia="Times New Roman" w:hAnsi="Garamond" w:cs="Times New Roman"/>
                <w:color w:val="000000"/>
                <w:sz w:val="10"/>
                <w:szCs w:val="10"/>
                <w:lang w:eastAsia="sq-AL"/>
              </w:rPr>
              <w:t>fatkeqësive natyrore/pandemi global</w:t>
            </w:r>
            <w:r w:rsidRPr="004F2AC3">
              <w:rPr>
                <w:rFonts w:ascii="Garamond" w:eastAsia="Times New Roman" w:hAnsi="Garamond" w:cs="Times New Roman"/>
                <w:color w:val="000000"/>
                <w:sz w:val="10"/>
                <w:szCs w:val="10"/>
                <w:lang w:eastAsia="sq-AL"/>
              </w:rPr>
              <w:t xml:space="preserve"> -|- 1</w:t>
            </w:r>
          </w:p>
        </w:tc>
        <w:tc>
          <w:tcPr>
            <w:tcW w:w="551" w:type="dxa"/>
            <w:vMerge w:val="restart"/>
            <w:tcBorders>
              <w:top w:val="nil"/>
              <w:left w:val="single" w:sz="4" w:space="0" w:color="auto"/>
              <w:bottom w:val="single" w:sz="4" w:space="0" w:color="000000"/>
              <w:right w:val="single" w:sz="4" w:space="0" w:color="auto"/>
            </w:tcBorders>
            <w:shd w:val="clear" w:color="auto" w:fill="auto"/>
            <w:vAlign w:val="center"/>
            <w:hideMark/>
          </w:tcPr>
          <w:p w14:paraId="63C1655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6B0E2A5F" w14:textId="77777777" w:rsidTr="0021321C">
        <w:trPr>
          <w:trHeight w:val="180"/>
          <w:jc w:val="center"/>
        </w:trPr>
        <w:tc>
          <w:tcPr>
            <w:tcW w:w="388" w:type="dxa"/>
            <w:tcBorders>
              <w:top w:val="nil"/>
              <w:left w:val="nil"/>
              <w:bottom w:val="nil"/>
              <w:right w:val="nil"/>
            </w:tcBorders>
            <w:shd w:val="clear" w:color="000000" w:fill="FFFFFF"/>
            <w:vAlign w:val="bottom"/>
            <w:hideMark/>
          </w:tcPr>
          <w:p w14:paraId="6FCC6BC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04FF3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62C55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DE45AA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C76E0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78710A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6396E97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2F86DA9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637D79D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5FB8583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3E1E174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236F764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06185A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single" w:sz="4" w:space="0" w:color="auto"/>
              <w:left w:val="nil"/>
              <w:bottom w:val="nil"/>
              <w:right w:val="single" w:sz="4" w:space="0" w:color="auto"/>
            </w:tcBorders>
            <w:shd w:val="clear" w:color="auto" w:fill="auto"/>
            <w:vAlign w:val="center"/>
            <w:hideMark/>
          </w:tcPr>
          <w:p w14:paraId="6F4E23A0" w14:textId="50790EF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 Numri i shtretërve spitalor (këto tregues janë vlefshëm sipër spitalet dhe shtëpitë e lindjes)</w:t>
            </w:r>
            <w:r w:rsidR="00E80646"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23. Të shtruar në spitale total dhe sipas specialite</w:t>
            </w:r>
            <w:r w:rsidR="00A03626" w:rsidRPr="004F2AC3">
              <w:rPr>
                <w:rFonts w:ascii="Garamond" w:eastAsia="Times New Roman" w:hAnsi="Garamond" w:cs="Times New Roman"/>
                <w:color w:val="000000"/>
                <w:sz w:val="10"/>
                <w:szCs w:val="10"/>
                <w:lang w:eastAsia="sq-AL"/>
              </w:rPr>
              <w:t>te</w:t>
            </w:r>
            <w:r w:rsidRPr="004F2AC3">
              <w:rPr>
                <w:rFonts w:ascii="Garamond" w:eastAsia="Times New Roman" w:hAnsi="Garamond" w:cs="Times New Roman"/>
                <w:color w:val="000000"/>
                <w:sz w:val="10"/>
                <w:szCs w:val="10"/>
                <w:lang w:eastAsia="sq-AL"/>
              </w:rPr>
              <w:t>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24. Ditë qëndrimi mesatar</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25. Ditë shtretër të realizuar</w:t>
            </w:r>
            <w:r w:rsidR="00E80646"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26. Shfrytëzimi i shtratit në ditë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27. Xhiro e shtratit</w:t>
            </w:r>
            <w:r w:rsidR="00E80646" w:rsidRPr="004F2AC3">
              <w:rPr>
                <w:rFonts w:ascii="Garamond" w:eastAsia="Times New Roman" w:hAnsi="Garamond" w:cs="Times New Roman"/>
                <w:color w:val="000000"/>
                <w:sz w:val="10"/>
                <w:szCs w:val="10"/>
                <w:lang w:eastAsia="sq-AL"/>
              </w:rPr>
              <w:t>;</w:t>
            </w:r>
            <w:r w:rsidR="00D80B69" w:rsidRPr="004F2AC3">
              <w:rPr>
                <w:rFonts w:ascii="Garamond" w:eastAsia="Times New Roman" w:hAnsi="Garamond" w:cs="Times New Roman"/>
                <w:color w:val="000000"/>
                <w:sz w:val="10"/>
                <w:szCs w:val="10"/>
                <w:lang w:eastAsia="sq-AL"/>
              </w:rPr>
              <w:br/>
              <w:t xml:space="preserve">28. </w:t>
            </w:r>
            <w:r w:rsidRPr="004F2AC3">
              <w:rPr>
                <w:rFonts w:ascii="Garamond" w:eastAsia="Times New Roman" w:hAnsi="Garamond" w:cs="Times New Roman"/>
                <w:color w:val="000000"/>
                <w:sz w:val="10"/>
                <w:szCs w:val="10"/>
                <w:lang w:eastAsia="sq-AL"/>
              </w:rPr>
              <w:t xml:space="preserve">Të sëmurë të </w:t>
            </w:r>
            <w:r w:rsidR="00D80B69" w:rsidRPr="004F2AC3">
              <w:rPr>
                <w:rFonts w:ascii="Garamond" w:eastAsia="Times New Roman" w:hAnsi="Garamond" w:cs="Times New Roman"/>
                <w:color w:val="000000"/>
                <w:sz w:val="10"/>
                <w:szCs w:val="10"/>
                <w:lang w:eastAsia="sq-AL"/>
              </w:rPr>
              <w:t>operu</w:t>
            </w:r>
            <w:r w:rsidRPr="004F2AC3">
              <w:rPr>
                <w:rFonts w:ascii="Garamond" w:eastAsia="Times New Roman" w:hAnsi="Garamond" w:cs="Times New Roman"/>
                <w:color w:val="000000"/>
                <w:sz w:val="10"/>
                <w:szCs w:val="10"/>
                <w:lang w:eastAsia="sq-AL"/>
              </w:rPr>
              <w:t>ar gjithsej</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29. Të dalë nga spitalet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30. Lindur vdekur</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31. Vdekje në gra</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32. Abortet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33. Numri i personave me aftësi të kufizuar</w:t>
            </w:r>
            <w:r w:rsidR="00E80646" w:rsidRPr="004F2AC3">
              <w:rPr>
                <w:rFonts w:ascii="Garamond" w:eastAsia="Times New Roman" w:hAnsi="Garamond" w:cs="Times New Roman"/>
                <w:color w:val="000000"/>
                <w:sz w:val="10"/>
                <w:szCs w:val="10"/>
                <w:lang w:eastAsia="sq-AL"/>
              </w:rPr>
              <w:t>a;</w:t>
            </w:r>
            <w:r w:rsidRPr="004F2AC3">
              <w:rPr>
                <w:rFonts w:ascii="Garamond" w:eastAsia="Times New Roman" w:hAnsi="Garamond" w:cs="Times New Roman"/>
                <w:color w:val="000000"/>
                <w:sz w:val="10"/>
                <w:szCs w:val="10"/>
                <w:lang w:eastAsia="sq-AL"/>
              </w:rPr>
              <w:br/>
              <w:t>34. Numri i fëmijëve me aftësi të kufizuar</w:t>
            </w:r>
            <w:r w:rsidR="00E80646" w:rsidRPr="004F2AC3">
              <w:rPr>
                <w:rFonts w:ascii="Garamond" w:eastAsia="Times New Roman" w:hAnsi="Garamond" w:cs="Times New Roman"/>
                <w:color w:val="000000"/>
                <w:sz w:val="10"/>
                <w:szCs w:val="10"/>
                <w:lang w:eastAsia="sq-AL"/>
              </w:rPr>
              <w:t>a;</w:t>
            </w:r>
            <w:r w:rsidRPr="004F2AC3">
              <w:rPr>
                <w:rFonts w:ascii="Garamond" w:eastAsia="Times New Roman" w:hAnsi="Garamond" w:cs="Times New Roman"/>
                <w:color w:val="000000"/>
                <w:sz w:val="10"/>
                <w:szCs w:val="10"/>
                <w:lang w:eastAsia="sq-AL"/>
              </w:rPr>
              <w:br/>
              <w:t>35. Shpenzimet e qeverisë për shëndetësinë publike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36. Përqindja e shpenzimeve për shëndetësinë publike ndaj totalit gjithsej të shpenzimeve dhe GDP-së</w:t>
            </w:r>
            <w:r w:rsidR="00E80646"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23B9AC8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251CBD8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5AA032B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4EC5AF2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10DD58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16A6ED2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1CE3D2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07A75102" w14:textId="77777777" w:rsidTr="0021321C">
        <w:trPr>
          <w:trHeight w:val="180"/>
          <w:jc w:val="center"/>
        </w:trPr>
        <w:tc>
          <w:tcPr>
            <w:tcW w:w="388" w:type="dxa"/>
            <w:tcBorders>
              <w:top w:val="nil"/>
              <w:left w:val="nil"/>
              <w:bottom w:val="nil"/>
              <w:right w:val="nil"/>
            </w:tcBorders>
            <w:shd w:val="clear" w:color="000000" w:fill="FFFFFF"/>
            <w:vAlign w:val="bottom"/>
            <w:hideMark/>
          </w:tcPr>
          <w:p w14:paraId="197C641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41992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4054E5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A9C753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F48BB2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441C08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39830B2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1.4.1.3</w:t>
            </w:r>
          </w:p>
        </w:tc>
        <w:tc>
          <w:tcPr>
            <w:tcW w:w="563" w:type="dxa"/>
            <w:tcBorders>
              <w:top w:val="nil"/>
              <w:left w:val="nil"/>
              <w:bottom w:val="nil"/>
              <w:right w:val="single" w:sz="4" w:space="0" w:color="auto"/>
            </w:tcBorders>
            <w:shd w:val="clear" w:color="auto" w:fill="auto"/>
            <w:vAlign w:val="center"/>
            <w:hideMark/>
          </w:tcPr>
          <w:p w14:paraId="73508F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nga Anketa Evropiane e Shëndetit (EHIS)</w:t>
            </w:r>
          </w:p>
        </w:tc>
        <w:tc>
          <w:tcPr>
            <w:tcW w:w="446" w:type="dxa"/>
            <w:tcBorders>
              <w:top w:val="nil"/>
              <w:left w:val="nil"/>
              <w:bottom w:val="nil"/>
              <w:right w:val="single" w:sz="4" w:space="0" w:color="auto"/>
            </w:tcBorders>
            <w:shd w:val="clear" w:color="auto" w:fill="auto"/>
            <w:vAlign w:val="center"/>
            <w:hideMark/>
          </w:tcPr>
          <w:p w14:paraId="74AE0AA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nil"/>
              <w:right w:val="single" w:sz="4" w:space="0" w:color="auto"/>
            </w:tcBorders>
            <w:shd w:val="clear" w:color="auto" w:fill="auto"/>
            <w:vAlign w:val="center"/>
            <w:hideMark/>
          </w:tcPr>
          <w:p w14:paraId="53DB923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nil"/>
              <w:right w:val="single" w:sz="4" w:space="0" w:color="auto"/>
            </w:tcBorders>
            <w:shd w:val="clear" w:color="auto" w:fill="auto"/>
            <w:vAlign w:val="center"/>
            <w:hideMark/>
          </w:tcPr>
          <w:p w14:paraId="29862BD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426" w:type="dxa"/>
            <w:tcBorders>
              <w:top w:val="nil"/>
              <w:left w:val="nil"/>
              <w:bottom w:val="nil"/>
              <w:right w:val="single" w:sz="4" w:space="0" w:color="auto"/>
            </w:tcBorders>
            <w:shd w:val="clear" w:color="000000" w:fill="FFFFFF"/>
            <w:vAlign w:val="center"/>
            <w:hideMark/>
          </w:tcPr>
          <w:p w14:paraId="1B4BBBD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43728C9C" w14:textId="005A7E5F"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herë në 6 vite</w:t>
            </w:r>
          </w:p>
        </w:tc>
        <w:tc>
          <w:tcPr>
            <w:tcW w:w="1098" w:type="dxa"/>
            <w:tcBorders>
              <w:top w:val="single" w:sz="4" w:space="0" w:color="auto"/>
              <w:left w:val="nil"/>
              <w:bottom w:val="nil"/>
              <w:right w:val="single" w:sz="4" w:space="0" w:color="auto"/>
            </w:tcBorders>
            <w:shd w:val="clear" w:color="auto" w:fill="auto"/>
            <w:vAlign w:val="center"/>
            <w:hideMark/>
          </w:tcPr>
          <w:p w14:paraId="7AD1AEE9" w14:textId="77777777" w:rsidR="00E8064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Martesa dhe aktiviteti seksual</w:t>
            </w:r>
            <w:r w:rsidR="00E80646" w:rsidRPr="004F2AC3">
              <w:rPr>
                <w:rFonts w:ascii="Garamond" w:eastAsia="Times New Roman" w:hAnsi="Garamond" w:cs="Times New Roman"/>
                <w:color w:val="000000"/>
                <w:sz w:val="10"/>
                <w:szCs w:val="10"/>
                <w:lang w:eastAsia="sq-AL"/>
              </w:rPr>
              <w:t>;</w:t>
            </w:r>
          </w:p>
          <w:p w14:paraId="56408C6E" w14:textId="6FF09003" w:rsidR="00E8064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 Preferencat e fertilitetit</w:t>
            </w:r>
            <w:r w:rsidR="00E80646" w:rsidRPr="004F2AC3">
              <w:rPr>
                <w:rFonts w:ascii="Garamond" w:eastAsia="Times New Roman" w:hAnsi="Garamond" w:cs="Times New Roman"/>
                <w:color w:val="000000"/>
                <w:sz w:val="10"/>
                <w:szCs w:val="10"/>
                <w:lang w:eastAsia="sq-AL"/>
              </w:rPr>
              <w:t>;</w:t>
            </w:r>
          </w:p>
          <w:p w14:paraId="488C0813" w14:textId="77777777" w:rsidR="00E8064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 Planifikimi familjar</w:t>
            </w:r>
            <w:r w:rsidR="00E80646" w:rsidRPr="004F2AC3">
              <w:rPr>
                <w:rFonts w:ascii="Garamond" w:eastAsia="Times New Roman" w:hAnsi="Garamond" w:cs="Times New Roman"/>
                <w:color w:val="000000"/>
                <w:sz w:val="10"/>
                <w:szCs w:val="10"/>
                <w:lang w:eastAsia="sq-AL"/>
              </w:rPr>
              <w:t>;</w:t>
            </w:r>
          </w:p>
          <w:p w14:paraId="0673B84D" w14:textId="5AF780C0" w:rsidR="00E8064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 Shëndeti i nënës</w:t>
            </w:r>
            <w:r w:rsidR="00E80646" w:rsidRPr="004F2AC3">
              <w:rPr>
                <w:rFonts w:ascii="Garamond" w:eastAsia="Times New Roman" w:hAnsi="Garamond" w:cs="Times New Roman"/>
                <w:color w:val="000000"/>
                <w:sz w:val="10"/>
                <w:szCs w:val="10"/>
                <w:lang w:eastAsia="sq-AL"/>
              </w:rPr>
              <w:t>;</w:t>
            </w:r>
          </w:p>
          <w:p w14:paraId="1401DD90" w14:textId="77777777" w:rsidR="00E8064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5. Shëndeti i fëmijës</w:t>
            </w:r>
            <w:r w:rsidR="00E80646"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p>
          <w:p w14:paraId="4031813A" w14:textId="77777777" w:rsidR="00E8064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6. Ushqyerja e fëmijëve dhe të rriturve</w:t>
            </w:r>
            <w:r w:rsidR="00E80646" w:rsidRPr="004F2AC3">
              <w:rPr>
                <w:rFonts w:ascii="Garamond" w:eastAsia="Times New Roman" w:hAnsi="Garamond" w:cs="Times New Roman"/>
                <w:color w:val="000000"/>
                <w:sz w:val="10"/>
                <w:szCs w:val="10"/>
                <w:lang w:eastAsia="sq-AL"/>
              </w:rPr>
              <w:t>;</w:t>
            </w:r>
          </w:p>
          <w:p w14:paraId="7AA08630" w14:textId="77777777" w:rsidR="00E8064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7. Faktorët e rrezikut të shëndetit nga stili i jetesës</w:t>
            </w:r>
            <w:r w:rsidR="00E80646"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p>
          <w:p w14:paraId="23DFD61F" w14:textId="77777777" w:rsidR="00E8064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8. Sëmundje jo të transmetueshme</w:t>
            </w:r>
            <w:r w:rsidR="00E80646"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p>
          <w:p w14:paraId="1C892486" w14:textId="4E71B7C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9. Sjellje të lidhura me HIV/AIDS</w:t>
            </w:r>
            <w:r w:rsidR="00E80646"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544AF914" w14:textId="0EC86D2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13" w:type="dxa"/>
            <w:tcBorders>
              <w:top w:val="nil"/>
              <w:left w:val="nil"/>
              <w:bottom w:val="nil"/>
              <w:right w:val="single" w:sz="4" w:space="0" w:color="auto"/>
            </w:tcBorders>
            <w:shd w:val="clear" w:color="auto" w:fill="auto"/>
            <w:vAlign w:val="center"/>
            <w:hideMark/>
          </w:tcPr>
          <w:p w14:paraId="5B424A48" w14:textId="64A204D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000000" w:fill="FFFFFF"/>
            <w:vAlign w:val="center"/>
            <w:hideMark/>
          </w:tcPr>
          <w:p w14:paraId="19289A1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6-mujori i dytë 2026</w:t>
            </w:r>
          </w:p>
        </w:tc>
        <w:tc>
          <w:tcPr>
            <w:tcW w:w="385" w:type="dxa"/>
            <w:tcBorders>
              <w:top w:val="nil"/>
              <w:left w:val="nil"/>
              <w:bottom w:val="nil"/>
              <w:right w:val="single" w:sz="4" w:space="0" w:color="auto"/>
            </w:tcBorders>
            <w:shd w:val="clear" w:color="000000" w:fill="FFFFFF"/>
            <w:vAlign w:val="center"/>
            <w:hideMark/>
          </w:tcPr>
          <w:p w14:paraId="45ABB6A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nil"/>
              <w:right w:val="single" w:sz="4" w:space="0" w:color="auto"/>
            </w:tcBorders>
            <w:shd w:val="clear" w:color="000000" w:fill="FFFFFF"/>
            <w:vAlign w:val="center"/>
            <w:hideMark/>
          </w:tcPr>
          <w:p w14:paraId="678ADFC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nil"/>
              <w:right w:val="single" w:sz="4" w:space="0" w:color="auto"/>
            </w:tcBorders>
            <w:shd w:val="clear" w:color="auto" w:fill="auto"/>
            <w:vAlign w:val="center"/>
            <w:hideMark/>
          </w:tcPr>
          <w:p w14:paraId="55B807E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nil"/>
              <w:right w:val="single" w:sz="4" w:space="0" w:color="auto"/>
            </w:tcBorders>
            <w:shd w:val="clear" w:color="auto" w:fill="auto"/>
            <w:vAlign w:val="center"/>
            <w:hideMark/>
          </w:tcPr>
          <w:p w14:paraId="1014C3C7" w14:textId="05D00DF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Kombinuar (</w:t>
            </w:r>
            <w:r w:rsidR="00E80646" w:rsidRPr="004F2AC3">
              <w:rPr>
                <w:rFonts w:ascii="Garamond" w:eastAsia="Times New Roman" w:hAnsi="Garamond" w:cs="Times New Roman"/>
                <w:color w:val="000000"/>
                <w:sz w:val="10"/>
                <w:szCs w:val="10"/>
                <w:lang w:eastAsia="sq-AL"/>
              </w:rPr>
              <w:t xml:space="preserve">buxhet </w:t>
            </w:r>
            <w:r w:rsidR="006400E2" w:rsidRPr="004F2AC3">
              <w:rPr>
                <w:rFonts w:ascii="Garamond" w:eastAsia="Times New Roman" w:hAnsi="Garamond" w:cs="Times New Roman"/>
                <w:color w:val="000000"/>
                <w:sz w:val="10"/>
                <w:szCs w:val="10"/>
                <w:lang w:eastAsia="sq-AL"/>
              </w:rPr>
              <w:t>shteti+donatorët)</w:t>
            </w:r>
          </w:p>
        </w:tc>
      </w:tr>
      <w:tr w:rsidR="0021321C" w:rsidRPr="004F2AC3" w14:paraId="072E87A4" w14:textId="77777777" w:rsidTr="0021321C">
        <w:trPr>
          <w:trHeight w:val="180"/>
          <w:jc w:val="center"/>
        </w:trPr>
        <w:tc>
          <w:tcPr>
            <w:tcW w:w="388" w:type="dxa"/>
            <w:tcBorders>
              <w:top w:val="nil"/>
              <w:left w:val="nil"/>
              <w:bottom w:val="nil"/>
              <w:right w:val="nil"/>
            </w:tcBorders>
            <w:shd w:val="clear" w:color="000000" w:fill="FFFFFF"/>
            <w:vAlign w:val="bottom"/>
            <w:hideMark/>
          </w:tcPr>
          <w:p w14:paraId="38DB778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685E3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97DC39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8C6399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079C7B1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1.4.2 </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92A4F3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Shëndetit dhe Sigurisë në Punë</w:t>
            </w:r>
          </w:p>
        </w:tc>
      </w:tr>
      <w:tr w:rsidR="00C73163" w:rsidRPr="004F2AC3" w14:paraId="6AC6C2FB" w14:textId="77777777" w:rsidTr="0021321C">
        <w:trPr>
          <w:trHeight w:val="180"/>
          <w:jc w:val="center"/>
        </w:trPr>
        <w:tc>
          <w:tcPr>
            <w:tcW w:w="388" w:type="dxa"/>
            <w:tcBorders>
              <w:top w:val="nil"/>
              <w:left w:val="nil"/>
              <w:bottom w:val="nil"/>
              <w:right w:val="nil"/>
            </w:tcBorders>
            <w:shd w:val="clear" w:color="000000" w:fill="FFFFFF"/>
            <w:vAlign w:val="bottom"/>
            <w:hideMark/>
          </w:tcPr>
          <w:p w14:paraId="1F1666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95632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AD1C0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BD96C0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F118DA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F73FBF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000000" w:fill="FFFFFF"/>
            <w:vAlign w:val="center"/>
            <w:hideMark/>
          </w:tcPr>
          <w:p w14:paraId="7F96D4E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1.4.2.1</w:t>
            </w:r>
          </w:p>
        </w:tc>
        <w:tc>
          <w:tcPr>
            <w:tcW w:w="563" w:type="dxa"/>
            <w:tcBorders>
              <w:top w:val="nil"/>
              <w:left w:val="nil"/>
              <w:bottom w:val="nil"/>
              <w:right w:val="single" w:sz="4" w:space="0" w:color="auto"/>
            </w:tcBorders>
            <w:shd w:val="clear" w:color="000000" w:fill="FFFFFF"/>
            <w:vAlign w:val="center"/>
            <w:hideMark/>
          </w:tcPr>
          <w:p w14:paraId="587374E4"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Shëndetit dhe Sigurisë në Punë</w:t>
            </w:r>
          </w:p>
        </w:tc>
        <w:tc>
          <w:tcPr>
            <w:tcW w:w="446" w:type="dxa"/>
            <w:tcBorders>
              <w:top w:val="nil"/>
              <w:left w:val="nil"/>
              <w:bottom w:val="nil"/>
              <w:right w:val="single" w:sz="4" w:space="0" w:color="auto"/>
            </w:tcBorders>
            <w:shd w:val="clear" w:color="000000" w:fill="FFFFFF"/>
            <w:vAlign w:val="center"/>
            <w:hideMark/>
          </w:tcPr>
          <w:p w14:paraId="6058452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nil"/>
              <w:right w:val="single" w:sz="4" w:space="0" w:color="auto"/>
            </w:tcBorders>
            <w:shd w:val="clear" w:color="000000" w:fill="FFFFFF"/>
            <w:noWrap/>
            <w:vAlign w:val="center"/>
            <w:hideMark/>
          </w:tcPr>
          <w:p w14:paraId="356148A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nil"/>
              <w:right w:val="single" w:sz="4" w:space="0" w:color="auto"/>
            </w:tcBorders>
            <w:shd w:val="clear" w:color="000000" w:fill="FFFFFF"/>
            <w:noWrap/>
            <w:vAlign w:val="center"/>
            <w:hideMark/>
          </w:tcPr>
          <w:p w14:paraId="702CE89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nil"/>
              <w:right w:val="single" w:sz="4" w:space="0" w:color="auto"/>
            </w:tcBorders>
            <w:shd w:val="clear" w:color="000000" w:fill="FFFFFF"/>
            <w:vAlign w:val="center"/>
            <w:hideMark/>
          </w:tcPr>
          <w:p w14:paraId="05E3ABF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000000"/>
            </w:tcBorders>
            <w:shd w:val="clear" w:color="000000" w:fill="FFFFFF"/>
            <w:vAlign w:val="center"/>
            <w:hideMark/>
          </w:tcPr>
          <w:p w14:paraId="0A49FF8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53DC7FC3" w14:textId="202AC98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Statistika të shëndetit dhe sigurisë në punë</w:t>
            </w:r>
            <w:r w:rsidR="00E80646"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000000" w:fill="FFFFFF"/>
            <w:vAlign w:val="center"/>
            <w:hideMark/>
          </w:tcPr>
          <w:p w14:paraId="4D1E2BA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Instituti i Sigurimeve Shoqërore</w:t>
            </w:r>
          </w:p>
        </w:tc>
        <w:tc>
          <w:tcPr>
            <w:tcW w:w="413" w:type="dxa"/>
            <w:tcBorders>
              <w:top w:val="nil"/>
              <w:left w:val="nil"/>
              <w:bottom w:val="nil"/>
              <w:right w:val="single" w:sz="4" w:space="0" w:color="auto"/>
            </w:tcBorders>
            <w:shd w:val="clear" w:color="000000" w:fill="FFFFFF"/>
            <w:vAlign w:val="center"/>
            <w:hideMark/>
          </w:tcPr>
          <w:p w14:paraId="197CF737" w14:textId="08ECE99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000000" w:fill="FFFFFF"/>
            <w:vAlign w:val="center"/>
            <w:hideMark/>
          </w:tcPr>
          <w:p w14:paraId="6A24BB2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180 e V</w:t>
            </w:r>
          </w:p>
        </w:tc>
        <w:tc>
          <w:tcPr>
            <w:tcW w:w="385" w:type="dxa"/>
            <w:tcBorders>
              <w:top w:val="nil"/>
              <w:left w:val="nil"/>
              <w:bottom w:val="nil"/>
              <w:right w:val="single" w:sz="4" w:space="0" w:color="auto"/>
            </w:tcBorders>
            <w:shd w:val="clear" w:color="000000" w:fill="FFFFFF"/>
            <w:vAlign w:val="center"/>
            <w:hideMark/>
          </w:tcPr>
          <w:p w14:paraId="1E2C3CD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210 e V</w:t>
            </w:r>
          </w:p>
        </w:tc>
        <w:tc>
          <w:tcPr>
            <w:tcW w:w="361" w:type="dxa"/>
            <w:tcBorders>
              <w:top w:val="nil"/>
              <w:left w:val="nil"/>
              <w:bottom w:val="nil"/>
              <w:right w:val="single" w:sz="4" w:space="0" w:color="auto"/>
            </w:tcBorders>
            <w:shd w:val="clear" w:color="000000" w:fill="FFFFFF"/>
            <w:vAlign w:val="center"/>
            <w:hideMark/>
          </w:tcPr>
          <w:p w14:paraId="2226684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V+150 D</w:t>
            </w:r>
          </w:p>
        </w:tc>
        <w:tc>
          <w:tcPr>
            <w:tcW w:w="732" w:type="dxa"/>
            <w:tcBorders>
              <w:top w:val="nil"/>
              <w:left w:val="nil"/>
              <w:bottom w:val="nil"/>
              <w:right w:val="single" w:sz="4" w:space="0" w:color="auto"/>
            </w:tcBorders>
            <w:shd w:val="clear" w:color="000000" w:fill="FFFFFF"/>
            <w:vAlign w:val="center"/>
            <w:hideMark/>
          </w:tcPr>
          <w:p w14:paraId="367C69A1" w14:textId="0CC6B58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-|- 3</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të dhënat administrative/vrojtimet statistikore -|- 3</w:t>
            </w:r>
            <w:r w:rsidRPr="004F2AC3">
              <w:rPr>
                <w:rFonts w:ascii="Garamond" w:eastAsia="Times New Roman" w:hAnsi="Garamond" w:cs="Times New Roman"/>
                <w:color w:val="000000"/>
                <w:sz w:val="10"/>
                <w:szCs w:val="10"/>
                <w:lang w:eastAsia="sq-AL"/>
              </w:rPr>
              <w:br/>
              <w:t xml:space="preserve">3. Pezullimi/vonesa e mbledhjes, prodhimit dhe shpërndarjes të </w:t>
            </w:r>
            <w:r w:rsidR="00E80646" w:rsidRPr="004F2AC3">
              <w:rPr>
                <w:rFonts w:ascii="Garamond" w:eastAsia="Times New Roman" w:hAnsi="Garamond" w:cs="Times New Roman"/>
                <w:color w:val="000000"/>
                <w:sz w:val="10"/>
                <w:szCs w:val="10"/>
                <w:lang w:eastAsia="sq-AL"/>
              </w:rPr>
              <w:t>statistikave zyrtare si pasojë e fatkeqësive natyrore/ pandemi globale -</w:t>
            </w:r>
            <w:r w:rsidRPr="004F2AC3">
              <w:rPr>
                <w:rFonts w:ascii="Garamond" w:eastAsia="Times New Roman" w:hAnsi="Garamond" w:cs="Times New Roman"/>
                <w:color w:val="000000"/>
                <w:sz w:val="10"/>
                <w:szCs w:val="10"/>
                <w:lang w:eastAsia="sq-AL"/>
              </w:rPr>
              <w:t>|- 1</w:t>
            </w:r>
          </w:p>
        </w:tc>
        <w:tc>
          <w:tcPr>
            <w:tcW w:w="551" w:type="dxa"/>
            <w:tcBorders>
              <w:top w:val="nil"/>
              <w:left w:val="nil"/>
              <w:bottom w:val="nil"/>
              <w:right w:val="single" w:sz="4" w:space="0" w:color="auto"/>
            </w:tcBorders>
            <w:shd w:val="clear" w:color="000000" w:fill="FFFFFF"/>
            <w:vAlign w:val="center"/>
            <w:hideMark/>
          </w:tcPr>
          <w:p w14:paraId="5DED118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44758B3B" w14:textId="77777777" w:rsidTr="0021321C">
        <w:trPr>
          <w:trHeight w:val="180"/>
          <w:jc w:val="center"/>
        </w:trPr>
        <w:tc>
          <w:tcPr>
            <w:tcW w:w="388" w:type="dxa"/>
            <w:tcBorders>
              <w:top w:val="nil"/>
              <w:left w:val="nil"/>
              <w:bottom w:val="nil"/>
              <w:right w:val="nil"/>
            </w:tcBorders>
            <w:shd w:val="clear" w:color="000000" w:fill="FFFFFF"/>
            <w:vAlign w:val="bottom"/>
            <w:hideMark/>
          </w:tcPr>
          <w:p w14:paraId="66330DF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FAAD30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676DC24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1.5</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78C1F8D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Të ardhurat dhe shpenzimet e konsumit </w:t>
            </w:r>
          </w:p>
        </w:tc>
      </w:tr>
      <w:tr w:rsidR="0021321C" w:rsidRPr="004F2AC3" w14:paraId="65173384" w14:textId="77777777" w:rsidTr="0021321C">
        <w:trPr>
          <w:trHeight w:val="180"/>
          <w:jc w:val="center"/>
        </w:trPr>
        <w:tc>
          <w:tcPr>
            <w:tcW w:w="388" w:type="dxa"/>
            <w:tcBorders>
              <w:top w:val="nil"/>
              <w:left w:val="nil"/>
              <w:bottom w:val="nil"/>
              <w:right w:val="nil"/>
            </w:tcBorders>
            <w:shd w:val="clear" w:color="000000" w:fill="FFFFFF"/>
            <w:vAlign w:val="bottom"/>
            <w:hideMark/>
          </w:tcPr>
          <w:p w14:paraId="6C6B38F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875301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2C31D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247F43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2F2F2"/>
            <w:vAlign w:val="center"/>
            <w:hideMark/>
          </w:tcPr>
          <w:p w14:paraId="5D714C9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1.5.1</w:t>
            </w:r>
          </w:p>
        </w:tc>
        <w:tc>
          <w:tcPr>
            <w:tcW w:w="7813" w:type="dxa"/>
            <w:gridSpan w:val="16"/>
            <w:tcBorders>
              <w:top w:val="nil"/>
              <w:left w:val="single" w:sz="4" w:space="0" w:color="auto"/>
              <w:bottom w:val="single" w:sz="4" w:space="0" w:color="auto"/>
              <w:right w:val="single" w:sz="4" w:space="0" w:color="auto"/>
            </w:tcBorders>
            <w:shd w:val="clear" w:color="000000" w:fill="F2F2F2"/>
            <w:vAlign w:val="center"/>
            <w:hideMark/>
          </w:tcPr>
          <w:p w14:paraId="5E93BF1A" w14:textId="32D3389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e </w:t>
            </w:r>
            <w:r w:rsidR="00E80646" w:rsidRPr="004F2AC3">
              <w:rPr>
                <w:rFonts w:ascii="Garamond" w:eastAsia="Times New Roman" w:hAnsi="Garamond" w:cs="Times New Roman"/>
                <w:color w:val="000000"/>
                <w:sz w:val="10"/>
                <w:szCs w:val="10"/>
                <w:lang w:eastAsia="sq-AL"/>
              </w:rPr>
              <w:t xml:space="preserve">konsumit </w:t>
            </w:r>
          </w:p>
        </w:tc>
      </w:tr>
      <w:tr w:rsidR="00C73163" w:rsidRPr="004F2AC3" w14:paraId="00916041" w14:textId="77777777" w:rsidTr="0021321C">
        <w:trPr>
          <w:trHeight w:val="180"/>
          <w:jc w:val="center"/>
        </w:trPr>
        <w:tc>
          <w:tcPr>
            <w:tcW w:w="388" w:type="dxa"/>
            <w:tcBorders>
              <w:top w:val="nil"/>
              <w:left w:val="nil"/>
              <w:bottom w:val="nil"/>
              <w:right w:val="nil"/>
            </w:tcBorders>
            <w:shd w:val="clear" w:color="000000" w:fill="FFFFFF"/>
            <w:vAlign w:val="bottom"/>
            <w:hideMark/>
          </w:tcPr>
          <w:p w14:paraId="46203E7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E08800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724FD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1242A2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3726B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78254E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0DFFE0B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1.5.1.1</w:t>
            </w:r>
          </w:p>
        </w:tc>
        <w:tc>
          <w:tcPr>
            <w:tcW w:w="563" w:type="dxa"/>
            <w:tcBorders>
              <w:top w:val="nil"/>
              <w:left w:val="nil"/>
              <w:bottom w:val="nil"/>
              <w:right w:val="single" w:sz="4" w:space="0" w:color="auto"/>
            </w:tcBorders>
            <w:shd w:val="clear" w:color="auto" w:fill="auto"/>
            <w:vAlign w:val="center"/>
            <w:hideMark/>
          </w:tcPr>
          <w:p w14:paraId="2C5C61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nga Anketa e Buxhetit të Familjes</w:t>
            </w:r>
          </w:p>
        </w:tc>
        <w:tc>
          <w:tcPr>
            <w:tcW w:w="446" w:type="dxa"/>
            <w:tcBorders>
              <w:top w:val="nil"/>
              <w:left w:val="nil"/>
              <w:bottom w:val="nil"/>
              <w:right w:val="single" w:sz="4" w:space="0" w:color="auto"/>
            </w:tcBorders>
            <w:shd w:val="clear" w:color="auto" w:fill="auto"/>
            <w:vAlign w:val="center"/>
            <w:hideMark/>
          </w:tcPr>
          <w:p w14:paraId="6F221F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nil"/>
              <w:right w:val="single" w:sz="4" w:space="0" w:color="auto"/>
            </w:tcBorders>
            <w:shd w:val="clear" w:color="auto" w:fill="auto"/>
            <w:vAlign w:val="center"/>
            <w:hideMark/>
          </w:tcPr>
          <w:p w14:paraId="0B259D3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nil"/>
              <w:right w:val="single" w:sz="4" w:space="0" w:color="auto"/>
            </w:tcBorders>
            <w:shd w:val="clear" w:color="auto" w:fill="auto"/>
            <w:vAlign w:val="center"/>
            <w:hideMark/>
          </w:tcPr>
          <w:p w14:paraId="3D0C31F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426" w:type="dxa"/>
            <w:tcBorders>
              <w:top w:val="nil"/>
              <w:left w:val="nil"/>
              <w:bottom w:val="nil"/>
              <w:right w:val="single" w:sz="4" w:space="0" w:color="auto"/>
            </w:tcBorders>
            <w:shd w:val="clear" w:color="auto" w:fill="auto"/>
            <w:vAlign w:val="center"/>
            <w:hideMark/>
          </w:tcPr>
          <w:p w14:paraId="17E50641" w14:textId="49AF38BB"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482DB05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1BD22949" w14:textId="4F800101" w:rsidR="0021321C" w:rsidRPr="004F2AC3" w:rsidRDefault="0021321C" w:rsidP="0021321C">
            <w:pPr>
              <w:spacing w:after="24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Struktura e shpenzimeve mesatare mujore të NjEF sipas</w:t>
            </w:r>
            <w:r w:rsidR="00D80B69" w:rsidRPr="004F2AC3">
              <w:rPr>
                <w:rFonts w:ascii="Garamond" w:eastAsia="Times New Roman" w:hAnsi="Garamond" w:cs="Times New Roman"/>
                <w:color w:val="000000"/>
                <w:sz w:val="10"/>
                <w:szCs w:val="10"/>
                <w:lang w:eastAsia="sq-AL"/>
              </w:rPr>
              <w:t xml:space="preserve"> 12 grupeve kryesore për konsum</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Struktura e shpenzimeve mesatare mujore të NjEF sipas 12 grupeve kryesore për konsum dhe nivelit të arsimit të kryefamiljarit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Struktura e shpenzimeve mesatare mujore të NjEF sipas 12 grupeve kryesore për konsum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 së kryefamiljarit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 Struktura e shpenzimeve mesatare mujore sipas 12 grupeve kryesore për konsum të NjEF sipas klasave të </w:t>
            </w:r>
            <w:r w:rsidR="00E80646" w:rsidRPr="004F2AC3">
              <w:rPr>
                <w:rFonts w:ascii="Garamond" w:eastAsia="Times New Roman" w:hAnsi="Garamond" w:cs="Times New Roman"/>
                <w:color w:val="000000"/>
                <w:sz w:val="10"/>
                <w:szCs w:val="10"/>
                <w:lang w:eastAsia="sq-AL"/>
              </w:rPr>
              <w:t>kuintalëve;</w:t>
            </w:r>
            <w:r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color w:val="000000"/>
                <w:sz w:val="10"/>
                <w:szCs w:val="10"/>
                <w:highlight w:val="yellow"/>
                <w:lang w:eastAsia="sq-AL"/>
              </w:rPr>
              <w:t>5.</w:t>
            </w:r>
            <w:r w:rsidRPr="004F2AC3">
              <w:rPr>
                <w:rFonts w:ascii="Garamond" w:eastAsia="Times New Roman" w:hAnsi="Garamond" w:cs="Times New Roman"/>
                <w:color w:val="000000"/>
                <w:sz w:val="10"/>
                <w:szCs w:val="10"/>
                <w:lang w:eastAsia="sq-AL"/>
              </w:rPr>
              <w:t xml:space="preserve"> Struktura e shpenzimeve mesatare mujore të NjEF sipas 12 grupeve kryesore për konsum dhe tipologjisë së NjEF</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color w:val="000000"/>
                <w:sz w:val="10"/>
                <w:szCs w:val="10"/>
                <w:highlight w:val="yellow"/>
                <w:lang w:eastAsia="sq-AL"/>
              </w:rPr>
              <w:t>7</w:t>
            </w:r>
            <w:r w:rsidRPr="004F2AC3">
              <w:rPr>
                <w:rFonts w:ascii="Garamond" w:eastAsia="Times New Roman" w:hAnsi="Garamond" w:cs="Times New Roman"/>
                <w:color w:val="000000"/>
                <w:sz w:val="10"/>
                <w:szCs w:val="10"/>
                <w:lang w:eastAsia="sq-AL"/>
              </w:rPr>
              <w:t>. Struktura e shpenzimeve mesatare mujore të NjEF</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sipas 12 grupeve kryesore për konsum sipas madhësisë së NjEF</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Shpenzimet mesatare mujore për konsum të NjEF sipas qarqeve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Struktura e shpenzimeve mesatare mujore sipas 12 grupeve kryesore për konsum të NjEF dhe sipas qarqeve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Shpenzimet mesatare mujore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për konsum sipas qarqeve dhe sipas tipologjisë së NjEF</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Shpenzimet mesatare mujore për konsum sipas qarqeve d</w:t>
            </w:r>
            <w:r w:rsidR="00D80B69" w:rsidRPr="004F2AC3">
              <w:rPr>
                <w:rFonts w:ascii="Garamond" w:eastAsia="Times New Roman" w:hAnsi="Garamond" w:cs="Times New Roman"/>
                <w:color w:val="000000"/>
                <w:sz w:val="10"/>
                <w:szCs w:val="10"/>
                <w:lang w:eastAsia="sq-AL"/>
              </w:rPr>
              <w:t>he sipas madhësisë së NjEF</w:t>
            </w:r>
            <w:r w:rsidR="00E80646"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688693C8" w14:textId="0A0EC95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13" w:type="dxa"/>
            <w:tcBorders>
              <w:top w:val="nil"/>
              <w:left w:val="nil"/>
              <w:bottom w:val="nil"/>
              <w:right w:val="single" w:sz="4" w:space="0" w:color="auto"/>
            </w:tcBorders>
            <w:shd w:val="clear" w:color="auto" w:fill="auto"/>
            <w:vAlign w:val="center"/>
            <w:hideMark/>
          </w:tcPr>
          <w:p w14:paraId="0DE05DB0" w14:textId="36B4AC7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7376F05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V+ 7D</w:t>
            </w:r>
            <w:r w:rsidRPr="004F2AC3">
              <w:rPr>
                <w:rFonts w:ascii="Garamond" w:eastAsia="Times New Roman" w:hAnsi="Garamond" w:cs="Times New Roman"/>
                <w:color w:val="000000"/>
                <w:sz w:val="10"/>
                <w:szCs w:val="10"/>
                <w:lang w:eastAsia="sq-AL"/>
              </w:rPr>
              <w:br/>
              <w:t>(Për 2026)</w:t>
            </w:r>
          </w:p>
        </w:tc>
        <w:tc>
          <w:tcPr>
            <w:tcW w:w="385" w:type="dxa"/>
            <w:tcBorders>
              <w:top w:val="nil"/>
              <w:left w:val="nil"/>
              <w:bottom w:val="nil"/>
              <w:right w:val="single" w:sz="4" w:space="0" w:color="auto"/>
            </w:tcBorders>
            <w:shd w:val="clear" w:color="auto" w:fill="auto"/>
            <w:vAlign w:val="center"/>
            <w:hideMark/>
          </w:tcPr>
          <w:p w14:paraId="34EF3DC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V+ 260D</w:t>
            </w:r>
            <w:r w:rsidRPr="004F2AC3">
              <w:rPr>
                <w:rFonts w:ascii="Garamond" w:eastAsia="Times New Roman" w:hAnsi="Garamond" w:cs="Times New Roman"/>
                <w:color w:val="000000"/>
                <w:sz w:val="10"/>
                <w:szCs w:val="10"/>
                <w:lang w:eastAsia="sq-AL"/>
              </w:rPr>
              <w:br/>
              <w:t>(Për 2025)</w:t>
            </w:r>
          </w:p>
        </w:tc>
        <w:tc>
          <w:tcPr>
            <w:tcW w:w="361" w:type="dxa"/>
            <w:tcBorders>
              <w:top w:val="nil"/>
              <w:left w:val="nil"/>
              <w:bottom w:val="nil"/>
              <w:right w:val="single" w:sz="4" w:space="0" w:color="auto"/>
            </w:tcBorders>
            <w:shd w:val="clear" w:color="auto" w:fill="auto"/>
            <w:vAlign w:val="center"/>
            <w:hideMark/>
          </w:tcPr>
          <w:p w14:paraId="5921E50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+ 271D</w:t>
            </w:r>
            <w:r w:rsidRPr="004F2AC3">
              <w:rPr>
                <w:rFonts w:ascii="Garamond" w:eastAsia="Times New Roman" w:hAnsi="Garamond" w:cs="Times New Roman"/>
                <w:color w:val="000000"/>
                <w:sz w:val="10"/>
                <w:szCs w:val="10"/>
                <w:lang w:eastAsia="sq-AL"/>
              </w:rPr>
              <w:br/>
              <w:t>(Për 2025)</w:t>
            </w:r>
          </w:p>
        </w:tc>
        <w:tc>
          <w:tcPr>
            <w:tcW w:w="732" w:type="dxa"/>
            <w:tcBorders>
              <w:top w:val="nil"/>
              <w:left w:val="nil"/>
              <w:bottom w:val="nil"/>
              <w:right w:val="single" w:sz="4" w:space="0" w:color="auto"/>
            </w:tcBorders>
            <w:shd w:val="clear" w:color="auto" w:fill="auto"/>
            <w:vAlign w:val="center"/>
            <w:hideMark/>
          </w:tcPr>
          <w:p w14:paraId="045BAF9C" w14:textId="29E79FB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Ardhja e pyetësorëve me vonesë në INSTAT -|- 6</w:t>
            </w:r>
            <w:r w:rsidRPr="004F2AC3">
              <w:rPr>
                <w:rFonts w:ascii="Garamond" w:eastAsia="Times New Roman" w:hAnsi="Garamond" w:cs="Times New Roman"/>
                <w:color w:val="000000"/>
                <w:sz w:val="10"/>
                <w:szCs w:val="10"/>
                <w:lang w:eastAsia="sq-AL"/>
              </w:rPr>
              <w:br/>
              <w:t>2. Dorëheqjet e anketuesve gjatë periudhës së mbledhjes së të dhënave -|- 6</w:t>
            </w:r>
            <w:r w:rsidRPr="004F2AC3">
              <w:rPr>
                <w:rFonts w:ascii="Garamond" w:eastAsia="Times New Roman" w:hAnsi="Garamond" w:cs="Times New Roman"/>
                <w:color w:val="000000"/>
                <w:sz w:val="10"/>
                <w:szCs w:val="10"/>
                <w:lang w:eastAsia="sq-AL"/>
              </w:rPr>
              <w:br/>
              <w:t>3. Vonesa në kontrollin dhe hedhjen e të dhënave -|- 6</w:t>
            </w:r>
            <w:r w:rsidRPr="004F2AC3">
              <w:rPr>
                <w:rFonts w:ascii="Garamond" w:eastAsia="Times New Roman" w:hAnsi="Garamond" w:cs="Times New Roman"/>
                <w:color w:val="000000"/>
                <w:sz w:val="10"/>
                <w:szCs w:val="10"/>
                <w:lang w:eastAsia="sq-AL"/>
              </w:rPr>
              <w:br/>
              <w:t xml:space="preserve">4. Moskryerja e </w:t>
            </w:r>
            <w:r w:rsidRPr="004F2AC3">
              <w:rPr>
                <w:rFonts w:ascii="Garamond" w:eastAsia="Times New Roman" w:hAnsi="Garamond" w:cs="Times New Roman"/>
                <w:i/>
                <w:color w:val="000000"/>
                <w:sz w:val="10"/>
                <w:szCs w:val="10"/>
                <w:lang w:eastAsia="sq-AL"/>
              </w:rPr>
              <w:t>batch</w:t>
            </w:r>
            <w:r w:rsidRPr="004F2AC3">
              <w:rPr>
                <w:rFonts w:ascii="Garamond" w:eastAsia="Times New Roman" w:hAnsi="Garamond" w:cs="Times New Roman"/>
                <w:color w:val="000000"/>
                <w:sz w:val="10"/>
                <w:szCs w:val="10"/>
                <w:lang w:eastAsia="sq-AL"/>
              </w:rPr>
              <w:t>-ve për çdo PSU të mbyllur nga operatori me qëllim kontrollin dhe verif</w:t>
            </w:r>
            <w:r w:rsidR="00D80B69"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t>kimin në kohë -|- 6</w:t>
            </w:r>
            <w:r w:rsidRPr="004F2AC3">
              <w:rPr>
                <w:rFonts w:ascii="Garamond" w:eastAsia="Times New Roman" w:hAnsi="Garamond" w:cs="Times New Roman"/>
                <w:color w:val="000000"/>
                <w:sz w:val="10"/>
                <w:szCs w:val="10"/>
                <w:lang w:eastAsia="sq-AL"/>
              </w:rPr>
              <w:br/>
              <w:t>5. Pezullimi/vonesa e mbledhjes, prodhimit dhe shpërndarjes së statistikave zyrtare si pasojë e Fatkeqësive natyrore/ Pandemi Globale -|- 6</w:t>
            </w:r>
            <w:r w:rsidRPr="004F2AC3">
              <w:rPr>
                <w:rFonts w:ascii="Garamond" w:eastAsia="Times New Roman" w:hAnsi="Garamond" w:cs="Times New Roman"/>
                <w:color w:val="000000"/>
                <w:sz w:val="10"/>
                <w:szCs w:val="10"/>
                <w:lang w:eastAsia="sq-AL"/>
              </w:rPr>
              <w:br/>
              <w:t xml:space="preserve">6. Mospërmbushja e kritereve të cilësisë si: saktësia, përpikmëria dhe krahasueshmëria, në </w:t>
            </w:r>
            <w:r w:rsidR="003338A8" w:rsidRPr="004F2AC3">
              <w:rPr>
                <w:rFonts w:ascii="Garamond" w:eastAsia="Times New Roman" w:hAnsi="Garamond" w:cs="Times New Roman"/>
                <w:color w:val="000000"/>
                <w:sz w:val="10"/>
                <w:szCs w:val="10"/>
                <w:lang w:eastAsia="sq-AL"/>
              </w:rPr>
              <w:t>vrojtime</w:t>
            </w:r>
            <w:r w:rsidRPr="004F2AC3">
              <w:rPr>
                <w:rFonts w:ascii="Garamond" w:eastAsia="Times New Roman" w:hAnsi="Garamond" w:cs="Times New Roman"/>
                <w:color w:val="000000"/>
                <w:sz w:val="10"/>
                <w:szCs w:val="10"/>
                <w:lang w:eastAsia="sq-AL"/>
              </w:rPr>
              <w:t xml:space="preserve"> e mbledhjes, prodhimit dhe shpërndarjes së statistikave zyrtare si pasojë e </w:t>
            </w:r>
            <w:r w:rsidR="00E80646" w:rsidRPr="004F2AC3">
              <w:rPr>
                <w:rFonts w:ascii="Garamond" w:eastAsia="Times New Roman" w:hAnsi="Garamond" w:cs="Times New Roman"/>
                <w:color w:val="000000"/>
                <w:sz w:val="10"/>
                <w:szCs w:val="10"/>
                <w:lang w:eastAsia="sq-AL"/>
              </w:rPr>
              <w:t>fatkeqësive natyrore/pandemi globale -|</w:t>
            </w:r>
            <w:r w:rsidRPr="004F2AC3">
              <w:rPr>
                <w:rFonts w:ascii="Garamond" w:eastAsia="Times New Roman" w:hAnsi="Garamond" w:cs="Times New Roman"/>
                <w:color w:val="000000"/>
                <w:sz w:val="10"/>
                <w:szCs w:val="10"/>
                <w:lang w:eastAsia="sq-AL"/>
              </w:rPr>
              <w:t>- 6</w:t>
            </w:r>
          </w:p>
        </w:tc>
        <w:tc>
          <w:tcPr>
            <w:tcW w:w="551" w:type="dxa"/>
            <w:tcBorders>
              <w:top w:val="nil"/>
              <w:left w:val="nil"/>
              <w:bottom w:val="nil"/>
              <w:right w:val="single" w:sz="4" w:space="0" w:color="auto"/>
            </w:tcBorders>
            <w:shd w:val="clear" w:color="auto" w:fill="auto"/>
            <w:vAlign w:val="center"/>
            <w:hideMark/>
          </w:tcPr>
          <w:p w14:paraId="4C6CAF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4FA9688A" w14:textId="77777777" w:rsidTr="0021321C">
        <w:trPr>
          <w:trHeight w:val="180"/>
          <w:jc w:val="center"/>
        </w:trPr>
        <w:tc>
          <w:tcPr>
            <w:tcW w:w="388" w:type="dxa"/>
            <w:tcBorders>
              <w:top w:val="nil"/>
              <w:left w:val="nil"/>
              <w:bottom w:val="nil"/>
              <w:right w:val="nil"/>
            </w:tcBorders>
            <w:shd w:val="clear" w:color="000000" w:fill="FFFFFF"/>
            <w:vAlign w:val="bottom"/>
            <w:hideMark/>
          </w:tcPr>
          <w:p w14:paraId="642657A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DFEA5A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D25A4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82F271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53FC153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1.5.2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8C6DA1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Të Ardhurat, Përfshirja Sociale dhe Niveli i Jetesës</w:t>
            </w:r>
          </w:p>
        </w:tc>
      </w:tr>
      <w:tr w:rsidR="00C73163" w:rsidRPr="004F2AC3" w14:paraId="5F82D1B5" w14:textId="77777777" w:rsidTr="0021321C">
        <w:trPr>
          <w:trHeight w:val="180"/>
          <w:jc w:val="center"/>
        </w:trPr>
        <w:tc>
          <w:tcPr>
            <w:tcW w:w="388" w:type="dxa"/>
            <w:tcBorders>
              <w:top w:val="nil"/>
              <w:left w:val="nil"/>
              <w:bottom w:val="nil"/>
              <w:right w:val="nil"/>
            </w:tcBorders>
            <w:shd w:val="clear" w:color="000000" w:fill="FFFFFF"/>
            <w:vAlign w:val="bottom"/>
            <w:hideMark/>
          </w:tcPr>
          <w:p w14:paraId="311C5B3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7E401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12337F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F2751E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27CF9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F7BCE4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BA6726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1.5.2.1</w:t>
            </w:r>
          </w:p>
        </w:tc>
        <w:tc>
          <w:tcPr>
            <w:tcW w:w="56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B7EF09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Anketa e të Ardhurave dhe Nivelit të Jetesës</w:t>
            </w:r>
          </w:p>
        </w:tc>
        <w:tc>
          <w:tcPr>
            <w:tcW w:w="44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FE0CCB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1A45B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vMerge w:val="restart"/>
            <w:tcBorders>
              <w:top w:val="nil"/>
              <w:left w:val="single" w:sz="4" w:space="0" w:color="auto"/>
              <w:bottom w:val="single" w:sz="4" w:space="0" w:color="000000"/>
              <w:right w:val="single" w:sz="4" w:space="0" w:color="auto"/>
            </w:tcBorders>
            <w:shd w:val="clear" w:color="auto" w:fill="auto"/>
            <w:vAlign w:val="center"/>
            <w:hideMark/>
          </w:tcPr>
          <w:p w14:paraId="00F0A6F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42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4126F8" w14:textId="0B22006C" w:rsidR="0021321C" w:rsidRPr="004F2AC3" w:rsidRDefault="006400E2"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D80D38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nil"/>
              <w:right w:val="nil"/>
            </w:tcBorders>
            <w:shd w:val="clear" w:color="000000" w:fill="FFFFFF"/>
            <w:vAlign w:val="center"/>
            <w:hideMark/>
          </w:tcPr>
          <w:p w14:paraId="523EF848" w14:textId="5C822FF5" w:rsidR="0021321C" w:rsidRPr="004F2AC3" w:rsidRDefault="0021321C" w:rsidP="003338A8">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Niveli i të ardhurave bruto/neto</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Të ardhurat disponibël të ekuivalentuara</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Mediana e të ardhurave të disponueshme të ekuivalentuara pas transfertave sociale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Mediana e të ardhurave nga puna</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Mediana e të ardhurave nga pensionet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Shpërndarja e pabarazisë së të ardhurave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Niveli i pabarazisë sipas karakteristikave gjeografike (NUTS 1, 2, 3)</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Pabarazia t</w:t>
            </w:r>
            <w:r w:rsidR="00D449AF"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individët e moshuar</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9. Raporti </w:t>
            </w:r>
            <w:r w:rsidR="003338A8"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t xml:space="preserve"> kuintileve (S80/S20)</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10. </w:t>
            </w:r>
            <w:r w:rsidR="00D80B69" w:rsidRPr="004F2AC3">
              <w:rPr>
                <w:rFonts w:ascii="Garamond" w:eastAsia="Times New Roman" w:hAnsi="Garamond" w:cs="Times New Roman"/>
                <w:color w:val="000000"/>
                <w:sz w:val="10"/>
                <w:szCs w:val="10"/>
                <w:lang w:eastAsia="sq-AL"/>
              </w:rPr>
              <w:t>Koeficienti</w:t>
            </w:r>
            <w:r w:rsidRPr="004F2AC3">
              <w:rPr>
                <w:rFonts w:ascii="Garamond" w:eastAsia="Times New Roman" w:hAnsi="Garamond" w:cs="Times New Roman"/>
                <w:color w:val="000000"/>
                <w:sz w:val="10"/>
                <w:szCs w:val="10"/>
                <w:lang w:eastAsia="sq-AL"/>
              </w:rPr>
              <w:t xml:space="preserve"> Gini</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Shpërndarja e individëve sipas tipit të familjes</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Përqindja e individëve të varfër</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13. Individët në riskun e të </w:t>
            </w:r>
            <w:r w:rsidR="00D80B69" w:rsidRPr="004F2AC3">
              <w:rPr>
                <w:rFonts w:ascii="Garamond" w:eastAsia="Times New Roman" w:hAnsi="Garamond" w:cs="Times New Roman"/>
                <w:color w:val="000000"/>
                <w:sz w:val="10"/>
                <w:szCs w:val="10"/>
                <w:lang w:eastAsia="sq-AL"/>
              </w:rPr>
              <w:t>qenit</w:t>
            </w:r>
            <w:r w:rsidRPr="004F2AC3">
              <w:rPr>
                <w:rFonts w:ascii="Garamond" w:eastAsia="Times New Roman" w:hAnsi="Garamond" w:cs="Times New Roman"/>
                <w:color w:val="000000"/>
                <w:sz w:val="10"/>
                <w:szCs w:val="10"/>
                <w:lang w:eastAsia="sq-AL"/>
              </w:rPr>
              <w:t xml:space="preserve"> të varfër dhe përjashtimit social (AROPE)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14. Fëmijët në riskun e të </w:t>
            </w:r>
            <w:r w:rsidR="00D80B69" w:rsidRPr="004F2AC3">
              <w:rPr>
                <w:rFonts w:ascii="Garamond" w:eastAsia="Times New Roman" w:hAnsi="Garamond" w:cs="Times New Roman"/>
                <w:color w:val="000000"/>
                <w:sz w:val="10"/>
                <w:szCs w:val="10"/>
                <w:lang w:eastAsia="sq-AL"/>
              </w:rPr>
              <w:t>qenit</w:t>
            </w:r>
            <w:r w:rsidRPr="004F2AC3">
              <w:rPr>
                <w:rFonts w:ascii="Garamond" w:eastAsia="Times New Roman" w:hAnsi="Garamond" w:cs="Times New Roman"/>
                <w:color w:val="000000"/>
                <w:sz w:val="10"/>
                <w:szCs w:val="10"/>
                <w:lang w:eastAsia="sq-AL"/>
              </w:rPr>
              <w:t xml:space="preserve"> të varfër</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Niveli i varfërisë sipas gjinisë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Niveli i varfërisë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moshave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17. Niveli i varfërisë sipas tipit të familjes</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18. Niveli i varfërisë sipas</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nivelit arsimor</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19. Linja e varfërisë relative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Hendeku i varfërisë relative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21. Niveli i varfërisë sipas pronësisë</w:t>
            </w:r>
            <w:r w:rsidR="00E80646" w:rsidRPr="004F2AC3">
              <w:rPr>
                <w:rFonts w:ascii="Garamond" w:eastAsia="Times New Roman" w:hAnsi="Garamond" w:cs="Times New Roman"/>
                <w:color w:val="000000"/>
                <w:sz w:val="10"/>
                <w:szCs w:val="10"/>
                <w:lang w:eastAsia="sq-AL"/>
              </w:rPr>
              <w:t>;</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54C7C07D" w14:textId="3C6E21E0"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306F8D" w14:textId="36A2A273"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w:t>
            </w:r>
          </w:p>
        </w:tc>
        <w:tc>
          <w:tcPr>
            <w:tcW w:w="46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3343C8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240 e V</w:t>
            </w:r>
            <w:r w:rsidRPr="004F2AC3">
              <w:rPr>
                <w:rFonts w:ascii="Garamond" w:eastAsia="Times New Roman" w:hAnsi="Garamond" w:cs="Times New Roman"/>
                <w:color w:val="000000"/>
                <w:sz w:val="10"/>
                <w:szCs w:val="10"/>
                <w:lang w:eastAsia="sq-AL"/>
              </w:rPr>
              <w:br/>
              <w:t>(Për 2026)</w:t>
            </w:r>
          </w:p>
        </w:tc>
        <w:tc>
          <w:tcPr>
            <w:tcW w:w="3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02EBB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+ 281D</w:t>
            </w:r>
            <w:r w:rsidRPr="004F2AC3">
              <w:rPr>
                <w:rFonts w:ascii="Garamond" w:eastAsia="Times New Roman" w:hAnsi="Garamond" w:cs="Times New Roman"/>
                <w:color w:val="000000"/>
                <w:sz w:val="10"/>
                <w:szCs w:val="10"/>
                <w:lang w:eastAsia="sq-AL"/>
              </w:rPr>
              <w:br/>
              <w:t>(Për 2025)</w:t>
            </w:r>
          </w:p>
        </w:tc>
        <w:tc>
          <w:tcPr>
            <w:tcW w:w="3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91ADD0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+ 288D</w:t>
            </w:r>
            <w:r w:rsidRPr="004F2AC3">
              <w:rPr>
                <w:rFonts w:ascii="Garamond" w:eastAsia="Times New Roman" w:hAnsi="Garamond" w:cs="Times New Roman"/>
                <w:color w:val="000000"/>
                <w:sz w:val="10"/>
                <w:szCs w:val="10"/>
                <w:lang w:eastAsia="sq-AL"/>
              </w:rPr>
              <w:br/>
              <w:t>(Për 2025)</w:t>
            </w:r>
          </w:p>
        </w:tc>
        <w:tc>
          <w:tcPr>
            <w:tcW w:w="7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9DF278" w14:textId="30B18B55" w:rsidR="0021321C" w:rsidRPr="004F2AC3" w:rsidRDefault="0021321C" w:rsidP="00D80B69">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Angazhimi në aktiviteteve shtesë të paplanifikuar c</w:t>
            </w:r>
            <w:r w:rsidR="00D80B69" w:rsidRPr="004F2AC3">
              <w:rPr>
                <w:rFonts w:ascii="Garamond" w:eastAsia="Times New Roman" w:hAnsi="Garamond" w:cs="Times New Roman"/>
                <w:color w:val="000000"/>
                <w:sz w:val="10"/>
                <w:szCs w:val="10"/>
                <w:lang w:eastAsia="sq-AL"/>
              </w:rPr>
              <w:t>e</w:t>
            </w:r>
            <w:r w:rsidRPr="004F2AC3">
              <w:rPr>
                <w:rFonts w:ascii="Garamond" w:eastAsia="Times New Roman" w:hAnsi="Garamond" w:cs="Times New Roman"/>
                <w:color w:val="000000"/>
                <w:sz w:val="10"/>
                <w:szCs w:val="10"/>
                <w:lang w:eastAsia="sq-AL"/>
              </w:rPr>
              <w:t>non pë</w:t>
            </w:r>
            <w:r w:rsidR="00D80B69" w:rsidRPr="004F2AC3">
              <w:rPr>
                <w:rFonts w:ascii="Garamond" w:eastAsia="Times New Roman" w:hAnsi="Garamond" w:cs="Times New Roman"/>
                <w:color w:val="000000"/>
                <w:sz w:val="10"/>
                <w:szCs w:val="10"/>
                <w:lang w:eastAsia="sq-AL"/>
              </w:rPr>
              <w:t>r</w:t>
            </w:r>
            <w:r w:rsidRPr="004F2AC3">
              <w:rPr>
                <w:rFonts w:ascii="Garamond" w:eastAsia="Times New Roman" w:hAnsi="Garamond" w:cs="Times New Roman"/>
                <w:color w:val="000000"/>
                <w:sz w:val="10"/>
                <w:szCs w:val="10"/>
                <w:lang w:eastAsia="sq-AL"/>
              </w:rPr>
              <w:t>mbushjen e afateve të paracaktuara. -|- 3</w:t>
            </w:r>
            <w:r w:rsidRPr="004F2AC3">
              <w:rPr>
                <w:rFonts w:ascii="Garamond" w:eastAsia="Times New Roman" w:hAnsi="Garamond" w:cs="Times New Roman"/>
                <w:color w:val="000000"/>
                <w:sz w:val="10"/>
                <w:szCs w:val="10"/>
                <w:lang w:eastAsia="sq-AL"/>
              </w:rPr>
              <w:br/>
              <w:t>2. Pezullimi/vonesa e mbledhjes, prodhimit dhe shpërndarjes të statistikave zyrtare si pasojë e Fatkeqësive natyrore/ Pandemi Globale, Grumbullimi i informacionit në zona të largëta apo kushte të vështira- 3</w:t>
            </w:r>
            <w:r w:rsidRPr="004F2AC3">
              <w:rPr>
                <w:rFonts w:ascii="Garamond" w:eastAsia="Times New Roman" w:hAnsi="Garamond" w:cs="Times New Roman"/>
                <w:color w:val="000000"/>
                <w:sz w:val="10"/>
                <w:szCs w:val="10"/>
                <w:lang w:eastAsia="sq-AL"/>
              </w:rPr>
              <w:br/>
              <w:t xml:space="preserve">3. Staf i kufizuar për zhvillimin e aktiviteteve që mbulon sektori ku përfshin tre fusha: SILC, </w:t>
            </w:r>
            <w:r w:rsidR="00D80B69" w:rsidRPr="004F2AC3">
              <w:rPr>
                <w:rFonts w:ascii="Garamond" w:eastAsia="Times New Roman" w:hAnsi="Garamond" w:cs="Times New Roman"/>
                <w:color w:val="000000"/>
                <w:sz w:val="10"/>
                <w:szCs w:val="10"/>
                <w:lang w:eastAsia="sq-AL"/>
              </w:rPr>
              <w:t>Cilësia</w:t>
            </w:r>
            <w:r w:rsidRPr="004F2AC3">
              <w:rPr>
                <w:rFonts w:ascii="Garamond" w:eastAsia="Times New Roman" w:hAnsi="Garamond" w:cs="Times New Roman"/>
                <w:color w:val="000000"/>
                <w:sz w:val="10"/>
                <w:szCs w:val="10"/>
                <w:lang w:eastAsia="sq-AL"/>
              </w:rPr>
              <w:t xml:space="preserve"> e Jetës -|- 3</w:t>
            </w:r>
          </w:p>
        </w:tc>
        <w:tc>
          <w:tcPr>
            <w:tcW w:w="55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6B9D6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1CE4E822" w14:textId="77777777" w:rsidTr="0021321C">
        <w:trPr>
          <w:trHeight w:val="180"/>
          <w:jc w:val="center"/>
        </w:trPr>
        <w:tc>
          <w:tcPr>
            <w:tcW w:w="388" w:type="dxa"/>
            <w:tcBorders>
              <w:top w:val="nil"/>
              <w:left w:val="nil"/>
              <w:bottom w:val="nil"/>
              <w:right w:val="nil"/>
            </w:tcBorders>
            <w:shd w:val="clear" w:color="000000" w:fill="FFFFFF"/>
            <w:vAlign w:val="bottom"/>
            <w:hideMark/>
          </w:tcPr>
          <w:p w14:paraId="38B403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CFD74B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2734FC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CC90B5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7C403D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5D3E14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5C77993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733DED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29CF56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122BA97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30101A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74DA96B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00D59A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000000" w:fill="FFFFFF"/>
            <w:vAlign w:val="center"/>
            <w:hideMark/>
          </w:tcPr>
          <w:p w14:paraId="1DA7BCF2" w14:textId="47DF4B3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Niveli i varfërisë për pensionistët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23.</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Niveli i varfërisë sipas statusit të punësimit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24.</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Niveli i varfërisë sipas karakteristikave gjeografike (NUTS 1, 2, 3)</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25.</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Banesa të mbipopulluara sipas gjinisë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26.</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Banesa të mbipopulluara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27.</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Banesa të mbipopulluara sipas nivelit të varfërisë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28.</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Banesa të mbipopulluara sipas statusit të pronësisë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29.</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Banesa të mbipopulluara sipas tipit të familjes</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30.</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Kostot e banesës një barrë e rëndë (</w:t>
            </w:r>
            <w:r w:rsidRPr="004F2AC3">
              <w:rPr>
                <w:rFonts w:ascii="Garamond" w:eastAsia="Times New Roman" w:hAnsi="Garamond" w:cs="Times New Roman"/>
                <w:i/>
                <w:color w:val="000000"/>
                <w:sz w:val="10"/>
                <w:szCs w:val="10"/>
                <w:lang w:eastAsia="sq-AL"/>
              </w:rPr>
              <w:t>overburden</w:t>
            </w:r>
            <w:r w:rsidRPr="004F2AC3">
              <w:rPr>
                <w:rFonts w:ascii="Garamond" w:eastAsia="Times New Roman" w:hAnsi="Garamond" w:cs="Times New Roman"/>
                <w:color w:val="000000"/>
                <w:sz w:val="10"/>
                <w:szCs w:val="10"/>
                <w:lang w:eastAsia="sq-AL"/>
              </w:rPr>
              <w:t>) sipas gjinisë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31.</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Kostot e banesës një barrë e rëndë (</w:t>
            </w:r>
            <w:r w:rsidRPr="004F2AC3">
              <w:rPr>
                <w:rFonts w:ascii="Garamond" w:eastAsia="Times New Roman" w:hAnsi="Garamond" w:cs="Times New Roman"/>
                <w:i/>
                <w:color w:val="000000"/>
                <w:sz w:val="10"/>
                <w:szCs w:val="10"/>
                <w:lang w:eastAsia="sq-AL"/>
              </w:rPr>
              <w:t>overburden</w:t>
            </w:r>
            <w:r w:rsidRPr="004F2AC3">
              <w:rPr>
                <w:rFonts w:ascii="Garamond" w:eastAsia="Times New Roman" w:hAnsi="Garamond" w:cs="Times New Roman"/>
                <w:color w:val="000000"/>
                <w:sz w:val="10"/>
                <w:szCs w:val="10"/>
                <w:lang w:eastAsia="sq-AL"/>
              </w:rPr>
              <w:t>)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32.</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Kostot e banesës një barrë e rëndë (</w:t>
            </w:r>
            <w:r w:rsidRPr="004F2AC3">
              <w:rPr>
                <w:rFonts w:ascii="Garamond" w:eastAsia="Times New Roman" w:hAnsi="Garamond" w:cs="Times New Roman"/>
                <w:i/>
                <w:color w:val="000000"/>
                <w:sz w:val="10"/>
                <w:szCs w:val="10"/>
                <w:lang w:eastAsia="sq-AL"/>
              </w:rPr>
              <w:t>overburden</w:t>
            </w:r>
            <w:r w:rsidRPr="004F2AC3">
              <w:rPr>
                <w:rFonts w:ascii="Garamond" w:eastAsia="Times New Roman" w:hAnsi="Garamond" w:cs="Times New Roman"/>
                <w:color w:val="000000"/>
                <w:sz w:val="10"/>
                <w:szCs w:val="10"/>
                <w:lang w:eastAsia="sq-AL"/>
              </w:rPr>
              <w:t>) sipas kuintileve të të ardhurave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33.</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Kostot e banesës një barrë e rëndë (</w:t>
            </w:r>
            <w:r w:rsidRPr="004F2AC3">
              <w:rPr>
                <w:rFonts w:ascii="Garamond" w:eastAsia="Times New Roman" w:hAnsi="Garamond" w:cs="Times New Roman"/>
                <w:i/>
                <w:color w:val="000000"/>
                <w:sz w:val="10"/>
                <w:szCs w:val="10"/>
                <w:lang w:eastAsia="sq-AL"/>
              </w:rPr>
              <w:t>overburden</w:t>
            </w:r>
            <w:r w:rsidRPr="004F2AC3">
              <w:rPr>
                <w:rFonts w:ascii="Garamond" w:eastAsia="Times New Roman" w:hAnsi="Garamond" w:cs="Times New Roman"/>
                <w:color w:val="000000"/>
                <w:sz w:val="10"/>
                <w:szCs w:val="10"/>
                <w:lang w:eastAsia="sq-AL"/>
              </w:rPr>
              <w:t>) sipas nivelit të varfërisë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34.</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Kostot e banesës një barrë e rëndë (</w:t>
            </w:r>
            <w:r w:rsidRPr="004F2AC3">
              <w:rPr>
                <w:rFonts w:ascii="Garamond" w:eastAsia="Times New Roman" w:hAnsi="Garamond" w:cs="Times New Roman"/>
                <w:i/>
                <w:color w:val="000000"/>
                <w:sz w:val="10"/>
                <w:szCs w:val="10"/>
                <w:lang w:eastAsia="sq-AL"/>
              </w:rPr>
              <w:t>overburden</w:t>
            </w:r>
            <w:r w:rsidRPr="004F2AC3">
              <w:rPr>
                <w:rFonts w:ascii="Garamond" w:eastAsia="Times New Roman" w:hAnsi="Garamond" w:cs="Times New Roman"/>
                <w:color w:val="000000"/>
                <w:sz w:val="10"/>
                <w:szCs w:val="10"/>
                <w:lang w:eastAsia="sq-AL"/>
              </w:rPr>
              <w:t>) sipas pronësisë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35.</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Kostot e banesës një barrë e rëndë (</w:t>
            </w:r>
            <w:r w:rsidRPr="004F2AC3">
              <w:rPr>
                <w:rFonts w:ascii="Garamond" w:eastAsia="Times New Roman" w:hAnsi="Garamond" w:cs="Times New Roman"/>
                <w:i/>
                <w:color w:val="000000"/>
                <w:sz w:val="10"/>
                <w:szCs w:val="10"/>
                <w:lang w:eastAsia="sq-AL"/>
              </w:rPr>
              <w:t>overburden</w:t>
            </w:r>
            <w:r w:rsidRPr="004F2AC3">
              <w:rPr>
                <w:rFonts w:ascii="Garamond" w:eastAsia="Times New Roman" w:hAnsi="Garamond" w:cs="Times New Roman"/>
                <w:color w:val="000000"/>
                <w:sz w:val="10"/>
                <w:szCs w:val="10"/>
                <w:lang w:eastAsia="sq-AL"/>
              </w:rPr>
              <w:t>) sipas tipit të banesës</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36.</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Individët që vuajnë nga një sërë deprivimesh material</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37.</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Privimi material sipas gjinisë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38.</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Privimi material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moshave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39.</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Ashpërsia e privimit material</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40.</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Privimi material sipas numrit të deprivimeve</w:t>
            </w:r>
            <w:r w:rsidR="00E80646"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47084C0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2458C1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7C09180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03EAA20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5B569AE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248201F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2A9122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21321C" w:rsidRPr="004F2AC3" w14:paraId="3C8D9F25" w14:textId="77777777" w:rsidTr="0021321C">
        <w:trPr>
          <w:trHeight w:val="180"/>
          <w:jc w:val="center"/>
        </w:trPr>
        <w:tc>
          <w:tcPr>
            <w:tcW w:w="388" w:type="dxa"/>
            <w:tcBorders>
              <w:top w:val="nil"/>
              <w:left w:val="nil"/>
              <w:bottom w:val="nil"/>
              <w:right w:val="nil"/>
            </w:tcBorders>
            <w:shd w:val="clear" w:color="000000" w:fill="FFFFFF"/>
            <w:vAlign w:val="bottom"/>
            <w:hideMark/>
          </w:tcPr>
          <w:p w14:paraId="14AA283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ED55A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39FE249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65CE75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Mbrojtja Sociale</w:t>
            </w:r>
          </w:p>
        </w:tc>
      </w:tr>
      <w:tr w:rsidR="0021321C" w:rsidRPr="004F2AC3" w14:paraId="671D9349" w14:textId="77777777" w:rsidTr="0021321C">
        <w:trPr>
          <w:trHeight w:val="180"/>
          <w:jc w:val="center"/>
        </w:trPr>
        <w:tc>
          <w:tcPr>
            <w:tcW w:w="388" w:type="dxa"/>
            <w:tcBorders>
              <w:top w:val="nil"/>
              <w:left w:val="nil"/>
              <w:bottom w:val="nil"/>
              <w:right w:val="nil"/>
            </w:tcBorders>
            <w:shd w:val="clear" w:color="000000" w:fill="FFFFFF"/>
            <w:vAlign w:val="bottom"/>
            <w:hideMark/>
          </w:tcPr>
          <w:p w14:paraId="201F16D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3BB61F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6A9F4E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12445C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auto"/>
              <w:bottom w:val="single" w:sz="4" w:space="0" w:color="auto"/>
              <w:right w:val="single" w:sz="4" w:space="0" w:color="auto"/>
            </w:tcBorders>
            <w:shd w:val="clear" w:color="000000" w:fill="F0F0F0"/>
            <w:vAlign w:val="center"/>
            <w:hideMark/>
          </w:tcPr>
          <w:p w14:paraId="4795248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1.6.1</w:t>
            </w:r>
          </w:p>
        </w:tc>
        <w:tc>
          <w:tcPr>
            <w:tcW w:w="7813" w:type="dxa"/>
            <w:gridSpan w:val="16"/>
            <w:tcBorders>
              <w:top w:val="single" w:sz="4" w:space="0" w:color="auto"/>
              <w:left w:val="nil"/>
              <w:bottom w:val="single" w:sz="4" w:space="0" w:color="auto"/>
              <w:right w:val="single" w:sz="4" w:space="0" w:color="auto"/>
            </w:tcBorders>
            <w:shd w:val="clear" w:color="000000" w:fill="F0F0F0"/>
            <w:vAlign w:val="center"/>
            <w:hideMark/>
          </w:tcPr>
          <w:p w14:paraId="3FA63A7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Të dhëna administrative të mbrojtjes sociale</w:t>
            </w:r>
          </w:p>
        </w:tc>
      </w:tr>
      <w:tr w:rsidR="00C73163" w:rsidRPr="004F2AC3" w14:paraId="18722BF3" w14:textId="77777777" w:rsidTr="0021321C">
        <w:trPr>
          <w:trHeight w:val="180"/>
          <w:jc w:val="center"/>
        </w:trPr>
        <w:tc>
          <w:tcPr>
            <w:tcW w:w="388" w:type="dxa"/>
            <w:tcBorders>
              <w:top w:val="nil"/>
              <w:left w:val="nil"/>
              <w:bottom w:val="nil"/>
              <w:right w:val="nil"/>
            </w:tcBorders>
            <w:shd w:val="clear" w:color="000000" w:fill="FFFFFF"/>
            <w:vAlign w:val="bottom"/>
            <w:hideMark/>
          </w:tcPr>
          <w:p w14:paraId="74A850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81AB2C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34AA53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1B0E5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A6AEE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34BEE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2F2F2"/>
            <w:vAlign w:val="center"/>
            <w:hideMark/>
          </w:tcPr>
          <w:p w14:paraId="5319D8C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1.6.1.1</w:t>
            </w:r>
          </w:p>
        </w:tc>
        <w:tc>
          <w:tcPr>
            <w:tcW w:w="563" w:type="dxa"/>
            <w:tcBorders>
              <w:top w:val="nil"/>
              <w:left w:val="nil"/>
              <w:bottom w:val="single" w:sz="4" w:space="0" w:color="auto"/>
              <w:right w:val="single" w:sz="4" w:space="0" w:color="auto"/>
            </w:tcBorders>
            <w:shd w:val="clear" w:color="000000" w:fill="F2F2F2"/>
            <w:vAlign w:val="center"/>
            <w:hideMark/>
          </w:tcPr>
          <w:p w14:paraId="219F477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Të dhëna administrative të mbrojtjes sociale</w:t>
            </w:r>
          </w:p>
        </w:tc>
        <w:tc>
          <w:tcPr>
            <w:tcW w:w="446" w:type="dxa"/>
            <w:tcBorders>
              <w:top w:val="nil"/>
              <w:left w:val="nil"/>
              <w:bottom w:val="single" w:sz="4" w:space="0" w:color="auto"/>
              <w:right w:val="single" w:sz="4" w:space="0" w:color="auto"/>
            </w:tcBorders>
            <w:shd w:val="clear" w:color="000000" w:fill="F2F2F2"/>
            <w:vAlign w:val="center"/>
            <w:hideMark/>
          </w:tcPr>
          <w:p w14:paraId="76850734"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single" w:sz="4" w:space="0" w:color="auto"/>
              <w:right w:val="single" w:sz="4" w:space="0" w:color="auto"/>
            </w:tcBorders>
            <w:shd w:val="clear" w:color="000000" w:fill="F2F2F2"/>
            <w:vAlign w:val="center"/>
            <w:hideMark/>
          </w:tcPr>
          <w:p w14:paraId="68723C7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2F2F2"/>
            <w:vAlign w:val="center"/>
            <w:hideMark/>
          </w:tcPr>
          <w:p w14:paraId="018694B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2F2F2"/>
            <w:vAlign w:val="center"/>
            <w:hideMark/>
          </w:tcPr>
          <w:p w14:paraId="230346F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000000" w:fill="F2F2F2"/>
            <w:vAlign w:val="center"/>
            <w:hideMark/>
          </w:tcPr>
          <w:p w14:paraId="4FC6EE9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2F2F2"/>
            <w:vAlign w:val="center"/>
            <w:hideMark/>
          </w:tcPr>
          <w:p w14:paraId="1DBCE3C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2F2F2"/>
            <w:vAlign w:val="center"/>
            <w:hideMark/>
          </w:tcPr>
          <w:p w14:paraId="727BFAB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2F2F2"/>
            <w:vAlign w:val="center"/>
            <w:hideMark/>
          </w:tcPr>
          <w:p w14:paraId="194D8CF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2F2F2"/>
            <w:noWrap/>
            <w:vAlign w:val="center"/>
            <w:hideMark/>
          </w:tcPr>
          <w:p w14:paraId="4F25441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2F2F2"/>
            <w:noWrap/>
            <w:vAlign w:val="center"/>
            <w:hideMark/>
          </w:tcPr>
          <w:p w14:paraId="63B1B27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2F2F2"/>
            <w:noWrap/>
            <w:vAlign w:val="center"/>
            <w:hideMark/>
          </w:tcPr>
          <w:p w14:paraId="331975F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2F2F2"/>
            <w:vAlign w:val="center"/>
            <w:hideMark/>
          </w:tcPr>
          <w:p w14:paraId="72CEAD8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2F2F2"/>
            <w:vAlign w:val="center"/>
            <w:hideMark/>
          </w:tcPr>
          <w:p w14:paraId="7DE36A4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72BDCFF4" w14:textId="77777777" w:rsidTr="0021321C">
        <w:trPr>
          <w:trHeight w:val="180"/>
          <w:jc w:val="center"/>
        </w:trPr>
        <w:tc>
          <w:tcPr>
            <w:tcW w:w="388" w:type="dxa"/>
            <w:tcBorders>
              <w:top w:val="nil"/>
              <w:left w:val="nil"/>
              <w:bottom w:val="nil"/>
              <w:right w:val="nil"/>
            </w:tcBorders>
            <w:shd w:val="clear" w:color="000000" w:fill="FFFFFF"/>
            <w:vAlign w:val="bottom"/>
            <w:hideMark/>
          </w:tcPr>
          <w:p w14:paraId="6F0CB54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59296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3ACE0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A2D1E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004C2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19EAD3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0F66BA2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1.6.1.1.a</w:t>
            </w:r>
          </w:p>
        </w:tc>
        <w:tc>
          <w:tcPr>
            <w:tcW w:w="563" w:type="dxa"/>
            <w:tcBorders>
              <w:top w:val="nil"/>
              <w:left w:val="nil"/>
              <w:bottom w:val="single" w:sz="4" w:space="0" w:color="auto"/>
              <w:right w:val="single" w:sz="4" w:space="0" w:color="auto"/>
            </w:tcBorders>
            <w:shd w:val="clear" w:color="auto" w:fill="auto"/>
            <w:vAlign w:val="center"/>
            <w:hideMark/>
          </w:tcPr>
          <w:p w14:paraId="7300D22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 të ndihmës ekonomike</w:t>
            </w:r>
          </w:p>
        </w:tc>
        <w:tc>
          <w:tcPr>
            <w:tcW w:w="446" w:type="dxa"/>
            <w:tcBorders>
              <w:top w:val="nil"/>
              <w:left w:val="nil"/>
              <w:bottom w:val="single" w:sz="4" w:space="0" w:color="auto"/>
              <w:right w:val="single" w:sz="4" w:space="0" w:color="auto"/>
            </w:tcBorders>
            <w:shd w:val="clear" w:color="auto" w:fill="auto"/>
            <w:vAlign w:val="center"/>
            <w:hideMark/>
          </w:tcPr>
          <w:p w14:paraId="018ABD12"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vAlign w:val="center"/>
            <w:hideMark/>
          </w:tcPr>
          <w:p w14:paraId="4284171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6077502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5C4B02AB"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 vazhdueshëm</w:t>
            </w:r>
          </w:p>
        </w:tc>
        <w:tc>
          <w:tcPr>
            <w:tcW w:w="409" w:type="dxa"/>
            <w:tcBorders>
              <w:top w:val="nil"/>
              <w:left w:val="nil"/>
              <w:bottom w:val="single" w:sz="4" w:space="0" w:color="auto"/>
              <w:right w:val="single" w:sz="4" w:space="0" w:color="auto"/>
            </w:tcBorders>
            <w:shd w:val="clear" w:color="000000" w:fill="FFFFFF"/>
            <w:vAlign w:val="center"/>
            <w:hideMark/>
          </w:tcPr>
          <w:p w14:paraId="44B248CA"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069F5217" w14:textId="43E53F51"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Numri familjeve në nevojë</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që përfitojnë ndihmë ekonomike nga skema e NE dhe fondi përkatës</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Numri i familjeve në ndihmë ekonomike sipas strukturës së familjes</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Numri</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i </w:t>
            </w:r>
            <w:r w:rsidR="00D80B69" w:rsidRPr="004F2AC3">
              <w:rPr>
                <w:rFonts w:ascii="Garamond" w:eastAsia="Times New Roman" w:hAnsi="Garamond" w:cs="Times New Roman"/>
                <w:sz w:val="10"/>
                <w:szCs w:val="10"/>
                <w:lang w:eastAsia="sq-AL"/>
              </w:rPr>
              <w:t>individëve</w:t>
            </w:r>
            <w:r w:rsidRPr="004F2AC3">
              <w:rPr>
                <w:rFonts w:ascii="Garamond" w:eastAsia="Times New Roman" w:hAnsi="Garamond" w:cs="Times New Roman"/>
                <w:sz w:val="10"/>
                <w:szCs w:val="10"/>
                <w:lang w:eastAsia="sq-AL"/>
              </w:rPr>
              <w:t xml:space="preserve"> në nevojë</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që </w:t>
            </w:r>
            <w:r w:rsidR="00D80B69" w:rsidRPr="004F2AC3">
              <w:rPr>
                <w:rFonts w:ascii="Garamond" w:eastAsia="Times New Roman" w:hAnsi="Garamond" w:cs="Times New Roman"/>
                <w:sz w:val="10"/>
                <w:szCs w:val="10"/>
                <w:lang w:eastAsia="sq-AL"/>
              </w:rPr>
              <w:t>përfitojnë</w:t>
            </w:r>
            <w:r w:rsidRPr="004F2AC3">
              <w:rPr>
                <w:rFonts w:ascii="Garamond" w:eastAsia="Times New Roman" w:hAnsi="Garamond" w:cs="Times New Roman"/>
                <w:sz w:val="10"/>
                <w:szCs w:val="10"/>
                <w:lang w:eastAsia="sq-AL"/>
              </w:rPr>
              <w:t xml:space="preserve"> ndihmë ekonomike nga skema e NE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dhe fondi përkatës</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Numri i familjeve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në nevojë</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që </w:t>
            </w:r>
            <w:r w:rsidR="00D80B69" w:rsidRPr="004F2AC3">
              <w:rPr>
                <w:rFonts w:ascii="Garamond" w:eastAsia="Times New Roman" w:hAnsi="Garamond" w:cs="Times New Roman"/>
                <w:sz w:val="10"/>
                <w:szCs w:val="10"/>
                <w:lang w:eastAsia="sq-AL"/>
              </w:rPr>
              <w:t>përfitojnë</w:t>
            </w:r>
            <w:r w:rsidRPr="004F2AC3">
              <w:rPr>
                <w:rFonts w:ascii="Garamond" w:eastAsia="Times New Roman" w:hAnsi="Garamond" w:cs="Times New Roman"/>
                <w:sz w:val="10"/>
                <w:szCs w:val="10"/>
                <w:lang w:eastAsia="sq-AL"/>
              </w:rPr>
              <w:t xml:space="preserve"> </w:t>
            </w:r>
            <w:r w:rsidR="005B3A9C" w:rsidRPr="004F2AC3">
              <w:rPr>
                <w:rFonts w:ascii="Garamond" w:eastAsia="Times New Roman" w:hAnsi="Garamond" w:cs="Times New Roman"/>
                <w:sz w:val="10"/>
                <w:szCs w:val="10"/>
                <w:lang w:eastAsia="sq-AL"/>
              </w:rPr>
              <w:t>ndihmë ekonomike nga bashkitë (</w:t>
            </w:r>
            <w:r w:rsidRPr="004F2AC3">
              <w:rPr>
                <w:rFonts w:ascii="Garamond" w:eastAsia="Times New Roman" w:hAnsi="Garamond" w:cs="Times New Roman"/>
                <w:sz w:val="10"/>
                <w:szCs w:val="10"/>
                <w:lang w:eastAsia="sq-AL"/>
              </w:rPr>
              <w:t>me PAK, rom, kryef</w:t>
            </w:r>
            <w:r w:rsidR="00D80B69"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/gra</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dhe fondi përkatës)</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Familje në skemën e ndihmës ekonomike sipas përbërjes së familjeve (me pak, rom, kryef</w:t>
            </w:r>
            <w:r w:rsidR="00D80B69"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/gra)</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 Numri i qendrave sociale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(rezidenciale dhe ditore, publike dhe private) dhe numri i përfituesve në këto qendra</w:t>
            </w:r>
            <w:r w:rsidR="00E80646"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291CF4A1"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Shërbimi Social Shtetëror</w:t>
            </w:r>
          </w:p>
        </w:tc>
        <w:tc>
          <w:tcPr>
            <w:tcW w:w="413" w:type="dxa"/>
            <w:tcBorders>
              <w:top w:val="nil"/>
              <w:left w:val="nil"/>
              <w:bottom w:val="single" w:sz="4" w:space="0" w:color="auto"/>
              <w:right w:val="single" w:sz="4" w:space="0" w:color="auto"/>
            </w:tcBorders>
            <w:shd w:val="clear" w:color="auto" w:fill="auto"/>
            <w:vAlign w:val="center"/>
            <w:hideMark/>
          </w:tcPr>
          <w:p w14:paraId="56E187C6" w14:textId="425A9753"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INSTAT</w:t>
            </w:r>
            <w:r w:rsidR="00E80646" w:rsidRPr="004F2AC3">
              <w:rPr>
                <w:rFonts w:ascii="Garamond" w:eastAsia="Times New Roman" w:hAnsi="Garamond" w:cs="Times New Roman"/>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2522951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+ 90 D</w:t>
            </w:r>
          </w:p>
        </w:tc>
        <w:tc>
          <w:tcPr>
            <w:tcW w:w="385" w:type="dxa"/>
            <w:tcBorders>
              <w:top w:val="nil"/>
              <w:left w:val="nil"/>
              <w:bottom w:val="single" w:sz="4" w:space="0" w:color="auto"/>
              <w:right w:val="single" w:sz="4" w:space="0" w:color="auto"/>
            </w:tcBorders>
            <w:shd w:val="clear" w:color="000000" w:fill="FFFFFF"/>
            <w:vAlign w:val="center"/>
            <w:hideMark/>
          </w:tcPr>
          <w:p w14:paraId="3ABF5FB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+ 150D</w:t>
            </w:r>
          </w:p>
        </w:tc>
        <w:tc>
          <w:tcPr>
            <w:tcW w:w="361" w:type="dxa"/>
            <w:tcBorders>
              <w:top w:val="nil"/>
              <w:left w:val="nil"/>
              <w:bottom w:val="single" w:sz="4" w:space="0" w:color="auto"/>
              <w:right w:val="single" w:sz="4" w:space="0" w:color="auto"/>
            </w:tcBorders>
            <w:shd w:val="clear" w:color="000000" w:fill="FFFFFF"/>
            <w:vAlign w:val="center"/>
            <w:hideMark/>
          </w:tcPr>
          <w:p w14:paraId="5AC8A63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 + 320D</w:t>
            </w:r>
          </w:p>
        </w:tc>
        <w:tc>
          <w:tcPr>
            <w:tcW w:w="732" w:type="dxa"/>
            <w:tcBorders>
              <w:top w:val="nil"/>
              <w:left w:val="nil"/>
              <w:bottom w:val="single" w:sz="4" w:space="0" w:color="auto"/>
              <w:right w:val="single" w:sz="4" w:space="0" w:color="auto"/>
            </w:tcBorders>
            <w:shd w:val="clear" w:color="auto" w:fill="auto"/>
            <w:vAlign w:val="center"/>
            <w:hideMark/>
          </w:tcPr>
          <w:p w14:paraId="5E9D2335" w14:textId="58D31753"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Vonesa n</w:t>
            </w:r>
            <w:r w:rsidR="00D80B69"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marrjen e t</w:t>
            </w:r>
            <w:r w:rsidR="00D80B69"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w:t>
            </w:r>
            <w:r w:rsidR="00D80B69" w:rsidRPr="004F2AC3">
              <w:rPr>
                <w:rFonts w:ascii="Garamond" w:eastAsia="Times New Roman" w:hAnsi="Garamond" w:cs="Times New Roman"/>
                <w:sz w:val="10"/>
                <w:szCs w:val="10"/>
                <w:lang w:eastAsia="sq-AL"/>
              </w:rPr>
              <w:t>dhënave</w:t>
            </w:r>
            <w:r w:rsidRPr="004F2AC3">
              <w:rPr>
                <w:rFonts w:ascii="Garamond" w:eastAsia="Times New Roman" w:hAnsi="Garamond" w:cs="Times New Roman"/>
                <w:sz w:val="10"/>
                <w:szCs w:val="10"/>
                <w:lang w:eastAsia="sq-AL"/>
              </w:rPr>
              <w:t xml:space="preserve"> administrative nga burimi -|- 6</w:t>
            </w:r>
          </w:p>
        </w:tc>
        <w:tc>
          <w:tcPr>
            <w:tcW w:w="551" w:type="dxa"/>
            <w:tcBorders>
              <w:top w:val="nil"/>
              <w:left w:val="nil"/>
              <w:bottom w:val="single" w:sz="4" w:space="0" w:color="auto"/>
              <w:right w:val="single" w:sz="4" w:space="0" w:color="auto"/>
            </w:tcBorders>
            <w:shd w:val="clear" w:color="auto" w:fill="auto"/>
            <w:vAlign w:val="center"/>
            <w:hideMark/>
          </w:tcPr>
          <w:p w14:paraId="4D5C8DEE"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Buxhet shteti</w:t>
            </w:r>
          </w:p>
        </w:tc>
      </w:tr>
      <w:tr w:rsidR="00C73163" w:rsidRPr="004F2AC3" w14:paraId="5B24F6AA" w14:textId="77777777" w:rsidTr="0021321C">
        <w:trPr>
          <w:trHeight w:val="180"/>
          <w:jc w:val="center"/>
        </w:trPr>
        <w:tc>
          <w:tcPr>
            <w:tcW w:w="388" w:type="dxa"/>
            <w:tcBorders>
              <w:top w:val="nil"/>
              <w:left w:val="nil"/>
              <w:bottom w:val="nil"/>
              <w:right w:val="nil"/>
            </w:tcBorders>
            <w:shd w:val="clear" w:color="000000" w:fill="FFFFFF"/>
            <w:vAlign w:val="bottom"/>
            <w:hideMark/>
          </w:tcPr>
          <w:p w14:paraId="76DFC4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180062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779F88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D409A3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2689A9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1FF5EF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3CEA421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1.6.1.1.b</w:t>
            </w:r>
          </w:p>
        </w:tc>
        <w:tc>
          <w:tcPr>
            <w:tcW w:w="563" w:type="dxa"/>
            <w:tcBorders>
              <w:top w:val="nil"/>
              <w:left w:val="nil"/>
              <w:bottom w:val="single" w:sz="4" w:space="0" w:color="auto"/>
              <w:right w:val="single" w:sz="4" w:space="0" w:color="auto"/>
            </w:tcBorders>
            <w:shd w:val="clear" w:color="auto" w:fill="auto"/>
            <w:vAlign w:val="center"/>
            <w:hideMark/>
          </w:tcPr>
          <w:p w14:paraId="01F57EB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 të Aftësisë së kufizuar</w:t>
            </w:r>
          </w:p>
        </w:tc>
        <w:tc>
          <w:tcPr>
            <w:tcW w:w="446" w:type="dxa"/>
            <w:tcBorders>
              <w:top w:val="nil"/>
              <w:left w:val="nil"/>
              <w:bottom w:val="single" w:sz="4" w:space="0" w:color="auto"/>
              <w:right w:val="single" w:sz="4" w:space="0" w:color="auto"/>
            </w:tcBorders>
            <w:shd w:val="clear" w:color="auto" w:fill="auto"/>
            <w:vAlign w:val="center"/>
            <w:hideMark/>
          </w:tcPr>
          <w:p w14:paraId="420A383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vAlign w:val="center"/>
            <w:hideMark/>
          </w:tcPr>
          <w:p w14:paraId="1D1AC59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271AD9C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4C22137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5251AA7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2204DF09" w14:textId="767BC851"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Përfitues të pagesës së paaftësisë sipas llojit të PAK dhe grup</w:t>
            </w:r>
            <w:r w:rsidR="00D449AF"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moshave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Numri i fëmijëve të moshës 0</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sz w:val="10"/>
                <w:szCs w:val="10"/>
                <w:lang w:eastAsia="sq-AL"/>
              </w:rPr>
              <w:t>17 vjeç që marrin përfitime kesh për aftësinë e kufizuar, në fund të vitit</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Shpenzimet për përfitimet</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të siguruara drejtpërdrejt për fëmijët me aftësi të kufizuara</w:t>
            </w:r>
            <w:r w:rsidR="00E80646"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2FED2D4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Shërbimi Social Shtetëror</w:t>
            </w:r>
          </w:p>
        </w:tc>
        <w:tc>
          <w:tcPr>
            <w:tcW w:w="413" w:type="dxa"/>
            <w:tcBorders>
              <w:top w:val="nil"/>
              <w:left w:val="nil"/>
              <w:bottom w:val="single" w:sz="4" w:space="0" w:color="auto"/>
              <w:right w:val="single" w:sz="4" w:space="0" w:color="auto"/>
            </w:tcBorders>
            <w:shd w:val="clear" w:color="auto" w:fill="auto"/>
            <w:vAlign w:val="center"/>
            <w:hideMark/>
          </w:tcPr>
          <w:p w14:paraId="38EE711B" w14:textId="4422D868"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INSTAT</w:t>
            </w:r>
            <w:r w:rsidR="00E80646" w:rsidRPr="004F2AC3">
              <w:rPr>
                <w:rFonts w:ascii="Garamond" w:eastAsia="Times New Roman" w:hAnsi="Garamond" w:cs="Times New Roman"/>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2E75E5C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+ 90 D</w:t>
            </w:r>
          </w:p>
        </w:tc>
        <w:tc>
          <w:tcPr>
            <w:tcW w:w="385" w:type="dxa"/>
            <w:tcBorders>
              <w:top w:val="nil"/>
              <w:left w:val="nil"/>
              <w:bottom w:val="single" w:sz="4" w:space="0" w:color="auto"/>
              <w:right w:val="single" w:sz="4" w:space="0" w:color="auto"/>
            </w:tcBorders>
            <w:shd w:val="clear" w:color="000000" w:fill="FFFFFF"/>
            <w:vAlign w:val="center"/>
            <w:hideMark/>
          </w:tcPr>
          <w:p w14:paraId="7BFC323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+ 150D</w:t>
            </w:r>
          </w:p>
        </w:tc>
        <w:tc>
          <w:tcPr>
            <w:tcW w:w="361" w:type="dxa"/>
            <w:tcBorders>
              <w:top w:val="nil"/>
              <w:left w:val="nil"/>
              <w:bottom w:val="single" w:sz="4" w:space="0" w:color="auto"/>
              <w:right w:val="single" w:sz="4" w:space="0" w:color="auto"/>
            </w:tcBorders>
            <w:shd w:val="clear" w:color="000000" w:fill="FFFFFF"/>
            <w:vAlign w:val="center"/>
            <w:hideMark/>
          </w:tcPr>
          <w:p w14:paraId="151F7A0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 + 320D</w:t>
            </w:r>
          </w:p>
        </w:tc>
        <w:tc>
          <w:tcPr>
            <w:tcW w:w="732" w:type="dxa"/>
            <w:tcBorders>
              <w:top w:val="nil"/>
              <w:left w:val="nil"/>
              <w:bottom w:val="single" w:sz="4" w:space="0" w:color="auto"/>
              <w:right w:val="single" w:sz="4" w:space="0" w:color="auto"/>
            </w:tcBorders>
            <w:shd w:val="clear" w:color="auto" w:fill="auto"/>
            <w:vAlign w:val="center"/>
            <w:hideMark/>
          </w:tcPr>
          <w:p w14:paraId="7398C60A" w14:textId="0BD850E2"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1. </w:t>
            </w:r>
            <w:r w:rsidR="00D449AF" w:rsidRPr="004F2AC3">
              <w:rPr>
                <w:rFonts w:ascii="Garamond" w:eastAsia="Times New Roman" w:hAnsi="Garamond" w:cs="Times New Roman"/>
                <w:sz w:val="10"/>
                <w:szCs w:val="10"/>
                <w:lang w:eastAsia="sq-AL"/>
              </w:rPr>
              <w:t>Vonesa në marrjen e të dhënave administrative nga institucionet</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-|- 6</w:t>
            </w:r>
          </w:p>
        </w:tc>
        <w:tc>
          <w:tcPr>
            <w:tcW w:w="551" w:type="dxa"/>
            <w:tcBorders>
              <w:top w:val="nil"/>
              <w:left w:val="nil"/>
              <w:bottom w:val="single" w:sz="4" w:space="0" w:color="auto"/>
              <w:right w:val="single" w:sz="4" w:space="0" w:color="auto"/>
            </w:tcBorders>
            <w:shd w:val="clear" w:color="auto" w:fill="auto"/>
            <w:vAlign w:val="center"/>
            <w:hideMark/>
          </w:tcPr>
          <w:p w14:paraId="46F25EA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Buxhet shteti</w:t>
            </w:r>
          </w:p>
        </w:tc>
      </w:tr>
      <w:tr w:rsidR="00C73163" w:rsidRPr="004F2AC3" w14:paraId="42BB0977" w14:textId="77777777" w:rsidTr="0021321C">
        <w:trPr>
          <w:trHeight w:val="180"/>
          <w:jc w:val="center"/>
        </w:trPr>
        <w:tc>
          <w:tcPr>
            <w:tcW w:w="388" w:type="dxa"/>
            <w:tcBorders>
              <w:top w:val="nil"/>
              <w:left w:val="nil"/>
              <w:bottom w:val="nil"/>
              <w:right w:val="nil"/>
            </w:tcBorders>
            <w:shd w:val="clear" w:color="000000" w:fill="FFFFFF"/>
            <w:vAlign w:val="bottom"/>
            <w:hideMark/>
          </w:tcPr>
          <w:p w14:paraId="3417D0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096F79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AA64C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8D1BE1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17742C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74A1A9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60EA2F0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1.6.1.1.c</w:t>
            </w:r>
          </w:p>
        </w:tc>
        <w:tc>
          <w:tcPr>
            <w:tcW w:w="563" w:type="dxa"/>
            <w:tcBorders>
              <w:top w:val="nil"/>
              <w:left w:val="nil"/>
              <w:bottom w:val="single" w:sz="4" w:space="0" w:color="auto"/>
              <w:right w:val="single" w:sz="4" w:space="0" w:color="auto"/>
            </w:tcBorders>
            <w:shd w:val="clear" w:color="auto" w:fill="auto"/>
            <w:vAlign w:val="center"/>
            <w:hideMark/>
          </w:tcPr>
          <w:p w14:paraId="131BE1A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 të Pagesës së papunësisë</w:t>
            </w:r>
          </w:p>
        </w:tc>
        <w:tc>
          <w:tcPr>
            <w:tcW w:w="446" w:type="dxa"/>
            <w:tcBorders>
              <w:top w:val="nil"/>
              <w:left w:val="nil"/>
              <w:bottom w:val="single" w:sz="4" w:space="0" w:color="auto"/>
              <w:right w:val="single" w:sz="4" w:space="0" w:color="auto"/>
            </w:tcBorders>
            <w:shd w:val="clear" w:color="auto" w:fill="auto"/>
            <w:vAlign w:val="center"/>
            <w:hideMark/>
          </w:tcPr>
          <w:p w14:paraId="2FACE55D"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vAlign w:val="center"/>
            <w:hideMark/>
          </w:tcPr>
          <w:p w14:paraId="16E7F9E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5C69DF1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64A0519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7566FEB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0B45E1A3" w14:textId="6E4F48BD"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1. Pagesa e papunësisë dhe </w:t>
            </w:r>
            <w:r w:rsidR="00D80B69" w:rsidRPr="004F2AC3">
              <w:rPr>
                <w:rFonts w:ascii="Garamond" w:eastAsia="Times New Roman" w:hAnsi="Garamond" w:cs="Times New Roman"/>
                <w:sz w:val="10"/>
                <w:szCs w:val="10"/>
                <w:lang w:eastAsia="sq-AL"/>
              </w:rPr>
              <w:t>përfitues</w:t>
            </w:r>
            <w:r w:rsidRPr="004F2AC3">
              <w:rPr>
                <w:rFonts w:ascii="Garamond" w:eastAsia="Times New Roman" w:hAnsi="Garamond" w:cs="Times New Roman"/>
                <w:sz w:val="10"/>
                <w:szCs w:val="10"/>
                <w:lang w:eastAsia="sq-AL"/>
              </w:rPr>
              <w:t xml:space="preserve"> të pagesës së papunësisë,</w:t>
            </w:r>
            <w:r w:rsidR="00D80B69"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sipas grup</w:t>
            </w:r>
            <w:r w:rsidR="00D449AF"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moshave dhe nivelit arsimor</w:t>
            </w:r>
            <w:r w:rsidR="00E80646"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12EDDE2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Agjencia Kombëtare e Punësimit dhe Aftësive</w:t>
            </w:r>
          </w:p>
        </w:tc>
        <w:tc>
          <w:tcPr>
            <w:tcW w:w="413" w:type="dxa"/>
            <w:tcBorders>
              <w:top w:val="nil"/>
              <w:left w:val="nil"/>
              <w:bottom w:val="single" w:sz="4" w:space="0" w:color="auto"/>
              <w:right w:val="single" w:sz="4" w:space="0" w:color="auto"/>
            </w:tcBorders>
            <w:shd w:val="clear" w:color="auto" w:fill="auto"/>
            <w:vAlign w:val="center"/>
            <w:hideMark/>
          </w:tcPr>
          <w:p w14:paraId="4A6FE032" w14:textId="1C0DF9D2"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INSTAT</w:t>
            </w:r>
            <w:r w:rsidR="00E80646" w:rsidRPr="004F2AC3">
              <w:rPr>
                <w:rFonts w:ascii="Garamond" w:eastAsia="Times New Roman" w:hAnsi="Garamond" w:cs="Times New Roman"/>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40F8C53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+ 90 D</w:t>
            </w:r>
          </w:p>
        </w:tc>
        <w:tc>
          <w:tcPr>
            <w:tcW w:w="385" w:type="dxa"/>
            <w:tcBorders>
              <w:top w:val="nil"/>
              <w:left w:val="nil"/>
              <w:bottom w:val="single" w:sz="4" w:space="0" w:color="auto"/>
              <w:right w:val="single" w:sz="4" w:space="0" w:color="auto"/>
            </w:tcBorders>
            <w:shd w:val="clear" w:color="000000" w:fill="FFFFFF"/>
            <w:vAlign w:val="center"/>
            <w:hideMark/>
          </w:tcPr>
          <w:p w14:paraId="22B1B94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+ 150D</w:t>
            </w:r>
          </w:p>
        </w:tc>
        <w:tc>
          <w:tcPr>
            <w:tcW w:w="361" w:type="dxa"/>
            <w:tcBorders>
              <w:top w:val="nil"/>
              <w:left w:val="nil"/>
              <w:bottom w:val="single" w:sz="4" w:space="0" w:color="auto"/>
              <w:right w:val="single" w:sz="4" w:space="0" w:color="auto"/>
            </w:tcBorders>
            <w:shd w:val="clear" w:color="000000" w:fill="FFFFFF"/>
            <w:vAlign w:val="center"/>
            <w:hideMark/>
          </w:tcPr>
          <w:p w14:paraId="171D8F6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 + 320D</w:t>
            </w:r>
          </w:p>
        </w:tc>
        <w:tc>
          <w:tcPr>
            <w:tcW w:w="732" w:type="dxa"/>
            <w:tcBorders>
              <w:top w:val="nil"/>
              <w:left w:val="nil"/>
              <w:bottom w:val="single" w:sz="4" w:space="0" w:color="auto"/>
              <w:right w:val="single" w:sz="4" w:space="0" w:color="auto"/>
            </w:tcBorders>
            <w:shd w:val="clear" w:color="auto" w:fill="auto"/>
            <w:vAlign w:val="center"/>
            <w:hideMark/>
          </w:tcPr>
          <w:p w14:paraId="6413BF4E" w14:textId="17E45520"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1. </w:t>
            </w:r>
            <w:r w:rsidR="00D449AF" w:rsidRPr="004F2AC3">
              <w:rPr>
                <w:rFonts w:ascii="Garamond" w:eastAsia="Times New Roman" w:hAnsi="Garamond" w:cs="Times New Roman"/>
                <w:sz w:val="10"/>
                <w:szCs w:val="10"/>
                <w:lang w:eastAsia="sq-AL"/>
              </w:rPr>
              <w:t>Vonesa në marrjen e të dhënave administrative nga institucionet</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-|- 6</w:t>
            </w:r>
          </w:p>
        </w:tc>
        <w:tc>
          <w:tcPr>
            <w:tcW w:w="551" w:type="dxa"/>
            <w:tcBorders>
              <w:top w:val="nil"/>
              <w:left w:val="nil"/>
              <w:bottom w:val="single" w:sz="4" w:space="0" w:color="auto"/>
              <w:right w:val="single" w:sz="4" w:space="0" w:color="auto"/>
            </w:tcBorders>
            <w:shd w:val="clear" w:color="auto" w:fill="auto"/>
            <w:vAlign w:val="center"/>
            <w:hideMark/>
          </w:tcPr>
          <w:p w14:paraId="649EFF7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Buxhet shteti</w:t>
            </w:r>
          </w:p>
        </w:tc>
      </w:tr>
      <w:tr w:rsidR="00C73163" w:rsidRPr="004F2AC3" w14:paraId="555101DE" w14:textId="77777777" w:rsidTr="0021321C">
        <w:trPr>
          <w:trHeight w:val="180"/>
          <w:jc w:val="center"/>
        </w:trPr>
        <w:tc>
          <w:tcPr>
            <w:tcW w:w="388" w:type="dxa"/>
            <w:tcBorders>
              <w:top w:val="nil"/>
              <w:left w:val="nil"/>
              <w:bottom w:val="nil"/>
              <w:right w:val="nil"/>
            </w:tcBorders>
            <w:shd w:val="clear" w:color="000000" w:fill="FFFFFF"/>
            <w:vAlign w:val="bottom"/>
            <w:hideMark/>
          </w:tcPr>
          <w:p w14:paraId="1C66EB8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36676F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CEE517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DB858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434E7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CA1161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4AD8C02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1.6.1.1.d</w:t>
            </w:r>
          </w:p>
        </w:tc>
        <w:tc>
          <w:tcPr>
            <w:tcW w:w="563" w:type="dxa"/>
            <w:tcBorders>
              <w:top w:val="nil"/>
              <w:left w:val="nil"/>
              <w:bottom w:val="single" w:sz="4" w:space="0" w:color="auto"/>
              <w:right w:val="single" w:sz="4" w:space="0" w:color="auto"/>
            </w:tcBorders>
            <w:shd w:val="clear" w:color="000000" w:fill="FFFFFF"/>
            <w:vAlign w:val="center"/>
            <w:hideMark/>
          </w:tcPr>
          <w:p w14:paraId="7851602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Pensionet</w:t>
            </w:r>
          </w:p>
        </w:tc>
        <w:tc>
          <w:tcPr>
            <w:tcW w:w="446" w:type="dxa"/>
            <w:tcBorders>
              <w:top w:val="nil"/>
              <w:left w:val="nil"/>
              <w:bottom w:val="single" w:sz="4" w:space="0" w:color="auto"/>
              <w:right w:val="single" w:sz="4" w:space="0" w:color="auto"/>
            </w:tcBorders>
            <w:shd w:val="clear" w:color="auto" w:fill="auto"/>
            <w:vAlign w:val="center"/>
            <w:hideMark/>
          </w:tcPr>
          <w:p w14:paraId="64E1AD66"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vAlign w:val="center"/>
            <w:hideMark/>
          </w:tcPr>
          <w:p w14:paraId="40C612F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000000" w:fill="FFFFFF"/>
            <w:vAlign w:val="center"/>
            <w:hideMark/>
          </w:tcPr>
          <w:p w14:paraId="09D2AA0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71D1CAF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 vazhdueshëm</w:t>
            </w:r>
          </w:p>
        </w:tc>
        <w:tc>
          <w:tcPr>
            <w:tcW w:w="409" w:type="dxa"/>
            <w:tcBorders>
              <w:top w:val="nil"/>
              <w:left w:val="nil"/>
              <w:bottom w:val="single" w:sz="4" w:space="0" w:color="auto"/>
              <w:right w:val="single" w:sz="4" w:space="0" w:color="auto"/>
            </w:tcBorders>
            <w:shd w:val="clear" w:color="000000" w:fill="FFFFFF"/>
            <w:vAlign w:val="center"/>
            <w:hideMark/>
          </w:tcPr>
          <w:p w14:paraId="18658D8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Vjetor</w:t>
            </w:r>
          </w:p>
        </w:tc>
        <w:tc>
          <w:tcPr>
            <w:tcW w:w="1098" w:type="dxa"/>
            <w:tcBorders>
              <w:top w:val="nil"/>
              <w:left w:val="nil"/>
              <w:bottom w:val="single" w:sz="4" w:space="0" w:color="auto"/>
              <w:right w:val="single" w:sz="4" w:space="0" w:color="auto"/>
            </w:tcBorders>
            <w:shd w:val="clear" w:color="000000" w:fill="FFFFFF"/>
            <w:vAlign w:val="center"/>
            <w:hideMark/>
          </w:tcPr>
          <w:p w14:paraId="11B15E49" w14:textId="0A05AD4A" w:rsidR="00E80646"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Numri i kontribuesve në skemën e sigurimeve shoqërore</w:t>
            </w:r>
            <w:r w:rsidR="00E80646" w:rsidRPr="004F2AC3">
              <w:rPr>
                <w:rFonts w:ascii="Garamond" w:eastAsia="Times New Roman" w:hAnsi="Garamond" w:cs="Times New Roman"/>
                <w:sz w:val="10"/>
                <w:szCs w:val="10"/>
                <w:lang w:eastAsia="sq-AL"/>
              </w:rPr>
              <w:t>;</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br/>
              <w:t>2. Numri i pensioneve sipas vend</w:t>
            </w:r>
            <w:r w:rsidR="00D80B69" w:rsidRPr="004F2AC3">
              <w:rPr>
                <w:rFonts w:ascii="Garamond" w:eastAsia="Times New Roman" w:hAnsi="Garamond" w:cs="Times New Roman"/>
                <w:sz w:val="10"/>
                <w:szCs w:val="10"/>
                <w:lang w:eastAsia="sq-AL"/>
              </w:rPr>
              <w:t>nd</w:t>
            </w:r>
            <w:r w:rsidRPr="004F2AC3">
              <w:rPr>
                <w:rFonts w:ascii="Garamond" w:eastAsia="Times New Roman" w:hAnsi="Garamond" w:cs="Times New Roman"/>
                <w:sz w:val="10"/>
                <w:szCs w:val="10"/>
                <w:lang w:eastAsia="sq-AL"/>
              </w:rPr>
              <w:t>odhjes (</w:t>
            </w:r>
            <w:r w:rsidR="00E80646" w:rsidRPr="004F2AC3">
              <w:rPr>
                <w:rFonts w:ascii="Garamond" w:eastAsia="Times New Roman" w:hAnsi="Garamond" w:cs="Times New Roman"/>
                <w:sz w:val="10"/>
                <w:szCs w:val="10"/>
                <w:lang w:eastAsia="sq-AL"/>
              </w:rPr>
              <w:t>urbane</w:t>
            </w:r>
            <w:r w:rsidRPr="004F2AC3">
              <w:rPr>
                <w:rFonts w:ascii="Garamond" w:eastAsia="Times New Roman" w:hAnsi="Garamond" w:cs="Times New Roman"/>
                <w:sz w:val="10"/>
                <w:szCs w:val="10"/>
                <w:lang w:eastAsia="sq-AL"/>
              </w:rPr>
              <w:t>/rurale) dhe sipas gjinisë</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3. </w:t>
            </w:r>
            <w:r w:rsidR="00D80B69" w:rsidRPr="004F2AC3">
              <w:rPr>
                <w:rFonts w:ascii="Garamond" w:eastAsia="Times New Roman" w:hAnsi="Garamond" w:cs="Times New Roman"/>
                <w:sz w:val="10"/>
                <w:szCs w:val="10"/>
                <w:lang w:eastAsia="sq-AL"/>
              </w:rPr>
              <w:t>Përfitues</w:t>
            </w:r>
            <w:r w:rsidRPr="004F2AC3">
              <w:rPr>
                <w:rFonts w:ascii="Garamond" w:eastAsia="Times New Roman" w:hAnsi="Garamond" w:cs="Times New Roman"/>
                <w:sz w:val="10"/>
                <w:szCs w:val="10"/>
                <w:lang w:eastAsia="sq-AL"/>
              </w:rPr>
              <w:t xml:space="preserve">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skemat e sigurimit suplementar</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Pensioni mesatar mujor dhe të ardhurat mesatare mujore sipas llojit të pensionit</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w:t>
            </w:r>
          </w:p>
          <w:p w14:paraId="0AF3354F" w14:textId="2677C52C"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4. Pensionet</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5. Kontribues dhe kontribute nga të </w:t>
            </w:r>
            <w:r w:rsidR="00D80B69" w:rsidRPr="004F2AC3">
              <w:rPr>
                <w:rFonts w:ascii="Garamond" w:eastAsia="Times New Roman" w:hAnsi="Garamond" w:cs="Times New Roman"/>
                <w:sz w:val="10"/>
                <w:szCs w:val="10"/>
                <w:lang w:eastAsia="sq-AL"/>
              </w:rPr>
              <w:t>vetëpunësuarit</w:t>
            </w:r>
            <w:r w:rsidRPr="004F2AC3">
              <w:rPr>
                <w:rFonts w:ascii="Garamond" w:eastAsia="Times New Roman" w:hAnsi="Garamond" w:cs="Times New Roman"/>
                <w:sz w:val="10"/>
                <w:szCs w:val="10"/>
                <w:lang w:eastAsia="sq-AL"/>
              </w:rPr>
              <w:t xml:space="preserve"> në bujqësi</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 Kontribues dhe kontribute nga sigurimi vullnetar</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7. Numri i personave që </w:t>
            </w:r>
            <w:r w:rsidR="00D80B69" w:rsidRPr="004F2AC3">
              <w:rPr>
                <w:rFonts w:ascii="Garamond" w:eastAsia="Times New Roman" w:hAnsi="Garamond" w:cs="Times New Roman"/>
                <w:sz w:val="10"/>
                <w:szCs w:val="10"/>
                <w:lang w:eastAsia="sq-AL"/>
              </w:rPr>
              <w:t>përfitojnë</w:t>
            </w:r>
            <w:r w:rsidRPr="004F2AC3">
              <w:rPr>
                <w:rFonts w:ascii="Garamond" w:eastAsia="Times New Roman" w:hAnsi="Garamond" w:cs="Times New Roman"/>
                <w:sz w:val="10"/>
                <w:szCs w:val="10"/>
                <w:lang w:eastAsia="sq-AL"/>
              </w:rPr>
              <w:t xml:space="preserve"> Pension Social</w:t>
            </w:r>
            <w:r w:rsidR="00E80646"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2F50D332" w14:textId="3C08E07A"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Instituti i </w:t>
            </w:r>
            <w:r w:rsidR="003338A8" w:rsidRPr="004F2AC3">
              <w:rPr>
                <w:rFonts w:ascii="Garamond" w:eastAsia="Times New Roman" w:hAnsi="Garamond" w:cs="Times New Roman"/>
                <w:sz w:val="10"/>
                <w:szCs w:val="10"/>
                <w:lang w:eastAsia="sq-AL"/>
              </w:rPr>
              <w:t>Sigurimeve Shoqërore</w:t>
            </w:r>
          </w:p>
        </w:tc>
        <w:tc>
          <w:tcPr>
            <w:tcW w:w="413" w:type="dxa"/>
            <w:tcBorders>
              <w:top w:val="nil"/>
              <w:left w:val="nil"/>
              <w:bottom w:val="single" w:sz="4" w:space="0" w:color="auto"/>
              <w:right w:val="single" w:sz="4" w:space="0" w:color="auto"/>
            </w:tcBorders>
            <w:shd w:val="clear" w:color="000000" w:fill="FFFFFF"/>
            <w:vAlign w:val="center"/>
            <w:hideMark/>
          </w:tcPr>
          <w:p w14:paraId="4AC2E12E" w14:textId="1F307E2C"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INSTAT</w:t>
            </w:r>
            <w:r w:rsidR="00E80646" w:rsidRPr="004F2AC3">
              <w:rPr>
                <w:rFonts w:ascii="Garamond" w:eastAsia="Times New Roman" w:hAnsi="Garamond" w:cs="Times New Roman"/>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31458E8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+ 150 D</w:t>
            </w:r>
          </w:p>
        </w:tc>
        <w:tc>
          <w:tcPr>
            <w:tcW w:w="385" w:type="dxa"/>
            <w:tcBorders>
              <w:top w:val="nil"/>
              <w:left w:val="nil"/>
              <w:bottom w:val="single" w:sz="4" w:space="0" w:color="auto"/>
              <w:right w:val="single" w:sz="4" w:space="0" w:color="auto"/>
            </w:tcBorders>
            <w:shd w:val="clear" w:color="000000" w:fill="FFFFFF"/>
            <w:vAlign w:val="center"/>
            <w:hideMark/>
          </w:tcPr>
          <w:p w14:paraId="5478E12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 + 180D</w:t>
            </w:r>
          </w:p>
        </w:tc>
        <w:tc>
          <w:tcPr>
            <w:tcW w:w="361" w:type="dxa"/>
            <w:tcBorders>
              <w:top w:val="nil"/>
              <w:left w:val="nil"/>
              <w:bottom w:val="single" w:sz="4" w:space="0" w:color="auto"/>
              <w:right w:val="single" w:sz="4" w:space="0" w:color="auto"/>
            </w:tcBorders>
            <w:shd w:val="clear" w:color="000000" w:fill="FFFFFF"/>
            <w:vAlign w:val="center"/>
            <w:hideMark/>
          </w:tcPr>
          <w:p w14:paraId="3C634DE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 + 320D</w:t>
            </w:r>
          </w:p>
        </w:tc>
        <w:tc>
          <w:tcPr>
            <w:tcW w:w="732" w:type="dxa"/>
            <w:tcBorders>
              <w:top w:val="nil"/>
              <w:left w:val="nil"/>
              <w:bottom w:val="single" w:sz="4" w:space="0" w:color="auto"/>
              <w:right w:val="single" w:sz="4" w:space="0" w:color="auto"/>
            </w:tcBorders>
            <w:shd w:val="clear" w:color="auto" w:fill="auto"/>
            <w:vAlign w:val="center"/>
            <w:hideMark/>
          </w:tcPr>
          <w:p w14:paraId="48B110A7" w14:textId="7F4F487F"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1. </w:t>
            </w:r>
            <w:r w:rsidR="00D449AF" w:rsidRPr="004F2AC3">
              <w:rPr>
                <w:rFonts w:ascii="Garamond" w:eastAsia="Times New Roman" w:hAnsi="Garamond" w:cs="Times New Roman"/>
                <w:sz w:val="10"/>
                <w:szCs w:val="10"/>
                <w:lang w:eastAsia="sq-AL"/>
              </w:rPr>
              <w:t>Vonesa në marrjen e të dhënave administrative nga institucionet</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-|- 6</w:t>
            </w:r>
          </w:p>
        </w:tc>
        <w:tc>
          <w:tcPr>
            <w:tcW w:w="551" w:type="dxa"/>
            <w:tcBorders>
              <w:top w:val="nil"/>
              <w:left w:val="nil"/>
              <w:bottom w:val="single" w:sz="4" w:space="0" w:color="auto"/>
              <w:right w:val="single" w:sz="4" w:space="0" w:color="auto"/>
            </w:tcBorders>
            <w:shd w:val="clear" w:color="auto" w:fill="auto"/>
            <w:vAlign w:val="center"/>
            <w:hideMark/>
          </w:tcPr>
          <w:p w14:paraId="4BD8C02B"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Buxhet shteti</w:t>
            </w:r>
          </w:p>
        </w:tc>
      </w:tr>
      <w:tr w:rsidR="00C73163" w:rsidRPr="004F2AC3" w14:paraId="5E2D8516" w14:textId="77777777" w:rsidTr="0021321C">
        <w:trPr>
          <w:trHeight w:val="180"/>
          <w:jc w:val="center"/>
        </w:trPr>
        <w:tc>
          <w:tcPr>
            <w:tcW w:w="388" w:type="dxa"/>
            <w:tcBorders>
              <w:top w:val="nil"/>
              <w:left w:val="nil"/>
              <w:bottom w:val="nil"/>
              <w:right w:val="nil"/>
            </w:tcBorders>
            <w:shd w:val="clear" w:color="000000" w:fill="FFFFFF"/>
            <w:vAlign w:val="bottom"/>
            <w:hideMark/>
          </w:tcPr>
          <w:p w14:paraId="1FC190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FC1B88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5D08AF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C6F74C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AE0C53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BFAF30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7549120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1.6.1.1.e</w:t>
            </w:r>
          </w:p>
        </w:tc>
        <w:tc>
          <w:tcPr>
            <w:tcW w:w="563" w:type="dxa"/>
            <w:tcBorders>
              <w:top w:val="nil"/>
              <w:left w:val="nil"/>
              <w:bottom w:val="single" w:sz="4" w:space="0" w:color="auto"/>
              <w:right w:val="single" w:sz="4" w:space="0" w:color="auto"/>
            </w:tcBorders>
            <w:shd w:val="clear" w:color="000000" w:fill="FFFFFF"/>
            <w:vAlign w:val="center"/>
            <w:hideMark/>
          </w:tcPr>
          <w:p w14:paraId="0F44836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 të kujdesit për fëmijët në nevojë</w:t>
            </w:r>
          </w:p>
        </w:tc>
        <w:tc>
          <w:tcPr>
            <w:tcW w:w="446" w:type="dxa"/>
            <w:tcBorders>
              <w:top w:val="nil"/>
              <w:left w:val="nil"/>
              <w:bottom w:val="single" w:sz="4" w:space="0" w:color="auto"/>
              <w:right w:val="single" w:sz="4" w:space="0" w:color="auto"/>
            </w:tcBorders>
            <w:shd w:val="clear" w:color="000000" w:fill="FFFFFF"/>
            <w:vAlign w:val="center"/>
            <w:hideMark/>
          </w:tcPr>
          <w:p w14:paraId="52712A5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vAlign w:val="center"/>
            <w:hideMark/>
          </w:tcPr>
          <w:p w14:paraId="5A71CFA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000000" w:fill="FFFFFF"/>
            <w:vAlign w:val="center"/>
            <w:hideMark/>
          </w:tcPr>
          <w:p w14:paraId="5B380C2A"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1037809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000000" w:fill="FFFFFF"/>
            <w:vAlign w:val="center"/>
            <w:hideMark/>
          </w:tcPr>
          <w:p w14:paraId="3C4C4EA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000000" w:fill="FFFFFF"/>
            <w:hideMark/>
          </w:tcPr>
          <w:p w14:paraId="56727944" w14:textId="5D5597F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Numri</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i fëmijëve të moshës 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17 vjeç në kujdesin formal rezidencial,</w:t>
            </w:r>
            <w:r w:rsidR="00D80B69"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shtëpi fëmijësh në fund të vitit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Numri i përgjithshëm i fëmijëve me aftësi të kufizuara të moshës 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17 vjeç në kujdesin formal rezidencial, qendra zhvillimi në fund të vitit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Numri i përgjithshëm i fëmijëve të moshës 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17 vjeç të cilët lanë kujdesin </w:t>
            </w:r>
            <w:r w:rsidR="00E80646" w:rsidRPr="004F2AC3">
              <w:rPr>
                <w:rFonts w:ascii="Garamond" w:eastAsia="Times New Roman" w:hAnsi="Garamond" w:cs="Times New Roman"/>
                <w:color w:val="000000"/>
                <w:sz w:val="10"/>
                <w:szCs w:val="10"/>
                <w:lang w:eastAsia="sq-AL"/>
              </w:rPr>
              <w:t>formal rezidencial, gjatë vitit;</w:t>
            </w:r>
            <w:r w:rsidRPr="004F2AC3">
              <w:rPr>
                <w:rFonts w:ascii="Garamond" w:eastAsia="Times New Roman" w:hAnsi="Garamond" w:cs="Times New Roman"/>
                <w:color w:val="000000"/>
                <w:sz w:val="10"/>
                <w:szCs w:val="10"/>
                <w:lang w:eastAsia="sq-AL"/>
              </w:rPr>
              <w:br/>
              <w:t>4. Numri i përgjithshëm i fëmijëve me aftësi të kufizuara të moshës 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17 vjeç të cilët lanë kujdesin formal rezidencial, gjatë vitit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Numri i përgjithshëm i fëmijëve të moshës 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17 vjeç në shërbim kujdestarie, në fund të vitit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Numri i përgjithshëm i fëmijëve me aftësi të kufizuara të moshës 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17 vjeç në të gjithë kujdesin formal të bazuar në familje në fund të vitit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Numri</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i fëmijëve të moshës 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17 vjeç të adoptuar</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gjithsej brenda vendit-, gjatë vitit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Numri</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i fëmijëve të moshës 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17 vjeç të adoptuar</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gjithsej</w:t>
            </w:r>
            <w:r w:rsidR="00684E85" w:rsidRPr="004F2AC3">
              <w:rPr>
                <w:rFonts w:ascii="Garamond" w:eastAsia="Times New Roman" w:hAnsi="Garamond" w:cs="Times New Roman"/>
                <w:color w:val="000000"/>
                <w:sz w:val="10"/>
                <w:szCs w:val="10"/>
                <w:lang w:eastAsia="sq-AL"/>
              </w:rPr>
              <w:t xml:space="preserve"> </w:t>
            </w:r>
            <w:r w:rsidR="00D80B69" w:rsidRPr="004F2AC3">
              <w:rPr>
                <w:rFonts w:ascii="Garamond" w:eastAsia="Times New Roman" w:hAnsi="Garamond" w:cs="Times New Roman"/>
                <w:color w:val="000000"/>
                <w:sz w:val="10"/>
                <w:szCs w:val="10"/>
                <w:lang w:eastAsia="sq-AL"/>
              </w:rPr>
              <w:t>jashtë</w:t>
            </w:r>
            <w:r w:rsidRPr="004F2AC3">
              <w:rPr>
                <w:rFonts w:ascii="Garamond" w:eastAsia="Times New Roman" w:hAnsi="Garamond" w:cs="Times New Roman"/>
                <w:color w:val="000000"/>
                <w:sz w:val="10"/>
                <w:szCs w:val="10"/>
                <w:lang w:eastAsia="sq-AL"/>
              </w:rPr>
              <w:t xml:space="preserve"> vendit, gjatë vitit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Numri i përgjithshëm i fëmijëve me aftësi të kufizuara të moshës 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17 </w:t>
            </w:r>
            <w:r w:rsidR="005B3A9C" w:rsidRPr="004F2AC3">
              <w:rPr>
                <w:rFonts w:ascii="Garamond" w:eastAsia="Times New Roman" w:hAnsi="Garamond" w:cs="Times New Roman"/>
                <w:color w:val="000000"/>
                <w:sz w:val="10"/>
                <w:szCs w:val="10"/>
                <w:lang w:eastAsia="sq-AL"/>
              </w:rPr>
              <w:t>vjeç të adoptuar brenda vendit</w:t>
            </w:r>
            <w:r w:rsidRPr="004F2AC3">
              <w:rPr>
                <w:rFonts w:ascii="Garamond" w:eastAsia="Times New Roman" w:hAnsi="Garamond" w:cs="Times New Roman"/>
                <w:color w:val="000000"/>
                <w:sz w:val="10"/>
                <w:szCs w:val="10"/>
                <w:lang w:eastAsia="sq-AL"/>
              </w:rPr>
              <w:t>, gjatë vitit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Numri i përgjithshëm i fëmijëve me aftësi të kufizuara të moshës 0</w:t>
            </w:r>
            <w:r w:rsidR="00D80B69"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17 vjeç të adoptuar </w:t>
            </w:r>
            <w:r w:rsidR="00D80B69" w:rsidRPr="004F2AC3">
              <w:rPr>
                <w:rFonts w:ascii="Garamond" w:eastAsia="Times New Roman" w:hAnsi="Garamond" w:cs="Times New Roman"/>
                <w:color w:val="000000"/>
                <w:sz w:val="10"/>
                <w:szCs w:val="10"/>
                <w:lang w:eastAsia="sq-AL"/>
              </w:rPr>
              <w:t>jashtë</w:t>
            </w:r>
            <w:r w:rsidR="00684E85" w:rsidRPr="004F2AC3">
              <w:rPr>
                <w:rFonts w:ascii="Garamond" w:eastAsia="Times New Roman" w:hAnsi="Garamond" w:cs="Times New Roman"/>
                <w:color w:val="000000"/>
                <w:sz w:val="10"/>
                <w:szCs w:val="10"/>
                <w:lang w:eastAsia="sq-AL"/>
              </w:rPr>
              <w:t xml:space="preserve"> </w:t>
            </w:r>
            <w:r w:rsidR="005B3A9C" w:rsidRPr="004F2AC3">
              <w:rPr>
                <w:rFonts w:ascii="Garamond" w:eastAsia="Times New Roman" w:hAnsi="Garamond" w:cs="Times New Roman"/>
                <w:color w:val="000000"/>
                <w:sz w:val="10"/>
                <w:szCs w:val="10"/>
                <w:lang w:eastAsia="sq-AL"/>
              </w:rPr>
              <w:t>vendit</w:t>
            </w:r>
            <w:r w:rsidRPr="004F2AC3">
              <w:rPr>
                <w:rFonts w:ascii="Garamond" w:eastAsia="Times New Roman" w:hAnsi="Garamond" w:cs="Times New Roman"/>
                <w:color w:val="000000"/>
                <w:sz w:val="10"/>
                <w:szCs w:val="10"/>
                <w:lang w:eastAsia="sq-AL"/>
              </w:rPr>
              <w:t>, gjatë vitit</w:t>
            </w:r>
            <w:r w:rsidR="00E80646"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00A317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Shërbimi Social Shtetëror</w:t>
            </w:r>
          </w:p>
        </w:tc>
        <w:tc>
          <w:tcPr>
            <w:tcW w:w="413" w:type="dxa"/>
            <w:tcBorders>
              <w:top w:val="nil"/>
              <w:left w:val="nil"/>
              <w:bottom w:val="single" w:sz="4" w:space="0" w:color="auto"/>
              <w:right w:val="single" w:sz="4" w:space="0" w:color="auto"/>
            </w:tcBorders>
            <w:shd w:val="clear" w:color="000000" w:fill="FFFFFF"/>
            <w:vAlign w:val="center"/>
            <w:hideMark/>
          </w:tcPr>
          <w:p w14:paraId="0BCFDF87" w14:textId="539FD7E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40BF00C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+ 180D</w:t>
            </w:r>
          </w:p>
        </w:tc>
        <w:tc>
          <w:tcPr>
            <w:tcW w:w="385" w:type="dxa"/>
            <w:tcBorders>
              <w:top w:val="nil"/>
              <w:left w:val="nil"/>
              <w:bottom w:val="single" w:sz="4" w:space="0" w:color="auto"/>
              <w:right w:val="single" w:sz="4" w:space="0" w:color="auto"/>
            </w:tcBorders>
            <w:shd w:val="clear" w:color="000000" w:fill="FFFFFF"/>
            <w:vAlign w:val="center"/>
            <w:hideMark/>
          </w:tcPr>
          <w:p w14:paraId="7A8EBE1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+ 240D</w:t>
            </w:r>
          </w:p>
        </w:tc>
        <w:tc>
          <w:tcPr>
            <w:tcW w:w="361" w:type="dxa"/>
            <w:tcBorders>
              <w:top w:val="nil"/>
              <w:left w:val="nil"/>
              <w:bottom w:val="single" w:sz="4" w:space="0" w:color="auto"/>
              <w:right w:val="single" w:sz="4" w:space="0" w:color="auto"/>
            </w:tcBorders>
            <w:shd w:val="clear" w:color="000000" w:fill="FFFFFF"/>
            <w:vAlign w:val="center"/>
            <w:hideMark/>
          </w:tcPr>
          <w:p w14:paraId="511FFD1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 + 320D</w:t>
            </w:r>
          </w:p>
        </w:tc>
        <w:tc>
          <w:tcPr>
            <w:tcW w:w="732" w:type="dxa"/>
            <w:tcBorders>
              <w:top w:val="nil"/>
              <w:left w:val="nil"/>
              <w:bottom w:val="single" w:sz="4" w:space="0" w:color="auto"/>
              <w:right w:val="single" w:sz="4" w:space="0" w:color="auto"/>
            </w:tcBorders>
            <w:shd w:val="clear" w:color="auto" w:fill="auto"/>
            <w:vAlign w:val="center"/>
            <w:hideMark/>
          </w:tcPr>
          <w:p w14:paraId="533DD2D8" w14:textId="7785B4E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D449AF" w:rsidRPr="004F2AC3">
              <w:rPr>
                <w:rFonts w:ascii="Garamond" w:eastAsia="Times New Roman" w:hAnsi="Garamond" w:cs="Times New Roman"/>
                <w:color w:val="000000"/>
                <w:sz w:val="10"/>
                <w:szCs w:val="10"/>
                <w:lang w:eastAsia="sq-AL"/>
              </w:rPr>
              <w:t>Vonesa në marrjen e të dhënave administrative nga institucionet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-|- 6</w:t>
            </w:r>
          </w:p>
        </w:tc>
        <w:tc>
          <w:tcPr>
            <w:tcW w:w="551" w:type="dxa"/>
            <w:tcBorders>
              <w:top w:val="nil"/>
              <w:left w:val="nil"/>
              <w:bottom w:val="single" w:sz="4" w:space="0" w:color="auto"/>
              <w:right w:val="single" w:sz="4" w:space="0" w:color="auto"/>
            </w:tcBorders>
            <w:shd w:val="clear" w:color="auto" w:fill="auto"/>
            <w:vAlign w:val="center"/>
            <w:hideMark/>
          </w:tcPr>
          <w:p w14:paraId="05CE80B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31B5865B" w14:textId="77777777" w:rsidTr="0021321C">
        <w:trPr>
          <w:trHeight w:val="180"/>
          <w:jc w:val="center"/>
        </w:trPr>
        <w:tc>
          <w:tcPr>
            <w:tcW w:w="388" w:type="dxa"/>
            <w:tcBorders>
              <w:top w:val="nil"/>
              <w:left w:val="nil"/>
              <w:bottom w:val="nil"/>
              <w:right w:val="nil"/>
            </w:tcBorders>
            <w:shd w:val="clear" w:color="000000" w:fill="FFFFFF"/>
            <w:vAlign w:val="bottom"/>
            <w:hideMark/>
          </w:tcPr>
          <w:p w14:paraId="135780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EDDEAE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288CF7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58B1F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auto"/>
              <w:left w:val="single" w:sz="4" w:space="0" w:color="auto"/>
              <w:bottom w:val="single" w:sz="4" w:space="0" w:color="auto"/>
              <w:right w:val="single" w:sz="4" w:space="0" w:color="auto"/>
            </w:tcBorders>
            <w:shd w:val="clear" w:color="000000" w:fill="F0F0F0"/>
            <w:vAlign w:val="center"/>
            <w:hideMark/>
          </w:tcPr>
          <w:p w14:paraId="15352EB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1.6.2</w:t>
            </w:r>
          </w:p>
        </w:tc>
        <w:tc>
          <w:tcPr>
            <w:tcW w:w="7813" w:type="dxa"/>
            <w:gridSpan w:val="16"/>
            <w:tcBorders>
              <w:top w:val="single" w:sz="4" w:space="0" w:color="auto"/>
              <w:left w:val="nil"/>
              <w:bottom w:val="single" w:sz="4" w:space="0" w:color="auto"/>
              <w:right w:val="single" w:sz="4" w:space="0" w:color="auto"/>
            </w:tcBorders>
            <w:shd w:val="clear" w:color="000000" w:fill="F0F0F0"/>
            <w:vAlign w:val="center"/>
            <w:hideMark/>
          </w:tcPr>
          <w:p w14:paraId="344E0F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ESSPROS</w:t>
            </w:r>
          </w:p>
        </w:tc>
      </w:tr>
      <w:tr w:rsidR="00C73163" w:rsidRPr="004F2AC3" w14:paraId="0BAB9F86" w14:textId="77777777" w:rsidTr="0021321C">
        <w:trPr>
          <w:trHeight w:val="180"/>
          <w:jc w:val="center"/>
        </w:trPr>
        <w:tc>
          <w:tcPr>
            <w:tcW w:w="388" w:type="dxa"/>
            <w:tcBorders>
              <w:top w:val="nil"/>
              <w:left w:val="nil"/>
              <w:bottom w:val="nil"/>
              <w:right w:val="nil"/>
            </w:tcBorders>
            <w:shd w:val="clear" w:color="000000" w:fill="FFFFFF"/>
            <w:vAlign w:val="bottom"/>
            <w:hideMark/>
          </w:tcPr>
          <w:p w14:paraId="1BF0174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4B96D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89BAA1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6D9ACF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7CD73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FE01A7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2363703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1.6.2.1</w:t>
            </w:r>
          </w:p>
        </w:tc>
        <w:tc>
          <w:tcPr>
            <w:tcW w:w="563" w:type="dxa"/>
            <w:tcBorders>
              <w:top w:val="nil"/>
              <w:left w:val="nil"/>
              <w:bottom w:val="single" w:sz="4" w:space="0" w:color="auto"/>
              <w:right w:val="single" w:sz="4" w:space="0" w:color="auto"/>
            </w:tcBorders>
            <w:shd w:val="clear" w:color="auto" w:fill="auto"/>
            <w:vAlign w:val="center"/>
            <w:hideMark/>
          </w:tcPr>
          <w:p w14:paraId="38D5B26C"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ESSPROS</w:t>
            </w:r>
          </w:p>
        </w:tc>
        <w:tc>
          <w:tcPr>
            <w:tcW w:w="446" w:type="dxa"/>
            <w:tcBorders>
              <w:top w:val="nil"/>
              <w:left w:val="nil"/>
              <w:bottom w:val="single" w:sz="4" w:space="0" w:color="auto"/>
              <w:right w:val="single" w:sz="4" w:space="0" w:color="auto"/>
            </w:tcBorders>
            <w:shd w:val="clear" w:color="000000" w:fill="FFFFFF"/>
            <w:vAlign w:val="center"/>
            <w:hideMark/>
          </w:tcPr>
          <w:p w14:paraId="792AA00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single" w:sz="4" w:space="0" w:color="auto"/>
              <w:right w:val="single" w:sz="4" w:space="0" w:color="auto"/>
            </w:tcBorders>
            <w:shd w:val="clear" w:color="000000" w:fill="FFFFFF"/>
            <w:noWrap/>
            <w:vAlign w:val="center"/>
            <w:hideMark/>
          </w:tcPr>
          <w:p w14:paraId="734A926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vAlign w:val="center"/>
            <w:hideMark/>
          </w:tcPr>
          <w:p w14:paraId="0EE01D9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46DAFF8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000000" w:fill="FFFFFF"/>
            <w:vAlign w:val="center"/>
            <w:hideMark/>
          </w:tcPr>
          <w:p w14:paraId="5A8A565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FFFFF"/>
            <w:vAlign w:val="center"/>
            <w:hideMark/>
          </w:tcPr>
          <w:p w14:paraId="081FB94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44129E1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1946FF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53D2ADA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545BEC5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vAlign w:val="center"/>
            <w:hideMark/>
          </w:tcPr>
          <w:p w14:paraId="658723F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0C7CA55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24DE9FF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5DA32573" w14:textId="77777777" w:rsidTr="0021321C">
        <w:trPr>
          <w:trHeight w:val="180"/>
          <w:jc w:val="center"/>
        </w:trPr>
        <w:tc>
          <w:tcPr>
            <w:tcW w:w="388" w:type="dxa"/>
            <w:tcBorders>
              <w:top w:val="nil"/>
              <w:left w:val="nil"/>
              <w:bottom w:val="nil"/>
              <w:right w:val="nil"/>
            </w:tcBorders>
            <w:shd w:val="clear" w:color="000000" w:fill="FFFFFF"/>
            <w:vAlign w:val="bottom"/>
            <w:hideMark/>
          </w:tcPr>
          <w:p w14:paraId="5213948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89" w:type="dxa"/>
            <w:tcBorders>
              <w:top w:val="nil"/>
              <w:left w:val="nil"/>
              <w:bottom w:val="nil"/>
              <w:right w:val="nil"/>
            </w:tcBorders>
            <w:shd w:val="clear" w:color="000000" w:fill="FFFFFF"/>
            <w:vAlign w:val="bottom"/>
            <w:hideMark/>
          </w:tcPr>
          <w:p w14:paraId="54359F09"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232" w:type="dxa"/>
            <w:tcBorders>
              <w:top w:val="nil"/>
              <w:left w:val="nil"/>
              <w:bottom w:val="nil"/>
              <w:right w:val="nil"/>
            </w:tcBorders>
            <w:shd w:val="clear" w:color="000000" w:fill="FFFFFF"/>
            <w:vAlign w:val="bottom"/>
            <w:hideMark/>
          </w:tcPr>
          <w:p w14:paraId="28230B9D"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208" w:type="dxa"/>
            <w:tcBorders>
              <w:top w:val="nil"/>
              <w:left w:val="nil"/>
              <w:bottom w:val="nil"/>
              <w:right w:val="nil"/>
            </w:tcBorders>
            <w:shd w:val="clear" w:color="000000" w:fill="FFFFFF"/>
            <w:vAlign w:val="bottom"/>
            <w:hideMark/>
          </w:tcPr>
          <w:p w14:paraId="63815CB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20" w:type="dxa"/>
            <w:tcBorders>
              <w:top w:val="nil"/>
              <w:left w:val="nil"/>
              <w:bottom w:val="nil"/>
              <w:right w:val="nil"/>
            </w:tcBorders>
            <w:shd w:val="clear" w:color="000000" w:fill="FFFFFF"/>
            <w:vAlign w:val="bottom"/>
            <w:hideMark/>
          </w:tcPr>
          <w:p w14:paraId="74CF2B7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9" w:type="dxa"/>
            <w:tcBorders>
              <w:top w:val="nil"/>
              <w:left w:val="nil"/>
              <w:bottom w:val="nil"/>
              <w:right w:val="nil"/>
            </w:tcBorders>
            <w:shd w:val="clear" w:color="000000" w:fill="FFFFFF"/>
            <w:vAlign w:val="bottom"/>
            <w:hideMark/>
          </w:tcPr>
          <w:p w14:paraId="4AC3D45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55B5F28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1.6.2.1.1</w:t>
            </w:r>
          </w:p>
        </w:tc>
        <w:tc>
          <w:tcPr>
            <w:tcW w:w="563" w:type="dxa"/>
            <w:tcBorders>
              <w:top w:val="nil"/>
              <w:left w:val="nil"/>
              <w:bottom w:val="single" w:sz="4" w:space="0" w:color="auto"/>
              <w:right w:val="single" w:sz="4" w:space="0" w:color="auto"/>
            </w:tcBorders>
            <w:shd w:val="clear" w:color="auto" w:fill="auto"/>
            <w:vAlign w:val="center"/>
            <w:hideMark/>
          </w:tcPr>
          <w:p w14:paraId="40263EF2"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Përfituesit e pensioneve ESSPROS</w:t>
            </w:r>
          </w:p>
        </w:tc>
        <w:tc>
          <w:tcPr>
            <w:tcW w:w="446" w:type="dxa"/>
            <w:tcBorders>
              <w:top w:val="nil"/>
              <w:left w:val="nil"/>
              <w:bottom w:val="single" w:sz="4" w:space="0" w:color="auto"/>
              <w:right w:val="single" w:sz="4" w:space="0" w:color="auto"/>
            </w:tcBorders>
            <w:shd w:val="clear" w:color="000000" w:fill="FFFFFF"/>
            <w:vAlign w:val="center"/>
            <w:hideMark/>
          </w:tcPr>
          <w:p w14:paraId="1649A734"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22A02ED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7631A36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69559FB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000000" w:fill="FFFFFF"/>
            <w:vAlign w:val="center"/>
            <w:hideMark/>
          </w:tcPr>
          <w:p w14:paraId="14DC596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000000" w:fill="FFFFFF"/>
            <w:vAlign w:val="center"/>
            <w:hideMark/>
          </w:tcPr>
          <w:p w14:paraId="645E101E" w14:textId="453FF4B5"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Moduli i</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përfituesve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të pensioneve sipas funksioneve dhe gjinisë</w:t>
            </w:r>
            <w:r w:rsidR="00E80646"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079D30FC" w14:textId="04C09DCB"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Ministria e Financave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 Ministria e Shëndetësisë dhe </w:t>
            </w:r>
            <w:r w:rsidR="00D80B69" w:rsidRPr="004F2AC3">
              <w:rPr>
                <w:rFonts w:ascii="Garamond" w:eastAsia="Times New Roman" w:hAnsi="Garamond" w:cs="Times New Roman"/>
                <w:sz w:val="10"/>
                <w:szCs w:val="10"/>
                <w:lang w:eastAsia="sq-AL"/>
              </w:rPr>
              <w:t>Mirëqenies</w:t>
            </w:r>
            <w:r w:rsidRPr="004F2AC3">
              <w:rPr>
                <w:rFonts w:ascii="Garamond" w:eastAsia="Times New Roman" w:hAnsi="Garamond" w:cs="Times New Roman"/>
                <w:sz w:val="10"/>
                <w:szCs w:val="10"/>
                <w:lang w:eastAsia="sq-AL"/>
              </w:rPr>
              <w:t xml:space="preserve"> Sociale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Ministria e Mbrojtjes</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Ministria e Drejtësisë</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Instituti i Sigurimeve Shoqërore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 Fondi i Sigurimit të Detyrueshëm të Kujdesit Shëndetësor</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br/>
              <w:t>Agjencia Kombëtare e Punësimit dhe Aftësive</w:t>
            </w:r>
            <w:r w:rsidR="00E80646" w:rsidRPr="004F2AC3">
              <w:rPr>
                <w:rFonts w:ascii="Garamond" w:eastAsia="Times New Roman" w:hAnsi="Garamond" w:cs="Times New Roman"/>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346CDE1B" w14:textId="2BA60A0E"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INSTAT</w:t>
            </w:r>
            <w:r w:rsidR="00E80646" w:rsidRPr="004F2AC3">
              <w:rPr>
                <w:rFonts w:ascii="Garamond" w:eastAsia="Times New Roman" w:hAnsi="Garamond" w:cs="Times New Roman"/>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4F91923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+ 360D</w:t>
            </w:r>
          </w:p>
        </w:tc>
        <w:tc>
          <w:tcPr>
            <w:tcW w:w="385" w:type="dxa"/>
            <w:tcBorders>
              <w:top w:val="nil"/>
              <w:left w:val="nil"/>
              <w:bottom w:val="single" w:sz="4" w:space="0" w:color="auto"/>
              <w:right w:val="single" w:sz="4" w:space="0" w:color="auto"/>
            </w:tcBorders>
            <w:shd w:val="clear" w:color="000000" w:fill="FFFFFF"/>
            <w:vAlign w:val="center"/>
            <w:hideMark/>
          </w:tcPr>
          <w:p w14:paraId="1EA4259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+ 390D</w:t>
            </w:r>
          </w:p>
        </w:tc>
        <w:tc>
          <w:tcPr>
            <w:tcW w:w="361" w:type="dxa"/>
            <w:tcBorders>
              <w:top w:val="nil"/>
              <w:left w:val="nil"/>
              <w:bottom w:val="single" w:sz="4" w:space="0" w:color="auto"/>
              <w:right w:val="single" w:sz="4" w:space="0" w:color="auto"/>
            </w:tcBorders>
            <w:shd w:val="clear" w:color="000000" w:fill="FFFFFF"/>
            <w:vAlign w:val="center"/>
            <w:hideMark/>
          </w:tcPr>
          <w:p w14:paraId="1A43269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V+ 510D</w:t>
            </w:r>
          </w:p>
        </w:tc>
        <w:tc>
          <w:tcPr>
            <w:tcW w:w="732" w:type="dxa"/>
            <w:tcBorders>
              <w:top w:val="nil"/>
              <w:left w:val="nil"/>
              <w:bottom w:val="single" w:sz="4" w:space="0" w:color="auto"/>
              <w:right w:val="single" w:sz="4" w:space="0" w:color="auto"/>
            </w:tcBorders>
            <w:shd w:val="clear" w:color="auto" w:fill="auto"/>
            <w:vAlign w:val="center"/>
            <w:hideMark/>
          </w:tcPr>
          <w:p w14:paraId="1D2C37B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Vonesa në grumbullimin e të dhënave -|- 6</w:t>
            </w:r>
          </w:p>
        </w:tc>
        <w:tc>
          <w:tcPr>
            <w:tcW w:w="551" w:type="dxa"/>
            <w:tcBorders>
              <w:top w:val="nil"/>
              <w:left w:val="nil"/>
              <w:bottom w:val="single" w:sz="4" w:space="0" w:color="auto"/>
              <w:right w:val="single" w:sz="4" w:space="0" w:color="auto"/>
            </w:tcBorders>
            <w:shd w:val="clear" w:color="auto" w:fill="auto"/>
            <w:vAlign w:val="center"/>
            <w:hideMark/>
          </w:tcPr>
          <w:p w14:paraId="446123B1"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Buxhet shteti</w:t>
            </w:r>
          </w:p>
        </w:tc>
      </w:tr>
      <w:tr w:rsidR="00C73163" w:rsidRPr="004F2AC3" w14:paraId="7000F287" w14:textId="77777777" w:rsidTr="0021321C">
        <w:trPr>
          <w:trHeight w:val="180"/>
          <w:jc w:val="center"/>
        </w:trPr>
        <w:tc>
          <w:tcPr>
            <w:tcW w:w="388" w:type="dxa"/>
            <w:tcBorders>
              <w:top w:val="nil"/>
              <w:left w:val="nil"/>
              <w:bottom w:val="nil"/>
              <w:right w:val="nil"/>
            </w:tcBorders>
            <w:shd w:val="clear" w:color="000000" w:fill="FFFFFF"/>
            <w:vAlign w:val="bottom"/>
            <w:hideMark/>
          </w:tcPr>
          <w:p w14:paraId="56E0990C"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89" w:type="dxa"/>
            <w:tcBorders>
              <w:top w:val="nil"/>
              <w:left w:val="nil"/>
              <w:bottom w:val="nil"/>
              <w:right w:val="nil"/>
            </w:tcBorders>
            <w:shd w:val="clear" w:color="000000" w:fill="FFFFFF"/>
            <w:vAlign w:val="bottom"/>
            <w:hideMark/>
          </w:tcPr>
          <w:p w14:paraId="015C4D4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232" w:type="dxa"/>
            <w:tcBorders>
              <w:top w:val="nil"/>
              <w:left w:val="nil"/>
              <w:bottom w:val="nil"/>
              <w:right w:val="nil"/>
            </w:tcBorders>
            <w:shd w:val="clear" w:color="000000" w:fill="FFFFFF"/>
            <w:vAlign w:val="bottom"/>
            <w:hideMark/>
          </w:tcPr>
          <w:p w14:paraId="4D0CA608"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208" w:type="dxa"/>
            <w:tcBorders>
              <w:top w:val="nil"/>
              <w:left w:val="nil"/>
              <w:bottom w:val="nil"/>
              <w:right w:val="nil"/>
            </w:tcBorders>
            <w:shd w:val="clear" w:color="000000" w:fill="FFFFFF"/>
            <w:vAlign w:val="bottom"/>
            <w:hideMark/>
          </w:tcPr>
          <w:p w14:paraId="794A5E91"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20" w:type="dxa"/>
            <w:tcBorders>
              <w:top w:val="nil"/>
              <w:left w:val="nil"/>
              <w:bottom w:val="nil"/>
              <w:right w:val="nil"/>
            </w:tcBorders>
            <w:shd w:val="clear" w:color="000000" w:fill="FFFFFF"/>
            <w:vAlign w:val="bottom"/>
            <w:hideMark/>
          </w:tcPr>
          <w:p w14:paraId="351AC7EE"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9" w:type="dxa"/>
            <w:tcBorders>
              <w:top w:val="nil"/>
              <w:left w:val="nil"/>
              <w:bottom w:val="nil"/>
              <w:right w:val="nil"/>
            </w:tcBorders>
            <w:shd w:val="clear" w:color="000000" w:fill="FFFFFF"/>
            <w:vAlign w:val="bottom"/>
            <w:hideMark/>
          </w:tcPr>
          <w:p w14:paraId="5F74B4A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1B423CB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1.6.2.1.2</w:t>
            </w:r>
          </w:p>
        </w:tc>
        <w:tc>
          <w:tcPr>
            <w:tcW w:w="563" w:type="dxa"/>
            <w:tcBorders>
              <w:top w:val="nil"/>
              <w:left w:val="nil"/>
              <w:bottom w:val="single" w:sz="4" w:space="0" w:color="auto"/>
              <w:right w:val="single" w:sz="4" w:space="0" w:color="auto"/>
            </w:tcBorders>
            <w:shd w:val="clear" w:color="000000" w:fill="FFFFFF"/>
            <w:vAlign w:val="center"/>
            <w:hideMark/>
          </w:tcPr>
          <w:p w14:paraId="571EE841" w14:textId="2551FEE6" w:rsidR="0021321C" w:rsidRPr="004F2AC3" w:rsidRDefault="00D80B69"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Moduli i</w:t>
            </w:r>
            <w:r w:rsidR="0021321C"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përfitimeve</w:t>
            </w:r>
            <w:r w:rsidR="0021321C" w:rsidRPr="004F2AC3">
              <w:rPr>
                <w:rFonts w:ascii="Garamond" w:eastAsia="Times New Roman" w:hAnsi="Garamond" w:cs="Times New Roman"/>
                <w:sz w:val="10"/>
                <w:szCs w:val="10"/>
                <w:lang w:eastAsia="sq-AL"/>
              </w:rPr>
              <w:t xml:space="preserve"> neto t</w:t>
            </w:r>
            <w:r w:rsidR="00520D08" w:rsidRPr="004F2AC3">
              <w:rPr>
                <w:rFonts w:ascii="Garamond" w:eastAsia="Times New Roman" w:hAnsi="Garamond" w:cs="Times New Roman"/>
                <w:sz w:val="10"/>
                <w:szCs w:val="10"/>
                <w:lang w:eastAsia="sq-AL"/>
              </w:rPr>
              <w:t xml:space="preserve">ë </w:t>
            </w:r>
            <w:r w:rsidR="0021321C" w:rsidRPr="004F2AC3">
              <w:rPr>
                <w:rFonts w:ascii="Garamond" w:eastAsia="Times New Roman" w:hAnsi="Garamond" w:cs="Times New Roman"/>
                <w:sz w:val="10"/>
                <w:szCs w:val="10"/>
                <w:lang w:eastAsia="sq-AL"/>
              </w:rPr>
              <w:t>mbrojtjes sociale</w:t>
            </w:r>
          </w:p>
        </w:tc>
        <w:tc>
          <w:tcPr>
            <w:tcW w:w="446" w:type="dxa"/>
            <w:tcBorders>
              <w:top w:val="nil"/>
              <w:left w:val="nil"/>
              <w:bottom w:val="single" w:sz="4" w:space="0" w:color="auto"/>
              <w:right w:val="single" w:sz="4" w:space="0" w:color="auto"/>
            </w:tcBorders>
            <w:shd w:val="clear" w:color="000000" w:fill="FFFFFF"/>
            <w:vAlign w:val="center"/>
            <w:hideMark/>
          </w:tcPr>
          <w:p w14:paraId="57C0E7EB"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1E8E083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000000" w:fill="FFFFFF"/>
            <w:vAlign w:val="center"/>
            <w:hideMark/>
          </w:tcPr>
          <w:p w14:paraId="49DD609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4CCF9FC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 ri</w:t>
            </w:r>
          </w:p>
        </w:tc>
        <w:tc>
          <w:tcPr>
            <w:tcW w:w="409" w:type="dxa"/>
            <w:tcBorders>
              <w:top w:val="nil"/>
              <w:left w:val="nil"/>
              <w:bottom w:val="single" w:sz="4" w:space="0" w:color="auto"/>
              <w:right w:val="single" w:sz="4" w:space="0" w:color="auto"/>
            </w:tcBorders>
            <w:shd w:val="clear" w:color="000000" w:fill="FFFFFF"/>
            <w:vAlign w:val="center"/>
            <w:hideMark/>
          </w:tcPr>
          <w:p w14:paraId="5431791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000000" w:fill="FFFFFF"/>
            <w:vAlign w:val="center"/>
            <w:hideMark/>
          </w:tcPr>
          <w:p w14:paraId="08FF8BD4" w14:textId="240DC8E1" w:rsidR="0021321C" w:rsidRPr="004F2AC3" w:rsidRDefault="0021321C" w:rsidP="00E80646">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Përfitime neto t</w:t>
            </w:r>
            <w:r w:rsidR="00E80646"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mbrojtjes sociale</w:t>
            </w:r>
            <w:r w:rsidR="00E80646"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4EA3EC07" w14:textId="7070D6FC"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Ministria e Financave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Ministria e Shëndetësisë dhe </w:t>
            </w:r>
            <w:r w:rsidR="00D80B69" w:rsidRPr="004F2AC3">
              <w:rPr>
                <w:rFonts w:ascii="Garamond" w:eastAsia="Times New Roman" w:hAnsi="Garamond" w:cs="Times New Roman"/>
                <w:sz w:val="10"/>
                <w:szCs w:val="10"/>
                <w:lang w:eastAsia="sq-AL"/>
              </w:rPr>
              <w:t>Mirëqenies</w:t>
            </w:r>
            <w:r w:rsidRPr="004F2AC3">
              <w:rPr>
                <w:rFonts w:ascii="Garamond" w:eastAsia="Times New Roman" w:hAnsi="Garamond" w:cs="Times New Roman"/>
                <w:sz w:val="10"/>
                <w:szCs w:val="10"/>
                <w:lang w:eastAsia="sq-AL"/>
              </w:rPr>
              <w:t xml:space="preserve"> Sociale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Ministria e Mbrojtjes</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Ministria e Drejtësisë</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Instituti i Sigurimeve Shoqërore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 Fondi i Sigurimit të Detyrueshëm të Kujdesit Shëndetësor</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br/>
              <w:t>Agjencia Kombëtare e Punësimit dhe Aftësive</w:t>
            </w:r>
            <w:r w:rsidR="00E80646" w:rsidRPr="004F2AC3">
              <w:rPr>
                <w:rFonts w:ascii="Garamond" w:eastAsia="Times New Roman" w:hAnsi="Garamond" w:cs="Times New Roman"/>
                <w:sz w:val="10"/>
                <w:szCs w:val="10"/>
                <w:lang w:eastAsia="sq-AL"/>
              </w:rPr>
              <w:t>.</w:t>
            </w:r>
          </w:p>
        </w:tc>
        <w:tc>
          <w:tcPr>
            <w:tcW w:w="413" w:type="dxa"/>
            <w:tcBorders>
              <w:top w:val="nil"/>
              <w:left w:val="nil"/>
              <w:bottom w:val="single" w:sz="4" w:space="0" w:color="auto"/>
              <w:right w:val="single" w:sz="4" w:space="0" w:color="auto"/>
            </w:tcBorders>
            <w:shd w:val="clear" w:color="000000" w:fill="FFFFFF"/>
            <w:vAlign w:val="center"/>
            <w:hideMark/>
          </w:tcPr>
          <w:p w14:paraId="01A2A23C" w14:textId="444541DA"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INSTAT</w:t>
            </w:r>
            <w:r w:rsidR="00E80646" w:rsidRPr="004F2AC3">
              <w:rPr>
                <w:rFonts w:ascii="Garamond" w:eastAsia="Times New Roman" w:hAnsi="Garamond" w:cs="Times New Roman"/>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57369B8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+ 360D</w:t>
            </w:r>
          </w:p>
        </w:tc>
        <w:tc>
          <w:tcPr>
            <w:tcW w:w="385" w:type="dxa"/>
            <w:tcBorders>
              <w:top w:val="nil"/>
              <w:left w:val="nil"/>
              <w:bottom w:val="single" w:sz="4" w:space="0" w:color="auto"/>
              <w:right w:val="single" w:sz="4" w:space="0" w:color="auto"/>
            </w:tcBorders>
            <w:shd w:val="clear" w:color="000000" w:fill="FFFFFF"/>
            <w:vAlign w:val="center"/>
            <w:hideMark/>
          </w:tcPr>
          <w:p w14:paraId="64F9920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 + 480 D</w:t>
            </w:r>
          </w:p>
        </w:tc>
        <w:tc>
          <w:tcPr>
            <w:tcW w:w="361" w:type="dxa"/>
            <w:tcBorders>
              <w:top w:val="nil"/>
              <w:left w:val="nil"/>
              <w:bottom w:val="single" w:sz="4" w:space="0" w:color="auto"/>
              <w:right w:val="single" w:sz="4" w:space="0" w:color="auto"/>
            </w:tcBorders>
            <w:shd w:val="clear" w:color="000000" w:fill="FFFFFF"/>
            <w:vAlign w:val="center"/>
            <w:hideMark/>
          </w:tcPr>
          <w:p w14:paraId="5564629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 + 540D</w:t>
            </w:r>
          </w:p>
        </w:tc>
        <w:tc>
          <w:tcPr>
            <w:tcW w:w="732" w:type="dxa"/>
            <w:tcBorders>
              <w:top w:val="nil"/>
              <w:left w:val="nil"/>
              <w:bottom w:val="single" w:sz="4" w:space="0" w:color="auto"/>
              <w:right w:val="single" w:sz="4" w:space="0" w:color="auto"/>
            </w:tcBorders>
            <w:shd w:val="clear" w:color="000000" w:fill="FFFFFF"/>
            <w:vAlign w:val="center"/>
            <w:hideMark/>
          </w:tcPr>
          <w:p w14:paraId="07266C2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Vonesa në grumbullimin e të dhënave -|- 6</w:t>
            </w:r>
          </w:p>
        </w:tc>
        <w:tc>
          <w:tcPr>
            <w:tcW w:w="551" w:type="dxa"/>
            <w:tcBorders>
              <w:top w:val="nil"/>
              <w:left w:val="nil"/>
              <w:bottom w:val="single" w:sz="4" w:space="0" w:color="auto"/>
              <w:right w:val="single" w:sz="4" w:space="0" w:color="auto"/>
            </w:tcBorders>
            <w:shd w:val="clear" w:color="000000" w:fill="FFFFFF"/>
            <w:vAlign w:val="center"/>
            <w:hideMark/>
          </w:tcPr>
          <w:p w14:paraId="6811053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Buxhet shteti</w:t>
            </w:r>
          </w:p>
        </w:tc>
      </w:tr>
      <w:tr w:rsidR="00C73163" w:rsidRPr="004F2AC3" w14:paraId="32BC7649" w14:textId="77777777" w:rsidTr="0021321C">
        <w:trPr>
          <w:trHeight w:val="180"/>
          <w:jc w:val="center"/>
        </w:trPr>
        <w:tc>
          <w:tcPr>
            <w:tcW w:w="388" w:type="dxa"/>
            <w:tcBorders>
              <w:top w:val="nil"/>
              <w:left w:val="nil"/>
              <w:bottom w:val="nil"/>
              <w:right w:val="nil"/>
            </w:tcBorders>
            <w:shd w:val="clear" w:color="000000" w:fill="FFFFFF"/>
            <w:vAlign w:val="bottom"/>
            <w:hideMark/>
          </w:tcPr>
          <w:p w14:paraId="6F651B0D"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89" w:type="dxa"/>
            <w:tcBorders>
              <w:top w:val="nil"/>
              <w:left w:val="nil"/>
              <w:bottom w:val="nil"/>
              <w:right w:val="nil"/>
            </w:tcBorders>
            <w:shd w:val="clear" w:color="000000" w:fill="FFFFFF"/>
            <w:vAlign w:val="bottom"/>
            <w:hideMark/>
          </w:tcPr>
          <w:p w14:paraId="14CBC53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232" w:type="dxa"/>
            <w:tcBorders>
              <w:top w:val="nil"/>
              <w:left w:val="nil"/>
              <w:bottom w:val="nil"/>
              <w:right w:val="nil"/>
            </w:tcBorders>
            <w:shd w:val="clear" w:color="000000" w:fill="FFFFFF"/>
            <w:vAlign w:val="bottom"/>
            <w:hideMark/>
          </w:tcPr>
          <w:p w14:paraId="6859ED2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208" w:type="dxa"/>
            <w:tcBorders>
              <w:top w:val="nil"/>
              <w:left w:val="nil"/>
              <w:bottom w:val="nil"/>
              <w:right w:val="nil"/>
            </w:tcBorders>
            <w:shd w:val="clear" w:color="000000" w:fill="FFFFFF"/>
            <w:vAlign w:val="bottom"/>
            <w:hideMark/>
          </w:tcPr>
          <w:p w14:paraId="5CEBDC04"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20" w:type="dxa"/>
            <w:tcBorders>
              <w:top w:val="nil"/>
              <w:left w:val="nil"/>
              <w:bottom w:val="nil"/>
              <w:right w:val="nil"/>
            </w:tcBorders>
            <w:shd w:val="clear" w:color="000000" w:fill="FFFFFF"/>
            <w:vAlign w:val="bottom"/>
            <w:hideMark/>
          </w:tcPr>
          <w:p w14:paraId="5F64600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9" w:type="dxa"/>
            <w:tcBorders>
              <w:top w:val="nil"/>
              <w:left w:val="nil"/>
              <w:bottom w:val="nil"/>
              <w:right w:val="nil"/>
            </w:tcBorders>
            <w:shd w:val="clear" w:color="000000" w:fill="FFFFFF"/>
            <w:vAlign w:val="bottom"/>
            <w:hideMark/>
          </w:tcPr>
          <w:p w14:paraId="28C550A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34B2E0A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1.6.2.1.3</w:t>
            </w:r>
          </w:p>
        </w:tc>
        <w:tc>
          <w:tcPr>
            <w:tcW w:w="563" w:type="dxa"/>
            <w:tcBorders>
              <w:top w:val="nil"/>
              <w:left w:val="nil"/>
              <w:bottom w:val="nil"/>
              <w:right w:val="single" w:sz="4" w:space="0" w:color="auto"/>
            </w:tcBorders>
            <w:shd w:val="clear" w:color="auto" w:fill="auto"/>
            <w:vAlign w:val="center"/>
            <w:hideMark/>
          </w:tcPr>
          <w:p w14:paraId="4D61D218"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Sistemi bazë ESSPROS</w:t>
            </w:r>
          </w:p>
        </w:tc>
        <w:tc>
          <w:tcPr>
            <w:tcW w:w="446" w:type="dxa"/>
            <w:tcBorders>
              <w:top w:val="nil"/>
              <w:left w:val="nil"/>
              <w:bottom w:val="nil"/>
              <w:right w:val="single" w:sz="4" w:space="0" w:color="auto"/>
            </w:tcBorders>
            <w:shd w:val="clear" w:color="000000" w:fill="FFFFFF"/>
            <w:vAlign w:val="center"/>
            <w:hideMark/>
          </w:tcPr>
          <w:p w14:paraId="3CC5B19E"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nil"/>
              <w:right w:val="single" w:sz="4" w:space="0" w:color="auto"/>
            </w:tcBorders>
            <w:shd w:val="clear" w:color="000000" w:fill="FFFFFF"/>
            <w:noWrap/>
            <w:vAlign w:val="center"/>
            <w:hideMark/>
          </w:tcPr>
          <w:p w14:paraId="073BDE8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nil"/>
              <w:right w:val="single" w:sz="4" w:space="0" w:color="auto"/>
            </w:tcBorders>
            <w:shd w:val="clear" w:color="000000" w:fill="FFFFFF"/>
            <w:vAlign w:val="center"/>
            <w:hideMark/>
          </w:tcPr>
          <w:p w14:paraId="1ED3C81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nil"/>
              <w:right w:val="single" w:sz="4" w:space="0" w:color="auto"/>
            </w:tcBorders>
            <w:shd w:val="clear" w:color="000000" w:fill="FFFFFF"/>
            <w:vAlign w:val="center"/>
            <w:hideMark/>
          </w:tcPr>
          <w:p w14:paraId="3DB0E4C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 vazhdueshëm</w:t>
            </w:r>
          </w:p>
        </w:tc>
        <w:tc>
          <w:tcPr>
            <w:tcW w:w="409" w:type="dxa"/>
            <w:tcBorders>
              <w:top w:val="nil"/>
              <w:left w:val="nil"/>
              <w:bottom w:val="nil"/>
              <w:right w:val="single" w:sz="4" w:space="0" w:color="auto"/>
            </w:tcBorders>
            <w:shd w:val="clear" w:color="000000" w:fill="FFFFFF"/>
            <w:vAlign w:val="center"/>
            <w:hideMark/>
          </w:tcPr>
          <w:p w14:paraId="4645F49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04C4610E" w14:textId="7A768203" w:rsidR="0021321C" w:rsidRPr="004F2AC3" w:rsidRDefault="0021321C" w:rsidP="00E80646">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Shpenzime gjithsej të mbrojtjes sociale sipas skemave t</w:t>
            </w:r>
            <w:r w:rsidR="00E80646"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mbrojtjes sociale dhe funksioneve të mbrojtjes sociale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br/>
              <w:t>2. Shpenzime totale të mbrojtjes sociale për frymë sipas funksioneve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3. Shpenzime të mbrojtjes sociale për sëmundjet dhe kujdesin </w:t>
            </w:r>
            <w:r w:rsidR="00D80B69" w:rsidRPr="004F2AC3">
              <w:rPr>
                <w:rFonts w:ascii="Garamond" w:eastAsia="Times New Roman" w:hAnsi="Garamond" w:cs="Times New Roman"/>
                <w:sz w:val="10"/>
                <w:szCs w:val="10"/>
                <w:lang w:eastAsia="sq-AL"/>
              </w:rPr>
              <w:t>shëndetësor</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Shpenzime të mbrojtjes sociale për pensionet e pleqërisë</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Shpenzime të mbrojtjes sociale për pensionet e invaliditetit</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 Shpenzime të mbrojtjes sociale për të mbijetuarit</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7. Shpenzime të mbrojtjes sociale për familjet dhe fëmijët</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8. Shpenzime të mbrojtjes sociale për papunësinë</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9. Shpenzime të mbrojtjes sociale për strehimin social</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10. Shpenzime të mbrojtjes sociale për strehimin social</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11. Shpenzime të mbrojtjes </w:t>
            </w:r>
            <w:r w:rsidR="00E80646" w:rsidRPr="004F2AC3">
              <w:rPr>
                <w:rFonts w:ascii="Garamond" w:eastAsia="Times New Roman" w:hAnsi="Garamond" w:cs="Times New Roman"/>
                <w:sz w:val="10"/>
                <w:szCs w:val="10"/>
                <w:lang w:eastAsia="sq-AL"/>
              </w:rPr>
              <w:t>sociale për përjashtimin social;</w:t>
            </w:r>
            <w:r w:rsidRPr="004F2AC3">
              <w:rPr>
                <w:rFonts w:ascii="Garamond" w:eastAsia="Times New Roman" w:hAnsi="Garamond" w:cs="Times New Roman"/>
                <w:sz w:val="10"/>
                <w:szCs w:val="10"/>
                <w:lang w:eastAsia="sq-AL"/>
              </w:rPr>
              <w:br/>
              <w:t>12. Shpenzime të mbrojtjes sociale në raport me GDP</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13. Shpenzime të mbrojtjes sociale në raport me shpenzimet e buxhetit të shtetit</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br/>
              <w:t>14. Të ardhura të mbrojtjes sociale sipas tipit</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15. Të ardhura të mbrojtjes sociale sipas sektorëve të ekonomisë</w:t>
            </w:r>
            <w:r w:rsidR="00E80646" w:rsidRPr="004F2AC3">
              <w:rPr>
                <w:rFonts w:ascii="Garamond" w:eastAsia="Times New Roman" w:hAnsi="Garamond" w:cs="Times New Roman"/>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7CCC0BA8" w14:textId="5340DCB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Ministria e Financave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 Ministria e Shëndetësisë dhe </w:t>
            </w:r>
            <w:r w:rsidR="00D80B69" w:rsidRPr="004F2AC3">
              <w:rPr>
                <w:rFonts w:ascii="Garamond" w:eastAsia="Times New Roman" w:hAnsi="Garamond" w:cs="Times New Roman"/>
                <w:sz w:val="10"/>
                <w:szCs w:val="10"/>
                <w:lang w:eastAsia="sq-AL"/>
              </w:rPr>
              <w:t>Mirëqenies</w:t>
            </w:r>
            <w:r w:rsidRPr="004F2AC3">
              <w:rPr>
                <w:rFonts w:ascii="Garamond" w:eastAsia="Times New Roman" w:hAnsi="Garamond" w:cs="Times New Roman"/>
                <w:sz w:val="10"/>
                <w:szCs w:val="10"/>
                <w:lang w:eastAsia="sq-AL"/>
              </w:rPr>
              <w:t xml:space="preserve"> Sociale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Ministria e Mbrojtjes</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Ministria e Drejtësisë</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Instituti i Sigurimeve Shoqërore</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 Fondi i Sigurimit të Detyrueshëm të Kujdesit Shëndetësor</w:t>
            </w:r>
            <w:r w:rsidR="00E8064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br/>
              <w:t>Agjencia Kombëtare e Punësimit dhe Aftësive</w:t>
            </w:r>
            <w:r w:rsidR="00E80646" w:rsidRPr="004F2AC3">
              <w:rPr>
                <w:rFonts w:ascii="Garamond" w:eastAsia="Times New Roman" w:hAnsi="Garamond" w:cs="Times New Roman"/>
                <w:sz w:val="10"/>
                <w:szCs w:val="10"/>
                <w:lang w:eastAsia="sq-AL"/>
              </w:rPr>
              <w:t>.</w:t>
            </w:r>
          </w:p>
        </w:tc>
        <w:tc>
          <w:tcPr>
            <w:tcW w:w="413" w:type="dxa"/>
            <w:tcBorders>
              <w:top w:val="nil"/>
              <w:left w:val="nil"/>
              <w:bottom w:val="nil"/>
              <w:right w:val="single" w:sz="4" w:space="0" w:color="auto"/>
            </w:tcBorders>
            <w:shd w:val="clear" w:color="auto" w:fill="auto"/>
            <w:vAlign w:val="center"/>
            <w:hideMark/>
          </w:tcPr>
          <w:p w14:paraId="3AE8275D" w14:textId="5A60B33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INSTAT</w:t>
            </w:r>
            <w:r w:rsidR="00E80646" w:rsidRPr="004F2AC3">
              <w:rPr>
                <w:rFonts w:ascii="Garamond" w:eastAsia="Times New Roman" w:hAnsi="Garamond" w:cs="Times New Roman"/>
                <w:sz w:val="10"/>
                <w:szCs w:val="10"/>
                <w:lang w:eastAsia="sq-AL"/>
              </w:rPr>
              <w:t>-i</w:t>
            </w:r>
          </w:p>
        </w:tc>
        <w:tc>
          <w:tcPr>
            <w:tcW w:w="466" w:type="dxa"/>
            <w:tcBorders>
              <w:top w:val="nil"/>
              <w:left w:val="nil"/>
              <w:bottom w:val="nil"/>
              <w:right w:val="single" w:sz="4" w:space="0" w:color="auto"/>
            </w:tcBorders>
            <w:shd w:val="clear" w:color="000000" w:fill="FFFFFF"/>
            <w:vAlign w:val="center"/>
            <w:hideMark/>
          </w:tcPr>
          <w:p w14:paraId="773AF40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+ 360D</w:t>
            </w:r>
          </w:p>
        </w:tc>
        <w:tc>
          <w:tcPr>
            <w:tcW w:w="385" w:type="dxa"/>
            <w:tcBorders>
              <w:top w:val="nil"/>
              <w:left w:val="nil"/>
              <w:bottom w:val="nil"/>
              <w:right w:val="single" w:sz="4" w:space="0" w:color="auto"/>
            </w:tcBorders>
            <w:shd w:val="clear" w:color="000000" w:fill="FFFFFF"/>
            <w:vAlign w:val="center"/>
            <w:hideMark/>
          </w:tcPr>
          <w:p w14:paraId="2BB070D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+ 390D</w:t>
            </w:r>
          </w:p>
        </w:tc>
        <w:tc>
          <w:tcPr>
            <w:tcW w:w="361" w:type="dxa"/>
            <w:tcBorders>
              <w:top w:val="nil"/>
              <w:left w:val="nil"/>
              <w:bottom w:val="nil"/>
              <w:right w:val="single" w:sz="4" w:space="0" w:color="auto"/>
            </w:tcBorders>
            <w:shd w:val="clear" w:color="000000" w:fill="FFFFFF"/>
            <w:vAlign w:val="center"/>
            <w:hideMark/>
          </w:tcPr>
          <w:p w14:paraId="2AE56F8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V + 540D</w:t>
            </w:r>
          </w:p>
        </w:tc>
        <w:tc>
          <w:tcPr>
            <w:tcW w:w="732" w:type="dxa"/>
            <w:tcBorders>
              <w:top w:val="nil"/>
              <w:left w:val="nil"/>
              <w:bottom w:val="nil"/>
              <w:right w:val="single" w:sz="4" w:space="0" w:color="auto"/>
            </w:tcBorders>
            <w:shd w:val="clear" w:color="auto" w:fill="auto"/>
            <w:vAlign w:val="center"/>
            <w:hideMark/>
          </w:tcPr>
          <w:p w14:paraId="3EF440D8" w14:textId="646F27E0"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Vonesa n</w:t>
            </w:r>
            <w:r w:rsidR="00D449AF"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grumbullimin e t</w:t>
            </w:r>
            <w:r w:rsidR="00D449AF"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dh</w:t>
            </w:r>
            <w:r w:rsidR="00D449AF"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nave -|- 6</w:t>
            </w:r>
          </w:p>
        </w:tc>
        <w:tc>
          <w:tcPr>
            <w:tcW w:w="551" w:type="dxa"/>
            <w:tcBorders>
              <w:top w:val="nil"/>
              <w:left w:val="nil"/>
              <w:bottom w:val="nil"/>
              <w:right w:val="single" w:sz="4" w:space="0" w:color="auto"/>
            </w:tcBorders>
            <w:shd w:val="clear" w:color="auto" w:fill="auto"/>
            <w:vAlign w:val="center"/>
            <w:hideMark/>
          </w:tcPr>
          <w:p w14:paraId="3B687E2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Buxhet shteti</w:t>
            </w:r>
          </w:p>
        </w:tc>
      </w:tr>
      <w:tr w:rsidR="0021321C" w:rsidRPr="004F2AC3" w14:paraId="5396FC4E" w14:textId="77777777" w:rsidTr="0021321C">
        <w:trPr>
          <w:trHeight w:val="180"/>
          <w:jc w:val="center"/>
        </w:trPr>
        <w:tc>
          <w:tcPr>
            <w:tcW w:w="388" w:type="dxa"/>
            <w:tcBorders>
              <w:top w:val="nil"/>
              <w:left w:val="nil"/>
              <w:bottom w:val="nil"/>
              <w:right w:val="nil"/>
            </w:tcBorders>
            <w:shd w:val="clear" w:color="000000" w:fill="FFFFFF"/>
            <w:vAlign w:val="bottom"/>
            <w:hideMark/>
          </w:tcPr>
          <w:p w14:paraId="0312996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B92BCF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4767EEF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1.7</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7947D3D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Drejtësia dhe Krimi</w:t>
            </w:r>
          </w:p>
        </w:tc>
      </w:tr>
      <w:tr w:rsidR="0021321C" w:rsidRPr="004F2AC3" w14:paraId="0195C971" w14:textId="77777777" w:rsidTr="0021321C">
        <w:trPr>
          <w:trHeight w:val="180"/>
          <w:jc w:val="center"/>
        </w:trPr>
        <w:tc>
          <w:tcPr>
            <w:tcW w:w="388" w:type="dxa"/>
            <w:tcBorders>
              <w:top w:val="nil"/>
              <w:left w:val="nil"/>
              <w:bottom w:val="nil"/>
              <w:right w:val="nil"/>
            </w:tcBorders>
            <w:shd w:val="clear" w:color="000000" w:fill="FFFFFF"/>
            <w:vAlign w:val="bottom"/>
            <w:hideMark/>
          </w:tcPr>
          <w:p w14:paraId="625A197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59008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19C62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7779B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629188A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1.7.1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435088D" w14:textId="506899A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Drejtësia dhe </w:t>
            </w:r>
            <w:r w:rsidR="00E80646" w:rsidRPr="004F2AC3">
              <w:rPr>
                <w:rFonts w:ascii="Garamond" w:eastAsia="Times New Roman" w:hAnsi="Garamond" w:cs="Times New Roman"/>
                <w:color w:val="000000"/>
                <w:sz w:val="10"/>
                <w:szCs w:val="10"/>
                <w:lang w:eastAsia="sq-AL"/>
              </w:rPr>
              <w:t>krimi</w:t>
            </w:r>
          </w:p>
        </w:tc>
      </w:tr>
      <w:tr w:rsidR="00C73163" w:rsidRPr="004F2AC3" w14:paraId="76EAFA91" w14:textId="77777777" w:rsidTr="0021321C">
        <w:trPr>
          <w:trHeight w:val="180"/>
          <w:jc w:val="center"/>
        </w:trPr>
        <w:tc>
          <w:tcPr>
            <w:tcW w:w="388" w:type="dxa"/>
            <w:tcBorders>
              <w:top w:val="nil"/>
              <w:left w:val="nil"/>
              <w:bottom w:val="nil"/>
              <w:right w:val="nil"/>
            </w:tcBorders>
            <w:shd w:val="clear" w:color="000000" w:fill="FFFFFF"/>
            <w:vAlign w:val="bottom"/>
            <w:hideMark/>
          </w:tcPr>
          <w:p w14:paraId="6A5D9AB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4052DD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5BC110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AE632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C36D23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E2C2E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600A456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1.7.1.1</w:t>
            </w:r>
          </w:p>
        </w:tc>
        <w:tc>
          <w:tcPr>
            <w:tcW w:w="563" w:type="dxa"/>
            <w:tcBorders>
              <w:top w:val="nil"/>
              <w:left w:val="nil"/>
              <w:bottom w:val="single" w:sz="4" w:space="0" w:color="auto"/>
              <w:right w:val="single" w:sz="4" w:space="0" w:color="auto"/>
            </w:tcBorders>
            <w:shd w:val="clear" w:color="auto" w:fill="auto"/>
            <w:vAlign w:val="center"/>
            <w:hideMark/>
          </w:tcPr>
          <w:p w14:paraId="05156F7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kriminalitetit, veprave penale, procedimeve penale</w:t>
            </w:r>
          </w:p>
        </w:tc>
        <w:tc>
          <w:tcPr>
            <w:tcW w:w="446" w:type="dxa"/>
            <w:tcBorders>
              <w:top w:val="nil"/>
              <w:left w:val="nil"/>
              <w:bottom w:val="single" w:sz="4" w:space="0" w:color="auto"/>
              <w:right w:val="single" w:sz="4" w:space="0" w:color="auto"/>
            </w:tcBorders>
            <w:shd w:val="clear" w:color="auto" w:fill="auto"/>
            <w:vAlign w:val="center"/>
            <w:hideMark/>
          </w:tcPr>
          <w:p w14:paraId="2261E30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vAlign w:val="center"/>
            <w:hideMark/>
          </w:tcPr>
          <w:p w14:paraId="205033C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3FDE384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4B21A20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450F2A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1078E468" w14:textId="5605032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Numri gjithsej </w:t>
            </w:r>
            <w:r w:rsidR="00E80646" w:rsidRPr="004F2AC3">
              <w:rPr>
                <w:rFonts w:ascii="Garamond" w:eastAsia="Times New Roman" w:hAnsi="Garamond" w:cs="Times New Roman"/>
                <w:color w:val="000000"/>
                <w:sz w:val="10"/>
                <w:szCs w:val="10"/>
                <w:lang w:eastAsia="sq-AL"/>
              </w:rPr>
              <w:t>i veprave penale të evidentuara;</w:t>
            </w:r>
            <w:r w:rsidRPr="004F2AC3">
              <w:rPr>
                <w:rFonts w:ascii="Garamond" w:eastAsia="Times New Roman" w:hAnsi="Garamond" w:cs="Times New Roman"/>
                <w:color w:val="000000"/>
                <w:sz w:val="10"/>
                <w:szCs w:val="10"/>
                <w:lang w:eastAsia="sq-AL"/>
              </w:rPr>
              <w:br/>
              <w:t>2. Koeficienti i veprave penale të evidentuara në raport me popullsinë banuese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Numri i veprave specifike penale të evidentuara sipas neneve të</w:t>
            </w:r>
            <w:r w:rsidR="00684E85" w:rsidRPr="004F2AC3">
              <w:rPr>
                <w:rFonts w:ascii="Garamond" w:eastAsia="Times New Roman" w:hAnsi="Garamond" w:cs="Times New Roman"/>
                <w:color w:val="000000"/>
                <w:sz w:val="10"/>
                <w:szCs w:val="10"/>
                <w:lang w:eastAsia="sq-AL"/>
              </w:rPr>
              <w:t xml:space="preserve"> </w:t>
            </w:r>
            <w:r w:rsidR="00E80646" w:rsidRPr="004F2AC3">
              <w:rPr>
                <w:rFonts w:ascii="Garamond" w:eastAsia="Times New Roman" w:hAnsi="Garamond" w:cs="Times New Roman"/>
                <w:color w:val="000000"/>
                <w:sz w:val="10"/>
                <w:szCs w:val="10"/>
                <w:lang w:eastAsia="sq-AL"/>
              </w:rPr>
              <w:t>Kodit Penal;</w:t>
            </w:r>
            <w:r w:rsidRPr="004F2AC3">
              <w:rPr>
                <w:rFonts w:ascii="Garamond" w:eastAsia="Times New Roman" w:hAnsi="Garamond" w:cs="Times New Roman"/>
                <w:color w:val="000000"/>
                <w:sz w:val="10"/>
                <w:szCs w:val="10"/>
                <w:lang w:eastAsia="sq-AL"/>
              </w:rPr>
              <w:br/>
              <w:t>4. Numri gjithsej i procedimeve penale të regjistruara</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Numri gjithsej i proced</w:t>
            </w:r>
            <w:r w:rsidR="00E80646" w:rsidRPr="004F2AC3">
              <w:rPr>
                <w:rFonts w:ascii="Garamond" w:eastAsia="Times New Roman" w:hAnsi="Garamond" w:cs="Times New Roman"/>
                <w:color w:val="000000"/>
                <w:sz w:val="10"/>
                <w:szCs w:val="10"/>
                <w:lang w:eastAsia="sq-AL"/>
              </w:rPr>
              <w:t>imeve penale dërguar për gjykim;</w:t>
            </w:r>
            <w:r w:rsidRPr="004F2AC3">
              <w:rPr>
                <w:rFonts w:ascii="Garamond" w:eastAsia="Times New Roman" w:hAnsi="Garamond" w:cs="Times New Roman"/>
                <w:color w:val="000000"/>
                <w:sz w:val="10"/>
                <w:szCs w:val="10"/>
                <w:lang w:eastAsia="sq-AL"/>
              </w:rPr>
              <w:br/>
              <w:t>6. Numri gjithsej i procedimeve specifike penale të regjistru</w:t>
            </w:r>
            <w:r w:rsidR="00E80646" w:rsidRPr="004F2AC3">
              <w:rPr>
                <w:rFonts w:ascii="Garamond" w:eastAsia="Times New Roman" w:hAnsi="Garamond" w:cs="Times New Roman"/>
                <w:color w:val="000000"/>
                <w:sz w:val="10"/>
                <w:szCs w:val="10"/>
                <w:lang w:eastAsia="sq-AL"/>
              </w:rPr>
              <w:t>ara sipas neneve të Kodit Penal.</w:t>
            </w:r>
          </w:p>
        </w:tc>
        <w:tc>
          <w:tcPr>
            <w:tcW w:w="554" w:type="dxa"/>
            <w:tcBorders>
              <w:top w:val="nil"/>
              <w:left w:val="nil"/>
              <w:bottom w:val="single" w:sz="4" w:space="0" w:color="auto"/>
              <w:right w:val="single" w:sz="4" w:space="0" w:color="auto"/>
            </w:tcBorders>
            <w:shd w:val="clear" w:color="auto" w:fill="auto"/>
            <w:vAlign w:val="center"/>
            <w:hideMark/>
          </w:tcPr>
          <w:p w14:paraId="08DF1C10" w14:textId="03B6656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Drejtoria e Përgjithshme e Policisë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Prokuroria e Përgjithshme</w:t>
            </w:r>
          </w:p>
        </w:tc>
        <w:tc>
          <w:tcPr>
            <w:tcW w:w="413" w:type="dxa"/>
            <w:tcBorders>
              <w:top w:val="nil"/>
              <w:left w:val="nil"/>
              <w:bottom w:val="single" w:sz="4" w:space="0" w:color="auto"/>
              <w:right w:val="single" w:sz="4" w:space="0" w:color="auto"/>
            </w:tcBorders>
            <w:shd w:val="clear" w:color="auto" w:fill="auto"/>
            <w:vAlign w:val="center"/>
            <w:hideMark/>
          </w:tcPr>
          <w:p w14:paraId="724440B7" w14:textId="6938BCE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3F73A17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+ 69D</w:t>
            </w:r>
          </w:p>
        </w:tc>
        <w:tc>
          <w:tcPr>
            <w:tcW w:w="385" w:type="dxa"/>
            <w:tcBorders>
              <w:top w:val="nil"/>
              <w:left w:val="nil"/>
              <w:bottom w:val="single" w:sz="4" w:space="0" w:color="auto"/>
              <w:right w:val="single" w:sz="4" w:space="0" w:color="auto"/>
            </w:tcBorders>
            <w:shd w:val="clear" w:color="auto" w:fill="auto"/>
            <w:vAlign w:val="center"/>
            <w:hideMark/>
          </w:tcPr>
          <w:p w14:paraId="52055AB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+ 92D</w:t>
            </w:r>
          </w:p>
        </w:tc>
        <w:tc>
          <w:tcPr>
            <w:tcW w:w="361" w:type="dxa"/>
            <w:tcBorders>
              <w:top w:val="nil"/>
              <w:left w:val="nil"/>
              <w:bottom w:val="single" w:sz="4" w:space="0" w:color="auto"/>
              <w:right w:val="single" w:sz="4" w:space="0" w:color="auto"/>
            </w:tcBorders>
            <w:shd w:val="clear" w:color="auto" w:fill="auto"/>
            <w:vAlign w:val="center"/>
            <w:hideMark/>
          </w:tcPr>
          <w:p w14:paraId="3276298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+ 120D</w:t>
            </w:r>
          </w:p>
        </w:tc>
        <w:tc>
          <w:tcPr>
            <w:tcW w:w="732" w:type="dxa"/>
            <w:tcBorders>
              <w:top w:val="nil"/>
              <w:left w:val="nil"/>
              <w:bottom w:val="single" w:sz="4" w:space="0" w:color="auto"/>
              <w:right w:val="single" w:sz="4" w:space="0" w:color="auto"/>
            </w:tcBorders>
            <w:shd w:val="clear" w:color="auto" w:fill="auto"/>
            <w:vAlign w:val="center"/>
            <w:hideMark/>
          </w:tcPr>
          <w:p w14:paraId="7A24BE7E" w14:textId="1AFA69A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D449AF" w:rsidRPr="004F2AC3">
              <w:rPr>
                <w:rFonts w:ascii="Garamond" w:eastAsia="Times New Roman" w:hAnsi="Garamond" w:cs="Times New Roman"/>
                <w:color w:val="000000"/>
                <w:sz w:val="10"/>
                <w:szCs w:val="10"/>
                <w:lang w:eastAsia="sq-AL"/>
              </w:rPr>
              <w:t>Mospërmbushja e kritereve të cilësisë, si: saktësia, përpikm</w:t>
            </w:r>
            <w:r w:rsidR="00D80B69" w:rsidRPr="004F2AC3">
              <w:rPr>
                <w:rFonts w:ascii="Garamond" w:eastAsia="Times New Roman" w:hAnsi="Garamond" w:cs="Times New Roman"/>
                <w:color w:val="000000"/>
                <w:sz w:val="10"/>
                <w:szCs w:val="10"/>
                <w:lang w:eastAsia="sq-AL"/>
              </w:rPr>
              <w:t>ë</w:t>
            </w:r>
            <w:r w:rsidR="00D449AF" w:rsidRPr="004F2AC3">
              <w:rPr>
                <w:rFonts w:ascii="Garamond" w:eastAsia="Times New Roman" w:hAnsi="Garamond" w:cs="Times New Roman"/>
                <w:color w:val="000000"/>
                <w:sz w:val="10"/>
                <w:szCs w:val="10"/>
                <w:lang w:eastAsia="sq-AL"/>
              </w:rPr>
              <w:t>ria dhe krahasueshmeria për të dhënat administrative statistikore</w:t>
            </w:r>
            <w:r w:rsidRPr="004F2AC3">
              <w:rPr>
                <w:rFonts w:ascii="Garamond" w:eastAsia="Times New Roman" w:hAnsi="Garamond" w:cs="Times New Roman"/>
                <w:color w:val="000000"/>
                <w:sz w:val="10"/>
                <w:szCs w:val="10"/>
                <w:lang w:eastAsia="sq-AL"/>
              </w:rPr>
              <w:t xml:space="preserve"> -|- 6</w:t>
            </w:r>
          </w:p>
        </w:tc>
        <w:tc>
          <w:tcPr>
            <w:tcW w:w="551" w:type="dxa"/>
            <w:tcBorders>
              <w:top w:val="nil"/>
              <w:left w:val="nil"/>
              <w:bottom w:val="single" w:sz="4" w:space="0" w:color="auto"/>
              <w:right w:val="single" w:sz="4" w:space="0" w:color="auto"/>
            </w:tcBorders>
            <w:shd w:val="clear" w:color="auto" w:fill="auto"/>
            <w:vAlign w:val="center"/>
            <w:hideMark/>
          </w:tcPr>
          <w:p w14:paraId="6EACD16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709D0C25" w14:textId="77777777" w:rsidTr="0021321C">
        <w:trPr>
          <w:trHeight w:val="180"/>
          <w:jc w:val="center"/>
        </w:trPr>
        <w:tc>
          <w:tcPr>
            <w:tcW w:w="388" w:type="dxa"/>
            <w:tcBorders>
              <w:top w:val="nil"/>
              <w:left w:val="nil"/>
              <w:bottom w:val="nil"/>
              <w:right w:val="nil"/>
            </w:tcBorders>
            <w:shd w:val="clear" w:color="000000" w:fill="FFFFFF"/>
            <w:vAlign w:val="bottom"/>
            <w:hideMark/>
          </w:tcPr>
          <w:p w14:paraId="2F9B80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BAC7A2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2D7F7E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24E0D9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76C4E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10477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000000"/>
              <w:right w:val="single" w:sz="4" w:space="0" w:color="auto"/>
            </w:tcBorders>
            <w:shd w:val="clear" w:color="auto" w:fill="auto"/>
            <w:vAlign w:val="center"/>
            <w:hideMark/>
          </w:tcPr>
          <w:p w14:paraId="136664D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1.7.1.2</w:t>
            </w:r>
          </w:p>
        </w:tc>
        <w:tc>
          <w:tcPr>
            <w:tcW w:w="563" w:type="dxa"/>
            <w:vMerge w:val="restart"/>
            <w:tcBorders>
              <w:top w:val="nil"/>
              <w:left w:val="single" w:sz="4" w:space="0" w:color="auto"/>
              <w:bottom w:val="single" w:sz="4" w:space="0" w:color="000000"/>
              <w:right w:val="single" w:sz="4" w:space="0" w:color="auto"/>
            </w:tcBorders>
            <w:shd w:val="clear" w:color="auto" w:fill="auto"/>
            <w:vAlign w:val="center"/>
            <w:hideMark/>
          </w:tcPr>
          <w:p w14:paraId="5A36860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personave të dyshuar, të pandehur dhe të burgosur</w:t>
            </w:r>
          </w:p>
        </w:tc>
        <w:tc>
          <w:tcPr>
            <w:tcW w:w="446" w:type="dxa"/>
            <w:vMerge w:val="restart"/>
            <w:tcBorders>
              <w:top w:val="nil"/>
              <w:left w:val="single" w:sz="4" w:space="0" w:color="auto"/>
              <w:bottom w:val="single" w:sz="4" w:space="0" w:color="000000"/>
              <w:right w:val="single" w:sz="4" w:space="0" w:color="auto"/>
            </w:tcBorders>
            <w:shd w:val="clear" w:color="auto" w:fill="auto"/>
            <w:vAlign w:val="center"/>
            <w:hideMark/>
          </w:tcPr>
          <w:p w14:paraId="78C1C90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vMerge w:val="restart"/>
            <w:tcBorders>
              <w:top w:val="nil"/>
              <w:left w:val="single" w:sz="4" w:space="0" w:color="auto"/>
              <w:bottom w:val="single" w:sz="4" w:space="0" w:color="000000"/>
              <w:right w:val="single" w:sz="4" w:space="0" w:color="auto"/>
            </w:tcBorders>
            <w:shd w:val="clear" w:color="auto" w:fill="auto"/>
            <w:vAlign w:val="center"/>
            <w:hideMark/>
          </w:tcPr>
          <w:p w14:paraId="3D49509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vMerge w:val="restart"/>
            <w:tcBorders>
              <w:top w:val="nil"/>
              <w:left w:val="single" w:sz="4" w:space="0" w:color="auto"/>
              <w:bottom w:val="single" w:sz="4" w:space="0" w:color="000000"/>
              <w:right w:val="single" w:sz="4" w:space="0" w:color="auto"/>
            </w:tcBorders>
            <w:shd w:val="clear" w:color="auto" w:fill="auto"/>
            <w:vAlign w:val="center"/>
            <w:hideMark/>
          </w:tcPr>
          <w:p w14:paraId="40A52B8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1B84049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auto" w:fill="auto"/>
            <w:vAlign w:val="center"/>
            <w:hideMark/>
          </w:tcPr>
          <w:p w14:paraId="32B08B7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nil"/>
            </w:tcBorders>
            <w:shd w:val="clear" w:color="auto" w:fill="auto"/>
            <w:vAlign w:val="center"/>
            <w:hideMark/>
          </w:tcPr>
          <w:p w14:paraId="39E41F90" w14:textId="727737C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Autorët sipas veprave specifike penale të Kodit Penal; </w:t>
            </w:r>
            <w:r w:rsidRPr="004F2AC3">
              <w:rPr>
                <w:rFonts w:ascii="Garamond" w:eastAsia="Times New Roman" w:hAnsi="Garamond" w:cs="Times New Roman"/>
                <w:color w:val="000000"/>
                <w:sz w:val="10"/>
                <w:szCs w:val="10"/>
                <w:lang w:eastAsia="sq-AL"/>
              </w:rPr>
              <w:br/>
              <w:t>2. Autorët të rr</w:t>
            </w:r>
            <w:r w:rsidR="00E80646" w:rsidRPr="004F2AC3">
              <w:rPr>
                <w:rFonts w:ascii="Garamond" w:eastAsia="Times New Roman" w:hAnsi="Garamond" w:cs="Times New Roman"/>
                <w:color w:val="000000"/>
                <w:sz w:val="10"/>
                <w:szCs w:val="10"/>
                <w:lang w:eastAsia="sq-AL"/>
              </w:rPr>
              <w:t>itur dhe të mitur sipas gjinisë;</w:t>
            </w:r>
            <w:r w:rsidRPr="004F2AC3">
              <w:rPr>
                <w:rFonts w:ascii="Garamond" w:eastAsia="Times New Roman" w:hAnsi="Garamond" w:cs="Times New Roman"/>
                <w:color w:val="000000"/>
                <w:sz w:val="10"/>
                <w:szCs w:val="10"/>
                <w:lang w:eastAsia="sq-AL"/>
              </w:rPr>
              <w:br/>
              <w:t xml:space="preserve">3. Autorët të rritur dhe të mitur sipas gjinisë në raport me popullsinë banuese; </w:t>
            </w:r>
            <w:r w:rsidRPr="004F2AC3">
              <w:rPr>
                <w:rFonts w:ascii="Garamond" w:eastAsia="Times New Roman" w:hAnsi="Garamond" w:cs="Times New Roman"/>
                <w:color w:val="000000"/>
                <w:sz w:val="10"/>
                <w:szCs w:val="10"/>
                <w:lang w:eastAsia="sq-AL"/>
              </w:rPr>
              <w:br/>
              <w:t>4. Autorët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5. Au</w:t>
            </w:r>
            <w:r w:rsidR="00E80646" w:rsidRPr="004F2AC3">
              <w:rPr>
                <w:rFonts w:ascii="Garamond" w:eastAsia="Times New Roman" w:hAnsi="Garamond" w:cs="Times New Roman"/>
                <w:color w:val="000000"/>
                <w:sz w:val="10"/>
                <w:szCs w:val="10"/>
                <w:lang w:eastAsia="sq-AL"/>
              </w:rPr>
              <w:t>torët sipas gjinisë dhe qarqeve;</w:t>
            </w:r>
            <w:r w:rsidRPr="004F2AC3">
              <w:rPr>
                <w:rFonts w:ascii="Garamond" w:eastAsia="Times New Roman" w:hAnsi="Garamond" w:cs="Times New Roman"/>
                <w:color w:val="000000"/>
                <w:sz w:val="10"/>
                <w:szCs w:val="10"/>
                <w:lang w:eastAsia="sq-AL"/>
              </w:rPr>
              <w:br/>
              <w:t>6. Fëmijë autorë të veprave penale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7. Të dëmtuarit sipas veprave specifike penale të Kodit Penal; </w:t>
            </w:r>
            <w:r w:rsidRPr="004F2AC3">
              <w:rPr>
                <w:rFonts w:ascii="Garamond" w:eastAsia="Times New Roman" w:hAnsi="Garamond" w:cs="Times New Roman"/>
                <w:color w:val="000000"/>
                <w:sz w:val="10"/>
                <w:szCs w:val="10"/>
                <w:lang w:eastAsia="sq-AL"/>
              </w:rPr>
              <w:br/>
              <w:t>8. Të dëmtuarit të mitur dhe rritur sipas gjinisë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Të dëmtuarit të mitur dhe r</w:t>
            </w:r>
            <w:r w:rsidR="00E80646" w:rsidRPr="004F2AC3">
              <w:rPr>
                <w:rFonts w:ascii="Garamond" w:eastAsia="Times New Roman" w:hAnsi="Garamond" w:cs="Times New Roman"/>
                <w:color w:val="000000"/>
                <w:sz w:val="10"/>
                <w:szCs w:val="10"/>
                <w:lang w:eastAsia="sq-AL"/>
              </w:rPr>
              <w:t>ritur sipas gjinisë dhe qarqeve;</w:t>
            </w:r>
            <w:r w:rsidRPr="004F2AC3">
              <w:rPr>
                <w:rFonts w:ascii="Garamond" w:eastAsia="Times New Roman" w:hAnsi="Garamond" w:cs="Times New Roman"/>
                <w:color w:val="000000"/>
                <w:sz w:val="10"/>
                <w:szCs w:val="10"/>
                <w:lang w:eastAsia="sq-AL"/>
              </w:rPr>
              <w:br/>
              <w:t>10. T</w:t>
            </w:r>
            <w:r w:rsidR="00D80B69"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w:t>
            </w:r>
            <w:r w:rsidR="00D80B69" w:rsidRPr="004F2AC3">
              <w:rPr>
                <w:rFonts w:ascii="Garamond" w:eastAsia="Times New Roman" w:hAnsi="Garamond" w:cs="Times New Roman"/>
                <w:color w:val="000000"/>
                <w:sz w:val="10"/>
                <w:szCs w:val="10"/>
                <w:lang w:eastAsia="sq-AL"/>
              </w:rPr>
              <w:t>dëmtuarit</w:t>
            </w:r>
            <w:r w:rsidRPr="004F2AC3">
              <w:rPr>
                <w:rFonts w:ascii="Garamond" w:eastAsia="Times New Roman" w:hAnsi="Garamond" w:cs="Times New Roman"/>
                <w:color w:val="000000"/>
                <w:sz w:val="10"/>
                <w:szCs w:val="10"/>
                <w:lang w:eastAsia="sq-AL"/>
              </w:rPr>
              <w:t xml:space="preserve"> të mitur dhe rritur dhe gjinisë </w:t>
            </w:r>
            <w:r w:rsidR="00E80646" w:rsidRPr="004F2AC3">
              <w:rPr>
                <w:rFonts w:ascii="Garamond" w:eastAsia="Times New Roman" w:hAnsi="Garamond" w:cs="Times New Roman"/>
                <w:color w:val="000000"/>
                <w:sz w:val="10"/>
                <w:szCs w:val="10"/>
                <w:lang w:eastAsia="sq-AL"/>
              </w:rPr>
              <w:t>në raport me popullsinë banuese;</w:t>
            </w:r>
            <w:r w:rsidRPr="004F2AC3">
              <w:rPr>
                <w:rFonts w:ascii="Garamond" w:eastAsia="Times New Roman" w:hAnsi="Garamond" w:cs="Times New Roman"/>
                <w:color w:val="000000"/>
                <w:sz w:val="10"/>
                <w:szCs w:val="10"/>
                <w:lang w:eastAsia="sq-AL"/>
              </w:rPr>
              <w:br/>
              <w:t xml:space="preserve">11. Të dëmtuar </w:t>
            </w:r>
            <w:r w:rsidR="00D80B69" w:rsidRPr="004F2AC3">
              <w:rPr>
                <w:rFonts w:ascii="Garamond" w:eastAsia="Times New Roman" w:hAnsi="Garamond" w:cs="Times New Roman"/>
                <w:color w:val="000000"/>
                <w:sz w:val="10"/>
                <w:szCs w:val="10"/>
                <w:lang w:eastAsia="sq-AL"/>
              </w:rPr>
              <w:t>nga Dhuna në familje sipas grup-</w:t>
            </w:r>
            <w:r w:rsidR="00E80646" w:rsidRPr="004F2AC3">
              <w:rPr>
                <w:rFonts w:ascii="Garamond" w:eastAsia="Times New Roman" w:hAnsi="Garamond" w:cs="Times New Roman"/>
                <w:color w:val="000000"/>
                <w:sz w:val="10"/>
                <w:szCs w:val="10"/>
                <w:lang w:eastAsia="sq-AL"/>
              </w:rPr>
              <w:t>moshës dhe gjinisë;</w:t>
            </w:r>
            <w:r w:rsidRPr="004F2AC3">
              <w:rPr>
                <w:rFonts w:ascii="Garamond" w:eastAsia="Times New Roman" w:hAnsi="Garamond" w:cs="Times New Roman"/>
                <w:color w:val="000000"/>
                <w:sz w:val="10"/>
                <w:szCs w:val="10"/>
                <w:lang w:eastAsia="sq-AL"/>
              </w:rPr>
              <w:br/>
              <w:t xml:space="preserve">12. Të dëmtuar nga Dhuna në familje </w:t>
            </w:r>
            <w:r w:rsidR="00E80646" w:rsidRPr="004F2AC3">
              <w:rPr>
                <w:rFonts w:ascii="Garamond" w:eastAsia="Times New Roman" w:hAnsi="Garamond" w:cs="Times New Roman"/>
                <w:color w:val="000000"/>
                <w:sz w:val="10"/>
                <w:szCs w:val="10"/>
                <w:lang w:eastAsia="sq-AL"/>
              </w:rPr>
              <w:t>sipas lidhjes me dhunuesin;</w:t>
            </w:r>
            <w:r w:rsidRPr="004F2AC3">
              <w:rPr>
                <w:rFonts w:ascii="Garamond" w:eastAsia="Times New Roman" w:hAnsi="Garamond" w:cs="Times New Roman"/>
                <w:color w:val="000000"/>
                <w:sz w:val="10"/>
                <w:szCs w:val="10"/>
                <w:lang w:eastAsia="sq-AL"/>
              </w:rPr>
              <w:br/>
              <w:t>13. Fë</w:t>
            </w:r>
            <w:r w:rsidR="00E80646" w:rsidRPr="004F2AC3">
              <w:rPr>
                <w:rFonts w:ascii="Garamond" w:eastAsia="Times New Roman" w:hAnsi="Garamond" w:cs="Times New Roman"/>
                <w:color w:val="000000"/>
                <w:sz w:val="10"/>
                <w:szCs w:val="10"/>
                <w:lang w:eastAsia="sq-AL"/>
              </w:rPr>
              <w:t>mijët viktima të veprave penale;</w:t>
            </w:r>
            <w:r w:rsidRPr="004F2AC3">
              <w:rPr>
                <w:rFonts w:ascii="Garamond" w:eastAsia="Times New Roman" w:hAnsi="Garamond" w:cs="Times New Roman"/>
                <w:color w:val="000000"/>
                <w:sz w:val="10"/>
                <w:szCs w:val="10"/>
                <w:lang w:eastAsia="sq-AL"/>
              </w:rPr>
              <w:br/>
              <w:t>14. Të pandehur sipas veprave specifike penale të Kodit Penal</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Të pandehur të rr</w:t>
            </w:r>
            <w:r w:rsidR="00E80646" w:rsidRPr="004F2AC3">
              <w:rPr>
                <w:rFonts w:ascii="Garamond" w:eastAsia="Times New Roman" w:hAnsi="Garamond" w:cs="Times New Roman"/>
                <w:color w:val="000000"/>
                <w:sz w:val="10"/>
                <w:szCs w:val="10"/>
                <w:lang w:eastAsia="sq-AL"/>
              </w:rPr>
              <w:t>itur dhe të mitur sipas gjinisë;</w:t>
            </w:r>
            <w:r w:rsidRPr="004F2AC3">
              <w:rPr>
                <w:rFonts w:ascii="Garamond" w:eastAsia="Times New Roman" w:hAnsi="Garamond" w:cs="Times New Roman"/>
                <w:color w:val="000000"/>
                <w:sz w:val="10"/>
                <w:szCs w:val="10"/>
                <w:lang w:eastAsia="sq-AL"/>
              </w:rPr>
              <w:br/>
              <w:t>16. Të pandehur të rritur dhe të mitur sipas gjinisë në raport me popul</w:t>
            </w:r>
            <w:r w:rsidR="00E80646" w:rsidRPr="004F2AC3">
              <w:rPr>
                <w:rFonts w:ascii="Garamond" w:eastAsia="Times New Roman" w:hAnsi="Garamond" w:cs="Times New Roman"/>
                <w:color w:val="000000"/>
                <w:sz w:val="10"/>
                <w:szCs w:val="10"/>
                <w:lang w:eastAsia="sq-AL"/>
              </w:rPr>
              <w:t>lsinë banuese;</w:t>
            </w:r>
            <w:r w:rsidRPr="004F2AC3">
              <w:rPr>
                <w:rFonts w:ascii="Garamond" w:eastAsia="Times New Roman" w:hAnsi="Garamond" w:cs="Times New Roman"/>
                <w:color w:val="000000"/>
                <w:sz w:val="10"/>
                <w:szCs w:val="10"/>
                <w:lang w:eastAsia="sq-AL"/>
              </w:rPr>
              <w:br/>
              <w:t>17. Të pan</w:t>
            </w:r>
            <w:r w:rsidR="00E80646" w:rsidRPr="004F2AC3">
              <w:rPr>
                <w:rFonts w:ascii="Garamond" w:eastAsia="Times New Roman" w:hAnsi="Garamond" w:cs="Times New Roman"/>
                <w:color w:val="000000"/>
                <w:sz w:val="10"/>
                <w:szCs w:val="10"/>
                <w:lang w:eastAsia="sq-AL"/>
              </w:rPr>
              <w:t>dehur sipas gjinisë dhe qarqeve;</w:t>
            </w:r>
            <w:r w:rsidRPr="004F2AC3">
              <w:rPr>
                <w:rFonts w:ascii="Garamond" w:eastAsia="Times New Roman" w:hAnsi="Garamond" w:cs="Times New Roman"/>
                <w:color w:val="000000"/>
                <w:sz w:val="10"/>
                <w:szCs w:val="10"/>
                <w:lang w:eastAsia="sq-AL"/>
              </w:rPr>
              <w:br/>
              <w:t>18. Numri i fëmijëve të përfshirë në procedime kriminale si viktima, sipas gjinisë</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dhe grup</w:t>
            </w:r>
            <w:r w:rsidR="00D449AF" w:rsidRPr="004F2AC3">
              <w:rPr>
                <w:rFonts w:ascii="Garamond" w:eastAsia="Times New Roman" w:hAnsi="Garamond" w:cs="Times New Roman"/>
                <w:color w:val="000000"/>
                <w:sz w:val="10"/>
                <w:szCs w:val="10"/>
                <w:lang w:eastAsia="sq-AL"/>
              </w:rPr>
              <w:t>-</w:t>
            </w:r>
            <w:r w:rsidR="00E80646" w:rsidRPr="004F2AC3">
              <w:rPr>
                <w:rFonts w:ascii="Garamond" w:eastAsia="Times New Roman" w:hAnsi="Garamond" w:cs="Times New Roman"/>
                <w:color w:val="000000"/>
                <w:sz w:val="10"/>
                <w:szCs w:val="10"/>
                <w:lang w:eastAsia="sq-AL"/>
              </w:rPr>
              <w:t>moshës;</w:t>
            </w:r>
            <w:r w:rsidRPr="004F2AC3">
              <w:rPr>
                <w:rFonts w:ascii="Garamond" w:eastAsia="Times New Roman" w:hAnsi="Garamond" w:cs="Times New Roman"/>
                <w:color w:val="000000"/>
                <w:sz w:val="10"/>
                <w:szCs w:val="10"/>
                <w:lang w:eastAsia="sq-AL"/>
              </w:rPr>
              <w:br/>
              <w:t>19. Numri i fëmijëve të përfshirë në procedime kriminale si autorë,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Të burgosurit sipas grup</w:t>
            </w:r>
            <w:r w:rsidR="00D449AF" w:rsidRPr="004F2AC3">
              <w:rPr>
                <w:rFonts w:ascii="Garamond" w:eastAsia="Times New Roman" w:hAnsi="Garamond" w:cs="Times New Roman"/>
                <w:color w:val="000000"/>
                <w:sz w:val="10"/>
                <w:szCs w:val="10"/>
                <w:lang w:eastAsia="sq-AL"/>
              </w:rPr>
              <w:t>-</w:t>
            </w:r>
            <w:r w:rsidR="00E80646" w:rsidRPr="004F2AC3">
              <w:rPr>
                <w:rFonts w:ascii="Garamond" w:eastAsia="Times New Roman" w:hAnsi="Garamond" w:cs="Times New Roman"/>
                <w:color w:val="000000"/>
                <w:sz w:val="10"/>
                <w:szCs w:val="10"/>
                <w:lang w:eastAsia="sq-AL"/>
              </w:rPr>
              <w:t>moshave dhe gjinisë;</w:t>
            </w:r>
            <w:r w:rsidRPr="004F2AC3">
              <w:rPr>
                <w:rFonts w:ascii="Garamond" w:eastAsia="Times New Roman" w:hAnsi="Garamond" w:cs="Times New Roman"/>
                <w:color w:val="000000"/>
                <w:sz w:val="10"/>
                <w:szCs w:val="10"/>
                <w:lang w:eastAsia="sq-AL"/>
              </w:rPr>
              <w:br/>
              <w:t>21. Përqindja e të p</w:t>
            </w:r>
            <w:r w:rsidR="00E80646" w:rsidRPr="004F2AC3">
              <w:rPr>
                <w:rFonts w:ascii="Garamond" w:eastAsia="Times New Roman" w:hAnsi="Garamond" w:cs="Times New Roman"/>
                <w:color w:val="000000"/>
                <w:sz w:val="10"/>
                <w:szCs w:val="10"/>
                <w:lang w:eastAsia="sq-AL"/>
              </w:rPr>
              <w:t>araburgosurve në privim lirie;</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7F9BB964" w14:textId="7BC669B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Drej</w:t>
            </w:r>
            <w:r w:rsidR="00E80646" w:rsidRPr="004F2AC3">
              <w:rPr>
                <w:rFonts w:ascii="Garamond" w:eastAsia="Times New Roman" w:hAnsi="Garamond" w:cs="Times New Roman"/>
                <w:color w:val="000000"/>
                <w:sz w:val="10"/>
                <w:szCs w:val="10"/>
                <w:lang w:eastAsia="sq-AL"/>
              </w:rPr>
              <w:t>toria e Përgjithshme e Policisë;</w:t>
            </w:r>
            <w:r w:rsidRPr="004F2AC3">
              <w:rPr>
                <w:rFonts w:ascii="Garamond" w:eastAsia="Times New Roman" w:hAnsi="Garamond" w:cs="Times New Roman"/>
                <w:color w:val="000000"/>
                <w:sz w:val="10"/>
                <w:szCs w:val="10"/>
                <w:lang w:eastAsia="sq-AL"/>
              </w:rPr>
              <w:br/>
              <w:t>Prokuroria e Përgjithshme</w:t>
            </w:r>
            <w:r w:rsidR="00E80646"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Drejtoria e Përgjithshme e Burgjeve</w:t>
            </w:r>
            <w:r w:rsidR="00E80646" w:rsidRPr="004F2AC3">
              <w:rPr>
                <w:rFonts w:ascii="Garamond" w:eastAsia="Times New Roman" w:hAnsi="Garamond" w:cs="Times New Roman"/>
                <w:color w:val="000000"/>
                <w:sz w:val="10"/>
                <w:szCs w:val="10"/>
                <w:lang w:eastAsia="sq-AL"/>
              </w:rPr>
              <w:t>.</w:t>
            </w:r>
          </w:p>
        </w:tc>
        <w:tc>
          <w:tcPr>
            <w:tcW w:w="413" w:type="dxa"/>
            <w:vMerge w:val="restart"/>
            <w:tcBorders>
              <w:top w:val="nil"/>
              <w:left w:val="single" w:sz="4" w:space="0" w:color="auto"/>
              <w:bottom w:val="single" w:sz="4" w:space="0" w:color="000000"/>
              <w:right w:val="single" w:sz="4" w:space="0" w:color="auto"/>
            </w:tcBorders>
            <w:shd w:val="clear" w:color="auto" w:fill="auto"/>
            <w:vAlign w:val="center"/>
            <w:hideMark/>
          </w:tcPr>
          <w:p w14:paraId="1424289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vMerge w:val="restart"/>
            <w:tcBorders>
              <w:top w:val="nil"/>
              <w:left w:val="single" w:sz="4" w:space="0" w:color="auto"/>
              <w:bottom w:val="single" w:sz="4" w:space="0" w:color="000000"/>
              <w:right w:val="single" w:sz="4" w:space="0" w:color="auto"/>
            </w:tcBorders>
            <w:shd w:val="clear" w:color="auto" w:fill="auto"/>
            <w:vAlign w:val="center"/>
            <w:hideMark/>
          </w:tcPr>
          <w:p w14:paraId="4A36EF7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+ 75D</w:t>
            </w:r>
          </w:p>
        </w:tc>
        <w:tc>
          <w:tcPr>
            <w:tcW w:w="385" w:type="dxa"/>
            <w:vMerge w:val="restart"/>
            <w:tcBorders>
              <w:top w:val="nil"/>
              <w:left w:val="single" w:sz="4" w:space="0" w:color="auto"/>
              <w:bottom w:val="single" w:sz="4" w:space="0" w:color="000000"/>
              <w:right w:val="single" w:sz="4" w:space="0" w:color="auto"/>
            </w:tcBorders>
            <w:shd w:val="clear" w:color="auto" w:fill="auto"/>
            <w:vAlign w:val="center"/>
            <w:hideMark/>
          </w:tcPr>
          <w:p w14:paraId="388D9FA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+ 104D</w:t>
            </w:r>
          </w:p>
        </w:tc>
        <w:tc>
          <w:tcPr>
            <w:tcW w:w="361" w:type="dxa"/>
            <w:vMerge w:val="restart"/>
            <w:tcBorders>
              <w:top w:val="nil"/>
              <w:left w:val="single" w:sz="4" w:space="0" w:color="auto"/>
              <w:bottom w:val="single" w:sz="4" w:space="0" w:color="000000"/>
              <w:right w:val="single" w:sz="4" w:space="0" w:color="auto"/>
            </w:tcBorders>
            <w:shd w:val="clear" w:color="auto" w:fill="auto"/>
            <w:vAlign w:val="center"/>
            <w:hideMark/>
          </w:tcPr>
          <w:p w14:paraId="2C332B2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+ 120D</w:t>
            </w:r>
          </w:p>
        </w:tc>
        <w:tc>
          <w:tcPr>
            <w:tcW w:w="732" w:type="dxa"/>
            <w:vMerge w:val="restart"/>
            <w:tcBorders>
              <w:top w:val="nil"/>
              <w:left w:val="single" w:sz="4" w:space="0" w:color="auto"/>
              <w:bottom w:val="single" w:sz="4" w:space="0" w:color="000000"/>
              <w:right w:val="single" w:sz="4" w:space="0" w:color="auto"/>
            </w:tcBorders>
            <w:shd w:val="clear" w:color="auto" w:fill="auto"/>
            <w:vAlign w:val="center"/>
            <w:hideMark/>
          </w:tcPr>
          <w:p w14:paraId="420A59D2" w14:textId="3EB7C2C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D449AF" w:rsidRPr="004F2AC3">
              <w:rPr>
                <w:rFonts w:ascii="Garamond" w:eastAsia="Times New Roman" w:hAnsi="Garamond" w:cs="Times New Roman"/>
                <w:color w:val="000000"/>
                <w:sz w:val="10"/>
                <w:szCs w:val="10"/>
                <w:lang w:eastAsia="sq-AL"/>
              </w:rPr>
              <w:t>Mospërmbushja e kritereve të cilësisë, si: saktësia, përpikm</w:t>
            </w:r>
            <w:r w:rsidR="00D80B69" w:rsidRPr="004F2AC3">
              <w:rPr>
                <w:rFonts w:ascii="Garamond" w:eastAsia="Times New Roman" w:hAnsi="Garamond" w:cs="Times New Roman"/>
                <w:color w:val="000000"/>
                <w:sz w:val="10"/>
                <w:szCs w:val="10"/>
                <w:lang w:eastAsia="sq-AL"/>
              </w:rPr>
              <w:t>ë</w:t>
            </w:r>
            <w:r w:rsidR="00D449AF" w:rsidRPr="004F2AC3">
              <w:rPr>
                <w:rFonts w:ascii="Garamond" w:eastAsia="Times New Roman" w:hAnsi="Garamond" w:cs="Times New Roman"/>
                <w:color w:val="000000"/>
                <w:sz w:val="10"/>
                <w:szCs w:val="10"/>
                <w:lang w:eastAsia="sq-AL"/>
              </w:rPr>
              <w:t>ria dhe krahasueshmeria për të dhënat administrative statistikore</w:t>
            </w:r>
            <w:r w:rsidRPr="004F2AC3">
              <w:rPr>
                <w:rFonts w:ascii="Garamond" w:eastAsia="Times New Roman" w:hAnsi="Garamond" w:cs="Times New Roman"/>
                <w:color w:val="000000"/>
                <w:sz w:val="10"/>
                <w:szCs w:val="10"/>
                <w:lang w:eastAsia="sq-AL"/>
              </w:rPr>
              <w:t xml:space="preserve"> -|- 6</w:t>
            </w:r>
          </w:p>
        </w:tc>
        <w:tc>
          <w:tcPr>
            <w:tcW w:w="551" w:type="dxa"/>
            <w:tcBorders>
              <w:top w:val="nil"/>
              <w:left w:val="nil"/>
              <w:bottom w:val="single" w:sz="4" w:space="0" w:color="auto"/>
              <w:right w:val="single" w:sz="4" w:space="0" w:color="auto"/>
            </w:tcBorders>
            <w:shd w:val="clear" w:color="auto" w:fill="auto"/>
            <w:vAlign w:val="center"/>
            <w:hideMark/>
          </w:tcPr>
          <w:p w14:paraId="2224960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2506438C" w14:textId="77777777" w:rsidTr="0021321C">
        <w:trPr>
          <w:trHeight w:val="180"/>
          <w:jc w:val="center"/>
        </w:trPr>
        <w:tc>
          <w:tcPr>
            <w:tcW w:w="388" w:type="dxa"/>
            <w:tcBorders>
              <w:top w:val="nil"/>
              <w:left w:val="nil"/>
              <w:bottom w:val="nil"/>
              <w:right w:val="nil"/>
            </w:tcBorders>
            <w:shd w:val="clear" w:color="000000" w:fill="FFFFFF"/>
            <w:vAlign w:val="bottom"/>
            <w:hideMark/>
          </w:tcPr>
          <w:p w14:paraId="53E7D3B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FB1D91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4E2176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0A7BD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E28577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CAFE70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033E512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08BD2B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5C3C91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1AB5EE9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508E59A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0011B3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420F0F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auto" w:fill="auto"/>
            <w:vAlign w:val="center"/>
            <w:hideMark/>
          </w:tcPr>
          <w:p w14:paraId="56C1664D" w14:textId="7A8AB01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 Personeli në burgje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moshës së të burgosurve; </w:t>
            </w:r>
            <w:r w:rsidRPr="004F2AC3">
              <w:rPr>
                <w:rFonts w:ascii="Garamond" w:eastAsia="Times New Roman" w:hAnsi="Garamond" w:cs="Times New Roman"/>
                <w:color w:val="000000"/>
                <w:sz w:val="10"/>
                <w:szCs w:val="10"/>
                <w:lang w:eastAsia="sq-AL"/>
              </w:rPr>
              <w:br/>
              <w:t xml:space="preserve">23. Të burgosurit sipas veprave specifike penale; </w:t>
            </w:r>
            <w:r w:rsidRPr="004F2AC3">
              <w:rPr>
                <w:rFonts w:ascii="Garamond" w:eastAsia="Times New Roman" w:hAnsi="Garamond" w:cs="Times New Roman"/>
                <w:color w:val="000000"/>
                <w:sz w:val="10"/>
                <w:szCs w:val="10"/>
                <w:lang w:eastAsia="sq-AL"/>
              </w:rPr>
              <w:br/>
              <w:t>24. Të burgosurit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moshave dhe gjinisë në raport me popullsinë banuese; </w:t>
            </w:r>
            <w:r w:rsidRPr="004F2AC3">
              <w:rPr>
                <w:rFonts w:ascii="Garamond" w:eastAsia="Times New Roman" w:hAnsi="Garamond" w:cs="Times New Roman"/>
                <w:color w:val="000000"/>
                <w:sz w:val="10"/>
                <w:szCs w:val="10"/>
                <w:lang w:eastAsia="sq-AL"/>
              </w:rPr>
              <w:br/>
              <w:t xml:space="preserve">25. Të burgosur sipas nivelit arsimor; </w:t>
            </w:r>
            <w:r w:rsidRPr="004F2AC3">
              <w:rPr>
                <w:rFonts w:ascii="Garamond" w:eastAsia="Times New Roman" w:hAnsi="Garamond" w:cs="Times New Roman"/>
                <w:color w:val="000000"/>
                <w:sz w:val="10"/>
                <w:szCs w:val="10"/>
                <w:lang w:eastAsia="sq-AL"/>
              </w:rPr>
              <w:br/>
              <w:t xml:space="preserve">26. Të burgosur sipas aktiviteteve rehabilituese dhe kurseve të ndjekur në burgje; </w:t>
            </w:r>
            <w:r w:rsidRPr="004F2AC3">
              <w:rPr>
                <w:rFonts w:ascii="Garamond" w:eastAsia="Times New Roman" w:hAnsi="Garamond" w:cs="Times New Roman"/>
                <w:color w:val="000000"/>
                <w:sz w:val="10"/>
                <w:szCs w:val="10"/>
                <w:lang w:eastAsia="sq-AL"/>
              </w:rPr>
              <w:br/>
              <w:t xml:space="preserve">27. Të burgosur sipas </w:t>
            </w:r>
            <w:r w:rsidR="00D80B69" w:rsidRPr="004F2AC3">
              <w:rPr>
                <w:rFonts w:ascii="Garamond" w:eastAsia="Times New Roman" w:hAnsi="Garamond" w:cs="Times New Roman"/>
                <w:color w:val="000000"/>
                <w:sz w:val="10"/>
                <w:szCs w:val="10"/>
                <w:lang w:eastAsia="sq-AL"/>
              </w:rPr>
              <w:t>gjinisë</w:t>
            </w:r>
            <w:r w:rsidRPr="004F2AC3">
              <w:rPr>
                <w:rFonts w:ascii="Garamond" w:eastAsia="Times New Roman" w:hAnsi="Garamond" w:cs="Times New Roman"/>
                <w:color w:val="000000"/>
                <w:sz w:val="10"/>
                <w:szCs w:val="10"/>
                <w:lang w:eastAsia="sq-AL"/>
              </w:rPr>
              <w:t xml:space="preserve"> dhe qarqeve; </w:t>
            </w:r>
            <w:r w:rsidRPr="004F2AC3">
              <w:rPr>
                <w:rFonts w:ascii="Garamond" w:eastAsia="Times New Roman" w:hAnsi="Garamond" w:cs="Times New Roman"/>
                <w:color w:val="000000"/>
                <w:sz w:val="10"/>
                <w:szCs w:val="10"/>
                <w:lang w:eastAsia="sq-AL"/>
              </w:rPr>
              <w:br/>
              <w:t xml:space="preserve">28. Të miturit në mbajtje (privim lirie); </w:t>
            </w:r>
            <w:r w:rsidRPr="004F2AC3">
              <w:rPr>
                <w:rFonts w:ascii="Garamond" w:eastAsia="Times New Roman" w:hAnsi="Garamond" w:cs="Times New Roman"/>
                <w:color w:val="000000"/>
                <w:sz w:val="10"/>
                <w:szCs w:val="10"/>
                <w:lang w:eastAsia="sq-AL"/>
              </w:rPr>
              <w:br/>
              <w:t>29. Të miturit në paraburgim (privim lirie).</w:t>
            </w:r>
          </w:p>
        </w:tc>
        <w:tc>
          <w:tcPr>
            <w:tcW w:w="554" w:type="dxa"/>
            <w:vMerge/>
            <w:tcBorders>
              <w:top w:val="nil"/>
              <w:left w:val="single" w:sz="4" w:space="0" w:color="auto"/>
              <w:bottom w:val="single" w:sz="4" w:space="0" w:color="000000"/>
              <w:right w:val="single" w:sz="4" w:space="0" w:color="auto"/>
            </w:tcBorders>
            <w:vAlign w:val="center"/>
            <w:hideMark/>
          </w:tcPr>
          <w:p w14:paraId="547E73C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122BC6E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34793A5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29C019F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49AFC91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77C2DE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tcBorders>
              <w:top w:val="nil"/>
              <w:left w:val="nil"/>
              <w:bottom w:val="single" w:sz="4" w:space="0" w:color="auto"/>
              <w:right w:val="single" w:sz="4" w:space="0" w:color="auto"/>
            </w:tcBorders>
            <w:shd w:val="clear" w:color="auto" w:fill="auto"/>
            <w:vAlign w:val="center"/>
            <w:hideMark/>
          </w:tcPr>
          <w:p w14:paraId="09D0A99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230FEFFF" w14:textId="77777777" w:rsidTr="0021321C">
        <w:trPr>
          <w:trHeight w:val="180"/>
          <w:jc w:val="center"/>
        </w:trPr>
        <w:tc>
          <w:tcPr>
            <w:tcW w:w="388" w:type="dxa"/>
            <w:tcBorders>
              <w:top w:val="nil"/>
              <w:left w:val="nil"/>
              <w:bottom w:val="nil"/>
              <w:right w:val="nil"/>
            </w:tcBorders>
            <w:shd w:val="clear" w:color="000000" w:fill="FFFFFF"/>
            <w:vAlign w:val="bottom"/>
            <w:hideMark/>
          </w:tcPr>
          <w:p w14:paraId="7C5A0ED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5F895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C8BC39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8DB2FE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BC985A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D198EF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588D98C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1.7.1.3</w:t>
            </w:r>
          </w:p>
        </w:tc>
        <w:tc>
          <w:tcPr>
            <w:tcW w:w="563" w:type="dxa"/>
            <w:tcBorders>
              <w:top w:val="nil"/>
              <w:left w:val="nil"/>
              <w:bottom w:val="nil"/>
              <w:right w:val="single" w:sz="4" w:space="0" w:color="auto"/>
            </w:tcBorders>
            <w:shd w:val="clear" w:color="auto" w:fill="auto"/>
            <w:vAlign w:val="center"/>
            <w:hideMark/>
          </w:tcPr>
          <w:p w14:paraId="4B2AF36B" w14:textId="61EC6DE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personave të dënuar dhe personave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të pafajshëm</w:t>
            </w:r>
          </w:p>
        </w:tc>
        <w:tc>
          <w:tcPr>
            <w:tcW w:w="446" w:type="dxa"/>
            <w:tcBorders>
              <w:top w:val="nil"/>
              <w:left w:val="nil"/>
              <w:bottom w:val="nil"/>
              <w:right w:val="single" w:sz="4" w:space="0" w:color="auto"/>
            </w:tcBorders>
            <w:shd w:val="clear" w:color="auto" w:fill="auto"/>
            <w:vAlign w:val="center"/>
            <w:hideMark/>
          </w:tcPr>
          <w:p w14:paraId="49C923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nil"/>
              <w:right w:val="single" w:sz="4" w:space="0" w:color="auto"/>
            </w:tcBorders>
            <w:shd w:val="clear" w:color="auto" w:fill="auto"/>
            <w:vAlign w:val="center"/>
            <w:hideMark/>
          </w:tcPr>
          <w:p w14:paraId="4469274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tcBorders>
              <w:top w:val="nil"/>
              <w:left w:val="nil"/>
              <w:bottom w:val="nil"/>
              <w:right w:val="single" w:sz="4" w:space="0" w:color="auto"/>
            </w:tcBorders>
            <w:shd w:val="clear" w:color="auto" w:fill="auto"/>
            <w:vAlign w:val="center"/>
            <w:hideMark/>
          </w:tcPr>
          <w:p w14:paraId="111429A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nil"/>
              <w:right w:val="single" w:sz="4" w:space="0" w:color="auto"/>
            </w:tcBorders>
            <w:shd w:val="clear" w:color="auto" w:fill="auto"/>
            <w:vAlign w:val="center"/>
            <w:hideMark/>
          </w:tcPr>
          <w:p w14:paraId="4D8DDBBB" w14:textId="15519863"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5633716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14:paraId="0E920F14" w14:textId="45AAF99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Të dënuar të rritur dhe mitur sipas gjinisë; </w:t>
            </w:r>
            <w:r w:rsidRPr="004F2AC3">
              <w:rPr>
                <w:rFonts w:ascii="Garamond" w:eastAsia="Times New Roman" w:hAnsi="Garamond" w:cs="Times New Roman"/>
                <w:color w:val="000000"/>
                <w:sz w:val="10"/>
                <w:szCs w:val="10"/>
                <w:lang w:eastAsia="sq-AL"/>
              </w:rPr>
              <w:br/>
              <w:t xml:space="preserve">2. Të dënuarit sipas veprave specifike penale sipas Kodit Penal; </w:t>
            </w:r>
            <w:r w:rsidRPr="004F2AC3">
              <w:rPr>
                <w:rFonts w:ascii="Garamond" w:eastAsia="Times New Roman" w:hAnsi="Garamond" w:cs="Times New Roman"/>
                <w:color w:val="000000"/>
                <w:sz w:val="10"/>
                <w:szCs w:val="10"/>
                <w:lang w:eastAsia="sq-AL"/>
              </w:rPr>
              <w:br/>
              <w:t xml:space="preserve">3. Numri i fëmijëve të dënuar sipas gjinisë dhe veprës së kryer; </w:t>
            </w:r>
            <w:r w:rsidRPr="004F2AC3">
              <w:rPr>
                <w:rFonts w:ascii="Garamond" w:eastAsia="Times New Roman" w:hAnsi="Garamond" w:cs="Times New Roman"/>
                <w:color w:val="000000"/>
                <w:sz w:val="10"/>
                <w:szCs w:val="10"/>
                <w:lang w:eastAsia="sq-AL"/>
              </w:rPr>
              <w:br/>
              <w:t xml:space="preserve">4. Numri gjithsej i personave të shpallur të pafajshëm; </w:t>
            </w:r>
            <w:r w:rsidRPr="004F2AC3">
              <w:rPr>
                <w:rFonts w:ascii="Garamond" w:eastAsia="Times New Roman" w:hAnsi="Garamond" w:cs="Times New Roman"/>
                <w:color w:val="000000"/>
                <w:sz w:val="10"/>
                <w:szCs w:val="10"/>
                <w:lang w:eastAsia="sq-AL"/>
              </w:rPr>
              <w:br/>
              <w:t>5. Të dënuar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 në raport me popullsinë banuese;</w:t>
            </w:r>
          </w:p>
        </w:tc>
        <w:tc>
          <w:tcPr>
            <w:tcW w:w="554" w:type="dxa"/>
            <w:tcBorders>
              <w:top w:val="nil"/>
              <w:left w:val="nil"/>
              <w:bottom w:val="nil"/>
              <w:right w:val="single" w:sz="4" w:space="0" w:color="auto"/>
            </w:tcBorders>
            <w:shd w:val="clear" w:color="auto" w:fill="auto"/>
            <w:vAlign w:val="center"/>
            <w:hideMark/>
          </w:tcPr>
          <w:p w14:paraId="14592E8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Ministria e Drejtësisë</w:t>
            </w:r>
          </w:p>
        </w:tc>
        <w:tc>
          <w:tcPr>
            <w:tcW w:w="413" w:type="dxa"/>
            <w:tcBorders>
              <w:top w:val="nil"/>
              <w:left w:val="nil"/>
              <w:bottom w:val="nil"/>
              <w:right w:val="single" w:sz="4" w:space="0" w:color="auto"/>
            </w:tcBorders>
            <w:shd w:val="clear" w:color="auto" w:fill="auto"/>
            <w:vAlign w:val="center"/>
            <w:hideMark/>
          </w:tcPr>
          <w:p w14:paraId="3C5A0C91" w14:textId="1B4FDBB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65A0DA4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+ 253D</w:t>
            </w:r>
          </w:p>
        </w:tc>
        <w:tc>
          <w:tcPr>
            <w:tcW w:w="385" w:type="dxa"/>
            <w:tcBorders>
              <w:top w:val="nil"/>
              <w:left w:val="nil"/>
              <w:bottom w:val="nil"/>
              <w:right w:val="single" w:sz="4" w:space="0" w:color="auto"/>
            </w:tcBorders>
            <w:shd w:val="clear" w:color="auto" w:fill="auto"/>
            <w:vAlign w:val="center"/>
            <w:hideMark/>
          </w:tcPr>
          <w:p w14:paraId="66E2100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+ 257D</w:t>
            </w:r>
          </w:p>
        </w:tc>
        <w:tc>
          <w:tcPr>
            <w:tcW w:w="361" w:type="dxa"/>
            <w:tcBorders>
              <w:top w:val="nil"/>
              <w:left w:val="nil"/>
              <w:bottom w:val="single" w:sz="4" w:space="0" w:color="auto"/>
              <w:right w:val="single" w:sz="4" w:space="0" w:color="auto"/>
            </w:tcBorders>
            <w:shd w:val="clear" w:color="000000" w:fill="FFFFFF"/>
            <w:vAlign w:val="center"/>
            <w:hideMark/>
          </w:tcPr>
          <w:p w14:paraId="098DFEF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+ 304D</w:t>
            </w:r>
          </w:p>
        </w:tc>
        <w:tc>
          <w:tcPr>
            <w:tcW w:w="732" w:type="dxa"/>
            <w:tcBorders>
              <w:top w:val="nil"/>
              <w:left w:val="nil"/>
              <w:bottom w:val="single" w:sz="4" w:space="0" w:color="auto"/>
              <w:right w:val="single" w:sz="4" w:space="0" w:color="auto"/>
            </w:tcBorders>
            <w:shd w:val="clear" w:color="auto" w:fill="auto"/>
            <w:vAlign w:val="center"/>
            <w:hideMark/>
          </w:tcPr>
          <w:p w14:paraId="277C01F5" w14:textId="510EADB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D449AF" w:rsidRPr="004F2AC3">
              <w:rPr>
                <w:rFonts w:ascii="Garamond" w:eastAsia="Times New Roman" w:hAnsi="Garamond" w:cs="Times New Roman"/>
                <w:color w:val="000000"/>
                <w:sz w:val="10"/>
                <w:szCs w:val="10"/>
                <w:lang w:eastAsia="sq-AL"/>
              </w:rPr>
              <w:t>Mospërmbushja e kritereve të cilësisë, si: saktësia, përpikm</w:t>
            </w:r>
            <w:r w:rsidR="00D80B69" w:rsidRPr="004F2AC3">
              <w:rPr>
                <w:rFonts w:ascii="Garamond" w:eastAsia="Times New Roman" w:hAnsi="Garamond" w:cs="Times New Roman"/>
                <w:color w:val="000000"/>
                <w:sz w:val="10"/>
                <w:szCs w:val="10"/>
                <w:lang w:eastAsia="sq-AL"/>
              </w:rPr>
              <w:t>ë</w:t>
            </w:r>
            <w:r w:rsidR="00D449AF" w:rsidRPr="004F2AC3">
              <w:rPr>
                <w:rFonts w:ascii="Garamond" w:eastAsia="Times New Roman" w:hAnsi="Garamond" w:cs="Times New Roman"/>
                <w:color w:val="000000"/>
                <w:sz w:val="10"/>
                <w:szCs w:val="10"/>
                <w:lang w:eastAsia="sq-AL"/>
              </w:rPr>
              <w:t>ria dhe krahasueshmeria për të dhënat administrative statistikore</w:t>
            </w:r>
            <w:r w:rsidRPr="004F2AC3">
              <w:rPr>
                <w:rFonts w:ascii="Garamond" w:eastAsia="Times New Roman" w:hAnsi="Garamond" w:cs="Times New Roman"/>
                <w:color w:val="000000"/>
                <w:sz w:val="10"/>
                <w:szCs w:val="10"/>
                <w:lang w:eastAsia="sq-AL"/>
              </w:rPr>
              <w:t xml:space="preserve"> -|- 6</w:t>
            </w:r>
          </w:p>
        </w:tc>
        <w:tc>
          <w:tcPr>
            <w:tcW w:w="551" w:type="dxa"/>
            <w:tcBorders>
              <w:top w:val="nil"/>
              <w:left w:val="nil"/>
              <w:bottom w:val="single" w:sz="4" w:space="0" w:color="auto"/>
              <w:right w:val="single" w:sz="4" w:space="0" w:color="auto"/>
            </w:tcBorders>
            <w:shd w:val="clear" w:color="auto" w:fill="auto"/>
            <w:vAlign w:val="center"/>
            <w:hideMark/>
          </w:tcPr>
          <w:p w14:paraId="5B63E9D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2A0CD768" w14:textId="77777777" w:rsidTr="0021321C">
        <w:trPr>
          <w:trHeight w:val="180"/>
          <w:jc w:val="center"/>
        </w:trPr>
        <w:tc>
          <w:tcPr>
            <w:tcW w:w="388" w:type="dxa"/>
            <w:tcBorders>
              <w:top w:val="nil"/>
              <w:left w:val="nil"/>
              <w:bottom w:val="nil"/>
              <w:right w:val="nil"/>
            </w:tcBorders>
            <w:shd w:val="clear" w:color="000000" w:fill="FFFFFF"/>
            <w:vAlign w:val="bottom"/>
            <w:hideMark/>
          </w:tcPr>
          <w:p w14:paraId="3576D74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B2D061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94ECD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F2DEBE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FC0FA3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94C6B1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single" w:sz="4" w:space="0" w:color="auto"/>
              <w:left w:val="single" w:sz="4" w:space="0" w:color="auto"/>
              <w:bottom w:val="nil"/>
              <w:right w:val="single" w:sz="4" w:space="0" w:color="auto"/>
            </w:tcBorders>
            <w:shd w:val="clear" w:color="auto" w:fill="auto"/>
            <w:vAlign w:val="center"/>
            <w:hideMark/>
          </w:tcPr>
          <w:p w14:paraId="73B46FD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1.7.1.4</w:t>
            </w:r>
          </w:p>
        </w:tc>
        <w:tc>
          <w:tcPr>
            <w:tcW w:w="563" w:type="dxa"/>
            <w:tcBorders>
              <w:top w:val="single" w:sz="4" w:space="0" w:color="auto"/>
              <w:left w:val="nil"/>
              <w:bottom w:val="nil"/>
              <w:right w:val="single" w:sz="4" w:space="0" w:color="auto"/>
            </w:tcBorders>
            <w:shd w:val="clear" w:color="auto" w:fill="auto"/>
            <w:vAlign w:val="center"/>
            <w:hideMark/>
          </w:tcPr>
          <w:p w14:paraId="6C34B22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Zbatimi i Klasifikimit ndërkombëtar të krimeve për qëllime statistikore (ICCS)</w:t>
            </w:r>
          </w:p>
        </w:tc>
        <w:tc>
          <w:tcPr>
            <w:tcW w:w="446" w:type="dxa"/>
            <w:tcBorders>
              <w:top w:val="single" w:sz="4" w:space="0" w:color="auto"/>
              <w:left w:val="nil"/>
              <w:bottom w:val="nil"/>
              <w:right w:val="single" w:sz="4" w:space="0" w:color="auto"/>
            </w:tcBorders>
            <w:shd w:val="clear" w:color="auto" w:fill="auto"/>
            <w:vAlign w:val="center"/>
            <w:hideMark/>
          </w:tcPr>
          <w:p w14:paraId="3CA34A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single" w:sz="4" w:space="0" w:color="auto"/>
              <w:left w:val="nil"/>
              <w:bottom w:val="nil"/>
              <w:right w:val="single" w:sz="4" w:space="0" w:color="auto"/>
            </w:tcBorders>
            <w:shd w:val="clear" w:color="auto" w:fill="auto"/>
            <w:vAlign w:val="center"/>
            <w:hideMark/>
          </w:tcPr>
          <w:p w14:paraId="5F72A87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tcBorders>
              <w:top w:val="single" w:sz="4" w:space="0" w:color="auto"/>
              <w:left w:val="nil"/>
              <w:bottom w:val="nil"/>
              <w:right w:val="single" w:sz="4" w:space="0" w:color="auto"/>
            </w:tcBorders>
            <w:shd w:val="clear" w:color="auto" w:fill="auto"/>
            <w:vAlign w:val="center"/>
            <w:hideMark/>
          </w:tcPr>
          <w:p w14:paraId="4CB62DA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single" w:sz="4" w:space="0" w:color="auto"/>
              <w:left w:val="nil"/>
              <w:bottom w:val="nil"/>
              <w:right w:val="single" w:sz="4" w:space="0" w:color="auto"/>
            </w:tcBorders>
            <w:shd w:val="clear" w:color="auto" w:fill="auto"/>
            <w:vAlign w:val="center"/>
            <w:hideMark/>
          </w:tcPr>
          <w:p w14:paraId="040352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single" w:sz="4" w:space="0" w:color="auto"/>
              <w:left w:val="nil"/>
              <w:bottom w:val="nil"/>
              <w:right w:val="single" w:sz="4" w:space="0" w:color="auto"/>
            </w:tcBorders>
            <w:shd w:val="clear" w:color="auto" w:fill="auto"/>
            <w:vAlign w:val="center"/>
            <w:hideMark/>
          </w:tcPr>
          <w:p w14:paraId="0E805CE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auto" w:fill="auto"/>
            <w:vAlign w:val="center"/>
            <w:hideMark/>
          </w:tcPr>
          <w:p w14:paraId="6D79CFE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single" w:sz="4" w:space="0" w:color="auto"/>
              <w:left w:val="nil"/>
              <w:bottom w:val="nil"/>
              <w:right w:val="single" w:sz="4" w:space="0" w:color="auto"/>
            </w:tcBorders>
            <w:shd w:val="clear" w:color="auto" w:fill="auto"/>
            <w:vAlign w:val="center"/>
            <w:hideMark/>
          </w:tcPr>
          <w:p w14:paraId="752AC383" w14:textId="26D1410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Ministria e Drejtësisë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 Drejtoria e Përgjithshme e Policisë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 Prokuroria e Përgjithshme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Drejtoria e Përgjithshme e Burgjeve</w:t>
            </w:r>
            <w:r w:rsidR="00E80646" w:rsidRPr="004F2AC3">
              <w:rPr>
                <w:rFonts w:ascii="Garamond" w:eastAsia="Times New Roman" w:hAnsi="Garamond" w:cs="Times New Roman"/>
                <w:color w:val="000000"/>
                <w:sz w:val="10"/>
                <w:szCs w:val="10"/>
                <w:lang w:eastAsia="sq-AL"/>
              </w:rPr>
              <w:t>.</w:t>
            </w:r>
          </w:p>
        </w:tc>
        <w:tc>
          <w:tcPr>
            <w:tcW w:w="413" w:type="dxa"/>
            <w:tcBorders>
              <w:top w:val="single" w:sz="4" w:space="0" w:color="auto"/>
              <w:left w:val="nil"/>
              <w:bottom w:val="nil"/>
              <w:right w:val="single" w:sz="4" w:space="0" w:color="auto"/>
            </w:tcBorders>
            <w:shd w:val="clear" w:color="auto" w:fill="auto"/>
            <w:vAlign w:val="center"/>
            <w:hideMark/>
          </w:tcPr>
          <w:p w14:paraId="049B61B8" w14:textId="082B364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single" w:sz="4" w:space="0" w:color="auto"/>
              <w:left w:val="nil"/>
              <w:bottom w:val="nil"/>
              <w:right w:val="single" w:sz="4" w:space="0" w:color="auto"/>
            </w:tcBorders>
            <w:shd w:val="clear" w:color="auto" w:fill="auto"/>
            <w:noWrap/>
            <w:vAlign w:val="center"/>
            <w:hideMark/>
          </w:tcPr>
          <w:p w14:paraId="58007D5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single" w:sz="4" w:space="0" w:color="auto"/>
              <w:left w:val="nil"/>
              <w:bottom w:val="nil"/>
              <w:right w:val="single" w:sz="4" w:space="0" w:color="auto"/>
            </w:tcBorders>
            <w:shd w:val="clear" w:color="auto" w:fill="auto"/>
            <w:noWrap/>
            <w:vAlign w:val="center"/>
            <w:hideMark/>
          </w:tcPr>
          <w:p w14:paraId="25D4BCC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nil"/>
              <w:right w:val="single" w:sz="4" w:space="0" w:color="auto"/>
            </w:tcBorders>
            <w:shd w:val="clear" w:color="auto" w:fill="auto"/>
            <w:noWrap/>
            <w:vAlign w:val="center"/>
            <w:hideMark/>
          </w:tcPr>
          <w:p w14:paraId="6D5C1B0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nil"/>
              <w:right w:val="single" w:sz="4" w:space="0" w:color="auto"/>
            </w:tcBorders>
            <w:shd w:val="clear" w:color="auto" w:fill="auto"/>
            <w:vAlign w:val="center"/>
            <w:hideMark/>
          </w:tcPr>
          <w:p w14:paraId="0184CBFC" w14:textId="5AABFBF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E80646" w:rsidRPr="004F2AC3">
              <w:rPr>
                <w:rFonts w:ascii="Garamond" w:eastAsia="Times New Roman" w:hAnsi="Garamond" w:cs="Times New Roman"/>
                <w:color w:val="000000"/>
                <w:sz w:val="10"/>
                <w:szCs w:val="10"/>
                <w:lang w:eastAsia="sq-AL"/>
              </w:rPr>
              <w:t>Mosdërgim</w:t>
            </w:r>
            <w:r w:rsidRPr="004F2AC3">
              <w:rPr>
                <w:rFonts w:ascii="Garamond" w:eastAsia="Times New Roman" w:hAnsi="Garamond" w:cs="Times New Roman"/>
                <w:color w:val="000000"/>
                <w:sz w:val="10"/>
                <w:szCs w:val="10"/>
                <w:lang w:eastAsia="sq-AL"/>
              </w:rPr>
              <w:t xml:space="preserve"> i inputeve p</w:t>
            </w:r>
            <w:r w:rsidR="007B55C4"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r shkak t</w:t>
            </w:r>
            <w:r w:rsidR="007B55C4"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rishikimit t</w:t>
            </w:r>
            <w:r w:rsidR="007B55C4"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kodit penal -|- 3</w:t>
            </w:r>
          </w:p>
        </w:tc>
        <w:tc>
          <w:tcPr>
            <w:tcW w:w="551" w:type="dxa"/>
            <w:tcBorders>
              <w:top w:val="nil"/>
              <w:left w:val="nil"/>
              <w:bottom w:val="nil"/>
              <w:right w:val="single" w:sz="4" w:space="0" w:color="auto"/>
            </w:tcBorders>
            <w:shd w:val="clear" w:color="auto" w:fill="auto"/>
            <w:noWrap/>
            <w:vAlign w:val="center"/>
            <w:hideMark/>
          </w:tcPr>
          <w:p w14:paraId="5E92351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21321C" w:rsidRPr="004F2AC3" w14:paraId="3E44E46F" w14:textId="77777777" w:rsidTr="0021321C">
        <w:trPr>
          <w:trHeight w:val="180"/>
          <w:jc w:val="center"/>
        </w:trPr>
        <w:tc>
          <w:tcPr>
            <w:tcW w:w="388" w:type="dxa"/>
            <w:tcBorders>
              <w:top w:val="nil"/>
              <w:left w:val="nil"/>
              <w:bottom w:val="nil"/>
              <w:right w:val="nil"/>
            </w:tcBorders>
            <w:shd w:val="clear" w:color="000000" w:fill="FFFFFF"/>
            <w:vAlign w:val="bottom"/>
            <w:hideMark/>
          </w:tcPr>
          <w:p w14:paraId="49B07A5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253038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15BA047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1.8</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1C492CB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Kultura</w:t>
            </w:r>
          </w:p>
        </w:tc>
      </w:tr>
      <w:tr w:rsidR="0021321C" w:rsidRPr="004F2AC3" w14:paraId="3C5C8B7C" w14:textId="77777777" w:rsidTr="0021321C">
        <w:trPr>
          <w:trHeight w:val="180"/>
          <w:jc w:val="center"/>
        </w:trPr>
        <w:tc>
          <w:tcPr>
            <w:tcW w:w="388" w:type="dxa"/>
            <w:tcBorders>
              <w:top w:val="nil"/>
              <w:left w:val="nil"/>
              <w:bottom w:val="nil"/>
              <w:right w:val="nil"/>
            </w:tcBorders>
            <w:shd w:val="clear" w:color="000000" w:fill="FFFFFF"/>
            <w:vAlign w:val="bottom"/>
            <w:hideMark/>
          </w:tcPr>
          <w:p w14:paraId="73FC57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2B5E04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669092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69050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2F2F2"/>
            <w:vAlign w:val="center"/>
            <w:hideMark/>
          </w:tcPr>
          <w:p w14:paraId="6965192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1.8.1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2F2F2"/>
            <w:vAlign w:val="center"/>
            <w:hideMark/>
          </w:tcPr>
          <w:p w14:paraId="6682A0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Kulturës dhe Sportit</w:t>
            </w:r>
          </w:p>
        </w:tc>
      </w:tr>
      <w:tr w:rsidR="00C73163" w:rsidRPr="004F2AC3" w14:paraId="62DD3DBD" w14:textId="77777777" w:rsidTr="0021321C">
        <w:trPr>
          <w:trHeight w:val="180"/>
          <w:jc w:val="center"/>
        </w:trPr>
        <w:tc>
          <w:tcPr>
            <w:tcW w:w="388" w:type="dxa"/>
            <w:tcBorders>
              <w:top w:val="nil"/>
              <w:left w:val="nil"/>
              <w:bottom w:val="nil"/>
              <w:right w:val="nil"/>
            </w:tcBorders>
            <w:shd w:val="clear" w:color="000000" w:fill="FFFFFF"/>
            <w:vAlign w:val="bottom"/>
            <w:hideMark/>
          </w:tcPr>
          <w:p w14:paraId="455FE95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B86970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55CAFC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FD01C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DE8888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CC9F2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0A76E9F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1.8.1.1</w:t>
            </w:r>
          </w:p>
        </w:tc>
        <w:tc>
          <w:tcPr>
            <w:tcW w:w="563" w:type="dxa"/>
            <w:tcBorders>
              <w:top w:val="nil"/>
              <w:left w:val="nil"/>
              <w:bottom w:val="single" w:sz="4" w:space="0" w:color="auto"/>
              <w:right w:val="single" w:sz="4" w:space="0" w:color="auto"/>
            </w:tcBorders>
            <w:shd w:val="clear" w:color="auto" w:fill="auto"/>
            <w:vAlign w:val="center"/>
            <w:hideMark/>
          </w:tcPr>
          <w:p w14:paraId="0EFB89B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institucioneve qëndrore të artit dhe trashëgimisë kulturore</w:t>
            </w:r>
          </w:p>
        </w:tc>
        <w:tc>
          <w:tcPr>
            <w:tcW w:w="446" w:type="dxa"/>
            <w:tcBorders>
              <w:top w:val="nil"/>
              <w:left w:val="nil"/>
              <w:bottom w:val="single" w:sz="4" w:space="0" w:color="auto"/>
              <w:right w:val="single" w:sz="4" w:space="0" w:color="auto"/>
            </w:tcBorders>
            <w:shd w:val="clear" w:color="auto" w:fill="auto"/>
            <w:vAlign w:val="center"/>
            <w:hideMark/>
          </w:tcPr>
          <w:p w14:paraId="62DF268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vAlign w:val="center"/>
            <w:hideMark/>
          </w:tcPr>
          <w:p w14:paraId="25D58B8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0C56209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nil"/>
              <w:right w:val="single" w:sz="4" w:space="0" w:color="auto"/>
            </w:tcBorders>
            <w:shd w:val="clear" w:color="auto" w:fill="auto"/>
            <w:vAlign w:val="center"/>
            <w:hideMark/>
          </w:tcPr>
          <w:p w14:paraId="5F2C3D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3F4BED9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000000"/>
              <w:right w:val="single" w:sz="4" w:space="0" w:color="000000"/>
            </w:tcBorders>
            <w:shd w:val="clear" w:color="auto" w:fill="auto"/>
            <w:vAlign w:val="center"/>
            <w:hideMark/>
          </w:tcPr>
          <w:p w14:paraId="5EE686F5" w14:textId="79B0326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Numri i shfaqjeve në institucionet qendrore të artit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Numri i premierave në institucionet </w:t>
            </w:r>
            <w:r w:rsidR="00D80B69" w:rsidRPr="004F2AC3">
              <w:rPr>
                <w:rFonts w:ascii="Garamond" w:eastAsia="Times New Roman" w:hAnsi="Garamond" w:cs="Times New Roman"/>
                <w:color w:val="000000"/>
                <w:sz w:val="10"/>
                <w:szCs w:val="10"/>
                <w:lang w:eastAsia="sq-AL"/>
              </w:rPr>
              <w:t>qendrore</w:t>
            </w:r>
            <w:r w:rsidRPr="004F2AC3">
              <w:rPr>
                <w:rFonts w:ascii="Garamond" w:eastAsia="Times New Roman" w:hAnsi="Garamond" w:cs="Times New Roman"/>
                <w:color w:val="000000"/>
                <w:sz w:val="10"/>
                <w:szCs w:val="10"/>
                <w:lang w:eastAsia="sq-AL"/>
              </w:rPr>
              <w:t xml:space="preserve"> të artit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Numri i spektatorëve në </w:t>
            </w:r>
            <w:r w:rsidR="00D80B69" w:rsidRPr="004F2AC3">
              <w:rPr>
                <w:rFonts w:ascii="Garamond" w:eastAsia="Times New Roman" w:hAnsi="Garamond" w:cs="Times New Roman"/>
                <w:color w:val="000000"/>
                <w:sz w:val="10"/>
                <w:szCs w:val="10"/>
                <w:lang w:eastAsia="sq-AL"/>
              </w:rPr>
              <w:t>institucionet</w:t>
            </w:r>
            <w:r w:rsidRPr="004F2AC3">
              <w:rPr>
                <w:rFonts w:ascii="Garamond" w:eastAsia="Times New Roman" w:hAnsi="Garamond" w:cs="Times New Roman"/>
                <w:color w:val="000000"/>
                <w:sz w:val="10"/>
                <w:szCs w:val="10"/>
                <w:lang w:eastAsia="sq-AL"/>
              </w:rPr>
              <w:t xml:space="preserve"> </w:t>
            </w:r>
            <w:r w:rsidR="00D80B69" w:rsidRPr="004F2AC3">
              <w:rPr>
                <w:rFonts w:ascii="Garamond" w:eastAsia="Times New Roman" w:hAnsi="Garamond" w:cs="Times New Roman"/>
                <w:color w:val="000000"/>
                <w:sz w:val="10"/>
                <w:szCs w:val="10"/>
                <w:lang w:eastAsia="sq-AL"/>
              </w:rPr>
              <w:t>qendrore</w:t>
            </w:r>
            <w:r w:rsidRPr="004F2AC3">
              <w:rPr>
                <w:rFonts w:ascii="Garamond" w:eastAsia="Times New Roman" w:hAnsi="Garamond" w:cs="Times New Roman"/>
                <w:color w:val="000000"/>
                <w:sz w:val="10"/>
                <w:szCs w:val="10"/>
                <w:lang w:eastAsia="sq-AL"/>
              </w:rPr>
              <w:t xml:space="preserve"> të artit</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Numri i frekuentuesve në Bibliotekën kombëtare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 Numri i </w:t>
            </w:r>
            <w:r w:rsidR="00D80B69" w:rsidRPr="004F2AC3">
              <w:rPr>
                <w:rFonts w:ascii="Garamond" w:eastAsia="Times New Roman" w:hAnsi="Garamond" w:cs="Times New Roman"/>
                <w:color w:val="000000"/>
                <w:sz w:val="10"/>
                <w:szCs w:val="10"/>
                <w:lang w:eastAsia="sq-AL"/>
              </w:rPr>
              <w:t>vizitorëve</w:t>
            </w:r>
            <w:r w:rsidRPr="004F2AC3">
              <w:rPr>
                <w:rFonts w:ascii="Garamond" w:eastAsia="Times New Roman" w:hAnsi="Garamond" w:cs="Times New Roman"/>
                <w:color w:val="000000"/>
                <w:sz w:val="10"/>
                <w:szCs w:val="10"/>
                <w:lang w:eastAsia="sq-AL"/>
              </w:rPr>
              <w:t xml:space="preserve"> në parqe arkeologjike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Numri i vizitorëve në muzetë kombëtarë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7. Numri i vizitorëve në kalatë që administrohen nga Ministria e </w:t>
            </w:r>
            <w:r w:rsidR="00D80B69" w:rsidRPr="004F2AC3">
              <w:rPr>
                <w:rFonts w:ascii="Garamond" w:eastAsia="Times New Roman" w:hAnsi="Garamond" w:cs="Times New Roman"/>
                <w:color w:val="000000"/>
                <w:sz w:val="10"/>
                <w:szCs w:val="10"/>
                <w:lang w:eastAsia="sq-AL"/>
              </w:rPr>
              <w:t>Kulturës</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Numri i monumenteve të futura në zona mbrojtëse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Studentë të regjistruar në arsimin e lartë në fushat e studimit të lidhura me kulturën</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Përqindja e studentëve të regjistruar në fushat e kulturës ndaj totalit të regjistrimeve sipas gjinisë</w:t>
            </w:r>
            <w:r w:rsidR="00E80646"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4CD43B52" w14:textId="5C1FF6D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Ministria e Turizmit, Kulturës dhe Sportit</w:t>
            </w:r>
          </w:p>
        </w:tc>
        <w:tc>
          <w:tcPr>
            <w:tcW w:w="413" w:type="dxa"/>
            <w:tcBorders>
              <w:top w:val="nil"/>
              <w:left w:val="nil"/>
              <w:bottom w:val="single" w:sz="4" w:space="0" w:color="auto"/>
              <w:right w:val="single" w:sz="4" w:space="0" w:color="auto"/>
            </w:tcBorders>
            <w:shd w:val="clear" w:color="auto" w:fill="auto"/>
            <w:vAlign w:val="center"/>
            <w:hideMark/>
          </w:tcPr>
          <w:p w14:paraId="04F49C39" w14:textId="6D25542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3719EB9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+ 149D</w:t>
            </w:r>
          </w:p>
        </w:tc>
        <w:tc>
          <w:tcPr>
            <w:tcW w:w="385" w:type="dxa"/>
            <w:tcBorders>
              <w:top w:val="nil"/>
              <w:left w:val="nil"/>
              <w:bottom w:val="single" w:sz="4" w:space="0" w:color="auto"/>
              <w:right w:val="single" w:sz="4" w:space="0" w:color="auto"/>
            </w:tcBorders>
            <w:shd w:val="clear" w:color="auto" w:fill="auto"/>
            <w:vAlign w:val="center"/>
            <w:hideMark/>
          </w:tcPr>
          <w:p w14:paraId="78707C4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+ 158D</w:t>
            </w:r>
          </w:p>
        </w:tc>
        <w:tc>
          <w:tcPr>
            <w:tcW w:w="361" w:type="dxa"/>
            <w:tcBorders>
              <w:top w:val="nil"/>
              <w:left w:val="nil"/>
              <w:bottom w:val="single" w:sz="4" w:space="0" w:color="auto"/>
              <w:right w:val="single" w:sz="4" w:space="0" w:color="auto"/>
            </w:tcBorders>
            <w:shd w:val="clear" w:color="auto" w:fill="auto"/>
            <w:vAlign w:val="center"/>
            <w:hideMark/>
          </w:tcPr>
          <w:p w14:paraId="0E5CFAB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+ 173D</w:t>
            </w:r>
          </w:p>
        </w:tc>
        <w:tc>
          <w:tcPr>
            <w:tcW w:w="732" w:type="dxa"/>
            <w:tcBorders>
              <w:top w:val="nil"/>
              <w:left w:val="nil"/>
              <w:bottom w:val="single" w:sz="4" w:space="0" w:color="auto"/>
              <w:right w:val="single" w:sz="4" w:space="0" w:color="auto"/>
            </w:tcBorders>
            <w:shd w:val="clear" w:color="auto" w:fill="auto"/>
            <w:vAlign w:val="center"/>
            <w:hideMark/>
          </w:tcPr>
          <w:p w14:paraId="200A7A5F" w14:textId="5AB42C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w:t>
            </w:r>
            <w:r w:rsidR="007B55C4"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marrjen e t</w:t>
            </w:r>
            <w:r w:rsidR="007B55C4"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dh</w:t>
            </w:r>
            <w:r w:rsidR="007B55C4"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nave administrative -|- 3</w:t>
            </w:r>
          </w:p>
        </w:tc>
        <w:tc>
          <w:tcPr>
            <w:tcW w:w="551" w:type="dxa"/>
            <w:tcBorders>
              <w:top w:val="nil"/>
              <w:left w:val="nil"/>
              <w:bottom w:val="single" w:sz="4" w:space="0" w:color="auto"/>
              <w:right w:val="single" w:sz="4" w:space="0" w:color="auto"/>
            </w:tcBorders>
            <w:shd w:val="clear" w:color="auto" w:fill="auto"/>
            <w:vAlign w:val="center"/>
            <w:hideMark/>
          </w:tcPr>
          <w:p w14:paraId="4D05641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1F38F794" w14:textId="77777777" w:rsidTr="0021321C">
        <w:trPr>
          <w:trHeight w:val="180"/>
          <w:jc w:val="center"/>
        </w:trPr>
        <w:tc>
          <w:tcPr>
            <w:tcW w:w="388" w:type="dxa"/>
            <w:tcBorders>
              <w:top w:val="nil"/>
              <w:left w:val="nil"/>
              <w:bottom w:val="nil"/>
              <w:right w:val="nil"/>
            </w:tcBorders>
            <w:shd w:val="clear" w:color="000000" w:fill="FFFFFF"/>
            <w:vAlign w:val="bottom"/>
            <w:hideMark/>
          </w:tcPr>
          <w:p w14:paraId="5C9659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EFEB9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D2AC22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C66C2A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D46903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71802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2F182A8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1.8.1.2</w:t>
            </w:r>
          </w:p>
        </w:tc>
        <w:tc>
          <w:tcPr>
            <w:tcW w:w="563" w:type="dxa"/>
            <w:tcBorders>
              <w:top w:val="nil"/>
              <w:left w:val="nil"/>
              <w:bottom w:val="single" w:sz="4" w:space="0" w:color="auto"/>
              <w:right w:val="single" w:sz="4" w:space="0" w:color="auto"/>
            </w:tcBorders>
            <w:shd w:val="clear" w:color="auto" w:fill="auto"/>
            <w:vAlign w:val="center"/>
            <w:hideMark/>
          </w:tcPr>
          <w:p w14:paraId="4D25318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sportit</w:t>
            </w:r>
          </w:p>
        </w:tc>
        <w:tc>
          <w:tcPr>
            <w:tcW w:w="446" w:type="dxa"/>
            <w:tcBorders>
              <w:top w:val="nil"/>
              <w:left w:val="nil"/>
              <w:bottom w:val="single" w:sz="4" w:space="0" w:color="auto"/>
              <w:right w:val="single" w:sz="4" w:space="0" w:color="auto"/>
            </w:tcBorders>
            <w:shd w:val="clear" w:color="auto" w:fill="auto"/>
            <w:vAlign w:val="center"/>
            <w:hideMark/>
          </w:tcPr>
          <w:p w14:paraId="26E9B4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vAlign w:val="center"/>
            <w:hideMark/>
          </w:tcPr>
          <w:p w14:paraId="6EBA9B4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07E3ADB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single" w:sz="4" w:space="0" w:color="auto"/>
              <w:left w:val="nil"/>
              <w:bottom w:val="nil"/>
              <w:right w:val="single" w:sz="4" w:space="0" w:color="auto"/>
            </w:tcBorders>
            <w:shd w:val="clear" w:color="auto" w:fill="auto"/>
            <w:vAlign w:val="center"/>
            <w:hideMark/>
          </w:tcPr>
          <w:p w14:paraId="448B0A1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250EBCF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nil"/>
            </w:tcBorders>
            <w:shd w:val="clear" w:color="000000" w:fill="FFFFFF"/>
            <w:vAlign w:val="center"/>
            <w:hideMark/>
          </w:tcPr>
          <w:p w14:paraId="41743ACE" w14:textId="5C316C9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Statistikat e Sportit</w:t>
            </w:r>
            <w:r w:rsidR="00E80646" w:rsidRPr="004F2AC3">
              <w:rPr>
                <w:rFonts w:ascii="Garamond" w:eastAsia="Times New Roman" w:hAnsi="Garamond" w:cs="Times New Roman"/>
                <w:color w:val="000000"/>
                <w:sz w:val="10"/>
                <w:szCs w:val="10"/>
                <w:lang w:eastAsia="sq-AL"/>
              </w:rPr>
              <w:t>.</w:t>
            </w:r>
          </w:p>
        </w:tc>
        <w:tc>
          <w:tcPr>
            <w:tcW w:w="554" w:type="dxa"/>
            <w:tcBorders>
              <w:top w:val="nil"/>
              <w:left w:val="single" w:sz="4" w:space="0" w:color="auto"/>
              <w:bottom w:val="single" w:sz="4" w:space="0" w:color="auto"/>
              <w:right w:val="single" w:sz="4" w:space="0" w:color="auto"/>
            </w:tcBorders>
            <w:shd w:val="clear" w:color="auto" w:fill="auto"/>
            <w:vAlign w:val="center"/>
            <w:hideMark/>
          </w:tcPr>
          <w:p w14:paraId="2300B9F8" w14:textId="255D385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br/>
              <w:t>INSTAT</w:t>
            </w:r>
            <w:r w:rsidR="00E80646"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Ministria e Turizmit, Kulturës dhe Sportit</w:t>
            </w:r>
            <w:r w:rsidR="00E80646"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6DEB1D5B" w14:textId="0B1A5E9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6FD22A1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+ 149D</w:t>
            </w:r>
          </w:p>
        </w:tc>
        <w:tc>
          <w:tcPr>
            <w:tcW w:w="385" w:type="dxa"/>
            <w:tcBorders>
              <w:top w:val="nil"/>
              <w:left w:val="nil"/>
              <w:bottom w:val="single" w:sz="4" w:space="0" w:color="auto"/>
              <w:right w:val="single" w:sz="4" w:space="0" w:color="auto"/>
            </w:tcBorders>
            <w:shd w:val="clear" w:color="auto" w:fill="auto"/>
            <w:vAlign w:val="center"/>
            <w:hideMark/>
          </w:tcPr>
          <w:p w14:paraId="6CA57BE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+ 158D</w:t>
            </w:r>
          </w:p>
        </w:tc>
        <w:tc>
          <w:tcPr>
            <w:tcW w:w="361" w:type="dxa"/>
            <w:tcBorders>
              <w:top w:val="nil"/>
              <w:left w:val="nil"/>
              <w:bottom w:val="single" w:sz="4" w:space="0" w:color="auto"/>
              <w:right w:val="single" w:sz="4" w:space="0" w:color="auto"/>
            </w:tcBorders>
            <w:shd w:val="clear" w:color="auto" w:fill="auto"/>
            <w:vAlign w:val="center"/>
            <w:hideMark/>
          </w:tcPr>
          <w:p w14:paraId="238F857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+ 173D</w:t>
            </w:r>
          </w:p>
        </w:tc>
        <w:tc>
          <w:tcPr>
            <w:tcW w:w="732" w:type="dxa"/>
            <w:tcBorders>
              <w:top w:val="nil"/>
              <w:left w:val="nil"/>
              <w:bottom w:val="single" w:sz="4" w:space="0" w:color="auto"/>
              <w:right w:val="single" w:sz="4" w:space="0" w:color="auto"/>
            </w:tcBorders>
            <w:shd w:val="clear" w:color="auto" w:fill="auto"/>
            <w:vAlign w:val="center"/>
            <w:hideMark/>
          </w:tcPr>
          <w:p w14:paraId="54000EC1" w14:textId="206B5A6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 s</w:t>
            </w:r>
            <w:r w:rsidR="007B55C4"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t</w:t>
            </w:r>
            <w:r w:rsidR="007B55C4"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w:t>
            </w:r>
            <w:r w:rsidR="00D80B69" w:rsidRPr="004F2AC3">
              <w:rPr>
                <w:rFonts w:ascii="Garamond" w:eastAsia="Times New Roman" w:hAnsi="Garamond" w:cs="Times New Roman"/>
                <w:color w:val="000000"/>
                <w:sz w:val="10"/>
                <w:szCs w:val="10"/>
                <w:lang w:eastAsia="sq-AL"/>
              </w:rPr>
              <w:t>dhënave</w:t>
            </w:r>
            <w:r w:rsidRPr="004F2AC3">
              <w:rPr>
                <w:rFonts w:ascii="Garamond" w:eastAsia="Times New Roman" w:hAnsi="Garamond" w:cs="Times New Roman"/>
                <w:color w:val="000000"/>
                <w:sz w:val="10"/>
                <w:szCs w:val="10"/>
                <w:lang w:eastAsia="sq-AL"/>
              </w:rPr>
              <w:t xml:space="preserve"> nga burimet administrative -|- 6</w:t>
            </w:r>
          </w:p>
        </w:tc>
        <w:tc>
          <w:tcPr>
            <w:tcW w:w="551" w:type="dxa"/>
            <w:tcBorders>
              <w:top w:val="nil"/>
              <w:left w:val="nil"/>
              <w:bottom w:val="single" w:sz="4" w:space="0" w:color="auto"/>
              <w:right w:val="single" w:sz="4" w:space="0" w:color="auto"/>
            </w:tcBorders>
            <w:shd w:val="clear" w:color="auto" w:fill="auto"/>
            <w:vAlign w:val="center"/>
            <w:hideMark/>
          </w:tcPr>
          <w:p w14:paraId="2142EA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1667300B" w14:textId="77777777" w:rsidTr="0021321C">
        <w:trPr>
          <w:trHeight w:val="180"/>
          <w:jc w:val="center"/>
        </w:trPr>
        <w:tc>
          <w:tcPr>
            <w:tcW w:w="388" w:type="dxa"/>
            <w:tcBorders>
              <w:top w:val="nil"/>
              <w:left w:val="nil"/>
              <w:bottom w:val="nil"/>
              <w:right w:val="nil"/>
            </w:tcBorders>
            <w:shd w:val="clear" w:color="000000" w:fill="FFFFFF"/>
            <w:vAlign w:val="bottom"/>
            <w:hideMark/>
          </w:tcPr>
          <w:p w14:paraId="677EB3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2C07FB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DF077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D1EC84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0F638D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0EE68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752B76F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1.8.1.3</w:t>
            </w:r>
          </w:p>
        </w:tc>
        <w:tc>
          <w:tcPr>
            <w:tcW w:w="563" w:type="dxa"/>
            <w:tcBorders>
              <w:top w:val="nil"/>
              <w:left w:val="nil"/>
              <w:bottom w:val="single" w:sz="4" w:space="0" w:color="auto"/>
              <w:right w:val="single" w:sz="4" w:space="0" w:color="auto"/>
            </w:tcBorders>
            <w:shd w:val="clear" w:color="auto" w:fill="auto"/>
            <w:vAlign w:val="center"/>
            <w:hideMark/>
          </w:tcPr>
          <w:p w14:paraId="1F7F25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kulturës nga anketat sociale në INSTAT</w:t>
            </w:r>
          </w:p>
        </w:tc>
        <w:tc>
          <w:tcPr>
            <w:tcW w:w="446" w:type="dxa"/>
            <w:tcBorders>
              <w:top w:val="nil"/>
              <w:left w:val="nil"/>
              <w:bottom w:val="single" w:sz="4" w:space="0" w:color="auto"/>
              <w:right w:val="single" w:sz="4" w:space="0" w:color="auto"/>
            </w:tcBorders>
            <w:shd w:val="clear" w:color="auto" w:fill="auto"/>
            <w:vAlign w:val="center"/>
            <w:hideMark/>
          </w:tcPr>
          <w:p w14:paraId="6BD0E4B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000000" w:fill="FFFFFF"/>
            <w:noWrap/>
            <w:vAlign w:val="center"/>
            <w:hideMark/>
          </w:tcPr>
          <w:p w14:paraId="47E2634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50%</w:t>
            </w:r>
          </w:p>
        </w:tc>
        <w:tc>
          <w:tcPr>
            <w:tcW w:w="301" w:type="dxa"/>
            <w:tcBorders>
              <w:top w:val="nil"/>
              <w:left w:val="nil"/>
              <w:bottom w:val="single" w:sz="4" w:space="0" w:color="auto"/>
              <w:right w:val="single" w:sz="4" w:space="0" w:color="auto"/>
            </w:tcBorders>
            <w:shd w:val="clear" w:color="000000" w:fill="FFFFFF"/>
            <w:noWrap/>
            <w:vAlign w:val="center"/>
            <w:hideMark/>
          </w:tcPr>
          <w:p w14:paraId="5307296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50%</w:t>
            </w:r>
          </w:p>
        </w:tc>
        <w:tc>
          <w:tcPr>
            <w:tcW w:w="426" w:type="dxa"/>
            <w:tcBorders>
              <w:top w:val="single" w:sz="4" w:space="0" w:color="auto"/>
              <w:left w:val="nil"/>
              <w:bottom w:val="nil"/>
              <w:right w:val="single" w:sz="4" w:space="0" w:color="auto"/>
            </w:tcBorders>
            <w:shd w:val="clear" w:color="auto" w:fill="auto"/>
            <w:vAlign w:val="center"/>
            <w:hideMark/>
          </w:tcPr>
          <w:p w14:paraId="54CC3E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3A816FD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14:paraId="12AC8731" w14:textId="36047D8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Përdorimi i internetit për qëllime kulturore sipas gjinisë, (në %)</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Përdorimi i internetit për qëllime kulturore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 2020, (në %)</w:t>
            </w:r>
            <w:r w:rsidR="00E80646"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7FCB0E7B" w14:textId="336430B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Ministria e Turizmit, Kulturës dhe Sportit</w:t>
            </w:r>
            <w:r w:rsidR="00E80646"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2BF780EB" w14:textId="1811C52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5119712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+ 149D</w:t>
            </w:r>
          </w:p>
        </w:tc>
        <w:tc>
          <w:tcPr>
            <w:tcW w:w="385" w:type="dxa"/>
            <w:tcBorders>
              <w:top w:val="nil"/>
              <w:left w:val="nil"/>
              <w:bottom w:val="single" w:sz="4" w:space="0" w:color="auto"/>
              <w:right w:val="single" w:sz="4" w:space="0" w:color="auto"/>
            </w:tcBorders>
            <w:shd w:val="clear" w:color="auto" w:fill="auto"/>
            <w:vAlign w:val="center"/>
            <w:hideMark/>
          </w:tcPr>
          <w:p w14:paraId="58164DA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+ 158D</w:t>
            </w:r>
          </w:p>
        </w:tc>
        <w:tc>
          <w:tcPr>
            <w:tcW w:w="361" w:type="dxa"/>
            <w:tcBorders>
              <w:top w:val="nil"/>
              <w:left w:val="nil"/>
              <w:bottom w:val="single" w:sz="4" w:space="0" w:color="auto"/>
              <w:right w:val="single" w:sz="4" w:space="0" w:color="auto"/>
            </w:tcBorders>
            <w:shd w:val="clear" w:color="auto" w:fill="auto"/>
            <w:vAlign w:val="center"/>
            <w:hideMark/>
          </w:tcPr>
          <w:p w14:paraId="6AAD651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+ 173D</w:t>
            </w:r>
          </w:p>
        </w:tc>
        <w:tc>
          <w:tcPr>
            <w:tcW w:w="732" w:type="dxa"/>
            <w:tcBorders>
              <w:top w:val="nil"/>
              <w:left w:val="nil"/>
              <w:bottom w:val="single" w:sz="4" w:space="0" w:color="auto"/>
              <w:right w:val="single" w:sz="4" w:space="0" w:color="auto"/>
            </w:tcBorders>
            <w:shd w:val="clear" w:color="auto" w:fill="auto"/>
            <w:vAlign w:val="center"/>
            <w:hideMark/>
          </w:tcPr>
          <w:p w14:paraId="190B2AE0" w14:textId="7024106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 s</w:t>
            </w:r>
            <w:r w:rsidR="007B55C4"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t</w:t>
            </w:r>
            <w:r w:rsidR="007B55C4"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w:t>
            </w:r>
            <w:r w:rsidR="00D80B69" w:rsidRPr="004F2AC3">
              <w:rPr>
                <w:rFonts w:ascii="Garamond" w:eastAsia="Times New Roman" w:hAnsi="Garamond" w:cs="Times New Roman"/>
                <w:color w:val="000000"/>
                <w:sz w:val="10"/>
                <w:szCs w:val="10"/>
                <w:lang w:eastAsia="sq-AL"/>
              </w:rPr>
              <w:t>dhënave</w:t>
            </w:r>
            <w:r w:rsidRPr="004F2AC3">
              <w:rPr>
                <w:rFonts w:ascii="Garamond" w:eastAsia="Times New Roman" w:hAnsi="Garamond" w:cs="Times New Roman"/>
                <w:color w:val="000000"/>
                <w:sz w:val="10"/>
                <w:szCs w:val="10"/>
                <w:lang w:eastAsia="sq-AL"/>
              </w:rPr>
              <w:t xml:space="preserve"> nga burimet administrative -|- 6</w:t>
            </w:r>
          </w:p>
        </w:tc>
        <w:tc>
          <w:tcPr>
            <w:tcW w:w="551" w:type="dxa"/>
            <w:tcBorders>
              <w:top w:val="nil"/>
              <w:left w:val="nil"/>
              <w:bottom w:val="single" w:sz="4" w:space="0" w:color="auto"/>
              <w:right w:val="single" w:sz="4" w:space="0" w:color="auto"/>
            </w:tcBorders>
            <w:shd w:val="clear" w:color="auto" w:fill="auto"/>
            <w:vAlign w:val="center"/>
            <w:hideMark/>
          </w:tcPr>
          <w:p w14:paraId="5C7883D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7ADA4855" w14:textId="77777777" w:rsidTr="0021321C">
        <w:trPr>
          <w:trHeight w:val="180"/>
          <w:jc w:val="center"/>
        </w:trPr>
        <w:tc>
          <w:tcPr>
            <w:tcW w:w="388" w:type="dxa"/>
            <w:tcBorders>
              <w:top w:val="nil"/>
              <w:left w:val="nil"/>
              <w:bottom w:val="nil"/>
              <w:right w:val="nil"/>
            </w:tcBorders>
            <w:shd w:val="clear" w:color="000000" w:fill="FFFFFF"/>
            <w:vAlign w:val="bottom"/>
            <w:hideMark/>
          </w:tcPr>
          <w:p w14:paraId="0FAAD46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7A3A5C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C1A75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E2A709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D2D4D5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DFD7E5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40E59B9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1.8.1.4</w:t>
            </w:r>
          </w:p>
        </w:tc>
        <w:tc>
          <w:tcPr>
            <w:tcW w:w="563" w:type="dxa"/>
            <w:tcBorders>
              <w:top w:val="nil"/>
              <w:left w:val="nil"/>
              <w:bottom w:val="nil"/>
              <w:right w:val="single" w:sz="4" w:space="0" w:color="auto"/>
            </w:tcBorders>
            <w:shd w:val="clear" w:color="auto" w:fill="auto"/>
            <w:vAlign w:val="center"/>
            <w:hideMark/>
          </w:tcPr>
          <w:p w14:paraId="438FAA1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të kulturës nga anketat ekonomike në INSTAT</w:t>
            </w:r>
          </w:p>
        </w:tc>
        <w:tc>
          <w:tcPr>
            <w:tcW w:w="446" w:type="dxa"/>
            <w:tcBorders>
              <w:top w:val="nil"/>
              <w:left w:val="nil"/>
              <w:bottom w:val="nil"/>
              <w:right w:val="single" w:sz="4" w:space="0" w:color="auto"/>
            </w:tcBorders>
            <w:shd w:val="clear" w:color="auto" w:fill="auto"/>
            <w:vAlign w:val="center"/>
            <w:hideMark/>
          </w:tcPr>
          <w:p w14:paraId="797DA00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nil"/>
              <w:right w:val="single" w:sz="4" w:space="0" w:color="auto"/>
            </w:tcBorders>
            <w:shd w:val="clear" w:color="000000" w:fill="FFFFFF"/>
            <w:noWrap/>
            <w:vAlign w:val="center"/>
            <w:hideMark/>
          </w:tcPr>
          <w:p w14:paraId="63702A2A"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50%</w:t>
            </w:r>
          </w:p>
        </w:tc>
        <w:tc>
          <w:tcPr>
            <w:tcW w:w="301" w:type="dxa"/>
            <w:tcBorders>
              <w:top w:val="nil"/>
              <w:left w:val="nil"/>
              <w:bottom w:val="nil"/>
              <w:right w:val="single" w:sz="4" w:space="0" w:color="auto"/>
            </w:tcBorders>
            <w:shd w:val="clear" w:color="000000" w:fill="FFFFFF"/>
            <w:noWrap/>
            <w:vAlign w:val="center"/>
            <w:hideMark/>
          </w:tcPr>
          <w:p w14:paraId="610E8B5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50%</w:t>
            </w:r>
          </w:p>
        </w:tc>
        <w:tc>
          <w:tcPr>
            <w:tcW w:w="426" w:type="dxa"/>
            <w:tcBorders>
              <w:top w:val="single" w:sz="4" w:space="0" w:color="auto"/>
              <w:left w:val="nil"/>
              <w:bottom w:val="nil"/>
              <w:right w:val="single" w:sz="4" w:space="0" w:color="auto"/>
            </w:tcBorders>
            <w:shd w:val="clear" w:color="auto" w:fill="auto"/>
            <w:vAlign w:val="center"/>
            <w:hideMark/>
          </w:tcPr>
          <w:p w14:paraId="06053D2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1208279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auto" w:fill="auto"/>
            <w:vAlign w:val="center"/>
            <w:hideMark/>
          </w:tcPr>
          <w:p w14:paraId="5DE3693A" w14:textId="7D54FFA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Punësimi në kulturë sipas gjinisë, (në %)</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Përqindja që zënë të rinjtë 15</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29 vjeç në punësimin në kulturë dhe në punësimin gjithsej</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Shpërndarja e punësimit gjithsej dhe punësimit në kulturë sipas nivelit arsimor, (në %)</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Indeksi i harmonizuar i çmimeve të konsumit për disa mallra dhe shërbime kulturore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Ndryshimi vjetor në përqindje i indeksit të harmonizuar të çmimeve të konsumit për disa mallra dhe shërbime kulturore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Shpenzimet publike për argë</w:t>
            </w:r>
            <w:r w:rsidR="00E80646" w:rsidRPr="004F2AC3">
              <w:rPr>
                <w:rFonts w:ascii="Garamond" w:eastAsia="Times New Roman" w:hAnsi="Garamond" w:cs="Times New Roman"/>
                <w:color w:val="000000"/>
                <w:sz w:val="10"/>
                <w:szCs w:val="10"/>
                <w:lang w:eastAsia="sq-AL"/>
              </w:rPr>
              <w:t>tim, kulturë dhe çështje fetare</w:t>
            </w:r>
            <w:r w:rsidRPr="004F2AC3">
              <w:rPr>
                <w:rFonts w:ascii="Garamond" w:eastAsia="Times New Roman" w:hAnsi="Garamond" w:cs="Times New Roman"/>
                <w:color w:val="000000"/>
                <w:sz w:val="10"/>
                <w:szCs w:val="10"/>
                <w:lang w:eastAsia="sq-AL"/>
              </w:rPr>
              <w:t xml:space="preserve"> (në %)</w:t>
            </w:r>
            <w:r w:rsidR="00E80646"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7848B7B3" w14:textId="0626C92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Ministria e Turizmit, Kulturës dhe Sportit</w:t>
            </w:r>
            <w:r w:rsidR="00E80646" w:rsidRPr="004F2AC3">
              <w:rPr>
                <w:rFonts w:ascii="Garamond" w:eastAsia="Times New Roman" w:hAnsi="Garamond" w:cs="Times New Roman"/>
                <w:color w:val="000000"/>
                <w:sz w:val="10"/>
                <w:szCs w:val="10"/>
                <w:lang w:eastAsia="sq-AL"/>
              </w:rPr>
              <w:t>.</w:t>
            </w:r>
          </w:p>
        </w:tc>
        <w:tc>
          <w:tcPr>
            <w:tcW w:w="413" w:type="dxa"/>
            <w:tcBorders>
              <w:top w:val="nil"/>
              <w:left w:val="nil"/>
              <w:bottom w:val="nil"/>
              <w:right w:val="single" w:sz="4" w:space="0" w:color="auto"/>
            </w:tcBorders>
            <w:shd w:val="clear" w:color="auto" w:fill="auto"/>
            <w:vAlign w:val="center"/>
            <w:hideMark/>
          </w:tcPr>
          <w:p w14:paraId="18BC41DF" w14:textId="132C89A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0937B49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+ 149D</w:t>
            </w:r>
          </w:p>
        </w:tc>
        <w:tc>
          <w:tcPr>
            <w:tcW w:w="385" w:type="dxa"/>
            <w:tcBorders>
              <w:top w:val="nil"/>
              <w:left w:val="nil"/>
              <w:bottom w:val="nil"/>
              <w:right w:val="single" w:sz="4" w:space="0" w:color="auto"/>
            </w:tcBorders>
            <w:shd w:val="clear" w:color="auto" w:fill="auto"/>
            <w:vAlign w:val="center"/>
            <w:hideMark/>
          </w:tcPr>
          <w:p w14:paraId="391807F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+ 158D</w:t>
            </w:r>
          </w:p>
        </w:tc>
        <w:tc>
          <w:tcPr>
            <w:tcW w:w="361" w:type="dxa"/>
            <w:tcBorders>
              <w:top w:val="nil"/>
              <w:left w:val="nil"/>
              <w:bottom w:val="nil"/>
              <w:right w:val="single" w:sz="4" w:space="0" w:color="auto"/>
            </w:tcBorders>
            <w:shd w:val="clear" w:color="auto" w:fill="auto"/>
            <w:vAlign w:val="center"/>
            <w:hideMark/>
          </w:tcPr>
          <w:p w14:paraId="69F6FD1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+ 173D</w:t>
            </w:r>
          </w:p>
        </w:tc>
        <w:tc>
          <w:tcPr>
            <w:tcW w:w="732" w:type="dxa"/>
            <w:tcBorders>
              <w:top w:val="nil"/>
              <w:left w:val="nil"/>
              <w:bottom w:val="nil"/>
              <w:right w:val="single" w:sz="4" w:space="0" w:color="auto"/>
            </w:tcBorders>
            <w:shd w:val="clear" w:color="auto" w:fill="auto"/>
            <w:vAlign w:val="center"/>
            <w:hideMark/>
          </w:tcPr>
          <w:p w14:paraId="4357BA63" w14:textId="37962A2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7B55C4" w:rsidRPr="004F2AC3">
              <w:rPr>
                <w:rFonts w:ascii="Garamond" w:eastAsia="Times New Roman" w:hAnsi="Garamond" w:cs="Times New Roman"/>
                <w:color w:val="000000"/>
                <w:sz w:val="10"/>
                <w:szCs w:val="10"/>
                <w:lang w:eastAsia="sq-AL"/>
              </w:rPr>
              <w:t>V</w:t>
            </w:r>
            <w:r w:rsidRPr="004F2AC3">
              <w:rPr>
                <w:rFonts w:ascii="Garamond" w:eastAsia="Times New Roman" w:hAnsi="Garamond" w:cs="Times New Roman"/>
                <w:color w:val="000000"/>
                <w:sz w:val="10"/>
                <w:szCs w:val="10"/>
                <w:lang w:eastAsia="sq-AL"/>
              </w:rPr>
              <w:t>onesa e marrjes</w:t>
            </w:r>
            <w:r w:rsidR="007B55C4" w:rsidRPr="004F2AC3">
              <w:rPr>
                <w:rFonts w:ascii="Garamond" w:eastAsia="Times New Roman" w:hAnsi="Garamond" w:cs="Times New Roman"/>
                <w:color w:val="000000"/>
                <w:sz w:val="10"/>
                <w:szCs w:val="10"/>
                <w:lang w:eastAsia="sq-AL"/>
              </w:rPr>
              <w:t xml:space="preserve"> së të</w:t>
            </w:r>
            <w:r w:rsidRPr="004F2AC3">
              <w:rPr>
                <w:rFonts w:ascii="Garamond" w:eastAsia="Times New Roman" w:hAnsi="Garamond" w:cs="Times New Roman"/>
                <w:color w:val="000000"/>
                <w:sz w:val="10"/>
                <w:szCs w:val="10"/>
                <w:lang w:eastAsia="sq-AL"/>
              </w:rPr>
              <w:t xml:space="preserve"> </w:t>
            </w:r>
            <w:r w:rsidR="00D80B69" w:rsidRPr="004F2AC3">
              <w:rPr>
                <w:rFonts w:ascii="Garamond" w:eastAsia="Times New Roman" w:hAnsi="Garamond" w:cs="Times New Roman"/>
                <w:color w:val="000000"/>
                <w:sz w:val="10"/>
                <w:szCs w:val="10"/>
                <w:lang w:eastAsia="sq-AL"/>
              </w:rPr>
              <w:t>dhënave</w:t>
            </w:r>
            <w:r w:rsidRPr="004F2AC3">
              <w:rPr>
                <w:rFonts w:ascii="Garamond" w:eastAsia="Times New Roman" w:hAnsi="Garamond" w:cs="Times New Roman"/>
                <w:color w:val="000000"/>
                <w:sz w:val="10"/>
                <w:szCs w:val="10"/>
                <w:lang w:eastAsia="sq-AL"/>
              </w:rPr>
              <w:t xml:space="preserve"> nga burimet administrative -|- 6</w:t>
            </w:r>
          </w:p>
        </w:tc>
        <w:tc>
          <w:tcPr>
            <w:tcW w:w="551" w:type="dxa"/>
            <w:tcBorders>
              <w:top w:val="nil"/>
              <w:left w:val="nil"/>
              <w:bottom w:val="nil"/>
              <w:right w:val="single" w:sz="4" w:space="0" w:color="auto"/>
            </w:tcBorders>
            <w:shd w:val="clear" w:color="auto" w:fill="auto"/>
            <w:vAlign w:val="center"/>
            <w:hideMark/>
          </w:tcPr>
          <w:p w14:paraId="179644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25872BBF" w14:textId="77777777" w:rsidTr="0021321C">
        <w:trPr>
          <w:trHeight w:val="180"/>
          <w:jc w:val="center"/>
        </w:trPr>
        <w:tc>
          <w:tcPr>
            <w:tcW w:w="388" w:type="dxa"/>
            <w:tcBorders>
              <w:top w:val="nil"/>
              <w:left w:val="nil"/>
              <w:bottom w:val="nil"/>
              <w:right w:val="nil"/>
            </w:tcBorders>
            <w:shd w:val="clear" w:color="000000" w:fill="FFFFFF"/>
            <w:vAlign w:val="bottom"/>
            <w:hideMark/>
          </w:tcPr>
          <w:p w14:paraId="2315D93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83BFCD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505E7082" w14:textId="77777777" w:rsidR="0021321C" w:rsidRPr="004F2AC3" w:rsidRDefault="0021321C" w:rsidP="0021321C">
            <w:pPr>
              <w:spacing w:after="0" w:line="240" w:lineRule="auto"/>
              <w:jc w:val="right"/>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1.9</w:t>
            </w:r>
          </w:p>
        </w:tc>
        <w:tc>
          <w:tcPr>
            <w:tcW w:w="8341" w:type="dxa"/>
            <w:gridSpan w:val="18"/>
            <w:tcBorders>
              <w:top w:val="single" w:sz="4" w:space="0" w:color="auto"/>
              <w:left w:val="nil"/>
              <w:bottom w:val="single" w:sz="4" w:space="0" w:color="auto"/>
              <w:right w:val="single" w:sz="4" w:space="0" w:color="auto"/>
            </w:tcBorders>
            <w:shd w:val="clear" w:color="000000" w:fill="F2F2F2"/>
            <w:vAlign w:val="bottom"/>
            <w:hideMark/>
          </w:tcPr>
          <w:p w14:paraId="520F06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Përdorimi I kohës</w:t>
            </w:r>
          </w:p>
        </w:tc>
      </w:tr>
      <w:tr w:rsidR="0021321C" w:rsidRPr="004F2AC3" w14:paraId="53AE2777" w14:textId="77777777" w:rsidTr="0021321C">
        <w:trPr>
          <w:trHeight w:val="180"/>
          <w:jc w:val="center"/>
        </w:trPr>
        <w:tc>
          <w:tcPr>
            <w:tcW w:w="388" w:type="dxa"/>
            <w:tcBorders>
              <w:top w:val="nil"/>
              <w:left w:val="nil"/>
              <w:bottom w:val="nil"/>
              <w:right w:val="nil"/>
            </w:tcBorders>
            <w:shd w:val="clear" w:color="000000" w:fill="FFFFFF"/>
            <w:vAlign w:val="bottom"/>
            <w:hideMark/>
          </w:tcPr>
          <w:p w14:paraId="4DA6019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49821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B5579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920679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1B323A7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1.9.1</w:t>
            </w:r>
          </w:p>
        </w:tc>
        <w:tc>
          <w:tcPr>
            <w:tcW w:w="7813" w:type="dxa"/>
            <w:gridSpan w:val="16"/>
            <w:tcBorders>
              <w:top w:val="nil"/>
              <w:left w:val="single" w:sz="4" w:space="0" w:color="auto"/>
              <w:bottom w:val="single" w:sz="4" w:space="0" w:color="auto"/>
              <w:right w:val="single" w:sz="4" w:space="0" w:color="auto"/>
            </w:tcBorders>
            <w:shd w:val="clear" w:color="000000" w:fill="F0F0F0"/>
            <w:vAlign w:val="center"/>
            <w:hideMark/>
          </w:tcPr>
          <w:p w14:paraId="70FA76D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Përdorimi i kohës</w:t>
            </w:r>
          </w:p>
        </w:tc>
      </w:tr>
      <w:tr w:rsidR="00C73163" w:rsidRPr="004F2AC3" w14:paraId="3F7A95D8" w14:textId="77777777" w:rsidTr="0021321C">
        <w:trPr>
          <w:trHeight w:val="180"/>
          <w:jc w:val="center"/>
        </w:trPr>
        <w:tc>
          <w:tcPr>
            <w:tcW w:w="388" w:type="dxa"/>
            <w:tcBorders>
              <w:top w:val="nil"/>
              <w:left w:val="nil"/>
              <w:bottom w:val="nil"/>
              <w:right w:val="nil"/>
            </w:tcBorders>
            <w:shd w:val="clear" w:color="000000" w:fill="FFFFFF"/>
            <w:vAlign w:val="bottom"/>
            <w:hideMark/>
          </w:tcPr>
          <w:p w14:paraId="5B2CE8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4EA1CD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462219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3AEF5B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A1479B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E8E495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63A0124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1..9.1.1.</w:t>
            </w:r>
          </w:p>
        </w:tc>
        <w:tc>
          <w:tcPr>
            <w:tcW w:w="563" w:type="dxa"/>
            <w:tcBorders>
              <w:top w:val="nil"/>
              <w:left w:val="nil"/>
              <w:bottom w:val="single" w:sz="4" w:space="0" w:color="auto"/>
              <w:right w:val="single" w:sz="4" w:space="0" w:color="auto"/>
            </w:tcBorders>
            <w:shd w:val="clear" w:color="auto" w:fill="auto"/>
            <w:vAlign w:val="center"/>
            <w:hideMark/>
          </w:tcPr>
          <w:p w14:paraId="0EEA03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nga Anketa e Përdorimit të Kohës</w:t>
            </w:r>
          </w:p>
        </w:tc>
        <w:tc>
          <w:tcPr>
            <w:tcW w:w="446" w:type="dxa"/>
            <w:tcBorders>
              <w:top w:val="nil"/>
              <w:left w:val="nil"/>
              <w:bottom w:val="single" w:sz="4" w:space="0" w:color="auto"/>
              <w:right w:val="single" w:sz="4" w:space="0" w:color="auto"/>
            </w:tcBorders>
            <w:shd w:val="clear" w:color="auto" w:fill="auto"/>
            <w:vAlign w:val="center"/>
            <w:hideMark/>
          </w:tcPr>
          <w:p w14:paraId="42A3E9F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2554768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vAlign w:val="center"/>
            <w:hideMark/>
          </w:tcPr>
          <w:p w14:paraId="345447A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426" w:type="dxa"/>
            <w:tcBorders>
              <w:top w:val="nil"/>
              <w:left w:val="nil"/>
              <w:bottom w:val="nil"/>
              <w:right w:val="single" w:sz="4" w:space="0" w:color="auto"/>
            </w:tcBorders>
            <w:shd w:val="clear" w:color="auto" w:fill="auto"/>
            <w:vAlign w:val="center"/>
            <w:hideMark/>
          </w:tcPr>
          <w:p w14:paraId="204CA7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37C2ECA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Çdo 10 vite </w:t>
            </w:r>
          </w:p>
        </w:tc>
        <w:tc>
          <w:tcPr>
            <w:tcW w:w="1098" w:type="dxa"/>
            <w:tcBorders>
              <w:top w:val="nil"/>
              <w:left w:val="nil"/>
              <w:bottom w:val="single" w:sz="4" w:space="0" w:color="auto"/>
              <w:right w:val="single" w:sz="4" w:space="0" w:color="auto"/>
            </w:tcBorders>
            <w:shd w:val="clear" w:color="000000" w:fill="FFFFFF"/>
            <w:vAlign w:val="center"/>
            <w:hideMark/>
          </w:tcPr>
          <w:p w14:paraId="4BFDDF58" w14:textId="6649BF2C" w:rsidR="0021321C" w:rsidRPr="004F2AC3" w:rsidRDefault="00E80646" w:rsidP="00E80646">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21321C" w:rsidRPr="004F2AC3">
              <w:rPr>
                <w:rFonts w:ascii="Garamond" w:eastAsia="Times New Roman" w:hAnsi="Garamond" w:cs="Times New Roman"/>
                <w:color w:val="000000"/>
                <w:sz w:val="10"/>
                <w:szCs w:val="10"/>
                <w:lang w:eastAsia="sq-AL"/>
              </w:rPr>
              <w:t>Shkallët e pjesëmarrjes në aktivitetet kryesore sipas gjinisë dhe llojit të ditës</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2.</w:t>
            </w:r>
            <w:r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Koha mesatare e shpenzuar në aktivitetet kryesore sipas gjinisë dhe llojit të ditës</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3.</w:t>
            </w:r>
            <w:r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Koha e shpenzuar në aktivitetet kryesore sipas gjinisë dhe llojit të ditës</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4.</w:t>
            </w:r>
            <w:r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Koha e shpenzuar në aktivitetet kryesore, personat me partner dhe fëmijë</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5.</w:t>
            </w:r>
            <w:r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Koha e shpenzuar në aktivitetet kryesore sipas ciklit të jetës</w:t>
            </w:r>
            <w:r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656E058A" w14:textId="308BCDC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48D75F6A" w14:textId="617980C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09744F0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auto" w:fill="auto"/>
            <w:vAlign w:val="center"/>
            <w:hideMark/>
          </w:tcPr>
          <w:p w14:paraId="4E07CFF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auto" w:fill="auto"/>
            <w:vAlign w:val="center"/>
            <w:hideMark/>
          </w:tcPr>
          <w:p w14:paraId="1CC271E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6A987A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auto" w:fill="auto"/>
            <w:vAlign w:val="center"/>
            <w:hideMark/>
          </w:tcPr>
          <w:p w14:paraId="76A8A97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Buxhet+Donatorë</w:t>
            </w:r>
          </w:p>
        </w:tc>
      </w:tr>
      <w:tr w:rsidR="0021321C" w:rsidRPr="004F2AC3" w14:paraId="14A8B909" w14:textId="77777777" w:rsidTr="0021321C">
        <w:trPr>
          <w:trHeight w:val="180"/>
          <w:jc w:val="center"/>
        </w:trPr>
        <w:tc>
          <w:tcPr>
            <w:tcW w:w="388" w:type="dxa"/>
            <w:tcBorders>
              <w:top w:val="single" w:sz="4" w:space="0" w:color="000000"/>
              <w:left w:val="single" w:sz="4" w:space="0" w:color="000000"/>
              <w:bottom w:val="single" w:sz="4" w:space="0" w:color="000000"/>
              <w:right w:val="nil"/>
            </w:tcBorders>
            <w:shd w:val="clear" w:color="000000" w:fill="F0F0F0"/>
            <w:vAlign w:val="center"/>
            <w:hideMark/>
          </w:tcPr>
          <w:p w14:paraId="5CD3684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w:t>
            </w:r>
          </w:p>
        </w:tc>
        <w:tc>
          <w:tcPr>
            <w:tcW w:w="8962" w:type="dxa"/>
            <w:gridSpan w:val="20"/>
            <w:tcBorders>
              <w:top w:val="single" w:sz="4" w:space="0" w:color="auto"/>
              <w:left w:val="single" w:sz="4" w:space="0" w:color="auto"/>
              <w:bottom w:val="single" w:sz="4" w:space="0" w:color="auto"/>
              <w:right w:val="single" w:sz="4" w:space="0" w:color="auto"/>
            </w:tcBorders>
            <w:shd w:val="clear" w:color="000000" w:fill="F0F0F0"/>
            <w:vAlign w:val="center"/>
            <w:hideMark/>
          </w:tcPr>
          <w:p w14:paraId="3554E3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Ekonomike</w:t>
            </w:r>
          </w:p>
        </w:tc>
      </w:tr>
      <w:tr w:rsidR="0021321C" w:rsidRPr="004F2AC3" w14:paraId="2294FA82" w14:textId="77777777" w:rsidTr="0021321C">
        <w:trPr>
          <w:trHeight w:val="180"/>
          <w:jc w:val="center"/>
        </w:trPr>
        <w:tc>
          <w:tcPr>
            <w:tcW w:w="388" w:type="dxa"/>
            <w:tcBorders>
              <w:top w:val="nil"/>
              <w:left w:val="nil"/>
              <w:bottom w:val="nil"/>
              <w:right w:val="nil"/>
            </w:tcBorders>
            <w:shd w:val="clear" w:color="000000" w:fill="FFFFFF"/>
            <w:vAlign w:val="bottom"/>
            <w:hideMark/>
          </w:tcPr>
          <w:p w14:paraId="27CF5AB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8D742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single" w:sz="4" w:space="0" w:color="000000"/>
              <w:bottom w:val="single" w:sz="4" w:space="0" w:color="000000"/>
              <w:right w:val="nil"/>
            </w:tcBorders>
            <w:shd w:val="clear" w:color="000000" w:fill="F0F0F0"/>
            <w:vAlign w:val="center"/>
            <w:hideMark/>
          </w:tcPr>
          <w:p w14:paraId="5531EC6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77480FD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Makroekonomike</w:t>
            </w:r>
          </w:p>
        </w:tc>
      </w:tr>
      <w:tr w:rsidR="0021321C" w:rsidRPr="004F2AC3" w14:paraId="4B3897C2" w14:textId="77777777" w:rsidTr="0021321C">
        <w:trPr>
          <w:trHeight w:val="180"/>
          <w:jc w:val="center"/>
        </w:trPr>
        <w:tc>
          <w:tcPr>
            <w:tcW w:w="388" w:type="dxa"/>
            <w:tcBorders>
              <w:top w:val="nil"/>
              <w:left w:val="nil"/>
              <w:bottom w:val="nil"/>
              <w:right w:val="nil"/>
            </w:tcBorders>
            <w:shd w:val="clear" w:color="000000" w:fill="FFFFFF"/>
            <w:vAlign w:val="bottom"/>
            <w:hideMark/>
          </w:tcPr>
          <w:p w14:paraId="485B1E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AB4975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D1E727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41A30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7BB8D13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7C40563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sektoriale vjetore</w:t>
            </w:r>
          </w:p>
        </w:tc>
      </w:tr>
      <w:tr w:rsidR="00C73163" w:rsidRPr="004F2AC3" w14:paraId="70EB9D22" w14:textId="77777777" w:rsidTr="0021321C">
        <w:trPr>
          <w:trHeight w:val="180"/>
          <w:jc w:val="center"/>
        </w:trPr>
        <w:tc>
          <w:tcPr>
            <w:tcW w:w="388" w:type="dxa"/>
            <w:tcBorders>
              <w:top w:val="nil"/>
              <w:left w:val="nil"/>
              <w:bottom w:val="nil"/>
              <w:right w:val="nil"/>
            </w:tcBorders>
            <w:shd w:val="clear" w:color="000000" w:fill="FFFFFF"/>
            <w:vAlign w:val="bottom"/>
            <w:hideMark/>
          </w:tcPr>
          <w:p w14:paraId="5522B9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028D86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A03150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34A82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C6C757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7E2D49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7402324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2.1.1.1</w:t>
            </w:r>
          </w:p>
        </w:tc>
        <w:tc>
          <w:tcPr>
            <w:tcW w:w="563" w:type="dxa"/>
            <w:tcBorders>
              <w:top w:val="nil"/>
              <w:left w:val="nil"/>
              <w:bottom w:val="nil"/>
              <w:right w:val="single" w:sz="4" w:space="0" w:color="auto"/>
            </w:tcBorders>
            <w:shd w:val="clear" w:color="auto" w:fill="auto"/>
            <w:vAlign w:val="center"/>
            <w:hideMark/>
          </w:tcPr>
          <w:p w14:paraId="134F4840" w14:textId="52EF69D2" w:rsidR="0021321C" w:rsidRPr="004F2AC3" w:rsidRDefault="00D449AF"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jo</w:t>
            </w:r>
            <w:r w:rsidR="0021321C" w:rsidRPr="004F2AC3">
              <w:rPr>
                <w:rFonts w:ascii="Garamond" w:eastAsia="Times New Roman" w:hAnsi="Garamond" w:cs="Times New Roman"/>
                <w:color w:val="000000"/>
                <w:sz w:val="10"/>
                <w:szCs w:val="10"/>
                <w:lang w:eastAsia="sq-AL"/>
              </w:rPr>
              <w:t>financiare sipas sektorëve institucional</w:t>
            </w:r>
          </w:p>
        </w:tc>
        <w:tc>
          <w:tcPr>
            <w:tcW w:w="446" w:type="dxa"/>
            <w:tcBorders>
              <w:top w:val="nil"/>
              <w:left w:val="nil"/>
              <w:bottom w:val="nil"/>
              <w:right w:val="single" w:sz="4" w:space="0" w:color="auto"/>
            </w:tcBorders>
            <w:shd w:val="clear" w:color="auto" w:fill="auto"/>
            <w:vAlign w:val="center"/>
            <w:hideMark/>
          </w:tcPr>
          <w:p w14:paraId="6393884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nil"/>
              <w:right w:val="single" w:sz="4" w:space="0" w:color="auto"/>
            </w:tcBorders>
            <w:shd w:val="clear" w:color="auto" w:fill="auto"/>
            <w:vAlign w:val="center"/>
            <w:hideMark/>
          </w:tcPr>
          <w:p w14:paraId="2DE0F5F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55%</w:t>
            </w:r>
          </w:p>
        </w:tc>
        <w:tc>
          <w:tcPr>
            <w:tcW w:w="301" w:type="dxa"/>
            <w:tcBorders>
              <w:top w:val="nil"/>
              <w:left w:val="nil"/>
              <w:bottom w:val="nil"/>
              <w:right w:val="single" w:sz="4" w:space="0" w:color="auto"/>
            </w:tcBorders>
            <w:shd w:val="clear" w:color="auto" w:fill="auto"/>
            <w:vAlign w:val="center"/>
            <w:hideMark/>
          </w:tcPr>
          <w:p w14:paraId="2A4A136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45%</w:t>
            </w:r>
          </w:p>
        </w:tc>
        <w:tc>
          <w:tcPr>
            <w:tcW w:w="426" w:type="dxa"/>
            <w:tcBorders>
              <w:top w:val="nil"/>
              <w:left w:val="nil"/>
              <w:bottom w:val="nil"/>
              <w:right w:val="single" w:sz="4" w:space="0" w:color="auto"/>
            </w:tcBorders>
            <w:shd w:val="clear" w:color="auto" w:fill="auto"/>
            <w:vAlign w:val="center"/>
            <w:hideMark/>
          </w:tcPr>
          <w:p w14:paraId="76D803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581018D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nil"/>
              <w:right w:val="single" w:sz="4" w:space="0" w:color="000000"/>
            </w:tcBorders>
            <w:shd w:val="clear" w:color="auto" w:fill="auto"/>
            <w:vAlign w:val="center"/>
            <w:hideMark/>
          </w:tcPr>
          <w:p w14:paraId="7C950854" w14:textId="372889B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LLJF1: Llogaria e Prodhimit Sektori Jofinanciar</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LLJF1: Llogaria e Prodhimit Sektori Financiar</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LLJF1: Llogaria e Prodhimit Sektori i Qeverisë</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LLJF1: Llogaria e Prodhimit Sektori i Familjeve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LLJF1: Llogaria e Prodhimit Sektori i IJF në shërbim të Familjeve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LLJF1: Llogaria e Prodhimit Sektori i Ekonomisë Gjithsej</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LLJF2: Llogaria e Gjenerimit të t</w:t>
            </w:r>
            <w:r w:rsidR="005B3A9C" w:rsidRPr="004F2AC3">
              <w:rPr>
                <w:rFonts w:ascii="Garamond" w:eastAsia="Times New Roman" w:hAnsi="Garamond" w:cs="Times New Roman"/>
                <w:color w:val="000000"/>
                <w:sz w:val="10"/>
                <w:szCs w:val="10"/>
                <w:lang w:eastAsia="sq-AL"/>
              </w:rPr>
              <w:t>ë Ardhurave Sektori Jofinanciar</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LLJF2: Llogaria e Gjenerimit të</w:t>
            </w:r>
            <w:r w:rsidR="00E80646" w:rsidRPr="004F2AC3">
              <w:rPr>
                <w:rFonts w:ascii="Garamond" w:eastAsia="Times New Roman" w:hAnsi="Garamond" w:cs="Times New Roman"/>
                <w:color w:val="000000"/>
                <w:sz w:val="10"/>
                <w:szCs w:val="10"/>
                <w:lang w:eastAsia="sq-AL"/>
              </w:rPr>
              <w:t xml:space="preserve"> të Ardhurave Sektori Financiar;</w:t>
            </w:r>
            <w:r w:rsidRPr="004F2AC3">
              <w:rPr>
                <w:rFonts w:ascii="Garamond" w:eastAsia="Times New Roman" w:hAnsi="Garamond" w:cs="Times New Roman"/>
                <w:color w:val="000000"/>
                <w:sz w:val="10"/>
                <w:szCs w:val="10"/>
                <w:lang w:eastAsia="sq-AL"/>
              </w:rPr>
              <w:br/>
              <w:t>9. LLJF2: Llogaria e Gjenerimit të të Ardhurave Sektori i Qeverisë</w:t>
            </w:r>
            <w:r w:rsidRPr="004F2AC3">
              <w:rPr>
                <w:rFonts w:ascii="Garamond" w:eastAsia="Times New Roman" w:hAnsi="Garamond" w:cs="Times New Roman"/>
                <w:color w:val="000000"/>
                <w:sz w:val="10"/>
                <w:szCs w:val="10"/>
                <w:lang w:eastAsia="sq-AL"/>
              </w:rPr>
              <w:br/>
              <w:t>10. LLJF2: Llogaria e Gjenerimit të të Ardhurave Sektori i Familjeve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LLJF2: Llogaria e Gjenerimit të të Ardhurave Sektori i IJF në shërbim të Familjeve</w:t>
            </w:r>
            <w:r w:rsidR="00E8064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LLJF2: Llogaria e Gjenerimit të të Ardhurave Sektori i Ekonomisë Gjithsej</w:t>
            </w:r>
            <w:r w:rsidR="00E80646"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7C6D68C3" w14:textId="6620857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Banka e Shqipërisë</w:t>
            </w:r>
            <w:r w:rsidR="00E80646" w:rsidRPr="004F2AC3">
              <w:rPr>
                <w:rFonts w:ascii="Garamond" w:eastAsia="Times New Roman" w:hAnsi="Garamond" w:cs="Times New Roman"/>
                <w:color w:val="000000"/>
                <w:sz w:val="10"/>
                <w:szCs w:val="10"/>
                <w:lang w:eastAsia="sq-AL"/>
              </w:rPr>
              <w:t>.</w:t>
            </w:r>
          </w:p>
        </w:tc>
        <w:tc>
          <w:tcPr>
            <w:tcW w:w="413" w:type="dxa"/>
            <w:tcBorders>
              <w:top w:val="nil"/>
              <w:left w:val="nil"/>
              <w:bottom w:val="nil"/>
              <w:right w:val="single" w:sz="4" w:space="0" w:color="auto"/>
            </w:tcBorders>
            <w:shd w:val="clear" w:color="auto" w:fill="auto"/>
            <w:vAlign w:val="center"/>
            <w:hideMark/>
          </w:tcPr>
          <w:p w14:paraId="0C58F090" w14:textId="4C33CAF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E80646"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4B11713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+ 152D</w:t>
            </w:r>
          </w:p>
        </w:tc>
        <w:tc>
          <w:tcPr>
            <w:tcW w:w="385" w:type="dxa"/>
            <w:tcBorders>
              <w:top w:val="nil"/>
              <w:left w:val="nil"/>
              <w:bottom w:val="nil"/>
              <w:right w:val="single" w:sz="4" w:space="0" w:color="auto"/>
            </w:tcBorders>
            <w:shd w:val="clear" w:color="auto" w:fill="auto"/>
            <w:vAlign w:val="center"/>
            <w:hideMark/>
          </w:tcPr>
          <w:p w14:paraId="77305D6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+ 174D</w:t>
            </w:r>
          </w:p>
        </w:tc>
        <w:tc>
          <w:tcPr>
            <w:tcW w:w="361" w:type="dxa"/>
            <w:tcBorders>
              <w:top w:val="nil"/>
              <w:left w:val="nil"/>
              <w:bottom w:val="nil"/>
              <w:right w:val="single" w:sz="4" w:space="0" w:color="auto"/>
            </w:tcBorders>
            <w:shd w:val="clear" w:color="auto" w:fill="auto"/>
            <w:vAlign w:val="center"/>
            <w:hideMark/>
          </w:tcPr>
          <w:p w14:paraId="157D561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+ 178D</w:t>
            </w:r>
          </w:p>
        </w:tc>
        <w:tc>
          <w:tcPr>
            <w:tcW w:w="732" w:type="dxa"/>
            <w:tcBorders>
              <w:top w:val="nil"/>
              <w:left w:val="nil"/>
              <w:bottom w:val="nil"/>
              <w:right w:val="single" w:sz="4" w:space="0" w:color="auto"/>
            </w:tcBorders>
            <w:shd w:val="clear" w:color="auto" w:fill="auto"/>
            <w:vAlign w:val="center"/>
            <w:hideMark/>
          </w:tcPr>
          <w:p w14:paraId="045CD0C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Pezullimi/vonesa e mbledhjes, prodhimit dhe shpërndarjes të statistikave zyrtare si pasojë e Fatkeqësive natyrore/ Pandemi Globale -|- 6</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të dhënat administrative -|- 6</w:t>
            </w:r>
            <w:r w:rsidRPr="004F2AC3">
              <w:rPr>
                <w:rFonts w:ascii="Garamond" w:eastAsia="Times New Roman" w:hAnsi="Garamond" w:cs="Times New Roman"/>
                <w:color w:val="000000"/>
                <w:sz w:val="10"/>
                <w:szCs w:val="10"/>
                <w:lang w:eastAsia="sq-AL"/>
              </w:rPr>
              <w:br/>
              <w:t>3. Mospërmbushja e kritereve të cilësisë si: saktësia, përpikmëria dhe krahasueshmëria, për vrojtimet statistikore -|- 6</w:t>
            </w:r>
            <w:r w:rsidRPr="004F2AC3">
              <w:rPr>
                <w:rFonts w:ascii="Garamond" w:eastAsia="Times New Roman" w:hAnsi="Garamond" w:cs="Times New Roman"/>
                <w:color w:val="000000"/>
                <w:sz w:val="10"/>
                <w:szCs w:val="10"/>
                <w:lang w:eastAsia="sq-AL"/>
              </w:rPr>
              <w:br/>
              <w:t>4. Kohë e gjatë për kontrollet në nivel mikro -|- 6</w:t>
            </w:r>
            <w:r w:rsidRPr="004F2AC3">
              <w:rPr>
                <w:rFonts w:ascii="Garamond" w:eastAsia="Times New Roman" w:hAnsi="Garamond" w:cs="Times New Roman"/>
                <w:color w:val="000000"/>
                <w:sz w:val="10"/>
                <w:szCs w:val="10"/>
                <w:lang w:eastAsia="sq-AL"/>
              </w:rPr>
              <w:br/>
              <w:t>5. Pezullimi/vonesa e prodhimit dhe shpërndarjes të statistikave zyrtare si pasojë e largimit të stafit -|- 6</w:t>
            </w:r>
          </w:p>
        </w:tc>
        <w:tc>
          <w:tcPr>
            <w:tcW w:w="551" w:type="dxa"/>
            <w:tcBorders>
              <w:top w:val="nil"/>
              <w:left w:val="nil"/>
              <w:bottom w:val="nil"/>
              <w:right w:val="single" w:sz="4" w:space="0" w:color="auto"/>
            </w:tcBorders>
            <w:shd w:val="clear" w:color="auto" w:fill="auto"/>
            <w:vAlign w:val="center"/>
            <w:hideMark/>
          </w:tcPr>
          <w:p w14:paraId="77C23802" w14:textId="5E2E226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Kombinuar (Buxhet </w:t>
            </w:r>
            <w:r w:rsidR="006400E2" w:rsidRPr="004F2AC3">
              <w:rPr>
                <w:rFonts w:ascii="Garamond" w:eastAsia="Times New Roman" w:hAnsi="Garamond" w:cs="Times New Roman"/>
                <w:color w:val="000000"/>
                <w:sz w:val="10"/>
                <w:szCs w:val="10"/>
                <w:lang w:eastAsia="sq-AL"/>
              </w:rPr>
              <w:t>shteti+donatorët)</w:t>
            </w:r>
          </w:p>
        </w:tc>
      </w:tr>
      <w:tr w:rsidR="0021321C" w:rsidRPr="004F2AC3" w14:paraId="2F46E9FD" w14:textId="77777777" w:rsidTr="0021321C">
        <w:trPr>
          <w:trHeight w:val="180"/>
          <w:jc w:val="center"/>
        </w:trPr>
        <w:tc>
          <w:tcPr>
            <w:tcW w:w="388" w:type="dxa"/>
            <w:tcBorders>
              <w:top w:val="nil"/>
              <w:left w:val="nil"/>
              <w:bottom w:val="nil"/>
              <w:right w:val="nil"/>
            </w:tcBorders>
            <w:shd w:val="clear" w:color="000000" w:fill="FFFFFF"/>
            <w:vAlign w:val="bottom"/>
            <w:hideMark/>
          </w:tcPr>
          <w:p w14:paraId="19F81DA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E969D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31418E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50CF2B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1CC866A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F168DB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Kombëtare Tremujore dhe Vjetore, agregatët kryesorë</w:t>
            </w:r>
          </w:p>
        </w:tc>
      </w:tr>
      <w:tr w:rsidR="00C73163" w:rsidRPr="004F2AC3" w14:paraId="569BF02A" w14:textId="77777777" w:rsidTr="0021321C">
        <w:trPr>
          <w:trHeight w:val="180"/>
          <w:jc w:val="center"/>
        </w:trPr>
        <w:tc>
          <w:tcPr>
            <w:tcW w:w="388" w:type="dxa"/>
            <w:tcBorders>
              <w:top w:val="nil"/>
              <w:left w:val="nil"/>
              <w:bottom w:val="nil"/>
              <w:right w:val="nil"/>
            </w:tcBorders>
            <w:shd w:val="clear" w:color="000000" w:fill="FFFFFF"/>
            <w:vAlign w:val="bottom"/>
            <w:hideMark/>
          </w:tcPr>
          <w:p w14:paraId="4E8B603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3F6AE2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984641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700903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BAA2B6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A4F23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390EB16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2.1.2.1</w:t>
            </w:r>
          </w:p>
        </w:tc>
        <w:tc>
          <w:tcPr>
            <w:tcW w:w="563" w:type="dxa"/>
            <w:tcBorders>
              <w:top w:val="nil"/>
              <w:left w:val="nil"/>
              <w:bottom w:val="single" w:sz="4" w:space="0" w:color="auto"/>
              <w:right w:val="single" w:sz="4" w:space="0" w:color="auto"/>
            </w:tcBorders>
            <w:shd w:val="clear" w:color="auto" w:fill="auto"/>
            <w:vAlign w:val="center"/>
            <w:hideMark/>
          </w:tcPr>
          <w:p w14:paraId="03B803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kombëtare vjetore-Produkti i Brendshëm Bruto (PBB) me metodën e Prodhimit dhe Shpenzimeve</w:t>
            </w:r>
          </w:p>
        </w:tc>
        <w:tc>
          <w:tcPr>
            <w:tcW w:w="446" w:type="dxa"/>
            <w:tcBorders>
              <w:top w:val="nil"/>
              <w:left w:val="nil"/>
              <w:bottom w:val="single" w:sz="4" w:space="0" w:color="auto"/>
              <w:right w:val="single" w:sz="4" w:space="0" w:color="auto"/>
            </w:tcBorders>
            <w:shd w:val="clear" w:color="auto" w:fill="auto"/>
            <w:vAlign w:val="center"/>
            <w:hideMark/>
          </w:tcPr>
          <w:p w14:paraId="457B503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noWrap/>
            <w:vAlign w:val="center"/>
            <w:hideMark/>
          </w:tcPr>
          <w:p w14:paraId="26C16C3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55%</w:t>
            </w:r>
          </w:p>
        </w:tc>
        <w:tc>
          <w:tcPr>
            <w:tcW w:w="301" w:type="dxa"/>
            <w:tcBorders>
              <w:top w:val="nil"/>
              <w:left w:val="nil"/>
              <w:bottom w:val="single" w:sz="4" w:space="0" w:color="auto"/>
              <w:right w:val="single" w:sz="4" w:space="0" w:color="auto"/>
            </w:tcBorders>
            <w:shd w:val="clear" w:color="auto" w:fill="auto"/>
            <w:noWrap/>
            <w:vAlign w:val="center"/>
            <w:hideMark/>
          </w:tcPr>
          <w:p w14:paraId="6561DEE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45%</w:t>
            </w:r>
          </w:p>
        </w:tc>
        <w:tc>
          <w:tcPr>
            <w:tcW w:w="426" w:type="dxa"/>
            <w:tcBorders>
              <w:top w:val="nil"/>
              <w:left w:val="nil"/>
              <w:bottom w:val="nil"/>
              <w:right w:val="single" w:sz="4" w:space="0" w:color="auto"/>
            </w:tcBorders>
            <w:shd w:val="clear" w:color="auto" w:fill="auto"/>
            <w:vAlign w:val="center"/>
            <w:hideMark/>
          </w:tcPr>
          <w:p w14:paraId="76B080E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C4F1BD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auto" w:fill="auto"/>
            <w:vAlign w:val="center"/>
            <w:hideMark/>
          </w:tcPr>
          <w:p w14:paraId="31EB671D" w14:textId="0D63D2B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Prodhimi me çmime korrente dhe konstante sipas aktivitetit ekonomik</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Konsumi ndërmjetës me çmime korrente dhe konstante sipas aktivitetit ekonomik</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Vlera e shtuar bruto me çmime korrente dhe konstante sipas aktivitetit ekonomik</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Taksat mbi produktet me çmime korrente dhe konstante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Subvencionet mbi produktet me çmime korrente dhe konstante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Rritja reale e PBB-së</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Deflatorët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sipas aktivitetit ekonomik</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Inputet e punës sipas koncepteve të Llogarive Kombëtare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Shpenzime për konsum final të popullatës me çmime korrente dhe konstante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Shpenzime për konsum final të administratës publike me çmime korrente dhe konstante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Shpenzime për konsum final të institucioneve jofitimprurëse me çmime korrente dhe konstante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Formimi bruto i kapitalit fiks me çmime korrente dhe konstante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Eksportet e mallrave e shërbimeve me çmime korrente dhe konstante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Importet e mallrave e shërbimeve me çmime korrente dhe konstante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Ndryshimet e gjendjeve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Të Ardhurat Kombëtare Bruto</w:t>
            </w:r>
            <w:r w:rsidR="00DB4BE5"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379AB58F" w14:textId="77777777" w:rsidR="00DB4BE5"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Banka e Shqipërisë</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Drejtoria e Përgjithshme e Tatimeve</w:t>
            </w:r>
            <w:r w:rsidR="00DB4BE5" w:rsidRPr="004F2AC3">
              <w:rPr>
                <w:rFonts w:ascii="Garamond" w:eastAsia="Times New Roman" w:hAnsi="Garamond" w:cs="Times New Roman"/>
                <w:color w:val="000000"/>
                <w:sz w:val="10"/>
                <w:szCs w:val="10"/>
                <w:lang w:eastAsia="sq-AL"/>
              </w:rPr>
              <w:t>;</w:t>
            </w:r>
          </w:p>
          <w:p w14:paraId="2EDF87F2" w14:textId="38060C1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Autoriteti i Mbikëqyrjes Financiare</w:t>
            </w:r>
            <w:r w:rsidR="00DB4BE5"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506F2289" w14:textId="07FB776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528CB08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+ 47D</w:t>
            </w:r>
          </w:p>
        </w:tc>
        <w:tc>
          <w:tcPr>
            <w:tcW w:w="385" w:type="dxa"/>
            <w:tcBorders>
              <w:top w:val="nil"/>
              <w:left w:val="nil"/>
              <w:bottom w:val="single" w:sz="4" w:space="0" w:color="auto"/>
              <w:right w:val="single" w:sz="4" w:space="0" w:color="auto"/>
            </w:tcBorders>
            <w:shd w:val="clear" w:color="auto" w:fill="auto"/>
            <w:vAlign w:val="center"/>
            <w:hideMark/>
          </w:tcPr>
          <w:p w14:paraId="7A5CB47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+ 151D</w:t>
            </w:r>
          </w:p>
        </w:tc>
        <w:tc>
          <w:tcPr>
            <w:tcW w:w="361" w:type="dxa"/>
            <w:tcBorders>
              <w:top w:val="nil"/>
              <w:left w:val="nil"/>
              <w:bottom w:val="single" w:sz="4" w:space="0" w:color="auto"/>
              <w:right w:val="single" w:sz="4" w:space="0" w:color="auto"/>
            </w:tcBorders>
            <w:shd w:val="clear" w:color="auto" w:fill="auto"/>
            <w:vAlign w:val="center"/>
            <w:hideMark/>
          </w:tcPr>
          <w:p w14:paraId="5184CE8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+ 181D</w:t>
            </w:r>
          </w:p>
        </w:tc>
        <w:tc>
          <w:tcPr>
            <w:tcW w:w="732" w:type="dxa"/>
            <w:tcBorders>
              <w:top w:val="nil"/>
              <w:left w:val="nil"/>
              <w:bottom w:val="single" w:sz="4" w:space="0" w:color="auto"/>
              <w:right w:val="single" w:sz="4" w:space="0" w:color="auto"/>
            </w:tcBorders>
            <w:shd w:val="clear" w:color="auto" w:fill="auto"/>
            <w:vAlign w:val="center"/>
            <w:hideMark/>
          </w:tcPr>
          <w:p w14:paraId="6EF467B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 së të dhënave nga burimet administrative -|- 6</w:t>
            </w:r>
            <w:r w:rsidRPr="004F2AC3">
              <w:rPr>
                <w:rFonts w:ascii="Garamond" w:eastAsia="Times New Roman" w:hAnsi="Garamond" w:cs="Times New Roman"/>
                <w:color w:val="000000"/>
                <w:sz w:val="10"/>
                <w:szCs w:val="10"/>
                <w:lang w:eastAsia="sq-AL"/>
              </w:rPr>
              <w:br/>
              <w:t>2. Vonesa e marrjes së të dhënave nga burimet statistikore -|- 6</w:t>
            </w:r>
            <w:r w:rsidRPr="004F2AC3">
              <w:rPr>
                <w:rFonts w:ascii="Garamond" w:eastAsia="Times New Roman" w:hAnsi="Garamond" w:cs="Times New Roman"/>
                <w:color w:val="000000"/>
                <w:sz w:val="10"/>
                <w:szCs w:val="10"/>
                <w:lang w:eastAsia="sq-AL"/>
              </w:rPr>
              <w:br/>
              <w:t>Mungesa e cilësisë së të dhënave -|- 6</w:t>
            </w:r>
          </w:p>
        </w:tc>
        <w:tc>
          <w:tcPr>
            <w:tcW w:w="551" w:type="dxa"/>
            <w:tcBorders>
              <w:top w:val="nil"/>
              <w:left w:val="nil"/>
              <w:bottom w:val="single" w:sz="4" w:space="0" w:color="auto"/>
              <w:right w:val="single" w:sz="4" w:space="0" w:color="auto"/>
            </w:tcBorders>
            <w:shd w:val="clear" w:color="auto" w:fill="auto"/>
            <w:vAlign w:val="center"/>
            <w:hideMark/>
          </w:tcPr>
          <w:p w14:paraId="313B9A51" w14:textId="797F82A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Kombinuar (Buxhet </w:t>
            </w:r>
            <w:r w:rsidR="006400E2" w:rsidRPr="004F2AC3">
              <w:rPr>
                <w:rFonts w:ascii="Garamond" w:eastAsia="Times New Roman" w:hAnsi="Garamond" w:cs="Times New Roman"/>
                <w:color w:val="000000"/>
                <w:sz w:val="10"/>
                <w:szCs w:val="10"/>
                <w:lang w:eastAsia="sq-AL"/>
              </w:rPr>
              <w:t>shteti+donatorët)</w:t>
            </w:r>
          </w:p>
        </w:tc>
      </w:tr>
      <w:tr w:rsidR="00C73163" w:rsidRPr="004F2AC3" w14:paraId="4A0F8160" w14:textId="77777777" w:rsidTr="0021321C">
        <w:trPr>
          <w:trHeight w:val="180"/>
          <w:jc w:val="center"/>
        </w:trPr>
        <w:tc>
          <w:tcPr>
            <w:tcW w:w="388" w:type="dxa"/>
            <w:tcBorders>
              <w:top w:val="nil"/>
              <w:left w:val="nil"/>
              <w:bottom w:val="nil"/>
              <w:right w:val="nil"/>
            </w:tcBorders>
            <w:shd w:val="clear" w:color="000000" w:fill="FFFFFF"/>
            <w:vAlign w:val="bottom"/>
            <w:hideMark/>
          </w:tcPr>
          <w:p w14:paraId="375953D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8F193F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6C5CA5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CF119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87189D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6C1A7B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1E4CE51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2.1.2.2</w:t>
            </w:r>
          </w:p>
        </w:tc>
        <w:tc>
          <w:tcPr>
            <w:tcW w:w="563" w:type="dxa"/>
            <w:tcBorders>
              <w:top w:val="nil"/>
              <w:left w:val="nil"/>
              <w:bottom w:val="nil"/>
              <w:right w:val="single" w:sz="4" w:space="0" w:color="auto"/>
            </w:tcBorders>
            <w:shd w:val="clear" w:color="auto" w:fill="auto"/>
            <w:vAlign w:val="center"/>
            <w:hideMark/>
          </w:tcPr>
          <w:p w14:paraId="06FC63C5" w14:textId="4459F78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kombëtare tremujore-Produkti i Brendshëm Bruto (PBB)</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me metodën e prodhimit dhe shpenzimeve.</w:t>
            </w:r>
          </w:p>
        </w:tc>
        <w:tc>
          <w:tcPr>
            <w:tcW w:w="446" w:type="dxa"/>
            <w:tcBorders>
              <w:top w:val="nil"/>
              <w:left w:val="nil"/>
              <w:bottom w:val="nil"/>
              <w:right w:val="single" w:sz="4" w:space="0" w:color="auto"/>
            </w:tcBorders>
            <w:shd w:val="clear" w:color="auto" w:fill="auto"/>
            <w:vAlign w:val="center"/>
            <w:hideMark/>
          </w:tcPr>
          <w:p w14:paraId="1B8C1E9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nil"/>
              <w:right w:val="single" w:sz="4" w:space="0" w:color="auto"/>
            </w:tcBorders>
            <w:shd w:val="clear" w:color="auto" w:fill="auto"/>
            <w:noWrap/>
            <w:vAlign w:val="center"/>
            <w:hideMark/>
          </w:tcPr>
          <w:p w14:paraId="697E25C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70%</w:t>
            </w:r>
          </w:p>
        </w:tc>
        <w:tc>
          <w:tcPr>
            <w:tcW w:w="301" w:type="dxa"/>
            <w:tcBorders>
              <w:top w:val="nil"/>
              <w:left w:val="nil"/>
              <w:bottom w:val="nil"/>
              <w:right w:val="single" w:sz="4" w:space="0" w:color="auto"/>
            </w:tcBorders>
            <w:shd w:val="clear" w:color="auto" w:fill="auto"/>
            <w:noWrap/>
            <w:vAlign w:val="center"/>
            <w:hideMark/>
          </w:tcPr>
          <w:p w14:paraId="277D03F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30%</w:t>
            </w:r>
          </w:p>
        </w:tc>
        <w:tc>
          <w:tcPr>
            <w:tcW w:w="426" w:type="dxa"/>
            <w:tcBorders>
              <w:top w:val="single" w:sz="4" w:space="0" w:color="auto"/>
              <w:left w:val="nil"/>
              <w:bottom w:val="nil"/>
              <w:right w:val="single" w:sz="4" w:space="0" w:color="auto"/>
            </w:tcBorders>
            <w:shd w:val="clear" w:color="auto" w:fill="auto"/>
            <w:vAlign w:val="center"/>
            <w:hideMark/>
          </w:tcPr>
          <w:p w14:paraId="020EC49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0B97EFB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nil"/>
              <w:right w:val="single" w:sz="4" w:space="0" w:color="auto"/>
            </w:tcBorders>
            <w:shd w:val="clear" w:color="auto" w:fill="auto"/>
            <w:vAlign w:val="center"/>
            <w:hideMark/>
          </w:tcPr>
          <w:p w14:paraId="5ED39DFD" w14:textId="2B03D25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VSHB tremujor me metodën e prodhimit, CUP, PYP, CLV, SA, QY</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Taksat mbi produktet CUP, PYP, CLV, SA, QY</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Subvencionet mbi produktet CUP, PYP, CLV, SA, QY</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PBB tremujore me metodën e p</w:t>
            </w:r>
            <w:r w:rsidR="00DB4BE5" w:rsidRPr="004F2AC3">
              <w:rPr>
                <w:rFonts w:ascii="Garamond" w:eastAsia="Times New Roman" w:hAnsi="Garamond" w:cs="Times New Roman"/>
                <w:color w:val="000000"/>
                <w:sz w:val="10"/>
                <w:szCs w:val="10"/>
                <w:lang w:eastAsia="sq-AL"/>
              </w:rPr>
              <w:t>rodhimit, CUP, PYP, CLV, SA, QY;</w:t>
            </w:r>
            <w:r w:rsidRPr="004F2AC3">
              <w:rPr>
                <w:rFonts w:ascii="Garamond" w:eastAsia="Times New Roman" w:hAnsi="Garamond" w:cs="Times New Roman"/>
                <w:color w:val="000000"/>
                <w:sz w:val="10"/>
                <w:szCs w:val="10"/>
                <w:lang w:eastAsia="sq-AL"/>
              </w:rPr>
              <w:br/>
              <w:t>5. KFF tremujore CUP, PYP, CLV, SA, QY</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KF Qeveria CUP, PYP, CLV, SA, QY</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FBKF</w:t>
            </w:r>
            <w:r w:rsidR="00DB4BE5" w:rsidRPr="004F2AC3">
              <w:rPr>
                <w:rFonts w:ascii="Garamond" w:eastAsia="Times New Roman" w:hAnsi="Garamond" w:cs="Times New Roman"/>
                <w:color w:val="000000"/>
                <w:sz w:val="10"/>
                <w:szCs w:val="10"/>
                <w:lang w:eastAsia="sq-AL"/>
              </w:rPr>
              <w:t xml:space="preserve"> tremujor CUP, PYP, CLV, SA, QY;</w:t>
            </w:r>
            <w:r w:rsidRPr="004F2AC3">
              <w:rPr>
                <w:rFonts w:ascii="Garamond" w:eastAsia="Times New Roman" w:hAnsi="Garamond" w:cs="Times New Roman"/>
                <w:color w:val="000000"/>
                <w:sz w:val="10"/>
                <w:szCs w:val="10"/>
                <w:lang w:eastAsia="sq-AL"/>
              </w:rPr>
              <w:br/>
              <w:t>8. Eksportet total t</w:t>
            </w:r>
            <w:r w:rsidR="00DB4BE5" w:rsidRPr="004F2AC3">
              <w:rPr>
                <w:rFonts w:ascii="Garamond" w:eastAsia="Times New Roman" w:hAnsi="Garamond" w:cs="Times New Roman"/>
                <w:color w:val="000000"/>
                <w:sz w:val="10"/>
                <w:szCs w:val="10"/>
                <w:lang w:eastAsia="sq-AL"/>
              </w:rPr>
              <w:t>remujore, CUP, PYP, CLV, SA, QY;</w:t>
            </w:r>
            <w:r w:rsidRPr="004F2AC3">
              <w:rPr>
                <w:rFonts w:ascii="Garamond" w:eastAsia="Times New Roman" w:hAnsi="Garamond" w:cs="Times New Roman"/>
                <w:color w:val="000000"/>
                <w:sz w:val="10"/>
                <w:szCs w:val="10"/>
                <w:lang w:eastAsia="sq-AL"/>
              </w:rPr>
              <w:br/>
              <w:t>9. Importet total tremujore, CUP, PYP, C</w:t>
            </w:r>
            <w:r w:rsidR="00DB4BE5" w:rsidRPr="004F2AC3">
              <w:rPr>
                <w:rFonts w:ascii="Garamond" w:eastAsia="Times New Roman" w:hAnsi="Garamond" w:cs="Times New Roman"/>
                <w:color w:val="000000"/>
                <w:sz w:val="10"/>
                <w:szCs w:val="10"/>
                <w:lang w:eastAsia="sq-AL"/>
              </w:rPr>
              <w:t>LV, SA, QY;</w:t>
            </w:r>
            <w:r w:rsidRPr="004F2AC3">
              <w:rPr>
                <w:rFonts w:ascii="Garamond" w:eastAsia="Times New Roman" w:hAnsi="Garamond" w:cs="Times New Roman"/>
                <w:color w:val="000000"/>
                <w:sz w:val="10"/>
                <w:szCs w:val="10"/>
                <w:lang w:eastAsia="sq-AL"/>
              </w:rPr>
              <w:br/>
              <w:t>10.Rritja reale e PBB-së tremujore SA, QY</w:t>
            </w:r>
            <w:r w:rsidR="00DB4BE5"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461960CF" w14:textId="77777777" w:rsidR="003338A8"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Financave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Banka e Shqipërisë</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 Drejtoria e Përgjithshme e Tatimeve</w:t>
            </w:r>
            <w:r w:rsidR="00DB4BE5" w:rsidRPr="004F2AC3">
              <w:rPr>
                <w:rFonts w:ascii="Garamond" w:eastAsia="Times New Roman" w:hAnsi="Garamond" w:cs="Times New Roman"/>
                <w:color w:val="000000"/>
                <w:sz w:val="10"/>
                <w:szCs w:val="10"/>
                <w:lang w:eastAsia="sq-AL"/>
              </w:rPr>
              <w:t>;</w:t>
            </w:r>
          </w:p>
          <w:p w14:paraId="7760DC52" w14:textId="386642B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Autoriteti i Mbikëqyrjes Financiare</w:t>
            </w:r>
            <w:r w:rsidR="00DB4BE5" w:rsidRPr="004F2AC3">
              <w:rPr>
                <w:rFonts w:ascii="Garamond" w:eastAsia="Times New Roman" w:hAnsi="Garamond" w:cs="Times New Roman"/>
                <w:color w:val="000000"/>
                <w:sz w:val="10"/>
                <w:szCs w:val="10"/>
                <w:lang w:eastAsia="sq-AL"/>
              </w:rPr>
              <w:t>.</w:t>
            </w:r>
          </w:p>
        </w:tc>
        <w:tc>
          <w:tcPr>
            <w:tcW w:w="413" w:type="dxa"/>
            <w:tcBorders>
              <w:top w:val="nil"/>
              <w:left w:val="nil"/>
              <w:bottom w:val="nil"/>
              <w:right w:val="single" w:sz="4" w:space="0" w:color="auto"/>
            </w:tcBorders>
            <w:shd w:val="clear" w:color="auto" w:fill="auto"/>
            <w:vAlign w:val="center"/>
            <w:hideMark/>
          </w:tcPr>
          <w:p w14:paraId="59F13C82" w14:textId="6AD1A48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16AB37D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Dita 84 e T</w:t>
            </w:r>
          </w:p>
        </w:tc>
        <w:tc>
          <w:tcPr>
            <w:tcW w:w="385" w:type="dxa"/>
            <w:tcBorders>
              <w:top w:val="nil"/>
              <w:left w:val="nil"/>
              <w:bottom w:val="nil"/>
              <w:right w:val="single" w:sz="4" w:space="0" w:color="auto"/>
            </w:tcBorders>
            <w:shd w:val="clear" w:color="auto" w:fill="auto"/>
            <w:vAlign w:val="center"/>
            <w:hideMark/>
          </w:tcPr>
          <w:p w14:paraId="418A338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86 e T</w:t>
            </w:r>
          </w:p>
        </w:tc>
        <w:tc>
          <w:tcPr>
            <w:tcW w:w="361" w:type="dxa"/>
            <w:tcBorders>
              <w:top w:val="nil"/>
              <w:left w:val="nil"/>
              <w:bottom w:val="nil"/>
              <w:right w:val="single" w:sz="4" w:space="0" w:color="auto"/>
            </w:tcBorders>
            <w:shd w:val="clear" w:color="auto" w:fill="auto"/>
            <w:vAlign w:val="center"/>
            <w:hideMark/>
          </w:tcPr>
          <w:p w14:paraId="6DE7CEF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fundit e T</w:t>
            </w:r>
          </w:p>
        </w:tc>
        <w:tc>
          <w:tcPr>
            <w:tcW w:w="732" w:type="dxa"/>
            <w:tcBorders>
              <w:top w:val="nil"/>
              <w:left w:val="nil"/>
              <w:bottom w:val="nil"/>
              <w:right w:val="single" w:sz="4" w:space="0" w:color="auto"/>
            </w:tcBorders>
            <w:shd w:val="clear" w:color="auto" w:fill="auto"/>
            <w:vAlign w:val="center"/>
            <w:hideMark/>
          </w:tcPr>
          <w:p w14:paraId="70FC6692" w14:textId="5FF46FB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w:t>
            </w:r>
            <w:r w:rsidR="007B55C4" w:rsidRPr="004F2AC3">
              <w:rPr>
                <w:rFonts w:ascii="Garamond" w:eastAsia="Times New Roman" w:hAnsi="Garamond" w:cs="Times New Roman"/>
                <w:color w:val="000000"/>
                <w:sz w:val="10"/>
                <w:szCs w:val="10"/>
                <w:lang w:eastAsia="sq-AL"/>
              </w:rPr>
              <w:t xml:space="preserve"> së të</w:t>
            </w:r>
            <w:r w:rsidRPr="004F2AC3">
              <w:rPr>
                <w:rFonts w:ascii="Garamond" w:eastAsia="Times New Roman" w:hAnsi="Garamond" w:cs="Times New Roman"/>
                <w:color w:val="000000"/>
                <w:sz w:val="10"/>
                <w:szCs w:val="10"/>
                <w:lang w:eastAsia="sq-AL"/>
              </w:rPr>
              <w:t xml:space="preserve"> </w:t>
            </w:r>
            <w:r w:rsidR="00D80B69" w:rsidRPr="004F2AC3">
              <w:rPr>
                <w:rFonts w:ascii="Garamond" w:eastAsia="Times New Roman" w:hAnsi="Garamond" w:cs="Times New Roman"/>
                <w:color w:val="000000"/>
                <w:sz w:val="10"/>
                <w:szCs w:val="10"/>
                <w:lang w:eastAsia="sq-AL"/>
              </w:rPr>
              <w:t>dhënave</w:t>
            </w:r>
            <w:r w:rsidRPr="004F2AC3">
              <w:rPr>
                <w:rFonts w:ascii="Garamond" w:eastAsia="Times New Roman" w:hAnsi="Garamond" w:cs="Times New Roman"/>
                <w:color w:val="000000"/>
                <w:sz w:val="10"/>
                <w:szCs w:val="10"/>
                <w:lang w:eastAsia="sq-AL"/>
              </w:rPr>
              <w:t xml:space="preserve"> nga burimet administrative -|- 7</w:t>
            </w:r>
            <w:r w:rsidRPr="004F2AC3">
              <w:rPr>
                <w:rFonts w:ascii="Garamond" w:eastAsia="Times New Roman" w:hAnsi="Garamond" w:cs="Times New Roman"/>
                <w:color w:val="000000"/>
                <w:sz w:val="10"/>
                <w:szCs w:val="10"/>
                <w:lang w:eastAsia="sq-AL"/>
              </w:rPr>
              <w:br/>
              <w:t>2. Vonesa e m2. Vonesa e marrjes së të dhënave nga burimet statistikore</w:t>
            </w:r>
            <w:r w:rsidR="00D80B69" w:rsidRPr="004F2AC3">
              <w:rPr>
                <w:rFonts w:ascii="Garamond" w:eastAsia="Times New Roman" w:hAnsi="Garamond" w:cs="Times New Roman"/>
                <w:color w:val="000000"/>
                <w:sz w:val="10"/>
                <w:szCs w:val="10"/>
                <w:lang w:eastAsia="sq-AL"/>
              </w:rPr>
              <w:t xml:space="preserve"> të m</w:t>
            </w:r>
            <w:r w:rsidRPr="004F2AC3">
              <w:rPr>
                <w:rFonts w:ascii="Garamond" w:eastAsia="Times New Roman" w:hAnsi="Garamond" w:cs="Times New Roman"/>
                <w:color w:val="000000"/>
                <w:sz w:val="10"/>
                <w:szCs w:val="10"/>
                <w:lang w:eastAsia="sq-AL"/>
              </w:rPr>
              <w:t>arrjes</w:t>
            </w:r>
            <w:r w:rsidR="007B55C4" w:rsidRPr="004F2AC3">
              <w:rPr>
                <w:rFonts w:ascii="Garamond" w:eastAsia="Times New Roman" w:hAnsi="Garamond" w:cs="Times New Roman"/>
                <w:color w:val="000000"/>
                <w:sz w:val="10"/>
                <w:szCs w:val="10"/>
                <w:lang w:eastAsia="sq-AL"/>
              </w:rPr>
              <w:t xml:space="preserve"> së të</w:t>
            </w:r>
            <w:r w:rsidRPr="004F2AC3">
              <w:rPr>
                <w:rFonts w:ascii="Garamond" w:eastAsia="Times New Roman" w:hAnsi="Garamond" w:cs="Times New Roman"/>
                <w:color w:val="000000"/>
                <w:sz w:val="10"/>
                <w:szCs w:val="10"/>
                <w:lang w:eastAsia="sq-AL"/>
              </w:rPr>
              <w:t xml:space="preserve"> </w:t>
            </w:r>
            <w:r w:rsidR="00D80B69" w:rsidRPr="004F2AC3">
              <w:rPr>
                <w:rFonts w:ascii="Garamond" w:eastAsia="Times New Roman" w:hAnsi="Garamond" w:cs="Times New Roman"/>
                <w:color w:val="000000"/>
                <w:sz w:val="10"/>
                <w:szCs w:val="10"/>
                <w:lang w:eastAsia="sq-AL"/>
              </w:rPr>
              <w:t>dhënave</w:t>
            </w:r>
            <w:r w:rsidRPr="004F2AC3">
              <w:rPr>
                <w:rFonts w:ascii="Garamond" w:eastAsia="Times New Roman" w:hAnsi="Garamond" w:cs="Times New Roman"/>
                <w:color w:val="000000"/>
                <w:sz w:val="10"/>
                <w:szCs w:val="10"/>
                <w:lang w:eastAsia="sq-AL"/>
              </w:rPr>
              <w:t xml:space="preserve"> nga burimet administrative -|- 5</w:t>
            </w:r>
            <w:r w:rsidRPr="004F2AC3">
              <w:rPr>
                <w:rFonts w:ascii="Garamond" w:eastAsia="Times New Roman" w:hAnsi="Garamond" w:cs="Times New Roman"/>
                <w:color w:val="000000"/>
                <w:sz w:val="10"/>
                <w:szCs w:val="10"/>
                <w:lang w:eastAsia="sq-AL"/>
              </w:rPr>
              <w:br/>
              <w:t>3. Cilësia e dobët e të dhënave -|- 5</w:t>
            </w:r>
            <w:r w:rsidRPr="004F2AC3">
              <w:rPr>
                <w:rFonts w:ascii="Garamond" w:eastAsia="Times New Roman" w:hAnsi="Garamond" w:cs="Times New Roman"/>
                <w:color w:val="000000"/>
                <w:sz w:val="10"/>
                <w:szCs w:val="10"/>
                <w:lang w:eastAsia="sq-AL"/>
              </w:rPr>
              <w:br/>
              <w:t>4.</w:t>
            </w:r>
            <w:r w:rsidR="00DB4BE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Gabime të bëra nga stafi ekspert gjatë përpunimit të të dhënave -|- 4</w:t>
            </w:r>
            <w:r w:rsidRPr="004F2AC3">
              <w:rPr>
                <w:rFonts w:ascii="Garamond" w:eastAsia="Times New Roman" w:hAnsi="Garamond" w:cs="Times New Roman"/>
                <w:color w:val="000000"/>
                <w:sz w:val="10"/>
                <w:szCs w:val="10"/>
                <w:lang w:eastAsia="sq-AL"/>
              </w:rPr>
              <w:br/>
              <w:t>5.</w:t>
            </w:r>
            <w:r w:rsidR="00DB4BE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Pezullimi/vonesa e prodhimit dhe shpërndarjes të statistikave zyrtare si pasojë e largimit të stafit -|- 6</w:t>
            </w:r>
          </w:p>
        </w:tc>
        <w:tc>
          <w:tcPr>
            <w:tcW w:w="551" w:type="dxa"/>
            <w:tcBorders>
              <w:top w:val="nil"/>
              <w:left w:val="nil"/>
              <w:bottom w:val="nil"/>
              <w:right w:val="single" w:sz="4" w:space="0" w:color="auto"/>
            </w:tcBorders>
            <w:shd w:val="clear" w:color="auto" w:fill="auto"/>
            <w:vAlign w:val="center"/>
            <w:hideMark/>
          </w:tcPr>
          <w:p w14:paraId="1DF7E4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1FAA4B63" w14:textId="77777777" w:rsidTr="0021321C">
        <w:trPr>
          <w:trHeight w:val="180"/>
          <w:jc w:val="center"/>
        </w:trPr>
        <w:tc>
          <w:tcPr>
            <w:tcW w:w="388" w:type="dxa"/>
            <w:tcBorders>
              <w:top w:val="nil"/>
              <w:left w:val="nil"/>
              <w:bottom w:val="nil"/>
              <w:right w:val="nil"/>
            </w:tcBorders>
            <w:shd w:val="clear" w:color="000000" w:fill="FFFFFF"/>
            <w:vAlign w:val="bottom"/>
            <w:hideMark/>
          </w:tcPr>
          <w:p w14:paraId="4FE321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791E55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3171A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86E39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37AEF29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2.1.3</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D9D1E9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Tabelat burime, përdorime dhe tabelat input-output</w:t>
            </w:r>
          </w:p>
        </w:tc>
      </w:tr>
      <w:tr w:rsidR="00C73163" w:rsidRPr="004F2AC3" w14:paraId="1468C96E" w14:textId="77777777" w:rsidTr="0021321C">
        <w:trPr>
          <w:trHeight w:val="180"/>
          <w:jc w:val="center"/>
        </w:trPr>
        <w:tc>
          <w:tcPr>
            <w:tcW w:w="388" w:type="dxa"/>
            <w:tcBorders>
              <w:top w:val="nil"/>
              <w:left w:val="nil"/>
              <w:bottom w:val="nil"/>
              <w:right w:val="nil"/>
            </w:tcBorders>
            <w:shd w:val="clear" w:color="000000" w:fill="FFFFFF"/>
            <w:vAlign w:val="bottom"/>
            <w:hideMark/>
          </w:tcPr>
          <w:p w14:paraId="631ADCF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89C054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483B0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B1C45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69DED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39C1DF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0737159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2.1.3.1</w:t>
            </w:r>
          </w:p>
        </w:tc>
        <w:tc>
          <w:tcPr>
            <w:tcW w:w="563" w:type="dxa"/>
            <w:tcBorders>
              <w:top w:val="nil"/>
              <w:left w:val="nil"/>
              <w:bottom w:val="single" w:sz="4" w:space="0" w:color="auto"/>
              <w:right w:val="single" w:sz="4" w:space="0" w:color="auto"/>
            </w:tcBorders>
            <w:shd w:val="clear" w:color="000000" w:fill="FFFFFF"/>
            <w:vAlign w:val="center"/>
            <w:hideMark/>
          </w:tcPr>
          <w:p w14:paraId="6744929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Tabelat Burim - Përdorime </w:t>
            </w:r>
          </w:p>
        </w:tc>
        <w:tc>
          <w:tcPr>
            <w:tcW w:w="446" w:type="dxa"/>
            <w:tcBorders>
              <w:top w:val="nil"/>
              <w:left w:val="nil"/>
              <w:bottom w:val="single" w:sz="4" w:space="0" w:color="auto"/>
              <w:right w:val="single" w:sz="4" w:space="0" w:color="auto"/>
            </w:tcBorders>
            <w:shd w:val="clear" w:color="auto" w:fill="auto"/>
            <w:vAlign w:val="center"/>
            <w:hideMark/>
          </w:tcPr>
          <w:p w14:paraId="4CB920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noWrap/>
            <w:vAlign w:val="center"/>
            <w:hideMark/>
          </w:tcPr>
          <w:p w14:paraId="7511261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60%</w:t>
            </w:r>
          </w:p>
        </w:tc>
        <w:tc>
          <w:tcPr>
            <w:tcW w:w="301" w:type="dxa"/>
            <w:tcBorders>
              <w:top w:val="nil"/>
              <w:left w:val="nil"/>
              <w:bottom w:val="single" w:sz="4" w:space="0" w:color="auto"/>
              <w:right w:val="single" w:sz="4" w:space="0" w:color="auto"/>
            </w:tcBorders>
            <w:shd w:val="clear" w:color="auto" w:fill="auto"/>
            <w:noWrap/>
            <w:vAlign w:val="center"/>
            <w:hideMark/>
          </w:tcPr>
          <w:p w14:paraId="2DF007D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40%</w:t>
            </w:r>
          </w:p>
        </w:tc>
        <w:tc>
          <w:tcPr>
            <w:tcW w:w="426" w:type="dxa"/>
            <w:tcBorders>
              <w:top w:val="nil"/>
              <w:left w:val="nil"/>
              <w:bottom w:val="nil"/>
              <w:right w:val="single" w:sz="4" w:space="0" w:color="auto"/>
            </w:tcBorders>
            <w:shd w:val="clear" w:color="auto" w:fill="auto"/>
            <w:vAlign w:val="center"/>
            <w:hideMark/>
          </w:tcPr>
          <w:p w14:paraId="6C6AA7B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52AFF52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auto" w:fill="auto"/>
            <w:vAlign w:val="center"/>
            <w:hideMark/>
          </w:tcPr>
          <w:p w14:paraId="435DFBCB" w14:textId="38DFB68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Prodhimi me çmime bazë sipas aktivitetit dhe </w:t>
            </w:r>
            <w:r w:rsidR="00DB4BE5" w:rsidRPr="004F2AC3">
              <w:rPr>
                <w:rFonts w:ascii="Garamond" w:eastAsia="Times New Roman" w:hAnsi="Garamond" w:cs="Times New Roman"/>
                <w:color w:val="000000"/>
                <w:sz w:val="10"/>
                <w:szCs w:val="10"/>
                <w:lang w:eastAsia="sq-AL"/>
              </w:rPr>
              <w:t>produkteve;</w:t>
            </w:r>
            <w:r w:rsidR="00DB4BE5" w:rsidRPr="004F2AC3">
              <w:rPr>
                <w:rFonts w:ascii="Garamond" w:eastAsia="Times New Roman" w:hAnsi="Garamond" w:cs="Times New Roman"/>
                <w:color w:val="000000"/>
                <w:sz w:val="10"/>
                <w:szCs w:val="10"/>
                <w:lang w:eastAsia="sq-AL"/>
              </w:rPr>
              <w:br/>
              <w:t>2. Importi (cif/fob);</w:t>
            </w:r>
            <w:r w:rsidRPr="004F2AC3">
              <w:rPr>
                <w:rFonts w:ascii="Garamond" w:eastAsia="Times New Roman" w:hAnsi="Garamond" w:cs="Times New Roman"/>
                <w:color w:val="000000"/>
                <w:sz w:val="10"/>
                <w:szCs w:val="10"/>
                <w:lang w:eastAsia="sq-AL"/>
              </w:rPr>
              <w:br/>
              <w:t>3. Burime gjith</w:t>
            </w:r>
            <w:r w:rsidR="00DB4BE5" w:rsidRPr="004F2AC3">
              <w:rPr>
                <w:rFonts w:ascii="Garamond" w:eastAsia="Times New Roman" w:hAnsi="Garamond" w:cs="Times New Roman"/>
                <w:color w:val="000000"/>
                <w:sz w:val="10"/>
                <w:szCs w:val="10"/>
                <w:lang w:eastAsia="sq-AL"/>
              </w:rPr>
              <w:t>sej me çmime bazë;</w:t>
            </w:r>
            <w:r w:rsidRPr="004F2AC3">
              <w:rPr>
                <w:rFonts w:ascii="Garamond" w:eastAsia="Times New Roman" w:hAnsi="Garamond" w:cs="Times New Roman"/>
                <w:color w:val="000000"/>
                <w:sz w:val="10"/>
                <w:szCs w:val="10"/>
                <w:lang w:eastAsia="sq-AL"/>
              </w:rPr>
              <w:br/>
              <w:t>4. Taksa</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5. Marzh tregtar dhe transport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Burime gjithsej me çmime tregu</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Konsum ndërmjetës</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Konsumi final i popullatës</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Konsumi final i qeverisë dhe OJF-ve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Shpenzimet e konsumit final</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Formimi bruto i kapitalit fiks</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Ndryshim gjendje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Formimi bruto i kapitalit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Eksportet (FOB)</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Përdorimet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me çmime tregu</w:t>
            </w:r>
            <w:r w:rsidRPr="004F2AC3">
              <w:rPr>
                <w:rFonts w:ascii="Garamond" w:eastAsia="Times New Roman" w:hAnsi="Garamond" w:cs="Times New Roman"/>
                <w:color w:val="000000"/>
                <w:sz w:val="10"/>
                <w:szCs w:val="10"/>
                <w:lang w:eastAsia="sq-AL"/>
              </w:rPr>
              <w:br/>
              <w:t>16. Përdorimet gjithsej me çmime tregu</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17. Kompensimi i punonjësve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18. Taksat neto mbi prodhimin</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19. Amortizimi I kapitali fiks</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Surplusi operativ neto</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21. Vlera e Shtuar Bruto me çmime bazë</w:t>
            </w:r>
            <w:r w:rsidR="00DB4BE5"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07916DEC" w14:textId="04B0092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71329BAC" w14:textId="0E76AB3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3D8B046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121 e V</w:t>
            </w:r>
          </w:p>
        </w:tc>
        <w:tc>
          <w:tcPr>
            <w:tcW w:w="385" w:type="dxa"/>
            <w:tcBorders>
              <w:top w:val="nil"/>
              <w:left w:val="nil"/>
              <w:bottom w:val="single" w:sz="4" w:space="0" w:color="auto"/>
              <w:right w:val="single" w:sz="4" w:space="0" w:color="auto"/>
            </w:tcBorders>
            <w:shd w:val="clear" w:color="auto" w:fill="auto"/>
            <w:vAlign w:val="center"/>
            <w:hideMark/>
          </w:tcPr>
          <w:p w14:paraId="1933D07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168 e V</w:t>
            </w:r>
          </w:p>
        </w:tc>
        <w:tc>
          <w:tcPr>
            <w:tcW w:w="361" w:type="dxa"/>
            <w:tcBorders>
              <w:top w:val="nil"/>
              <w:left w:val="nil"/>
              <w:bottom w:val="single" w:sz="4" w:space="0" w:color="auto"/>
              <w:right w:val="single" w:sz="4" w:space="0" w:color="auto"/>
            </w:tcBorders>
            <w:shd w:val="clear" w:color="auto" w:fill="auto"/>
            <w:vAlign w:val="center"/>
            <w:hideMark/>
          </w:tcPr>
          <w:p w14:paraId="73D1F75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176 e V</w:t>
            </w:r>
          </w:p>
        </w:tc>
        <w:tc>
          <w:tcPr>
            <w:tcW w:w="732" w:type="dxa"/>
            <w:tcBorders>
              <w:top w:val="nil"/>
              <w:left w:val="nil"/>
              <w:bottom w:val="single" w:sz="4" w:space="0" w:color="auto"/>
              <w:right w:val="single" w:sz="4" w:space="0" w:color="auto"/>
            </w:tcBorders>
            <w:shd w:val="clear" w:color="auto" w:fill="auto"/>
            <w:vAlign w:val="center"/>
            <w:hideMark/>
          </w:tcPr>
          <w:p w14:paraId="5909C9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Ndryshimi i bazës ligjore mbi të cilin mbështetet funksionimi i burimit administrativ me impakt në përpilimin e informacionit statistikor dhe vënia në zbatim në mënyrë të menjëhershme nga ana e institucioneve objekt i legjislacionit, -|- 5</w:t>
            </w:r>
            <w:r w:rsidRPr="004F2AC3">
              <w:rPr>
                <w:rFonts w:ascii="Garamond" w:eastAsia="Times New Roman" w:hAnsi="Garamond" w:cs="Times New Roman"/>
                <w:color w:val="000000"/>
                <w:sz w:val="10"/>
                <w:szCs w:val="10"/>
                <w:lang w:eastAsia="sq-AL"/>
              </w:rPr>
              <w:br/>
              <w:t>2. Vonesa në marrjen e të dhënave të nevojshme për vlerësimin e komponentëve kryesorë nga njësitë brenda INSTAT duke sjellë si pasojë mospublikimin në kohë të Tabelave Burim-Përdorime dhe Input – Output -|- 5</w:t>
            </w:r>
            <w:r w:rsidRPr="004F2AC3">
              <w:rPr>
                <w:rFonts w:ascii="Garamond" w:eastAsia="Times New Roman" w:hAnsi="Garamond" w:cs="Times New Roman"/>
                <w:color w:val="000000"/>
                <w:sz w:val="10"/>
                <w:szCs w:val="10"/>
                <w:lang w:eastAsia="sq-AL"/>
              </w:rPr>
              <w:br/>
              <w:t>3. Risku i brendshëm i kohëzgjatjes së procesit të kontrollit në nivel mikro nga ana e specialistëve me pasojë vonesën në procesin e analizimit dhe kontrollit të cilësisë së treguesve Tabelave Burim-Përdorime dhe Input -|- 5</w:t>
            </w:r>
            <w:r w:rsidRPr="004F2AC3">
              <w:rPr>
                <w:rFonts w:ascii="Garamond" w:eastAsia="Times New Roman" w:hAnsi="Garamond" w:cs="Times New Roman"/>
                <w:color w:val="000000"/>
                <w:sz w:val="10"/>
                <w:szCs w:val="10"/>
                <w:lang w:eastAsia="sq-AL"/>
              </w:rPr>
              <w:br/>
              <w:t>4. Risku i brendshëm i largimit të stafit me eksperiencë pune me pasojë mospublikimin në kohë të Tabelave Burim-Përdorime dhe Input – Output -|- 5</w:t>
            </w:r>
            <w:r w:rsidRPr="004F2AC3">
              <w:rPr>
                <w:rFonts w:ascii="Garamond" w:eastAsia="Times New Roman" w:hAnsi="Garamond" w:cs="Times New Roman"/>
                <w:color w:val="000000"/>
                <w:sz w:val="10"/>
                <w:szCs w:val="10"/>
                <w:lang w:eastAsia="sq-AL"/>
              </w:rPr>
              <w:br/>
              <w:t>5. Mungesa e trajnimeve të stafit të sektorit në fushat relevante, çka sjell një ambient pune jo motivues dhe rënie të kapaciteteve të stafit -|- 5</w:t>
            </w:r>
          </w:p>
        </w:tc>
        <w:tc>
          <w:tcPr>
            <w:tcW w:w="551" w:type="dxa"/>
            <w:tcBorders>
              <w:top w:val="nil"/>
              <w:left w:val="nil"/>
              <w:bottom w:val="single" w:sz="4" w:space="0" w:color="auto"/>
              <w:right w:val="single" w:sz="4" w:space="0" w:color="auto"/>
            </w:tcBorders>
            <w:shd w:val="clear" w:color="auto" w:fill="auto"/>
            <w:vAlign w:val="center"/>
            <w:hideMark/>
          </w:tcPr>
          <w:p w14:paraId="67787D3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5E2B6331" w14:textId="77777777" w:rsidTr="0021321C">
        <w:trPr>
          <w:trHeight w:val="180"/>
          <w:jc w:val="center"/>
        </w:trPr>
        <w:tc>
          <w:tcPr>
            <w:tcW w:w="388" w:type="dxa"/>
            <w:tcBorders>
              <w:top w:val="nil"/>
              <w:left w:val="nil"/>
              <w:bottom w:val="nil"/>
              <w:right w:val="nil"/>
            </w:tcBorders>
            <w:shd w:val="clear" w:color="000000" w:fill="FFFFFF"/>
            <w:vAlign w:val="bottom"/>
            <w:hideMark/>
          </w:tcPr>
          <w:p w14:paraId="13042CA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2318BD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1CD64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F892C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C84AFC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95792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6F99174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2.1.3.2</w:t>
            </w:r>
          </w:p>
        </w:tc>
        <w:tc>
          <w:tcPr>
            <w:tcW w:w="563" w:type="dxa"/>
            <w:tcBorders>
              <w:top w:val="nil"/>
              <w:left w:val="nil"/>
              <w:bottom w:val="nil"/>
              <w:right w:val="single" w:sz="4" w:space="0" w:color="auto"/>
            </w:tcBorders>
            <w:shd w:val="clear" w:color="000000" w:fill="FFFFFF"/>
            <w:vAlign w:val="center"/>
            <w:hideMark/>
          </w:tcPr>
          <w:p w14:paraId="5F1E8A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Tabelat Input-Output</w:t>
            </w:r>
          </w:p>
        </w:tc>
        <w:tc>
          <w:tcPr>
            <w:tcW w:w="446" w:type="dxa"/>
            <w:tcBorders>
              <w:top w:val="nil"/>
              <w:left w:val="nil"/>
              <w:bottom w:val="nil"/>
              <w:right w:val="single" w:sz="4" w:space="0" w:color="auto"/>
            </w:tcBorders>
            <w:shd w:val="clear" w:color="auto" w:fill="auto"/>
            <w:vAlign w:val="center"/>
            <w:hideMark/>
          </w:tcPr>
          <w:p w14:paraId="31ADB7D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nil"/>
              <w:right w:val="single" w:sz="4" w:space="0" w:color="auto"/>
            </w:tcBorders>
            <w:shd w:val="clear" w:color="auto" w:fill="auto"/>
            <w:noWrap/>
            <w:vAlign w:val="center"/>
            <w:hideMark/>
          </w:tcPr>
          <w:p w14:paraId="7071BE1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60%</w:t>
            </w:r>
          </w:p>
        </w:tc>
        <w:tc>
          <w:tcPr>
            <w:tcW w:w="301" w:type="dxa"/>
            <w:tcBorders>
              <w:top w:val="nil"/>
              <w:left w:val="nil"/>
              <w:bottom w:val="nil"/>
              <w:right w:val="single" w:sz="4" w:space="0" w:color="auto"/>
            </w:tcBorders>
            <w:shd w:val="clear" w:color="auto" w:fill="auto"/>
            <w:noWrap/>
            <w:vAlign w:val="center"/>
            <w:hideMark/>
          </w:tcPr>
          <w:p w14:paraId="569576A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40%</w:t>
            </w:r>
          </w:p>
        </w:tc>
        <w:tc>
          <w:tcPr>
            <w:tcW w:w="426" w:type="dxa"/>
            <w:tcBorders>
              <w:top w:val="single" w:sz="4" w:space="0" w:color="auto"/>
              <w:left w:val="nil"/>
              <w:bottom w:val="nil"/>
              <w:right w:val="single" w:sz="4" w:space="0" w:color="auto"/>
            </w:tcBorders>
            <w:shd w:val="clear" w:color="auto" w:fill="auto"/>
            <w:vAlign w:val="center"/>
            <w:hideMark/>
          </w:tcPr>
          <w:p w14:paraId="3EF5D4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77F2EC5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14:paraId="3D625E5D" w14:textId="2CEEC69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Tabela Input-Output me çmime bazë (produkt/produkt)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Tabela Input-Output me çmime bazë për prodhimin vendas(produkt/produkt)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3.Tabela Input-Output me çmime bazë për Importet (produkt/produkt)</w:t>
            </w:r>
            <w:r w:rsidR="00DB4BE5"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01CAE0A5" w14:textId="6B097FC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13" w:type="dxa"/>
            <w:tcBorders>
              <w:top w:val="nil"/>
              <w:left w:val="nil"/>
              <w:bottom w:val="nil"/>
              <w:right w:val="single" w:sz="4" w:space="0" w:color="auto"/>
            </w:tcBorders>
            <w:shd w:val="clear" w:color="auto" w:fill="auto"/>
            <w:vAlign w:val="center"/>
            <w:hideMark/>
          </w:tcPr>
          <w:p w14:paraId="5F18B8A9" w14:textId="68173A4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5271175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121 e V</w:t>
            </w:r>
          </w:p>
        </w:tc>
        <w:tc>
          <w:tcPr>
            <w:tcW w:w="385" w:type="dxa"/>
            <w:tcBorders>
              <w:top w:val="nil"/>
              <w:left w:val="nil"/>
              <w:bottom w:val="nil"/>
              <w:right w:val="single" w:sz="4" w:space="0" w:color="auto"/>
            </w:tcBorders>
            <w:shd w:val="clear" w:color="auto" w:fill="auto"/>
            <w:vAlign w:val="center"/>
            <w:hideMark/>
          </w:tcPr>
          <w:p w14:paraId="579A582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168 e V</w:t>
            </w:r>
          </w:p>
        </w:tc>
        <w:tc>
          <w:tcPr>
            <w:tcW w:w="361" w:type="dxa"/>
            <w:tcBorders>
              <w:top w:val="nil"/>
              <w:left w:val="nil"/>
              <w:bottom w:val="nil"/>
              <w:right w:val="single" w:sz="4" w:space="0" w:color="auto"/>
            </w:tcBorders>
            <w:shd w:val="clear" w:color="auto" w:fill="auto"/>
            <w:vAlign w:val="center"/>
            <w:hideMark/>
          </w:tcPr>
          <w:p w14:paraId="573586D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176 e V</w:t>
            </w:r>
          </w:p>
        </w:tc>
        <w:tc>
          <w:tcPr>
            <w:tcW w:w="732" w:type="dxa"/>
            <w:tcBorders>
              <w:top w:val="nil"/>
              <w:left w:val="nil"/>
              <w:bottom w:val="nil"/>
              <w:right w:val="single" w:sz="4" w:space="0" w:color="auto"/>
            </w:tcBorders>
            <w:shd w:val="clear" w:color="auto" w:fill="auto"/>
            <w:vAlign w:val="center"/>
            <w:hideMark/>
          </w:tcPr>
          <w:p w14:paraId="3B82034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Ndryshimi i bazës ligjore mbi të cilin mbështetet funksionimi i burimit administrativ me impakt në përpilimin e informacionit statistikor dhe vënia në zbatim në mënyrë të menjëhershme nga ana e institucioneve objekt i legjislacionit, -|- 5</w:t>
            </w:r>
            <w:r w:rsidRPr="004F2AC3">
              <w:rPr>
                <w:rFonts w:ascii="Garamond" w:eastAsia="Times New Roman" w:hAnsi="Garamond" w:cs="Times New Roman"/>
                <w:color w:val="000000"/>
                <w:sz w:val="10"/>
                <w:szCs w:val="10"/>
                <w:lang w:eastAsia="sq-AL"/>
              </w:rPr>
              <w:br/>
              <w:t>2. Vonesa në marrjen e të dhënave të nevojshme për vlerësimin e komponentëve kryesorë nga njësitë brenda INSTAT duke sjellë si pasojë mospublikimin në kohë të Tabelave Burim-Përdorime dhe Input – Output -|- 5</w:t>
            </w:r>
            <w:r w:rsidRPr="004F2AC3">
              <w:rPr>
                <w:rFonts w:ascii="Garamond" w:eastAsia="Times New Roman" w:hAnsi="Garamond" w:cs="Times New Roman"/>
                <w:color w:val="000000"/>
                <w:sz w:val="10"/>
                <w:szCs w:val="10"/>
                <w:lang w:eastAsia="sq-AL"/>
              </w:rPr>
              <w:br/>
              <w:t>3. Risku i brendshëm i kohëzgjatjes së procesit të kontrollit në nivel mikro nga ana e specialistëve me pasojë vonesën në procesin e analizimit dhe kontrollit të cilësisë së treguesve Tabelave Burim-Përdorime dhe Input -|- 5</w:t>
            </w:r>
            <w:r w:rsidRPr="004F2AC3">
              <w:rPr>
                <w:rFonts w:ascii="Garamond" w:eastAsia="Times New Roman" w:hAnsi="Garamond" w:cs="Times New Roman"/>
                <w:color w:val="000000"/>
                <w:sz w:val="10"/>
                <w:szCs w:val="10"/>
                <w:lang w:eastAsia="sq-AL"/>
              </w:rPr>
              <w:br/>
              <w:t>4. Risku i brendshëm i largimit të stafit me eksperiencë pune me pasojë mospublikimin në kohë të Tabelave Burim-Përdorime dhe Input – Output -|- 5</w:t>
            </w:r>
            <w:r w:rsidRPr="004F2AC3">
              <w:rPr>
                <w:rFonts w:ascii="Garamond" w:eastAsia="Times New Roman" w:hAnsi="Garamond" w:cs="Times New Roman"/>
                <w:color w:val="000000"/>
                <w:sz w:val="10"/>
                <w:szCs w:val="10"/>
                <w:lang w:eastAsia="sq-AL"/>
              </w:rPr>
              <w:br/>
              <w:t>5. Mungesa e trajnimeve të stafit të sektorit në fushat relevante, çka sjell një ambient pune jo motivues dhe rënie të kapaciteteve të stafit -|- 5</w:t>
            </w:r>
          </w:p>
        </w:tc>
        <w:tc>
          <w:tcPr>
            <w:tcW w:w="551" w:type="dxa"/>
            <w:tcBorders>
              <w:top w:val="nil"/>
              <w:left w:val="nil"/>
              <w:bottom w:val="nil"/>
              <w:right w:val="single" w:sz="4" w:space="0" w:color="auto"/>
            </w:tcBorders>
            <w:shd w:val="clear" w:color="auto" w:fill="auto"/>
            <w:vAlign w:val="center"/>
            <w:hideMark/>
          </w:tcPr>
          <w:p w14:paraId="05C47E3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41E688C2" w14:textId="77777777" w:rsidTr="0021321C">
        <w:trPr>
          <w:trHeight w:val="180"/>
          <w:jc w:val="center"/>
        </w:trPr>
        <w:tc>
          <w:tcPr>
            <w:tcW w:w="388" w:type="dxa"/>
            <w:tcBorders>
              <w:top w:val="nil"/>
              <w:left w:val="nil"/>
              <w:bottom w:val="nil"/>
              <w:right w:val="nil"/>
            </w:tcBorders>
            <w:shd w:val="clear" w:color="000000" w:fill="FFFFFF"/>
            <w:vAlign w:val="bottom"/>
            <w:hideMark/>
          </w:tcPr>
          <w:p w14:paraId="41892CC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687062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50349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A2C61F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03B6BDE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2.1.4</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49F64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Rajonale</w:t>
            </w:r>
          </w:p>
        </w:tc>
      </w:tr>
      <w:tr w:rsidR="00C73163" w:rsidRPr="004F2AC3" w14:paraId="4652CAC3" w14:textId="77777777" w:rsidTr="0021321C">
        <w:trPr>
          <w:trHeight w:val="180"/>
          <w:jc w:val="center"/>
        </w:trPr>
        <w:tc>
          <w:tcPr>
            <w:tcW w:w="388" w:type="dxa"/>
            <w:tcBorders>
              <w:top w:val="nil"/>
              <w:left w:val="nil"/>
              <w:bottom w:val="nil"/>
              <w:right w:val="nil"/>
            </w:tcBorders>
            <w:shd w:val="clear" w:color="000000" w:fill="FFFFFF"/>
            <w:vAlign w:val="bottom"/>
            <w:hideMark/>
          </w:tcPr>
          <w:p w14:paraId="441945A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891127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07D7AE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8E0C17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169D7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47D465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04FFF5E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2.1.4.1</w:t>
            </w:r>
          </w:p>
        </w:tc>
        <w:tc>
          <w:tcPr>
            <w:tcW w:w="563" w:type="dxa"/>
            <w:tcBorders>
              <w:top w:val="nil"/>
              <w:left w:val="nil"/>
              <w:bottom w:val="nil"/>
              <w:right w:val="single" w:sz="4" w:space="0" w:color="auto"/>
            </w:tcBorders>
            <w:shd w:val="clear" w:color="auto" w:fill="auto"/>
            <w:vAlign w:val="center"/>
            <w:hideMark/>
          </w:tcPr>
          <w:p w14:paraId="6A88B23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rajonale</w:t>
            </w:r>
          </w:p>
        </w:tc>
        <w:tc>
          <w:tcPr>
            <w:tcW w:w="446" w:type="dxa"/>
            <w:tcBorders>
              <w:top w:val="nil"/>
              <w:left w:val="nil"/>
              <w:bottom w:val="nil"/>
              <w:right w:val="single" w:sz="4" w:space="0" w:color="auto"/>
            </w:tcBorders>
            <w:shd w:val="clear" w:color="auto" w:fill="auto"/>
            <w:vAlign w:val="center"/>
            <w:hideMark/>
          </w:tcPr>
          <w:p w14:paraId="192912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nil"/>
              <w:right w:val="single" w:sz="4" w:space="0" w:color="auto"/>
            </w:tcBorders>
            <w:shd w:val="clear" w:color="000000" w:fill="FFFFFF"/>
            <w:noWrap/>
            <w:vAlign w:val="center"/>
            <w:hideMark/>
          </w:tcPr>
          <w:p w14:paraId="57C574F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60%</w:t>
            </w:r>
          </w:p>
        </w:tc>
        <w:tc>
          <w:tcPr>
            <w:tcW w:w="301" w:type="dxa"/>
            <w:tcBorders>
              <w:top w:val="nil"/>
              <w:left w:val="nil"/>
              <w:bottom w:val="nil"/>
              <w:right w:val="single" w:sz="4" w:space="0" w:color="auto"/>
            </w:tcBorders>
            <w:shd w:val="clear" w:color="000000" w:fill="FFFFFF"/>
            <w:noWrap/>
            <w:vAlign w:val="center"/>
            <w:hideMark/>
          </w:tcPr>
          <w:p w14:paraId="4D23EE0F"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40%</w:t>
            </w:r>
          </w:p>
        </w:tc>
        <w:tc>
          <w:tcPr>
            <w:tcW w:w="426" w:type="dxa"/>
            <w:tcBorders>
              <w:top w:val="nil"/>
              <w:left w:val="nil"/>
              <w:bottom w:val="nil"/>
              <w:right w:val="single" w:sz="4" w:space="0" w:color="auto"/>
            </w:tcBorders>
            <w:shd w:val="clear" w:color="auto" w:fill="auto"/>
            <w:vAlign w:val="center"/>
            <w:hideMark/>
          </w:tcPr>
          <w:p w14:paraId="76708B3D" w14:textId="6F6BDED0"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569AA28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000000"/>
            </w:tcBorders>
            <w:shd w:val="clear" w:color="000000" w:fill="FFFFFF"/>
            <w:vAlign w:val="center"/>
            <w:hideMark/>
          </w:tcPr>
          <w:p w14:paraId="055A59E2" w14:textId="2E5E1F9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Vlera e Shtuar Bruto sipas rajoneve statistikore niveli 2 dhe 3, dhe degëve kryesore të ekonomisë</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Produkti i Brendshëm Bruto sipas rajoneve statistikore niveli 2 dhe 3, dhe degëve kryesore të ekonomisë</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Rritja reale e PBB-së sipas rajoneve statistikore niveli 2 dhe 3</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Kontributi sipas qarqeve në rritjen ekonomike</w:t>
            </w:r>
            <w:r w:rsidR="00DB4BE5"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7636ED18" w14:textId="7D97565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13" w:type="dxa"/>
            <w:tcBorders>
              <w:top w:val="nil"/>
              <w:left w:val="nil"/>
              <w:bottom w:val="nil"/>
              <w:right w:val="single" w:sz="4" w:space="0" w:color="auto"/>
            </w:tcBorders>
            <w:shd w:val="clear" w:color="auto" w:fill="auto"/>
            <w:vAlign w:val="center"/>
            <w:hideMark/>
          </w:tcPr>
          <w:p w14:paraId="3432A230" w14:textId="62A6A82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1584D7A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+ 182D</w:t>
            </w:r>
          </w:p>
        </w:tc>
        <w:tc>
          <w:tcPr>
            <w:tcW w:w="385" w:type="dxa"/>
            <w:tcBorders>
              <w:top w:val="nil"/>
              <w:left w:val="nil"/>
              <w:bottom w:val="nil"/>
              <w:right w:val="single" w:sz="4" w:space="0" w:color="auto"/>
            </w:tcBorders>
            <w:shd w:val="clear" w:color="auto" w:fill="auto"/>
            <w:vAlign w:val="center"/>
            <w:hideMark/>
          </w:tcPr>
          <w:p w14:paraId="24517E0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+ 334D</w:t>
            </w:r>
          </w:p>
        </w:tc>
        <w:tc>
          <w:tcPr>
            <w:tcW w:w="361" w:type="dxa"/>
            <w:tcBorders>
              <w:top w:val="nil"/>
              <w:left w:val="nil"/>
              <w:bottom w:val="nil"/>
              <w:right w:val="single" w:sz="4" w:space="0" w:color="auto"/>
            </w:tcBorders>
            <w:shd w:val="clear" w:color="auto" w:fill="auto"/>
            <w:vAlign w:val="center"/>
            <w:hideMark/>
          </w:tcPr>
          <w:p w14:paraId="655BB48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+ 345D</w:t>
            </w:r>
          </w:p>
        </w:tc>
        <w:tc>
          <w:tcPr>
            <w:tcW w:w="732" w:type="dxa"/>
            <w:tcBorders>
              <w:top w:val="nil"/>
              <w:left w:val="nil"/>
              <w:bottom w:val="nil"/>
              <w:right w:val="single" w:sz="4" w:space="0" w:color="auto"/>
            </w:tcBorders>
            <w:shd w:val="clear" w:color="auto" w:fill="auto"/>
            <w:vAlign w:val="center"/>
            <w:hideMark/>
          </w:tcPr>
          <w:p w14:paraId="0A292916" w14:textId="241DC89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Pezullimi, vonesa e mbledhjes, prodhimit dhe shpërndarjes së Statistikave Zyrtare si pasojë e fatkeqësive natyrore, pandemi globale -|- 6</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të dhënat administrative dhe statistikore -|- 4</w:t>
            </w:r>
            <w:r w:rsidRPr="004F2AC3">
              <w:rPr>
                <w:rFonts w:ascii="Garamond" w:eastAsia="Times New Roman" w:hAnsi="Garamond" w:cs="Times New Roman"/>
                <w:color w:val="000000"/>
                <w:sz w:val="10"/>
                <w:szCs w:val="10"/>
                <w:lang w:eastAsia="sq-AL"/>
              </w:rPr>
              <w:br/>
              <w:t>3. Kohë e gjatë për kontrollet në nivel mikro -|- 4</w:t>
            </w:r>
            <w:r w:rsidRPr="004F2AC3">
              <w:rPr>
                <w:rFonts w:ascii="Garamond" w:eastAsia="Times New Roman" w:hAnsi="Garamond" w:cs="Times New Roman"/>
                <w:color w:val="000000"/>
                <w:sz w:val="10"/>
                <w:szCs w:val="10"/>
                <w:lang w:eastAsia="sq-AL"/>
              </w:rPr>
              <w:br/>
              <w:t xml:space="preserve">4. Pezullimi, vonesa e prodhimit dhe e shpërndarjes së Statistikave Zyrtare si pasojë e largimit të stafit (kryesisht punonjësit e trajnuar dhe me </w:t>
            </w:r>
            <w:r w:rsidR="00030D25" w:rsidRPr="004F2AC3">
              <w:rPr>
                <w:rFonts w:ascii="Garamond" w:eastAsia="Times New Roman" w:hAnsi="Garamond" w:cs="Times New Roman"/>
                <w:color w:val="000000"/>
                <w:sz w:val="10"/>
                <w:szCs w:val="10"/>
                <w:lang w:eastAsia="sq-AL"/>
              </w:rPr>
              <w:t>eksperiencë</w:t>
            </w:r>
            <w:r w:rsidRPr="004F2AC3">
              <w:rPr>
                <w:rFonts w:ascii="Garamond" w:eastAsia="Times New Roman" w:hAnsi="Garamond" w:cs="Times New Roman"/>
                <w:color w:val="000000"/>
                <w:sz w:val="10"/>
                <w:szCs w:val="10"/>
                <w:lang w:eastAsia="sq-AL"/>
              </w:rPr>
              <w:t>) -|- 6</w:t>
            </w:r>
            <w:r w:rsidRPr="004F2AC3">
              <w:rPr>
                <w:rFonts w:ascii="Garamond" w:eastAsia="Times New Roman" w:hAnsi="Garamond" w:cs="Times New Roman"/>
                <w:color w:val="000000"/>
                <w:sz w:val="10"/>
                <w:szCs w:val="10"/>
                <w:lang w:eastAsia="sq-AL"/>
              </w:rPr>
              <w:br/>
              <w:t>5. Vonesa në marrjen e burimeve të të dhënave në kohë dhe me cilësi brenda afateve të përcaktuara -|- 6</w:t>
            </w:r>
          </w:p>
        </w:tc>
        <w:tc>
          <w:tcPr>
            <w:tcW w:w="551" w:type="dxa"/>
            <w:tcBorders>
              <w:top w:val="nil"/>
              <w:left w:val="nil"/>
              <w:bottom w:val="nil"/>
              <w:right w:val="single" w:sz="4" w:space="0" w:color="auto"/>
            </w:tcBorders>
            <w:shd w:val="clear" w:color="auto" w:fill="auto"/>
            <w:vAlign w:val="center"/>
            <w:hideMark/>
          </w:tcPr>
          <w:p w14:paraId="6819F181" w14:textId="31E890C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Kombinuar (Buxhet </w:t>
            </w:r>
            <w:r w:rsidR="006400E2" w:rsidRPr="004F2AC3">
              <w:rPr>
                <w:rFonts w:ascii="Garamond" w:eastAsia="Times New Roman" w:hAnsi="Garamond" w:cs="Times New Roman"/>
                <w:color w:val="000000"/>
                <w:sz w:val="10"/>
                <w:szCs w:val="10"/>
                <w:lang w:eastAsia="sq-AL"/>
              </w:rPr>
              <w:t>shteti+donatorët)</w:t>
            </w:r>
          </w:p>
        </w:tc>
      </w:tr>
      <w:tr w:rsidR="0021321C" w:rsidRPr="004F2AC3" w14:paraId="36FB469F" w14:textId="77777777" w:rsidTr="0021321C">
        <w:trPr>
          <w:trHeight w:val="180"/>
          <w:jc w:val="center"/>
        </w:trPr>
        <w:tc>
          <w:tcPr>
            <w:tcW w:w="388" w:type="dxa"/>
            <w:tcBorders>
              <w:top w:val="nil"/>
              <w:left w:val="nil"/>
              <w:bottom w:val="nil"/>
              <w:right w:val="nil"/>
            </w:tcBorders>
            <w:shd w:val="clear" w:color="000000" w:fill="FFFFFF"/>
            <w:vAlign w:val="bottom"/>
            <w:hideMark/>
          </w:tcPr>
          <w:p w14:paraId="713980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5F2F5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14B67F0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833D19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financiare të qeverisë, fiskale dhe të sektorit publik</w:t>
            </w:r>
          </w:p>
        </w:tc>
      </w:tr>
      <w:tr w:rsidR="0021321C" w:rsidRPr="004F2AC3" w14:paraId="69689BAC" w14:textId="77777777" w:rsidTr="0021321C">
        <w:trPr>
          <w:trHeight w:val="180"/>
          <w:jc w:val="center"/>
        </w:trPr>
        <w:tc>
          <w:tcPr>
            <w:tcW w:w="388" w:type="dxa"/>
            <w:tcBorders>
              <w:top w:val="nil"/>
              <w:left w:val="nil"/>
              <w:bottom w:val="nil"/>
              <w:right w:val="nil"/>
            </w:tcBorders>
            <w:shd w:val="clear" w:color="000000" w:fill="FFFFFF"/>
            <w:vAlign w:val="bottom"/>
            <w:hideMark/>
          </w:tcPr>
          <w:p w14:paraId="60D11C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136937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5C3A3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D6FE76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390E5FB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2.2.1</w:t>
            </w:r>
          </w:p>
        </w:tc>
        <w:tc>
          <w:tcPr>
            <w:tcW w:w="7813" w:type="dxa"/>
            <w:gridSpan w:val="16"/>
            <w:tcBorders>
              <w:top w:val="single" w:sz="4" w:space="0" w:color="auto"/>
              <w:left w:val="single" w:sz="4" w:space="0" w:color="auto"/>
              <w:bottom w:val="single" w:sz="4" w:space="0" w:color="auto"/>
              <w:right w:val="single" w:sz="4" w:space="0" w:color="000000"/>
            </w:tcBorders>
            <w:shd w:val="clear" w:color="000000" w:fill="F0F0F0"/>
            <w:vAlign w:val="center"/>
            <w:hideMark/>
          </w:tcPr>
          <w:p w14:paraId="777BF4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financiare</w:t>
            </w:r>
          </w:p>
        </w:tc>
      </w:tr>
      <w:tr w:rsidR="00C73163" w:rsidRPr="004F2AC3" w14:paraId="162BB931" w14:textId="77777777" w:rsidTr="0021321C">
        <w:trPr>
          <w:trHeight w:val="180"/>
          <w:jc w:val="center"/>
        </w:trPr>
        <w:tc>
          <w:tcPr>
            <w:tcW w:w="388" w:type="dxa"/>
            <w:tcBorders>
              <w:top w:val="nil"/>
              <w:left w:val="nil"/>
              <w:bottom w:val="nil"/>
              <w:right w:val="nil"/>
            </w:tcBorders>
            <w:shd w:val="clear" w:color="000000" w:fill="FFFFFF"/>
            <w:vAlign w:val="bottom"/>
            <w:hideMark/>
          </w:tcPr>
          <w:p w14:paraId="6D290B7E"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89" w:type="dxa"/>
            <w:tcBorders>
              <w:top w:val="nil"/>
              <w:left w:val="nil"/>
              <w:bottom w:val="nil"/>
              <w:right w:val="nil"/>
            </w:tcBorders>
            <w:shd w:val="clear" w:color="000000" w:fill="FFFFFF"/>
            <w:vAlign w:val="bottom"/>
            <w:hideMark/>
          </w:tcPr>
          <w:p w14:paraId="5AAAE432"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232" w:type="dxa"/>
            <w:tcBorders>
              <w:top w:val="nil"/>
              <w:left w:val="nil"/>
              <w:bottom w:val="nil"/>
              <w:right w:val="nil"/>
            </w:tcBorders>
            <w:shd w:val="clear" w:color="000000" w:fill="FFFFFF"/>
            <w:vAlign w:val="bottom"/>
            <w:hideMark/>
          </w:tcPr>
          <w:p w14:paraId="69014314"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208" w:type="dxa"/>
            <w:tcBorders>
              <w:top w:val="nil"/>
              <w:left w:val="nil"/>
              <w:bottom w:val="nil"/>
              <w:right w:val="nil"/>
            </w:tcBorders>
            <w:shd w:val="clear" w:color="000000" w:fill="FFFFFF"/>
            <w:vAlign w:val="bottom"/>
            <w:hideMark/>
          </w:tcPr>
          <w:p w14:paraId="70774C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BB33CF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6375E2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6523A00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2.2.1.1</w:t>
            </w:r>
          </w:p>
        </w:tc>
        <w:tc>
          <w:tcPr>
            <w:tcW w:w="563" w:type="dxa"/>
            <w:tcBorders>
              <w:top w:val="nil"/>
              <w:left w:val="nil"/>
              <w:bottom w:val="single" w:sz="4" w:space="0" w:color="auto"/>
              <w:right w:val="single" w:sz="4" w:space="0" w:color="auto"/>
            </w:tcBorders>
            <w:shd w:val="clear" w:color="000000" w:fill="FFFFFF"/>
            <w:vAlign w:val="center"/>
            <w:hideMark/>
          </w:tcPr>
          <w:p w14:paraId="22BF5702"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Llogaritë Financiare sipas Sektorëve Institucionalë</w:t>
            </w:r>
          </w:p>
        </w:tc>
        <w:tc>
          <w:tcPr>
            <w:tcW w:w="446" w:type="dxa"/>
            <w:tcBorders>
              <w:top w:val="nil"/>
              <w:left w:val="nil"/>
              <w:bottom w:val="single" w:sz="4" w:space="0" w:color="auto"/>
              <w:right w:val="single" w:sz="4" w:space="0" w:color="auto"/>
            </w:tcBorders>
            <w:shd w:val="clear" w:color="000000" w:fill="FFFFFF"/>
            <w:vAlign w:val="center"/>
            <w:hideMark/>
          </w:tcPr>
          <w:p w14:paraId="2179A41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Tjetër</w:t>
            </w:r>
          </w:p>
        </w:tc>
        <w:tc>
          <w:tcPr>
            <w:tcW w:w="450" w:type="dxa"/>
            <w:tcBorders>
              <w:top w:val="nil"/>
              <w:left w:val="nil"/>
              <w:bottom w:val="single" w:sz="4" w:space="0" w:color="auto"/>
              <w:right w:val="single" w:sz="4" w:space="0" w:color="auto"/>
            </w:tcBorders>
            <w:shd w:val="clear" w:color="000000" w:fill="FFFFFF"/>
            <w:vAlign w:val="center"/>
            <w:hideMark/>
          </w:tcPr>
          <w:p w14:paraId="5299FC2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vAlign w:val="center"/>
            <w:hideMark/>
          </w:tcPr>
          <w:p w14:paraId="786C05B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63232BB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000000" w:fill="FFFFFF"/>
            <w:vAlign w:val="center"/>
            <w:hideMark/>
          </w:tcPr>
          <w:p w14:paraId="57520D2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000000" w:fill="FFFFFF"/>
            <w:vAlign w:val="center"/>
            <w:hideMark/>
          </w:tcPr>
          <w:p w14:paraId="01CECDE3" w14:textId="32816D1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Llogaritë financiare të sek</w:t>
            </w:r>
            <w:r w:rsidR="00DB4BE5" w:rsidRPr="004F2AC3">
              <w:rPr>
                <w:rFonts w:ascii="Garamond" w:eastAsia="Times New Roman" w:hAnsi="Garamond" w:cs="Times New Roman"/>
                <w:color w:val="000000"/>
                <w:sz w:val="10"/>
                <w:szCs w:val="10"/>
                <w:lang w:eastAsia="sq-AL"/>
              </w:rPr>
              <w:t>torit të korporatave financiare;</w:t>
            </w:r>
            <w:r w:rsidRPr="004F2AC3">
              <w:rPr>
                <w:rFonts w:ascii="Garamond" w:eastAsia="Times New Roman" w:hAnsi="Garamond" w:cs="Times New Roman"/>
                <w:color w:val="000000"/>
                <w:sz w:val="10"/>
                <w:szCs w:val="10"/>
                <w:lang w:eastAsia="sq-AL"/>
              </w:rPr>
              <w:br/>
              <w:t xml:space="preserve">2. Llogaritë financiare të jorezidentëve (pjesës </w:t>
            </w:r>
            <w:r w:rsidR="00030D25" w:rsidRPr="004F2AC3">
              <w:rPr>
                <w:rFonts w:ascii="Garamond" w:eastAsia="Times New Roman" w:hAnsi="Garamond" w:cs="Times New Roman"/>
                <w:color w:val="000000"/>
                <w:sz w:val="10"/>
                <w:szCs w:val="10"/>
                <w:lang w:eastAsia="sq-AL"/>
              </w:rPr>
              <w:t>tjetër</w:t>
            </w:r>
            <w:r w:rsidRPr="004F2AC3">
              <w:rPr>
                <w:rFonts w:ascii="Garamond" w:eastAsia="Times New Roman" w:hAnsi="Garamond" w:cs="Times New Roman"/>
                <w:color w:val="000000"/>
                <w:sz w:val="10"/>
                <w:szCs w:val="10"/>
                <w:lang w:eastAsia="sq-AL"/>
              </w:rPr>
              <w:t xml:space="preserve"> të botës)</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Llogaritë financiare të sektorit të qeverisë së përgjithshme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Llogaritë financiare</w:t>
            </w:r>
            <w:r w:rsidR="00D449AF" w:rsidRPr="004F2AC3">
              <w:rPr>
                <w:rFonts w:ascii="Garamond" w:eastAsia="Times New Roman" w:hAnsi="Garamond" w:cs="Times New Roman"/>
                <w:color w:val="000000"/>
                <w:sz w:val="10"/>
                <w:szCs w:val="10"/>
                <w:lang w:eastAsia="sq-AL"/>
              </w:rPr>
              <w:t xml:space="preserve"> të sektorit të</w:t>
            </w:r>
            <w:r w:rsidR="00684E85" w:rsidRPr="004F2AC3">
              <w:rPr>
                <w:rFonts w:ascii="Garamond" w:eastAsia="Times New Roman" w:hAnsi="Garamond" w:cs="Times New Roman"/>
                <w:color w:val="000000"/>
                <w:sz w:val="10"/>
                <w:szCs w:val="10"/>
                <w:lang w:eastAsia="sq-AL"/>
              </w:rPr>
              <w:t xml:space="preserve"> </w:t>
            </w:r>
            <w:r w:rsidR="00D449AF" w:rsidRPr="004F2AC3">
              <w:rPr>
                <w:rFonts w:ascii="Garamond" w:eastAsia="Times New Roman" w:hAnsi="Garamond" w:cs="Times New Roman"/>
                <w:color w:val="000000"/>
                <w:sz w:val="10"/>
                <w:szCs w:val="10"/>
                <w:lang w:eastAsia="sq-AL"/>
              </w:rPr>
              <w:t>korporatave jo</w:t>
            </w:r>
            <w:r w:rsidRPr="004F2AC3">
              <w:rPr>
                <w:rFonts w:ascii="Garamond" w:eastAsia="Times New Roman" w:hAnsi="Garamond" w:cs="Times New Roman"/>
                <w:color w:val="000000"/>
                <w:sz w:val="10"/>
                <w:szCs w:val="10"/>
                <w:lang w:eastAsia="sq-AL"/>
              </w:rPr>
              <w:t>financiare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Llogaritë financiare të ekonomive familjare dhe institucioneve jo me qëllim fitimi në shërbim të ekonomive familjare</w:t>
            </w:r>
            <w:r w:rsidR="00DB4BE5"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75BD2C97" w14:textId="26E9A38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Ministria e Financave</w:t>
            </w:r>
            <w:r w:rsidR="00DB4BE5"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br/>
              <w:t>Banka e Shqipërisë;</w:t>
            </w:r>
            <w:r w:rsidRPr="004F2AC3">
              <w:rPr>
                <w:rFonts w:ascii="Garamond" w:eastAsia="Times New Roman" w:hAnsi="Garamond" w:cs="Times New Roman"/>
                <w:color w:val="000000"/>
                <w:sz w:val="10"/>
                <w:szCs w:val="10"/>
                <w:lang w:eastAsia="sq-AL"/>
              </w:rPr>
              <w:br/>
              <w:t>Autoriteti i Mbikëqyrjes Financiare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Qendra Kombëtare e</w:t>
            </w:r>
            <w:r w:rsidR="00684E85" w:rsidRPr="004F2AC3">
              <w:rPr>
                <w:rFonts w:ascii="Garamond" w:eastAsia="Times New Roman" w:hAnsi="Garamond" w:cs="Times New Roman"/>
                <w:color w:val="000000"/>
                <w:sz w:val="10"/>
                <w:szCs w:val="10"/>
                <w:lang w:eastAsia="sq-AL"/>
              </w:rPr>
              <w:t xml:space="preserve"> </w:t>
            </w:r>
            <w:r w:rsidR="00DB4BE5" w:rsidRPr="004F2AC3">
              <w:rPr>
                <w:rFonts w:ascii="Garamond" w:eastAsia="Times New Roman" w:hAnsi="Garamond" w:cs="Times New Roman"/>
                <w:color w:val="000000"/>
                <w:sz w:val="10"/>
                <w:szCs w:val="10"/>
                <w:lang w:eastAsia="sq-AL"/>
              </w:rPr>
              <w:t>Biznesit.</w:t>
            </w:r>
          </w:p>
        </w:tc>
        <w:tc>
          <w:tcPr>
            <w:tcW w:w="413" w:type="dxa"/>
            <w:tcBorders>
              <w:top w:val="nil"/>
              <w:left w:val="nil"/>
              <w:bottom w:val="single" w:sz="4" w:space="0" w:color="auto"/>
              <w:right w:val="single" w:sz="4" w:space="0" w:color="auto"/>
            </w:tcBorders>
            <w:shd w:val="clear" w:color="000000" w:fill="FFFFFF"/>
            <w:vAlign w:val="center"/>
            <w:hideMark/>
          </w:tcPr>
          <w:p w14:paraId="7564A6B9" w14:textId="4006C1A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Banka e </w:t>
            </w:r>
            <w:r w:rsidR="00030D25" w:rsidRPr="004F2AC3">
              <w:rPr>
                <w:rFonts w:ascii="Garamond" w:eastAsia="Times New Roman" w:hAnsi="Garamond" w:cs="Times New Roman"/>
                <w:color w:val="000000"/>
                <w:sz w:val="10"/>
                <w:szCs w:val="10"/>
                <w:lang w:eastAsia="sq-AL"/>
              </w:rPr>
              <w:t>Shqipërisë</w:t>
            </w:r>
          </w:p>
        </w:tc>
        <w:tc>
          <w:tcPr>
            <w:tcW w:w="466" w:type="dxa"/>
            <w:tcBorders>
              <w:top w:val="nil"/>
              <w:left w:val="nil"/>
              <w:bottom w:val="single" w:sz="4" w:space="0" w:color="auto"/>
              <w:right w:val="single" w:sz="4" w:space="0" w:color="auto"/>
            </w:tcBorders>
            <w:shd w:val="clear" w:color="000000" w:fill="FFFFFF"/>
            <w:vAlign w:val="center"/>
            <w:hideMark/>
          </w:tcPr>
          <w:p w14:paraId="315D008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+ 244 D</w:t>
            </w:r>
          </w:p>
        </w:tc>
        <w:tc>
          <w:tcPr>
            <w:tcW w:w="385" w:type="dxa"/>
            <w:tcBorders>
              <w:top w:val="nil"/>
              <w:left w:val="nil"/>
              <w:bottom w:val="single" w:sz="4" w:space="0" w:color="auto"/>
              <w:right w:val="single" w:sz="4" w:space="0" w:color="auto"/>
            </w:tcBorders>
            <w:shd w:val="clear" w:color="000000" w:fill="FFFFFF"/>
            <w:vAlign w:val="center"/>
            <w:hideMark/>
          </w:tcPr>
          <w:p w14:paraId="57E9A4C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+ 260 D</w:t>
            </w:r>
          </w:p>
        </w:tc>
        <w:tc>
          <w:tcPr>
            <w:tcW w:w="361" w:type="dxa"/>
            <w:tcBorders>
              <w:top w:val="nil"/>
              <w:left w:val="nil"/>
              <w:bottom w:val="single" w:sz="4" w:space="0" w:color="auto"/>
              <w:right w:val="single" w:sz="4" w:space="0" w:color="auto"/>
            </w:tcBorders>
            <w:shd w:val="clear" w:color="000000" w:fill="FFFFFF"/>
            <w:vAlign w:val="center"/>
            <w:hideMark/>
          </w:tcPr>
          <w:p w14:paraId="3963B53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+ 275 D</w:t>
            </w:r>
          </w:p>
        </w:tc>
        <w:tc>
          <w:tcPr>
            <w:tcW w:w="732" w:type="dxa"/>
            <w:tcBorders>
              <w:top w:val="nil"/>
              <w:left w:val="nil"/>
              <w:bottom w:val="single" w:sz="4" w:space="0" w:color="auto"/>
              <w:right w:val="single" w:sz="4" w:space="0" w:color="auto"/>
            </w:tcBorders>
            <w:shd w:val="clear" w:color="000000" w:fill="FFFFFF"/>
            <w:vAlign w:val="center"/>
            <w:hideMark/>
          </w:tcPr>
          <w:p w14:paraId="412CFFE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 së të dhënave nga burimet administrative -|- 4</w:t>
            </w:r>
          </w:p>
        </w:tc>
        <w:tc>
          <w:tcPr>
            <w:tcW w:w="551" w:type="dxa"/>
            <w:tcBorders>
              <w:top w:val="nil"/>
              <w:left w:val="nil"/>
              <w:bottom w:val="single" w:sz="4" w:space="0" w:color="auto"/>
              <w:right w:val="single" w:sz="4" w:space="0" w:color="auto"/>
            </w:tcBorders>
            <w:shd w:val="clear" w:color="000000" w:fill="FFFFFF"/>
            <w:vAlign w:val="center"/>
            <w:hideMark/>
          </w:tcPr>
          <w:p w14:paraId="766184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Buxheti i Bankës</w:t>
            </w:r>
          </w:p>
        </w:tc>
      </w:tr>
      <w:tr w:rsidR="0021321C" w:rsidRPr="004F2AC3" w14:paraId="7334A72E" w14:textId="77777777" w:rsidTr="0021321C">
        <w:trPr>
          <w:trHeight w:val="180"/>
          <w:jc w:val="center"/>
        </w:trPr>
        <w:tc>
          <w:tcPr>
            <w:tcW w:w="388" w:type="dxa"/>
            <w:tcBorders>
              <w:top w:val="nil"/>
              <w:left w:val="nil"/>
              <w:bottom w:val="nil"/>
              <w:right w:val="nil"/>
            </w:tcBorders>
            <w:shd w:val="clear" w:color="000000" w:fill="FFFFFF"/>
            <w:vAlign w:val="bottom"/>
            <w:hideMark/>
          </w:tcPr>
          <w:p w14:paraId="266C46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2D0AB1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3A4186E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7EE0053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financiare të qeverisë, fiskale dhe të sektorit publik</w:t>
            </w:r>
          </w:p>
        </w:tc>
      </w:tr>
      <w:tr w:rsidR="0021321C" w:rsidRPr="004F2AC3" w14:paraId="15F75F0F" w14:textId="77777777" w:rsidTr="0021321C">
        <w:trPr>
          <w:trHeight w:val="180"/>
          <w:jc w:val="center"/>
        </w:trPr>
        <w:tc>
          <w:tcPr>
            <w:tcW w:w="388" w:type="dxa"/>
            <w:tcBorders>
              <w:top w:val="nil"/>
              <w:left w:val="nil"/>
              <w:bottom w:val="nil"/>
              <w:right w:val="nil"/>
            </w:tcBorders>
            <w:shd w:val="clear" w:color="000000" w:fill="FFFFFF"/>
            <w:vAlign w:val="bottom"/>
            <w:hideMark/>
          </w:tcPr>
          <w:p w14:paraId="45FE835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000EB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E56AFD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EA4A2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3D0DECF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5A47F7B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Treguesit Monetarë dhe Financiarë</w:t>
            </w:r>
          </w:p>
        </w:tc>
      </w:tr>
      <w:tr w:rsidR="00C73163" w:rsidRPr="004F2AC3" w14:paraId="21ACE9AD" w14:textId="77777777" w:rsidTr="0021321C">
        <w:trPr>
          <w:trHeight w:val="180"/>
          <w:jc w:val="center"/>
        </w:trPr>
        <w:tc>
          <w:tcPr>
            <w:tcW w:w="388" w:type="dxa"/>
            <w:tcBorders>
              <w:top w:val="nil"/>
              <w:left w:val="nil"/>
              <w:bottom w:val="nil"/>
              <w:right w:val="nil"/>
            </w:tcBorders>
            <w:shd w:val="clear" w:color="000000" w:fill="FFFFFF"/>
            <w:vAlign w:val="bottom"/>
            <w:hideMark/>
          </w:tcPr>
          <w:p w14:paraId="4E0676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90395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98A3F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7C0D34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B7559E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005CA7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000000" w:fill="FFFFFF"/>
            <w:vAlign w:val="center"/>
            <w:hideMark/>
          </w:tcPr>
          <w:p w14:paraId="79359DE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2.2.2.1</w:t>
            </w:r>
          </w:p>
        </w:tc>
        <w:tc>
          <w:tcPr>
            <w:tcW w:w="563" w:type="dxa"/>
            <w:tcBorders>
              <w:top w:val="nil"/>
              <w:left w:val="nil"/>
              <w:bottom w:val="nil"/>
              <w:right w:val="single" w:sz="4" w:space="0" w:color="auto"/>
            </w:tcBorders>
            <w:shd w:val="clear" w:color="000000" w:fill="FFFFFF"/>
            <w:vAlign w:val="center"/>
            <w:hideMark/>
          </w:tcPr>
          <w:p w14:paraId="18F8BE1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Monetare dhe Financiare</w:t>
            </w:r>
          </w:p>
        </w:tc>
        <w:tc>
          <w:tcPr>
            <w:tcW w:w="446" w:type="dxa"/>
            <w:tcBorders>
              <w:top w:val="nil"/>
              <w:left w:val="nil"/>
              <w:bottom w:val="nil"/>
              <w:right w:val="single" w:sz="4" w:space="0" w:color="auto"/>
            </w:tcBorders>
            <w:shd w:val="clear" w:color="000000" w:fill="FFFFFF"/>
            <w:vAlign w:val="center"/>
            <w:hideMark/>
          </w:tcPr>
          <w:p w14:paraId="19A0EE6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Tjetër</w:t>
            </w:r>
          </w:p>
        </w:tc>
        <w:tc>
          <w:tcPr>
            <w:tcW w:w="450" w:type="dxa"/>
            <w:tcBorders>
              <w:top w:val="nil"/>
              <w:left w:val="nil"/>
              <w:bottom w:val="nil"/>
              <w:right w:val="single" w:sz="4" w:space="0" w:color="auto"/>
            </w:tcBorders>
            <w:shd w:val="clear" w:color="000000" w:fill="FFFFFF"/>
            <w:vAlign w:val="center"/>
            <w:hideMark/>
          </w:tcPr>
          <w:p w14:paraId="4DE6461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nil"/>
              <w:right w:val="single" w:sz="4" w:space="0" w:color="auto"/>
            </w:tcBorders>
            <w:shd w:val="clear" w:color="000000" w:fill="FFFFFF"/>
            <w:vAlign w:val="center"/>
            <w:hideMark/>
          </w:tcPr>
          <w:p w14:paraId="161C09C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nil"/>
              <w:right w:val="single" w:sz="4" w:space="0" w:color="auto"/>
            </w:tcBorders>
            <w:shd w:val="clear" w:color="000000" w:fill="FFFFFF"/>
            <w:vAlign w:val="center"/>
            <w:hideMark/>
          </w:tcPr>
          <w:p w14:paraId="4CAF98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000000" w:fill="FFFFFF"/>
            <w:vAlign w:val="center"/>
            <w:hideMark/>
          </w:tcPr>
          <w:p w14:paraId="0779F00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nil"/>
              <w:right w:val="single" w:sz="4" w:space="0" w:color="auto"/>
            </w:tcBorders>
            <w:shd w:val="clear" w:color="000000" w:fill="FFFFFF"/>
            <w:vAlign w:val="center"/>
            <w:hideMark/>
          </w:tcPr>
          <w:p w14:paraId="6BF9A5EA" w14:textId="1E2FA995" w:rsidR="0021321C" w:rsidRPr="004F2AC3" w:rsidRDefault="00DB4BE5"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Agregatët monetarë;</w:t>
            </w:r>
            <w:r w:rsidR="0021321C" w:rsidRPr="004F2AC3">
              <w:rPr>
                <w:rFonts w:ascii="Garamond" w:eastAsia="Times New Roman" w:hAnsi="Garamond" w:cs="Times New Roman"/>
                <w:color w:val="000000"/>
                <w:sz w:val="10"/>
                <w:szCs w:val="10"/>
                <w:lang w:eastAsia="sq-AL"/>
              </w:rPr>
              <w:br/>
              <w:t>2. Bilanci sektorial dhe paraq</w:t>
            </w:r>
            <w:r w:rsidRPr="004F2AC3">
              <w:rPr>
                <w:rFonts w:ascii="Garamond" w:eastAsia="Times New Roman" w:hAnsi="Garamond" w:cs="Times New Roman"/>
                <w:color w:val="000000"/>
                <w:sz w:val="10"/>
                <w:szCs w:val="10"/>
                <w:lang w:eastAsia="sq-AL"/>
              </w:rPr>
              <w:t>itja monetare e bankës qendrore;</w:t>
            </w:r>
            <w:r w:rsidR="0021321C" w:rsidRPr="004F2AC3">
              <w:rPr>
                <w:rFonts w:ascii="Garamond" w:eastAsia="Times New Roman" w:hAnsi="Garamond" w:cs="Times New Roman"/>
                <w:color w:val="000000"/>
                <w:sz w:val="10"/>
                <w:szCs w:val="10"/>
                <w:lang w:eastAsia="sq-AL"/>
              </w:rPr>
              <w:br/>
              <w:t>3. Bilanci sektorial dhe paraqitja monetare e bankave paradepozituese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 xml:space="preserve">4. Bilanci sektorial dhe paraqitja monetare e </w:t>
            </w:r>
            <w:r w:rsidR="00030D25" w:rsidRPr="004F2AC3">
              <w:rPr>
                <w:rFonts w:ascii="Garamond" w:eastAsia="Times New Roman" w:hAnsi="Garamond" w:cs="Times New Roman"/>
                <w:color w:val="000000"/>
                <w:sz w:val="10"/>
                <w:szCs w:val="10"/>
                <w:lang w:eastAsia="sq-AL"/>
              </w:rPr>
              <w:t>korporatave</w:t>
            </w:r>
            <w:r w:rsidR="0021321C" w:rsidRPr="004F2AC3">
              <w:rPr>
                <w:rFonts w:ascii="Garamond" w:eastAsia="Times New Roman" w:hAnsi="Garamond" w:cs="Times New Roman"/>
                <w:color w:val="000000"/>
                <w:sz w:val="10"/>
                <w:szCs w:val="10"/>
                <w:lang w:eastAsia="sq-AL"/>
              </w:rPr>
              <w:t xml:space="preserve"> të tjera depozituese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 xml:space="preserve">5. Bilanci sektorial dhe paraqitja monetare e </w:t>
            </w:r>
            <w:r w:rsidR="00030D25" w:rsidRPr="004F2AC3">
              <w:rPr>
                <w:rFonts w:ascii="Garamond" w:eastAsia="Times New Roman" w:hAnsi="Garamond" w:cs="Times New Roman"/>
                <w:color w:val="000000"/>
                <w:sz w:val="10"/>
                <w:szCs w:val="10"/>
                <w:lang w:eastAsia="sq-AL"/>
              </w:rPr>
              <w:t>korporatave</w:t>
            </w:r>
            <w:r w:rsidR="0021321C" w:rsidRPr="004F2AC3">
              <w:rPr>
                <w:rFonts w:ascii="Garamond" w:eastAsia="Times New Roman" w:hAnsi="Garamond" w:cs="Times New Roman"/>
                <w:color w:val="000000"/>
                <w:sz w:val="10"/>
                <w:szCs w:val="10"/>
                <w:lang w:eastAsia="sq-AL"/>
              </w:rPr>
              <w:t xml:space="preserve"> depozituese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6. Bilanci sektorial dhe paraqitja monetare e institucioneve të tjera financiare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7. Depozitat e përfshira në paranë e gjerë sipas sektorëve, afatit në lek dhe valutë</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 xml:space="preserve">8. Kredia </w:t>
            </w:r>
            <w:r w:rsidR="00030D25" w:rsidRPr="004F2AC3">
              <w:rPr>
                <w:rFonts w:ascii="Garamond" w:eastAsia="Times New Roman" w:hAnsi="Garamond" w:cs="Times New Roman"/>
                <w:color w:val="000000"/>
                <w:sz w:val="10"/>
                <w:szCs w:val="10"/>
                <w:lang w:eastAsia="sq-AL"/>
              </w:rPr>
              <w:t>për</w:t>
            </w:r>
            <w:r w:rsidR="0021321C" w:rsidRPr="004F2AC3">
              <w:rPr>
                <w:rFonts w:ascii="Garamond" w:eastAsia="Times New Roman" w:hAnsi="Garamond" w:cs="Times New Roman"/>
                <w:color w:val="000000"/>
                <w:sz w:val="10"/>
                <w:szCs w:val="10"/>
                <w:lang w:eastAsia="sq-AL"/>
              </w:rPr>
              <w:t xml:space="preserve"> </w:t>
            </w:r>
            <w:r w:rsidR="00030D25" w:rsidRPr="004F2AC3">
              <w:rPr>
                <w:rFonts w:ascii="Garamond" w:eastAsia="Times New Roman" w:hAnsi="Garamond" w:cs="Times New Roman"/>
                <w:color w:val="000000"/>
                <w:sz w:val="10"/>
                <w:szCs w:val="10"/>
                <w:lang w:eastAsia="sq-AL"/>
              </w:rPr>
              <w:t>ekonominë</w:t>
            </w:r>
            <w:r w:rsidR="0021321C" w:rsidRPr="004F2AC3">
              <w:rPr>
                <w:rFonts w:ascii="Garamond" w:eastAsia="Times New Roman" w:hAnsi="Garamond" w:cs="Times New Roman"/>
                <w:color w:val="000000"/>
                <w:sz w:val="10"/>
                <w:szCs w:val="10"/>
                <w:lang w:eastAsia="sq-AL"/>
              </w:rPr>
              <w:t xml:space="preserve"> sipas sektorëve institucionalë në lek dhe valutë</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9. Normat e interes</w:t>
            </w:r>
            <w:r w:rsidR="00030D25" w:rsidRPr="004F2AC3">
              <w:rPr>
                <w:rFonts w:ascii="Garamond" w:eastAsia="Times New Roman" w:hAnsi="Garamond" w:cs="Times New Roman"/>
                <w:color w:val="000000"/>
                <w:sz w:val="10"/>
                <w:szCs w:val="10"/>
                <w:lang w:eastAsia="sq-AL"/>
              </w:rPr>
              <w:t>it për depozitat dhe huat</w:t>
            </w:r>
            <w:r w:rsidR="0021321C" w:rsidRPr="004F2AC3">
              <w:rPr>
                <w:rFonts w:ascii="Garamond" w:eastAsia="Times New Roman" w:hAnsi="Garamond" w:cs="Times New Roman"/>
                <w:color w:val="000000"/>
                <w:sz w:val="10"/>
                <w:szCs w:val="10"/>
                <w:lang w:eastAsia="sq-AL"/>
              </w:rPr>
              <w:t xml:space="preserve"> e reja/gjendje në fund të periudhës dhe sasit</w:t>
            </w:r>
            <w:r w:rsidR="005B3A9C" w:rsidRPr="004F2AC3">
              <w:rPr>
                <w:rFonts w:ascii="Garamond" w:eastAsia="Times New Roman" w:hAnsi="Garamond" w:cs="Times New Roman"/>
                <w:color w:val="000000"/>
                <w:sz w:val="10"/>
                <w:szCs w:val="10"/>
                <w:lang w:eastAsia="sq-AL"/>
              </w:rPr>
              <w:t>ë korresponduese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10. Kursi i këmbimit mesatar mujor</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11. Kursi i këmbimit i ditës së fundit</w:t>
            </w:r>
            <w:r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000000" w:fill="FFFFFF"/>
            <w:vAlign w:val="center"/>
            <w:hideMark/>
          </w:tcPr>
          <w:p w14:paraId="635EE164" w14:textId="764816B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Banka e Shqipërisë</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Autoriteti i Mbikëqyrjes Financiare</w:t>
            </w:r>
            <w:r w:rsidR="00DB4BE5" w:rsidRPr="004F2AC3">
              <w:rPr>
                <w:rFonts w:ascii="Garamond" w:eastAsia="Times New Roman" w:hAnsi="Garamond" w:cs="Times New Roman"/>
                <w:color w:val="000000"/>
                <w:sz w:val="10"/>
                <w:szCs w:val="10"/>
                <w:lang w:eastAsia="sq-AL"/>
              </w:rPr>
              <w:t>.</w:t>
            </w:r>
          </w:p>
        </w:tc>
        <w:tc>
          <w:tcPr>
            <w:tcW w:w="413" w:type="dxa"/>
            <w:tcBorders>
              <w:top w:val="nil"/>
              <w:left w:val="nil"/>
              <w:bottom w:val="nil"/>
              <w:right w:val="single" w:sz="4" w:space="0" w:color="auto"/>
            </w:tcBorders>
            <w:shd w:val="clear" w:color="000000" w:fill="FFFFFF"/>
            <w:vAlign w:val="center"/>
            <w:hideMark/>
          </w:tcPr>
          <w:p w14:paraId="49F99C02" w14:textId="2A79123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Banka e </w:t>
            </w:r>
            <w:r w:rsidR="00030D25" w:rsidRPr="004F2AC3">
              <w:rPr>
                <w:rFonts w:ascii="Garamond" w:eastAsia="Times New Roman" w:hAnsi="Garamond" w:cs="Times New Roman"/>
                <w:color w:val="000000"/>
                <w:sz w:val="10"/>
                <w:szCs w:val="10"/>
                <w:lang w:eastAsia="sq-AL"/>
              </w:rPr>
              <w:t>Shqipërisë</w:t>
            </w:r>
          </w:p>
        </w:tc>
        <w:tc>
          <w:tcPr>
            <w:tcW w:w="466" w:type="dxa"/>
            <w:tcBorders>
              <w:top w:val="nil"/>
              <w:left w:val="nil"/>
              <w:bottom w:val="nil"/>
              <w:right w:val="single" w:sz="4" w:space="0" w:color="auto"/>
            </w:tcBorders>
            <w:shd w:val="clear" w:color="000000" w:fill="FFFFFF"/>
            <w:vAlign w:val="center"/>
            <w:hideMark/>
          </w:tcPr>
          <w:p w14:paraId="07E2DB0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+ 10D</w:t>
            </w:r>
          </w:p>
        </w:tc>
        <w:tc>
          <w:tcPr>
            <w:tcW w:w="385" w:type="dxa"/>
            <w:tcBorders>
              <w:top w:val="nil"/>
              <w:left w:val="nil"/>
              <w:bottom w:val="nil"/>
              <w:right w:val="single" w:sz="4" w:space="0" w:color="auto"/>
            </w:tcBorders>
            <w:shd w:val="clear" w:color="000000" w:fill="FFFFFF"/>
            <w:vAlign w:val="center"/>
            <w:hideMark/>
          </w:tcPr>
          <w:p w14:paraId="24F9A7B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+ 25D</w:t>
            </w:r>
          </w:p>
        </w:tc>
        <w:tc>
          <w:tcPr>
            <w:tcW w:w="361" w:type="dxa"/>
            <w:tcBorders>
              <w:top w:val="nil"/>
              <w:left w:val="nil"/>
              <w:bottom w:val="nil"/>
              <w:right w:val="single" w:sz="4" w:space="0" w:color="auto"/>
            </w:tcBorders>
            <w:shd w:val="clear" w:color="000000" w:fill="FFFFFF"/>
            <w:vAlign w:val="center"/>
            <w:hideMark/>
          </w:tcPr>
          <w:p w14:paraId="18A4AB5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+ 28D</w:t>
            </w:r>
          </w:p>
        </w:tc>
        <w:tc>
          <w:tcPr>
            <w:tcW w:w="732" w:type="dxa"/>
            <w:tcBorders>
              <w:top w:val="nil"/>
              <w:left w:val="nil"/>
              <w:bottom w:val="nil"/>
              <w:right w:val="single" w:sz="4" w:space="0" w:color="auto"/>
            </w:tcBorders>
            <w:shd w:val="clear" w:color="000000" w:fill="FFFFFF"/>
            <w:vAlign w:val="center"/>
            <w:hideMark/>
          </w:tcPr>
          <w:p w14:paraId="004F0759" w14:textId="40F01F0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w:t>
            </w:r>
            <w:r w:rsidR="007B55C4" w:rsidRPr="004F2AC3">
              <w:rPr>
                <w:rFonts w:ascii="Garamond" w:eastAsia="Times New Roman" w:hAnsi="Garamond" w:cs="Times New Roman"/>
                <w:color w:val="000000"/>
                <w:sz w:val="10"/>
                <w:szCs w:val="10"/>
                <w:lang w:eastAsia="sq-AL"/>
              </w:rPr>
              <w:t xml:space="preserve"> së të</w:t>
            </w:r>
            <w:r w:rsidRPr="004F2AC3">
              <w:rPr>
                <w:rFonts w:ascii="Garamond" w:eastAsia="Times New Roman" w:hAnsi="Garamond" w:cs="Times New Roman"/>
                <w:color w:val="000000"/>
                <w:sz w:val="10"/>
                <w:szCs w:val="10"/>
                <w:lang w:eastAsia="sq-AL"/>
              </w:rPr>
              <w:t xml:space="preserve"> </w:t>
            </w:r>
            <w:r w:rsidR="00030D25" w:rsidRPr="004F2AC3">
              <w:rPr>
                <w:rFonts w:ascii="Garamond" w:eastAsia="Times New Roman" w:hAnsi="Garamond" w:cs="Times New Roman"/>
                <w:color w:val="000000"/>
                <w:sz w:val="10"/>
                <w:szCs w:val="10"/>
                <w:lang w:eastAsia="sq-AL"/>
              </w:rPr>
              <w:t>dhënave</w:t>
            </w:r>
            <w:r w:rsidRPr="004F2AC3">
              <w:rPr>
                <w:rFonts w:ascii="Garamond" w:eastAsia="Times New Roman" w:hAnsi="Garamond" w:cs="Times New Roman"/>
                <w:color w:val="000000"/>
                <w:sz w:val="10"/>
                <w:szCs w:val="10"/>
                <w:lang w:eastAsia="sq-AL"/>
              </w:rPr>
              <w:t xml:space="preserve"> nga burimet administrative -|- 3</w:t>
            </w:r>
            <w:r w:rsidRPr="004F2AC3">
              <w:rPr>
                <w:rFonts w:ascii="Garamond" w:eastAsia="Times New Roman" w:hAnsi="Garamond" w:cs="Times New Roman"/>
                <w:color w:val="000000"/>
                <w:sz w:val="10"/>
                <w:szCs w:val="10"/>
                <w:lang w:eastAsia="sq-AL"/>
              </w:rPr>
              <w:br/>
              <w:t>2. Gabimet në raportimin e të dhënave -|- 3</w:t>
            </w:r>
            <w:r w:rsidRPr="004F2AC3">
              <w:rPr>
                <w:rFonts w:ascii="Garamond" w:eastAsia="Times New Roman" w:hAnsi="Garamond" w:cs="Times New Roman"/>
                <w:color w:val="000000"/>
                <w:sz w:val="10"/>
                <w:szCs w:val="10"/>
                <w:lang w:eastAsia="sq-AL"/>
              </w:rPr>
              <w:br/>
              <w:t>3. Mosfunksionimi i sistemit elektronik të raportimit -|- 1</w:t>
            </w:r>
          </w:p>
        </w:tc>
        <w:tc>
          <w:tcPr>
            <w:tcW w:w="551" w:type="dxa"/>
            <w:tcBorders>
              <w:top w:val="nil"/>
              <w:left w:val="nil"/>
              <w:bottom w:val="nil"/>
              <w:right w:val="single" w:sz="4" w:space="0" w:color="auto"/>
            </w:tcBorders>
            <w:shd w:val="clear" w:color="000000" w:fill="FFFFFF"/>
            <w:vAlign w:val="center"/>
            <w:hideMark/>
          </w:tcPr>
          <w:p w14:paraId="72D99E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Buxheti i Bankës</w:t>
            </w:r>
          </w:p>
        </w:tc>
      </w:tr>
      <w:tr w:rsidR="0021321C" w:rsidRPr="004F2AC3" w14:paraId="6FB48F99" w14:textId="77777777" w:rsidTr="0021321C">
        <w:trPr>
          <w:trHeight w:val="180"/>
          <w:jc w:val="center"/>
        </w:trPr>
        <w:tc>
          <w:tcPr>
            <w:tcW w:w="388" w:type="dxa"/>
            <w:tcBorders>
              <w:top w:val="nil"/>
              <w:left w:val="nil"/>
              <w:bottom w:val="nil"/>
              <w:right w:val="nil"/>
            </w:tcBorders>
            <w:shd w:val="clear" w:color="000000" w:fill="FFFFFF"/>
            <w:vAlign w:val="bottom"/>
            <w:hideMark/>
          </w:tcPr>
          <w:p w14:paraId="018D485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41C4DA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center"/>
            <w:hideMark/>
          </w:tcPr>
          <w:p w14:paraId="6CDBCDA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center"/>
            <w:hideMark/>
          </w:tcPr>
          <w:p w14:paraId="476E01D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2492F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2.2.3</w:t>
            </w:r>
          </w:p>
        </w:tc>
        <w:tc>
          <w:tcPr>
            <w:tcW w:w="7813" w:type="dxa"/>
            <w:gridSpan w:val="16"/>
            <w:tcBorders>
              <w:top w:val="single" w:sz="4" w:space="0" w:color="auto"/>
              <w:left w:val="nil"/>
              <w:bottom w:val="single" w:sz="4" w:space="0" w:color="auto"/>
              <w:right w:val="single" w:sz="4" w:space="0" w:color="auto"/>
            </w:tcBorders>
            <w:shd w:val="clear" w:color="000000" w:fill="F2F2F2"/>
            <w:vAlign w:val="center"/>
            <w:hideMark/>
          </w:tcPr>
          <w:p w14:paraId="2CAC7941" w14:textId="396664E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w:t>
            </w:r>
            <w:r w:rsidR="00DB4BE5" w:rsidRPr="004F2AC3">
              <w:rPr>
                <w:rFonts w:ascii="Garamond" w:eastAsia="Times New Roman" w:hAnsi="Garamond" w:cs="Times New Roman"/>
                <w:color w:val="000000"/>
                <w:sz w:val="10"/>
                <w:szCs w:val="10"/>
                <w:lang w:eastAsia="sq-AL"/>
              </w:rPr>
              <w:t xml:space="preserve">financiare të qeverisë </w:t>
            </w:r>
            <w:r w:rsidRPr="004F2AC3">
              <w:rPr>
                <w:rFonts w:ascii="Garamond" w:eastAsia="Times New Roman" w:hAnsi="Garamond" w:cs="Times New Roman"/>
                <w:color w:val="000000"/>
                <w:sz w:val="10"/>
                <w:szCs w:val="10"/>
                <w:lang w:eastAsia="sq-AL"/>
              </w:rPr>
              <w:t xml:space="preserve">sipas GFSM2014 dhe </w:t>
            </w:r>
            <w:r w:rsidR="00DB4BE5" w:rsidRPr="004F2AC3">
              <w:rPr>
                <w:rFonts w:ascii="Garamond" w:eastAsia="Times New Roman" w:hAnsi="Garamond" w:cs="Times New Roman"/>
                <w:color w:val="000000"/>
                <w:sz w:val="10"/>
                <w:szCs w:val="10"/>
                <w:lang w:eastAsia="sq-AL"/>
              </w:rPr>
              <w:t>pasqyrat financiare të konsoliduara të qeverisë</w:t>
            </w:r>
          </w:p>
        </w:tc>
      </w:tr>
      <w:tr w:rsidR="00C73163" w:rsidRPr="004F2AC3" w14:paraId="08CB849A" w14:textId="77777777" w:rsidTr="0021321C">
        <w:trPr>
          <w:trHeight w:val="180"/>
          <w:jc w:val="center"/>
        </w:trPr>
        <w:tc>
          <w:tcPr>
            <w:tcW w:w="388" w:type="dxa"/>
            <w:tcBorders>
              <w:top w:val="nil"/>
              <w:left w:val="nil"/>
              <w:bottom w:val="nil"/>
              <w:right w:val="nil"/>
            </w:tcBorders>
            <w:shd w:val="clear" w:color="000000" w:fill="FFFFFF"/>
            <w:vAlign w:val="bottom"/>
            <w:hideMark/>
          </w:tcPr>
          <w:p w14:paraId="7CF5CA6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C61D7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center"/>
            <w:hideMark/>
          </w:tcPr>
          <w:p w14:paraId="508FC27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center"/>
            <w:hideMark/>
          </w:tcPr>
          <w:p w14:paraId="3623DAD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single" w:sz="4" w:space="0" w:color="000000"/>
              <w:right w:val="nil"/>
            </w:tcBorders>
            <w:shd w:val="clear" w:color="000000" w:fill="FFFFFF"/>
            <w:vAlign w:val="center"/>
            <w:hideMark/>
          </w:tcPr>
          <w:p w14:paraId="188F703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single" w:sz="4" w:space="0" w:color="000000"/>
              <w:right w:val="nil"/>
            </w:tcBorders>
            <w:shd w:val="clear" w:color="000000" w:fill="FFFFFF"/>
            <w:vAlign w:val="center"/>
            <w:hideMark/>
          </w:tcPr>
          <w:p w14:paraId="51D1402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6397054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2.2.3.1</w:t>
            </w:r>
          </w:p>
        </w:tc>
        <w:tc>
          <w:tcPr>
            <w:tcW w:w="563" w:type="dxa"/>
            <w:tcBorders>
              <w:top w:val="nil"/>
              <w:left w:val="nil"/>
              <w:bottom w:val="single" w:sz="4" w:space="0" w:color="auto"/>
              <w:right w:val="single" w:sz="4" w:space="0" w:color="auto"/>
            </w:tcBorders>
            <w:shd w:val="clear" w:color="000000" w:fill="FFFFFF"/>
            <w:vAlign w:val="center"/>
            <w:hideMark/>
          </w:tcPr>
          <w:p w14:paraId="33B1C72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Financiare të Qeverisë sipas GFSM2014 dhe Pasqyrat Financiare të Konsoliduara të Qeverisë</w:t>
            </w:r>
          </w:p>
        </w:tc>
        <w:tc>
          <w:tcPr>
            <w:tcW w:w="446" w:type="dxa"/>
            <w:tcBorders>
              <w:top w:val="nil"/>
              <w:left w:val="nil"/>
              <w:bottom w:val="single" w:sz="4" w:space="0" w:color="auto"/>
              <w:right w:val="single" w:sz="4" w:space="0" w:color="auto"/>
            </w:tcBorders>
            <w:shd w:val="clear" w:color="000000" w:fill="FFFFFF"/>
            <w:vAlign w:val="center"/>
            <w:hideMark/>
          </w:tcPr>
          <w:p w14:paraId="4632585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vAlign w:val="center"/>
            <w:hideMark/>
          </w:tcPr>
          <w:p w14:paraId="147409C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100%</w:t>
            </w:r>
          </w:p>
        </w:tc>
        <w:tc>
          <w:tcPr>
            <w:tcW w:w="301" w:type="dxa"/>
            <w:tcBorders>
              <w:top w:val="nil"/>
              <w:left w:val="nil"/>
              <w:bottom w:val="single" w:sz="4" w:space="0" w:color="auto"/>
              <w:right w:val="single" w:sz="4" w:space="0" w:color="auto"/>
            </w:tcBorders>
            <w:shd w:val="clear" w:color="000000" w:fill="FFFFFF"/>
            <w:vAlign w:val="center"/>
            <w:hideMark/>
          </w:tcPr>
          <w:p w14:paraId="42A6E62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17D8A3D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000000" w:fill="FFFFFF"/>
            <w:vAlign w:val="center"/>
            <w:hideMark/>
          </w:tcPr>
          <w:p w14:paraId="6D1132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000000" w:fill="FFFFFF"/>
            <w:vAlign w:val="center"/>
            <w:hideMark/>
          </w:tcPr>
          <w:p w14:paraId="47BD3ECF" w14:textId="231A974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Pasqyra I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Operacionet e Qeverisë</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Pasqyra II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Burimet dhe Përdorimet e Parasë</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Tabela 1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Të Ardhurat</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 Tabela 2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Shpenzimet Korrente</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 Tabela 3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Transaksionet në Aktive dhe Pasive</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6. Tabela 6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Bilanci i Konsoliduar i Qeverisë</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7. Tabela 7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Shpenzimet sipas funksioneve</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8. Tabela 1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Pasqyra e bilancit të konsoliduar</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9. Tabela 2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Pasqyra e Rezultatit Financiar</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10. Tabela 3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Pasqyra e </w:t>
            </w:r>
            <w:r w:rsidR="00612841" w:rsidRPr="004F2AC3">
              <w:rPr>
                <w:rFonts w:ascii="Garamond" w:eastAsia="Times New Roman" w:hAnsi="Garamond" w:cs="Times New Roman"/>
                <w:color w:val="000000"/>
                <w:sz w:val="10"/>
                <w:szCs w:val="10"/>
                <w:lang w:eastAsia="sq-AL"/>
              </w:rPr>
              <w:t>lëvizjes</w:t>
            </w:r>
            <w:r w:rsidRPr="004F2AC3">
              <w:rPr>
                <w:rFonts w:ascii="Garamond" w:eastAsia="Times New Roman" w:hAnsi="Garamond" w:cs="Times New Roman"/>
                <w:color w:val="000000"/>
                <w:sz w:val="10"/>
                <w:szCs w:val="10"/>
                <w:lang w:eastAsia="sq-AL"/>
              </w:rPr>
              <w:t xml:space="preserve"> së Cash-I</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11. Tabela 4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Pasqyra e </w:t>
            </w:r>
            <w:r w:rsidR="00612841" w:rsidRPr="004F2AC3">
              <w:rPr>
                <w:rFonts w:ascii="Garamond" w:eastAsia="Times New Roman" w:hAnsi="Garamond" w:cs="Times New Roman"/>
                <w:color w:val="000000"/>
                <w:sz w:val="10"/>
                <w:szCs w:val="10"/>
                <w:lang w:eastAsia="sq-AL"/>
              </w:rPr>
              <w:t>lëvizjeve</w:t>
            </w:r>
            <w:r w:rsidRPr="004F2AC3">
              <w:rPr>
                <w:rFonts w:ascii="Garamond" w:eastAsia="Times New Roman" w:hAnsi="Garamond" w:cs="Times New Roman"/>
                <w:color w:val="000000"/>
                <w:sz w:val="10"/>
                <w:szCs w:val="10"/>
                <w:lang w:eastAsia="sq-AL"/>
              </w:rPr>
              <w:t xml:space="preserve"> të kapitalit</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12. Tabela 5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Pasqyra e Aseteve Fikse</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13. Tabela 6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Pasqyra e Burimeve dhe Shpenzimeve për investime</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421F59CD" w14:textId="4663BB7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Ministria e Financave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Banka e Shqipërisë</w:t>
            </w:r>
            <w:r w:rsidR="00DB4BE5"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000000" w:fill="FFFFFF"/>
            <w:vAlign w:val="center"/>
            <w:hideMark/>
          </w:tcPr>
          <w:p w14:paraId="47C4D5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Ministria e Financave </w:t>
            </w:r>
          </w:p>
        </w:tc>
        <w:tc>
          <w:tcPr>
            <w:tcW w:w="466" w:type="dxa"/>
            <w:tcBorders>
              <w:top w:val="nil"/>
              <w:left w:val="nil"/>
              <w:bottom w:val="single" w:sz="4" w:space="0" w:color="auto"/>
              <w:right w:val="single" w:sz="4" w:space="0" w:color="auto"/>
            </w:tcBorders>
            <w:shd w:val="clear" w:color="000000" w:fill="FFFFFF"/>
            <w:vAlign w:val="center"/>
            <w:hideMark/>
          </w:tcPr>
          <w:p w14:paraId="6547382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+ 181D</w:t>
            </w:r>
          </w:p>
        </w:tc>
        <w:tc>
          <w:tcPr>
            <w:tcW w:w="385" w:type="dxa"/>
            <w:tcBorders>
              <w:top w:val="nil"/>
              <w:left w:val="nil"/>
              <w:bottom w:val="single" w:sz="4" w:space="0" w:color="auto"/>
              <w:right w:val="single" w:sz="4" w:space="0" w:color="auto"/>
            </w:tcBorders>
            <w:shd w:val="clear" w:color="000000" w:fill="FFFFFF"/>
            <w:vAlign w:val="center"/>
            <w:hideMark/>
          </w:tcPr>
          <w:p w14:paraId="7841066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+ 273D</w:t>
            </w:r>
          </w:p>
        </w:tc>
        <w:tc>
          <w:tcPr>
            <w:tcW w:w="361" w:type="dxa"/>
            <w:tcBorders>
              <w:top w:val="nil"/>
              <w:left w:val="nil"/>
              <w:bottom w:val="single" w:sz="4" w:space="0" w:color="auto"/>
              <w:right w:val="single" w:sz="4" w:space="0" w:color="auto"/>
            </w:tcBorders>
            <w:shd w:val="clear" w:color="000000" w:fill="FFFFFF"/>
            <w:vAlign w:val="center"/>
            <w:hideMark/>
          </w:tcPr>
          <w:p w14:paraId="719EA08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+ 273D</w:t>
            </w:r>
          </w:p>
        </w:tc>
        <w:tc>
          <w:tcPr>
            <w:tcW w:w="732" w:type="dxa"/>
            <w:tcBorders>
              <w:top w:val="nil"/>
              <w:left w:val="nil"/>
              <w:bottom w:val="single" w:sz="4" w:space="0" w:color="auto"/>
              <w:right w:val="single" w:sz="4" w:space="0" w:color="auto"/>
            </w:tcBorders>
            <w:shd w:val="clear" w:color="000000" w:fill="FFFFFF"/>
            <w:vAlign w:val="center"/>
            <w:hideMark/>
          </w:tcPr>
          <w:p w14:paraId="6D80A35E" w14:textId="606487D7" w:rsidR="0021321C" w:rsidRPr="004F2AC3" w:rsidRDefault="0021321C" w:rsidP="00612841">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Vonesa e dorëzimit të Pasqyrave Financiare në MF (me vonesë deri në </w:t>
            </w:r>
            <w:r w:rsidR="00612841" w:rsidRPr="004F2AC3">
              <w:rPr>
                <w:rFonts w:ascii="Garamond" w:eastAsia="Times New Roman" w:hAnsi="Garamond" w:cs="Times New Roman"/>
                <w:color w:val="000000"/>
                <w:sz w:val="10"/>
                <w:szCs w:val="10"/>
                <w:lang w:eastAsia="sq-AL"/>
              </w:rPr>
              <w:t>k</w:t>
            </w:r>
            <w:r w:rsidRPr="004F2AC3">
              <w:rPr>
                <w:rFonts w:ascii="Garamond" w:eastAsia="Times New Roman" w:hAnsi="Garamond" w:cs="Times New Roman"/>
                <w:color w:val="000000"/>
                <w:sz w:val="10"/>
                <w:szCs w:val="10"/>
                <w:lang w:eastAsia="sq-AL"/>
              </w:rPr>
              <w:t>orrik</w:t>
            </w:r>
            <w:r w:rsidR="00612841" w:rsidRPr="004F2AC3">
              <w:rPr>
                <w:rFonts w:ascii="Garamond" w:eastAsia="Times New Roman" w:hAnsi="Garamond" w:cs="Times New Roman"/>
                <w:color w:val="000000"/>
                <w:sz w:val="10"/>
                <w:szCs w:val="10"/>
                <w:lang w:eastAsia="sq-AL"/>
              </w:rPr>
              <w:t xml:space="preserve"> – g</w:t>
            </w:r>
            <w:r w:rsidRPr="004F2AC3">
              <w:rPr>
                <w:rFonts w:ascii="Garamond" w:eastAsia="Times New Roman" w:hAnsi="Garamond" w:cs="Times New Roman"/>
                <w:color w:val="000000"/>
                <w:sz w:val="10"/>
                <w:szCs w:val="10"/>
                <w:lang w:eastAsia="sq-AL"/>
              </w:rPr>
              <w:t xml:space="preserve">usht) </w:t>
            </w:r>
          </w:p>
        </w:tc>
        <w:tc>
          <w:tcPr>
            <w:tcW w:w="551" w:type="dxa"/>
            <w:tcBorders>
              <w:top w:val="nil"/>
              <w:left w:val="nil"/>
              <w:bottom w:val="single" w:sz="4" w:space="0" w:color="auto"/>
              <w:right w:val="single" w:sz="4" w:space="0" w:color="auto"/>
            </w:tcBorders>
            <w:shd w:val="clear" w:color="000000" w:fill="FFFFFF"/>
            <w:vAlign w:val="center"/>
            <w:hideMark/>
          </w:tcPr>
          <w:p w14:paraId="7B084EF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6C75B4E7" w14:textId="77777777" w:rsidTr="0021321C">
        <w:trPr>
          <w:trHeight w:val="180"/>
          <w:jc w:val="center"/>
        </w:trPr>
        <w:tc>
          <w:tcPr>
            <w:tcW w:w="388" w:type="dxa"/>
            <w:tcBorders>
              <w:top w:val="nil"/>
              <w:left w:val="nil"/>
              <w:bottom w:val="nil"/>
              <w:right w:val="nil"/>
            </w:tcBorders>
            <w:shd w:val="clear" w:color="000000" w:fill="FFFFFF"/>
            <w:vAlign w:val="bottom"/>
            <w:hideMark/>
          </w:tcPr>
          <w:p w14:paraId="02AAB41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9CB3C9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4DFE7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CBCA7D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2F2F2"/>
            <w:vAlign w:val="center"/>
            <w:hideMark/>
          </w:tcPr>
          <w:p w14:paraId="3C7FCC0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2.2.4</w:t>
            </w:r>
          </w:p>
        </w:tc>
        <w:tc>
          <w:tcPr>
            <w:tcW w:w="7813" w:type="dxa"/>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0DC2279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Borxhit të sektorit buxhetor të qeverisë dhe borxhit të garantuar</w:t>
            </w:r>
          </w:p>
        </w:tc>
      </w:tr>
      <w:tr w:rsidR="00C73163" w:rsidRPr="004F2AC3" w14:paraId="4B279BD1" w14:textId="77777777" w:rsidTr="0021321C">
        <w:trPr>
          <w:trHeight w:val="180"/>
          <w:jc w:val="center"/>
        </w:trPr>
        <w:tc>
          <w:tcPr>
            <w:tcW w:w="388" w:type="dxa"/>
            <w:tcBorders>
              <w:top w:val="nil"/>
              <w:left w:val="nil"/>
              <w:bottom w:val="nil"/>
              <w:right w:val="nil"/>
            </w:tcBorders>
            <w:shd w:val="clear" w:color="000000" w:fill="FFFFFF"/>
            <w:vAlign w:val="bottom"/>
            <w:hideMark/>
          </w:tcPr>
          <w:p w14:paraId="7AA9F51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52C07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529012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11F44A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79ADA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ACC5DA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3D30CC8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2.2.4.1</w:t>
            </w:r>
          </w:p>
        </w:tc>
        <w:tc>
          <w:tcPr>
            <w:tcW w:w="563" w:type="dxa"/>
            <w:tcBorders>
              <w:top w:val="nil"/>
              <w:left w:val="nil"/>
              <w:bottom w:val="single" w:sz="4" w:space="0" w:color="auto"/>
              <w:right w:val="single" w:sz="4" w:space="0" w:color="auto"/>
            </w:tcBorders>
            <w:shd w:val="clear" w:color="000000" w:fill="FFFFFF"/>
            <w:vAlign w:val="center"/>
            <w:hideMark/>
          </w:tcPr>
          <w:p w14:paraId="1423CF6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Borxhit të sektorit buxhetor të qeverisë dhe borxhit të garantuar</w:t>
            </w:r>
          </w:p>
        </w:tc>
        <w:tc>
          <w:tcPr>
            <w:tcW w:w="446" w:type="dxa"/>
            <w:tcBorders>
              <w:top w:val="nil"/>
              <w:left w:val="nil"/>
              <w:bottom w:val="single" w:sz="4" w:space="0" w:color="auto"/>
              <w:right w:val="single" w:sz="4" w:space="0" w:color="auto"/>
            </w:tcBorders>
            <w:shd w:val="clear" w:color="000000" w:fill="FFFFFF"/>
            <w:vAlign w:val="center"/>
            <w:hideMark/>
          </w:tcPr>
          <w:p w14:paraId="3CD98E1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012E08F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000000" w:fill="FFFFFF"/>
            <w:vAlign w:val="center"/>
            <w:hideMark/>
          </w:tcPr>
          <w:p w14:paraId="5E1AAD1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406E4E0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000000" w:fill="FFFFFF"/>
            <w:vAlign w:val="center"/>
            <w:hideMark/>
          </w:tcPr>
          <w:p w14:paraId="62B33FB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single" w:sz="4" w:space="0" w:color="auto"/>
              <w:right w:val="single" w:sz="4" w:space="0" w:color="auto"/>
            </w:tcBorders>
            <w:shd w:val="clear" w:color="000000" w:fill="FFFFFF"/>
            <w:vAlign w:val="center"/>
            <w:hideMark/>
          </w:tcPr>
          <w:p w14:paraId="11A0815D" w14:textId="2A9A11E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Borxhi i brendshëm</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Borxhi i jashtëm</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Interesat e borxhit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Borxhi i garantuar</w:t>
            </w:r>
            <w:r w:rsidR="00DB4BE5"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558F88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Kreditorët</w:t>
            </w:r>
          </w:p>
        </w:tc>
        <w:tc>
          <w:tcPr>
            <w:tcW w:w="413" w:type="dxa"/>
            <w:tcBorders>
              <w:top w:val="nil"/>
              <w:left w:val="nil"/>
              <w:bottom w:val="single" w:sz="4" w:space="0" w:color="auto"/>
              <w:right w:val="single" w:sz="4" w:space="0" w:color="auto"/>
            </w:tcBorders>
            <w:shd w:val="clear" w:color="000000" w:fill="FFFFFF"/>
            <w:vAlign w:val="center"/>
            <w:hideMark/>
          </w:tcPr>
          <w:p w14:paraId="7E748DC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Financave</w:t>
            </w:r>
          </w:p>
        </w:tc>
        <w:tc>
          <w:tcPr>
            <w:tcW w:w="466" w:type="dxa"/>
            <w:tcBorders>
              <w:top w:val="nil"/>
              <w:left w:val="nil"/>
              <w:bottom w:val="single" w:sz="4" w:space="0" w:color="auto"/>
              <w:right w:val="single" w:sz="4" w:space="0" w:color="auto"/>
            </w:tcBorders>
            <w:shd w:val="clear" w:color="000000" w:fill="FFFFFF"/>
            <w:vAlign w:val="center"/>
            <w:hideMark/>
          </w:tcPr>
          <w:p w14:paraId="5870387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+ 25D</w:t>
            </w:r>
          </w:p>
        </w:tc>
        <w:tc>
          <w:tcPr>
            <w:tcW w:w="385" w:type="dxa"/>
            <w:tcBorders>
              <w:top w:val="nil"/>
              <w:left w:val="nil"/>
              <w:bottom w:val="single" w:sz="4" w:space="0" w:color="auto"/>
              <w:right w:val="single" w:sz="4" w:space="0" w:color="auto"/>
            </w:tcBorders>
            <w:shd w:val="clear" w:color="000000" w:fill="FFFFFF"/>
            <w:vAlign w:val="center"/>
            <w:hideMark/>
          </w:tcPr>
          <w:p w14:paraId="64328B4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+ 28D</w:t>
            </w:r>
          </w:p>
        </w:tc>
        <w:tc>
          <w:tcPr>
            <w:tcW w:w="361" w:type="dxa"/>
            <w:tcBorders>
              <w:top w:val="nil"/>
              <w:left w:val="nil"/>
              <w:bottom w:val="single" w:sz="4" w:space="0" w:color="auto"/>
              <w:right w:val="single" w:sz="4" w:space="0" w:color="auto"/>
            </w:tcBorders>
            <w:shd w:val="clear" w:color="000000" w:fill="FFFFFF"/>
            <w:vAlign w:val="center"/>
            <w:hideMark/>
          </w:tcPr>
          <w:p w14:paraId="021664D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+ 30D</w:t>
            </w:r>
          </w:p>
        </w:tc>
        <w:tc>
          <w:tcPr>
            <w:tcW w:w="732" w:type="dxa"/>
            <w:tcBorders>
              <w:top w:val="nil"/>
              <w:left w:val="nil"/>
              <w:bottom w:val="single" w:sz="4" w:space="0" w:color="auto"/>
              <w:right w:val="single" w:sz="4" w:space="0" w:color="auto"/>
            </w:tcBorders>
            <w:shd w:val="clear" w:color="000000" w:fill="FFFFFF"/>
            <w:vAlign w:val="center"/>
            <w:hideMark/>
          </w:tcPr>
          <w:p w14:paraId="302810A2" w14:textId="2DE24FC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Marrja me vonesë</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e informacionit -|- 3</w:t>
            </w:r>
          </w:p>
        </w:tc>
        <w:tc>
          <w:tcPr>
            <w:tcW w:w="551" w:type="dxa"/>
            <w:tcBorders>
              <w:top w:val="nil"/>
              <w:left w:val="nil"/>
              <w:bottom w:val="single" w:sz="4" w:space="0" w:color="auto"/>
              <w:right w:val="single" w:sz="4" w:space="0" w:color="auto"/>
            </w:tcBorders>
            <w:shd w:val="clear" w:color="000000" w:fill="FFFFFF"/>
            <w:vAlign w:val="center"/>
            <w:hideMark/>
          </w:tcPr>
          <w:p w14:paraId="0C12DFF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6BBEFE7E" w14:textId="77777777" w:rsidTr="0021321C">
        <w:trPr>
          <w:trHeight w:val="180"/>
          <w:jc w:val="center"/>
        </w:trPr>
        <w:tc>
          <w:tcPr>
            <w:tcW w:w="388" w:type="dxa"/>
            <w:tcBorders>
              <w:top w:val="nil"/>
              <w:left w:val="nil"/>
              <w:bottom w:val="nil"/>
              <w:right w:val="nil"/>
            </w:tcBorders>
            <w:shd w:val="clear" w:color="000000" w:fill="FFFFFF"/>
            <w:vAlign w:val="bottom"/>
            <w:hideMark/>
          </w:tcPr>
          <w:p w14:paraId="49916F8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B7056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FAA992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EC2C31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2F2F2"/>
            <w:vAlign w:val="center"/>
            <w:hideMark/>
          </w:tcPr>
          <w:p w14:paraId="70C3133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2.2.5</w:t>
            </w:r>
          </w:p>
        </w:tc>
        <w:tc>
          <w:tcPr>
            <w:tcW w:w="7813" w:type="dxa"/>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06C5C26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Financiare të Qeverisë sipas ESA2010</w:t>
            </w:r>
          </w:p>
        </w:tc>
      </w:tr>
      <w:tr w:rsidR="00C73163" w:rsidRPr="004F2AC3" w14:paraId="2C69DA14" w14:textId="77777777" w:rsidTr="0021321C">
        <w:trPr>
          <w:trHeight w:val="180"/>
          <w:jc w:val="center"/>
        </w:trPr>
        <w:tc>
          <w:tcPr>
            <w:tcW w:w="388" w:type="dxa"/>
            <w:tcBorders>
              <w:top w:val="nil"/>
              <w:left w:val="nil"/>
              <w:bottom w:val="nil"/>
              <w:right w:val="nil"/>
            </w:tcBorders>
            <w:shd w:val="clear" w:color="000000" w:fill="FFFFFF"/>
            <w:vAlign w:val="bottom"/>
            <w:hideMark/>
          </w:tcPr>
          <w:p w14:paraId="1936204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C8060D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40EE7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AD10E9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129E0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EA4840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086A098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2.2.5.1</w:t>
            </w:r>
          </w:p>
        </w:tc>
        <w:tc>
          <w:tcPr>
            <w:tcW w:w="563" w:type="dxa"/>
            <w:tcBorders>
              <w:top w:val="nil"/>
              <w:left w:val="nil"/>
              <w:bottom w:val="single" w:sz="4" w:space="0" w:color="auto"/>
              <w:right w:val="single" w:sz="4" w:space="0" w:color="auto"/>
            </w:tcBorders>
            <w:shd w:val="clear" w:color="auto" w:fill="auto"/>
            <w:vAlign w:val="center"/>
            <w:hideMark/>
          </w:tcPr>
          <w:p w14:paraId="66FBC1ED" w14:textId="5544FFA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w:t>
            </w:r>
            <w:r w:rsidR="00DB4BE5" w:rsidRPr="004F2AC3">
              <w:rPr>
                <w:rFonts w:ascii="Garamond" w:eastAsia="Times New Roman" w:hAnsi="Garamond" w:cs="Times New Roman"/>
                <w:color w:val="000000"/>
                <w:sz w:val="10"/>
                <w:szCs w:val="10"/>
                <w:lang w:eastAsia="sq-AL"/>
              </w:rPr>
              <w:t>financiare të qeveri</w:t>
            </w:r>
            <w:r w:rsidRPr="004F2AC3">
              <w:rPr>
                <w:rFonts w:ascii="Garamond" w:eastAsia="Times New Roman" w:hAnsi="Garamond" w:cs="Times New Roman"/>
                <w:color w:val="000000"/>
                <w:sz w:val="10"/>
                <w:szCs w:val="10"/>
                <w:lang w:eastAsia="sq-AL"/>
              </w:rPr>
              <w:t>së sipas ESA2010</w:t>
            </w:r>
          </w:p>
        </w:tc>
        <w:tc>
          <w:tcPr>
            <w:tcW w:w="446" w:type="dxa"/>
            <w:tcBorders>
              <w:top w:val="nil"/>
              <w:left w:val="nil"/>
              <w:bottom w:val="single" w:sz="4" w:space="0" w:color="auto"/>
              <w:right w:val="single" w:sz="4" w:space="0" w:color="auto"/>
            </w:tcBorders>
            <w:shd w:val="clear" w:color="auto" w:fill="auto"/>
            <w:vAlign w:val="center"/>
            <w:hideMark/>
          </w:tcPr>
          <w:p w14:paraId="634B8B0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64221F0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0C0E31C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17997DE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767F1CF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Çdo 6 muaj</w:t>
            </w:r>
          </w:p>
        </w:tc>
        <w:tc>
          <w:tcPr>
            <w:tcW w:w="1098" w:type="dxa"/>
            <w:tcBorders>
              <w:top w:val="nil"/>
              <w:left w:val="nil"/>
              <w:bottom w:val="nil"/>
              <w:right w:val="single" w:sz="4" w:space="0" w:color="auto"/>
            </w:tcBorders>
            <w:shd w:val="clear" w:color="000000" w:fill="FFFFFF"/>
            <w:vAlign w:val="center"/>
            <w:hideMark/>
          </w:tcPr>
          <w:p w14:paraId="05873615" w14:textId="4E2BBED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Tabela 0200</w:t>
            </w:r>
            <w:r w:rsidR="00684E85" w:rsidRPr="004F2AC3">
              <w:rPr>
                <w:rFonts w:ascii="Garamond" w:eastAsia="Times New Roman" w:hAnsi="Garamond" w:cs="Times New Roman"/>
                <w:color w:val="000000"/>
                <w:sz w:val="10"/>
                <w:szCs w:val="10"/>
                <w:lang w:eastAsia="sq-AL"/>
              </w:rPr>
              <w:t xml:space="preserve">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Treguesit kryesore të qeverisjes së përgjithshme</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Tabela 0900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Detajimi i taksave dhe kontributeve shoqërore sipas llojit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dhe sipas nënsektorëve të qeverisjes së përgjithshme</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Lista Kombëtare e Taksave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Detajimi i taksave dhe kontributeve shoqërore sipas klasifikimit kombëtar</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 Tabela 1100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Shpenzimet e qeverisë sipas funksionit</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 Tabela 2500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Llogaritë tremujorë jofinanciare të qeverisjes së </w:t>
            </w:r>
            <w:r w:rsidR="00612841" w:rsidRPr="004F2AC3">
              <w:rPr>
                <w:rFonts w:ascii="Garamond" w:eastAsia="Times New Roman" w:hAnsi="Garamond" w:cs="Times New Roman"/>
                <w:color w:val="000000"/>
                <w:sz w:val="10"/>
                <w:szCs w:val="10"/>
                <w:lang w:eastAsia="sq-AL"/>
              </w:rPr>
              <w:t>përgjithshme</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6. Tabela 2800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Borxhi tremujor i qeverisë (Maastricht Debt) për qeverisjen e përgjithshme</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2F326AF8" w14:textId="7DDDC3C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Ministria e Financave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Banka e Shqipërisë</w:t>
            </w:r>
            <w:r w:rsidR="00DB4BE5"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3C3E6D6F" w14:textId="37E2FE4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41F8FDC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+ 13D</w:t>
            </w:r>
          </w:p>
        </w:tc>
        <w:tc>
          <w:tcPr>
            <w:tcW w:w="385" w:type="dxa"/>
            <w:tcBorders>
              <w:top w:val="nil"/>
              <w:left w:val="nil"/>
              <w:bottom w:val="single" w:sz="4" w:space="0" w:color="auto"/>
              <w:right w:val="single" w:sz="4" w:space="0" w:color="auto"/>
            </w:tcBorders>
            <w:shd w:val="clear" w:color="auto" w:fill="auto"/>
            <w:vAlign w:val="center"/>
            <w:hideMark/>
          </w:tcPr>
          <w:p w14:paraId="082CE64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+ 119D</w:t>
            </w:r>
          </w:p>
        </w:tc>
        <w:tc>
          <w:tcPr>
            <w:tcW w:w="361" w:type="dxa"/>
            <w:tcBorders>
              <w:top w:val="nil"/>
              <w:left w:val="nil"/>
              <w:bottom w:val="single" w:sz="4" w:space="0" w:color="auto"/>
              <w:right w:val="single" w:sz="4" w:space="0" w:color="auto"/>
            </w:tcBorders>
            <w:shd w:val="clear" w:color="auto" w:fill="auto"/>
            <w:vAlign w:val="center"/>
            <w:hideMark/>
          </w:tcPr>
          <w:p w14:paraId="3D8B1EF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+ 122D</w:t>
            </w:r>
          </w:p>
        </w:tc>
        <w:tc>
          <w:tcPr>
            <w:tcW w:w="732" w:type="dxa"/>
            <w:tcBorders>
              <w:top w:val="nil"/>
              <w:left w:val="nil"/>
              <w:bottom w:val="single" w:sz="4" w:space="0" w:color="auto"/>
              <w:right w:val="single" w:sz="4" w:space="0" w:color="auto"/>
            </w:tcBorders>
            <w:shd w:val="clear" w:color="auto" w:fill="auto"/>
            <w:vAlign w:val="center"/>
            <w:hideMark/>
          </w:tcPr>
          <w:p w14:paraId="1D2FB629" w14:textId="09A6265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Vonesa në marrjen e të dhënave në kohë dhe me cilësi nga Grupi i Punës i ngritur për përpilimin e </w:t>
            </w:r>
            <w:r w:rsidR="00DB4BE5" w:rsidRPr="004F2AC3">
              <w:rPr>
                <w:rFonts w:ascii="Garamond" w:eastAsia="Times New Roman" w:hAnsi="Garamond" w:cs="Times New Roman"/>
                <w:color w:val="000000"/>
                <w:sz w:val="10"/>
                <w:szCs w:val="10"/>
                <w:lang w:eastAsia="sq-AL"/>
              </w:rPr>
              <w:t>statistikave financiare të qeverisë</w:t>
            </w:r>
            <w:r w:rsidRPr="004F2AC3">
              <w:rPr>
                <w:rFonts w:ascii="Garamond" w:eastAsia="Times New Roman" w:hAnsi="Garamond" w:cs="Times New Roman"/>
                <w:color w:val="000000"/>
                <w:sz w:val="10"/>
                <w:szCs w:val="10"/>
                <w:lang w:eastAsia="sq-AL"/>
              </w:rPr>
              <w:t>. -|- 5</w:t>
            </w:r>
          </w:p>
        </w:tc>
        <w:tc>
          <w:tcPr>
            <w:tcW w:w="551" w:type="dxa"/>
            <w:tcBorders>
              <w:top w:val="nil"/>
              <w:left w:val="nil"/>
              <w:bottom w:val="single" w:sz="4" w:space="0" w:color="auto"/>
              <w:right w:val="single" w:sz="4" w:space="0" w:color="auto"/>
            </w:tcBorders>
            <w:shd w:val="clear" w:color="auto" w:fill="auto"/>
            <w:vAlign w:val="center"/>
            <w:hideMark/>
          </w:tcPr>
          <w:p w14:paraId="4A6C00DC" w14:textId="4D71C01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Kombinuar (</w:t>
            </w:r>
            <w:r w:rsidR="00DB4BE5" w:rsidRPr="004F2AC3">
              <w:rPr>
                <w:rFonts w:ascii="Garamond" w:eastAsia="Times New Roman" w:hAnsi="Garamond" w:cs="Times New Roman"/>
                <w:color w:val="000000"/>
                <w:sz w:val="10"/>
                <w:szCs w:val="10"/>
                <w:lang w:eastAsia="sq-AL"/>
              </w:rPr>
              <w:t xml:space="preserve">buxhet </w:t>
            </w:r>
            <w:r w:rsidR="006400E2" w:rsidRPr="004F2AC3">
              <w:rPr>
                <w:rFonts w:ascii="Garamond" w:eastAsia="Times New Roman" w:hAnsi="Garamond" w:cs="Times New Roman"/>
                <w:color w:val="000000"/>
                <w:sz w:val="10"/>
                <w:szCs w:val="10"/>
                <w:lang w:eastAsia="sq-AL"/>
              </w:rPr>
              <w:t>shteti+donatorët)</w:t>
            </w:r>
          </w:p>
        </w:tc>
      </w:tr>
      <w:tr w:rsidR="0021321C" w:rsidRPr="004F2AC3" w14:paraId="51F1DA12" w14:textId="77777777" w:rsidTr="0021321C">
        <w:trPr>
          <w:trHeight w:val="180"/>
          <w:jc w:val="center"/>
        </w:trPr>
        <w:tc>
          <w:tcPr>
            <w:tcW w:w="388" w:type="dxa"/>
            <w:tcBorders>
              <w:top w:val="nil"/>
              <w:left w:val="nil"/>
              <w:bottom w:val="nil"/>
              <w:right w:val="nil"/>
            </w:tcBorders>
            <w:shd w:val="clear" w:color="000000" w:fill="FFFFFF"/>
            <w:vAlign w:val="bottom"/>
            <w:hideMark/>
          </w:tcPr>
          <w:p w14:paraId="73E0092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4CC1FD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5EE72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7BB65E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2F2F2"/>
            <w:vAlign w:val="center"/>
            <w:hideMark/>
          </w:tcPr>
          <w:p w14:paraId="2B423D0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2.2.6</w:t>
            </w:r>
          </w:p>
        </w:tc>
        <w:tc>
          <w:tcPr>
            <w:tcW w:w="7813" w:type="dxa"/>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272BAF5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Procedurës së Defiçitit të Tejkaluar</w:t>
            </w:r>
          </w:p>
        </w:tc>
      </w:tr>
      <w:tr w:rsidR="00C73163" w:rsidRPr="004F2AC3" w14:paraId="65761BDE" w14:textId="77777777" w:rsidTr="0021321C">
        <w:trPr>
          <w:trHeight w:val="180"/>
          <w:jc w:val="center"/>
        </w:trPr>
        <w:tc>
          <w:tcPr>
            <w:tcW w:w="388" w:type="dxa"/>
            <w:tcBorders>
              <w:top w:val="nil"/>
              <w:left w:val="nil"/>
              <w:bottom w:val="nil"/>
              <w:right w:val="nil"/>
            </w:tcBorders>
            <w:shd w:val="clear" w:color="000000" w:fill="FFFFFF"/>
            <w:vAlign w:val="bottom"/>
            <w:hideMark/>
          </w:tcPr>
          <w:p w14:paraId="4647B2F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7AA74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146C4A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2F31C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39FE2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auto" w:fill="auto"/>
            <w:vAlign w:val="center"/>
            <w:hideMark/>
          </w:tcPr>
          <w:p w14:paraId="27CCB70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49" w:type="dxa"/>
            <w:vMerge w:val="restart"/>
            <w:tcBorders>
              <w:top w:val="nil"/>
              <w:left w:val="single" w:sz="4" w:space="0" w:color="auto"/>
              <w:bottom w:val="nil"/>
              <w:right w:val="single" w:sz="4" w:space="0" w:color="auto"/>
            </w:tcBorders>
            <w:shd w:val="clear" w:color="auto" w:fill="auto"/>
            <w:vAlign w:val="center"/>
            <w:hideMark/>
          </w:tcPr>
          <w:p w14:paraId="7396583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2.2.6.1</w:t>
            </w:r>
          </w:p>
        </w:tc>
        <w:tc>
          <w:tcPr>
            <w:tcW w:w="563" w:type="dxa"/>
            <w:vMerge w:val="restart"/>
            <w:tcBorders>
              <w:top w:val="nil"/>
              <w:left w:val="single" w:sz="4" w:space="0" w:color="auto"/>
              <w:bottom w:val="nil"/>
              <w:right w:val="single" w:sz="4" w:space="0" w:color="auto"/>
            </w:tcBorders>
            <w:shd w:val="clear" w:color="auto" w:fill="auto"/>
            <w:vAlign w:val="center"/>
            <w:hideMark/>
          </w:tcPr>
          <w:p w14:paraId="69C40E0D" w14:textId="4B398FF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e </w:t>
            </w:r>
            <w:r w:rsidR="00612841" w:rsidRPr="004F2AC3">
              <w:rPr>
                <w:rFonts w:ascii="Garamond" w:eastAsia="Times New Roman" w:hAnsi="Garamond" w:cs="Times New Roman"/>
                <w:color w:val="000000"/>
                <w:sz w:val="10"/>
                <w:szCs w:val="10"/>
                <w:lang w:eastAsia="sq-AL"/>
              </w:rPr>
              <w:t>Procedurës</w:t>
            </w:r>
            <w:r w:rsidRPr="004F2AC3">
              <w:rPr>
                <w:rFonts w:ascii="Garamond" w:eastAsia="Times New Roman" w:hAnsi="Garamond" w:cs="Times New Roman"/>
                <w:color w:val="000000"/>
                <w:sz w:val="10"/>
                <w:szCs w:val="10"/>
                <w:lang w:eastAsia="sq-AL"/>
              </w:rPr>
              <w:t xml:space="preserve"> së Deficitit të Tejkaluar</w:t>
            </w:r>
          </w:p>
        </w:tc>
        <w:tc>
          <w:tcPr>
            <w:tcW w:w="446" w:type="dxa"/>
            <w:vMerge w:val="restart"/>
            <w:tcBorders>
              <w:top w:val="nil"/>
              <w:left w:val="single" w:sz="4" w:space="0" w:color="auto"/>
              <w:bottom w:val="nil"/>
              <w:right w:val="single" w:sz="4" w:space="0" w:color="auto"/>
            </w:tcBorders>
            <w:shd w:val="clear" w:color="auto" w:fill="auto"/>
            <w:vAlign w:val="center"/>
            <w:hideMark/>
          </w:tcPr>
          <w:p w14:paraId="215BE62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vMerge w:val="restart"/>
            <w:tcBorders>
              <w:top w:val="nil"/>
              <w:left w:val="single" w:sz="4" w:space="0" w:color="auto"/>
              <w:bottom w:val="nil"/>
              <w:right w:val="single" w:sz="4" w:space="0" w:color="auto"/>
            </w:tcBorders>
            <w:shd w:val="clear" w:color="000000" w:fill="FFFFFF"/>
            <w:noWrap/>
            <w:vAlign w:val="center"/>
            <w:hideMark/>
          </w:tcPr>
          <w:p w14:paraId="5D9979C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vMerge w:val="restart"/>
            <w:tcBorders>
              <w:top w:val="nil"/>
              <w:left w:val="single" w:sz="4" w:space="0" w:color="auto"/>
              <w:bottom w:val="nil"/>
              <w:right w:val="single" w:sz="4" w:space="0" w:color="auto"/>
            </w:tcBorders>
            <w:shd w:val="clear" w:color="auto" w:fill="auto"/>
            <w:vAlign w:val="center"/>
            <w:hideMark/>
          </w:tcPr>
          <w:p w14:paraId="63E19AB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vMerge w:val="restart"/>
            <w:tcBorders>
              <w:top w:val="nil"/>
              <w:left w:val="single" w:sz="4" w:space="0" w:color="auto"/>
              <w:bottom w:val="nil"/>
              <w:right w:val="single" w:sz="4" w:space="0" w:color="auto"/>
            </w:tcBorders>
            <w:shd w:val="clear" w:color="auto" w:fill="auto"/>
            <w:vAlign w:val="center"/>
            <w:hideMark/>
          </w:tcPr>
          <w:p w14:paraId="60F83225" w14:textId="45410B37" w:rsidR="0021321C" w:rsidRPr="004F2AC3" w:rsidRDefault="006400E2"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nil"/>
              <w:right w:val="single" w:sz="4" w:space="0" w:color="auto"/>
            </w:tcBorders>
            <w:shd w:val="clear" w:color="auto" w:fill="auto"/>
            <w:vAlign w:val="center"/>
            <w:hideMark/>
          </w:tcPr>
          <w:p w14:paraId="2CA897F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Çdo 6 muaj</w:t>
            </w:r>
          </w:p>
        </w:tc>
        <w:tc>
          <w:tcPr>
            <w:tcW w:w="1098" w:type="dxa"/>
            <w:tcBorders>
              <w:top w:val="nil"/>
              <w:left w:val="nil"/>
              <w:bottom w:val="nil"/>
              <w:right w:val="single" w:sz="4" w:space="0" w:color="auto"/>
            </w:tcBorders>
            <w:shd w:val="clear" w:color="000000" w:fill="FFFFFF"/>
            <w:vAlign w:val="center"/>
            <w:hideMark/>
          </w:tcPr>
          <w:p w14:paraId="5ADAFFD3" w14:textId="1D85E3C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Aneksi 1: Tabela 1</w:t>
            </w:r>
            <w:r w:rsidR="00DB4BE5"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r w:rsidR="005B3A9C" w:rsidRPr="004F2AC3">
              <w:rPr>
                <w:rFonts w:ascii="Garamond" w:eastAsia="Times New Roman" w:hAnsi="Garamond" w:cs="Times New Roman"/>
                <w:color w:val="000000"/>
                <w:sz w:val="10"/>
                <w:szCs w:val="10"/>
                <w:lang w:eastAsia="sq-AL"/>
              </w:rPr>
              <w:t>Raportimi i suficitit/</w:t>
            </w:r>
            <w:r w:rsidRPr="004F2AC3">
              <w:rPr>
                <w:rFonts w:ascii="Garamond" w:eastAsia="Times New Roman" w:hAnsi="Garamond" w:cs="Times New Roman"/>
                <w:color w:val="000000"/>
                <w:sz w:val="10"/>
                <w:szCs w:val="10"/>
                <w:lang w:eastAsia="sq-AL"/>
              </w:rPr>
              <w:t>deficitit, si dhe borxhit sipas nënsektorëve të qeverisjes së përgjithshme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Aneksi 1: Tabelat 2A deri 2D</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Sigurimi i të dhënave që shpjegon kalimin midis përkufizimeve kombëtare të bilan</w:t>
            </w:r>
            <w:r w:rsidR="00612841" w:rsidRPr="004F2AC3">
              <w:rPr>
                <w:rFonts w:ascii="Garamond" w:eastAsia="Times New Roman" w:hAnsi="Garamond" w:cs="Times New Roman"/>
                <w:color w:val="000000"/>
                <w:sz w:val="10"/>
                <w:szCs w:val="10"/>
                <w:lang w:eastAsia="sq-AL"/>
              </w:rPr>
              <w:t xml:space="preserve">cit </w:t>
            </w:r>
            <w:r w:rsidR="005B3A9C" w:rsidRPr="004F2AC3">
              <w:rPr>
                <w:rFonts w:ascii="Garamond" w:eastAsia="Times New Roman" w:hAnsi="Garamond" w:cs="Times New Roman"/>
                <w:color w:val="000000"/>
                <w:sz w:val="10"/>
                <w:szCs w:val="10"/>
                <w:lang w:eastAsia="sq-AL"/>
              </w:rPr>
              <w:t>të qeverisë dhe suficitit</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deficitit (B.9) sipas nënsektorëv</w:t>
            </w:r>
            <w:r w:rsidR="00DB4BE5" w:rsidRPr="004F2AC3">
              <w:rPr>
                <w:rFonts w:ascii="Garamond" w:eastAsia="Times New Roman" w:hAnsi="Garamond" w:cs="Times New Roman"/>
                <w:color w:val="000000"/>
                <w:sz w:val="10"/>
                <w:szCs w:val="10"/>
                <w:lang w:eastAsia="sq-AL"/>
              </w:rPr>
              <w:t>e të qeverisjes së përgjithshme;</w:t>
            </w:r>
            <w:r w:rsidRPr="004F2AC3">
              <w:rPr>
                <w:rFonts w:ascii="Garamond" w:eastAsia="Times New Roman" w:hAnsi="Garamond" w:cs="Times New Roman"/>
                <w:color w:val="000000"/>
                <w:sz w:val="10"/>
                <w:szCs w:val="10"/>
                <w:lang w:eastAsia="sq-AL"/>
              </w:rPr>
              <w:br/>
              <w:t>3. Aneksi 1: Tabelat 3A deri 3E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Sigurimi i të dhënave të cilat shpje</w:t>
            </w:r>
            <w:r w:rsidR="005B3A9C" w:rsidRPr="004F2AC3">
              <w:rPr>
                <w:rFonts w:ascii="Garamond" w:eastAsia="Times New Roman" w:hAnsi="Garamond" w:cs="Times New Roman"/>
                <w:color w:val="000000"/>
                <w:sz w:val="10"/>
                <w:szCs w:val="10"/>
                <w:lang w:eastAsia="sq-AL"/>
              </w:rPr>
              <w:t>gojnë kontributin e suficitit/</w:t>
            </w:r>
            <w:r w:rsidRPr="004F2AC3">
              <w:rPr>
                <w:rFonts w:ascii="Garamond" w:eastAsia="Times New Roman" w:hAnsi="Garamond" w:cs="Times New Roman"/>
                <w:color w:val="000000"/>
                <w:sz w:val="10"/>
                <w:szCs w:val="10"/>
                <w:lang w:eastAsia="sq-AL"/>
              </w:rPr>
              <w:t>deficitit të qeverisë dhe faktorët e tjerë përkatës në ndryshimin në nivelin e borxhit të qeverisë si dhe konsolidimin e borxhit (për qeverisjen e përgjithshme si edhe sipas nënsektorëve të qev</w:t>
            </w:r>
            <w:r w:rsidR="00DB4BE5" w:rsidRPr="004F2AC3">
              <w:rPr>
                <w:rFonts w:ascii="Garamond" w:eastAsia="Times New Roman" w:hAnsi="Garamond" w:cs="Times New Roman"/>
                <w:color w:val="000000"/>
                <w:sz w:val="10"/>
                <w:szCs w:val="10"/>
                <w:lang w:eastAsia="sq-AL"/>
              </w:rPr>
              <w:t>erisjes së përgjithshme);</w:t>
            </w:r>
            <w:r w:rsidRPr="004F2AC3">
              <w:rPr>
                <w:rFonts w:ascii="Garamond" w:eastAsia="Times New Roman" w:hAnsi="Garamond" w:cs="Times New Roman"/>
                <w:color w:val="000000"/>
                <w:sz w:val="10"/>
                <w:szCs w:val="10"/>
                <w:lang w:eastAsia="sq-AL"/>
              </w:rPr>
              <w:br/>
              <w:t>4. Aneksi 1: Tabela 4</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xml:space="preserve">Sigurimi i të dhënave të tjera në përputhje me deklaratat e përfshira në </w:t>
            </w:r>
            <w:r w:rsidR="00DB4BE5" w:rsidRPr="004F2AC3">
              <w:rPr>
                <w:rFonts w:ascii="Garamond" w:eastAsia="Times New Roman" w:hAnsi="Garamond" w:cs="Times New Roman"/>
                <w:color w:val="000000"/>
                <w:sz w:val="10"/>
                <w:szCs w:val="10"/>
                <w:lang w:eastAsia="sq-AL"/>
              </w:rPr>
              <w:t>minutat e Këshillit dt. 22/11/1993;</w:t>
            </w:r>
            <w:r w:rsidRPr="004F2AC3">
              <w:rPr>
                <w:rFonts w:ascii="Garamond" w:eastAsia="Times New Roman" w:hAnsi="Garamond" w:cs="Times New Roman"/>
                <w:color w:val="000000"/>
                <w:sz w:val="10"/>
                <w:szCs w:val="10"/>
                <w:lang w:eastAsia="sq-AL"/>
              </w:rPr>
              <w:br/>
              <w:t>5. Aneksi 3: Tabela 1</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Rishikimi i huadhënies neto të q</w:t>
            </w:r>
            <w:r w:rsidR="005B3A9C" w:rsidRPr="004F2AC3">
              <w:rPr>
                <w:rFonts w:ascii="Garamond" w:eastAsia="Times New Roman" w:hAnsi="Garamond" w:cs="Times New Roman"/>
                <w:color w:val="000000"/>
                <w:sz w:val="10"/>
                <w:szCs w:val="10"/>
                <w:lang w:eastAsia="sq-AL"/>
              </w:rPr>
              <w:t>everisjes së përgjithshme (+)/</w:t>
            </w:r>
            <w:r w:rsidRPr="004F2AC3">
              <w:rPr>
                <w:rFonts w:ascii="Garamond" w:eastAsia="Times New Roman" w:hAnsi="Garamond" w:cs="Times New Roman"/>
                <w:color w:val="000000"/>
                <w:sz w:val="10"/>
                <w:szCs w:val="10"/>
                <w:lang w:eastAsia="sq-AL"/>
              </w:rPr>
              <w:t>huamarrja neto (-) dhe rishikimi i borxhit bruto të konsoliduar të qeverisë së përgjithshme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Aneksi 3: Tabela 2</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Ndarja e transaksioneve financiare të p</w:t>
            </w:r>
            <w:r w:rsidR="00DB4BE5" w:rsidRPr="004F2AC3">
              <w:rPr>
                <w:rFonts w:ascii="Garamond" w:eastAsia="Times New Roman" w:hAnsi="Garamond" w:cs="Times New Roman"/>
                <w:color w:val="000000"/>
                <w:sz w:val="10"/>
                <w:szCs w:val="10"/>
                <w:lang w:eastAsia="sq-AL"/>
              </w:rPr>
              <w:t>ërfshira në bilancin e qeverisë;</w:t>
            </w:r>
            <w:r w:rsidRPr="004F2AC3">
              <w:rPr>
                <w:rFonts w:ascii="Garamond" w:eastAsia="Times New Roman" w:hAnsi="Garamond" w:cs="Times New Roman"/>
                <w:color w:val="000000"/>
                <w:sz w:val="10"/>
                <w:szCs w:val="10"/>
                <w:lang w:eastAsia="sq-AL"/>
              </w:rPr>
              <w:br/>
              <w:t>7. Aneksi 3: Tabela 3</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Rregullimet për përcaktimin e sektorit të qeverisjes së përgjithshme në tabelat e EDP</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së</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Aneksi 3: Tabela 4</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Ndarja e llogarive të</w:t>
            </w:r>
            <w:r w:rsidR="005B3A9C" w:rsidRPr="004F2AC3">
              <w:rPr>
                <w:rFonts w:ascii="Garamond" w:eastAsia="Times New Roman" w:hAnsi="Garamond" w:cs="Times New Roman"/>
                <w:color w:val="000000"/>
                <w:sz w:val="10"/>
                <w:szCs w:val="10"/>
                <w:lang w:eastAsia="sq-AL"/>
              </w:rPr>
              <w:t xml:space="preserve"> tjera të arkëtueshme/</w:t>
            </w:r>
            <w:r w:rsidRPr="004F2AC3">
              <w:rPr>
                <w:rFonts w:ascii="Garamond" w:eastAsia="Times New Roman" w:hAnsi="Garamond" w:cs="Times New Roman"/>
                <w:color w:val="000000"/>
                <w:sz w:val="10"/>
                <w:szCs w:val="10"/>
                <w:lang w:eastAsia="sq-AL"/>
              </w:rPr>
              <w:t>të pagueshme (F.8) të raportuara në tabelat e EDP</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së</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Aneksi 3: Tabela 5</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xml:space="preserve">Taksat dhe kontributet shoqërore: </w:t>
            </w:r>
            <w:r w:rsidR="00612841" w:rsidRPr="004F2AC3">
              <w:rPr>
                <w:rFonts w:ascii="Garamond" w:eastAsia="Times New Roman" w:hAnsi="Garamond" w:cs="Times New Roman"/>
                <w:color w:val="000000"/>
                <w:sz w:val="10"/>
                <w:szCs w:val="10"/>
                <w:lang w:eastAsia="sq-AL"/>
              </w:rPr>
              <w:t>llogari të tjera të arkëtueshme</w:t>
            </w:r>
            <w:r w:rsidRPr="004F2AC3">
              <w:rPr>
                <w:rFonts w:ascii="Garamond" w:eastAsia="Times New Roman" w:hAnsi="Garamond" w:cs="Times New Roman"/>
                <w:color w:val="000000"/>
                <w:sz w:val="10"/>
                <w:szCs w:val="10"/>
                <w:lang w:eastAsia="sq-AL"/>
              </w:rPr>
              <w:t>/ të pagueshme (F.8) të qeverisë së përgjithshme</w:t>
            </w:r>
            <w:r w:rsidR="00DB4BE5" w:rsidRPr="004F2AC3">
              <w:rPr>
                <w:rFonts w:ascii="Garamond" w:eastAsia="Times New Roman" w:hAnsi="Garamond" w:cs="Times New Roman"/>
                <w:color w:val="000000"/>
                <w:sz w:val="10"/>
                <w:szCs w:val="10"/>
                <w:lang w:eastAsia="sq-AL"/>
              </w:rPr>
              <w:t>;</w:t>
            </w:r>
          </w:p>
        </w:tc>
        <w:tc>
          <w:tcPr>
            <w:tcW w:w="554" w:type="dxa"/>
            <w:vMerge w:val="restart"/>
            <w:tcBorders>
              <w:top w:val="nil"/>
              <w:left w:val="single" w:sz="4" w:space="0" w:color="auto"/>
              <w:bottom w:val="nil"/>
              <w:right w:val="single" w:sz="4" w:space="0" w:color="auto"/>
            </w:tcBorders>
            <w:shd w:val="clear" w:color="auto" w:fill="auto"/>
            <w:vAlign w:val="center"/>
            <w:hideMark/>
          </w:tcPr>
          <w:p w14:paraId="1E952FB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Pr="004F2AC3">
              <w:rPr>
                <w:rFonts w:ascii="Garamond" w:eastAsia="Times New Roman" w:hAnsi="Garamond" w:cs="Times New Roman"/>
                <w:color w:val="000000"/>
                <w:sz w:val="10"/>
                <w:szCs w:val="10"/>
                <w:lang w:eastAsia="sq-AL"/>
              </w:rPr>
              <w:br/>
              <w:t>Ministria e Financave</w:t>
            </w:r>
            <w:r w:rsidRPr="004F2AC3">
              <w:rPr>
                <w:rFonts w:ascii="Garamond" w:eastAsia="Times New Roman" w:hAnsi="Garamond" w:cs="Times New Roman"/>
                <w:color w:val="000000"/>
                <w:sz w:val="10"/>
                <w:szCs w:val="10"/>
                <w:lang w:eastAsia="sq-AL"/>
              </w:rPr>
              <w:br/>
              <w:t>Banka e Shqipërisë</w:t>
            </w:r>
          </w:p>
        </w:tc>
        <w:tc>
          <w:tcPr>
            <w:tcW w:w="413" w:type="dxa"/>
            <w:vMerge w:val="restart"/>
            <w:tcBorders>
              <w:top w:val="nil"/>
              <w:left w:val="single" w:sz="4" w:space="0" w:color="auto"/>
              <w:bottom w:val="nil"/>
              <w:right w:val="single" w:sz="4" w:space="0" w:color="auto"/>
            </w:tcBorders>
            <w:shd w:val="clear" w:color="auto" w:fill="auto"/>
            <w:vAlign w:val="center"/>
            <w:hideMark/>
          </w:tcPr>
          <w:p w14:paraId="5C549F8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vMerge w:val="restart"/>
            <w:tcBorders>
              <w:top w:val="nil"/>
              <w:left w:val="single" w:sz="4" w:space="0" w:color="auto"/>
              <w:bottom w:val="nil"/>
              <w:right w:val="single" w:sz="4" w:space="0" w:color="auto"/>
            </w:tcBorders>
            <w:shd w:val="clear" w:color="auto" w:fill="auto"/>
            <w:vAlign w:val="center"/>
            <w:hideMark/>
          </w:tcPr>
          <w:p w14:paraId="3578D74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6M+ 13D</w:t>
            </w:r>
          </w:p>
        </w:tc>
        <w:tc>
          <w:tcPr>
            <w:tcW w:w="385" w:type="dxa"/>
            <w:vMerge w:val="restart"/>
            <w:tcBorders>
              <w:top w:val="nil"/>
              <w:left w:val="single" w:sz="4" w:space="0" w:color="auto"/>
              <w:bottom w:val="nil"/>
              <w:right w:val="single" w:sz="4" w:space="0" w:color="auto"/>
            </w:tcBorders>
            <w:shd w:val="clear" w:color="auto" w:fill="auto"/>
            <w:vAlign w:val="center"/>
            <w:hideMark/>
          </w:tcPr>
          <w:p w14:paraId="77E7CBC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6M + 119D</w:t>
            </w:r>
          </w:p>
        </w:tc>
        <w:tc>
          <w:tcPr>
            <w:tcW w:w="361" w:type="dxa"/>
            <w:vMerge w:val="restart"/>
            <w:tcBorders>
              <w:top w:val="nil"/>
              <w:left w:val="single" w:sz="4" w:space="0" w:color="auto"/>
              <w:bottom w:val="nil"/>
              <w:right w:val="single" w:sz="4" w:space="0" w:color="auto"/>
            </w:tcBorders>
            <w:shd w:val="clear" w:color="auto" w:fill="auto"/>
            <w:vAlign w:val="center"/>
            <w:hideMark/>
          </w:tcPr>
          <w:p w14:paraId="1282983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6M + 122D</w:t>
            </w:r>
          </w:p>
        </w:tc>
        <w:tc>
          <w:tcPr>
            <w:tcW w:w="732" w:type="dxa"/>
            <w:vMerge w:val="restart"/>
            <w:tcBorders>
              <w:top w:val="nil"/>
              <w:left w:val="single" w:sz="4" w:space="0" w:color="auto"/>
              <w:bottom w:val="nil"/>
              <w:right w:val="single" w:sz="4" w:space="0" w:color="auto"/>
            </w:tcBorders>
            <w:shd w:val="clear" w:color="auto" w:fill="auto"/>
            <w:vAlign w:val="center"/>
            <w:hideMark/>
          </w:tcPr>
          <w:p w14:paraId="3715817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marrjen e të dhënave në kohë dhe me cilësi nga Grupi i Punës i ngritur për përpilimin e Statistikave Financiare të Qeverisë -|- 5</w:t>
            </w:r>
          </w:p>
        </w:tc>
        <w:tc>
          <w:tcPr>
            <w:tcW w:w="551" w:type="dxa"/>
            <w:vMerge w:val="restart"/>
            <w:tcBorders>
              <w:top w:val="nil"/>
              <w:left w:val="single" w:sz="4" w:space="0" w:color="auto"/>
              <w:bottom w:val="nil"/>
              <w:right w:val="single" w:sz="4" w:space="0" w:color="auto"/>
            </w:tcBorders>
            <w:shd w:val="clear" w:color="auto" w:fill="auto"/>
            <w:vAlign w:val="center"/>
            <w:hideMark/>
          </w:tcPr>
          <w:p w14:paraId="4F14A120" w14:textId="622A386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Kombinuar (Buxhet </w:t>
            </w:r>
            <w:r w:rsidR="006400E2" w:rsidRPr="004F2AC3">
              <w:rPr>
                <w:rFonts w:ascii="Garamond" w:eastAsia="Times New Roman" w:hAnsi="Garamond" w:cs="Times New Roman"/>
                <w:color w:val="000000"/>
                <w:sz w:val="10"/>
                <w:szCs w:val="10"/>
                <w:lang w:eastAsia="sq-AL"/>
              </w:rPr>
              <w:t>shteti+donatorët)</w:t>
            </w:r>
          </w:p>
        </w:tc>
      </w:tr>
      <w:tr w:rsidR="00C73163" w:rsidRPr="004F2AC3" w14:paraId="43B845B3" w14:textId="77777777" w:rsidTr="0021321C">
        <w:trPr>
          <w:trHeight w:val="180"/>
          <w:jc w:val="center"/>
        </w:trPr>
        <w:tc>
          <w:tcPr>
            <w:tcW w:w="388" w:type="dxa"/>
            <w:tcBorders>
              <w:top w:val="nil"/>
              <w:left w:val="nil"/>
              <w:bottom w:val="nil"/>
              <w:right w:val="nil"/>
            </w:tcBorders>
            <w:shd w:val="clear" w:color="000000" w:fill="FFFFFF"/>
            <w:vAlign w:val="bottom"/>
            <w:hideMark/>
          </w:tcPr>
          <w:p w14:paraId="7F180C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89C10E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6424E2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8BD2A3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C0AAB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05A58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nil"/>
              <w:right w:val="single" w:sz="4" w:space="0" w:color="auto"/>
            </w:tcBorders>
            <w:vAlign w:val="center"/>
            <w:hideMark/>
          </w:tcPr>
          <w:p w14:paraId="2501204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nil"/>
              <w:right w:val="single" w:sz="4" w:space="0" w:color="auto"/>
            </w:tcBorders>
            <w:vAlign w:val="center"/>
            <w:hideMark/>
          </w:tcPr>
          <w:p w14:paraId="37411DF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nil"/>
              <w:right w:val="single" w:sz="4" w:space="0" w:color="auto"/>
            </w:tcBorders>
            <w:vAlign w:val="center"/>
            <w:hideMark/>
          </w:tcPr>
          <w:p w14:paraId="5827557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nil"/>
              <w:right w:val="single" w:sz="4" w:space="0" w:color="auto"/>
            </w:tcBorders>
            <w:vAlign w:val="center"/>
            <w:hideMark/>
          </w:tcPr>
          <w:p w14:paraId="78075E32"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301" w:type="dxa"/>
            <w:vMerge/>
            <w:tcBorders>
              <w:top w:val="nil"/>
              <w:left w:val="single" w:sz="4" w:space="0" w:color="auto"/>
              <w:bottom w:val="nil"/>
              <w:right w:val="single" w:sz="4" w:space="0" w:color="auto"/>
            </w:tcBorders>
            <w:vAlign w:val="center"/>
            <w:hideMark/>
          </w:tcPr>
          <w:p w14:paraId="4DB5906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nil"/>
              <w:right w:val="single" w:sz="4" w:space="0" w:color="auto"/>
            </w:tcBorders>
            <w:vAlign w:val="center"/>
            <w:hideMark/>
          </w:tcPr>
          <w:p w14:paraId="4972DE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nil"/>
              <w:right w:val="single" w:sz="4" w:space="0" w:color="auto"/>
            </w:tcBorders>
            <w:vAlign w:val="center"/>
            <w:hideMark/>
          </w:tcPr>
          <w:p w14:paraId="56C6D9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single" w:sz="4" w:space="0" w:color="auto"/>
            </w:tcBorders>
            <w:shd w:val="clear" w:color="000000" w:fill="FFFFFF"/>
            <w:vAlign w:val="center"/>
            <w:hideMark/>
          </w:tcPr>
          <w:p w14:paraId="2597F565" w14:textId="460F1D9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 Aneksi 3: Tabela 6</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Regjistrimi i flukseve të BE së në tabelat e EDP</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së</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Aneksi 3: Tabela 7</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Shpenzimet e pajisjeve ushtarake (armët dhe pajisjet mbështetëse)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Aneksi 3: Tabela 8</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Të drejta të arkëtueshme të qeverisë qendrore, anulimi i borxhit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Aneksi 3: Tabela 9</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Regjistrimi i Garancive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Aneksi 3: Tabela 10</w:t>
            </w:r>
            <w:r w:rsidR="00684E85" w:rsidRPr="004F2AC3">
              <w:rPr>
                <w:rFonts w:ascii="Garamond" w:eastAsia="Times New Roman" w:hAnsi="Garamond" w:cs="Times New Roman"/>
                <w:color w:val="000000"/>
                <w:sz w:val="10"/>
                <w:szCs w:val="10"/>
                <w:lang w:eastAsia="sq-AL"/>
              </w:rPr>
              <w:t xml:space="preserve"> </w:t>
            </w:r>
            <w:r w:rsidR="00612841" w:rsidRPr="004F2AC3">
              <w:rPr>
                <w:rFonts w:ascii="Garamond" w:eastAsia="Times New Roman" w:hAnsi="Garamond" w:cs="Times New Roman"/>
                <w:color w:val="000000"/>
                <w:sz w:val="10"/>
                <w:szCs w:val="10"/>
                <w:lang w:eastAsia="sq-AL"/>
              </w:rPr>
              <w:t>Injektimi</w:t>
            </w:r>
            <w:r w:rsidRPr="004F2AC3">
              <w:rPr>
                <w:rFonts w:ascii="Garamond" w:eastAsia="Times New Roman" w:hAnsi="Garamond" w:cs="Times New Roman"/>
                <w:color w:val="000000"/>
                <w:sz w:val="10"/>
                <w:szCs w:val="10"/>
                <w:lang w:eastAsia="sq-AL"/>
              </w:rPr>
              <w:t xml:space="preserve"> i kapitaleve, superdividentë dhe privatizime</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Aneksi 3: Tabela 11</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Partneriteti Publik</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Private (PPP)</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Aneksi 3: Tabela 12</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Operacionet e shitjes dhe marrjes me qira</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17. Aneksi 3: Tabela 13</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xml:space="preserve">Rivendosja </w:t>
            </w:r>
            <w:r w:rsidR="005B3A9C" w:rsidRPr="004F2AC3">
              <w:rPr>
                <w:rFonts w:ascii="Garamond" w:eastAsia="Times New Roman" w:hAnsi="Garamond" w:cs="Times New Roman"/>
                <w:color w:val="000000"/>
                <w:sz w:val="10"/>
                <w:szCs w:val="10"/>
                <w:lang w:eastAsia="sq-AL"/>
              </w:rPr>
              <w:t>e transaksioneve dhe aktiveve/</w:t>
            </w:r>
            <w:r w:rsidRPr="004F2AC3">
              <w:rPr>
                <w:rFonts w:ascii="Garamond" w:eastAsia="Times New Roman" w:hAnsi="Garamond" w:cs="Times New Roman"/>
                <w:color w:val="000000"/>
                <w:sz w:val="10"/>
                <w:szCs w:val="10"/>
                <w:lang w:eastAsia="sq-AL"/>
              </w:rPr>
              <w:t>detyrimeve përmes llogarive qeveritare që ndikojnë në B.9 dhe borxhin</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18. Aneksi 5: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Tabela shtesë për raportimin e ndërhyrjeve të qeverisë për të mbështetur institucionet financiare</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19. Aneksi 8: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Tabela shtesë për raportimin e masave të marra në kontekstin e pandemisë Covid</w:t>
            </w:r>
            <w:r w:rsidR="00DB4BE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19</w:t>
            </w:r>
            <w:r w:rsidR="00D32864" w:rsidRPr="004F2AC3">
              <w:rPr>
                <w:rFonts w:ascii="Garamond" w:eastAsia="Times New Roman" w:hAnsi="Garamond" w:cs="Times New Roman"/>
                <w:color w:val="000000"/>
                <w:sz w:val="10"/>
                <w:szCs w:val="10"/>
                <w:lang w:eastAsia="sq-AL"/>
              </w:rPr>
              <w:t>”</w:t>
            </w:r>
            <w:r w:rsidR="00DB4BE5"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nil"/>
              <w:right w:val="single" w:sz="4" w:space="0" w:color="auto"/>
            </w:tcBorders>
            <w:vAlign w:val="center"/>
            <w:hideMark/>
          </w:tcPr>
          <w:p w14:paraId="51ADD9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nil"/>
              <w:right w:val="single" w:sz="4" w:space="0" w:color="auto"/>
            </w:tcBorders>
            <w:vAlign w:val="center"/>
            <w:hideMark/>
          </w:tcPr>
          <w:p w14:paraId="157D7A4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nil"/>
              <w:right w:val="single" w:sz="4" w:space="0" w:color="auto"/>
            </w:tcBorders>
            <w:vAlign w:val="center"/>
            <w:hideMark/>
          </w:tcPr>
          <w:p w14:paraId="09C90F4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nil"/>
              <w:right w:val="single" w:sz="4" w:space="0" w:color="auto"/>
            </w:tcBorders>
            <w:vAlign w:val="center"/>
            <w:hideMark/>
          </w:tcPr>
          <w:p w14:paraId="015ABD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nil"/>
              <w:right w:val="single" w:sz="4" w:space="0" w:color="auto"/>
            </w:tcBorders>
            <w:vAlign w:val="center"/>
            <w:hideMark/>
          </w:tcPr>
          <w:p w14:paraId="112D5A3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nil"/>
              <w:right w:val="single" w:sz="4" w:space="0" w:color="auto"/>
            </w:tcBorders>
            <w:vAlign w:val="center"/>
            <w:hideMark/>
          </w:tcPr>
          <w:p w14:paraId="13EBD5E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nil"/>
              <w:right w:val="single" w:sz="4" w:space="0" w:color="auto"/>
            </w:tcBorders>
            <w:vAlign w:val="center"/>
            <w:hideMark/>
          </w:tcPr>
          <w:p w14:paraId="597A4BB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21321C" w:rsidRPr="004F2AC3" w14:paraId="64D30BE3" w14:textId="77777777" w:rsidTr="0021321C">
        <w:trPr>
          <w:trHeight w:val="180"/>
          <w:jc w:val="center"/>
        </w:trPr>
        <w:tc>
          <w:tcPr>
            <w:tcW w:w="388" w:type="dxa"/>
            <w:tcBorders>
              <w:top w:val="nil"/>
              <w:left w:val="nil"/>
              <w:bottom w:val="nil"/>
              <w:right w:val="nil"/>
            </w:tcBorders>
            <w:shd w:val="clear" w:color="000000" w:fill="FFFFFF"/>
            <w:vAlign w:val="bottom"/>
            <w:hideMark/>
          </w:tcPr>
          <w:p w14:paraId="0F56B07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BBC36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4E827BC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2F2F2"/>
            <w:vAlign w:val="center"/>
            <w:hideMark/>
          </w:tcPr>
          <w:p w14:paraId="7ED24CA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Ndërmarrjeve</w:t>
            </w:r>
          </w:p>
        </w:tc>
      </w:tr>
      <w:tr w:rsidR="0021321C" w:rsidRPr="004F2AC3" w14:paraId="44AD42A5" w14:textId="77777777" w:rsidTr="0021321C">
        <w:trPr>
          <w:trHeight w:val="180"/>
          <w:jc w:val="center"/>
        </w:trPr>
        <w:tc>
          <w:tcPr>
            <w:tcW w:w="388" w:type="dxa"/>
            <w:tcBorders>
              <w:top w:val="nil"/>
              <w:left w:val="nil"/>
              <w:bottom w:val="nil"/>
              <w:right w:val="nil"/>
            </w:tcBorders>
            <w:shd w:val="clear" w:color="000000" w:fill="FFFFFF"/>
            <w:vAlign w:val="bottom"/>
            <w:hideMark/>
          </w:tcPr>
          <w:p w14:paraId="0F7BFB4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26397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1AF596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F04CF3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168EE0F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2F2F2"/>
            <w:vAlign w:val="center"/>
            <w:hideMark/>
          </w:tcPr>
          <w:p w14:paraId="0259A8CC" w14:textId="51E5144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w:t>
            </w:r>
            <w:r w:rsidR="00DB4BE5" w:rsidRPr="004F2AC3">
              <w:rPr>
                <w:rFonts w:ascii="Garamond" w:eastAsia="Times New Roman" w:hAnsi="Garamond" w:cs="Times New Roman"/>
                <w:color w:val="000000"/>
                <w:sz w:val="10"/>
                <w:szCs w:val="10"/>
                <w:lang w:eastAsia="sq-AL"/>
              </w:rPr>
              <w:t>strukturore të ndërmarrjeve</w:t>
            </w:r>
          </w:p>
        </w:tc>
      </w:tr>
      <w:tr w:rsidR="00C73163" w:rsidRPr="004F2AC3" w14:paraId="3DB39987" w14:textId="77777777" w:rsidTr="0021321C">
        <w:trPr>
          <w:trHeight w:val="180"/>
          <w:jc w:val="center"/>
        </w:trPr>
        <w:tc>
          <w:tcPr>
            <w:tcW w:w="388" w:type="dxa"/>
            <w:tcBorders>
              <w:top w:val="nil"/>
              <w:left w:val="nil"/>
              <w:bottom w:val="nil"/>
              <w:right w:val="nil"/>
            </w:tcBorders>
            <w:shd w:val="clear" w:color="000000" w:fill="FFFFFF"/>
            <w:vAlign w:val="bottom"/>
            <w:hideMark/>
          </w:tcPr>
          <w:p w14:paraId="45E2980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0EFE89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EBBAA3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07E28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2ECF6C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7C42BB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000000"/>
              <w:right w:val="single" w:sz="4" w:space="0" w:color="auto"/>
            </w:tcBorders>
            <w:shd w:val="clear" w:color="auto" w:fill="auto"/>
            <w:vAlign w:val="center"/>
            <w:hideMark/>
          </w:tcPr>
          <w:p w14:paraId="4BCD521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2.3.1.1</w:t>
            </w:r>
          </w:p>
        </w:tc>
        <w:tc>
          <w:tcPr>
            <w:tcW w:w="563" w:type="dxa"/>
            <w:vMerge w:val="restart"/>
            <w:tcBorders>
              <w:top w:val="nil"/>
              <w:left w:val="single" w:sz="4" w:space="0" w:color="auto"/>
              <w:bottom w:val="single" w:sz="4" w:space="0" w:color="000000"/>
              <w:right w:val="single" w:sz="4" w:space="0" w:color="auto"/>
            </w:tcBorders>
            <w:shd w:val="clear" w:color="auto" w:fill="auto"/>
            <w:vAlign w:val="center"/>
            <w:hideMark/>
          </w:tcPr>
          <w:p w14:paraId="1ED2EA9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strukturore të ndërmarrjeve </w:t>
            </w:r>
          </w:p>
        </w:tc>
        <w:tc>
          <w:tcPr>
            <w:tcW w:w="446" w:type="dxa"/>
            <w:vMerge w:val="restart"/>
            <w:tcBorders>
              <w:top w:val="nil"/>
              <w:left w:val="single" w:sz="4" w:space="0" w:color="auto"/>
              <w:bottom w:val="single" w:sz="4" w:space="0" w:color="000000"/>
              <w:right w:val="single" w:sz="4" w:space="0" w:color="auto"/>
            </w:tcBorders>
            <w:shd w:val="clear" w:color="auto" w:fill="auto"/>
            <w:vAlign w:val="center"/>
            <w:hideMark/>
          </w:tcPr>
          <w:p w14:paraId="1C7E591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vMerge w:val="restart"/>
            <w:tcBorders>
              <w:top w:val="nil"/>
              <w:left w:val="single" w:sz="4" w:space="0" w:color="auto"/>
              <w:bottom w:val="single" w:sz="4" w:space="0" w:color="000000"/>
              <w:right w:val="single" w:sz="4" w:space="0" w:color="auto"/>
            </w:tcBorders>
            <w:shd w:val="clear" w:color="auto" w:fill="auto"/>
            <w:vAlign w:val="center"/>
            <w:hideMark/>
          </w:tcPr>
          <w:p w14:paraId="362D27C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5B649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362DEAC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auto" w:fill="auto"/>
            <w:vAlign w:val="center"/>
            <w:hideMark/>
          </w:tcPr>
          <w:p w14:paraId="1A941DD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hideMark/>
          </w:tcPr>
          <w:p w14:paraId="3F48D91B" w14:textId="69F1D143"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Numri i ndërmarrjeve,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Të punësuar gjithsej, numër mesatar vjetor,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Të punësuar me pagesë, nr.mes.vjet,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Të punësuar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gjithsej në fund të vitit, sipas gjinisë,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5. Të </w:t>
            </w:r>
            <w:r w:rsidR="00612841" w:rsidRPr="004F2AC3">
              <w:rPr>
                <w:rFonts w:ascii="Garamond" w:eastAsia="Times New Roman" w:hAnsi="Garamond" w:cs="Times New Roman"/>
                <w:sz w:val="10"/>
                <w:szCs w:val="10"/>
                <w:lang w:eastAsia="sq-AL"/>
              </w:rPr>
              <w:t>vetëpunësuar</w:t>
            </w:r>
            <w:r w:rsidRPr="004F2AC3">
              <w:rPr>
                <w:rFonts w:ascii="Garamond" w:eastAsia="Times New Roman" w:hAnsi="Garamond" w:cs="Times New Roman"/>
                <w:sz w:val="10"/>
                <w:szCs w:val="10"/>
                <w:lang w:eastAsia="sq-AL"/>
              </w:rPr>
              <w:t xml:space="preserve"> në fund të vitit, sipas </w:t>
            </w:r>
            <w:r w:rsidR="00612841" w:rsidRPr="004F2AC3">
              <w:rPr>
                <w:rFonts w:ascii="Garamond" w:eastAsia="Times New Roman" w:hAnsi="Garamond" w:cs="Times New Roman"/>
                <w:sz w:val="10"/>
                <w:szCs w:val="10"/>
                <w:lang w:eastAsia="sq-AL"/>
              </w:rPr>
              <w:t>gjinisë</w:t>
            </w:r>
            <w:r w:rsidRPr="004F2AC3">
              <w:rPr>
                <w:rFonts w:ascii="Garamond" w:eastAsia="Times New Roman" w:hAnsi="Garamond" w:cs="Times New Roman"/>
                <w:sz w:val="10"/>
                <w:szCs w:val="10"/>
                <w:lang w:eastAsia="sq-AL"/>
              </w:rPr>
              <w:t>,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 Të punësuar.me pagesë në fund të vitit, sipas gjinisë,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7. Shifra e afarizmit,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8. Prodh. aktiveve të qëndrueshme,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9. Ndryshimi i </w:t>
            </w:r>
            <w:r w:rsidR="00612841" w:rsidRPr="004F2AC3">
              <w:rPr>
                <w:rFonts w:ascii="Garamond" w:eastAsia="Times New Roman" w:hAnsi="Garamond" w:cs="Times New Roman"/>
                <w:sz w:val="10"/>
                <w:szCs w:val="10"/>
                <w:lang w:eastAsia="sq-AL"/>
              </w:rPr>
              <w:t>gjendjes</w:t>
            </w:r>
            <w:r w:rsidRPr="004F2AC3">
              <w:rPr>
                <w:rFonts w:ascii="Garamond" w:eastAsia="Times New Roman" w:hAnsi="Garamond" w:cs="Times New Roman"/>
                <w:sz w:val="10"/>
                <w:szCs w:val="10"/>
                <w:lang w:eastAsia="sq-AL"/>
              </w:rPr>
              <w:t xml:space="preserve"> të prodhimit të vet,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10. Të ardhura të tjera,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11. Të ardhura gjithsej,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12. Shpenzime </w:t>
            </w:r>
            <w:r w:rsidR="00612841"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Materiale dhe furnitura,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13. Shpenzime </w:t>
            </w:r>
            <w:r w:rsidR="00612841"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Mallrat,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14. Shpenzime personel,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15. Shpenzime </w:t>
            </w:r>
            <w:r w:rsidR="00612841"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paga,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16. Shpenzime </w:t>
            </w:r>
            <w:r w:rsidR="00612841"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trajtime e shpërblime,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17. Shpenzime </w:t>
            </w:r>
            <w:r w:rsidR="00612841"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sigurimet shoqërore,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18. Shpenzime të tjera,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19. Shpenzimet gjithsej,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20. Fitimi neto/humbjet,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21. Investimet gjithsej, sipas aktiviteteve ekonomike</w:t>
            </w:r>
            <w:r w:rsidR="00DB4BE5" w:rsidRPr="004F2AC3">
              <w:rPr>
                <w:rFonts w:ascii="Garamond" w:eastAsia="Times New Roman" w:hAnsi="Garamond" w:cs="Times New Roman"/>
                <w:sz w:val="10"/>
                <w:szCs w:val="10"/>
                <w:lang w:eastAsia="sq-AL"/>
              </w:rPr>
              <w:t>;</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68BDB626" w14:textId="3128C04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13" w:type="dxa"/>
            <w:vMerge w:val="restart"/>
            <w:tcBorders>
              <w:top w:val="nil"/>
              <w:left w:val="single" w:sz="4" w:space="0" w:color="auto"/>
              <w:bottom w:val="single" w:sz="4" w:space="0" w:color="000000"/>
              <w:right w:val="single" w:sz="4" w:space="0" w:color="auto"/>
            </w:tcBorders>
            <w:shd w:val="clear" w:color="auto" w:fill="auto"/>
            <w:vAlign w:val="center"/>
            <w:hideMark/>
          </w:tcPr>
          <w:p w14:paraId="5101CBBC" w14:textId="5DEAFE3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DB4BE5" w:rsidRPr="004F2AC3">
              <w:rPr>
                <w:rFonts w:ascii="Garamond" w:eastAsia="Times New Roman" w:hAnsi="Garamond" w:cs="Times New Roman"/>
                <w:color w:val="000000"/>
                <w:sz w:val="10"/>
                <w:szCs w:val="10"/>
                <w:lang w:eastAsia="sq-AL"/>
              </w:rPr>
              <w:t>-i</w:t>
            </w:r>
          </w:p>
        </w:tc>
        <w:tc>
          <w:tcPr>
            <w:tcW w:w="466" w:type="dxa"/>
            <w:vMerge w:val="restart"/>
            <w:tcBorders>
              <w:top w:val="nil"/>
              <w:left w:val="single" w:sz="4" w:space="0" w:color="auto"/>
              <w:bottom w:val="single" w:sz="4" w:space="0" w:color="000000"/>
              <w:right w:val="single" w:sz="4" w:space="0" w:color="auto"/>
            </w:tcBorders>
            <w:shd w:val="clear" w:color="auto" w:fill="auto"/>
            <w:vAlign w:val="center"/>
            <w:hideMark/>
          </w:tcPr>
          <w:p w14:paraId="4CF1D5C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V+ 184D</w:t>
            </w:r>
          </w:p>
        </w:tc>
        <w:tc>
          <w:tcPr>
            <w:tcW w:w="385" w:type="dxa"/>
            <w:vMerge w:val="restart"/>
            <w:tcBorders>
              <w:top w:val="nil"/>
              <w:left w:val="single" w:sz="4" w:space="0" w:color="auto"/>
              <w:bottom w:val="single" w:sz="4" w:space="0" w:color="000000"/>
              <w:right w:val="single" w:sz="4" w:space="0" w:color="auto"/>
            </w:tcBorders>
            <w:shd w:val="clear" w:color="auto" w:fill="auto"/>
            <w:vAlign w:val="center"/>
            <w:hideMark/>
          </w:tcPr>
          <w:p w14:paraId="74A2C4A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V+ 406D</w:t>
            </w:r>
          </w:p>
        </w:tc>
        <w:tc>
          <w:tcPr>
            <w:tcW w:w="361" w:type="dxa"/>
            <w:vMerge w:val="restart"/>
            <w:tcBorders>
              <w:top w:val="nil"/>
              <w:left w:val="single" w:sz="4" w:space="0" w:color="auto"/>
              <w:bottom w:val="single" w:sz="4" w:space="0" w:color="000000"/>
              <w:right w:val="single" w:sz="4" w:space="0" w:color="auto"/>
            </w:tcBorders>
            <w:shd w:val="clear" w:color="auto" w:fill="auto"/>
            <w:vAlign w:val="center"/>
            <w:hideMark/>
          </w:tcPr>
          <w:p w14:paraId="2360001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V+ 415D</w:t>
            </w:r>
          </w:p>
        </w:tc>
        <w:tc>
          <w:tcPr>
            <w:tcW w:w="732" w:type="dxa"/>
            <w:vMerge w:val="restart"/>
            <w:tcBorders>
              <w:top w:val="nil"/>
              <w:left w:val="single" w:sz="4" w:space="0" w:color="auto"/>
              <w:bottom w:val="single" w:sz="4" w:space="0" w:color="000000"/>
              <w:right w:val="single" w:sz="4" w:space="0" w:color="auto"/>
            </w:tcBorders>
            <w:shd w:val="clear" w:color="auto" w:fill="auto"/>
            <w:vAlign w:val="center"/>
            <w:hideMark/>
          </w:tcPr>
          <w:p w14:paraId="34EFFA60" w14:textId="184BDD05" w:rsidR="0021321C" w:rsidRPr="004F2AC3" w:rsidRDefault="0021321C" w:rsidP="00612841">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Mosmarrja në kohë dhe ndryshimi i bazës ligjore të burimit administrativ, sjell si pasojë mos publikimin në kohë dhe me cilësi të rezultateve të treguesve statistikorë -|- 3</w:t>
            </w:r>
            <w:r w:rsidRPr="004F2AC3">
              <w:rPr>
                <w:rFonts w:ascii="Garamond" w:eastAsia="Times New Roman" w:hAnsi="Garamond" w:cs="Times New Roman"/>
                <w:color w:val="000000"/>
                <w:sz w:val="10"/>
                <w:szCs w:val="10"/>
                <w:lang w:eastAsia="sq-AL"/>
              </w:rPr>
              <w:br/>
              <w:t>2. Moszbatimi në kohë i hapave dhe detyrave për kryerjen e procesit statistikor në vrojtimet vjetore, e cila sjell si pasojë mos publikimin në kohë të rezultateve të vrojtimit. -|- 5</w:t>
            </w:r>
            <w:r w:rsidRPr="004F2AC3">
              <w:rPr>
                <w:rFonts w:ascii="Garamond" w:eastAsia="Times New Roman" w:hAnsi="Garamond" w:cs="Times New Roman"/>
                <w:color w:val="000000"/>
                <w:sz w:val="10"/>
                <w:szCs w:val="10"/>
                <w:lang w:eastAsia="sq-AL"/>
              </w:rPr>
              <w:br/>
              <w:t>3. Mospërmbushja e kritereve të cilësisë si: saktësia, përpikmëria dhe krahasueshmëria, për vrojtimet statistikore e cila sjell si pasojë mos shpërndarjen në kohë e në cilësi të rezultateve të vrojtimit. -|- 5</w:t>
            </w:r>
            <w:r w:rsidRPr="004F2AC3">
              <w:rPr>
                <w:rFonts w:ascii="Garamond" w:eastAsia="Times New Roman" w:hAnsi="Garamond" w:cs="Times New Roman"/>
                <w:color w:val="000000"/>
                <w:sz w:val="10"/>
                <w:szCs w:val="10"/>
                <w:lang w:eastAsia="sq-AL"/>
              </w:rPr>
              <w:br/>
              <w:t xml:space="preserve">4. Pezullimi/vonesa e mbledhjes, prodhimit dhe shpërndarjes të statistikave zyrtare </w:t>
            </w:r>
            <w:r w:rsidR="005B3A9C" w:rsidRPr="004F2AC3">
              <w:rPr>
                <w:rFonts w:ascii="Garamond" w:eastAsia="Times New Roman" w:hAnsi="Garamond" w:cs="Times New Roman"/>
                <w:color w:val="000000"/>
                <w:sz w:val="10"/>
                <w:szCs w:val="10"/>
                <w:lang w:eastAsia="sq-AL"/>
              </w:rPr>
              <w:t>nga fatkeqësitë natyrore/</w:t>
            </w:r>
            <w:r w:rsidRPr="004F2AC3">
              <w:rPr>
                <w:rFonts w:ascii="Garamond" w:eastAsia="Times New Roman" w:hAnsi="Garamond" w:cs="Times New Roman"/>
                <w:color w:val="000000"/>
                <w:sz w:val="10"/>
                <w:szCs w:val="10"/>
                <w:lang w:eastAsia="sq-AL"/>
              </w:rPr>
              <w:t>pandemi globale, e cila sjell si pasojë mos publikimin në kohë të rezultateve të vrojtimit -|- 5</w:t>
            </w:r>
            <w:r w:rsidRPr="004F2AC3">
              <w:rPr>
                <w:rFonts w:ascii="Garamond" w:eastAsia="Times New Roman" w:hAnsi="Garamond" w:cs="Times New Roman"/>
                <w:color w:val="000000"/>
                <w:sz w:val="10"/>
                <w:szCs w:val="10"/>
                <w:lang w:eastAsia="sq-AL"/>
              </w:rPr>
              <w:br/>
              <w:t>5. Mos-evidentimi dhe realizimi i detyrave të përditshme të sektorit, e cila sjell si pasojë ngadalësim të proceseve të punës -|- 2</w:t>
            </w:r>
            <w:r w:rsidRPr="004F2AC3">
              <w:rPr>
                <w:rFonts w:ascii="Garamond" w:eastAsia="Times New Roman" w:hAnsi="Garamond" w:cs="Times New Roman"/>
                <w:color w:val="000000"/>
                <w:sz w:val="10"/>
                <w:szCs w:val="10"/>
                <w:lang w:eastAsia="sq-AL"/>
              </w:rPr>
              <w:br/>
              <w:t xml:space="preserve">6. Moszbatimi në kohë i kalendarit të publikimeve statistikore dhe përditësimit të materialeve në </w:t>
            </w:r>
            <w:r w:rsidRPr="004F2AC3">
              <w:rPr>
                <w:rFonts w:ascii="Garamond" w:eastAsia="Times New Roman" w:hAnsi="Garamond" w:cs="Times New Roman"/>
                <w:i/>
                <w:color w:val="000000"/>
                <w:sz w:val="10"/>
                <w:szCs w:val="10"/>
                <w:lang w:eastAsia="sq-AL"/>
              </w:rPr>
              <w:t>web</w:t>
            </w:r>
            <w:r w:rsidRPr="004F2AC3">
              <w:rPr>
                <w:rFonts w:ascii="Garamond" w:eastAsia="Times New Roman" w:hAnsi="Garamond" w:cs="Times New Roman"/>
                <w:color w:val="000000"/>
                <w:sz w:val="10"/>
                <w:szCs w:val="10"/>
                <w:lang w:eastAsia="sq-AL"/>
              </w:rPr>
              <w:t>, e cila sjell si pasojë mungesën e informacionit për përdoruesit dhe c</w:t>
            </w:r>
            <w:r w:rsidR="00612841" w:rsidRPr="004F2AC3">
              <w:rPr>
                <w:rFonts w:ascii="Garamond" w:eastAsia="Times New Roman" w:hAnsi="Garamond" w:cs="Times New Roman"/>
                <w:color w:val="000000"/>
                <w:sz w:val="10"/>
                <w:szCs w:val="10"/>
                <w:lang w:eastAsia="sq-AL"/>
              </w:rPr>
              <w:t>e</w:t>
            </w:r>
            <w:r w:rsidRPr="004F2AC3">
              <w:rPr>
                <w:rFonts w:ascii="Garamond" w:eastAsia="Times New Roman" w:hAnsi="Garamond" w:cs="Times New Roman"/>
                <w:color w:val="000000"/>
                <w:sz w:val="10"/>
                <w:szCs w:val="10"/>
                <w:lang w:eastAsia="sq-AL"/>
              </w:rPr>
              <w:t>nimin e imazhit të INSTAT</w:t>
            </w:r>
            <w:r w:rsidR="00DB4BE5" w:rsidRPr="004F2AC3">
              <w:rPr>
                <w:rFonts w:ascii="Garamond" w:eastAsia="Times New Roman" w:hAnsi="Garamond" w:cs="Times New Roman"/>
                <w:color w:val="000000"/>
                <w:sz w:val="10"/>
                <w:szCs w:val="10"/>
                <w:lang w:eastAsia="sq-AL"/>
              </w:rPr>
              <w:t>-it</w:t>
            </w:r>
            <w:r w:rsidRPr="004F2AC3">
              <w:rPr>
                <w:rFonts w:ascii="Garamond" w:eastAsia="Times New Roman" w:hAnsi="Garamond" w:cs="Times New Roman"/>
                <w:color w:val="000000"/>
                <w:sz w:val="10"/>
                <w:szCs w:val="10"/>
                <w:lang w:eastAsia="sq-AL"/>
              </w:rPr>
              <w:t xml:space="preserve"> -|- 2</w:t>
            </w:r>
            <w:r w:rsidRPr="004F2AC3">
              <w:rPr>
                <w:rFonts w:ascii="Garamond" w:eastAsia="Times New Roman" w:hAnsi="Garamond" w:cs="Times New Roman"/>
                <w:color w:val="000000"/>
                <w:sz w:val="10"/>
                <w:szCs w:val="10"/>
                <w:lang w:eastAsia="sq-AL"/>
              </w:rPr>
              <w:br/>
              <w:t>7. Gabime në përllogaritje e treguesve nga specialistët, e cila sjell si pasojë mos shpërndarja në cilësi të rezultateve të treguesve statistikorë. -|- 2</w:t>
            </w:r>
            <w:r w:rsidRPr="004F2AC3">
              <w:rPr>
                <w:rFonts w:ascii="Garamond" w:eastAsia="Times New Roman" w:hAnsi="Garamond" w:cs="Times New Roman"/>
                <w:color w:val="000000"/>
                <w:sz w:val="10"/>
                <w:szCs w:val="10"/>
                <w:lang w:eastAsia="sq-AL"/>
              </w:rPr>
              <w:br/>
              <w:t>8. Mosfunksionimi i metodave të reja të IT për mbledhjen e të dhënave në vrojtimet vjetore, e cila sjell si pasojë mos publikimin në kohë të rezultateve të vrojtimit. -|- 4</w:t>
            </w:r>
            <w:r w:rsidRPr="004F2AC3">
              <w:rPr>
                <w:rFonts w:ascii="Garamond" w:eastAsia="Times New Roman" w:hAnsi="Garamond" w:cs="Times New Roman"/>
                <w:color w:val="000000"/>
                <w:sz w:val="10"/>
                <w:szCs w:val="10"/>
                <w:lang w:eastAsia="sq-AL"/>
              </w:rPr>
              <w:br/>
              <w:t>9. Lëvizja e stafit me eksperiencë nga sektori, e cila sjell si pasojë ndërprerje/ngadalësim të proceseve të punës. -|- 5</w:t>
            </w:r>
            <w:r w:rsidRPr="004F2AC3">
              <w:rPr>
                <w:rFonts w:ascii="Garamond" w:eastAsia="Times New Roman" w:hAnsi="Garamond" w:cs="Times New Roman"/>
                <w:color w:val="000000"/>
                <w:sz w:val="10"/>
                <w:szCs w:val="10"/>
                <w:lang w:eastAsia="sq-AL"/>
              </w:rPr>
              <w:br/>
              <w:t>10. Mosfunksionimi i metodave të automatizimit dhe mos pasja e suportit për automatizimin e proceseve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prodhimit statistikor, e cila sjell si pasojë ngadalësim të procesit të automatizimi -|- 6</w:t>
            </w:r>
            <w:r w:rsidRPr="004F2AC3">
              <w:rPr>
                <w:rFonts w:ascii="Garamond" w:eastAsia="Times New Roman" w:hAnsi="Garamond" w:cs="Times New Roman"/>
                <w:color w:val="000000"/>
                <w:sz w:val="10"/>
                <w:szCs w:val="10"/>
                <w:lang w:eastAsia="sq-AL"/>
              </w:rPr>
              <w:br/>
              <w:t xml:space="preserve">11. </w:t>
            </w:r>
            <w:r w:rsidR="00612841" w:rsidRPr="004F2AC3">
              <w:rPr>
                <w:rFonts w:ascii="Garamond" w:eastAsia="Times New Roman" w:hAnsi="Garamond" w:cs="Times New Roman"/>
                <w:color w:val="000000"/>
                <w:sz w:val="10"/>
                <w:szCs w:val="10"/>
                <w:lang w:eastAsia="sq-AL"/>
              </w:rPr>
              <w:t>Moszhvillimi</w:t>
            </w:r>
            <w:r w:rsidRPr="004F2AC3">
              <w:rPr>
                <w:rFonts w:ascii="Garamond" w:eastAsia="Times New Roman" w:hAnsi="Garamond" w:cs="Times New Roman"/>
                <w:color w:val="000000"/>
                <w:sz w:val="10"/>
                <w:szCs w:val="10"/>
                <w:lang w:eastAsia="sq-AL"/>
              </w:rPr>
              <w:t xml:space="preserve"> i sistemeve të informacionit dhe </w:t>
            </w:r>
            <w:r w:rsidRPr="004F2AC3">
              <w:rPr>
                <w:rFonts w:ascii="Garamond" w:eastAsia="Times New Roman" w:hAnsi="Garamond" w:cs="Times New Roman"/>
                <w:i/>
                <w:color w:val="000000"/>
                <w:sz w:val="10"/>
                <w:szCs w:val="10"/>
                <w:lang w:eastAsia="sq-AL"/>
              </w:rPr>
              <w:t>web-services</w:t>
            </w:r>
            <w:r w:rsidRPr="004F2AC3">
              <w:rPr>
                <w:rFonts w:ascii="Garamond" w:eastAsia="Times New Roman" w:hAnsi="Garamond" w:cs="Times New Roman"/>
                <w:color w:val="000000"/>
                <w:sz w:val="10"/>
                <w:szCs w:val="10"/>
                <w:lang w:eastAsia="sq-AL"/>
              </w:rPr>
              <w:t>, e cila sjell si pasojë përdorimin e sistemeve aktuale dhe mospërmirësim të response burden -|- 6</w:t>
            </w:r>
          </w:p>
        </w:tc>
        <w:tc>
          <w:tcPr>
            <w:tcW w:w="551" w:type="dxa"/>
            <w:vMerge w:val="restart"/>
            <w:tcBorders>
              <w:top w:val="nil"/>
              <w:left w:val="single" w:sz="4" w:space="0" w:color="auto"/>
              <w:bottom w:val="single" w:sz="4" w:space="0" w:color="000000"/>
              <w:right w:val="single" w:sz="4" w:space="0" w:color="auto"/>
            </w:tcBorders>
            <w:shd w:val="clear" w:color="auto" w:fill="auto"/>
            <w:vAlign w:val="center"/>
            <w:hideMark/>
          </w:tcPr>
          <w:p w14:paraId="7564F90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249A8215" w14:textId="77777777" w:rsidTr="0021321C">
        <w:trPr>
          <w:trHeight w:val="180"/>
          <w:jc w:val="center"/>
        </w:trPr>
        <w:tc>
          <w:tcPr>
            <w:tcW w:w="388" w:type="dxa"/>
            <w:tcBorders>
              <w:top w:val="nil"/>
              <w:left w:val="nil"/>
              <w:bottom w:val="nil"/>
              <w:right w:val="nil"/>
            </w:tcBorders>
            <w:shd w:val="clear" w:color="000000" w:fill="FFFFFF"/>
            <w:vAlign w:val="bottom"/>
            <w:hideMark/>
          </w:tcPr>
          <w:p w14:paraId="2E15AB3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056D27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DD43B5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1F5C0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BED12F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0FEA74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2464ACE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45491C4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20CE1F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1E8B8CA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6A9F873B"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0513D4D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64D970A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single" w:sz="4" w:space="0" w:color="auto"/>
            </w:tcBorders>
            <w:shd w:val="clear" w:color="000000" w:fill="FFFFFF"/>
            <w:hideMark/>
          </w:tcPr>
          <w:p w14:paraId="04C4B9FA" w14:textId="4E66FA6D"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22.</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për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ndërtesa,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23.</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për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ndërtime dhe instalime,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24.</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për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inst.teknike, makineri e pajisje,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25.</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për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mjete transporti,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26.</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për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tokë,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27.</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të tjera,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28.</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Prodhimi,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29.</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Konsumi ndërmjetës,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30.</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Vlera e shtuar,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31.</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Volumi i ndërtimit në vlerë dhe strukturë</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32.</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Numri i ndërmarrjeve, sipas madhësisë së ndërmarrjeve</w:t>
            </w:r>
            <w:r w:rsidRPr="004F2AC3">
              <w:rPr>
                <w:rFonts w:ascii="Garamond" w:eastAsia="Times New Roman" w:hAnsi="Garamond" w:cs="Times New Roman"/>
                <w:sz w:val="10"/>
                <w:szCs w:val="10"/>
                <w:lang w:eastAsia="sq-AL"/>
              </w:rPr>
              <w:br/>
              <w:t>33.</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Të punësuar gjithsej, numër mesatar vjetor,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34.</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Të punësuar me pagesë, numri mesatar vjetor,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35.</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Të punësuar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gjithsej në fund të vitit, sipas gjinisë,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36.</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Të vetëpunësuar në fund të vitit, sipas </w:t>
            </w:r>
            <w:r w:rsidR="00612841" w:rsidRPr="004F2AC3">
              <w:rPr>
                <w:rFonts w:ascii="Garamond" w:eastAsia="Times New Roman" w:hAnsi="Garamond" w:cs="Times New Roman"/>
                <w:sz w:val="10"/>
                <w:szCs w:val="10"/>
                <w:lang w:eastAsia="sq-AL"/>
              </w:rPr>
              <w:t>gjinisë</w:t>
            </w:r>
            <w:r w:rsidRPr="004F2AC3">
              <w:rPr>
                <w:rFonts w:ascii="Garamond" w:eastAsia="Times New Roman" w:hAnsi="Garamond" w:cs="Times New Roman"/>
                <w:sz w:val="10"/>
                <w:szCs w:val="10"/>
                <w:lang w:eastAsia="sq-AL"/>
              </w:rPr>
              <w:t>,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37.</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Të punësuar me pagesë në fund të vitit, sipas </w:t>
            </w:r>
            <w:r w:rsidR="00612841" w:rsidRPr="004F2AC3">
              <w:rPr>
                <w:rFonts w:ascii="Garamond" w:eastAsia="Times New Roman" w:hAnsi="Garamond" w:cs="Times New Roman"/>
                <w:sz w:val="10"/>
                <w:szCs w:val="10"/>
                <w:lang w:eastAsia="sq-AL"/>
              </w:rPr>
              <w:t>gjinisë</w:t>
            </w:r>
            <w:r w:rsidRPr="004F2AC3">
              <w:rPr>
                <w:rFonts w:ascii="Garamond" w:eastAsia="Times New Roman" w:hAnsi="Garamond" w:cs="Times New Roman"/>
                <w:sz w:val="10"/>
                <w:szCs w:val="10"/>
                <w:lang w:eastAsia="sq-AL"/>
              </w:rPr>
              <w:t>,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38.</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Shifra e afarizmit,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39.</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Prodh. aktiveve të qëndrueshme,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40.</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Ndryshimi i </w:t>
            </w:r>
            <w:r w:rsidR="00612841" w:rsidRPr="004F2AC3">
              <w:rPr>
                <w:rFonts w:ascii="Garamond" w:eastAsia="Times New Roman" w:hAnsi="Garamond" w:cs="Times New Roman"/>
                <w:sz w:val="10"/>
                <w:szCs w:val="10"/>
                <w:lang w:eastAsia="sq-AL"/>
              </w:rPr>
              <w:t>gjendjes</w:t>
            </w:r>
            <w:r w:rsidRPr="004F2AC3">
              <w:rPr>
                <w:rFonts w:ascii="Garamond" w:eastAsia="Times New Roman" w:hAnsi="Garamond" w:cs="Times New Roman"/>
                <w:sz w:val="10"/>
                <w:szCs w:val="10"/>
                <w:lang w:eastAsia="sq-AL"/>
              </w:rPr>
              <w:t xml:space="preserve"> të prodhimit të vet,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41.</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Të ardhura të tjera,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42.</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Të ardhura gjithsej, sipas madhësisë së ndërmarrjeve</w:t>
            </w:r>
            <w:r w:rsidR="00DB4BE5" w:rsidRPr="004F2AC3">
              <w:rPr>
                <w:rFonts w:ascii="Garamond" w:eastAsia="Times New Roman" w:hAnsi="Garamond" w:cs="Times New Roman"/>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0A1F5B7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70051EE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0F7E632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7EAD7D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60C387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48387E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3A492EF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05EA467B" w14:textId="77777777" w:rsidTr="0021321C">
        <w:trPr>
          <w:trHeight w:val="180"/>
          <w:jc w:val="center"/>
        </w:trPr>
        <w:tc>
          <w:tcPr>
            <w:tcW w:w="388" w:type="dxa"/>
            <w:tcBorders>
              <w:top w:val="nil"/>
              <w:left w:val="nil"/>
              <w:bottom w:val="nil"/>
              <w:right w:val="nil"/>
            </w:tcBorders>
            <w:shd w:val="clear" w:color="000000" w:fill="FFFFFF"/>
            <w:vAlign w:val="bottom"/>
            <w:hideMark/>
          </w:tcPr>
          <w:p w14:paraId="567D31C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BEA6F9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BC7A95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5B8D6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EF8DA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BE95DB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52BDD5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57A3592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30A0B3B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201B5F4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5523F56C"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5F8B120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753EFE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single" w:sz="4" w:space="0" w:color="auto"/>
            </w:tcBorders>
            <w:shd w:val="clear" w:color="000000" w:fill="FFFFFF"/>
            <w:hideMark/>
          </w:tcPr>
          <w:p w14:paraId="0CC45535" w14:textId="151BEBE9"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43.</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Shpenzime </w:t>
            </w:r>
            <w:r w:rsidR="00612841"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Materiale dhe furnitura,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44.</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Shpenzime </w:t>
            </w:r>
            <w:r w:rsidR="00612841"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Mallrat,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45.</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Shpenzime personel,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46.</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Shpenzime </w:t>
            </w:r>
            <w:r w:rsidR="00612841"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paga,</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47.</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Shpenzime </w:t>
            </w:r>
            <w:r w:rsidR="00612841"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trajtime e shpërblime,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48.</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Shpenzime </w:t>
            </w:r>
            <w:r w:rsidR="00612841"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sigurimet shoqërore,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49.</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Shpenzime të tjera,</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50.</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Shpenzimet gjithsej,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51.</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Fitimi neto/humbjet,</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52.</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gjithsej,</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53.</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për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ndërtesa,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54.</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për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ndërtime dhe instalime,</w:t>
            </w:r>
            <w:r w:rsidR="00612841"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55.</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për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inst.</w:t>
            </w:r>
            <w:r w:rsidR="00612841"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teknike, makineri e pajisje,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56.</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për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mjete transporti,</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57.</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për</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tokë,</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58.</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Investimet të tjera,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59.</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Prodhimi,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60.</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Konsumi ndërmjetës,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61.</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Vlera e shtuar,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62.</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Të ardhura dhe shpenzime financiare sipas aktiviteteve ekonomike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63.</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Të ardhura dhe shpenzime financiare sipas madhësisë së ndërmarrjeve</w:t>
            </w:r>
            <w:r w:rsidR="00DB4BE5"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64.</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Numri i ndërmarrjeve sipas rajoneve dhe aktiviteteve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65.</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Numri i të punësuarve sipas rajoneve dhe aktiviteteve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66.</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Shpenzimet e personelit sipas rajoneve dhe aktiviteteve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67.</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Shitjet neto sipas rajoneve dhe aktiviteteve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68.</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Vlera e shtuar sipas rajoneve dhe aktiviteteve</w:t>
            </w:r>
            <w:r w:rsidR="00376756" w:rsidRPr="004F2AC3">
              <w:rPr>
                <w:rFonts w:ascii="Garamond" w:eastAsia="Times New Roman" w:hAnsi="Garamond" w:cs="Times New Roman"/>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63057B8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64613A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01025A9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525954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48124F2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0174975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70DDBEB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21321C" w:rsidRPr="004F2AC3" w14:paraId="18F1DE5F" w14:textId="77777777" w:rsidTr="0021321C">
        <w:trPr>
          <w:trHeight w:val="180"/>
          <w:jc w:val="center"/>
        </w:trPr>
        <w:tc>
          <w:tcPr>
            <w:tcW w:w="388" w:type="dxa"/>
            <w:tcBorders>
              <w:top w:val="nil"/>
              <w:left w:val="nil"/>
              <w:bottom w:val="nil"/>
              <w:right w:val="nil"/>
            </w:tcBorders>
            <w:shd w:val="clear" w:color="000000" w:fill="FFFFFF"/>
            <w:vAlign w:val="bottom"/>
            <w:hideMark/>
          </w:tcPr>
          <w:p w14:paraId="079E8D2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89A4BB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258767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6C48C4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0D46D86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2F2F2"/>
            <w:vAlign w:val="center"/>
            <w:hideMark/>
          </w:tcPr>
          <w:p w14:paraId="71E929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Prodcom</w:t>
            </w:r>
          </w:p>
        </w:tc>
      </w:tr>
      <w:tr w:rsidR="00C73163" w:rsidRPr="004F2AC3" w14:paraId="3A93DABC" w14:textId="77777777" w:rsidTr="0021321C">
        <w:trPr>
          <w:trHeight w:val="180"/>
          <w:jc w:val="center"/>
        </w:trPr>
        <w:tc>
          <w:tcPr>
            <w:tcW w:w="388" w:type="dxa"/>
            <w:tcBorders>
              <w:top w:val="nil"/>
              <w:left w:val="nil"/>
              <w:bottom w:val="nil"/>
              <w:right w:val="nil"/>
            </w:tcBorders>
            <w:shd w:val="clear" w:color="000000" w:fill="FFFFFF"/>
            <w:vAlign w:val="bottom"/>
            <w:hideMark/>
          </w:tcPr>
          <w:p w14:paraId="11EC9F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DA74C8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63063F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977AAB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EDBDF0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40704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4C49511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2.3.2.1</w:t>
            </w:r>
          </w:p>
        </w:tc>
        <w:tc>
          <w:tcPr>
            <w:tcW w:w="563" w:type="dxa"/>
            <w:tcBorders>
              <w:top w:val="nil"/>
              <w:left w:val="nil"/>
              <w:bottom w:val="single" w:sz="4" w:space="0" w:color="auto"/>
              <w:right w:val="single" w:sz="4" w:space="0" w:color="auto"/>
            </w:tcBorders>
            <w:shd w:val="clear" w:color="auto" w:fill="auto"/>
            <w:vAlign w:val="center"/>
            <w:hideMark/>
          </w:tcPr>
          <w:p w14:paraId="33B950B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produkteve industriale</w:t>
            </w:r>
          </w:p>
        </w:tc>
        <w:tc>
          <w:tcPr>
            <w:tcW w:w="446" w:type="dxa"/>
            <w:tcBorders>
              <w:top w:val="nil"/>
              <w:left w:val="nil"/>
              <w:bottom w:val="single" w:sz="4" w:space="0" w:color="auto"/>
              <w:right w:val="single" w:sz="4" w:space="0" w:color="auto"/>
            </w:tcBorders>
            <w:shd w:val="clear" w:color="auto" w:fill="auto"/>
            <w:vAlign w:val="center"/>
            <w:hideMark/>
          </w:tcPr>
          <w:p w14:paraId="6759BF5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790E3E0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326F639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764BB2C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511654D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60C24A5F" w14:textId="4BA4A90E"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Sasia e produkteve të prodhuara sipas llojit të produkteve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Sasia produkteve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shitur</w:t>
            </w:r>
            <w:r w:rsidR="00520D08" w:rsidRPr="004F2AC3">
              <w:rPr>
                <w:rFonts w:ascii="Garamond" w:eastAsia="Times New Roman" w:hAnsi="Garamond" w:cs="Times New Roman"/>
                <w:sz w:val="10"/>
                <w:szCs w:val="10"/>
                <w:lang w:eastAsia="sq-AL"/>
              </w:rPr>
              <w:t>a</w:t>
            </w:r>
            <w:r w:rsidRPr="004F2AC3">
              <w:rPr>
                <w:rFonts w:ascii="Garamond" w:eastAsia="Times New Roman" w:hAnsi="Garamond" w:cs="Times New Roman"/>
                <w:sz w:val="10"/>
                <w:szCs w:val="10"/>
                <w:lang w:eastAsia="sq-AL"/>
              </w:rPr>
              <w:t xml:space="preserve"> sipas llojit të produkteve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Vlera e produkteve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shitur</w:t>
            </w:r>
            <w:r w:rsidR="00520D08" w:rsidRPr="004F2AC3">
              <w:rPr>
                <w:rFonts w:ascii="Garamond" w:eastAsia="Times New Roman" w:hAnsi="Garamond" w:cs="Times New Roman"/>
                <w:sz w:val="10"/>
                <w:szCs w:val="10"/>
                <w:lang w:eastAsia="sq-AL"/>
              </w:rPr>
              <w:t>a</w:t>
            </w:r>
            <w:r w:rsidRPr="004F2AC3">
              <w:rPr>
                <w:rFonts w:ascii="Garamond" w:eastAsia="Times New Roman" w:hAnsi="Garamond" w:cs="Times New Roman"/>
                <w:sz w:val="10"/>
                <w:szCs w:val="10"/>
                <w:lang w:eastAsia="sq-AL"/>
              </w:rPr>
              <w:t xml:space="preserve"> sipas llojit të produkteve</w:t>
            </w:r>
            <w:r w:rsidR="00684E85" w:rsidRPr="004F2AC3">
              <w:rPr>
                <w:rFonts w:ascii="Garamond" w:eastAsia="Times New Roman" w:hAnsi="Garamond" w:cs="Times New Roman"/>
                <w:sz w:val="10"/>
                <w:szCs w:val="10"/>
                <w:lang w:eastAsia="sq-AL"/>
              </w:rPr>
              <w:t xml:space="preserve"> </w:t>
            </w:r>
            <w:r w:rsidR="005B3A9C" w:rsidRPr="004F2AC3">
              <w:rPr>
                <w:rFonts w:ascii="Garamond" w:eastAsia="Times New Roman" w:hAnsi="Garamond" w:cs="Times New Roman"/>
                <w:sz w:val="10"/>
                <w:szCs w:val="10"/>
                <w:lang w:eastAsia="sq-AL"/>
              </w:rPr>
              <w:t>4</w:t>
            </w:r>
            <w:r w:rsidRPr="004F2AC3">
              <w:rPr>
                <w:rFonts w:ascii="Garamond" w:eastAsia="Times New Roman" w:hAnsi="Garamond" w:cs="Times New Roman"/>
                <w:sz w:val="10"/>
                <w:szCs w:val="10"/>
                <w:lang w:eastAsia="sq-AL"/>
              </w:rPr>
              <w:t>. Sasia e produkteve të prodhuara si</w:t>
            </w:r>
            <w:r w:rsidR="00376756" w:rsidRPr="004F2AC3">
              <w:rPr>
                <w:rFonts w:ascii="Garamond" w:eastAsia="Times New Roman" w:hAnsi="Garamond" w:cs="Times New Roman"/>
                <w:sz w:val="10"/>
                <w:szCs w:val="10"/>
                <w:lang w:eastAsia="sq-AL"/>
              </w:rPr>
              <w:t>pas llojit të produkteve si nën</w:t>
            </w:r>
            <w:r w:rsidRPr="004F2AC3">
              <w:rPr>
                <w:rFonts w:ascii="Garamond" w:eastAsia="Times New Roman" w:hAnsi="Garamond" w:cs="Times New Roman"/>
                <w:sz w:val="10"/>
                <w:szCs w:val="10"/>
                <w:lang w:eastAsia="sq-AL"/>
              </w:rPr>
              <w:t>kontraktorë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Sasia produkteve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shitur</w:t>
            </w:r>
            <w:r w:rsidR="00520D08" w:rsidRPr="004F2AC3">
              <w:rPr>
                <w:rFonts w:ascii="Garamond" w:eastAsia="Times New Roman" w:hAnsi="Garamond" w:cs="Times New Roman"/>
                <w:sz w:val="10"/>
                <w:szCs w:val="10"/>
                <w:lang w:eastAsia="sq-AL"/>
              </w:rPr>
              <w:t>a</w:t>
            </w:r>
            <w:r w:rsidRPr="004F2AC3">
              <w:rPr>
                <w:rFonts w:ascii="Garamond" w:eastAsia="Times New Roman" w:hAnsi="Garamond" w:cs="Times New Roman"/>
                <w:sz w:val="10"/>
                <w:szCs w:val="10"/>
                <w:lang w:eastAsia="sq-AL"/>
              </w:rPr>
              <w:t xml:space="preserve"> si</w:t>
            </w:r>
            <w:r w:rsidR="00376756" w:rsidRPr="004F2AC3">
              <w:rPr>
                <w:rFonts w:ascii="Garamond" w:eastAsia="Times New Roman" w:hAnsi="Garamond" w:cs="Times New Roman"/>
                <w:sz w:val="10"/>
                <w:szCs w:val="10"/>
                <w:lang w:eastAsia="sq-AL"/>
              </w:rPr>
              <w:t>pas llojit të produkteve si nën</w:t>
            </w:r>
            <w:r w:rsidRPr="004F2AC3">
              <w:rPr>
                <w:rFonts w:ascii="Garamond" w:eastAsia="Times New Roman" w:hAnsi="Garamond" w:cs="Times New Roman"/>
                <w:sz w:val="10"/>
                <w:szCs w:val="10"/>
                <w:lang w:eastAsia="sq-AL"/>
              </w:rPr>
              <w:t>kontraktorë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 Vlera e produkteve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shitur</w:t>
            </w:r>
            <w:r w:rsidR="00520D08" w:rsidRPr="004F2AC3">
              <w:rPr>
                <w:rFonts w:ascii="Garamond" w:eastAsia="Times New Roman" w:hAnsi="Garamond" w:cs="Times New Roman"/>
                <w:sz w:val="10"/>
                <w:szCs w:val="10"/>
                <w:lang w:eastAsia="sq-AL"/>
              </w:rPr>
              <w:t>a</w:t>
            </w:r>
            <w:r w:rsidRPr="004F2AC3">
              <w:rPr>
                <w:rFonts w:ascii="Garamond" w:eastAsia="Times New Roman" w:hAnsi="Garamond" w:cs="Times New Roman"/>
                <w:sz w:val="10"/>
                <w:szCs w:val="10"/>
                <w:lang w:eastAsia="sq-AL"/>
              </w:rPr>
              <w:t xml:space="preserve"> sipas llojit të</w:t>
            </w:r>
            <w:r w:rsidR="00376756" w:rsidRPr="004F2AC3">
              <w:rPr>
                <w:rFonts w:ascii="Garamond" w:eastAsia="Times New Roman" w:hAnsi="Garamond" w:cs="Times New Roman"/>
                <w:sz w:val="10"/>
                <w:szCs w:val="10"/>
                <w:lang w:eastAsia="sq-AL"/>
              </w:rPr>
              <w:t xml:space="preserve"> produkteve si nën</w:t>
            </w:r>
            <w:r w:rsidRPr="004F2AC3">
              <w:rPr>
                <w:rFonts w:ascii="Garamond" w:eastAsia="Times New Roman" w:hAnsi="Garamond" w:cs="Times New Roman"/>
                <w:sz w:val="10"/>
                <w:szCs w:val="10"/>
                <w:lang w:eastAsia="sq-AL"/>
              </w:rPr>
              <w:t>kontraktorë</w:t>
            </w:r>
            <w:r w:rsidR="00376756"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18ABFF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13" w:type="dxa"/>
            <w:tcBorders>
              <w:top w:val="nil"/>
              <w:left w:val="nil"/>
              <w:bottom w:val="single" w:sz="4" w:space="0" w:color="auto"/>
              <w:right w:val="single" w:sz="4" w:space="0" w:color="auto"/>
            </w:tcBorders>
            <w:shd w:val="clear" w:color="auto" w:fill="auto"/>
            <w:vAlign w:val="center"/>
            <w:hideMark/>
          </w:tcPr>
          <w:p w14:paraId="1968FA9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tcBorders>
              <w:top w:val="nil"/>
              <w:left w:val="nil"/>
              <w:bottom w:val="single" w:sz="4" w:space="0" w:color="auto"/>
              <w:right w:val="single" w:sz="4" w:space="0" w:color="auto"/>
            </w:tcBorders>
            <w:shd w:val="clear" w:color="auto" w:fill="auto"/>
            <w:vAlign w:val="center"/>
            <w:hideMark/>
          </w:tcPr>
          <w:p w14:paraId="6B62A19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+ 61D</w:t>
            </w:r>
          </w:p>
        </w:tc>
        <w:tc>
          <w:tcPr>
            <w:tcW w:w="385" w:type="dxa"/>
            <w:tcBorders>
              <w:top w:val="nil"/>
              <w:left w:val="nil"/>
              <w:bottom w:val="single" w:sz="4" w:space="0" w:color="auto"/>
              <w:right w:val="single" w:sz="4" w:space="0" w:color="auto"/>
            </w:tcBorders>
            <w:shd w:val="clear" w:color="auto" w:fill="auto"/>
            <w:vAlign w:val="center"/>
            <w:hideMark/>
          </w:tcPr>
          <w:p w14:paraId="41DDE7C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+ 261D</w:t>
            </w:r>
          </w:p>
        </w:tc>
        <w:tc>
          <w:tcPr>
            <w:tcW w:w="361" w:type="dxa"/>
            <w:tcBorders>
              <w:top w:val="nil"/>
              <w:left w:val="nil"/>
              <w:bottom w:val="single" w:sz="4" w:space="0" w:color="auto"/>
              <w:right w:val="single" w:sz="4" w:space="0" w:color="auto"/>
            </w:tcBorders>
            <w:shd w:val="clear" w:color="auto" w:fill="auto"/>
            <w:vAlign w:val="center"/>
            <w:hideMark/>
          </w:tcPr>
          <w:p w14:paraId="7912D4D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+ 268D</w:t>
            </w:r>
          </w:p>
        </w:tc>
        <w:tc>
          <w:tcPr>
            <w:tcW w:w="732" w:type="dxa"/>
            <w:tcBorders>
              <w:top w:val="nil"/>
              <w:left w:val="nil"/>
              <w:bottom w:val="single" w:sz="4" w:space="0" w:color="auto"/>
              <w:right w:val="single" w:sz="4" w:space="0" w:color="auto"/>
            </w:tcBorders>
            <w:shd w:val="clear" w:color="auto" w:fill="auto"/>
            <w:vAlign w:val="center"/>
            <w:hideMark/>
          </w:tcPr>
          <w:p w14:paraId="627BA0AE" w14:textId="1C729CD8" w:rsidR="0021321C" w:rsidRPr="004F2AC3" w:rsidRDefault="0021321C" w:rsidP="00612841">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Mosmarrja në kohë dhe ndryshimi i bazës ligjore të burimit administrativ, sjell si pasojë mos publikimin në kohë dhe me cilësi të rezultateve të treguesve statistikorë -|- 3</w:t>
            </w:r>
            <w:r w:rsidRPr="004F2AC3">
              <w:rPr>
                <w:rFonts w:ascii="Garamond" w:eastAsia="Times New Roman" w:hAnsi="Garamond" w:cs="Times New Roman"/>
                <w:color w:val="000000"/>
                <w:sz w:val="10"/>
                <w:szCs w:val="10"/>
                <w:lang w:eastAsia="sq-AL"/>
              </w:rPr>
              <w:br/>
              <w:t>2. Moszbatimi në kohë i hapave dhe detyrave për kryerjen e procesit statistikor në vrojtimet vjetore, e cila sjell si pasojë mos publikimin në kohë të rezultateve të vrojtimit. -|- 4</w:t>
            </w:r>
            <w:r w:rsidRPr="004F2AC3">
              <w:rPr>
                <w:rFonts w:ascii="Garamond" w:eastAsia="Times New Roman" w:hAnsi="Garamond" w:cs="Times New Roman"/>
                <w:color w:val="000000"/>
                <w:sz w:val="10"/>
                <w:szCs w:val="10"/>
                <w:lang w:eastAsia="sq-AL"/>
              </w:rPr>
              <w:br/>
              <w:t>3. Mospërmbushja e kritereve të cilësisë si: saktësia, përpikmëria dhe krahasueshmëria, për vrojtimet statistikore e cila sjell si pasojë mos shpërndarjen në kohë e në cilësi të rezultateve të vrojtimit. -|- 5</w:t>
            </w:r>
            <w:r w:rsidRPr="004F2AC3">
              <w:rPr>
                <w:rFonts w:ascii="Garamond" w:eastAsia="Times New Roman" w:hAnsi="Garamond" w:cs="Times New Roman"/>
                <w:color w:val="000000"/>
                <w:sz w:val="10"/>
                <w:szCs w:val="10"/>
                <w:lang w:eastAsia="sq-AL"/>
              </w:rPr>
              <w:br/>
              <w:t>4. Pezullimi/vonesa e mbledhjes, prodhimit dhe shpërndarjes të statistikave zyr</w:t>
            </w:r>
            <w:r w:rsidR="005B3A9C" w:rsidRPr="004F2AC3">
              <w:rPr>
                <w:rFonts w:ascii="Garamond" w:eastAsia="Times New Roman" w:hAnsi="Garamond" w:cs="Times New Roman"/>
                <w:color w:val="000000"/>
                <w:sz w:val="10"/>
                <w:szCs w:val="10"/>
                <w:lang w:eastAsia="sq-AL"/>
              </w:rPr>
              <w:t>tare nga fatkeqësitë natyrore/</w:t>
            </w:r>
            <w:r w:rsidRPr="004F2AC3">
              <w:rPr>
                <w:rFonts w:ascii="Garamond" w:eastAsia="Times New Roman" w:hAnsi="Garamond" w:cs="Times New Roman"/>
                <w:color w:val="000000"/>
                <w:sz w:val="10"/>
                <w:szCs w:val="10"/>
                <w:lang w:eastAsia="sq-AL"/>
              </w:rPr>
              <w:t>pandemi globale, e cila sjell si pasojë mos publikimin në kohë të rezultateve të vrojtimit. -|- 5</w:t>
            </w:r>
            <w:r w:rsidRPr="004F2AC3">
              <w:rPr>
                <w:rFonts w:ascii="Garamond" w:eastAsia="Times New Roman" w:hAnsi="Garamond" w:cs="Times New Roman"/>
                <w:color w:val="000000"/>
                <w:sz w:val="10"/>
                <w:szCs w:val="10"/>
                <w:lang w:eastAsia="sq-AL"/>
              </w:rPr>
              <w:br/>
              <w:t>5. Mosevidentimi dhe realizimi i detyrave të përditshme të sektorit, e cila sjell si pasojë ngadalësim të proceseve të punës -|- 2</w:t>
            </w:r>
            <w:r w:rsidRPr="004F2AC3">
              <w:rPr>
                <w:rFonts w:ascii="Garamond" w:eastAsia="Times New Roman" w:hAnsi="Garamond" w:cs="Times New Roman"/>
                <w:color w:val="000000"/>
                <w:sz w:val="10"/>
                <w:szCs w:val="10"/>
                <w:lang w:eastAsia="sq-AL"/>
              </w:rPr>
              <w:br/>
              <w:t xml:space="preserve">6. Moszbatimi në kohë i kalendarit të publikimeve statistikore dhe përditësimit të materialeve në </w:t>
            </w:r>
            <w:r w:rsidRPr="004F2AC3">
              <w:rPr>
                <w:rFonts w:ascii="Garamond" w:eastAsia="Times New Roman" w:hAnsi="Garamond" w:cs="Times New Roman"/>
                <w:i/>
                <w:color w:val="000000"/>
                <w:sz w:val="10"/>
                <w:szCs w:val="10"/>
                <w:lang w:eastAsia="sq-AL"/>
              </w:rPr>
              <w:t>web</w:t>
            </w:r>
            <w:r w:rsidRPr="004F2AC3">
              <w:rPr>
                <w:rFonts w:ascii="Garamond" w:eastAsia="Times New Roman" w:hAnsi="Garamond" w:cs="Times New Roman"/>
                <w:color w:val="000000"/>
                <w:sz w:val="10"/>
                <w:szCs w:val="10"/>
                <w:lang w:eastAsia="sq-AL"/>
              </w:rPr>
              <w:t>, e cila sjell si pasojë mungesën e informacionit për përdoruesit dhe c</w:t>
            </w:r>
            <w:r w:rsidR="00612841" w:rsidRPr="004F2AC3">
              <w:rPr>
                <w:rFonts w:ascii="Garamond" w:eastAsia="Times New Roman" w:hAnsi="Garamond" w:cs="Times New Roman"/>
                <w:color w:val="000000"/>
                <w:sz w:val="10"/>
                <w:szCs w:val="10"/>
                <w:lang w:eastAsia="sq-AL"/>
              </w:rPr>
              <w:t>e</w:t>
            </w:r>
            <w:r w:rsidRPr="004F2AC3">
              <w:rPr>
                <w:rFonts w:ascii="Garamond" w:eastAsia="Times New Roman" w:hAnsi="Garamond" w:cs="Times New Roman"/>
                <w:color w:val="000000"/>
                <w:sz w:val="10"/>
                <w:szCs w:val="10"/>
                <w:lang w:eastAsia="sq-AL"/>
              </w:rPr>
              <w:t>nimin e imazhit të INSTAT</w:t>
            </w:r>
            <w:r w:rsidR="00376756" w:rsidRPr="004F2AC3">
              <w:rPr>
                <w:rFonts w:ascii="Garamond" w:eastAsia="Times New Roman" w:hAnsi="Garamond" w:cs="Times New Roman"/>
                <w:color w:val="000000"/>
                <w:sz w:val="10"/>
                <w:szCs w:val="10"/>
                <w:lang w:eastAsia="sq-AL"/>
              </w:rPr>
              <w:t>-it</w:t>
            </w:r>
            <w:r w:rsidRPr="004F2AC3">
              <w:rPr>
                <w:rFonts w:ascii="Garamond" w:eastAsia="Times New Roman" w:hAnsi="Garamond" w:cs="Times New Roman"/>
                <w:color w:val="000000"/>
                <w:sz w:val="10"/>
                <w:szCs w:val="10"/>
                <w:lang w:eastAsia="sq-AL"/>
              </w:rPr>
              <w:t>. -|- 2</w:t>
            </w:r>
            <w:r w:rsidRPr="004F2AC3">
              <w:rPr>
                <w:rFonts w:ascii="Garamond" w:eastAsia="Times New Roman" w:hAnsi="Garamond" w:cs="Times New Roman"/>
                <w:color w:val="000000"/>
                <w:sz w:val="10"/>
                <w:szCs w:val="10"/>
                <w:lang w:eastAsia="sq-AL"/>
              </w:rPr>
              <w:br/>
              <w:t>7. Gabime në përllogaritje e treguesve nga specialistët, e cila sjell si pasojë mos shpërndarja në cilësi të rezultateve të treguesve statistikorë -|- 2</w:t>
            </w:r>
            <w:r w:rsidRPr="004F2AC3">
              <w:rPr>
                <w:rFonts w:ascii="Garamond" w:eastAsia="Times New Roman" w:hAnsi="Garamond" w:cs="Times New Roman"/>
                <w:color w:val="000000"/>
                <w:sz w:val="10"/>
                <w:szCs w:val="10"/>
                <w:lang w:eastAsia="sq-AL"/>
              </w:rPr>
              <w:br/>
              <w:t>8. Mosfunksionimi i metodave të reja të IT për mbledhjen e të dhënave në vrojtimet vjetore, e cila sjell si pasojë mos publikimin në kohë të rezultateve të vrojtimit. -|- 6</w:t>
            </w:r>
            <w:r w:rsidRPr="004F2AC3">
              <w:rPr>
                <w:rFonts w:ascii="Garamond" w:eastAsia="Times New Roman" w:hAnsi="Garamond" w:cs="Times New Roman"/>
                <w:color w:val="000000"/>
                <w:sz w:val="10"/>
                <w:szCs w:val="10"/>
                <w:lang w:eastAsia="sq-AL"/>
              </w:rPr>
              <w:br/>
              <w:t>9. Lëvizja e stafit me eksperiencë nga sektori, e cila sjell si pasojë ndërprerje/ngadalësim të proceseve të punës. -|- 6</w:t>
            </w:r>
            <w:r w:rsidRPr="004F2AC3">
              <w:rPr>
                <w:rFonts w:ascii="Garamond" w:eastAsia="Times New Roman" w:hAnsi="Garamond" w:cs="Times New Roman"/>
                <w:color w:val="000000"/>
                <w:sz w:val="10"/>
                <w:szCs w:val="10"/>
                <w:lang w:eastAsia="sq-AL"/>
              </w:rPr>
              <w:br/>
              <w:t>10. Mosfunksionimi i metodave të automatizimit dhe mos pasja e suportit për automatizimin e proceseve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prodhimit statistikor, e cila sjell si pasojë ngadalësim të procesit të automatizimit -|- 6</w:t>
            </w:r>
            <w:r w:rsidRPr="004F2AC3">
              <w:rPr>
                <w:rFonts w:ascii="Garamond" w:eastAsia="Times New Roman" w:hAnsi="Garamond" w:cs="Times New Roman"/>
                <w:color w:val="000000"/>
                <w:sz w:val="10"/>
                <w:szCs w:val="10"/>
                <w:lang w:eastAsia="sq-AL"/>
              </w:rPr>
              <w:br/>
              <w:t xml:space="preserve">11. Moszhvillimi i sistemeve të informacionit dhe </w:t>
            </w:r>
            <w:r w:rsidRPr="004F2AC3">
              <w:rPr>
                <w:rFonts w:ascii="Garamond" w:eastAsia="Times New Roman" w:hAnsi="Garamond" w:cs="Times New Roman"/>
                <w:i/>
                <w:color w:val="000000"/>
                <w:sz w:val="10"/>
                <w:szCs w:val="10"/>
                <w:lang w:eastAsia="sq-AL"/>
              </w:rPr>
              <w:t>web-services</w:t>
            </w:r>
            <w:r w:rsidRPr="004F2AC3">
              <w:rPr>
                <w:rFonts w:ascii="Garamond" w:eastAsia="Times New Roman" w:hAnsi="Garamond" w:cs="Times New Roman"/>
                <w:color w:val="000000"/>
                <w:sz w:val="10"/>
                <w:szCs w:val="10"/>
                <w:lang w:eastAsia="sq-AL"/>
              </w:rPr>
              <w:t xml:space="preserve">, e cila sjell si pasojë përdorimin e sistemeve aktuale dhe mospërmirësim të </w:t>
            </w:r>
            <w:r w:rsidRPr="004F2AC3">
              <w:rPr>
                <w:rFonts w:ascii="Garamond" w:eastAsia="Times New Roman" w:hAnsi="Garamond" w:cs="Times New Roman"/>
                <w:i/>
                <w:color w:val="000000"/>
                <w:sz w:val="10"/>
                <w:szCs w:val="10"/>
                <w:lang w:eastAsia="sq-AL"/>
              </w:rPr>
              <w:t>response burden</w:t>
            </w:r>
            <w:r w:rsidRPr="004F2AC3">
              <w:rPr>
                <w:rFonts w:ascii="Garamond" w:eastAsia="Times New Roman" w:hAnsi="Garamond" w:cs="Times New Roman"/>
                <w:color w:val="000000"/>
                <w:sz w:val="10"/>
                <w:szCs w:val="10"/>
                <w:lang w:eastAsia="sq-AL"/>
              </w:rPr>
              <w:t xml:space="preserve"> -|- 6</w:t>
            </w:r>
          </w:p>
        </w:tc>
        <w:tc>
          <w:tcPr>
            <w:tcW w:w="551" w:type="dxa"/>
            <w:tcBorders>
              <w:top w:val="nil"/>
              <w:left w:val="nil"/>
              <w:bottom w:val="single" w:sz="4" w:space="0" w:color="auto"/>
              <w:right w:val="single" w:sz="4" w:space="0" w:color="auto"/>
            </w:tcBorders>
            <w:shd w:val="clear" w:color="auto" w:fill="auto"/>
            <w:vAlign w:val="center"/>
            <w:hideMark/>
          </w:tcPr>
          <w:p w14:paraId="3BD021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113B3713" w14:textId="77777777" w:rsidTr="0021321C">
        <w:trPr>
          <w:trHeight w:val="180"/>
          <w:jc w:val="center"/>
        </w:trPr>
        <w:tc>
          <w:tcPr>
            <w:tcW w:w="388" w:type="dxa"/>
            <w:tcBorders>
              <w:top w:val="nil"/>
              <w:left w:val="nil"/>
              <w:bottom w:val="nil"/>
              <w:right w:val="nil"/>
            </w:tcBorders>
            <w:shd w:val="clear" w:color="000000" w:fill="FFFFFF"/>
            <w:vAlign w:val="bottom"/>
            <w:hideMark/>
          </w:tcPr>
          <w:p w14:paraId="553B3F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D0A9B3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AF0A8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D71A0F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0B39081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2.3.3</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2F2F2"/>
            <w:vAlign w:val="center"/>
            <w:hideMark/>
          </w:tcPr>
          <w:p w14:paraId="25F709AF" w14:textId="3807752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w:t>
            </w:r>
            <w:r w:rsidR="00376756" w:rsidRPr="004F2AC3">
              <w:rPr>
                <w:rFonts w:ascii="Garamond" w:eastAsia="Times New Roman" w:hAnsi="Garamond" w:cs="Times New Roman"/>
                <w:color w:val="000000"/>
                <w:sz w:val="10"/>
                <w:szCs w:val="10"/>
                <w:lang w:eastAsia="sq-AL"/>
              </w:rPr>
              <w:t xml:space="preserve">afatshkurtra të ndërmarrjeve </w:t>
            </w:r>
          </w:p>
        </w:tc>
      </w:tr>
      <w:tr w:rsidR="00C73163" w:rsidRPr="004F2AC3" w14:paraId="5A3C2A97" w14:textId="77777777" w:rsidTr="0021321C">
        <w:trPr>
          <w:trHeight w:val="180"/>
          <w:jc w:val="center"/>
        </w:trPr>
        <w:tc>
          <w:tcPr>
            <w:tcW w:w="388" w:type="dxa"/>
            <w:tcBorders>
              <w:top w:val="nil"/>
              <w:left w:val="nil"/>
              <w:bottom w:val="nil"/>
              <w:right w:val="nil"/>
            </w:tcBorders>
            <w:shd w:val="clear" w:color="000000" w:fill="FFFFFF"/>
            <w:vAlign w:val="bottom"/>
            <w:hideMark/>
          </w:tcPr>
          <w:p w14:paraId="27BC85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66328C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51F5B7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F03C40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E8459C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674C5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48D78D5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2.3.3.1</w:t>
            </w:r>
          </w:p>
        </w:tc>
        <w:tc>
          <w:tcPr>
            <w:tcW w:w="563" w:type="dxa"/>
            <w:tcBorders>
              <w:top w:val="nil"/>
              <w:left w:val="nil"/>
              <w:bottom w:val="single" w:sz="4" w:space="0" w:color="auto"/>
              <w:right w:val="single" w:sz="4" w:space="0" w:color="auto"/>
            </w:tcBorders>
            <w:shd w:val="clear" w:color="auto" w:fill="auto"/>
            <w:vAlign w:val="center"/>
            <w:hideMark/>
          </w:tcPr>
          <w:p w14:paraId="10555B0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Afatshkurtra të Ndërmarrjeve</w:t>
            </w:r>
          </w:p>
        </w:tc>
        <w:tc>
          <w:tcPr>
            <w:tcW w:w="446" w:type="dxa"/>
            <w:tcBorders>
              <w:top w:val="nil"/>
              <w:left w:val="nil"/>
              <w:bottom w:val="single" w:sz="4" w:space="0" w:color="auto"/>
              <w:right w:val="single" w:sz="4" w:space="0" w:color="auto"/>
            </w:tcBorders>
            <w:shd w:val="clear" w:color="auto" w:fill="auto"/>
            <w:vAlign w:val="center"/>
            <w:hideMark/>
          </w:tcPr>
          <w:p w14:paraId="359300E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noWrap/>
            <w:vAlign w:val="center"/>
            <w:hideMark/>
          </w:tcPr>
          <w:p w14:paraId="63957494"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70%</w:t>
            </w:r>
          </w:p>
        </w:tc>
        <w:tc>
          <w:tcPr>
            <w:tcW w:w="301" w:type="dxa"/>
            <w:tcBorders>
              <w:top w:val="nil"/>
              <w:left w:val="nil"/>
              <w:bottom w:val="single" w:sz="4" w:space="0" w:color="auto"/>
              <w:right w:val="single" w:sz="4" w:space="0" w:color="auto"/>
            </w:tcBorders>
            <w:shd w:val="clear" w:color="auto" w:fill="auto"/>
            <w:noWrap/>
            <w:vAlign w:val="center"/>
            <w:hideMark/>
          </w:tcPr>
          <w:p w14:paraId="77A63E7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30%</w:t>
            </w:r>
          </w:p>
        </w:tc>
        <w:tc>
          <w:tcPr>
            <w:tcW w:w="426" w:type="dxa"/>
            <w:tcBorders>
              <w:top w:val="nil"/>
              <w:left w:val="nil"/>
              <w:bottom w:val="single" w:sz="4" w:space="0" w:color="auto"/>
              <w:right w:val="single" w:sz="4" w:space="0" w:color="auto"/>
            </w:tcBorders>
            <w:shd w:val="clear" w:color="auto" w:fill="auto"/>
            <w:vAlign w:val="center"/>
            <w:hideMark/>
          </w:tcPr>
          <w:p w14:paraId="3FB80A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1273752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single" w:sz="4" w:space="0" w:color="auto"/>
              <w:right w:val="single" w:sz="4" w:space="0" w:color="auto"/>
            </w:tcBorders>
            <w:shd w:val="clear" w:color="auto" w:fill="auto"/>
            <w:vAlign w:val="center"/>
            <w:hideMark/>
          </w:tcPr>
          <w:p w14:paraId="0DE89C48" w14:textId="77777777" w:rsidR="00376756" w:rsidRPr="004F2AC3" w:rsidRDefault="0021321C" w:rsidP="00376756">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sz w:val="10"/>
                <w:szCs w:val="10"/>
                <w:lang w:eastAsia="sq-AL"/>
              </w:rPr>
              <w:t>1. Indeksi i prodhimit në vlerë/ volum (Industri, Ndërtim</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w:t>
            </w:r>
          </w:p>
          <w:p w14:paraId="7D4ABE48" w14:textId="77777777" w:rsidR="00376756" w:rsidRPr="004F2AC3" w:rsidRDefault="00684E85" w:rsidP="00376756">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 </w:t>
            </w:r>
            <w:r w:rsidR="0021321C" w:rsidRPr="004F2AC3">
              <w:rPr>
                <w:rFonts w:ascii="Garamond" w:eastAsia="Times New Roman" w:hAnsi="Garamond" w:cs="Times New Roman"/>
                <w:sz w:val="10"/>
                <w:szCs w:val="10"/>
                <w:lang w:eastAsia="sq-AL"/>
              </w:rPr>
              <w:t>2. Indeksi i shitjeve neto në vlerë/ volum (Industri, Ndërtim, Tregti, Shërbime)</w:t>
            </w:r>
            <w:r w:rsidR="00376756" w:rsidRPr="004F2AC3">
              <w:rPr>
                <w:rFonts w:ascii="Garamond" w:eastAsia="Times New Roman" w:hAnsi="Garamond" w:cs="Times New Roman"/>
                <w:sz w:val="10"/>
                <w:szCs w:val="10"/>
                <w:lang w:eastAsia="sq-AL"/>
              </w:rPr>
              <w:t>;</w:t>
            </w:r>
            <w:r w:rsidR="0021321C" w:rsidRPr="004F2AC3">
              <w:rPr>
                <w:rFonts w:ascii="Garamond" w:eastAsia="Times New Roman" w:hAnsi="Garamond" w:cs="Times New Roman"/>
                <w:sz w:val="10"/>
                <w:szCs w:val="10"/>
                <w:lang w:eastAsia="sq-AL"/>
              </w:rPr>
              <w:br/>
              <w:t>3. Indeksi i numrit të të punësuarve</w:t>
            </w:r>
            <w:r w:rsidRPr="004F2AC3">
              <w:rPr>
                <w:rFonts w:ascii="Garamond" w:eastAsia="Times New Roman" w:hAnsi="Garamond" w:cs="Times New Roman"/>
                <w:sz w:val="10"/>
                <w:szCs w:val="10"/>
                <w:lang w:eastAsia="sq-AL"/>
              </w:rPr>
              <w:t xml:space="preserve"> </w:t>
            </w:r>
            <w:r w:rsidR="0021321C" w:rsidRPr="004F2AC3">
              <w:rPr>
                <w:rFonts w:ascii="Garamond" w:eastAsia="Times New Roman" w:hAnsi="Garamond" w:cs="Times New Roman"/>
                <w:sz w:val="10"/>
                <w:szCs w:val="10"/>
                <w:lang w:eastAsia="sq-AL"/>
              </w:rPr>
              <w:t>(Industri, Ndërtim, Tregti, Shërbime)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w:t>
            </w:r>
          </w:p>
          <w:p w14:paraId="7262E077" w14:textId="5040B063" w:rsidR="0021321C" w:rsidRPr="004F2AC3" w:rsidRDefault="0021321C" w:rsidP="00376756">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sz w:val="10"/>
                <w:szCs w:val="10"/>
                <w:lang w:eastAsia="sq-AL"/>
              </w:rPr>
              <w:t>4. Indeksi i fondit të pagave (Industri, Ndërtim, Tregti, Shërbime)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Indeksi i shitjeve neto (vlerë/ volum) në Tregtinë me pakicë dhe Tregtinë me pakicë të hidrokarbureve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6. Volumi i prodhimit në </w:t>
            </w:r>
            <w:r w:rsidR="00376756" w:rsidRPr="004F2AC3">
              <w:rPr>
                <w:rFonts w:ascii="Garamond" w:eastAsia="Times New Roman" w:hAnsi="Garamond" w:cs="Times New Roman"/>
                <w:sz w:val="10"/>
                <w:szCs w:val="10"/>
                <w:lang w:eastAsia="sq-AL"/>
              </w:rPr>
              <w:t>Ndërtim</w:t>
            </w:r>
            <w:r w:rsidRPr="004F2AC3">
              <w:rPr>
                <w:rFonts w:ascii="Garamond" w:eastAsia="Times New Roman" w:hAnsi="Garamond" w:cs="Times New Roman"/>
                <w:sz w:val="10"/>
                <w:szCs w:val="10"/>
                <w:lang w:eastAsia="sq-AL"/>
              </w:rPr>
              <w:t>, total, ndërtesa, shërbime inxhinierike</w:t>
            </w:r>
            <w:r w:rsidR="00376756"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564A1A0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13" w:type="dxa"/>
            <w:tcBorders>
              <w:top w:val="nil"/>
              <w:left w:val="nil"/>
              <w:bottom w:val="single" w:sz="4" w:space="0" w:color="auto"/>
              <w:right w:val="single" w:sz="4" w:space="0" w:color="auto"/>
            </w:tcBorders>
            <w:shd w:val="clear" w:color="auto" w:fill="auto"/>
            <w:vAlign w:val="center"/>
            <w:hideMark/>
          </w:tcPr>
          <w:p w14:paraId="73D4A4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tcBorders>
              <w:top w:val="nil"/>
              <w:left w:val="nil"/>
              <w:bottom w:val="single" w:sz="4" w:space="0" w:color="auto"/>
              <w:right w:val="single" w:sz="4" w:space="0" w:color="auto"/>
            </w:tcBorders>
            <w:shd w:val="clear" w:color="auto" w:fill="auto"/>
            <w:vAlign w:val="center"/>
            <w:hideMark/>
          </w:tcPr>
          <w:p w14:paraId="3FB3EFE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T+ 31D</w:t>
            </w:r>
          </w:p>
        </w:tc>
        <w:tc>
          <w:tcPr>
            <w:tcW w:w="385" w:type="dxa"/>
            <w:tcBorders>
              <w:top w:val="nil"/>
              <w:left w:val="nil"/>
              <w:bottom w:val="single" w:sz="4" w:space="0" w:color="auto"/>
              <w:right w:val="single" w:sz="4" w:space="0" w:color="auto"/>
            </w:tcBorders>
            <w:shd w:val="clear" w:color="auto" w:fill="auto"/>
            <w:vAlign w:val="center"/>
            <w:hideMark/>
          </w:tcPr>
          <w:p w14:paraId="7507BE7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T+ 63D</w:t>
            </w:r>
          </w:p>
        </w:tc>
        <w:tc>
          <w:tcPr>
            <w:tcW w:w="361" w:type="dxa"/>
            <w:tcBorders>
              <w:top w:val="nil"/>
              <w:left w:val="nil"/>
              <w:bottom w:val="single" w:sz="4" w:space="0" w:color="auto"/>
              <w:right w:val="single" w:sz="4" w:space="0" w:color="auto"/>
            </w:tcBorders>
            <w:shd w:val="clear" w:color="auto" w:fill="auto"/>
            <w:vAlign w:val="center"/>
            <w:hideMark/>
          </w:tcPr>
          <w:p w14:paraId="4521FE7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T+ 76D</w:t>
            </w:r>
          </w:p>
        </w:tc>
        <w:tc>
          <w:tcPr>
            <w:tcW w:w="732" w:type="dxa"/>
            <w:tcBorders>
              <w:top w:val="nil"/>
              <w:left w:val="nil"/>
              <w:bottom w:val="single" w:sz="4" w:space="0" w:color="auto"/>
              <w:right w:val="single" w:sz="4" w:space="0" w:color="auto"/>
            </w:tcBorders>
            <w:shd w:val="clear" w:color="auto" w:fill="auto"/>
            <w:vAlign w:val="center"/>
            <w:hideMark/>
          </w:tcPr>
          <w:p w14:paraId="442C2087" w14:textId="29D89A4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Moszbatimi në kohë i hapave dhe detyrave për kryerjen e procesit statistikor në vrojtimet tremujore, e cila sjell si pasojë mos publikimin në kohë të rezultateve të vrojtimit. -|- 6</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vrojtimet statistikore e cila sjell si pasojë mos shpërndarjen në kohë e në cilësi të rezultateve të vrojtimit. -|- 5</w:t>
            </w:r>
            <w:r w:rsidRPr="004F2AC3">
              <w:rPr>
                <w:rFonts w:ascii="Garamond" w:eastAsia="Times New Roman" w:hAnsi="Garamond" w:cs="Times New Roman"/>
                <w:color w:val="000000"/>
                <w:sz w:val="10"/>
                <w:szCs w:val="10"/>
                <w:lang w:eastAsia="sq-AL"/>
              </w:rPr>
              <w:br/>
              <w:t>3. Pezullimi/vonesa e mbledhjes, prodhimit dhe shpërndarjes të statistikave zyr</w:t>
            </w:r>
            <w:r w:rsidR="005B3A9C" w:rsidRPr="004F2AC3">
              <w:rPr>
                <w:rFonts w:ascii="Garamond" w:eastAsia="Times New Roman" w:hAnsi="Garamond" w:cs="Times New Roman"/>
                <w:color w:val="000000"/>
                <w:sz w:val="10"/>
                <w:szCs w:val="10"/>
                <w:lang w:eastAsia="sq-AL"/>
              </w:rPr>
              <w:t>tare nga fatkeqësitë natyrore/</w:t>
            </w:r>
            <w:r w:rsidRPr="004F2AC3">
              <w:rPr>
                <w:rFonts w:ascii="Garamond" w:eastAsia="Times New Roman" w:hAnsi="Garamond" w:cs="Times New Roman"/>
                <w:color w:val="000000"/>
                <w:sz w:val="10"/>
                <w:szCs w:val="10"/>
                <w:lang w:eastAsia="sq-AL"/>
              </w:rPr>
              <w:t>pandemi globale, e cila sjell si pasojë mos publikimin në kohë të rezultateve të vrojtimit. -|- 6</w:t>
            </w:r>
            <w:r w:rsidRPr="004F2AC3">
              <w:rPr>
                <w:rFonts w:ascii="Garamond" w:eastAsia="Times New Roman" w:hAnsi="Garamond" w:cs="Times New Roman"/>
                <w:color w:val="000000"/>
                <w:sz w:val="10"/>
                <w:szCs w:val="10"/>
                <w:lang w:eastAsia="sq-AL"/>
              </w:rPr>
              <w:br/>
              <w:t>4. Mosmarrja në kohë dhe ndryshimi i bazës ligjore të burimit administrativ, sjell si pasojë mos publikimin në kohë të rezultateve të treguesve statistikorë. -|- 7</w:t>
            </w:r>
            <w:r w:rsidRPr="004F2AC3">
              <w:rPr>
                <w:rFonts w:ascii="Garamond" w:eastAsia="Times New Roman" w:hAnsi="Garamond" w:cs="Times New Roman"/>
                <w:color w:val="000000"/>
                <w:sz w:val="10"/>
                <w:szCs w:val="10"/>
                <w:lang w:eastAsia="sq-AL"/>
              </w:rPr>
              <w:br/>
              <w:t>5. Gabime në përllogaritje e treguesve, e cila sjell si pasojë mos shpërndarja në cilësi të rezultateve të treguesve statistikorë. -|- 5</w:t>
            </w:r>
            <w:r w:rsidRPr="004F2AC3">
              <w:rPr>
                <w:rFonts w:ascii="Garamond" w:eastAsia="Times New Roman" w:hAnsi="Garamond" w:cs="Times New Roman"/>
                <w:color w:val="000000"/>
                <w:sz w:val="10"/>
                <w:szCs w:val="10"/>
                <w:lang w:eastAsia="sq-AL"/>
              </w:rPr>
              <w:br/>
              <w:t>6. Mosevidentimi dhe realizimi i detyrave të përditshme të sektorit, e cila sjell si pasojë ngadalësim të proceseve të punës. -|- 3</w:t>
            </w:r>
            <w:r w:rsidRPr="004F2AC3">
              <w:rPr>
                <w:rFonts w:ascii="Garamond" w:eastAsia="Times New Roman" w:hAnsi="Garamond" w:cs="Times New Roman"/>
                <w:color w:val="000000"/>
                <w:sz w:val="10"/>
                <w:szCs w:val="10"/>
                <w:lang w:eastAsia="sq-AL"/>
              </w:rPr>
              <w:br/>
              <w:t>7. Lëvizja e stafit me eksperiencë nga sektori, e cila sjell si pasojë ndërprerje/ngadalësim të proceseve të punës -|- 6</w:t>
            </w:r>
            <w:r w:rsidRPr="004F2AC3">
              <w:rPr>
                <w:rFonts w:ascii="Garamond" w:eastAsia="Times New Roman" w:hAnsi="Garamond" w:cs="Times New Roman"/>
                <w:color w:val="000000"/>
                <w:sz w:val="10"/>
                <w:szCs w:val="10"/>
                <w:lang w:eastAsia="sq-AL"/>
              </w:rPr>
              <w:br/>
              <w:t>8. Mungesa e trajnimeve për stafin, e cila sjell si pasojë uljen e cilësisë dhe gabime në proceset e punës. -|- 5</w:t>
            </w:r>
          </w:p>
        </w:tc>
        <w:tc>
          <w:tcPr>
            <w:tcW w:w="551" w:type="dxa"/>
            <w:tcBorders>
              <w:top w:val="nil"/>
              <w:left w:val="nil"/>
              <w:bottom w:val="single" w:sz="4" w:space="0" w:color="auto"/>
              <w:right w:val="single" w:sz="4" w:space="0" w:color="auto"/>
            </w:tcBorders>
            <w:shd w:val="clear" w:color="auto" w:fill="auto"/>
            <w:vAlign w:val="center"/>
            <w:hideMark/>
          </w:tcPr>
          <w:p w14:paraId="6BE8BA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47FB4B19" w14:textId="77777777" w:rsidTr="0021321C">
        <w:trPr>
          <w:trHeight w:val="180"/>
          <w:jc w:val="center"/>
        </w:trPr>
        <w:tc>
          <w:tcPr>
            <w:tcW w:w="388" w:type="dxa"/>
            <w:tcBorders>
              <w:top w:val="nil"/>
              <w:left w:val="nil"/>
              <w:bottom w:val="nil"/>
              <w:right w:val="nil"/>
            </w:tcBorders>
            <w:shd w:val="clear" w:color="000000" w:fill="FFFFFF"/>
            <w:vAlign w:val="bottom"/>
            <w:hideMark/>
          </w:tcPr>
          <w:p w14:paraId="513ACAA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77C72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C390E4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3E640C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35074A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097FA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216DB25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2.3.3.2</w:t>
            </w:r>
          </w:p>
        </w:tc>
        <w:tc>
          <w:tcPr>
            <w:tcW w:w="563" w:type="dxa"/>
            <w:tcBorders>
              <w:top w:val="nil"/>
              <w:left w:val="nil"/>
              <w:bottom w:val="single" w:sz="4" w:space="0" w:color="auto"/>
              <w:right w:val="single" w:sz="4" w:space="0" w:color="auto"/>
            </w:tcBorders>
            <w:shd w:val="clear" w:color="auto" w:fill="auto"/>
            <w:vAlign w:val="center"/>
            <w:hideMark/>
          </w:tcPr>
          <w:p w14:paraId="086050B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çmimeve në ndërmarrjet ekonomike në nivel tremujor</w:t>
            </w:r>
          </w:p>
        </w:tc>
        <w:tc>
          <w:tcPr>
            <w:tcW w:w="446" w:type="dxa"/>
            <w:tcBorders>
              <w:top w:val="nil"/>
              <w:left w:val="nil"/>
              <w:bottom w:val="single" w:sz="4" w:space="0" w:color="auto"/>
              <w:right w:val="single" w:sz="4" w:space="0" w:color="auto"/>
            </w:tcBorders>
            <w:shd w:val="clear" w:color="auto" w:fill="auto"/>
            <w:vAlign w:val="center"/>
            <w:hideMark/>
          </w:tcPr>
          <w:p w14:paraId="72050F0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471FB47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noWrap/>
            <w:vAlign w:val="center"/>
            <w:hideMark/>
          </w:tcPr>
          <w:p w14:paraId="265A7F5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78D2EA3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4E711F9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single" w:sz="4" w:space="0" w:color="auto"/>
              <w:right w:val="single" w:sz="4" w:space="0" w:color="auto"/>
            </w:tcBorders>
            <w:shd w:val="clear" w:color="000000" w:fill="FFFFFF"/>
            <w:vAlign w:val="center"/>
            <w:hideMark/>
          </w:tcPr>
          <w:p w14:paraId="64D6DB2B" w14:textId="4644CA7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w:t>
            </w:r>
            <w:r w:rsidR="00376756" w:rsidRPr="004F2AC3">
              <w:rPr>
                <w:rFonts w:ascii="Garamond" w:eastAsia="Times New Roman" w:hAnsi="Garamond" w:cs="Times New Roman"/>
                <w:color w:val="000000"/>
                <w:sz w:val="10"/>
                <w:szCs w:val="10"/>
                <w:lang w:eastAsia="sq-AL"/>
              </w:rPr>
              <w:t>. Indekset tremujore të çmimeve;</w:t>
            </w:r>
            <w:r w:rsidRPr="004F2AC3">
              <w:rPr>
                <w:rFonts w:ascii="Garamond" w:eastAsia="Times New Roman" w:hAnsi="Garamond" w:cs="Times New Roman"/>
                <w:color w:val="000000"/>
                <w:sz w:val="10"/>
                <w:szCs w:val="10"/>
                <w:lang w:eastAsia="sq-AL"/>
              </w:rPr>
              <w:br/>
              <w:t>2. Indekset mesatare vjetore të</w:t>
            </w:r>
            <w:r w:rsidR="00684E85" w:rsidRPr="004F2AC3">
              <w:rPr>
                <w:rFonts w:ascii="Garamond" w:eastAsia="Times New Roman" w:hAnsi="Garamond" w:cs="Times New Roman"/>
                <w:color w:val="000000"/>
                <w:sz w:val="10"/>
                <w:szCs w:val="10"/>
                <w:lang w:eastAsia="sq-AL"/>
              </w:rPr>
              <w:t xml:space="preserve"> </w:t>
            </w:r>
            <w:r w:rsidR="00376756" w:rsidRPr="004F2AC3">
              <w:rPr>
                <w:rFonts w:ascii="Garamond" w:eastAsia="Times New Roman" w:hAnsi="Garamond" w:cs="Times New Roman"/>
                <w:color w:val="000000"/>
                <w:sz w:val="10"/>
                <w:szCs w:val="10"/>
                <w:lang w:eastAsia="sq-AL"/>
              </w:rPr>
              <w:t>çmimeve;</w:t>
            </w:r>
            <w:r w:rsidRPr="004F2AC3">
              <w:rPr>
                <w:rFonts w:ascii="Garamond" w:eastAsia="Times New Roman" w:hAnsi="Garamond" w:cs="Times New Roman"/>
                <w:color w:val="000000"/>
                <w:sz w:val="10"/>
                <w:szCs w:val="10"/>
                <w:lang w:eastAsia="sq-AL"/>
              </w:rPr>
              <w:br/>
              <w:t>3. Ndryshimet tremujore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të</w:t>
            </w:r>
            <w:r w:rsidR="00684E85" w:rsidRPr="004F2AC3">
              <w:rPr>
                <w:rFonts w:ascii="Garamond" w:eastAsia="Times New Roman" w:hAnsi="Garamond" w:cs="Times New Roman"/>
                <w:color w:val="000000"/>
                <w:sz w:val="10"/>
                <w:szCs w:val="10"/>
                <w:lang w:eastAsia="sq-AL"/>
              </w:rPr>
              <w:t xml:space="preserve"> </w:t>
            </w:r>
            <w:r w:rsidR="00376756" w:rsidRPr="004F2AC3">
              <w:rPr>
                <w:rFonts w:ascii="Garamond" w:eastAsia="Times New Roman" w:hAnsi="Garamond" w:cs="Times New Roman"/>
                <w:color w:val="000000"/>
                <w:sz w:val="10"/>
                <w:szCs w:val="10"/>
                <w:lang w:eastAsia="sq-AL"/>
              </w:rPr>
              <w:t>indekseve të çmimeve;</w:t>
            </w:r>
            <w:r w:rsidRPr="004F2AC3">
              <w:rPr>
                <w:rFonts w:ascii="Garamond" w:eastAsia="Times New Roman" w:hAnsi="Garamond" w:cs="Times New Roman"/>
                <w:color w:val="000000"/>
                <w:sz w:val="10"/>
                <w:szCs w:val="10"/>
                <w:lang w:eastAsia="sq-AL"/>
              </w:rPr>
              <w:br/>
              <w:t>4. Ndryshimet</w:t>
            </w:r>
            <w:r w:rsidR="00376756" w:rsidRPr="004F2AC3">
              <w:rPr>
                <w:rFonts w:ascii="Garamond" w:eastAsia="Times New Roman" w:hAnsi="Garamond" w:cs="Times New Roman"/>
                <w:color w:val="000000"/>
                <w:sz w:val="10"/>
                <w:szCs w:val="10"/>
                <w:lang w:eastAsia="sq-AL"/>
              </w:rPr>
              <w:t xml:space="preserve"> vjetor të Indekseve të çmimeve;</w:t>
            </w:r>
            <w:r w:rsidRPr="004F2AC3">
              <w:rPr>
                <w:rFonts w:ascii="Garamond" w:eastAsia="Times New Roman" w:hAnsi="Garamond" w:cs="Times New Roman"/>
                <w:color w:val="000000"/>
                <w:sz w:val="10"/>
                <w:szCs w:val="10"/>
                <w:lang w:eastAsia="sq-AL"/>
              </w:rPr>
              <w:br/>
              <w:t>5. Ndryshimet mesatar vjetor të Indekseve</w:t>
            </w:r>
            <w:r w:rsidR="00684E85" w:rsidRPr="004F2AC3">
              <w:rPr>
                <w:rFonts w:ascii="Garamond" w:eastAsia="Times New Roman" w:hAnsi="Garamond" w:cs="Times New Roman"/>
                <w:color w:val="000000"/>
                <w:sz w:val="10"/>
                <w:szCs w:val="10"/>
                <w:lang w:eastAsia="sq-AL"/>
              </w:rPr>
              <w:t xml:space="preserve"> </w:t>
            </w:r>
            <w:r w:rsidR="00376756" w:rsidRPr="004F2AC3">
              <w:rPr>
                <w:rFonts w:ascii="Garamond" w:eastAsia="Times New Roman" w:hAnsi="Garamond" w:cs="Times New Roman"/>
                <w:color w:val="000000"/>
                <w:sz w:val="10"/>
                <w:szCs w:val="10"/>
                <w:lang w:eastAsia="sq-AL"/>
              </w:rPr>
              <w:t>të çmimeve.</w:t>
            </w:r>
          </w:p>
        </w:tc>
        <w:tc>
          <w:tcPr>
            <w:tcW w:w="554" w:type="dxa"/>
            <w:tcBorders>
              <w:top w:val="nil"/>
              <w:left w:val="nil"/>
              <w:bottom w:val="single" w:sz="4" w:space="0" w:color="auto"/>
              <w:right w:val="single" w:sz="4" w:space="0" w:color="auto"/>
            </w:tcBorders>
            <w:shd w:val="clear" w:color="auto" w:fill="auto"/>
            <w:vAlign w:val="center"/>
            <w:hideMark/>
          </w:tcPr>
          <w:p w14:paraId="21A2FA9B" w14:textId="681D0D3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000000" w:fill="FFFFFF"/>
            <w:vAlign w:val="center"/>
            <w:hideMark/>
          </w:tcPr>
          <w:p w14:paraId="0474DB10" w14:textId="4640C6A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1204A49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23 e M</w:t>
            </w:r>
          </w:p>
        </w:tc>
        <w:tc>
          <w:tcPr>
            <w:tcW w:w="385" w:type="dxa"/>
            <w:tcBorders>
              <w:top w:val="nil"/>
              <w:left w:val="nil"/>
              <w:bottom w:val="single" w:sz="4" w:space="0" w:color="auto"/>
              <w:right w:val="single" w:sz="4" w:space="0" w:color="auto"/>
            </w:tcBorders>
            <w:shd w:val="clear" w:color="000000" w:fill="FFFFFF"/>
            <w:vAlign w:val="center"/>
            <w:hideMark/>
          </w:tcPr>
          <w:p w14:paraId="572C16E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+ 26D</w:t>
            </w:r>
          </w:p>
        </w:tc>
        <w:tc>
          <w:tcPr>
            <w:tcW w:w="361" w:type="dxa"/>
            <w:tcBorders>
              <w:top w:val="nil"/>
              <w:left w:val="nil"/>
              <w:bottom w:val="single" w:sz="4" w:space="0" w:color="auto"/>
              <w:right w:val="single" w:sz="4" w:space="0" w:color="auto"/>
            </w:tcBorders>
            <w:shd w:val="clear" w:color="000000" w:fill="FFFFFF"/>
            <w:vAlign w:val="center"/>
            <w:hideMark/>
          </w:tcPr>
          <w:p w14:paraId="51770C5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+ 30D</w:t>
            </w:r>
          </w:p>
        </w:tc>
        <w:tc>
          <w:tcPr>
            <w:tcW w:w="732" w:type="dxa"/>
            <w:tcBorders>
              <w:top w:val="nil"/>
              <w:left w:val="nil"/>
              <w:bottom w:val="single" w:sz="4" w:space="0" w:color="auto"/>
              <w:right w:val="single" w:sz="4" w:space="0" w:color="auto"/>
            </w:tcBorders>
            <w:shd w:val="clear" w:color="auto" w:fill="auto"/>
            <w:vAlign w:val="center"/>
            <w:hideMark/>
          </w:tcPr>
          <w:p w14:paraId="5F20FB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 Mospërmbushja e kritereve të cilësisë si: saktësia, përpikmëria dhe krahasueshmëria, për vrojtimet statistikore -|- 1</w:t>
            </w:r>
            <w:r w:rsidRPr="004F2AC3">
              <w:rPr>
                <w:rFonts w:ascii="Garamond" w:eastAsia="Times New Roman" w:hAnsi="Garamond" w:cs="Times New Roman"/>
                <w:color w:val="000000"/>
                <w:sz w:val="10"/>
                <w:szCs w:val="10"/>
                <w:lang w:eastAsia="sq-AL"/>
              </w:rPr>
              <w:br/>
              <w:t>3. Pezullimi/vonesa e mbledhjes, prodhimit dhe shpërndarjes të statistikave zyrtare si pasojë e Fatkeqësive natyrore/ Pandemi Globale -|- 3</w:t>
            </w:r>
          </w:p>
        </w:tc>
        <w:tc>
          <w:tcPr>
            <w:tcW w:w="551" w:type="dxa"/>
            <w:tcBorders>
              <w:top w:val="nil"/>
              <w:left w:val="nil"/>
              <w:bottom w:val="single" w:sz="4" w:space="0" w:color="auto"/>
              <w:right w:val="single" w:sz="4" w:space="0" w:color="auto"/>
            </w:tcBorders>
            <w:shd w:val="clear" w:color="auto" w:fill="auto"/>
            <w:vAlign w:val="center"/>
            <w:hideMark/>
          </w:tcPr>
          <w:p w14:paraId="0F4E400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5FEB3F66" w14:textId="77777777" w:rsidTr="0021321C">
        <w:trPr>
          <w:trHeight w:val="180"/>
          <w:jc w:val="center"/>
        </w:trPr>
        <w:tc>
          <w:tcPr>
            <w:tcW w:w="388" w:type="dxa"/>
            <w:tcBorders>
              <w:top w:val="nil"/>
              <w:left w:val="nil"/>
              <w:bottom w:val="nil"/>
              <w:right w:val="nil"/>
            </w:tcBorders>
            <w:shd w:val="clear" w:color="000000" w:fill="FFFFFF"/>
            <w:vAlign w:val="bottom"/>
            <w:hideMark/>
          </w:tcPr>
          <w:p w14:paraId="0E7CCFE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540B83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EE90E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DEC4D8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D6685F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12E13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3FA9F7A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2.3.3.3</w:t>
            </w:r>
          </w:p>
        </w:tc>
        <w:tc>
          <w:tcPr>
            <w:tcW w:w="563" w:type="dxa"/>
            <w:tcBorders>
              <w:top w:val="nil"/>
              <w:left w:val="nil"/>
              <w:bottom w:val="nil"/>
              <w:right w:val="single" w:sz="4" w:space="0" w:color="auto"/>
            </w:tcBorders>
            <w:shd w:val="clear" w:color="auto" w:fill="auto"/>
            <w:vAlign w:val="center"/>
            <w:hideMark/>
          </w:tcPr>
          <w:p w14:paraId="768EC1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mbi lejet e ndërtimit të miratuara në territorin e Republikës së Shqipërisë</w:t>
            </w:r>
          </w:p>
        </w:tc>
        <w:tc>
          <w:tcPr>
            <w:tcW w:w="446" w:type="dxa"/>
            <w:tcBorders>
              <w:top w:val="nil"/>
              <w:left w:val="nil"/>
              <w:bottom w:val="nil"/>
              <w:right w:val="single" w:sz="4" w:space="0" w:color="auto"/>
            </w:tcBorders>
            <w:shd w:val="clear" w:color="auto" w:fill="auto"/>
            <w:vAlign w:val="center"/>
            <w:hideMark/>
          </w:tcPr>
          <w:p w14:paraId="5D967AD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nil"/>
              <w:right w:val="single" w:sz="4" w:space="0" w:color="auto"/>
            </w:tcBorders>
            <w:shd w:val="clear" w:color="auto" w:fill="auto"/>
            <w:noWrap/>
            <w:vAlign w:val="center"/>
            <w:hideMark/>
          </w:tcPr>
          <w:p w14:paraId="70F3AF0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nil"/>
              <w:right w:val="single" w:sz="4" w:space="0" w:color="auto"/>
            </w:tcBorders>
            <w:shd w:val="clear" w:color="auto" w:fill="auto"/>
            <w:vAlign w:val="center"/>
            <w:hideMark/>
          </w:tcPr>
          <w:p w14:paraId="4F8E4B0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nil"/>
              <w:right w:val="single" w:sz="4" w:space="0" w:color="auto"/>
            </w:tcBorders>
            <w:shd w:val="clear" w:color="auto" w:fill="auto"/>
            <w:vAlign w:val="center"/>
            <w:hideMark/>
          </w:tcPr>
          <w:p w14:paraId="20E02654" w14:textId="2C1A375A"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522B2A7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nil"/>
              <w:right w:val="single" w:sz="4" w:space="0" w:color="auto"/>
            </w:tcBorders>
            <w:shd w:val="clear" w:color="auto" w:fill="auto"/>
            <w:vAlign w:val="center"/>
            <w:hideMark/>
          </w:tcPr>
          <w:p w14:paraId="5D0A3D00" w14:textId="4D320235"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Numri i lejeve të ndërtimit të miratuara për ndërtesa të reja, sipas bashkive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Sipërfaqja gjithsej e lejeve të ndërtimit të miratuara për ndërtesa të reja, sipas bashkive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Vlera e përafërt e lejeve të ndërtimit të miratuara, sipas bashkive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Treguesit e lejeve të ndërtimit të miratuara sipas tipit të klientëve</w:t>
            </w:r>
            <w:r w:rsidR="00376756" w:rsidRPr="004F2AC3">
              <w:rPr>
                <w:rFonts w:ascii="Garamond" w:eastAsia="Times New Roman" w:hAnsi="Garamond" w:cs="Times New Roman"/>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6CD3144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Bashkitë</w:t>
            </w:r>
          </w:p>
        </w:tc>
        <w:tc>
          <w:tcPr>
            <w:tcW w:w="413" w:type="dxa"/>
            <w:tcBorders>
              <w:top w:val="nil"/>
              <w:left w:val="nil"/>
              <w:bottom w:val="nil"/>
              <w:right w:val="single" w:sz="4" w:space="0" w:color="auto"/>
            </w:tcBorders>
            <w:shd w:val="clear" w:color="auto" w:fill="auto"/>
            <w:vAlign w:val="center"/>
            <w:hideMark/>
          </w:tcPr>
          <w:p w14:paraId="78BE85A4" w14:textId="79990D4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4019E34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T+ 17D</w:t>
            </w:r>
          </w:p>
        </w:tc>
        <w:tc>
          <w:tcPr>
            <w:tcW w:w="385" w:type="dxa"/>
            <w:tcBorders>
              <w:top w:val="nil"/>
              <w:left w:val="nil"/>
              <w:bottom w:val="nil"/>
              <w:right w:val="single" w:sz="4" w:space="0" w:color="auto"/>
            </w:tcBorders>
            <w:shd w:val="clear" w:color="auto" w:fill="auto"/>
            <w:vAlign w:val="center"/>
            <w:hideMark/>
          </w:tcPr>
          <w:p w14:paraId="3C3120F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T+ 44D</w:t>
            </w:r>
          </w:p>
        </w:tc>
        <w:tc>
          <w:tcPr>
            <w:tcW w:w="361" w:type="dxa"/>
            <w:tcBorders>
              <w:top w:val="nil"/>
              <w:left w:val="nil"/>
              <w:bottom w:val="nil"/>
              <w:right w:val="single" w:sz="4" w:space="0" w:color="auto"/>
            </w:tcBorders>
            <w:shd w:val="clear" w:color="auto" w:fill="auto"/>
            <w:vAlign w:val="center"/>
            <w:hideMark/>
          </w:tcPr>
          <w:p w14:paraId="43CB6FF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T+ 58D</w:t>
            </w:r>
          </w:p>
        </w:tc>
        <w:tc>
          <w:tcPr>
            <w:tcW w:w="732" w:type="dxa"/>
            <w:tcBorders>
              <w:top w:val="nil"/>
              <w:left w:val="nil"/>
              <w:bottom w:val="nil"/>
              <w:right w:val="single" w:sz="4" w:space="0" w:color="auto"/>
            </w:tcBorders>
            <w:shd w:val="clear" w:color="auto" w:fill="auto"/>
            <w:vAlign w:val="center"/>
            <w:hideMark/>
          </w:tcPr>
          <w:p w14:paraId="6E931957" w14:textId="13E952D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Moszbatimi në kohë i hapave dhe detyrave për kryerjen e procesit statistikor në vrojtimet tremujore, e cila sjell si pasojë mos publikimin në kohë të rezultateve të vrojtimit. -|- 3</w:t>
            </w:r>
            <w:r w:rsidRPr="004F2AC3">
              <w:rPr>
                <w:rFonts w:ascii="Garamond" w:eastAsia="Times New Roman" w:hAnsi="Garamond" w:cs="Times New Roman"/>
                <w:color w:val="000000"/>
                <w:sz w:val="10"/>
                <w:szCs w:val="10"/>
                <w:lang w:eastAsia="sq-AL"/>
              </w:rPr>
              <w:br/>
              <w:t>2. Mosevidentimi dhe realizimi i detyrave të përditshme të sektorit, e cila sjell si pasojë ngadalësim të proceseve të punës. -|- 4</w:t>
            </w:r>
            <w:r w:rsidRPr="004F2AC3">
              <w:rPr>
                <w:rFonts w:ascii="Garamond" w:eastAsia="Times New Roman" w:hAnsi="Garamond" w:cs="Times New Roman"/>
                <w:color w:val="000000"/>
                <w:sz w:val="10"/>
                <w:szCs w:val="10"/>
                <w:lang w:eastAsia="sq-AL"/>
              </w:rPr>
              <w:br/>
              <w:t>3. Lëvizja e stafit me eksperiencë nga sektori, e cila sjell si pasojë ndërprerje/ngadalësim të proceseve të punës. -|- 4</w:t>
            </w:r>
            <w:r w:rsidRPr="004F2AC3">
              <w:rPr>
                <w:rFonts w:ascii="Garamond" w:eastAsia="Times New Roman" w:hAnsi="Garamond" w:cs="Times New Roman"/>
                <w:color w:val="000000"/>
                <w:sz w:val="10"/>
                <w:szCs w:val="10"/>
                <w:lang w:eastAsia="sq-AL"/>
              </w:rPr>
              <w:br/>
              <w:t>4. Pezullimi/vonesa e mbledhjes, prodhimit dhe shpërndarjes të statistikave zyr</w:t>
            </w:r>
            <w:r w:rsidR="005B3A9C" w:rsidRPr="004F2AC3">
              <w:rPr>
                <w:rFonts w:ascii="Garamond" w:eastAsia="Times New Roman" w:hAnsi="Garamond" w:cs="Times New Roman"/>
                <w:color w:val="000000"/>
                <w:sz w:val="10"/>
                <w:szCs w:val="10"/>
                <w:lang w:eastAsia="sq-AL"/>
              </w:rPr>
              <w:t>tare nga fatkeqësitë natyrore/</w:t>
            </w:r>
            <w:r w:rsidRPr="004F2AC3">
              <w:rPr>
                <w:rFonts w:ascii="Garamond" w:eastAsia="Times New Roman" w:hAnsi="Garamond" w:cs="Times New Roman"/>
                <w:color w:val="000000"/>
                <w:sz w:val="10"/>
                <w:szCs w:val="10"/>
                <w:lang w:eastAsia="sq-AL"/>
              </w:rPr>
              <w:t>pandemi globale, e cila sjell si pasojë mos publikimin në kohë të rezultateve të vrojtimit. -|- 4</w:t>
            </w:r>
            <w:r w:rsidRPr="004F2AC3">
              <w:rPr>
                <w:rFonts w:ascii="Garamond" w:eastAsia="Times New Roman" w:hAnsi="Garamond" w:cs="Times New Roman"/>
                <w:color w:val="000000"/>
                <w:sz w:val="10"/>
                <w:szCs w:val="10"/>
                <w:lang w:eastAsia="sq-AL"/>
              </w:rPr>
              <w:br/>
              <w:t>5. Mosmarrja në kohë dhe ndryshimi i bazës ligjore të burimit administrativ, sjell si pasojë mos publikimin në kohë të rezultateve të treguesve statistikorë. -|- 7</w:t>
            </w:r>
          </w:p>
        </w:tc>
        <w:tc>
          <w:tcPr>
            <w:tcW w:w="551" w:type="dxa"/>
            <w:tcBorders>
              <w:top w:val="nil"/>
              <w:left w:val="nil"/>
              <w:bottom w:val="nil"/>
              <w:right w:val="single" w:sz="4" w:space="0" w:color="auto"/>
            </w:tcBorders>
            <w:shd w:val="clear" w:color="auto" w:fill="auto"/>
            <w:vAlign w:val="center"/>
            <w:hideMark/>
          </w:tcPr>
          <w:p w14:paraId="1C400A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2A702097" w14:textId="77777777" w:rsidTr="0021321C">
        <w:trPr>
          <w:trHeight w:val="180"/>
          <w:jc w:val="center"/>
        </w:trPr>
        <w:tc>
          <w:tcPr>
            <w:tcW w:w="388" w:type="dxa"/>
            <w:tcBorders>
              <w:top w:val="nil"/>
              <w:left w:val="nil"/>
              <w:bottom w:val="nil"/>
              <w:right w:val="nil"/>
            </w:tcBorders>
            <w:shd w:val="clear" w:color="000000" w:fill="FFFFFF"/>
            <w:vAlign w:val="bottom"/>
            <w:hideMark/>
          </w:tcPr>
          <w:p w14:paraId="5EEC1F9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384E7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CB21F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862B6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1E04D13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2.3.4</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9DB3AE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Regjistrat e Ndërmarrjeve</w:t>
            </w:r>
          </w:p>
        </w:tc>
      </w:tr>
      <w:tr w:rsidR="00C73163" w:rsidRPr="004F2AC3" w14:paraId="16925CA0" w14:textId="77777777" w:rsidTr="0021321C">
        <w:trPr>
          <w:trHeight w:val="180"/>
          <w:jc w:val="center"/>
        </w:trPr>
        <w:tc>
          <w:tcPr>
            <w:tcW w:w="388" w:type="dxa"/>
            <w:tcBorders>
              <w:top w:val="nil"/>
              <w:left w:val="nil"/>
              <w:bottom w:val="nil"/>
              <w:right w:val="nil"/>
            </w:tcBorders>
            <w:shd w:val="clear" w:color="000000" w:fill="FFFFFF"/>
            <w:vAlign w:val="bottom"/>
            <w:hideMark/>
          </w:tcPr>
          <w:p w14:paraId="2A9F04D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188961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FF324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DCE55D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FC110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C9A13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000000"/>
              <w:right w:val="single" w:sz="4" w:space="0" w:color="auto"/>
            </w:tcBorders>
            <w:shd w:val="clear" w:color="auto" w:fill="auto"/>
            <w:vAlign w:val="center"/>
            <w:hideMark/>
          </w:tcPr>
          <w:p w14:paraId="6DDC168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2.3.4.1</w:t>
            </w:r>
          </w:p>
        </w:tc>
        <w:tc>
          <w:tcPr>
            <w:tcW w:w="563" w:type="dxa"/>
            <w:vMerge w:val="restart"/>
            <w:tcBorders>
              <w:top w:val="nil"/>
              <w:left w:val="single" w:sz="4" w:space="0" w:color="auto"/>
              <w:bottom w:val="single" w:sz="4" w:space="0" w:color="000000"/>
              <w:right w:val="single" w:sz="4" w:space="0" w:color="auto"/>
            </w:tcBorders>
            <w:shd w:val="clear" w:color="auto" w:fill="auto"/>
            <w:vAlign w:val="center"/>
            <w:hideMark/>
          </w:tcPr>
          <w:p w14:paraId="2F590E8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Regjistri Statistikor i Ndërmarrjeve</w:t>
            </w:r>
          </w:p>
        </w:tc>
        <w:tc>
          <w:tcPr>
            <w:tcW w:w="446" w:type="dxa"/>
            <w:vMerge w:val="restart"/>
            <w:tcBorders>
              <w:top w:val="nil"/>
              <w:left w:val="single" w:sz="4" w:space="0" w:color="auto"/>
              <w:bottom w:val="single" w:sz="4" w:space="0" w:color="000000"/>
              <w:right w:val="single" w:sz="4" w:space="0" w:color="auto"/>
            </w:tcBorders>
            <w:shd w:val="clear" w:color="auto" w:fill="auto"/>
            <w:vAlign w:val="center"/>
            <w:hideMark/>
          </w:tcPr>
          <w:p w14:paraId="068F815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621C8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80%</w:t>
            </w:r>
          </w:p>
        </w:tc>
        <w:tc>
          <w:tcPr>
            <w:tcW w:w="3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ED682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20%</w:t>
            </w:r>
          </w:p>
        </w:tc>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1EC12C02" w14:textId="5F595571" w:rsidR="0021321C" w:rsidRPr="004F2AC3" w:rsidRDefault="006400E2"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auto" w:fill="auto"/>
            <w:vAlign w:val="center"/>
            <w:hideMark/>
          </w:tcPr>
          <w:p w14:paraId="73C2170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Vjetor </w:t>
            </w:r>
          </w:p>
        </w:tc>
        <w:tc>
          <w:tcPr>
            <w:tcW w:w="1098" w:type="dxa"/>
            <w:tcBorders>
              <w:top w:val="nil"/>
              <w:left w:val="nil"/>
              <w:bottom w:val="nil"/>
              <w:right w:val="nil"/>
            </w:tcBorders>
            <w:shd w:val="clear" w:color="000000" w:fill="FFFFFF"/>
            <w:hideMark/>
          </w:tcPr>
          <w:p w14:paraId="77FA3A43" w14:textId="13E1A948"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Ndërmarrjet aktive sipas formës ligjore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Ndërmarrjet aktive të regjistruara të reja(viti referencë) sipas formës ligjore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Ndërmarrjet aktive sipas vitit të regjistrimit dhe formës ligjore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Ndërmarrjet aktive sipas vitit të regjistrimit dhe aktivitetit ekonomik</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Ndërmarrjet aktive sipas vitit të regjistrimit dhe madhësisë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 Ndërmarrjet aktive sipas aktivitetit ekonomik dhe formës ligjore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7. Ndërmarrjet aktive regjistruar të reja sipas aktivitetit ekonomik dhe formës ligjore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8. Ndërmarrjet aktive sipas aktivitetit ekonomik dhe pronësisë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9. Ndërmarrjet aktive regjistruar të reja sipas aktivitetit ekonomik dhe pronësisë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10. Ndërmarrjet aktive sipas aktivitetit ekonomik dhe madhësisë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11. Ndërmarrjet aktive regjistruar të reja sipas aktivitetit ekonomik dhe madhësisë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12. Ndërmarrjet aktive sipas seksionit të aktivitetit ekonomik dhe formës ligjore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13. Ndërmarrjet aktive sipas seksionit të aktivitetit ekonomik dhe madhësisë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14. Ndërmarrjet aktive sipas ndarjeve 2 shifror të aktivitetit ekonomik</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15. Ndërmarrjet aktive sipas qarqeve</w:t>
            </w:r>
            <w:r w:rsidR="00376756" w:rsidRPr="004F2AC3">
              <w:rPr>
                <w:rFonts w:ascii="Garamond" w:eastAsia="Times New Roman" w:hAnsi="Garamond" w:cs="Times New Roman"/>
                <w:sz w:val="10"/>
                <w:szCs w:val="10"/>
                <w:lang w:eastAsia="sq-AL"/>
              </w:rPr>
              <w:t>;</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559A0A8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13" w:type="dxa"/>
            <w:vMerge w:val="restart"/>
            <w:tcBorders>
              <w:top w:val="nil"/>
              <w:left w:val="single" w:sz="4" w:space="0" w:color="auto"/>
              <w:bottom w:val="single" w:sz="4" w:space="0" w:color="000000"/>
              <w:right w:val="single" w:sz="4" w:space="0" w:color="auto"/>
            </w:tcBorders>
            <w:shd w:val="clear" w:color="auto" w:fill="auto"/>
            <w:vAlign w:val="center"/>
            <w:hideMark/>
          </w:tcPr>
          <w:p w14:paraId="1193F14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vMerge w:val="restart"/>
            <w:tcBorders>
              <w:top w:val="nil"/>
              <w:left w:val="single" w:sz="4" w:space="0" w:color="auto"/>
              <w:bottom w:val="single" w:sz="4" w:space="0" w:color="000000"/>
              <w:right w:val="single" w:sz="4" w:space="0" w:color="auto"/>
            </w:tcBorders>
            <w:shd w:val="clear" w:color="auto" w:fill="auto"/>
            <w:vAlign w:val="center"/>
            <w:hideMark/>
          </w:tcPr>
          <w:p w14:paraId="739C2F1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+ 30D</w:t>
            </w:r>
          </w:p>
        </w:tc>
        <w:tc>
          <w:tcPr>
            <w:tcW w:w="385" w:type="dxa"/>
            <w:vMerge w:val="restart"/>
            <w:tcBorders>
              <w:top w:val="nil"/>
              <w:left w:val="single" w:sz="4" w:space="0" w:color="auto"/>
              <w:bottom w:val="single" w:sz="4" w:space="0" w:color="000000"/>
              <w:right w:val="single" w:sz="4" w:space="0" w:color="auto"/>
            </w:tcBorders>
            <w:shd w:val="clear" w:color="auto" w:fill="auto"/>
            <w:vAlign w:val="center"/>
            <w:hideMark/>
          </w:tcPr>
          <w:p w14:paraId="49C89B8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+ 48D</w:t>
            </w:r>
          </w:p>
        </w:tc>
        <w:tc>
          <w:tcPr>
            <w:tcW w:w="361" w:type="dxa"/>
            <w:vMerge w:val="restart"/>
            <w:tcBorders>
              <w:top w:val="nil"/>
              <w:left w:val="single" w:sz="4" w:space="0" w:color="auto"/>
              <w:bottom w:val="single" w:sz="4" w:space="0" w:color="000000"/>
              <w:right w:val="single" w:sz="4" w:space="0" w:color="auto"/>
            </w:tcBorders>
            <w:shd w:val="clear" w:color="auto" w:fill="auto"/>
            <w:vAlign w:val="center"/>
            <w:hideMark/>
          </w:tcPr>
          <w:p w14:paraId="3003F0E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+ 152D</w:t>
            </w:r>
          </w:p>
        </w:tc>
        <w:tc>
          <w:tcPr>
            <w:tcW w:w="732" w:type="dxa"/>
            <w:vMerge w:val="restart"/>
            <w:tcBorders>
              <w:top w:val="nil"/>
              <w:left w:val="single" w:sz="4" w:space="0" w:color="auto"/>
              <w:bottom w:val="single" w:sz="4" w:space="0" w:color="000000"/>
              <w:right w:val="single" w:sz="4" w:space="0" w:color="auto"/>
            </w:tcBorders>
            <w:shd w:val="clear" w:color="auto" w:fill="auto"/>
            <w:vAlign w:val="center"/>
            <w:hideMark/>
          </w:tcPr>
          <w:p w14:paraId="223D736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 së të dhënave nga burimet administrative -|- 1</w:t>
            </w:r>
            <w:r w:rsidRPr="004F2AC3">
              <w:rPr>
                <w:rFonts w:ascii="Garamond" w:eastAsia="Times New Roman" w:hAnsi="Garamond" w:cs="Times New Roman"/>
                <w:color w:val="000000"/>
                <w:sz w:val="10"/>
                <w:szCs w:val="10"/>
                <w:lang w:eastAsia="sq-AL"/>
              </w:rPr>
              <w:br/>
              <w:t>2. Informacion jo i plotë, i pa-standardizuar -|- 3</w:t>
            </w:r>
            <w:r w:rsidRPr="004F2AC3">
              <w:rPr>
                <w:rFonts w:ascii="Garamond" w:eastAsia="Times New Roman" w:hAnsi="Garamond" w:cs="Times New Roman"/>
                <w:color w:val="000000"/>
                <w:sz w:val="10"/>
                <w:szCs w:val="10"/>
                <w:lang w:eastAsia="sq-AL"/>
              </w:rPr>
              <w:br/>
              <w:t>3. Gabime të bëra nga stafi ekspert gjatë përpunimit dhe nxjerrjes së rezultateve -|- 1</w:t>
            </w:r>
            <w:r w:rsidRPr="004F2AC3">
              <w:rPr>
                <w:rFonts w:ascii="Garamond" w:eastAsia="Times New Roman" w:hAnsi="Garamond" w:cs="Times New Roman"/>
                <w:color w:val="000000"/>
                <w:sz w:val="10"/>
                <w:szCs w:val="10"/>
                <w:lang w:eastAsia="sq-AL"/>
              </w:rPr>
              <w:br/>
              <w:t>4. Vonesat nga burimet statistikore (vrojtimet) -|- 2</w:t>
            </w:r>
            <w:r w:rsidRPr="004F2AC3">
              <w:rPr>
                <w:rFonts w:ascii="Garamond" w:eastAsia="Times New Roman" w:hAnsi="Garamond" w:cs="Times New Roman"/>
                <w:color w:val="000000"/>
                <w:sz w:val="10"/>
                <w:szCs w:val="10"/>
                <w:lang w:eastAsia="sq-AL"/>
              </w:rPr>
              <w:br/>
              <w:t>5. Vonesat për shkak të fatkeqësive natyrore -|- 3</w:t>
            </w:r>
          </w:p>
        </w:tc>
        <w:tc>
          <w:tcPr>
            <w:tcW w:w="551" w:type="dxa"/>
            <w:tcBorders>
              <w:top w:val="nil"/>
              <w:left w:val="nil"/>
              <w:bottom w:val="single" w:sz="4" w:space="0" w:color="auto"/>
              <w:right w:val="single" w:sz="4" w:space="0" w:color="auto"/>
            </w:tcBorders>
            <w:shd w:val="clear" w:color="auto" w:fill="auto"/>
            <w:vAlign w:val="center"/>
            <w:hideMark/>
          </w:tcPr>
          <w:p w14:paraId="2A80498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0C500767" w14:textId="77777777" w:rsidTr="0021321C">
        <w:trPr>
          <w:trHeight w:val="180"/>
          <w:jc w:val="center"/>
        </w:trPr>
        <w:tc>
          <w:tcPr>
            <w:tcW w:w="388" w:type="dxa"/>
            <w:tcBorders>
              <w:top w:val="nil"/>
              <w:left w:val="nil"/>
              <w:bottom w:val="nil"/>
              <w:right w:val="nil"/>
            </w:tcBorders>
            <w:shd w:val="clear" w:color="000000" w:fill="FFFFFF"/>
            <w:vAlign w:val="bottom"/>
            <w:hideMark/>
          </w:tcPr>
          <w:p w14:paraId="07F814A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33D432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0460C0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A475E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EF6A53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72D40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2E0FF1E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34BED88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18853E5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4AB6134E"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460F86E7"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5CB7378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7BD9967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000000" w:fill="FFFFFF"/>
            <w:hideMark/>
          </w:tcPr>
          <w:p w14:paraId="656F7448" w14:textId="70311FDE"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16. Ndërmarrjet aktive regjistruar të reja sipas qarqeve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17. Ndërmarrjet aktive sipas qarqeve dhe vitit të regjistrimit</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18. Ndërmarrjet aktive sipas qarqeve dhe formës ligjore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19. Ndërmarrjet aktive sipas qarqeve dhe pronësisë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20. Ndërmarrjet aktive sipas qarqeve dhe madhësisë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21. Ndërmarrjet aktive sipas qarqeve dhe aktivitetit ekonomik</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22. Ndërmarrjet aktive të huaja e të përbashkëta (Shqiptarë + Të huaj) sipas aktivitetit ekonomik dhe madhësisë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23. Ndërmarrjet aktive të huaja e të përbashkëta (Shqiptarë + Të huaj) sipas shtetit dhe madhësisë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24. Ndërmarrjet aktive të huaja e të përbashkëta (Shqiptarë + Të huaj) sipas shtetit dhe aktivitetit ekonomik</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25. Ndërmarrjet aktive të huaja e të përbashkëta (shqiptarë + të huaj) sipas shtetit dhe qarqeve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26. </w:t>
            </w:r>
            <w:r w:rsidR="00376756" w:rsidRPr="004F2AC3">
              <w:rPr>
                <w:rFonts w:ascii="Garamond" w:eastAsia="Times New Roman" w:hAnsi="Garamond" w:cs="Times New Roman"/>
                <w:sz w:val="10"/>
                <w:szCs w:val="10"/>
                <w:lang w:eastAsia="sq-AL"/>
              </w:rPr>
              <w:t>Ndërmarrjet aktive me pronare/</w:t>
            </w:r>
            <w:r w:rsidRPr="004F2AC3">
              <w:rPr>
                <w:rFonts w:ascii="Garamond" w:eastAsia="Times New Roman" w:hAnsi="Garamond" w:cs="Times New Roman"/>
                <w:sz w:val="10"/>
                <w:szCs w:val="10"/>
                <w:lang w:eastAsia="sq-AL"/>
              </w:rPr>
              <w:t>administratore femër sipas madhësisë dhe aktivitetit ekonomik</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27. </w:t>
            </w:r>
            <w:r w:rsidR="00376756" w:rsidRPr="004F2AC3">
              <w:rPr>
                <w:rFonts w:ascii="Garamond" w:eastAsia="Times New Roman" w:hAnsi="Garamond" w:cs="Times New Roman"/>
                <w:sz w:val="10"/>
                <w:szCs w:val="10"/>
                <w:lang w:eastAsia="sq-AL"/>
              </w:rPr>
              <w:t>Ndërmarrjet aktive me pronare/</w:t>
            </w:r>
            <w:r w:rsidRPr="004F2AC3">
              <w:rPr>
                <w:rFonts w:ascii="Garamond" w:eastAsia="Times New Roman" w:hAnsi="Garamond" w:cs="Times New Roman"/>
                <w:sz w:val="10"/>
                <w:szCs w:val="10"/>
                <w:lang w:eastAsia="sq-AL"/>
              </w:rPr>
              <w:t>administratore femër sipas qarqeve dhe madhësisë</w:t>
            </w:r>
            <w:r w:rsidRPr="004F2AC3">
              <w:rPr>
                <w:rFonts w:ascii="Garamond" w:eastAsia="Times New Roman" w:hAnsi="Garamond" w:cs="Times New Roman"/>
                <w:sz w:val="10"/>
                <w:szCs w:val="10"/>
                <w:lang w:eastAsia="sq-AL"/>
              </w:rPr>
              <w:br/>
              <w:t xml:space="preserve">28. Ndërmarrjet aktive me </w:t>
            </w:r>
            <w:r w:rsidR="00376756" w:rsidRPr="004F2AC3">
              <w:rPr>
                <w:rFonts w:ascii="Garamond" w:eastAsia="Times New Roman" w:hAnsi="Garamond" w:cs="Times New Roman"/>
                <w:sz w:val="10"/>
                <w:szCs w:val="10"/>
                <w:lang w:eastAsia="sq-AL"/>
              </w:rPr>
              <w:t>pronare/</w:t>
            </w:r>
            <w:r w:rsidRPr="004F2AC3">
              <w:rPr>
                <w:rFonts w:ascii="Garamond" w:eastAsia="Times New Roman" w:hAnsi="Garamond" w:cs="Times New Roman"/>
                <w:sz w:val="10"/>
                <w:szCs w:val="10"/>
                <w:lang w:eastAsia="sq-AL"/>
              </w:rPr>
              <w:t>administratore femër sipas qarqeve dhe aktivitetit ekonomik</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29. Xhiro vjetore e ndërmarrjeve aktive sipas formës ligjore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30. Xhiro vjetore e ndërmarrjeve aktive sipas aktivitetit ekonomik</w:t>
            </w:r>
            <w:r w:rsidR="00376756" w:rsidRPr="004F2AC3">
              <w:rPr>
                <w:rFonts w:ascii="Garamond" w:eastAsia="Times New Roman" w:hAnsi="Garamond" w:cs="Times New Roman"/>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7FCCC89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6E38524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01B926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37019D0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53F19D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773398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tcBorders>
              <w:top w:val="nil"/>
              <w:left w:val="nil"/>
              <w:bottom w:val="single" w:sz="4" w:space="0" w:color="auto"/>
              <w:right w:val="single" w:sz="4" w:space="0" w:color="auto"/>
            </w:tcBorders>
            <w:shd w:val="clear" w:color="auto" w:fill="auto"/>
            <w:vAlign w:val="center"/>
            <w:hideMark/>
          </w:tcPr>
          <w:p w14:paraId="117338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31BC9827" w14:textId="77777777" w:rsidTr="0021321C">
        <w:trPr>
          <w:trHeight w:val="180"/>
          <w:jc w:val="center"/>
        </w:trPr>
        <w:tc>
          <w:tcPr>
            <w:tcW w:w="388" w:type="dxa"/>
            <w:tcBorders>
              <w:top w:val="nil"/>
              <w:left w:val="nil"/>
              <w:bottom w:val="nil"/>
              <w:right w:val="nil"/>
            </w:tcBorders>
            <w:shd w:val="clear" w:color="000000" w:fill="FFFFFF"/>
            <w:vAlign w:val="bottom"/>
            <w:hideMark/>
          </w:tcPr>
          <w:p w14:paraId="7538B38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B4B922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D332C8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F40E82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816EC3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27108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1557167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2.3.4.2</w:t>
            </w:r>
          </w:p>
        </w:tc>
        <w:tc>
          <w:tcPr>
            <w:tcW w:w="563" w:type="dxa"/>
            <w:tcBorders>
              <w:top w:val="nil"/>
              <w:left w:val="nil"/>
              <w:bottom w:val="nil"/>
              <w:right w:val="single" w:sz="4" w:space="0" w:color="auto"/>
            </w:tcBorders>
            <w:shd w:val="clear" w:color="auto" w:fill="auto"/>
            <w:vAlign w:val="center"/>
            <w:hideMark/>
          </w:tcPr>
          <w:p w14:paraId="4904723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Regjistri i Njësive Lokale</w:t>
            </w:r>
          </w:p>
        </w:tc>
        <w:tc>
          <w:tcPr>
            <w:tcW w:w="446" w:type="dxa"/>
            <w:tcBorders>
              <w:top w:val="nil"/>
              <w:left w:val="nil"/>
              <w:bottom w:val="nil"/>
              <w:right w:val="single" w:sz="4" w:space="0" w:color="auto"/>
            </w:tcBorders>
            <w:shd w:val="clear" w:color="auto" w:fill="auto"/>
            <w:vAlign w:val="center"/>
            <w:hideMark/>
          </w:tcPr>
          <w:p w14:paraId="4A9EBCA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nil"/>
              <w:right w:val="single" w:sz="4" w:space="0" w:color="auto"/>
            </w:tcBorders>
            <w:shd w:val="clear" w:color="auto" w:fill="auto"/>
            <w:noWrap/>
            <w:vAlign w:val="center"/>
            <w:hideMark/>
          </w:tcPr>
          <w:p w14:paraId="46B7A17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80%</w:t>
            </w:r>
          </w:p>
        </w:tc>
        <w:tc>
          <w:tcPr>
            <w:tcW w:w="301" w:type="dxa"/>
            <w:tcBorders>
              <w:top w:val="nil"/>
              <w:left w:val="nil"/>
              <w:bottom w:val="nil"/>
              <w:right w:val="single" w:sz="4" w:space="0" w:color="auto"/>
            </w:tcBorders>
            <w:shd w:val="clear" w:color="auto" w:fill="auto"/>
            <w:noWrap/>
            <w:vAlign w:val="center"/>
            <w:hideMark/>
          </w:tcPr>
          <w:p w14:paraId="0DB938E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20%</w:t>
            </w:r>
          </w:p>
        </w:tc>
        <w:tc>
          <w:tcPr>
            <w:tcW w:w="426" w:type="dxa"/>
            <w:tcBorders>
              <w:top w:val="nil"/>
              <w:left w:val="nil"/>
              <w:bottom w:val="nil"/>
              <w:right w:val="single" w:sz="4" w:space="0" w:color="auto"/>
            </w:tcBorders>
            <w:shd w:val="clear" w:color="auto" w:fill="auto"/>
            <w:vAlign w:val="center"/>
            <w:hideMark/>
          </w:tcPr>
          <w:p w14:paraId="15C9C3E0" w14:textId="1F2A83C2"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786C31C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Vjetor </w:t>
            </w:r>
          </w:p>
        </w:tc>
        <w:tc>
          <w:tcPr>
            <w:tcW w:w="1098" w:type="dxa"/>
            <w:tcBorders>
              <w:top w:val="single" w:sz="4" w:space="0" w:color="auto"/>
              <w:left w:val="nil"/>
              <w:bottom w:val="nil"/>
              <w:right w:val="single" w:sz="4" w:space="0" w:color="auto"/>
            </w:tcBorders>
            <w:shd w:val="clear" w:color="auto" w:fill="auto"/>
            <w:vAlign w:val="center"/>
            <w:hideMark/>
          </w:tcPr>
          <w:p w14:paraId="69BF85F9" w14:textId="7470CE5A"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Njësitë lokale sipas qarqeve dhe madhësisë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Njësitë lokale sipas qarqeve dhe aktivitetit ekonomik</w:t>
            </w:r>
            <w:r w:rsidR="00376756" w:rsidRPr="004F2AC3">
              <w:rPr>
                <w:rFonts w:ascii="Garamond" w:eastAsia="Times New Roman" w:hAnsi="Garamond" w:cs="Times New Roman"/>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73838F13" w14:textId="587C73F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13" w:type="dxa"/>
            <w:tcBorders>
              <w:top w:val="nil"/>
              <w:left w:val="nil"/>
              <w:bottom w:val="nil"/>
              <w:right w:val="single" w:sz="4" w:space="0" w:color="auto"/>
            </w:tcBorders>
            <w:shd w:val="clear" w:color="auto" w:fill="auto"/>
            <w:vAlign w:val="center"/>
            <w:hideMark/>
          </w:tcPr>
          <w:p w14:paraId="1914C224" w14:textId="0B78380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auto" w:fill="auto"/>
            <w:vAlign w:val="center"/>
            <w:hideMark/>
          </w:tcPr>
          <w:p w14:paraId="4C68AAD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V </w:t>
            </w:r>
          </w:p>
        </w:tc>
        <w:tc>
          <w:tcPr>
            <w:tcW w:w="385" w:type="dxa"/>
            <w:tcBorders>
              <w:top w:val="nil"/>
              <w:left w:val="nil"/>
              <w:bottom w:val="nil"/>
              <w:right w:val="single" w:sz="4" w:space="0" w:color="auto"/>
            </w:tcBorders>
            <w:shd w:val="clear" w:color="auto" w:fill="auto"/>
            <w:vAlign w:val="center"/>
            <w:hideMark/>
          </w:tcPr>
          <w:p w14:paraId="666E795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Dita e 48 e V </w:t>
            </w:r>
          </w:p>
        </w:tc>
        <w:tc>
          <w:tcPr>
            <w:tcW w:w="361" w:type="dxa"/>
            <w:tcBorders>
              <w:top w:val="nil"/>
              <w:left w:val="nil"/>
              <w:bottom w:val="nil"/>
              <w:right w:val="single" w:sz="4" w:space="0" w:color="auto"/>
            </w:tcBorders>
            <w:shd w:val="clear" w:color="auto" w:fill="auto"/>
            <w:vAlign w:val="center"/>
            <w:hideMark/>
          </w:tcPr>
          <w:p w14:paraId="373278F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Dita e 152 e V </w:t>
            </w:r>
          </w:p>
        </w:tc>
        <w:tc>
          <w:tcPr>
            <w:tcW w:w="732" w:type="dxa"/>
            <w:tcBorders>
              <w:top w:val="nil"/>
              <w:left w:val="nil"/>
              <w:bottom w:val="nil"/>
              <w:right w:val="single" w:sz="4" w:space="0" w:color="auto"/>
            </w:tcBorders>
            <w:shd w:val="clear" w:color="auto" w:fill="auto"/>
            <w:vAlign w:val="center"/>
            <w:hideMark/>
          </w:tcPr>
          <w:p w14:paraId="26568A12" w14:textId="4E3DDCB6" w:rsidR="0021321C" w:rsidRPr="004F2AC3" w:rsidRDefault="005B3A9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Mungesa/Vonesat e të </w:t>
            </w:r>
            <w:r w:rsidR="0021321C" w:rsidRPr="004F2AC3">
              <w:rPr>
                <w:rFonts w:ascii="Garamond" w:eastAsia="Times New Roman" w:hAnsi="Garamond" w:cs="Times New Roman"/>
                <w:color w:val="000000"/>
                <w:sz w:val="10"/>
                <w:szCs w:val="10"/>
                <w:lang w:eastAsia="sq-AL"/>
              </w:rPr>
              <w:t>dhënave nga burimet administrative -|- 9</w:t>
            </w:r>
            <w:r w:rsidR="0021321C" w:rsidRPr="004F2AC3">
              <w:rPr>
                <w:rFonts w:ascii="Garamond" w:eastAsia="Times New Roman" w:hAnsi="Garamond" w:cs="Times New Roman"/>
                <w:color w:val="000000"/>
                <w:sz w:val="10"/>
                <w:szCs w:val="10"/>
                <w:lang w:eastAsia="sq-AL"/>
              </w:rPr>
              <w:br/>
              <w:t>2. Informacion jo i plotë, i pa-standardizuar -|- 9</w:t>
            </w:r>
            <w:r w:rsidR="0021321C" w:rsidRPr="004F2AC3">
              <w:rPr>
                <w:rFonts w:ascii="Garamond" w:eastAsia="Times New Roman" w:hAnsi="Garamond" w:cs="Times New Roman"/>
                <w:color w:val="000000"/>
                <w:sz w:val="10"/>
                <w:szCs w:val="10"/>
                <w:lang w:eastAsia="sq-AL"/>
              </w:rPr>
              <w:br/>
              <w:t>3. Gabime të bëra nga stafi ekspert gjatë përpunimit dhe nxjerrjes së rezultateve -|- 3</w:t>
            </w:r>
            <w:r w:rsidR="0021321C" w:rsidRPr="004F2AC3">
              <w:rPr>
                <w:rFonts w:ascii="Garamond" w:eastAsia="Times New Roman" w:hAnsi="Garamond" w:cs="Times New Roman"/>
                <w:color w:val="000000"/>
                <w:sz w:val="10"/>
                <w:szCs w:val="10"/>
                <w:lang w:eastAsia="sq-AL"/>
              </w:rPr>
              <w:br/>
              <w:t>4. Vonesa për shkak të fatkeqësive natyrore -|- 3</w:t>
            </w:r>
          </w:p>
        </w:tc>
        <w:tc>
          <w:tcPr>
            <w:tcW w:w="551" w:type="dxa"/>
            <w:tcBorders>
              <w:top w:val="nil"/>
              <w:left w:val="nil"/>
              <w:bottom w:val="nil"/>
              <w:right w:val="single" w:sz="4" w:space="0" w:color="auto"/>
            </w:tcBorders>
            <w:shd w:val="clear" w:color="auto" w:fill="auto"/>
            <w:vAlign w:val="center"/>
            <w:hideMark/>
          </w:tcPr>
          <w:p w14:paraId="60FBAA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64082686" w14:textId="77777777" w:rsidTr="0021321C">
        <w:trPr>
          <w:trHeight w:val="180"/>
          <w:jc w:val="center"/>
        </w:trPr>
        <w:tc>
          <w:tcPr>
            <w:tcW w:w="388" w:type="dxa"/>
            <w:tcBorders>
              <w:top w:val="nil"/>
              <w:left w:val="nil"/>
              <w:bottom w:val="nil"/>
              <w:right w:val="nil"/>
            </w:tcBorders>
            <w:shd w:val="clear" w:color="000000" w:fill="FFFFFF"/>
            <w:vAlign w:val="bottom"/>
            <w:hideMark/>
          </w:tcPr>
          <w:p w14:paraId="2B25EA2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894E02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26796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AFAFE0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9F0D71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77796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single" w:sz="4" w:space="0" w:color="000000"/>
              <w:left w:val="single" w:sz="4" w:space="0" w:color="000000"/>
              <w:bottom w:val="nil"/>
              <w:right w:val="single" w:sz="4" w:space="0" w:color="000000"/>
            </w:tcBorders>
            <w:shd w:val="clear" w:color="000000" w:fill="FFFFFF"/>
            <w:vAlign w:val="center"/>
            <w:hideMark/>
          </w:tcPr>
          <w:p w14:paraId="51DC02C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2.3.4.3</w:t>
            </w:r>
          </w:p>
        </w:tc>
        <w:tc>
          <w:tcPr>
            <w:tcW w:w="563" w:type="dxa"/>
            <w:tcBorders>
              <w:top w:val="single" w:sz="4" w:space="0" w:color="000000"/>
              <w:left w:val="nil"/>
              <w:bottom w:val="nil"/>
              <w:right w:val="single" w:sz="4" w:space="0" w:color="000000"/>
            </w:tcBorders>
            <w:shd w:val="clear" w:color="000000" w:fill="FFFFFF"/>
            <w:vAlign w:val="center"/>
            <w:hideMark/>
          </w:tcPr>
          <w:p w14:paraId="0062576C"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Regjistri i Grupeve të Ndërmarrjeve</w:t>
            </w:r>
          </w:p>
        </w:tc>
        <w:tc>
          <w:tcPr>
            <w:tcW w:w="446" w:type="dxa"/>
            <w:tcBorders>
              <w:top w:val="single" w:sz="4" w:space="0" w:color="000000"/>
              <w:left w:val="nil"/>
              <w:bottom w:val="single" w:sz="4" w:space="0" w:color="000000"/>
              <w:right w:val="single" w:sz="4" w:space="0" w:color="000000"/>
            </w:tcBorders>
            <w:shd w:val="clear" w:color="000000" w:fill="FFFFFF"/>
            <w:vAlign w:val="center"/>
            <w:hideMark/>
          </w:tcPr>
          <w:p w14:paraId="57C06B4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Kombinim i burimeve administrative dhe vrojtimeve të anketave të INSTAT</w:t>
            </w:r>
          </w:p>
        </w:tc>
        <w:tc>
          <w:tcPr>
            <w:tcW w:w="450" w:type="dxa"/>
            <w:tcBorders>
              <w:top w:val="single" w:sz="4" w:space="0" w:color="auto"/>
              <w:left w:val="nil"/>
              <w:bottom w:val="single" w:sz="4" w:space="0" w:color="auto"/>
              <w:right w:val="single" w:sz="4" w:space="0" w:color="auto"/>
            </w:tcBorders>
            <w:shd w:val="clear" w:color="000000" w:fill="FFFFFF"/>
            <w:noWrap/>
            <w:vAlign w:val="center"/>
            <w:hideMark/>
          </w:tcPr>
          <w:p w14:paraId="0BE0609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80%</w:t>
            </w:r>
          </w:p>
        </w:tc>
        <w:tc>
          <w:tcPr>
            <w:tcW w:w="301" w:type="dxa"/>
            <w:tcBorders>
              <w:top w:val="single" w:sz="4" w:space="0" w:color="auto"/>
              <w:left w:val="nil"/>
              <w:bottom w:val="single" w:sz="4" w:space="0" w:color="auto"/>
              <w:right w:val="single" w:sz="4" w:space="0" w:color="auto"/>
            </w:tcBorders>
            <w:shd w:val="clear" w:color="000000" w:fill="FFFFFF"/>
            <w:noWrap/>
            <w:vAlign w:val="center"/>
            <w:hideMark/>
          </w:tcPr>
          <w:p w14:paraId="39E6EC0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20%</w:t>
            </w:r>
          </w:p>
        </w:tc>
        <w:tc>
          <w:tcPr>
            <w:tcW w:w="426" w:type="dxa"/>
            <w:tcBorders>
              <w:top w:val="single" w:sz="4" w:space="0" w:color="auto"/>
              <w:left w:val="nil"/>
              <w:bottom w:val="single" w:sz="4" w:space="0" w:color="auto"/>
              <w:right w:val="single" w:sz="4" w:space="0" w:color="auto"/>
            </w:tcBorders>
            <w:shd w:val="clear" w:color="000000" w:fill="FFFFFF"/>
            <w:vAlign w:val="center"/>
            <w:hideMark/>
          </w:tcPr>
          <w:p w14:paraId="6AFAB57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single" w:sz="4" w:space="0" w:color="000000"/>
              <w:left w:val="nil"/>
              <w:bottom w:val="nil"/>
              <w:right w:val="nil"/>
            </w:tcBorders>
            <w:shd w:val="clear" w:color="000000" w:fill="FFFFFF"/>
            <w:vAlign w:val="center"/>
            <w:hideMark/>
          </w:tcPr>
          <w:p w14:paraId="2F0FA08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Në mënyrë rastësore</w:t>
            </w:r>
          </w:p>
        </w:tc>
        <w:tc>
          <w:tcPr>
            <w:tcW w:w="109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8DDA86" w14:textId="27F0B40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Ndërmarrjet shumëkombëshe</w:t>
            </w:r>
            <w:r w:rsidR="00376756" w:rsidRPr="004F2AC3">
              <w:rPr>
                <w:rFonts w:ascii="Garamond" w:eastAsia="Times New Roman" w:hAnsi="Garamond" w:cs="Times New Roman"/>
                <w:color w:val="000000"/>
                <w:sz w:val="10"/>
                <w:szCs w:val="10"/>
                <w:lang w:eastAsia="sq-AL"/>
              </w:rPr>
              <w:t>.</w:t>
            </w:r>
          </w:p>
        </w:tc>
        <w:tc>
          <w:tcPr>
            <w:tcW w:w="554" w:type="dxa"/>
            <w:tcBorders>
              <w:top w:val="single" w:sz="4" w:space="0" w:color="auto"/>
              <w:left w:val="nil"/>
              <w:bottom w:val="nil"/>
              <w:right w:val="single" w:sz="4" w:space="0" w:color="auto"/>
            </w:tcBorders>
            <w:shd w:val="clear" w:color="000000" w:fill="FFFFFF"/>
            <w:vAlign w:val="center"/>
            <w:hideMark/>
          </w:tcPr>
          <w:p w14:paraId="2E04EFBE" w14:textId="2BD7BBE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Qendra Kombëtare 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Biznesit (QKB)</w:t>
            </w:r>
          </w:p>
        </w:tc>
        <w:tc>
          <w:tcPr>
            <w:tcW w:w="413" w:type="dxa"/>
            <w:tcBorders>
              <w:top w:val="single" w:sz="4" w:space="0" w:color="auto"/>
              <w:left w:val="nil"/>
              <w:bottom w:val="nil"/>
              <w:right w:val="single" w:sz="4" w:space="0" w:color="auto"/>
            </w:tcBorders>
            <w:shd w:val="clear" w:color="000000" w:fill="FFFFFF"/>
            <w:vAlign w:val="center"/>
            <w:hideMark/>
          </w:tcPr>
          <w:p w14:paraId="0E6E142F" w14:textId="3AD7966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single" w:sz="4" w:space="0" w:color="auto"/>
              <w:left w:val="nil"/>
              <w:bottom w:val="single" w:sz="4" w:space="0" w:color="auto"/>
              <w:right w:val="single" w:sz="4" w:space="0" w:color="auto"/>
            </w:tcBorders>
            <w:shd w:val="clear" w:color="000000" w:fill="FFFFFF"/>
            <w:vAlign w:val="center"/>
            <w:hideMark/>
          </w:tcPr>
          <w:p w14:paraId="3008FF7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+ 91D</w:t>
            </w:r>
          </w:p>
        </w:tc>
        <w:tc>
          <w:tcPr>
            <w:tcW w:w="385" w:type="dxa"/>
            <w:tcBorders>
              <w:top w:val="single" w:sz="4" w:space="0" w:color="auto"/>
              <w:left w:val="nil"/>
              <w:bottom w:val="single" w:sz="4" w:space="0" w:color="auto"/>
              <w:right w:val="single" w:sz="4" w:space="0" w:color="auto"/>
            </w:tcBorders>
            <w:shd w:val="clear" w:color="000000" w:fill="FFFFFF"/>
            <w:vAlign w:val="center"/>
            <w:hideMark/>
          </w:tcPr>
          <w:p w14:paraId="643DD23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+ 129D</w:t>
            </w:r>
          </w:p>
        </w:tc>
        <w:tc>
          <w:tcPr>
            <w:tcW w:w="361" w:type="dxa"/>
            <w:tcBorders>
              <w:top w:val="single" w:sz="4" w:space="0" w:color="auto"/>
              <w:left w:val="nil"/>
              <w:bottom w:val="single" w:sz="4" w:space="0" w:color="auto"/>
              <w:right w:val="single" w:sz="4" w:space="0" w:color="auto"/>
            </w:tcBorders>
            <w:shd w:val="clear" w:color="000000" w:fill="FFFFFF"/>
            <w:noWrap/>
            <w:vAlign w:val="center"/>
            <w:hideMark/>
          </w:tcPr>
          <w:p w14:paraId="32B5B11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single" w:sz="4" w:space="0" w:color="auto"/>
              <w:left w:val="nil"/>
              <w:bottom w:val="single" w:sz="4" w:space="0" w:color="auto"/>
              <w:right w:val="single" w:sz="4" w:space="0" w:color="auto"/>
            </w:tcBorders>
            <w:shd w:val="clear" w:color="000000" w:fill="FFFFFF"/>
            <w:vAlign w:val="center"/>
            <w:hideMark/>
          </w:tcPr>
          <w:p w14:paraId="7F569809" w14:textId="72124F22" w:rsidR="0021321C" w:rsidRPr="004F2AC3" w:rsidRDefault="005B3A9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Mungesat/</w:t>
            </w:r>
            <w:r w:rsidR="0021321C" w:rsidRPr="004F2AC3">
              <w:rPr>
                <w:rFonts w:ascii="Garamond" w:eastAsia="Times New Roman" w:hAnsi="Garamond" w:cs="Times New Roman"/>
                <w:color w:val="000000"/>
                <w:sz w:val="10"/>
                <w:szCs w:val="10"/>
                <w:lang w:eastAsia="sq-AL"/>
              </w:rPr>
              <w:t>Vonesat e të dhënave nga burimet administrative -|- 9</w:t>
            </w:r>
            <w:r w:rsidR="0021321C" w:rsidRPr="004F2AC3">
              <w:rPr>
                <w:rFonts w:ascii="Garamond" w:eastAsia="Times New Roman" w:hAnsi="Garamond" w:cs="Times New Roman"/>
                <w:color w:val="000000"/>
                <w:sz w:val="10"/>
                <w:szCs w:val="10"/>
                <w:lang w:eastAsia="sq-AL"/>
              </w:rPr>
              <w:br/>
              <w:t>2. Informacion jo i plotë, i pa-</w:t>
            </w:r>
            <w:r w:rsidR="00376756" w:rsidRPr="004F2AC3">
              <w:rPr>
                <w:rFonts w:ascii="Garamond" w:eastAsia="Times New Roman" w:hAnsi="Garamond" w:cs="Times New Roman"/>
                <w:color w:val="000000"/>
                <w:sz w:val="10"/>
                <w:szCs w:val="10"/>
                <w:lang w:eastAsia="sq-AL"/>
              </w:rPr>
              <w:t>standardizuar</w:t>
            </w:r>
            <w:r w:rsidR="0021321C" w:rsidRPr="004F2AC3">
              <w:rPr>
                <w:rFonts w:ascii="Garamond" w:eastAsia="Times New Roman" w:hAnsi="Garamond" w:cs="Times New Roman"/>
                <w:color w:val="000000"/>
                <w:sz w:val="10"/>
                <w:szCs w:val="10"/>
                <w:lang w:eastAsia="sq-AL"/>
              </w:rPr>
              <w:t xml:space="preserve"> -|- 9</w:t>
            </w:r>
            <w:r w:rsidR="0021321C" w:rsidRPr="004F2AC3">
              <w:rPr>
                <w:rFonts w:ascii="Garamond" w:eastAsia="Times New Roman" w:hAnsi="Garamond" w:cs="Times New Roman"/>
                <w:color w:val="000000"/>
                <w:sz w:val="10"/>
                <w:szCs w:val="10"/>
                <w:lang w:eastAsia="sq-AL"/>
              </w:rPr>
              <w:br/>
              <w:t>3. Gabime të bëra nga stafi ekspert gjatë përpunimit dhe nxjerrjes së rezultateve -|- 7</w:t>
            </w:r>
            <w:r w:rsidR="0021321C" w:rsidRPr="004F2AC3">
              <w:rPr>
                <w:rFonts w:ascii="Garamond" w:eastAsia="Times New Roman" w:hAnsi="Garamond" w:cs="Times New Roman"/>
                <w:color w:val="000000"/>
                <w:sz w:val="10"/>
                <w:szCs w:val="10"/>
                <w:lang w:eastAsia="sq-AL"/>
              </w:rPr>
              <w:br/>
              <w:t>4. Vonesa për shkak të fatkeqësive natyrore -|- 3</w:t>
            </w:r>
          </w:p>
        </w:tc>
        <w:tc>
          <w:tcPr>
            <w:tcW w:w="551" w:type="dxa"/>
            <w:tcBorders>
              <w:top w:val="single" w:sz="4" w:space="0" w:color="auto"/>
              <w:left w:val="nil"/>
              <w:bottom w:val="single" w:sz="4" w:space="0" w:color="auto"/>
              <w:right w:val="single" w:sz="4" w:space="0" w:color="auto"/>
            </w:tcBorders>
            <w:shd w:val="clear" w:color="000000" w:fill="FFFFFF"/>
            <w:vAlign w:val="center"/>
            <w:hideMark/>
          </w:tcPr>
          <w:p w14:paraId="3813A0A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539929CB" w14:textId="77777777" w:rsidTr="0021321C">
        <w:trPr>
          <w:trHeight w:val="180"/>
          <w:jc w:val="center"/>
        </w:trPr>
        <w:tc>
          <w:tcPr>
            <w:tcW w:w="388" w:type="dxa"/>
            <w:tcBorders>
              <w:top w:val="single" w:sz="4" w:space="0" w:color="000000"/>
              <w:left w:val="single" w:sz="4" w:space="0" w:color="000000"/>
              <w:bottom w:val="single" w:sz="4" w:space="0" w:color="000000"/>
              <w:right w:val="nil"/>
            </w:tcBorders>
            <w:shd w:val="clear" w:color="000000" w:fill="F0F0F0"/>
            <w:vAlign w:val="center"/>
            <w:hideMark/>
          </w:tcPr>
          <w:p w14:paraId="27BAD16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w:t>
            </w:r>
          </w:p>
        </w:tc>
        <w:tc>
          <w:tcPr>
            <w:tcW w:w="8962" w:type="dxa"/>
            <w:gridSpan w:val="20"/>
            <w:tcBorders>
              <w:top w:val="single" w:sz="4" w:space="0" w:color="auto"/>
              <w:left w:val="single" w:sz="4" w:space="0" w:color="auto"/>
              <w:bottom w:val="single" w:sz="4" w:space="0" w:color="auto"/>
              <w:right w:val="single" w:sz="4" w:space="0" w:color="auto"/>
            </w:tcBorders>
            <w:shd w:val="clear" w:color="000000" w:fill="F0F0F0"/>
            <w:vAlign w:val="center"/>
            <w:hideMark/>
          </w:tcPr>
          <w:p w14:paraId="450107E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Sektoriale</w:t>
            </w:r>
          </w:p>
        </w:tc>
      </w:tr>
      <w:tr w:rsidR="0021321C" w:rsidRPr="004F2AC3" w14:paraId="1A0424DD" w14:textId="77777777" w:rsidTr="0021321C">
        <w:trPr>
          <w:trHeight w:val="180"/>
          <w:jc w:val="center"/>
        </w:trPr>
        <w:tc>
          <w:tcPr>
            <w:tcW w:w="388" w:type="dxa"/>
            <w:tcBorders>
              <w:top w:val="nil"/>
              <w:left w:val="nil"/>
              <w:bottom w:val="nil"/>
              <w:right w:val="nil"/>
            </w:tcBorders>
            <w:shd w:val="clear" w:color="000000" w:fill="FFFFFF"/>
            <w:vAlign w:val="bottom"/>
            <w:hideMark/>
          </w:tcPr>
          <w:p w14:paraId="35E53A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60C723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single" w:sz="4" w:space="0" w:color="000000"/>
              <w:bottom w:val="single" w:sz="4" w:space="0" w:color="000000"/>
              <w:right w:val="single" w:sz="4" w:space="0" w:color="000000"/>
            </w:tcBorders>
            <w:shd w:val="clear" w:color="000000" w:fill="F0F0F0"/>
            <w:vAlign w:val="center"/>
            <w:hideMark/>
          </w:tcPr>
          <w:p w14:paraId="1687130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w:t>
            </w:r>
          </w:p>
        </w:tc>
        <w:tc>
          <w:tcPr>
            <w:tcW w:w="8341" w:type="dxa"/>
            <w:gridSpan w:val="18"/>
            <w:tcBorders>
              <w:top w:val="single" w:sz="4" w:space="0" w:color="auto"/>
              <w:left w:val="nil"/>
              <w:bottom w:val="nil"/>
              <w:right w:val="single" w:sz="4" w:space="0" w:color="000000"/>
            </w:tcBorders>
            <w:shd w:val="clear" w:color="000000" w:fill="F0F0F0"/>
            <w:vAlign w:val="center"/>
            <w:hideMark/>
          </w:tcPr>
          <w:p w14:paraId="56F1EC54" w14:textId="0BAC4AC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e </w:t>
            </w:r>
            <w:r w:rsidR="00376756" w:rsidRPr="004F2AC3">
              <w:rPr>
                <w:rFonts w:ascii="Garamond" w:eastAsia="Times New Roman" w:hAnsi="Garamond" w:cs="Times New Roman"/>
                <w:color w:val="000000"/>
                <w:sz w:val="10"/>
                <w:szCs w:val="10"/>
                <w:lang w:eastAsia="sq-AL"/>
              </w:rPr>
              <w:t>bujqësisë, peshkimit dhe pyjeve</w:t>
            </w:r>
          </w:p>
        </w:tc>
      </w:tr>
      <w:tr w:rsidR="0021321C" w:rsidRPr="004F2AC3" w14:paraId="345859A3" w14:textId="77777777" w:rsidTr="0021321C">
        <w:trPr>
          <w:trHeight w:val="180"/>
          <w:jc w:val="center"/>
        </w:trPr>
        <w:tc>
          <w:tcPr>
            <w:tcW w:w="388" w:type="dxa"/>
            <w:tcBorders>
              <w:top w:val="nil"/>
              <w:left w:val="nil"/>
              <w:bottom w:val="nil"/>
              <w:right w:val="nil"/>
            </w:tcBorders>
            <w:shd w:val="clear" w:color="000000" w:fill="FFFFFF"/>
            <w:vAlign w:val="bottom"/>
            <w:hideMark/>
          </w:tcPr>
          <w:p w14:paraId="2C06FD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33E324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41ADD1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5A101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2F2F2"/>
            <w:vAlign w:val="center"/>
            <w:hideMark/>
          </w:tcPr>
          <w:p w14:paraId="7CB3B69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2F2F2"/>
            <w:vAlign w:val="center"/>
            <w:hideMark/>
          </w:tcPr>
          <w:p w14:paraId="15713D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e pyjeve </w:t>
            </w:r>
          </w:p>
        </w:tc>
      </w:tr>
      <w:tr w:rsidR="00C73163" w:rsidRPr="004F2AC3" w14:paraId="6C3789C9" w14:textId="77777777" w:rsidTr="0021321C">
        <w:trPr>
          <w:trHeight w:val="180"/>
          <w:jc w:val="center"/>
        </w:trPr>
        <w:tc>
          <w:tcPr>
            <w:tcW w:w="388" w:type="dxa"/>
            <w:tcBorders>
              <w:top w:val="nil"/>
              <w:left w:val="nil"/>
              <w:bottom w:val="nil"/>
              <w:right w:val="nil"/>
            </w:tcBorders>
            <w:shd w:val="clear" w:color="000000" w:fill="FFFFFF"/>
            <w:vAlign w:val="bottom"/>
            <w:hideMark/>
          </w:tcPr>
          <w:p w14:paraId="3C738DB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8118F7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4B968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7F4612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53FA8A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635CA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68B3481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3.1.1.1</w:t>
            </w:r>
          </w:p>
        </w:tc>
        <w:tc>
          <w:tcPr>
            <w:tcW w:w="563" w:type="dxa"/>
            <w:tcBorders>
              <w:top w:val="nil"/>
              <w:left w:val="nil"/>
              <w:bottom w:val="single" w:sz="4" w:space="0" w:color="auto"/>
              <w:right w:val="single" w:sz="4" w:space="0" w:color="auto"/>
            </w:tcBorders>
            <w:shd w:val="clear" w:color="000000" w:fill="FFFFFF"/>
            <w:vAlign w:val="center"/>
            <w:hideMark/>
          </w:tcPr>
          <w:p w14:paraId="40E2483E" w14:textId="3AFF0F1E"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pyjeve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administrative</w:t>
            </w:r>
          </w:p>
        </w:tc>
        <w:tc>
          <w:tcPr>
            <w:tcW w:w="446" w:type="dxa"/>
            <w:tcBorders>
              <w:top w:val="nil"/>
              <w:left w:val="nil"/>
              <w:bottom w:val="single" w:sz="4" w:space="0" w:color="auto"/>
              <w:right w:val="single" w:sz="4" w:space="0" w:color="auto"/>
            </w:tcBorders>
            <w:shd w:val="clear" w:color="000000" w:fill="FFFFFF"/>
            <w:vAlign w:val="center"/>
            <w:hideMark/>
          </w:tcPr>
          <w:p w14:paraId="43FA45D8"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735648B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000000" w:fill="FFFFFF"/>
            <w:noWrap/>
            <w:vAlign w:val="center"/>
            <w:hideMark/>
          </w:tcPr>
          <w:p w14:paraId="50302E6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63711F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000000" w:fill="FFFFFF"/>
            <w:vAlign w:val="center"/>
            <w:hideMark/>
          </w:tcPr>
          <w:p w14:paraId="05E2A04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000000" w:fill="FFFFFF"/>
            <w:vAlign w:val="center"/>
            <w:hideMark/>
          </w:tcPr>
          <w:p w14:paraId="622B0A06" w14:textId="68D4DF1C" w:rsidR="0021321C" w:rsidRPr="004F2AC3" w:rsidRDefault="0021321C" w:rsidP="0021321C">
            <w:pPr>
              <w:spacing w:after="24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Të dhëna për bilancin kadastral të fondit pyjor e kullosor të Shqipërisë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Fondi pyjor sipas pronësisë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Fondi pyjor sipas qeverisjes</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Stru</w:t>
            </w:r>
            <w:r w:rsidR="00376756" w:rsidRPr="004F2AC3">
              <w:rPr>
                <w:rFonts w:ascii="Garamond" w:eastAsia="Times New Roman" w:hAnsi="Garamond" w:cs="Times New Roman"/>
                <w:color w:val="000000"/>
                <w:sz w:val="10"/>
                <w:szCs w:val="10"/>
                <w:lang w:eastAsia="sq-AL"/>
              </w:rPr>
              <w:t>ktura e pyjeve sipas moshës;</w:t>
            </w:r>
            <w:r w:rsidRPr="004F2AC3">
              <w:rPr>
                <w:rFonts w:ascii="Garamond" w:eastAsia="Times New Roman" w:hAnsi="Garamond" w:cs="Times New Roman"/>
                <w:color w:val="000000"/>
                <w:sz w:val="10"/>
                <w:szCs w:val="10"/>
                <w:lang w:eastAsia="sq-AL"/>
              </w:rPr>
              <w:br/>
              <w:t>5. Bilanci kadastral i fondit</w:t>
            </w:r>
            <w:r w:rsidR="00376756" w:rsidRPr="004F2AC3">
              <w:rPr>
                <w:rFonts w:ascii="Garamond" w:eastAsia="Times New Roman" w:hAnsi="Garamond" w:cs="Times New Roman"/>
                <w:color w:val="000000"/>
                <w:sz w:val="10"/>
                <w:szCs w:val="10"/>
                <w:lang w:eastAsia="sq-AL"/>
              </w:rPr>
              <w:t xml:space="preserve"> pyjor sipas funksionit kryesor;</w:t>
            </w:r>
            <w:r w:rsidRPr="004F2AC3">
              <w:rPr>
                <w:rFonts w:ascii="Garamond" w:eastAsia="Times New Roman" w:hAnsi="Garamond" w:cs="Times New Roman"/>
                <w:color w:val="000000"/>
                <w:sz w:val="10"/>
                <w:szCs w:val="10"/>
                <w:lang w:eastAsia="sq-AL"/>
              </w:rPr>
              <w:br/>
              <w:t>6. Shfrytëzimi pyjeve dhe produktet kryesore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r>
            <w:r w:rsidR="004F2AC3" w:rsidRPr="004F2AC3">
              <w:rPr>
                <w:rFonts w:ascii="Garamond" w:eastAsia="Times New Roman" w:hAnsi="Garamond" w:cs="Times New Roman"/>
                <w:color w:val="000000"/>
                <w:sz w:val="10"/>
                <w:szCs w:val="10"/>
                <w:lang w:eastAsia="sq-AL"/>
              </w:rPr>
              <w:t>7. Shtesa dhe pak</w:t>
            </w:r>
            <w:r w:rsidRPr="004F2AC3">
              <w:rPr>
                <w:rFonts w:ascii="Garamond" w:eastAsia="Times New Roman" w:hAnsi="Garamond" w:cs="Times New Roman"/>
                <w:color w:val="000000"/>
                <w:sz w:val="10"/>
                <w:szCs w:val="10"/>
                <w:lang w:eastAsia="sq-AL"/>
              </w:rPr>
              <w:t>sime të fondit pyjor dhe kullosor në sipërfaqe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8. </w:t>
            </w:r>
            <w:r w:rsidR="00376756" w:rsidRPr="004F2AC3">
              <w:rPr>
                <w:rFonts w:ascii="Garamond" w:eastAsia="Times New Roman" w:hAnsi="Garamond" w:cs="Times New Roman"/>
                <w:color w:val="000000"/>
                <w:sz w:val="10"/>
                <w:szCs w:val="10"/>
                <w:lang w:eastAsia="sq-AL"/>
              </w:rPr>
              <w:t>Kundërvajtjet</w:t>
            </w:r>
            <w:r w:rsidRPr="004F2AC3">
              <w:rPr>
                <w:rFonts w:ascii="Garamond" w:eastAsia="Times New Roman" w:hAnsi="Garamond" w:cs="Times New Roman"/>
                <w:color w:val="000000"/>
                <w:sz w:val="10"/>
                <w:szCs w:val="10"/>
                <w:lang w:eastAsia="sq-AL"/>
              </w:rPr>
              <w:t xml:space="preserve"> në pyje dhe kullota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Lënda drusore e eksportuar</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Lënda drusore e importuar</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Investime të realizuara në pyje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Të ardhura nga aktivitete dytësore pyjore dhe kullota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Fondi kullosor sipas pronësisë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Fondi kullosor sipas stinëve të shfrytëzimit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Zjarret në pyje dhe kullota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Fondi pyjor sipas strukturës së llojeve</w:t>
            </w:r>
            <w:r w:rsidR="00376756"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282C60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Ministria e Mjedisit </w:t>
            </w:r>
            <w:r w:rsidRPr="004F2AC3">
              <w:rPr>
                <w:rFonts w:ascii="Garamond" w:eastAsia="Times New Roman" w:hAnsi="Garamond" w:cs="Times New Roman"/>
                <w:color w:val="000000"/>
                <w:sz w:val="10"/>
                <w:szCs w:val="10"/>
                <w:lang w:eastAsia="sq-AL"/>
              </w:rPr>
              <w:br/>
              <w:t>Agjencia Kombëtare e Pyjeve</w:t>
            </w:r>
          </w:p>
        </w:tc>
        <w:tc>
          <w:tcPr>
            <w:tcW w:w="413" w:type="dxa"/>
            <w:tcBorders>
              <w:top w:val="nil"/>
              <w:left w:val="nil"/>
              <w:bottom w:val="single" w:sz="4" w:space="0" w:color="auto"/>
              <w:right w:val="single" w:sz="4" w:space="0" w:color="auto"/>
            </w:tcBorders>
            <w:shd w:val="clear" w:color="000000" w:fill="FFFFFF"/>
            <w:vAlign w:val="center"/>
            <w:hideMark/>
          </w:tcPr>
          <w:p w14:paraId="49770E76" w14:textId="34674ED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7772B05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+ 152D</w:t>
            </w:r>
          </w:p>
        </w:tc>
        <w:tc>
          <w:tcPr>
            <w:tcW w:w="385" w:type="dxa"/>
            <w:tcBorders>
              <w:top w:val="nil"/>
              <w:left w:val="nil"/>
              <w:bottom w:val="single" w:sz="4" w:space="0" w:color="auto"/>
              <w:right w:val="single" w:sz="4" w:space="0" w:color="auto"/>
            </w:tcBorders>
            <w:shd w:val="clear" w:color="000000" w:fill="FFFFFF"/>
            <w:vAlign w:val="center"/>
            <w:hideMark/>
          </w:tcPr>
          <w:p w14:paraId="05E2D90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+ 246D</w:t>
            </w:r>
          </w:p>
        </w:tc>
        <w:tc>
          <w:tcPr>
            <w:tcW w:w="361" w:type="dxa"/>
            <w:tcBorders>
              <w:top w:val="nil"/>
              <w:left w:val="nil"/>
              <w:bottom w:val="single" w:sz="4" w:space="0" w:color="auto"/>
              <w:right w:val="single" w:sz="4" w:space="0" w:color="auto"/>
            </w:tcBorders>
            <w:shd w:val="clear" w:color="000000" w:fill="FFFFFF"/>
            <w:vAlign w:val="center"/>
            <w:hideMark/>
          </w:tcPr>
          <w:p w14:paraId="6AACFE5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+ 253D</w:t>
            </w:r>
          </w:p>
        </w:tc>
        <w:tc>
          <w:tcPr>
            <w:tcW w:w="732" w:type="dxa"/>
            <w:tcBorders>
              <w:top w:val="nil"/>
              <w:left w:val="nil"/>
              <w:bottom w:val="single" w:sz="4" w:space="0" w:color="auto"/>
              <w:right w:val="single" w:sz="4" w:space="0" w:color="auto"/>
            </w:tcBorders>
            <w:shd w:val="clear" w:color="000000" w:fill="FFFFFF"/>
            <w:vAlign w:val="center"/>
            <w:hideMark/>
          </w:tcPr>
          <w:p w14:paraId="09A73CA9" w14:textId="0A2CCB8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Mosmarrja e të dhënave administrative nga Agjencia Kombëtare e Pyjeve dhe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xml:space="preserve">Ministria e Turizmit dhe </w:t>
            </w:r>
            <w:r w:rsidR="00376756" w:rsidRPr="004F2AC3">
              <w:rPr>
                <w:rFonts w:ascii="Garamond" w:eastAsia="Times New Roman" w:hAnsi="Garamond" w:cs="Times New Roman"/>
                <w:color w:val="000000"/>
                <w:sz w:val="10"/>
                <w:szCs w:val="10"/>
                <w:lang w:eastAsia="sq-AL"/>
              </w:rPr>
              <w:t>Mjedisit</w:t>
            </w:r>
            <w:r w:rsidR="005B3A9C" w:rsidRPr="004F2AC3">
              <w:rPr>
                <w:rFonts w:ascii="Garamond" w:eastAsia="Times New Roman" w:hAnsi="Garamond" w:cs="Times New Roman"/>
                <w:color w:val="000000"/>
                <w:sz w:val="10"/>
                <w:szCs w:val="10"/>
                <w:lang w:eastAsia="sq-AL"/>
              </w:rPr>
              <w:t xml:space="preserve"> për Pyjet</w:t>
            </w:r>
            <w:r w:rsidRPr="004F2AC3">
              <w:rPr>
                <w:rFonts w:ascii="Garamond" w:eastAsia="Times New Roman" w:hAnsi="Garamond" w:cs="Times New Roman"/>
                <w:color w:val="000000"/>
                <w:sz w:val="10"/>
                <w:szCs w:val="10"/>
                <w:lang w:eastAsia="sq-AL"/>
              </w:rPr>
              <w:t>, kullotat dhe biodiversitetin, si pasojë e riorganizimit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sistemit administrativ që mbulon fushën përkatëse, duke sjellë pamundësi të realizimit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treguesve kryesisht lidhur me kadast</w:t>
            </w:r>
            <w:r w:rsidR="00376756" w:rsidRPr="004F2AC3">
              <w:rPr>
                <w:rFonts w:ascii="Garamond" w:eastAsia="Times New Roman" w:hAnsi="Garamond" w:cs="Times New Roman"/>
                <w:color w:val="000000"/>
                <w:sz w:val="10"/>
                <w:szCs w:val="10"/>
                <w:lang w:eastAsia="sq-AL"/>
              </w:rPr>
              <w:t>rë</w:t>
            </w:r>
            <w:r w:rsidRPr="004F2AC3">
              <w:rPr>
                <w:rFonts w:ascii="Garamond" w:eastAsia="Times New Roman" w:hAnsi="Garamond" w:cs="Times New Roman"/>
                <w:color w:val="000000"/>
                <w:sz w:val="10"/>
                <w:szCs w:val="10"/>
                <w:lang w:eastAsia="sq-AL"/>
              </w:rPr>
              <w:t>n pyjore -|- 4</w:t>
            </w:r>
          </w:p>
        </w:tc>
        <w:tc>
          <w:tcPr>
            <w:tcW w:w="551" w:type="dxa"/>
            <w:tcBorders>
              <w:top w:val="nil"/>
              <w:left w:val="nil"/>
              <w:bottom w:val="single" w:sz="4" w:space="0" w:color="auto"/>
              <w:right w:val="single" w:sz="4" w:space="0" w:color="auto"/>
            </w:tcBorders>
            <w:shd w:val="clear" w:color="000000" w:fill="FFFFFF"/>
            <w:vAlign w:val="center"/>
            <w:hideMark/>
          </w:tcPr>
          <w:p w14:paraId="6FCED11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734A557F" w14:textId="77777777" w:rsidTr="0021321C">
        <w:trPr>
          <w:trHeight w:val="180"/>
          <w:jc w:val="center"/>
        </w:trPr>
        <w:tc>
          <w:tcPr>
            <w:tcW w:w="388" w:type="dxa"/>
            <w:tcBorders>
              <w:top w:val="nil"/>
              <w:left w:val="nil"/>
              <w:bottom w:val="nil"/>
              <w:right w:val="nil"/>
            </w:tcBorders>
            <w:shd w:val="clear" w:color="000000" w:fill="FFFFFF"/>
            <w:vAlign w:val="bottom"/>
            <w:hideMark/>
          </w:tcPr>
          <w:p w14:paraId="29ADD3B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CA0CCE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FE1B2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08BB5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AD1CB4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D6F71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000000" w:fill="FFFFFF"/>
            <w:vAlign w:val="center"/>
            <w:hideMark/>
          </w:tcPr>
          <w:p w14:paraId="076AC2D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3.1.1.2</w:t>
            </w:r>
          </w:p>
        </w:tc>
        <w:tc>
          <w:tcPr>
            <w:tcW w:w="563" w:type="dxa"/>
            <w:tcBorders>
              <w:top w:val="nil"/>
              <w:left w:val="nil"/>
              <w:bottom w:val="nil"/>
              <w:right w:val="single" w:sz="4" w:space="0" w:color="auto"/>
            </w:tcBorders>
            <w:shd w:val="clear" w:color="000000" w:fill="FFFFFF"/>
            <w:vAlign w:val="center"/>
            <w:hideMark/>
          </w:tcPr>
          <w:p w14:paraId="25C0820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br/>
              <w:t xml:space="preserve">Vrojtimi i përdorimit të lëndës drusore në Industri </w:t>
            </w:r>
          </w:p>
        </w:tc>
        <w:tc>
          <w:tcPr>
            <w:tcW w:w="446" w:type="dxa"/>
            <w:tcBorders>
              <w:top w:val="nil"/>
              <w:left w:val="nil"/>
              <w:bottom w:val="nil"/>
              <w:right w:val="single" w:sz="4" w:space="0" w:color="auto"/>
            </w:tcBorders>
            <w:shd w:val="clear" w:color="000000" w:fill="FFFFFF"/>
            <w:vAlign w:val="center"/>
            <w:hideMark/>
          </w:tcPr>
          <w:p w14:paraId="6548FF9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Vrojtim</w:t>
            </w:r>
          </w:p>
        </w:tc>
        <w:tc>
          <w:tcPr>
            <w:tcW w:w="450" w:type="dxa"/>
            <w:tcBorders>
              <w:top w:val="nil"/>
              <w:left w:val="nil"/>
              <w:bottom w:val="nil"/>
              <w:right w:val="single" w:sz="4" w:space="0" w:color="auto"/>
            </w:tcBorders>
            <w:shd w:val="clear" w:color="000000" w:fill="FFFFFF"/>
            <w:noWrap/>
            <w:vAlign w:val="center"/>
            <w:hideMark/>
          </w:tcPr>
          <w:p w14:paraId="3C8119E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nil"/>
              <w:right w:val="single" w:sz="4" w:space="0" w:color="auto"/>
            </w:tcBorders>
            <w:shd w:val="clear" w:color="000000" w:fill="FFFFFF"/>
            <w:noWrap/>
            <w:vAlign w:val="center"/>
            <w:hideMark/>
          </w:tcPr>
          <w:p w14:paraId="3FCC27B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nil"/>
              <w:right w:val="single" w:sz="4" w:space="0" w:color="auto"/>
            </w:tcBorders>
            <w:shd w:val="clear" w:color="000000" w:fill="FFFFFF"/>
            <w:vAlign w:val="center"/>
            <w:hideMark/>
          </w:tcPr>
          <w:p w14:paraId="161C34B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000000" w:fill="FFFFFF"/>
            <w:vAlign w:val="center"/>
            <w:hideMark/>
          </w:tcPr>
          <w:p w14:paraId="531EB11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5B7C6EB5" w14:textId="6A41C500" w:rsidR="0021321C" w:rsidRPr="004F2AC3" w:rsidRDefault="00376756" w:rsidP="00376756">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21321C" w:rsidRPr="004F2AC3">
              <w:rPr>
                <w:rFonts w:ascii="Garamond" w:eastAsia="Times New Roman" w:hAnsi="Garamond" w:cs="Times New Roman"/>
                <w:color w:val="000000"/>
                <w:sz w:val="10"/>
                <w:szCs w:val="10"/>
                <w:lang w:eastAsia="sq-AL"/>
              </w:rPr>
              <w:t>Sasia e lëndës drusore të përdorur në industri</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2.</w:t>
            </w:r>
            <w:r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Lloji</w:t>
            </w:r>
            <w:r w:rsidR="00684E85"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i</w:t>
            </w:r>
            <w:r w:rsidR="00684E85"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lëndës drusore të përdorur</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3.</w:t>
            </w:r>
            <w:r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 xml:space="preserve">Prodhimi </w:t>
            </w:r>
            <w:r w:rsidRPr="004F2AC3">
              <w:rPr>
                <w:rFonts w:ascii="Garamond" w:eastAsia="Times New Roman" w:hAnsi="Garamond" w:cs="Times New Roman"/>
                <w:color w:val="000000"/>
                <w:sz w:val="10"/>
                <w:szCs w:val="10"/>
                <w:lang w:eastAsia="sq-AL"/>
              </w:rPr>
              <w:t>produkteve</w:t>
            </w:r>
            <w:r w:rsidR="0021321C" w:rsidRPr="004F2AC3">
              <w:rPr>
                <w:rFonts w:ascii="Garamond" w:eastAsia="Times New Roman" w:hAnsi="Garamond" w:cs="Times New Roman"/>
                <w:color w:val="000000"/>
                <w:sz w:val="10"/>
                <w:szCs w:val="10"/>
                <w:lang w:eastAsia="sq-AL"/>
              </w:rPr>
              <w:t xml:space="preserve"> prej druri</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4.</w:t>
            </w:r>
            <w:r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Sasia e letrës së ricikluar</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5.</w:t>
            </w:r>
            <w:r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Prodhimi letrës dhe kartonit</w:t>
            </w:r>
            <w:r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000000" w:fill="FFFFFF"/>
            <w:vAlign w:val="center"/>
            <w:hideMark/>
          </w:tcPr>
          <w:p w14:paraId="4FB00E2A" w14:textId="40C8AFA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13" w:type="dxa"/>
            <w:tcBorders>
              <w:top w:val="nil"/>
              <w:left w:val="nil"/>
              <w:bottom w:val="nil"/>
              <w:right w:val="single" w:sz="4" w:space="0" w:color="auto"/>
            </w:tcBorders>
            <w:shd w:val="clear" w:color="000000" w:fill="FFFFFF"/>
            <w:vAlign w:val="center"/>
            <w:hideMark/>
          </w:tcPr>
          <w:p w14:paraId="301C3720" w14:textId="5B618E4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000000" w:fill="FFFFFF"/>
            <w:vAlign w:val="center"/>
            <w:hideMark/>
          </w:tcPr>
          <w:p w14:paraId="457BA69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+ 185 D</w:t>
            </w:r>
          </w:p>
        </w:tc>
        <w:tc>
          <w:tcPr>
            <w:tcW w:w="385" w:type="dxa"/>
            <w:tcBorders>
              <w:top w:val="nil"/>
              <w:left w:val="nil"/>
              <w:bottom w:val="nil"/>
              <w:right w:val="single" w:sz="4" w:space="0" w:color="auto"/>
            </w:tcBorders>
            <w:shd w:val="clear" w:color="000000" w:fill="FFFFFF"/>
            <w:vAlign w:val="center"/>
            <w:hideMark/>
          </w:tcPr>
          <w:p w14:paraId="33B37C4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+ 290 D</w:t>
            </w:r>
          </w:p>
        </w:tc>
        <w:tc>
          <w:tcPr>
            <w:tcW w:w="361" w:type="dxa"/>
            <w:tcBorders>
              <w:top w:val="nil"/>
              <w:left w:val="nil"/>
              <w:bottom w:val="nil"/>
              <w:right w:val="single" w:sz="4" w:space="0" w:color="auto"/>
            </w:tcBorders>
            <w:shd w:val="clear" w:color="000000" w:fill="FFFFFF"/>
            <w:vAlign w:val="center"/>
            <w:hideMark/>
          </w:tcPr>
          <w:p w14:paraId="07B4505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Nuk publikohen</w:t>
            </w:r>
          </w:p>
        </w:tc>
        <w:tc>
          <w:tcPr>
            <w:tcW w:w="732" w:type="dxa"/>
            <w:tcBorders>
              <w:top w:val="nil"/>
              <w:left w:val="nil"/>
              <w:bottom w:val="nil"/>
              <w:right w:val="single" w:sz="4" w:space="0" w:color="auto"/>
            </w:tcBorders>
            <w:shd w:val="clear" w:color="000000" w:fill="FFFFFF"/>
            <w:vAlign w:val="center"/>
            <w:hideMark/>
          </w:tcPr>
          <w:p w14:paraId="2B7B068E" w14:textId="7892FF0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Ardhja e </w:t>
            </w:r>
            <w:r w:rsidR="005B3A9C" w:rsidRPr="004F2AC3">
              <w:rPr>
                <w:rFonts w:ascii="Garamond" w:eastAsia="Times New Roman" w:hAnsi="Garamond" w:cs="Times New Roman"/>
                <w:color w:val="000000"/>
                <w:sz w:val="10"/>
                <w:szCs w:val="10"/>
                <w:lang w:eastAsia="sq-AL"/>
              </w:rPr>
              <w:t>pyetësorëve me vonesë në INSTAT</w:t>
            </w:r>
            <w:r w:rsidRPr="004F2AC3">
              <w:rPr>
                <w:rFonts w:ascii="Garamond" w:eastAsia="Times New Roman" w:hAnsi="Garamond" w:cs="Times New Roman"/>
                <w:color w:val="000000"/>
                <w:sz w:val="10"/>
                <w:szCs w:val="10"/>
                <w:lang w:eastAsia="sq-AL"/>
              </w:rPr>
              <w:t>. -| - 4</w:t>
            </w:r>
            <w:r w:rsidRPr="004F2AC3">
              <w:rPr>
                <w:rFonts w:ascii="Garamond" w:eastAsia="Times New Roman" w:hAnsi="Garamond" w:cs="Times New Roman"/>
                <w:color w:val="000000"/>
                <w:sz w:val="10"/>
                <w:szCs w:val="10"/>
                <w:lang w:eastAsia="sq-AL"/>
              </w:rPr>
              <w:br/>
              <w:t xml:space="preserve">2. Vonesa dhe gabime të tjera në </w:t>
            </w:r>
            <w:r w:rsidR="00376756" w:rsidRPr="004F2AC3">
              <w:rPr>
                <w:rFonts w:ascii="Garamond" w:eastAsia="Times New Roman" w:hAnsi="Garamond" w:cs="Times New Roman"/>
                <w:color w:val="000000"/>
                <w:sz w:val="10"/>
                <w:szCs w:val="10"/>
                <w:lang w:eastAsia="sq-AL"/>
              </w:rPr>
              <w:t>procesin</w:t>
            </w:r>
            <w:r w:rsidRPr="004F2AC3">
              <w:rPr>
                <w:rFonts w:ascii="Garamond" w:eastAsia="Times New Roman" w:hAnsi="Garamond" w:cs="Times New Roman"/>
                <w:color w:val="000000"/>
                <w:sz w:val="10"/>
                <w:szCs w:val="10"/>
                <w:lang w:eastAsia="sq-AL"/>
              </w:rPr>
              <w:t xml:space="preserve"> e </w:t>
            </w:r>
            <w:r w:rsidR="004F2AC3" w:rsidRPr="004F2AC3">
              <w:rPr>
                <w:rFonts w:ascii="Garamond" w:eastAsia="Times New Roman" w:hAnsi="Garamond" w:cs="Times New Roman"/>
                <w:color w:val="000000"/>
                <w:sz w:val="10"/>
                <w:szCs w:val="10"/>
                <w:lang w:eastAsia="sq-AL"/>
              </w:rPr>
              <w:t>kontrollit</w:t>
            </w:r>
            <w:r w:rsidR="005B3A9C" w:rsidRPr="004F2AC3">
              <w:rPr>
                <w:rFonts w:ascii="Garamond" w:eastAsia="Times New Roman" w:hAnsi="Garamond" w:cs="Times New Roman"/>
                <w:color w:val="000000"/>
                <w:sz w:val="10"/>
                <w:szCs w:val="10"/>
                <w:lang w:eastAsia="sq-AL"/>
              </w:rPr>
              <w:t xml:space="preserve"> dhe hedhjes së të dhënave</w:t>
            </w:r>
            <w:r w:rsidRPr="004F2AC3">
              <w:rPr>
                <w:rFonts w:ascii="Garamond" w:eastAsia="Times New Roman" w:hAnsi="Garamond" w:cs="Times New Roman"/>
                <w:color w:val="000000"/>
                <w:sz w:val="10"/>
                <w:szCs w:val="10"/>
                <w:lang w:eastAsia="sq-AL"/>
              </w:rPr>
              <w:t>. -|- 4</w:t>
            </w:r>
            <w:r w:rsidRPr="004F2AC3">
              <w:rPr>
                <w:rFonts w:ascii="Garamond" w:eastAsia="Times New Roman" w:hAnsi="Garamond" w:cs="Times New Roman"/>
                <w:color w:val="000000"/>
                <w:sz w:val="10"/>
                <w:szCs w:val="10"/>
                <w:lang w:eastAsia="sq-AL"/>
              </w:rPr>
              <w:br/>
              <w:t>3. Mospërmbushja e kritereve të cilësisë (saktësia, përpikmëria dhe krahasueshmëria) në vrojtimin e përdorimit të lëndës drusore në Industri, e cila sjell si pasojë mos shpërndarjen në kohë dhe me cilësi të rezultateve të v</w:t>
            </w:r>
            <w:r w:rsidR="005B3A9C" w:rsidRPr="004F2AC3">
              <w:rPr>
                <w:rFonts w:ascii="Garamond" w:eastAsia="Times New Roman" w:hAnsi="Garamond" w:cs="Times New Roman"/>
                <w:color w:val="000000"/>
                <w:sz w:val="10"/>
                <w:szCs w:val="10"/>
                <w:lang w:eastAsia="sq-AL"/>
              </w:rPr>
              <w:t>rojtimit -|- 5</w:t>
            </w:r>
            <w:r w:rsidR="005B3A9C" w:rsidRPr="004F2AC3">
              <w:rPr>
                <w:rFonts w:ascii="Garamond" w:eastAsia="Times New Roman" w:hAnsi="Garamond" w:cs="Times New Roman"/>
                <w:color w:val="000000"/>
                <w:sz w:val="10"/>
                <w:szCs w:val="10"/>
                <w:lang w:eastAsia="sq-AL"/>
              </w:rPr>
              <w:br/>
              <w:t>4. Avari/dëmtime</w:t>
            </w:r>
            <w:r w:rsidRPr="004F2AC3">
              <w:rPr>
                <w:rFonts w:ascii="Garamond" w:eastAsia="Times New Roman" w:hAnsi="Garamond" w:cs="Times New Roman"/>
                <w:color w:val="000000"/>
                <w:sz w:val="10"/>
                <w:szCs w:val="10"/>
                <w:lang w:eastAsia="sq-AL"/>
              </w:rPr>
              <w:t xml:space="preserve">/shkëputje në </w:t>
            </w:r>
            <w:r w:rsidR="00376756" w:rsidRPr="004F2AC3">
              <w:rPr>
                <w:rFonts w:ascii="Garamond" w:eastAsia="Times New Roman" w:hAnsi="Garamond" w:cs="Times New Roman"/>
                <w:color w:val="000000"/>
                <w:sz w:val="10"/>
                <w:szCs w:val="10"/>
                <w:lang w:eastAsia="sq-AL"/>
              </w:rPr>
              <w:t>infrastrukturën</w:t>
            </w:r>
            <w:r w:rsidRPr="004F2AC3">
              <w:rPr>
                <w:rFonts w:ascii="Garamond" w:eastAsia="Times New Roman" w:hAnsi="Garamond" w:cs="Times New Roman"/>
                <w:color w:val="000000"/>
                <w:sz w:val="10"/>
                <w:szCs w:val="10"/>
                <w:lang w:eastAsia="sq-AL"/>
              </w:rPr>
              <w:t xml:space="preserve"> e IT servera duke sjellë pezullim/vonesa të mbledhjes prodhimit dhe shpërndarjes të statistikave zyrtare -|- 4</w:t>
            </w:r>
          </w:p>
        </w:tc>
        <w:tc>
          <w:tcPr>
            <w:tcW w:w="551" w:type="dxa"/>
            <w:tcBorders>
              <w:top w:val="nil"/>
              <w:left w:val="nil"/>
              <w:bottom w:val="nil"/>
              <w:right w:val="single" w:sz="4" w:space="0" w:color="auto"/>
            </w:tcBorders>
            <w:shd w:val="clear" w:color="000000" w:fill="FFFFFF"/>
            <w:vAlign w:val="center"/>
            <w:hideMark/>
          </w:tcPr>
          <w:p w14:paraId="29B72D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45B63D5E" w14:textId="77777777" w:rsidTr="0021321C">
        <w:trPr>
          <w:trHeight w:val="180"/>
          <w:jc w:val="center"/>
        </w:trPr>
        <w:tc>
          <w:tcPr>
            <w:tcW w:w="388" w:type="dxa"/>
            <w:tcBorders>
              <w:top w:val="nil"/>
              <w:left w:val="nil"/>
              <w:bottom w:val="nil"/>
              <w:right w:val="nil"/>
            </w:tcBorders>
            <w:shd w:val="clear" w:color="000000" w:fill="FFFFFF"/>
            <w:vAlign w:val="bottom"/>
            <w:hideMark/>
          </w:tcPr>
          <w:p w14:paraId="05BEF08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91E73F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05292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ACD3FA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1F0FE36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F94AC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Bujqësisë</w:t>
            </w:r>
          </w:p>
        </w:tc>
      </w:tr>
      <w:tr w:rsidR="0021321C" w:rsidRPr="004F2AC3" w14:paraId="6F857CA7" w14:textId="77777777" w:rsidTr="0021321C">
        <w:trPr>
          <w:trHeight w:val="180"/>
          <w:jc w:val="center"/>
        </w:trPr>
        <w:tc>
          <w:tcPr>
            <w:tcW w:w="388" w:type="dxa"/>
            <w:tcBorders>
              <w:top w:val="nil"/>
              <w:left w:val="nil"/>
              <w:bottom w:val="nil"/>
              <w:right w:val="nil"/>
            </w:tcBorders>
            <w:shd w:val="clear" w:color="000000" w:fill="FFFFFF"/>
            <w:vAlign w:val="bottom"/>
            <w:hideMark/>
          </w:tcPr>
          <w:p w14:paraId="7B5D138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CC29D0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10EC29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E4B619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CEC803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7FF1F5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single" w:sz="4" w:space="0" w:color="000000"/>
              <w:right w:val="nil"/>
            </w:tcBorders>
            <w:shd w:val="clear" w:color="000000" w:fill="F0F0F0"/>
            <w:vAlign w:val="center"/>
            <w:hideMark/>
          </w:tcPr>
          <w:p w14:paraId="6161F4E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3.1.2.a</w:t>
            </w:r>
          </w:p>
        </w:tc>
        <w:tc>
          <w:tcPr>
            <w:tcW w:w="7155" w:type="dxa"/>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05FDAA9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produkteve bimore</w:t>
            </w:r>
          </w:p>
        </w:tc>
      </w:tr>
      <w:tr w:rsidR="00C73163" w:rsidRPr="004F2AC3" w14:paraId="067DBF4C" w14:textId="77777777" w:rsidTr="0021321C">
        <w:trPr>
          <w:trHeight w:val="180"/>
          <w:jc w:val="center"/>
        </w:trPr>
        <w:tc>
          <w:tcPr>
            <w:tcW w:w="388" w:type="dxa"/>
            <w:tcBorders>
              <w:top w:val="nil"/>
              <w:left w:val="nil"/>
              <w:bottom w:val="nil"/>
              <w:right w:val="nil"/>
            </w:tcBorders>
            <w:shd w:val="clear" w:color="000000" w:fill="FFFFFF"/>
            <w:vAlign w:val="bottom"/>
            <w:hideMark/>
          </w:tcPr>
          <w:p w14:paraId="6F0BF5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8E178F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CE963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0948D0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DF3BEA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AE6F15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18C4EE5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3.1.2.a.1</w:t>
            </w:r>
          </w:p>
        </w:tc>
        <w:tc>
          <w:tcPr>
            <w:tcW w:w="563" w:type="dxa"/>
            <w:tcBorders>
              <w:top w:val="nil"/>
              <w:left w:val="nil"/>
              <w:bottom w:val="single" w:sz="4" w:space="0" w:color="auto"/>
              <w:right w:val="single" w:sz="4" w:space="0" w:color="auto"/>
            </w:tcBorders>
            <w:shd w:val="clear" w:color="auto" w:fill="auto"/>
            <w:vAlign w:val="center"/>
            <w:hideMark/>
          </w:tcPr>
          <w:p w14:paraId="55F97798"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Produkteve Bimore nga Vrojtimi Vjetor në Bujqësi</w:t>
            </w:r>
          </w:p>
        </w:tc>
        <w:tc>
          <w:tcPr>
            <w:tcW w:w="446" w:type="dxa"/>
            <w:tcBorders>
              <w:top w:val="nil"/>
              <w:left w:val="nil"/>
              <w:bottom w:val="single" w:sz="4" w:space="0" w:color="auto"/>
              <w:right w:val="single" w:sz="4" w:space="0" w:color="auto"/>
            </w:tcBorders>
            <w:shd w:val="clear" w:color="auto" w:fill="auto"/>
            <w:vAlign w:val="center"/>
            <w:hideMark/>
          </w:tcPr>
          <w:p w14:paraId="5E6DEE3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3A579DD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4E4E813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34BF10F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20FA973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Vjetor </w:t>
            </w:r>
          </w:p>
        </w:tc>
        <w:tc>
          <w:tcPr>
            <w:tcW w:w="1098" w:type="dxa"/>
            <w:tcBorders>
              <w:top w:val="nil"/>
              <w:left w:val="nil"/>
              <w:bottom w:val="single" w:sz="4" w:space="0" w:color="auto"/>
              <w:right w:val="single" w:sz="4" w:space="0" w:color="auto"/>
            </w:tcBorders>
            <w:shd w:val="clear" w:color="000000" w:fill="FFFFFF"/>
            <w:hideMark/>
          </w:tcPr>
          <w:p w14:paraId="4888F240" w14:textId="3B14B87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Sipërfaqja bujqësore e përdorur</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Sipërfaqja e tokës së punueshme (arë)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Sipërfaqja e drufrutorëve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Sipërfaqja e livadheve dhe kullotave e përdorur për aktivitet bujqësor</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 Sipërfaqja e </w:t>
            </w:r>
            <w:r w:rsidR="00376756" w:rsidRPr="004F2AC3">
              <w:rPr>
                <w:rFonts w:ascii="Garamond" w:eastAsia="Times New Roman" w:hAnsi="Garamond" w:cs="Times New Roman"/>
                <w:color w:val="000000"/>
                <w:sz w:val="10"/>
                <w:szCs w:val="10"/>
                <w:lang w:eastAsia="sq-AL"/>
              </w:rPr>
              <w:t>kopshtit</w:t>
            </w:r>
            <w:r w:rsidRPr="004F2AC3">
              <w:rPr>
                <w:rFonts w:ascii="Garamond" w:eastAsia="Times New Roman" w:hAnsi="Garamond" w:cs="Times New Roman"/>
                <w:color w:val="000000"/>
                <w:sz w:val="10"/>
                <w:szCs w:val="10"/>
                <w:lang w:eastAsia="sq-AL"/>
              </w:rPr>
              <w:t xml:space="preserve"> të shtëpisë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Sipërfaqja e korrur</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dhe prodhimi sipas llojeve kryesore, në fushë dhe në serra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7. </w:t>
            </w:r>
            <w:r w:rsidR="00376756" w:rsidRPr="004F2AC3">
              <w:rPr>
                <w:rFonts w:ascii="Garamond" w:eastAsia="Times New Roman" w:hAnsi="Garamond" w:cs="Times New Roman"/>
                <w:color w:val="000000"/>
                <w:sz w:val="10"/>
                <w:szCs w:val="10"/>
                <w:lang w:eastAsia="sq-AL"/>
              </w:rPr>
              <w:t>Sipërfaqja</w:t>
            </w:r>
            <w:r w:rsidRPr="004F2AC3">
              <w:rPr>
                <w:rFonts w:ascii="Garamond" w:eastAsia="Times New Roman" w:hAnsi="Garamond" w:cs="Times New Roman"/>
                <w:color w:val="000000"/>
                <w:sz w:val="10"/>
                <w:szCs w:val="10"/>
                <w:lang w:eastAsia="sq-AL"/>
              </w:rPr>
              <w:t xml:space="preserve"> e korrur</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dhe prodhimi i</w:t>
            </w:r>
            <w:r w:rsidR="00684E85" w:rsidRPr="004F2AC3">
              <w:rPr>
                <w:rFonts w:ascii="Garamond" w:eastAsia="Times New Roman" w:hAnsi="Garamond" w:cs="Times New Roman"/>
                <w:color w:val="000000"/>
                <w:sz w:val="10"/>
                <w:szCs w:val="10"/>
                <w:lang w:eastAsia="sq-AL"/>
              </w:rPr>
              <w:t xml:space="preserve"> </w:t>
            </w:r>
            <w:r w:rsidR="00376756" w:rsidRPr="004F2AC3">
              <w:rPr>
                <w:rFonts w:ascii="Garamond" w:eastAsia="Times New Roman" w:hAnsi="Garamond" w:cs="Times New Roman"/>
                <w:color w:val="000000"/>
                <w:sz w:val="10"/>
                <w:szCs w:val="10"/>
                <w:lang w:eastAsia="sq-AL"/>
              </w:rPr>
              <w:t>drithërave;</w:t>
            </w:r>
            <w:r w:rsidRPr="004F2AC3">
              <w:rPr>
                <w:rFonts w:ascii="Garamond" w:eastAsia="Times New Roman" w:hAnsi="Garamond" w:cs="Times New Roman"/>
                <w:color w:val="000000"/>
                <w:sz w:val="10"/>
                <w:szCs w:val="10"/>
                <w:lang w:eastAsia="sq-AL"/>
              </w:rPr>
              <w:br/>
              <w:t>8. Sipërfaqja e korrur</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dhe prodhimi i</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perimeve, bostanore në fushë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hapur dhe sera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Sipërfaqja e korrur dhe prodhimi i bimëve industriale, aromatike dhe medicinale dhe gatimi</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Sipërfaqja e korrur dhe prodhimi i fora</w:t>
            </w:r>
            <w:r w:rsidR="00376756" w:rsidRPr="004F2AC3">
              <w:rPr>
                <w:rFonts w:ascii="Garamond" w:eastAsia="Times New Roman" w:hAnsi="Garamond" w:cs="Times New Roman"/>
                <w:color w:val="000000"/>
                <w:sz w:val="10"/>
                <w:szCs w:val="10"/>
                <w:lang w:eastAsia="sq-AL"/>
              </w:rPr>
              <w:t>gjereve kulturë e parë dhe dytë;</w:t>
            </w:r>
            <w:r w:rsidRPr="004F2AC3">
              <w:rPr>
                <w:rFonts w:ascii="Garamond" w:eastAsia="Times New Roman" w:hAnsi="Garamond" w:cs="Times New Roman"/>
                <w:color w:val="000000"/>
                <w:sz w:val="10"/>
                <w:szCs w:val="10"/>
                <w:lang w:eastAsia="sq-AL"/>
              </w:rPr>
              <w:br/>
              <w:t>11. Sipërfaqja e korrur dhe prodhimi për luleshtrydhet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në fushë e serra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Pr</w:t>
            </w:r>
            <w:r w:rsidR="00376756" w:rsidRPr="004F2AC3">
              <w:rPr>
                <w:rFonts w:ascii="Garamond" w:eastAsia="Times New Roman" w:hAnsi="Garamond" w:cs="Times New Roman"/>
                <w:color w:val="000000"/>
                <w:sz w:val="10"/>
                <w:szCs w:val="10"/>
                <w:lang w:eastAsia="sq-AL"/>
              </w:rPr>
              <w:t>odhimi kërpudhave të kultivuara;</w:t>
            </w:r>
            <w:r w:rsidRPr="004F2AC3">
              <w:rPr>
                <w:rFonts w:ascii="Garamond" w:eastAsia="Times New Roman" w:hAnsi="Garamond" w:cs="Times New Roman"/>
                <w:color w:val="000000"/>
                <w:sz w:val="10"/>
                <w:szCs w:val="10"/>
                <w:lang w:eastAsia="sq-AL"/>
              </w:rPr>
              <w:br/>
              <w:t xml:space="preserve">13. Sipërfaqe dhe numri i </w:t>
            </w:r>
            <w:r w:rsidR="00376756" w:rsidRPr="004F2AC3">
              <w:rPr>
                <w:rFonts w:ascii="Garamond" w:eastAsia="Times New Roman" w:hAnsi="Garamond" w:cs="Times New Roman"/>
                <w:color w:val="000000"/>
                <w:sz w:val="10"/>
                <w:szCs w:val="10"/>
                <w:lang w:eastAsia="sq-AL"/>
              </w:rPr>
              <w:t>rrënjëve</w:t>
            </w:r>
            <w:r w:rsidRPr="004F2AC3">
              <w:rPr>
                <w:rFonts w:ascii="Garamond" w:eastAsia="Times New Roman" w:hAnsi="Garamond" w:cs="Times New Roman"/>
                <w:color w:val="000000"/>
                <w:sz w:val="10"/>
                <w:szCs w:val="10"/>
                <w:lang w:eastAsia="sq-AL"/>
              </w:rPr>
              <w:t xml:space="preserve"> të pemëve frutore në blloqe dhe të shpërndara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14. Sipërfaqe dhe numri i </w:t>
            </w:r>
            <w:r w:rsidR="00376756" w:rsidRPr="004F2AC3">
              <w:rPr>
                <w:rFonts w:ascii="Garamond" w:eastAsia="Times New Roman" w:hAnsi="Garamond" w:cs="Times New Roman"/>
                <w:color w:val="000000"/>
                <w:sz w:val="10"/>
                <w:szCs w:val="10"/>
                <w:lang w:eastAsia="sq-AL"/>
              </w:rPr>
              <w:t>rrënjëve</w:t>
            </w:r>
            <w:r w:rsidRPr="004F2AC3">
              <w:rPr>
                <w:rFonts w:ascii="Garamond" w:eastAsia="Times New Roman" w:hAnsi="Garamond" w:cs="Times New Roman"/>
                <w:color w:val="000000"/>
                <w:sz w:val="10"/>
                <w:szCs w:val="10"/>
                <w:lang w:eastAsia="sq-AL"/>
              </w:rPr>
              <w:t xml:space="preserve"> të </w:t>
            </w:r>
            <w:r w:rsidR="00376756" w:rsidRPr="004F2AC3">
              <w:rPr>
                <w:rFonts w:ascii="Garamond" w:eastAsia="Times New Roman" w:hAnsi="Garamond" w:cs="Times New Roman"/>
                <w:color w:val="000000"/>
                <w:sz w:val="10"/>
                <w:szCs w:val="10"/>
                <w:lang w:eastAsia="sq-AL"/>
              </w:rPr>
              <w:t>pemëve</w:t>
            </w:r>
            <w:r w:rsidRPr="004F2AC3">
              <w:rPr>
                <w:rFonts w:ascii="Garamond" w:eastAsia="Times New Roman" w:hAnsi="Garamond" w:cs="Times New Roman"/>
                <w:color w:val="000000"/>
                <w:sz w:val="10"/>
                <w:szCs w:val="10"/>
                <w:lang w:eastAsia="sq-AL"/>
              </w:rPr>
              <w:t xml:space="preserve"> frutore në blloqe dhe të shpërndara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Sipërfaqja e fidanishteve e drufrutoreve dhe shitja e tyre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Mbjelljet e vjeshtës</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xml:space="preserve">për drithërat (grurë, </w:t>
            </w:r>
            <w:r w:rsidR="00376756" w:rsidRPr="004F2AC3">
              <w:rPr>
                <w:rFonts w:ascii="Garamond" w:eastAsia="Times New Roman" w:hAnsi="Garamond" w:cs="Times New Roman"/>
                <w:color w:val="000000"/>
                <w:sz w:val="10"/>
                <w:szCs w:val="10"/>
                <w:lang w:eastAsia="sq-AL"/>
              </w:rPr>
              <w:t>thekër</w:t>
            </w:r>
            <w:r w:rsidRPr="004F2AC3">
              <w:rPr>
                <w:rFonts w:ascii="Garamond" w:eastAsia="Times New Roman" w:hAnsi="Garamond" w:cs="Times New Roman"/>
                <w:color w:val="000000"/>
                <w:sz w:val="10"/>
                <w:szCs w:val="10"/>
                <w:lang w:eastAsia="sq-AL"/>
              </w:rPr>
              <w:t>, elb) foragjere (jonxhë, tërfil, përzierje bari)</w:t>
            </w:r>
            <w:r w:rsidR="00376756"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48C25B1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Bujqësisë dhe Zhvillimit Rural</w:t>
            </w:r>
          </w:p>
        </w:tc>
        <w:tc>
          <w:tcPr>
            <w:tcW w:w="413" w:type="dxa"/>
            <w:tcBorders>
              <w:top w:val="nil"/>
              <w:left w:val="nil"/>
              <w:bottom w:val="single" w:sz="4" w:space="0" w:color="auto"/>
              <w:right w:val="single" w:sz="4" w:space="0" w:color="auto"/>
            </w:tcBorders>
            <w:shd w:val="clear" w:color="auto" w:fill="auto"/>
            <w:vAlign w:val="center"/>
            <w:hideMark/>
          </w:tcPr>
          <w:p w14:paraId="632D5307" w14:textId="099D8F0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5CD70CE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+ 120D</w:t>
            </w:r>
          </w:p>
        </w:tc>
        <w:tc>
          <w:tcPr>
            <w:tcW w:w="385" w:type="dxa"/>
            <w:tcBorders>
              <w:top w:val="nil"/>
              <w:left w:val="nil"/>
              <w:bottom w:val="single" w:sz="4" w:space="0" w:color="auto"/>
              <w:right w:val="single" w:sz="4" w:space="0" w:color="auto"/>
            </w:tcBorders>
            <w:shd w:val="clear" w:color="auto" w:fill="auto"/>
            <w:vAlign w:val="center"/>
            <w:hideMark/>
          </w:tcPr>
          <w:p w14:paraId="4117FB0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+ 273D</w:t>
            </w:r>
          </w:p>
        </w:tc>
        <w:tc>
          <w:tcPr>
            <w:tcW w:w="361" w:type="dxa"/>
            <w:tcBorders>
              <w:top w:val="nil"/>
              <w:left w:val="nil"/>
              <w:bottom w:val="single" w:sz="4" w:space="0" w:color="auto"/>
              <w:right w:val="single" w:sz="4" w:space="0" w:color="auto"/>
            </w:tcBorders>
            <w:shd w:val="clear" w:color="auto" w:fill="auto"/>
            <w:noWrap/>
            <w:vAlign w:val="center"/>
            <w:hideMark/>
          </w:tcPr>
          <w:p w14:paraId="5006ED7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34D12D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Mospërmbushja e kritereve të cilësisë (saktësia, përpikmëria dhe krahasueshmëria) në vrojtimin vjetor të bujqësisë (VVB), e cila sjell si pasojë mos shpërndarjen në kohë dhe me cilësi të rezultateve të vrojtimit -|- 5</w:t>
            </w:r>
          </w:p>
        </w:tc>
        <w:tc>
          <w:tcPr>
            <w:tcW w:w="551" w:type="dxa"/>
            <w:tcBorders>
              <w:top w:val="nil"/>
              <w:left w:val="nil"/>
              <w:bottom w:val="single" w:sz="4" w:space="0" w:color="auto"/>
              <w:right w:val="single" w:sz="4" w:space="0" w:color="auto"/>
            </w:tcBorders>
            <w:shd w:val="clear" w:color="auto" w:fill="auto"/>
            <w:vAlign w:val="center"/>
            <w:hideMark/>
          </w:tcPr>
          <w:p w14:paraId="57C39D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5643D8B6" w14:textId="77777777" w:rsidTr="0021321C">
        <w:trPr>
          <w:trHeight w:val="180"/>
          <w:jc w:val="center"/>
        </w:trPr>
        <w:tc>
          <w:tcPr>
            <w:tcW w:w="388" w:type="dxa"/>
            <w:tcBorders>
              <w:top w:val="nil"/>
              <w:left w:val="nil"/>
              <w:bottom w:val="nil"/>
              <w:right w:val="nil"/>
            </w:tcBorders>
            <w:shd w:val="clear" w:color="000000" w:fill="FFFFFF"/>
            <w:vAlign w:val="bottom"/>
            <w:hideMark/>
          </w:tcPr>
          <w:p w14:paraId="212075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55776E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7797C4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AA142C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78A97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AF0EA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auto"/>
              <w:right w:val="single" w:sz="4" w:space="0" w:color="auto"/>
            </w:tcBorders>
            <w:shd w:val="clear" w:color="auto" w:fill="auto"/>
            <w:vAlign w:val="center"/>
            <w:hideMark/>
          </w:tcPr>
          <w:p w14:paraId="57611BF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3.1.2.a.2</w:t>
            </w:r>
          </w:p>
        </w:tc>
        <w:tc>
          <w:tcPr>
            <w:tcW w:w="563" w:type="dxa"/>
            <w:vMerge w:val="restart"/>
            <w:tcBorders>
              <w:top w:val="nil"/>
              <w:left w:val="single" w:sz="4" w:space="0" w:color="auto"/>
              <w:bottom w:val="single" w:sz="4" w:space="0" w:color="auto"/>
              <w:right w:val="single" w:sz="4" w:space="0" w:color="auto"/>
            </w:tcBorders>
            <w:shd w:val="clear" w:color="auto" w:fill="auto"/>
            <w:vAlign w:val="center"/>
            <w:hideMark/>
          </w:tcPr>
          <w:p w14:paraId="4379FEE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Produkteve Bimore nga burimi administrativ</w:t>
            </w:r>
          </w:p>
        </w:tc>
        <w:tc>
          <w:tcPr>
            <w:tcW w:w="446" w:type="dxa"/>
            <w:vMerge w:val="restart"/>
            <w:tcBorders>
              <w:top w:val="nil"/>
              <w:left w:val="single" w:sz="4" w:space="0" w:color="auto"/>
              <w:bottom w:val="single" w:sz="4" w:space="0" w:color="auto"/>
              <w:right w:val="single" w:sz="4" w:space="0" w:color="auto"/>
            </w:tcBorders>
            <w:shd w:val="clear" w:color="auto" w:fill="auto"/>
            <w:vAlign w:val="center"/>
            <w:hideMark/>
          </w:tcPr>
          <w:p w14:paraId="3A341A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E906F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vMerge w:val="restart"/>
            <w:tcBorders>
              <w:top w:val="nil"/>
              <w:left w:val="single" w:sz="4" w:space="0" w:color="auto"/>
              <w:bottom w:val="single" w:sz="4" w:space="0" w:color="000000"/>
              <w:right w:val="single" w:sz="4" w:space="0" w:color="auto"/>
            </w:tcBorders>
            <w:shd w:val="clear" w:color="auto" w:fill="auto"/>
            <w:vAlign w:val="center"/>
            <w:hideMark/>
          </w:tcPr>
          <w:p w14:paraId="35BC747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vMerge w:val="restart"/>
            <w:tcBorders>
              <w:top w:val="nil"/>
              <w:left w:val="single" w:sz="4" w:space="0" w:color="auto"/>
              <w:bottom w:val="single" w:sz="4" w:space="0" w:color="auto"/>
              <w:right w:val="single" w:sz="4" w:space="0" w:color="auto"/>
            </w:tcBorders>
            <w:shd w:val="clear" w:color="auto" w:fill="auto"/>
            <w:vAlign w:val="center"/>
            <w:hideMark/>
          </w:tcPr>
          <w:p w14:paraId="19CBD6B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auto"/>
              <w:right w:val="single" w:sz="4" w:space="0" w:color="auto"/>
            </w:tcBorders>
            <w:shd w:val="clear" w:color="auto" w:fill="auto"/>
            <w:vAlign w:val="center"/>
            <w:hideMark/>
          </w:tcPr>
          <w:p w14:paraId="3BF8DEC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Vjetor </w:t>
            </w:r>
          </w:p>
        </w:tc>
        <w:tc>
          <w:tcPr>
            <w:tcW w:w="1098" w:type="dxa"/>
            <w:tcBorders>
              <w:top w:val="nil"/>
              <w:left w:val="nil"/>
              <w:bottom w:val="nil"/>
              <w:right w:val="nil"/>
            </w:tcBorders>
            <w:shd w:val="clear" w:color="auto" w:fill="auto"/>
            <w:hideMark/>
          </w:tcPr>
          <w:p w14:paraId="55877041" w14:textId="58937A5F" w:rsidR="0021321C" w:rsidRPr="004F2AC3" w:rsidRDefault="0021321C" w:rsidP="00376756">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Struktura e sipërfaqes së mbjellë për </w:t>
            </w:r>
            <w:r w:rsidR="00376756" w:rsidRPr="004F2AC3">
              <w:rPr>
                <w:rFonts w:ascii="Garamond" w:eastAsia="Times New Roman" w:hAnsi="Garamond" w:cs="Times New Roman"/>
                <w:color w:val="000000"/>
                <w:sz w:val="10"/>
                <w:szCs w:val="10"/>
                <w:lang w:eastAsia="sq-AL"/>
              </w:rPr>
              <w:t>drithërat;</w:t>
            </w:r>
            <w:r w:rsidRPr="004F2AC3">
              <w:rPr>
                <w:rFonts w:ascii="Garamond" w:eastAsia="Times New Roman" w:hAnsi="Garamond" w:cs="Times New Roman"/>
                <w:color w:val="000000"/>
                <w:sz w:val="10"/>
                <w:szCs w:val="10"/>
                <w:lang w:eastAsia="sq-AL"/>
              </w:rPr>
              <w:br/>
              <w:t>2. Struktura e mbjelljes së perimeve dhe bostanoreve në fushë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Struktura e mbjelljes së perimeve dhe bostanoreve në serra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Struktura e mbjelljes së bimëve industriale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 Struktura e </w:t>
            </w:r>
            <w:r w:rsidR="004F2AC3" w:rsidRPr="004F2AC3">
              <w:rPr>
                <w:rFonts w:ascii="Garamond" w:eastAsia="Times New Roman" w:hAnsi="Garamond" w:cs="Times New Roman"/>
                <w:color w:val="000000"/>
                <w:sz w:val="10"/>
                <w:szCs w:val="10"/>
                <w:lang w:eastAsia="sq-AL"/>
              </w:rPr>
              <w:t>mbjellëve</w:t>
            </w:r>
            <w:r w:rsidRPr="004F2AC3">
              <w:rPr>
                <w:rFonts w:ascii="Garamond" w:eastAsia="Times New Roman" w:hAnsi="Garamond" w:cs="Times New Roman"/>
                <w:color w:val="000000"/>
                <w:sz w:val="10"/>
                <w:szCs w:val="10"/>
                <w:lang w:eastAsia="sq-AL"/>
              </w:rPr>
              <w:t xml:space="preserve"> të foragjereve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6. Struktura e mbjelljeve të </w:t>
            </w:r>
            <w:r w:rsidR="004F2AC3" w:rsidRPr="004F2AC3">
              <w:rPr>
                <w:rFonts w:ascii="Garamond" w:eastAsia="Times New Roman" w:hAnsi="Garamond" w:cs="Times New Roman"/>
                <w:color w:val="000000"/>
                <w:sz w:val="10"/>
                <w:szCs w:val="10"/>
                <w:lang w:eastAsia="sq-AL"/>
              </w:rPr>
              <w:t>bimëve</w:t>
            </w:r>
            <w:r w:rsidRPr="004F2AC3">
              <w:rPr>
                <w:rFonts w:ascii="Garamond" w:eastAsia="Times New Roman" w:hAnsi="Garamond" w:cs="Times New Roman"/>
                <w:color w:val="000000"/>
                <w:sz w:val="10"/>
                <w:szCs w:val="10"/>
                <w:lang w:eastAsia="sq-AL"/>
              </w:rPr>
              <w:t xml:space="preserve"> medicinale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7. Statistikat e </w:t>
            </w:r>
            <w:r w:rsidR="004F2AC3" w:rsidRPr="004F2AC3">
              <w:rPr>
                <w:rFonts w:ascii="Garamond" w:eastAsia="Times New Roman" w:hAnsi="Garamond" w:cs="Times New Roman"/>
                <w:color w:val="000000"/>
                <w:sz w:val="10"/>
                <w:szCs w:val="10"/>
                <w:lang w:eastAsia="sq-AL"/>
              </w:rPr>
              <w:t>drithërave</w:t>
            </w:r>
            <w:r w:rsidRPr="004F2AC3">
              <w:rPr>
                <w:rFonts w:ascii="Garamond" w:eastAsia="Times New Roman" w:hAnsi="Garamond" w:cs="Times New Roman"/>
                <w:color w:val="000000"/>
                <w:sz w:val="10"/>
                <w:szCs w:val="10"/>
                <w:lang w:eastAsia="sq-AL"/>
              </w:rPr>
              <w:t xml:space="preserve"> (sipërfaq</w:t>
            </w:r>
            <w:r w:rsidR="00376756" w:rsidRPr="004F2AC3">
              <w:rPr>
                <w:rFonts w:ascii="Garamond" w:eastAsia="Times New Roman" w:hAnsi="Garamond" w:cs="Times New Roman"/>
                <w:color w:val="000000"/>
                <w:sz w:val="10"/>
                <w:szCs w:val="10"/>
                <w:lang w:eastAsia="sq-AL"/>
              </w:rPr>
              <w:t>e e korrur, prodhim, rendiment);</w:t>
            </w:r>
            <w:r w:rsidRPr="004F2AC3">
              <w:rPr>
                <w:rFonts w:ascii="Garamond" w:eastAsia="Times New Roman" w:hAnsi="Garamond" w:cs="Times New Roman"/>
                <w:color w:val="000000"/>
                <w:sz w:val="10"/>
                <w:szCs w:val="10"/>
                <w:lang w:eastAsia="sq-AL"/>
              </w:rPr>
              <w:br/>
              <w:t>8. Statistikat e perimeve në fushë (sipërfa</w:t>
            </w:r>
            <w:r w:rsidR="00376756" w:rsidRPr="004F2AC3">
              <w:rPr>
                <w:rFonts w:ascii="Garamond" w:eastAsia="Times New Roman" w:hAnsi="Garamond" w:cs="Times New Roman"/>
                <w:color w:val="000000"/>
                <w:sz w:val="10"/>
                <w:szCs w:val="10"/>
                <w:lang w:eastAsia="sq-AL"/>
              </w:rPr>
              <w:t>qe e vjelë, prodhim, rendiment);</w:t>
            </w:r>
            <w:r w:rsidRPr="004F2AC3">
              <w:rPr>
                <w:rFonts w:ascii="Garamond" w:eastAsia="Times New Roman" w:hAnsi="Garamond" w:cs="Times New Roman"/>
                <w:color w:val="000000"/>
                <w:sz w:val="10"/>
                <w:szCs w:val="10"/>
                <w:lang w:eastAsia="sq-AL"/>
              </w:rPr>
              <w:br/>
              <w:t>9. Statistikat e perimeve në serra (sipërfaqe e vjelë, prodhim, rendiment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Statistikat e luleshtrydhes sipas mënyrës së kultivimit (sipërfaqe e vjelë, prodhim, rendiment)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Statistikat e fasules (sipërfa</w:t>
            </w:r>
            <w:r w:rsidR="00376756" w:rsidRPr="004F2AC3">
              <w:rPr>
                <w:rFonts w:ascii="Garamond" w:eastAsia="Times New Roman" w:hAnsi="Garamond" w:cs="Times New Roman"/>
                <w:color w:val="000000"/>
                <w:sz w:val="10"/>
                <w:szCs w:val="10"/>
                <w:lang w:eastAsia="sq-AL"/>
              </w:rPr>
              <w:t>qe e vjelë, prodhim, rendiment);</w:t>
            </w:r>
            <w:r w:rsidRPr="004F2AC3">
              <w:rPr>
                <w:rFonts w:ascii="Garamond" w:eastAsia="Times New Roman" w:hAnsi="Garamond" w:cs="Times New Roman"/>
                <w:color w:val="000000"/>
                <w:sz w:val="10"/>
                <w:szCs w:val="10"/>
                <w:lang w:eastAsia="sq-AL"/>
              </w:rPr>
              <w:br/>
              <w:t>12. Statistikat e patates (sipërfa</w:t>
            </w:r>
            <w:r w:rsidR="00376756" w:rsidRPr="004F2AC3">
              <w:rPr>
                <w:rFonts w:ascii="Garamond" w:eastAsia="Times New Roman" w:hAnsi="Garamond" w:cs="Times New Roman"/>
                <w:color w:val="000000"/>
                <w:sz w:val="10"/>
                <w:szCs w:val="10"/>
                <w:lang w:eastAsia="sq-AL"/>
              </w:rPr>
              <w:t>qe e vjelë, prodhim, rendiment);</w:t>
            </w:r>
            <w:r w:rsidRPr="004F2AC3">
              <w:rPr>
                <w:rFonts w:ascii="Garamond" w:eastAsia="Times New Roman" w:hAnsi="Garamond" w:cs="Times New Roman"/>
                <w:color w:val="000000"/>
                <w:sz w:val="10"/>
                <w:szCs w:val="10"/>
                <w:lang w:eastAsia="sq-AL"/>
              </w:rPr>
              <w:br/>
              <w:t>13. Statistikat e bimeve industriale (sipërfaqe</w:t>
            </w:r>
            <w:r w:rsidR="00376756" w:rsidRPr="004F2AC3">
              <w:rPr>
                <w:rFonts w:ascii="Garamond" w:eastAsia="Times New Roman" w:hAnsi="Garamond" w:cs="Times New Roman"/>
                <w:color w:val="000000"/>
                <w:sz w:val="10"/>
                <w:szCs w:val="10"/>
                <w:lang w:eastAsia="sq-AL"/>
              </w:rPr>
              <w:t xml:space="preserve"> e korruer, prodhim, rendiment);</w:t>
            </w:r>
            <w:r w:rsidRPr="004F2AC3">
              <w:rPr>
                <w:rFonts w:ascii="Garamond" w:eastAsia="Times New Roman" w:hAnsi="Garamond" w:cs="Times New Roman"/>
                <w:color w:val="000000"/>
                <w:sz w:val="10"/>
                <w:szCs w:val="10"/>
                <w:lang w:eastAsia="sq-AL"/>
              </w:rPr>
              <w:br/>
              <w:t>14. Statistikat e bimeve medicinale (sipërfaqe</w:t>
            </w:r>
            <w:r w:rsidR="00376756" w:rsidRPr="004F2AC3">
              <w:rPr>
                <w:rFonts w:ascii="Garamond" w:eastAsia="Times New Roman" w:hAnsi="Garamond" w:cs="Times New Roman"/>
                <w:color w:val="000000"/>
                <w:sz w:val="10"/>
                <w:szCs w:val="10"/>
                <w:lang w:eastAsia="sq-AL"/>
              </w:rPr>
              <w:t xml:space="preserve"> prodhuese, prodhim, rendiment);</w:t>
            </w:r>
            <w:r w:rsidRPr="004F2AC3">
              <w:rPr>
                <w:rFonts w:ascii="Garamond" w:eastAsia="Times New Roman" w:hAnsi="Garamond" w:cs="Times New Roman"/>
                <w:color w:val="000000"/>
                <w:sz w:val="10"/>
                <w:szCs w:val="10"/>
                <w:lang w:eastAsia="sq-AL"/>
              </w:rPr>
              <w:br/>
              <w:t>15. Statistikat e e bimeve foragjere (sipërfaqe</w:t>
            </w:r>
            <w:r w:rsidR="00376756" w:rsidRPr="004F2AC3">
              <w:rPr>
                <w:rFonts w:ascii="Garamond" w:eastAsia="Times New Roman" w:hAnsi="Garamond" w:cs="Times New Roman"/>
                <w:color w:val="000000"/>
                <w:sz w:val="10"/>
                <w:szCs w:val="10"/>
                <w:lang w:eastAsia="sq-AL"/>
              </w:rPr>
              <w:t xml:space="preserve"> e kositur, prodhim, rendiment);</w:t>
            </w:r>
            <w:r w:rsidRPr="004F2AC3">
              <w:rPr>
                <w:rFonts w:ascii="Garamond" w:eastAsia="Times New Roman" w:hAnsi="Garamond" w:cs="Times New Roman"/>
                <w:color w:val="000000"/>
                <w:sz w:val="10"/>
                <w:szCs w:val="10"/>
                <w:lang w:eastAsia="sq-AL"/>
              </w:rPr>
              <w:br/>
              <w:t>16. Mbjelljet e reja të pemeve frutore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17. Mbjelljet e reja të ullirit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18. Mbjelljet e reja të agrumeve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19. Mbjelljet e reja me vreshta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Mbjelljet e reja të pjergullave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21. Sipërfaqja e pemeve frutore, në blloqe, gjithsej dhe në prodhim</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22. Sipërfaqja e ullishteve, në blloqe, gjithsej dhe në prodhim</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23. Sipërfaqja e agrumeve, në blloqe, gjithsej dhe në prodhim</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24. Siperfaqja e vreshtit gjithsej dhe në prodhim</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25. Numri i rrënjëve gjithsej d</w:t>
            </w:r>
            <w:r w:rsidR="00376756" w:rsidRPr="004F2AC3">
              <w:rPr>
                <w:rFonts w:ascii="Garamond" w:eastAsia="Times New Roman" w:hAnsi="Garamond" w:cs="Times New Roman"/>
                <w:color w:val="000000"/>
                <w:sz w:val="10"/>
                <w:szCs w:val="10"/>
                <w:lang w:eastAsia="sq-AL"/>
              </w:rPr>
              <w:t>he në prodhim të pemëve frutore;</w:t>
            </w:r>
          </w:p>
        </w:tc>
        <w:tc>
          <w:tcPr>
            <w:tcW w:w="554" w:type="dxa"/>
            <w:vMerge w:val="restart"/>
            <w:tcBorders>
              <w:top w:val="nil"/>
              <w:left w:val="single" w:sz="4" w:space="0" w:color="auto"/>
              <w:bottom w:val="single" w:sz="4" w:space="0" w:color="auto"/>
              <w:right w:val="single" w:sz="4" w:space="0" w:color="auto"/>
            </w:tcBorders>
            <w:shd w:val="clear" w:color="auto" w:fill="auto"/>
            <w:vAlign w:val="center"/>
            <w:hideMark/>
          </w:tcPr>
          <w:p w14:paraId="47EA400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Bujqësisë dhe Zhvillimit Rural</w:t>
            </w:r>
          </w:p>
        </w:tc>
        <w:tc>
          <w:tcPr>
            <w:tcW w:w="413" w:type="dxa"/>
            <w:vMerge w:val="restart"/>
            <w:tcBorders>
              <w:top w:val="nil"/>
              <w:left w:val="single" w:sz="4" w:space="0" w:color="auto"/>
              <w:bottom w:val="single" w:sz="4" w:space="0" w:color="auto"/>
              <w:right w:val="single" w:sz="4" w:space="0" w:color="auto"/>
            </w:tcBorders>
            <w:shd w:val="clear" w:color="auto" w:fill="auto"/>
            <w:vAlign w:val="center"/>
            <w:hideMark/>
          </w:tcPr>
          <w:p w14:paraId="00A76B9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vMerge w:val="restart"/>
            <w:tcBorders>
              <w:top w:val="nil"/>
              <w:left w:val="single" w:sz="4" w:space="0" w:color="auto"/>
              <w:bottom w:val="single" w:sz="4" w:space="0" w:color="auto"/>
              <w:right w:val="single" w:sz="4" w:space="0" w:color="auto"/>
            </w:tcBorders>
            <w:shd w:val="clear" w:color="auto" w:fill="auto"/>
            <w:vAlign w:val="center"/>
            <w:hideMark/>
          </w:tcPr>
          <w:p w14:paraId="31D857C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+ 120D</w:t>
            </w:r>
          </w:p>
        </w:tc>
        <w:tc>
          <w:tcPr>
            <w:tcW w:w="385" w:type="dxa"/>
            <w:vMerge w:val="restart"/>
            <w:tcBorders>
              <w:top w:val="nil"/>
              <w:left w:val="single" w:sz="4" w:space="0" w:color="auto"/>
              <w:bottom w:val="single" w:sz="4" w:space="0" w:color="auto"/>
              <w:right w:val="single" w:sz="4" w:space="0" w:color="auto"/>
            </w:tcBorders>
            <w:shd w:val="clear" w:color="auto" w:fill="auto"/>
            <w:vAlign w:val="center"/>
            <w:hideMark/>
          </w:tcPr>
          <w:p w14:paraId="53AC3CC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+ 167D</w:t>
            </w:r>
          </w:p>
        </w:tc>
        <w:tc>
          <w:tcPr>
            <w:tcW w:w="361" w:type="dxa"/>
            <w:vMerge w:val="restart"/>
            <w:tcBorders>
              <w:top w:val="nil"/>
              <w:left w:val="single" w:sz="4" w:space="0" w:color="auto"/>
              <w:bottom w:val="single" w:sz="4" w:space="0" w:color="auto"/>
              <w:right w:val="single" w:sz="4" w:space="0" w:color="auto"/>
            </w:tcBorders>
            <w:shd w:val="clear" w:color="auto" w:fill="auto"/>
            <w:vAlign w:val="center"/>
            <w:hideMark/>
          </w:tcPr>
          <w:p w14:paraId="11A5126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+ 174D</w:t>
            </w:r>
          </w:p>
        </w:tc>
        <w:tc>
          <w:tcPr>
            <w:tcW w:w="732" w:type="dxa"/>
            <w:vMerge w:val="restart"/>
            <w:tcBorders>
              <w:top w:val="nil"/>
              <w:left w:val="single" w:sz="4" w:space="0" w:color="auto"/>
              <w:bottom w:val="single" w:sz="4" w:space="0" w:color="auto"/>
              <w:right w:val="single" w:sz="4" w:space="0" w:color="auto"/>
            </w:tcBorders>
            <w:shd w:val="clear" w:color="auto" w:fill="auto"/>
            <w:vAlign w:val="center"/>
            <w:hideMark/>
          </w:tcPr>
          <w:p w14:paraId="04BEA7C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marjen e të dhënave nga burimi administrativ -|- 2</w:t>
            </w:r>
          </w:p>
        </w:tc>
        <w:tc>
          <w:tcPr>
            <w:tcW w:w="551" w:type="dxa"/>
            <w:vMerge w:val="restart"/>
            <w:tcBorders>
              <w:top w:val="nil"/>
              <w:left w:val="single" w:sz="4" w:space="0" w:color="auto"/>
              <w:bottom w:val="single" w:sz="4" w:space="0" w:color="auto"/>
              <w:right w:val="single" w:sz="4" w:space="0" w:color="auto"/>
            </w:tcBorders>
            <w:shd w:val="clear" w:color="auto" w:fill="auto"/>
            <w:vAlign w:val="center"/>
            <w:hideMark/>
          </w:tcPr>
          <w:p w14:paraId="213701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227447F8" w14:textId="77777777" w:rsidTr="0021321C">
        <w:trPr>
          <w:trHeight w:val="180"/>
          <w:jc w:val="center"/>
        </w:trPr>
        <w:tc>
          <w:tcPr>
            <w:tcW w:w="388" w:type="dxa"/>
            <w:tcBorders>
              <w:top w:val="nil"/>
              <w:left w:val="nil"/>
              <w:bottom w:val="nil"/>
              <w:right w:val="nil"/>
            </w:tcBorders>
            <w:shd w:val="clear" w:color="000000" w:fill="FFFFFF"/>
            <w:vAlign w:val="bottom"/>
            <w:hideMark/>
          </w:tcPr>
          <w:p w14:paraId="03DDB1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AECB7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65060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48220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F21DA0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0B6D4E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auto"/>
              <w:right w:val="single" w:sz="4" w:space="0" w:color="auto"/>
            </w:tcBorders>
            <w:vAlign w:val="center"/>
            <w:hideMark/>
          </w:tcPr>
          <w:p w14:paraId="411273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auto"/>
              <w:right w:val="single" w:sz="4" w:space="0" w:color="auto"/>
            </w:tcBorders>
            <w:vAlign w:val="center"/>
            <w:hideMark/>
          </w:tcPr>
          <w:p w14:paraId="7BF4C0B9"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46" w:type="dxa"/>
            <w:vMerge/>
            <w:tcBorders>
              <w:top w:val="nil"/>
              <w:left w:val="single" w:sz="4" w:space="0" w:color="auto"/>
              <w:bottom w:val="single" w:sz="4" w:space="0" w:color="auto"/>
              <w:right w:val="single" w:sz="4" w:space="0" w:color="auto"/>
            </w:tcBorders>
            <w:vAlign w:val="center"/>
            <w:hideMark/>
          </w:tcPr>
          <w:p w14:paraId="779283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4AD25119"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017E106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5C486E4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auto"/>
              <w:right w:val="single" w:sz="4" w:space="0" w:color="auto"/>
            </w:tcBorders>
            <w:vAlign w:val="center"/>
            <w:hideMark/>
          </w:tcPr>
          <w:p w14:paraId="61BC57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auto" w:fill="auto"/>
            <w:hideMark/>
          </w:tcPr>
          <w:p w14:paraId="1183A110" w14:textId="42DBA82E" w:rsidR="0021321C" w:rsidRPr="004F2AC3" w:rsidRDefault="0021321C" w:rsidP="00376756">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26. Numri i rrënjëve gjithsej dhe në prodhim të ullirit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27. Numri i rrënjëve gjithsej dhe në prodhim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agrumeve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28. Numri i rrënjëve gjithsej dhe në prodhim të pjergullave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29. Prodhimi dhe rendimenti i pemëve frutore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30. Prodhimi dhe rendimenti i ullirit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31. Prodhimi dhe rendimenti i agrumeve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32. Prodhimi dhe rendimenti i rrushit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33. Sipërfaqja bujqësore e përdorur</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34. Sipërfaqja e tokës së punueshme (arë)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35. Sipërfaqja e drufrutoreve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36. Sipërfaqja e livadheve dhe kullotave e përdorur për aktivitet bujqësor</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37. Sipërfaqja e </w:t>
            </w:r>
            <w:r w:rsidR="004F2AC3" w:rsidRPr="004F2AC3">
              <w:rPr>
                <w:rFonts w:ascii="Garamond" w:eastAsia="Times New Roman" w:hAnsi="Garamond" w:cs="Times New Roman"/>
                <w:color w:val="000000"/>
                <w:sz w:val="10"/>
                <w:szCs w:val="10"/>
                <w:lang w:eastAsia="sq-AL"/>
              </w:rPr>
              <w:t>kopshtit</w:t>
            </w:r>
            <w:r w:rsidRPr="004F2AC3">
              <w:rPr>
                <w:rFonts w:ascii="Garamond" w:eastAsia="Times New Roman" w:hAnsi="Garamond" w:cs="Times New Roman"/>
                <w:color w:val="000000"/>
                <w:sz w:val="10"/>
                <w:szCs w:val="10"/>
                <w:lang w:eastAsia="sq-AL"/>
              </w:rPr>
              <w:t xml:space="preserve"> të shtëpisë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38. Aftësia ujitëse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39. Numri i mjeteve të mekanikës bujqësore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40. Import eksporti i prodhimeve bujqësore sipas grup kulturave dhe produkteve bujqësore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41. Sipërfaqja e punueshme e mbjellë me kultura të para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42. Sipërfaqja e mbjellë me perime të para sipas llojeve kryesore, në fushë dhe në serra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43. Sipërfaqja e mbjellë me drithera, patate dhe fasule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44. Sipërfaqja e mbjellë me bime industriale dhe medicinale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45. Sipërfaqja e mbjellë me luleshtrydhe kulturë e parë në fushë e serra</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46. Sipërfaqja e mbjellë me foragjere kulturë e parë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47. Sipërfaqja e mbjellë me vresht sipas destinacionit të varieteteve (për verë dhe për tavolinë)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48. Sipërfaqja e ullishteve sipas destinacionit të varieteteve (për vaj dhe për tavolinë)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49. Struktura e pemëve Frutore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50. Struktura e vreshtarisë</w:t>
            </w:r>
            <w:r w:rsidR="00376756"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auto"/>
              <w:right w:val="single" w:sz="4" w:space="0" w:color="auto"/>
            </w:tcBorders>
            <w:vAlign w:val="center"/>
            <w:hideMark/>
          </w:tcPr>
          <w:p w14:paraId="01C6AC3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auto"/>
              <w:right w:val="single" w:sz="4" w:space="0" w:color="auto"/>
            </w:tcBorders>
            <w:vAlign w:val="center"/>
            <w:hideMark/>
          </w:tcPr>
          <w:p w14:paraId="3DCAA0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auto"/>
              <w:right w:val="single" w:sz="4" w:space="0" w:color="auto"/>
            </w:tcBorders>
            <w:vAlign w:val="center"/>
            <w:hideMark/>
          </w:tcPr>
          <w:p w14:paraId="218260F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auto"/>
              <w:right w:val="single" w:sz="4" w:space="0" w:color="auto"/>
            </w:tcBorders>
            <w:vAlign w:val="center"/>
            <w:hideMark/>
          </w:tcPr>
          <w:p w14:paraId="21CDDD7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auto"/>
              <w:right w:val="single" w:sz="4" w:space="0" w:color="auto"/>
            </w:tcBorders>
            <w:vAlign w:val="center"/>
            <w:hideMark/>
          </w:tcPr>
          <w:p w14:paraId="71B5BE8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auto"/>
              <w:right w:val="single" w:sz="4" w:space="0" w:color="auto"/>
            </w:tcBorders>
            <w:vAlign w:val="center"/>
            <w:hideMark/>
          </w:tcPr>
          <w:p w14:paraId="645AFF8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auto"/>
              <w:right w:val="single" w:sz="4" w:space="0" w:color="auto"/>
            </w:tcBorders>
            <w:vAlign w:val="center"/>
            <w:hideMark/>
          </w:tcPr>
          <w:p w14:paraId="1209F12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309DDE1B" w14:textId="77777777" w:rsidTr="0021321C">
        <w:trPr>
          <w:trHeight w:val="180"/>
          <w:jc w:val="center"/>
        </w:trPr>
        <w:tc>
          <w:tcPr>
            <w:tcW w:w="388" w:type="dxa"/>
            <w:tcBorders>
              <w:top w:val="nil"/>
              <w:left w:val="nil"/>
              <w:bottom w:val="nil"/>
              <w:right w:val="nil"/>
            </w:tcBorders>
            <w:shd w:val="clear" w:color="000000" w:fill="FFFFFF"/>
            <w:vAlign w:val="bottom"/>
            <w:hideMark/>
          </w:tcPr>
          <w:p w14:paraId="61F9CBC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70BBD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8821A1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230D5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685135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A4312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7A1DE7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3.1.2.a.3</w:t>
            </w:r>
          </w:p>
        </w:tc>
        <w:tc>
          <w:tcPr>
            <w:tcW w:w="563" w:type="dxa"/>
            <w:tcBorders>
              <w:top w:val="nil"/>
              <w:left w:val="nil"/>
              <w:bottom w:val="single" w:sz="4" w:space="0" w:color="auto"/>
              <w:right w:val="single" w:sz="4" w:space="0" w:color="auto"/>
            </w:tcBorders>
            <w:shd w:val="clear" w:color="auto" w:fill="auto"/>
            <w:vAlign w:val="center"/>
            <w:hideMark/>
          </w:tcPr>
          <w:p w14:paraId="6837895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Produkteve Bimore nga Vrojtimi mbi Sipërfaqen e Mbjellë</w:t>
            </w:r>
          </w:p>
        </w:tc>
        <w:tc>
          <w:tcPr>
            <w:tcW w:w="446" w:type="dxa"/>
            <w:tcBorders>
              <w:top w:val="nil"/>
              <w:left w:val="nil"/>
              <w:bottom w:val="single" w:sz="4" w:space="0" w:color="auto"/>
              <w:right w:val="single" w:sz="4" w:space="0" w:color="auto"/>
            </w:tcBorders>
            <w:shd w:val="clear" w:color="auto" w:fill="auto"/>
            <w:vAlign w:val="center"/>
            <w:hideMark/>
          </w:tcPr>
          <w:p w14:paraId="359BBD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32B5052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659427B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7FC3D923" w14:textId="4651C731"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176E0F2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Vjetor </w:t>
            </w:r>
          </w:p>
        </w:tc>
        <w:tc>
          <w:tcPr>
            <w:tcW w:w="1098" w:type="dxa"/>
            <w:tcBorders>
              <w:top w:val="single" w:sz="4" w:space="0" w:color="auto"/>
              <w:left w:val="nil"/>
              <w:bottom w:val="single" w:sz="4" w:space="0" w:color="auto"/>
              <w:right w:val="single" w:sz="4" w:space="0" w:color="auto"/>
            </w:tcBorders>
            <w:shd w:val="clear" w:color="000000" w:fill="FFFFFF"/>
            <w:vAlign w:val="center"/>
            <w:hideMark/>
          </w:tcPr>
          <w:p w14:paraId="7446F864" w14:textId="7FCC149C" w:rsidR="0021321C" w:rsidRPr="004F2AC3" w:rsidRDefault="0021321C" w:rsidP="00376756">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Sipërfaqja e punueshme e mbjellë me kultura të para</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Sipërfaqja e mbjellë me perime, bostanore dhe luleshtrydhe në fushë dhe në serra</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Sipërfaqja e mbjellë me drithëra, patate dhe fasule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Sipërfaqja e mbjellë me bimë industriale dhe medicinale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Sipërfaqja e mbjellë me foragjere kulturë e parë</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6. Prodhimi i </w:t>
            </w:r>
            <w:r w:rsidR="004F2AC3" w:rsidRPr="004F2AC3">
              <w:rPr>
                <w:rFonts w:ascii="Garamond" w:eastAsia="Times New Roman" w:hAnsi="Garamond" w:cs="Times New Roman"/>
                <w:sz w:val="10"/>
                <w:szCs w:val="10"/>
                <w:lang w:eastAsia="sq-AL"/>
              </w:rPr>
              <w:t>pritshëm</w:t>
            </w:r>
            <w:r w:rsidRPr="004F2AC3">
              <w:rPr>
                <w:rFonts w:ascii="Garamond" w:eastAsia="Times New Roman" w:hAnsi="Garamond" w:cs="Times New Roman"/>
                <w:sz w:val="10"/>
                <w:szCs w:val="10"/>
                <w:lang w:eastAsia="sq-AL"/>
              </w:rPr>
              <w:t xml:space="preserve"> i </w:t>
            </w:r>
            <w:r w:rsidR="004F2AC3" w:rsidRPr="004F2AC3">
              <w:rPr>
                <w:rFonts w:ascii="Garamond" w:eastAsia="Times New Roman" w:hAnsi="Garamond" w:cs="Times New Roman"/>
                <w:sz w:val="10"/>
                <w:szCs w:val="10"/>
                <w:lang w:eastAsia="sq-AL"/>
              </w:rPr>
              <w:t>drithërave</w:t>
            </w:r>
            <w:r w:rsidRPr="004F2AC3">
              <w:rPr>
                <w:rFonts w:ascii="Garamond" w:eastAsia="Times New Roman" w:hAnsi="Garamond" w:cs="Times New Roman"/>
                <w:sz w:val="10"/>
                <w:szCs w:val="10"/>
                <w:lang w:eastAsia="sq-AL"/>
              </w:rPr>
              <w:t>, luleshtrydheve, patateve dhe perimeve në serrë (domate, kastravec, spec)</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7. Sipërfaqja e mbjelljeve të reja me peme frutore në blloqe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8. Sipërfaqe e mbjelljeve të reja me agrume në blloqe</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9. </w:t>
            </w:r>
            <w:r w:rsidR="004F2AC3" w:rsidRPr="004F2AC3">
              <w:rPr>
                <w:rFonts w:ascii="Garamond" w:eastAsia="Times New Roman" w:hAnsi="Garamond" w:cs="Times New Roman"/>
                <w:sz w:val="10"/>
                <w:szCs w:val="10"/>
                <w:lang w:eastAsia="sq-AL"/>
              </w:rPr>
              <w:t>Sipërfaqe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e mbjelljev</w:t>
            </w:r>
            <w:r w:rsidR="00376756" w:rsidRPr="004F2AC3">
              <w:rPr>
                <w:rFonts w:ascii="Garamond" w:eastAsia="Times New Roman" w:hAnsi="Garamond" w:cs="Times New Roman"/>
                <w:sz w:val="10"/>
                <w:szCs w:val="10"/>
                <w:lang w:eastAsia="sq-AL"/>
              </w:rPr>
              <w:t>e të reja me ullishte në blloqe;</w:t>
            </w:r>
            <w:r w:rsidRPr="004F2AC3">
              <w:rPr>
                <w:rFonts w:ascii="Garamond" w:eastAsia="Times New Roman" w:hAnsi="Garamond" w:cs="Times New Roman"/>
                <w:sz w:val="10"/>
                <w:szCs w:val="10"/>
                <w:lang w:eastAsia="sq-AL"/>
              </w:rPr>
              <w:br/>
              <w:t>10. Sipërfaqe</w:t>
            </w:r>
            <w:r w:rsidR="00684E85" w:rsidRPr="004F2AC3">
              <w:rPr>
                <w:rFonts w:ascii="Garamond" w:eastAsia="Times New Roman" w:hAnsi="Garamond" w:cs="Times New Roman"/>
                <w:sz w:val="10"/>
                <w:szCs w:val="10"/>
                <w:lang w:eastAsia="sq-AL"/>
              </w:rPr>
              <w:t xml:space="preserve"> </w:t>
            </w:r>
            <w:r w:rsidR="00376756" w:rsidRPr="004F2AC3">
              <w:rPr>
                <w:rFonts w:ascii="Garamond" w:eastAsia="Times New Roman" w:hAnsi="Garamond" w:cs="Times New Roman"/>
                <w:sz w:val="10"/>
                <w:szCs w:val="10"/>
                <w:lang w:eastAsia="sq-AL"/>
              </w:rPr>
              <w:t>e mbjelljeve të reja me vresht;</w:t>
            </w:r>
            <w:r w:rsidRPr="004F2AC3">
              <w:rPr>
                <w:rFonts w:ascii="Garamond" w:eastAsia="Times New Roman" w:hAnsi="Garamond" w:cs="Times New Roman"/>
                <w:sz w:val="10"/>
                <w:szCs w:val="10"/>
                <w:lang w:eastAsia="sq-AL"/>
              </w:rPr>
              <w:br/>
              <w:t xml:space="preserve">11. Numri i rrënjëve të reja të </w:t>
            </w:r>
            <w:r w:rsidR="004F2AC3" w:rsidRPr="004F2AC3">
              <w:rPr>
                <w:rFonts w:ascii="Garamond" w:eastAsia="Times New Roman" w:hAnsi="Garamond" w:cs="Times New Roman"/>
                <w:sz w:val="10"/>
                <w:szCs w:val="10"/>
                <w:lang w:eastAsia="sq-AL"/>
              </w:rPr>
              <w:t>pemëve</w:t>
            </w:r>
            <w:r w:rsidRPr="004F2AC3">
              <w:rPr>
                <w:rFonts w:ascii="Garamond" w:eastAsia="Times New Roman" w:hAnsi="Garamond" w:cs="Times New Roman"/>
                <w:sz w:val="10"/>
                <w:szCs w:val="10"/>
                <w:lang w:eastAsia="sq-AL"/>
              </w:rPr>
              <w:t xml:space="preserve"> frutore në blloqe dhe të shpërndara</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12. Numri i </w:t>
            </w:r>
            <w:r w:rsidR="004F2AC3" w:rsidRPr="004F2AC3">
              <w:rPr>
                <w:rFonts w:ascii="Garamond" w:eastAsia="Times New Roman" w:hAnsi="Garamond" w:cs="Times New Roman"/>
                <w:sz w:val="10"/>
                <w:szCs w:val="10"/>
                <w:lang w:eastAsia="sq-AL"/>
              </w:rPr>
              <w:t>rrënjëve</w:t>
            </w:r>
            <w:r w:rsidRPr="004F2AC3">
              <w:rPr>
                <w:rFonts w:ascii="Garamond" w:eastAsia="Times New Roman" w:hAnsi="Garamond" w:cs="Times New Roman"/>
                <w:sz w:val="10"/>
                <w:szCs w:val="10"/>
                <w:lang w:eastAsia="sq-AL"/>
              </w:rPr>
              <w:t xml:space="preserve"> të reja të Ullirit në blloqe dhe të shpërndara</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13. Numri i </w:t>
            </w:r>
            <w:r w:rsidR="004F2AC3" w:rsidRPr="004F2AC3">
              <w:rPr>
                <w:rFonts w:ascii="Garamond" w:eastAsia="Times New Roman" w:hAnsi="Garamond" w:cs="Times New Roman"/>
                <w:sz w:val="10"/>
                <w:szCs w:val="10"/>
                <w:lang w:eastAsia="sq-AL"/>
              </w:rPr>
              <w:t>rrënjëve</w:t>
            </w:r>
            <w:r w:rsidRPr="004F2AC3">
              <w:rPr>
                <w:rFonts w:ascii="Garamond" w:eastAsia="Times New Roman" w:hAnsi="Garamond" w:cs="Times New Roman"/>
                <w:sz w:val="10"/>
                <w:szCs w:val="10"/>
                <w:lang w:eastAsia="sq-AL"/>
              </w:rPr>
              <w:t xml:space="preserve"> të reja të Agrumeve në blloqe dhe të shpërndara</w:t>
            </w:r>
            <w:r w:rsidR="00376756"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14. Numri i </w:t>
            </w:r>
            <w:r w:rsidR="004F2AC3" w:rsidRPr="004F2AC3">
              <w:rPr>
                <w:rFonts w:ascii="Garamond" w:eastAsia="Times New Roman" w:hAnsi="Garamond" w:cs="Times New Roman"/>
                <w:sz w:val="10"/>
                <w:szCs w:val="10"/>
                <w:lang w:eastAsia="sq-AL"/>
              </w:rPr>
              <w:t>rrënjëve</w:t>
            </w:r>
            <w:r w:rsidRPr="004F2AC3">
              <w:rPr>
                <w:rFonts w:ascii="Garamond" w:eastAsia="Times New Roman" w:hAnsi="Garamond" w:cs="Times New Roman"/>
                <w:sz w:val="10"/>
                <w:szCs w:val="10"/>
                <w:lang w:eastAsia="sq-AL"/>
              </w:rPr>
              <w:t xml:space="preserve"> të reja të Vreshtave në blloqe dhe të </w:t>
            </w:r>
            <w:r w:rsidR="00376756" w:rsidRPr="004F2AC3">
              <w:rPr>
                <w:rFonts w:ascii="Garamond" w:eastAsia="Times New Roman" w:hAnsi="Garamond" w:cs="Times New Roman"/>
                <w:sz w:val="10"/>
                <w:szCs w:val="10"/>
                <w:lang w:eastAsia="sq-AL"/>
              </w:rPr>
              <w:t>shpërndara.</w:t>
            </w:r>
          </w:p>
        </w:tc>
        <w:tc>
          <w:tcPr>
            <w:tcW w:w="554" w:type="dxa"/>
            <w:tcBorders>
              <w:top w:val="nil"/>
              <w:left w:val="nil"/>
              <w:bottom w:val="single" w:sz="4" w:space="0" w:color="auto"/>
              <w:right w:val="single" w:sz="4" w:space="0" w:color="auto"/>
            </w:tcBorders>
            <w:shd w:val="clear" w:color="auto" w:fill="auto"/>
            <w:vAlign w:val="center"/>
            <w:hideMark/>
          </w:tcPr>
          <w:p w14:paraId="61B4164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Ministria e Bujqësisë dhe Zhvillimit Rural</w:t>
            </w:r>
          </w:p>
        </w:tc>
        <w:tc>
          <w:tcPr>
            <w:tcW w:w="413" w:type="dxa"/>
            <w:tcBorders>
              <w:top w:val="nil"/>
              <w:left w:val="nil"/>
              <w:bottom w:val="single" w:sz="4" w:space="0" w:color="auto"/>
              <w:right w:val="single" w:sz="4" w:space="0" w:color="auto"/>
            </w:tcBorders>
            <w:shd w:val="clear" w:color="auto" w:fill="auto"/>
            <w:vAlign w:val="center"/>
            <w:hideMark/>
          </w:tcPr>
          <w:p w14:paraId="54C69441" w14:textId="51B2666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613256E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240 e V</w:t>
            </w:r>
          </w:p>
        </w:tc>
        <w:tc>
          <w:tcPr>
            <w:tcW w:w="385" w:type="dxa"/>
            <w:tcBorders>
              <w:top w:val="nil"/>
              <w:left w:val="nil"/>
              <w:bottom w:val="single" w:sz="4" w:space="0" w:color="auto"/>
              <w:right w:val="single" w:sz="4" w:space="0" w:color="auto"/>
            </w:tcBorders>
            <w:shd w:val="clear" w:color="auto" w:fill="auto"/>
            <w:vAlign w:val="center"/>
            <w:hideMark/>
          </w:tcPr>
          <w:p w14:paraId="633BEAB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273 e V</w:t>
            </w:r>
          </w:p>
        </w:tc>
        <w:tc>
          <w:tcPr>
            <w:tcW w:w="361" w:type="dxa"/>
            <w:tcBorders>
              <w:top w:val="nil"/>
              <w:left w:val="nil"/>
              <w:bottom w:val="single" w:sz="4" w:space="0" w:color="auto"/>
              <w:right w:val="single" w:sz="4" w:space="0" w:color="auto"/>
            </w:tcBorders>
            <w:shd w:val="clear" w:color="auto" w:fill="auto"/>
            <w:noWrap/>
            <w:vAlign w:val="center"/>
            <w:hideMark/>
          </w:tcPr>
          <w:p w14:paraId="0CA7C3A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1B088880" w14:textId="775B3807" w:rsidR="0021321C" w:rsidRPr="004F2AC3" w:rsidRDefault="0021321C" w:rsidP="004F2AC3">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Mospërmbushja e kritereve të cilësisë (saktësia, përpikmëria dhe krahasueshmëria) në vrojtimin e </w:t>
            </w:r>
            <w:r w:rsidR="004F2AC3" w:rsidRPr="004F2AC3">
              <w:rPr>
                <w:rFonts w:ascii="Garamond" w:eastAsia="Times New Roman" w:hAnsi="Garamond" w:cs="Times New Roman"/>
                <w:color w:val="000000"/>
                <w:sz w:val="10"/>
                <w:szCs w:val="10"/>
                <w:lang w:eastAsia="sq-AL"/>
              </w:rPr>
              <w:t>Sipërfaqes</w:t>
            </w:r>
            <w:r w:rsidRPr="004F2AC3">
              <w:rPr>
                <w:rFonts w:ascii="Garamond" w:eastAsia="Times New Roman" w:hAnsi="Garamond" w:cs="Times New Roman"/>
                <w:color w:val="000000"/>
                <w:sz w:val="10"/>
                <w:szCs w:val="10"/>
                <w:lang w:eastAsia="sq-AL"/>
              </w:rPr>
              <w:t xml:space="preserve"> s</w:t>
            </w:r>
            <w:r w:rsidR="004F2AC3"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mbjell</w:t>
            </w:r>
            <w:r w:rsidR="004F2AC3"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(VSM), e cila sjell si pasojë mos shpërndarjen në kohë dhe me cilësi të rezultateve të vrojtimit - -|- 5</w:t>
            </w:r>
          </w:p>
        </w:tc>
        <w:tc>
          <w:tcPr>
            <w:tcW w:w="551" w:type="dxa"/>
            <w:tcBorders>
              <w:top w:val="nil"/>
              <w:left w:val="nil"/>
              <w:bottom w:val="single" w:sz="4" w:space="0" w:color="auto"/>
              <w:right w:val="single" w:sz="4" w:space="0" w:color="auto"/>
            </w:tcBorders>
            <w:shd w:val="clear" w:color="auto" w:fill="auto"/>
            <w:vAlign w:val="center"/>
            <w:hideMark/>
          </w:tcPr>
          <w:p w14:paraId="316952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6D59501B" w14:textId="77777777" w:rsidTr="0021321C">
        <w:trPr>
          <w:trHeight w:val="180"/>
          <w:jc w:val="center"/>
        </w:trPr>
        <w:tc>
          <w:tcPr>
            <w:tcW w:w="388" w:type="dxa"/>
            <w:tcBorders>
              <w:top w:val="nil"/>
              <w:left w:val="nil"/>
              <w:bottom w:val="nil"/>
              <w:right w:val="nil"/>
            </w:tcBorders>
            <w:shd w:val="clear" w:color="000000" w:fill="FFFFFF"/>
            <w:vAlign w:val="bottom"/>
            <w:hideMark/>
          </w:tcPr>
          <w:p w14:paraId="335E6D2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88E459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51166B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79E235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8BDB40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0B0C6C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single" w:sz="4" w:space="0" w:color="000000"/>
              <w:right w:val="nil"/>
            </w:tcBorders>
            <w:shd w:val="clear" w:color="000000" w:fill="F0F0F0"/>
            <w:vAlign w:val="center"/>
            <w:hideMark/>
          </w:tcPr>
          <w:p w14:paraId="28C60C9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3.1.2.b</w:t>
            </w:r>
          </w:p>
        </w:tc>
        <w:tc>
          <w:tcPr>
            <w:tcW w:w="7155" w:type="dxa"/>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50DDF05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blegtorisë, mishit dhe vezëve</w:t>
            </w:r>
          </w:p>
        </w:tc>
      </w:tr>
      <w:tr w:rsidR="00C73163" w:rsidRPr="004F2AC3" w14:paraId="5B9BD29E" w14:textId="77777777" w:rsidTr="0021321C">
        <w:trPr>
          <w:trHeight w:val="180"/>
          <w:jc w:val="center"/>
        </w:trPr>
        <w:tc>
          <w:tcPr>
            <w:tcW w:w="388" w:type="dxa"/>
            <w:tcBorders>
              <w:top w:val="nil"/>
              <w:left w:val="nil"/>
              <w:bottom w:val="nil"/>
              <w:right w:val="nil"/>
            </w:tcBorders>
            <w:shd w:val="clear" w:color="000000" w:fill="FFFFFF"/>
            <w:vAlign w:val="bottom"/>
            <w:hideMark/>
          </w:tcPr>
          <w:p w14:paraId="1662FF3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EE6A27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0F4CC1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A463B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372646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68266D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03B0DC8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3.1.2.b.1</w:t>
            </w:r>
          </w:p>
        </w:tc>
        <w:tc>
          <w:tcPr>
            <w:tcW w:w="563" w:type="dxa"/>
            <w:tcBorders>
              <w:top w:val="nil"/>
              <w:left w:val="nil"/>
              <w:bottom w:val="single" w:sz="4" w:space="0" w:color="auto"/>
              <w:right w:val="single" w:sz="4" w:space="0" w:color="auto"/>
            </w:tcBorders>
            <w:shd w:val="clear" w:color="auto" w:fill="auto"/>
            <w:vAlign w:val="center"/>
            <w:hideMark/>
          </w:tcPr>
          <w:p w14:paraId="3309731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Blegtorisë, Mishit dhe Vezëve nga Vrojtimi Vjetor në Bujqësi</w:t>
            </w:r>
          </w:p>
        </w:tc>
        <w:tc>
          <w:tcPr>
            <w:tcW w:w="446" w:type="dxa"/>
            <w:tcBorders>
              <w:top w:val="nil"/>
              <w:left w:val="nil"/>
              <w:bottom w:val="single" w:sz="4" w:space="0" w:color="auto"/>
              <w:right w:val="single" w:sz="4" w:space="0" w:color="auto"/>
            </w:tcBorders>
            <w:shd w:val="clear" w:color="auto" w:fill="auto"/>
            <w:vAlign w:val="center"/>
            <w:hideMark/>
          </w:tcPr>
          <w:p w14:paraId="0C906AA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1B5979B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529E450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1CCB138F" w14:textId="7F4ED7D8"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35BA0BA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Vjetor </w:t>
            </w:r>
          </w:p>
        </w:tc>
        <w:tc>
          <w:tcPr>
            <w:tcW w:w="1098" w:type="dxa"/>
            <w:tcBorders>
              <w:top w:val="nil"/>
              <w:left w:val="nil"/>
              <w:bottom w:val="single" w:sz="4" w:space="0" w:color="auto"/>
              <w:right w:val="single" w:sz="4" w:space="0" w:color="auto"/>
            </w:tcBorders>
            <w:shd w:val="clear" w:color="auto" w:fill="auto"/>
            <w:vAlign w:val="center"/>
            <w:hideMark/>
          </w:tcPr>
          <w:p w14:paraId="1555E5DB" w14:textId="6626D4A8"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Struktura e gjedhit</w:t>
            </w:r>
            <w:r w:rsidR="00376756" w:rsidRPr="004F2AC3">
              <w:rPr>
                <w:rFonts w:ascii="Garamond" w:eastAsia="Times New Roman" w:hAnsi="Garamond" w:cs="Times New Roman"/>
                <w:color w:val="000000"/>
                <w:sz w:val="10"/>
                <w:szCs w:val="10"/>
                <w:lang w:eastAsia="sq-AL"/>
              </w:rPr>
              <w:t>;</w:t>
            </w:r>
          </w:p>
          <w:p w14:paraId="720FC203" w14:textId="0963C0D8"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 Struktura e derrave</w:t>
            </w:r>
            <w:r w:rsidR="00376756" w:rsidRPr="004F2AC3">
              <w:rPr>
                <w:rFonts w:ascii="Garamond" w:eastAsia="Times New Roman" w:hAnsi="Garamond" w:cs="Times New Roman"/>
                <w:color w:val="000000"/>
                <w:sz w:val="10"/>
                <w:szCs w:val="10"/>
                <w:lang w:eastAsia="sq-AL"/>
              </w:rPr>
              <w:t>;</w:t>
            </w:r>
          </w:p>
          <w:p w14:paraId="62D92CC2" w14:textId="75F0AC7C"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 Struktura e të leshtave</w:t>
            </w:r>
            <w:r w:rsidR="00376756" w:rsidRPr="004F2AC3">
              <w:rPr>
                <w:rFonts w:ascii="Garamond" w:eastAsia="Times New Roman" w:hAnsi="Garamond" w:cs="Times New Roman"/>
                <w:color w:val="000000"/>
                <w:sz w:val="10"/>
                <w:szCs w:val="10"/>
                <w:lang w:eastAsia="sq-AL"/>
              </w:rPr>
              <w:t>;</w:t>
            </w:r>
          </w:p>
          <w:p w14:paraId="5FBECA0A" w14:textId="0FCA5361"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 Struktura e të dhirtave</w:t>
            </w:r>
            <w:r w:rsidR="00376756" w:rsidRPr="004F2AC3">
              <w:rPr>
                <w:rFonts w:ascii="Garamond" w:eastAsia="Times New Roman" w:hAnsi="Garamond" w:cs="Times New Roman"/>
                <w:color w:val="000000"/>
                <w:sz w:val="10"/>
                <w:szCs w:val="10"/>
                <w:lang w:eastAsia="sq-AL"/>
              </w:rPr>
              <w:t>;</w:t>
            </w:r>
          </w:p>
          <w:p w14:paraId="3B786E40" w14:textId="2A19C34D"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5. Struktura e shpendëve</w:t>
            </w:r>
            <w:r w:rsidR="00376756" w:rsidRPr="004F2AC3">
              <w:rPr>
                <w:rFonts w:ascii="Garamond" w:eastAsia="Times New Roman" w:hAnsi="Garamond" w:cs="Times New Roman"/>
                <w:color w:val="000000"/>
                <w:sz w:val="10"/>
                <w:szCs w:val="10"/>
                <w:lang w:eastAsia="sq-AL"/>
              </w:rPr>
              <w:t>;</w:t>
            </w:r>
          </w:p>
          <w:p w14:paraId="321FB6E1" w14:textId="783199D7"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6. Struktura e njëthundrakëve</w:t>
            </w:r>
            <w:r w:rsidR="00376756" w:rsidRPr="004F2AC3">
              <w:rPr>
                <w:rFonts w:ascii="Garamond" w:eastAsia="Times New Roman" w:hAnsi="Garamond" w:cs="Times New Roman"/>
                <w:color w:val="000000"/>
                <w:sz w:val="10"/>
                <w:szCs w:val="10"/>
                <w:lang w:eastAsia="sq-AL"/>
              </w:rPr>
              <w:t>;</w:t>
            </w:r>
          </w:p>
          <w:p w14:paraId="40A17F3C" w14:textId="7EFC5AD9"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7. Nr i koshereve</w:t>
            </w:r>
            <w:r w:rsidR="00376756" w:rsidRPr="004F2AC3">
              <w:rPr>
                <w:rFonts w:ascii="Garamond" w:eastAsia="Times New Roman" w:hAnsi="Garamond" w:cs="Times New Roman"/>
                <w:color w:val="000000"/>
                <w:sz w:val="10"/>
                <w:szCs w:val="10"/>
                <w:lang w:eastAsia="sq-AL"/>
              </w:rPr>
              <w:t>;</w:t>
            </w:r>
          </w:p>
          <w:p w14:paraId="0887A2FB" w14:textId="6CDFD376"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8. </w:t>
            </w:r>
            <w:r w:rsidR="004F2AC3" w:rsidRPr="004F2AC3">
              <w:rPr>
                <w:rFonts w:ascii="Garamond" w:eastAsia="Times New Roman" w:hAnsi="Garamond" w:cs="Times New Roman"/>
                <w:color w:val="000000"/>
                <w:sz w:val="10"/>
                <w:szCs w:val="10"/>
                <w:lang w:eastAsia="sq-AL"/>
              </w:rPr>
              <w:t>Struktura</w:t>
            </w:r>
            <w:r w:rsidRPr="004F2AC3">
              <w:rPr>
                <w:rFonts w:ascii="Garamond" w:eastAsia="Times New Roman" w:hAnsi="Garamond" w:cs="Times New Roman"/>
                <w:color w:val="000000"/>
                <w:sz w:val="10"/>
                <w:szCs w:val="10"/>
                <w:lang w:eastAsia="sq-AL"/>
              </w:rPr>
              <w:t xml:space="preserve"> e lepujve</w:t>
            </w:r>
            <w:r w:rsidR="00376756" w:rsidRPr="004F2AC3">
              <w:rPr>
                <w:rFonts w:ascii="Garamond" w:eastAsia="Times New Roman" w:hAnsi="Garamond" w:cs="Times New Roman"/>
                <w:color w:val="000000"/>
                <w:sz w:val="10"/>
                <w:szCs w:val="10"/>
                <w:lang w:eastAsia="sq-AL"/>
              </w:rPr>
              <w:t>;</w:t>
            </w:r>
          </w:p>
          <w:p w14:paraId="76077E6F" w14:textId="5F65E36C"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9. Kullotja e kafshëve (gjedhë, të imta, njëthundrakë)</w:t>
            </w:r>
            <w:r w:rsidR="00376756" w:rsidRPr="004F2AC3">
              <w:rPr>
                <w:rFonts w:ascii="Garamond" w:eastAsia="Times New Roman" w:hAnsi="Garamond" w:cs="Times New Roman"/>
                <w:color w:val="000000"/>
                <w:sz w:val="10"/>
                <w:szCs w:val="10"/>
                <w:lang w:eastAsia="sq-AL"/>
              </w:rPr>
              <w:t>;</w:t>
            </w:r>
          </w:p>
          <w:p w14:paraId="5BAD8613" w14:textId="05D5539A"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10. Therjet dhe shitjet e kafshëve (të gjitha llojet në fermë)</w:t>
            </w:r>
            <w:r w:rsidR="00376756" w:rsidRPr="004F2AC3">
              <w:rPr>
                <w:rFonts w:ascii="Garamond" w:eastAsia="Times New Roman" w:hAnsi="Garamond" w:cs="Times New Roman"/>
                <w:color w:val="000000"/>
                <w:sz w:val="10"/>
                <w:szCs w:val="10"/>
                <w:lang w:eastAsia="sq-AL"/>
              </w:rPr>
              <w:t>;</w:t>
            </w:r>
          </w:p>
          <w:p w14:paraId="102E7CD8" w14:textId="00D32441"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11. Prodhimi dhe përdorimi i mishit të therur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fermë</w:t>
            </w:r>
            <w:r w:rsidR="00376756" w:rsidRPr="004F2AC3">
              <w:rPr>
                <w:rFonts w:ascii="Garamond" w:eastAsia="Times New Roman" w:hAnsi="Garamond" w:cs="Times New Roman"/>
                <w:color w:val="000000"/>
                <w:sz w:val="10"/>
                <w:szCs w:val="10"/>
                <w:lang w:eastAsia="sq-AL"/>
              </w:rPr>
              <w:t>;</w:t>
            </w:r>
          </w:p>
          <w:p w14:paraId="6875C182" w14:textId="21D1652B"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12. Të tjera shitje</w:t>
            </w:r>
            <w:r w:rsidR="00376756"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(kuaj,</w:t>
            </w:r>
            <w:r w:rsidR="004F2AC3"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gomerë,</w:t>
            </w:r>
            <w:r w:rsidR="004F2AC3"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mushka)</w:t>
            </w:r>
            <w:r w:rsidR="00376756" w:rsidRPr="004F2AC3">
              <w:rPr>
                <w:rFonts w:ascii="Garamond" w:eastAsia="Times New Roman" w:hAnsi="Garamond" w:cs="Times New Roman"/>
                <w:color w:val="000000"/>
                <w:sz w:val="10"/>
                <w:szCs w:val="10"/>
                <w:lang w:eastAsia="sq-AL"/>
              </w:rPr>
              <w:t>;</w:t>
            </w:r>
          </w:p>
          <w:p w14:paraId="7FF3D185" w14:textId="0EB1BED6"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13. Nr i koshereve të shitura</w:t>
            </w:r>
            <w:r w:rsidR="00376756" w:rsidRPr="004F2AC3">
              <w:rPr>
                <w:rFonts w:ascii="Garamond" w:eastAsia="Times New Roman" w:hAnsi="Garamond" w:cs="Times New Roman"/>
                <w:color w:val="000000"/>
                <w:sz w:val="10"/>
                <w:szCs w:val="10"/>
                <w:lang w:eastAsia="sq-AL"/>
              </w:rPr>
              <w:t>;</w:t>
            </w:r>
          </w:p>
          <w:p w14:paraId="37267409" w14:textId="75822BD7"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14. Prodhimi dhe përdorimi i qumështit në fermë</w:t>
            </w:r>
            <w:r w:rsidR="00376756" w:rsidRPr="004F2AC3">
              <w:rPr>
                <w:rFonts w:ascii="Garamond" w:eastAsia="Times New Roman" w:hAnsi="Garamond" w:cs="Times New Roman"/>
                <w:color w:val="000000"/>
                <w:sz w:val="10"/>
                <w:szCs w:val="10"/>
                <w:lang w:eastAsia="sq-AL"/>
              </w:rPr>
              <w:t>;</w:t>
            </w:r>
          </w:p>
          <w:p w14:paraId="3FC53124" w14:textId="0FC7D72C" w:rsidR="00376756"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15. Prodhimi dhe përdorimi i nënprodukteve të qumështit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në fermë</w:t>
            </w:r>
            <w:r w:rsidR="00376756" w:rsidRPr="004F2AC3">
              <w:rPr>
                <w:rFonts w:ascii="Garamond" w:eastAsia="Times New Roman" w:hAnsi="Garamond" w:cs="Times New Roman"/>
                <w:color w:val="000000"/>
                <w:sz w:val="10"/>
                <w:szCs w:val="10"/>
                <w:lang w:eastAsia="sq-AL"/>
              </w:rPr>
              <w:t>;</w:t>
            </w:r>
          </w:p>
          <w:p w14:paraId="3D5DA9B5" w14:textId="2E21408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16. Të tjera prodhime blegtoriale (vezë, mjaltë,</w:t>
            </w:r>
            <w:r w:rsidR="00376756"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lesh)</w:t>
            </w:r>
            <w:r w:rsidR="00376756"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4D446C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Bujqësisë dhe Zhvillimit Rural</w:t>
            </w:r>
          </w:p>
        </w:tc>
        <w:tc>
          <w:tcPr>
            <w:tcW w:w="413" w:type="dxa"/>
            <w:tcBorders>
              <w:top w:val="nil"/>
              <w:left w:val="nil"/>
              <w:bottom w:val="single" w:sz="4" w:space="0" w:color="auto"/>
              <w:right w:val="single" w:sz="4" w:space="0" w:color="auto"/>
            </w:tcBorders>
            <w:shd w:val="clear" w:color="auto" w:fill="auto"/>
            <w:vAlign w:val="center"/>
            <w:hideMark/>
          </w:tcPr>
          <w:p w14:paraId="550D0672" w14:textId="4109FAB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6FBD378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+ 149D</w:t>
            </w:r>
          </w:p>
        </w:tc>
        <w:tc>
          <w:tcPr>
            <w:tcW w:w="385" w:type="dxa"/>
            <w:tcBorders>
              <w:top w:val="nil"/>
              <w:left w:val="nil"/>
              <w:bottom w:val="single" w:sz="4" w:space="0" w:color="auto"/>
              <w:right w:val="single" w:sz="4" w:space="0" w:color="auto"/>
            </w:tcBorders>
            <w:shd w:val="clear" w:color="auto" w:fill="auto"/>
            <w:vAlign w:val="center"/>
            <w:hideMark/>
          </w:tcPr>
          <w:p w14:paraId="49090AE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+ 211D</w:t>
            </w:r>
          </w:p>
        </w:tc>
        <w:tc>
          <w:tcPr>
            <w:tcW w:w="361" w:type="dxa"/>
            <w:tcBorders>
              <w:top w:val="nil"/>
              <w:left w:val="nil"/>
              <w:bottom w:val="single" w:sz="4" w:space="0" w:color="auto"/>
              <w:right w:val="single" w:sz="4" w:space="0" w:color="auto"/>
            </w:tcBorders>
            <w:shd w:val="clear" w:color="auto" w:fill="auto"/>
            <w:noWrap/>
            <w:vAlign w:val="center"/>
            <w:hideMark/>
          </w:tcPr>
          <w:p w14:paraId="7AF3B19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71F16CE9" w14:textId="6CC6F99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Mospërmbushja e kritereve të cilësisë (saktësia, përpikmëria dhe krahasueshmëria) në vrojtimin vjetor të bujqësisë (VVB) -|- 4</w:t>
            </w:r>
            <w:r w:rsidRPr="004F2AC3">
              <w:rPr>
                <w:rFonts w:ascii="Garamond" w:eastAsia="Times New Roman" w:hAnsi="Garamond" w:cs="Times New Roman"/>
                <w:color w:val="000000"/>
                <w:sz w:val="10"/>
                <w:szCs w:val="10"/>
                <w:lang w:eastAsia="sq-AL"/>
              </w:rPr>
              <w:br/>
              <w:t xml:space="preserve">2. Moskryerja e kontrolleve periodike në terren që riskon cilësinë e </w:t>
            </w:r>
            <w:r w:rsidR="004F2AC3" w:rsidRPr="004F2AC3">
              <w:rPr>
                <w:rFonts w:ascii="Garamond" w:eastAsia="Times New Roman" w:hAnsi="Garamond" w:cs="Times New Roman"/>
                <w:color w:val="000000"/>
                <w:sz w:val="10"/>
                <w:szCs w:val="10"/>
                <w:lang w:eastAsia="sq-AL"/>
              </w:rPr>
              <w:t>rezultatit</w:t>
            </w:r>
            <w:r w:rsidRPr="004F2AC3">
              <w:rPr>
                <w:rFonts w:ascii="Garamond" w:eastAsia="Times New Roman" w:hAnsi="Garamond" w:cs="Times New Roman"/>
                <w:color w:val="000000"/>
                <w:sz w:val="10"/>
                <w:szCs w:val="10"/>
                <w:lang w:eastAsia="sq-AL"/>
              </w:rPr>
              <w:t xml:space="preserve"> </w:t>
            </w:r>
            <w:r w:rsidR="004F2AC3" w:rsidRPr="004F2AC3">
              <w:rPr>
                <w:rFonts w:ascii="Garamond" w:eastAsia="Times New Roman" w:hAnsi="Garamond" w:cs="Times New Roman"/>
                <w:color w:val="000000"/>
                <w:sz w:val="10"/>
                <w:szCs w:val="10"/>
                <w:lang w:eastAsia="sq-AL"/>
              </w:rPr>
              <w:t>përfundimtar</w:t>
            </w:r>
            <w:r w:rsidRPr="004F2AC3">
              <w:rPr>
                <w:rFonts w:ascii="Garamond" w:eastAsia="Times New Roman" w:hAnsi="Garamond" w:cs="Times New Roman"/>
                <w:color w:val="000000"/>
                <w:sz w:val="10"/>
                <w:szCs w:val="10"/>
                <w:lang w:eastAsia="sq-AL"/>
              </w:rPr>
              <w:t xml:space="preser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vrojtimit VVB -|- 4 3.Risk i jashtëm për mos përdorimin e statistikave zyrtare lidhur me: Statistikat e blegtorisë, mishit dhe vezëve (VVB) -|- 4</w:t>
            </w:r>
            <w:r w:rsidRPr="004F2AC3">
              <w:rPr>
                <w:rFonts w:ascii="Garamond" w:eastAsia="Times New Roman" w:hAnsi="Garamond" w:cs="Times New Roman"/>
                <w:color w:val="000000"/>
                <w:sz w:val="10"/>
                <w:szCs w:val="10"/>
                <w:lang w:eastAsia="sq-AL"/>
              </w:rPr>
              <w:br/>
              <w:t>3. Risk i jashtëm për mos përdorimin e statistikave zyrtare lidhur me: Statistikat e blegtorisë, mishit dhe vezëve (VVB) -|- 4</w:t>
            </w:r>
          </w:p>
        </w:tc>
        <w:tc>
          <w:tcPr>
            <w:tcW w:w="551" w:type="dxa"/>
            <w:tcBorders>
              <w:top w:val="nil"/>
              <w:left w:val="nil"/>
              <w:bottom w:val="single" w:sz="4" w:space="0" w:color="auto"/>
              <w:right w:val="single" w:sz="4" w:space="0" w:color="auto"/>
            </w:tcBorders>
            <w:shd w:val="clear" w:color="auto" w:fill="auto"/>
            <w:vAlign w:val="center"/>
            <w:hideMark/>
          </w:tcPr>
          <w:p w14:paraId="55EC0C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69158BF7" w14:textId="77777777" w:rsidTr="0021321C">
        <w:trPr>
          <w:trHeight w:val="180"/>
          <w:jc w:val="center"/>
        </w:trPr>
        <w:tc>
          <w:tcPr>
            <w:tcW w:w="388" w:type="dxa"/>
            <w:tcBorders>
              <w:top w:val="nil"/>
              <w:left w:val="nil"/>
              <w:bottom w:val="nil"/>
              <w:right w:val="nil"/>
            </w:tcBorders>
            <w:shd w:val="clear" w:color="000000" w:fill="FFFFFF"/>
            <w:vAlign w:val="bottom"/>
            <w:hideMark/>
          </w:tcPr>
          <w:p w14:paraId="03EBE10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B25678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50225B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E6D149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9BB2F5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D149BB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6AA767C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3.1.2.b.2</w:t>
            </w:r>
          </w:p>
        </w:tc>
        <w:tc>
          <w:tcPr>
            <w:tcW w:w="563" w:type="dxa"/>
            <w:tcBorders>
              <w:top w:val="nil"/>
              <w:left w:val="nil"/>
              <w:bottom w:val="single" w:sz="4" w:space="0" w:color="auto"/>
              <w:right w:val="single" w:sz="4" w:space="0" w:color="auto"/>
            </w:tcBorders>
            <w:shd w:val="clear" w:color="auto" w:fill="auto"/>
            <w:vAlign w:val="center"/>
            <w:hideMark/>
          </w:tcPr>
          <w:p w14:paraId="3345B13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Blegtorisë, Mishit dhe Vezëve nga burimi administrativ</w:t>
            </w:r>
          </w:p>
        </w:tc>
        <w:tc>
          <w:tcPr>
            <w:tcW w:w="446" w:type="dxa"/>
            <w:tcBorders>
              <w:top w:val="nil"/>
              <w:left w:val="nil"/>
              <w:bottom w:val="single" w:sz="4" w:space="0" w:color="auto"/>
              <w:right w:val="single" w:sz="4" w:space="0" w:color="auto"/>
            </w:tcBorders>
            <w:shd w:val="clear" w:color="auto" w:fill="auto"/>
            <w:vAlign w:val="center"/>
            <w:hideMark/>
          </w:tcPr>
          <w:p w14:paraId="13AB3B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2B083FC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7683602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290C8E1D" w14:textId="4626D09D"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1B4AF3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6BB207FF" w14:textId="470E253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Struktura e gjedhit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Struktura e derrave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Struktura 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imtave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Struktura e shpendëve</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Prodhimi i mishit sipas llojit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Të tjera prodhime blegtorale sipas llojit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7. Prodhimi dhe përdorimi i </w:t>
            </w:r>
            <w:r w:rsidR="004F2AC3" w:rsidRPr="004F2AC3">
              <w:rPr>
                <w:rFonts w:ascii="Garamond" w:eastAsia="Times New Roman" w:hAnsi="Garamond" w:cs="Times New Roman"/>
                <w:color w:val="000000"/>
                <w:sz w:val="10"/>
                <w:szCs w:val="10"/>
                <w:lang w:eastAsia="sq-AL"/>
              </w:rPr>
              <w:t>qumështit</w:t>
            </w:r>
            <w:r w:rsidRPr="004F2AC3">
              <w:rPr>
                <w:rFonts w:ascii="Garamond" w:eastAsia="Times New Roman" w:hAnsi="Garamond" w:cs="Times New Roman"/>
                <w:color w:val="000000"/>
                <w:sz w:val="10"/>
                <w:szCs w:val="10"/>
                <w:lang w:eastAsia="sq-AL"/>
              </w:rPr>
              <w:t xml:space="preserve"> në fermë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8. Therjet e </w:t>
            </w:r>
            <w:r w:rsidR="004F2AC3" w:rsidRPr="004F2AC3">
              <w:rPr>
                <w:rFonts w:ascii="Garamond" w:eastAsia="Times New Roman" w:hAnsi="Garamond" w:cs="Times New Roman"/>
                <w:color w:val="000000"/>
                <w:sz w:val="10"/>
                <w:szCs w:val="10"/>
                <w:lang w:eastAsia="sq-AL"/>
              </w:rPr>
              <w:t>kafshëve</w:t>
            </w:r>
            <w:r w:rsidRPr="004F2AC3">
              <w:rPr>
                <w:rFonts w:ascii="Garamond" w:eastAsia="Times New Roman" w:hAnsi="Garamond" w:cs="Times New Roman"/>
                <w:color w:val="000000"/>
                <w:sz w:val="10"/>
                <w:szCs w:val="10"/>
                <w:lang w:eastAsia="sq-AL"/>
              </w:rPr>
              <w:t xml:space="preserve"> (të gjitha llojet në fermë)</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Parashikimi i mishit të gjedhit për konsum</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Parashikimi i mishit të derrit për konsum</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Parashikimi i mishit të të imtave për konsum</w:t>
            </w:r>
            <w:r w:rsidR="00376756"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27E9C4F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Bujqësisë dhe Zhvillimit Rural</w:t>
            </w:r>
          </w:p>
        </w:tc>
        <w:tc>
          <w:tcPr>
            <w:tcW w:w="413" w:type="dxa"/>
            <w:tcBorders>
              <w:top w:val="nil"/>
              <w:left w:val="nil"/>
              <w:bottom w:val="single" w:sz="4" w:space="0" w:color="auto"/>
              <w:right w:val="single" w:sz="4" w:space="0" w:color="auto"/>
            </w:tcBorders>
            <w:shd w:val="clear" w:color="auto" w:fill="auto"/>
            <w:vAlign w:val="center"/>
            <w:hideMark/>
          </w:tcPr>
          <w:p w14:paraId="4E36E1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tcBorders>
              <w:top w:val="nil"/>
              <w:left w:val="nil"/>
              <w:bottom w:val="single" w:sz="4" w:space="0" w:color="auto"/>
              <w:right w:val="single" w:sz="4" w:space="0" w:color="auto"/>
            </w:tcBorders>
            <w:shd w:val="clear" w:color="auto" w:fill="auto"/>
            <w:vAlign w:val="center"/>
            <w:hideMark/>
          </w:tcPr>
          <w:p w14:paraId="2A72B8F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+ 120 D</w:t>
            </w:r>
          </w:p>
        </w:tc>
        <w:tc>
          <w:tcPr>
            <w:tcW w:w="385" w:type="dxa"/>
            <w:tcBorders>
              <w:top w:val="nil"/>
              <w:left w:val="nil"/>
              <w:bottom w:val="single" w:sz="4" w:space="0" w:color="auto"/>
              <w:right w:val="single" w:sz="4" w:space="0" w:color="auto"/>
            </w:tcBorders>
            <w:shd w:val="clear" w:color="auto" w:fill="auto"/>
            <w:vAlign w:val="center"/>
            <w:hideMark/>
          </w:tcPr>
          <w:p w14:paraId="0E2E8F3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+ 149D</w:t>
            </w:r>
          </w:p>
        </w:tc>
        <w:tc>
          <w:tcPr>
            <w:tcW w:w="361" w:type="dxa"/>
            <w:tcBorders>
              <w:top w:val="nil"/>
              <w:left w:val="nil"/>
              <w:bottom w:val="single" w:sz="4" w:space="0" w:color="auto"/>
              <w:right w:val="single" w:sz="4" w:space="0" w:color="auto"/>
            </w:tcBorders>
            <w:shd w:val="clear" w:color="auto" w:fill="auto"/>
            <w:vAlign w:val="center"/>
            <w:hideMark/>
          </w:tcPr>
          <w:p w14:paraId="2B38B5E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+ 173D</w:t>
            </w:r>
          </w:p>
        </w:tc>
        <w:tc>
          <w:tcPr>
            <w:tcW w:w="732" w:type="dxa"/>
            <w:tcBorders>
              <w:top w:val="nil"/>
              <w:left w:val="nil"/>
              <w:bottom w:val="single" w:sz="4" w:space="0" w:color="auto"/>
              <w:right w:val="single" w:sz="4" w:space="0" w:color="auto"/>
            </w:tcBorders>
            <w:shd w:val="clear" w:color="auto" w:fill="auto"/>
            <w:vAlign w:val="center"/>
            <w:hideMark/>
          </w:tcPr>
          <w:p w14:paraId="39A81E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lidhur me: Statistikat e blegtorisë, mishit dhe vezëve -|- 4</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të dhënat administrative lidhur me: Statistikat e blegtorisë, mishit dhe vezëve e lidhur me: Statistikat e blegtorisë, mishit dhe vezëve -|- 4</w:t>
            </w:r>
            <w:r w:rsidRPr="004F2AC3">
              <w:rPr>
                <w:rFonts w:ascii="Garamond" w:eastAsia="Times New Roman" w:hAnsi="Garamond" w:cs="Times New Roman"/>
                <w:color w:val="000000"/>
                <w:sz w:val="10"/>
                <w:szCs w:val="10"/>
                <w:lang w:eastAsia="sq-AL"/>
              </w:rPr>
              <w:br/>
              <w:t>3. Mosrealizimi i aktiviteteve statistikore që janë detyrim i burimit administrativ lidhur me: Statistikat e blegtorisë, mishit, vezëve dhe qumështit gjeneruar nga burimi administrativ -|- 4</w:t>
            </w:r>
            <w:r w:rsidRPr="004F2AC3">
              <w:rPr>
                <w:rFonts w:ascii="Garamond" w:eastAsia="Times New Roman" w:hAnsi="Garamond" w:cs="Times New Roman"/>
                <w:color w:val="000000"/>
                <w:sz w:val="10"/>
                <w:szCs w:val="10"/>
                <w:lang w:eastAsia="sq-AL"/>
              </w:rPr>
              <w:br/>
              <w:t>4. Gabime të bëra nga stafi ekspert gjatë përpunimit të të dhënave - -|- 4</w:t>
            </w:r>
            <w:r w:rsidRPr="004F2AC3">
              <w:rPr>
                <w:rFonts w:ascii="Garamond" w:eastAsia="Times New Roman" w:hAnsi="Garamond" w:cs="Times New Roman"/>
                <w:color w:val="000000"/>
                <w:sz w:val="10"/>
                <w:szCs w:val="10"/>
                <w:lang w:eastAsia="sq-AL"/>
              </w:rPr>
              <w:br/>
              <w:t>5. Moszbatimi i memorandumeve të bashkëpunimit - -|- 4</w:t>
            </w:r>
          </w:p>
        </w:tc>
        <w:tc>
          <w:tcPr>
            <w:tcW w:w="551" w:type="dxa"/>
            <w:tcBorders>
              <w:top w:val="nil"/>
              <w:left w:val="nil"/>
              <w:bottom w:val="single" w:sz="4" w:space="0" w:color="auto"/>
              <w:right w:val="single" w:sz="4" w:space="0" w:color="auto"/>
            </w:tcBorders>
            <w:shd w:val="clear" w:color="auto" w:fill="auto"/>
            <w:vAlign w:val="center"/>
            <w:hideMark/>
          </w:tcPr>
          <w:p w14:paraId="01A66F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7199C774" w14:textId="77777777" w:rsidTr="0021321C">
        <w:trPr>
          <w:trHeight w:val="180"/>
          <w:jc w:val="center"/>
        </w:trPr>
        <w:tc>
          <w:tcPr>
            <w:tcW w:w="388" w:type="dxa"/>
            <w:tcBorders>
              <w:top w:val="nil"/>
              <w:left w:val="nil"/>
              <w:bottom w:val="nil"/>
              <w:right w:val="nil"/>
            </w:tcBorders>
            <w:shd w:val="clear" w:color="000000" w:fill="FFFFFF"/>
            <w:vAlign w:val="bottom"/>
            <w:hideMark/>
          </w:tcPr>
          <w:p w14:paraId="7AA7751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5431F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B2B141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EAF95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1117C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6E26E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77A9A45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3.1.2.b.3</w:t>
            </w:r>
          </w:p>
        </w:tc>
        <w:tc>
          <w:tcPr>
            <w:tcW w:w="563" w:type="dxa"/>
            <w:tcBorders>
              <w:top w:val="nil"/>
              <w:left w:val="nil"/>
              <w:bottom w:val="single" w:sz="4" w:space="0" w:color="auto"/>
              <w:right w:val="single" w:sz="4" w:space="0" w:color="auto"/>
            </w:tcBorders>
            <w:shd w:val="clear" w:color="auto" w:fill="auto"/>
            <w:vAlign w:val="center"/>
            <w:hideMark/>
          </w:tcPr>
          <w:p w14:paraId="421372D4" w14:textId="402E5818"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Blegtorisë, Mishit dhe Vezëve nga</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vrojtimi mujor mbi monitorimin e aktivitetit të thertoreve për gjedhë, derra dhe të imta</w:t>
            </w:r>
          </w:p>
        </w:tc>
        <w:tc>
          <w:tcPr>
            <w:tcW w:w="446" w:type="dxa"/>
            <w:tcBorders>
              <w:top w:val="nil"/>
              <w:left w:val="nil"/>
              <w:bottom w:val="single" w:sz="4" w:space="0" w:color="auto"/>
              <w:right w:val="single" w:sz="4" w:space="0" w:color="auto"/>
            </w:tcBorders>
            <w:shd w:val="clear" w:color="auto" w:fill="auto"/>
            <w:vAlign w:val="center"/>
            <w:hideMark/>
          </w:tcPr>
          <w:p w14:paraId="7F29105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6564FE4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6E7C8D0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3B3B93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77A59B5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single" w:sz="4" w:space="0" w:color="auto"/>
              <w:right w:val="single" w:sz="4" w:space="0" w:color="auto"/>
            </w:tcBorders>
            <w:shd w:val="clear" w:color="auto" w:fill="auto"/>
            <w:vAlign w:val="center"/>
            <w:hideMark/>
          </w:tcPr>
          <w:p w14:paraId="27447E8B" w14:textId="664A817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Prodhimi i mishit të gjedhit nga thertoret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Prodhimi i mishit të derrit nga thertoret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Prodhimi i mishit të deleve nga thertoret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Prodhimi i mishit të dhive nga thertoret</w:t>
            </w:r>
            <w:r w:rsidR="00376756"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09B767C0" w14:textId="1C09042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5C13EEA4" w14:textId="29324EE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w:t>
            </w:r>
            <w:r w:rsidR="00376756" w:rsidRPr="004F2AC3">
              <w:rPr>
                <w:rFonts w:ascii="Garamond" w:eastAsia="Times New Roman" w:hAnsi="Garamond" w:cs="Times New Roman"/>
                <w:color w:val="000000"/>
                <w:sz w:val="10"/>
                <w:szCs w:val="10"/>
                <w:lang w:eastAsia="sq-AL"/>
              </w:rPr>
              <w:t>T-i</w:t>
            </w:r>
          </w:p>
        </w:tc>
        <w:tc>
          <w:tcPr>
            <w:tcW w:w="466" w:type="dxa"/>
            <w:tcBorders>
              <w:top w:val="nil"/>
              <w:left w:val="nil"/>
              <w:bottom w:val="single" w:sz="4" w:space="0" w:color="auto"/>
              <w:right w:val="single" w:sz="4" w:space="0" w:color="auto"/>
            </w:tcBorders>
            <w:shd w:val="clear" w:color="auto" w:fill="auto"/>
            <w:vAlign w:val="center"/>
            <w:hideMark/>
          </w:tcPr>
          <w:p w14:paraId="03B6E4C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15 e M</w:t>
            </w:r>
          </w:p>
        </w:tc>
        <w:tc>
          <w:tcPr>
            <w:tcW w:w="385" w:type="dxa"/>
            <w:tcBorders>
              <w:top w:val="nil"/>
              <w:left w:val="nil"/>
              <w:bottom w:val="single" w:sz="4" w:space="0" w:color="auto"/>
              <w:right w:val="single" w:sz="4" w:space="0" w:color="auto"/>
            </w:tcBorders>
            <w:shd w:val="clear" w:color="auto" w:fill="auto"/>
            <w:vAlign w:val="center"/>
            <w:hideMark/>
          </w:tcPr>
          <w:p w14:paraId="1A730F3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M+ 26D</w:t>
            </w:r>
          </w:p>
        </w:tc>
        <w:tc>
          <w:tcPr>
            <w:tcW w:w="361" w:type="dxa"/>
            <w:tcBorders>
              <w:top w:val="nil"/>
              <w:left w:val="nil"/>
              <w:bottom w:val="single" w:sz="4" w:space="0" w:color="auto"/>
              <w:right w:val="single" w:sz="4" w:space="0" w:color="auto"/>
            </w:tcBorders>
            <w:shd w:val="clear" w:color="auto" w:fill="auto"/>
            <w:vAlign w:val="center"/>
            <w:hideMark/>
          </w:tcPr>
          <w:p w14:paraId="4B1B8CE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7AF9E856" w14:textId="5FBA24E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Vonesa dhe gabime të tjera në </w:t>
            </w:r>
            <w:r w:rsidR="004F2AC3" w:rsidRPr="004F2AC3">
              <w:rPr>
                <w:rFonts w:ascii="Garamond" w:eastAsia="Times New Roman" w:hAnsi="Garamond" w:cs="Times New Roman"/>
                <w:color w:val="000000"/>
                <w:sz w:val="10"/>
                <w:szCs w:val="10"/>
                <w:lang w:eastAsia="sq-AL"/>
              </w:rPr>
              <w:t>procesin</w:t>
            </w:r>
            <w:r w:rsidRPr="004F2AC3">
              <w:rPr>
                <w:rFonts w:ascii="Garamond" w:eastAsia="Times New Roman" w:hAnsi="Garamond" w:cs="Times New Roman"/>
                <w:color w:val="000000"/>
                <w:sz w:val="10"/>
                <w:szCs w:val="10"/>
                <w:lang w:eastAsia="sq-AL"/>
              </w:rPr>
              <w:t xml:space="preserve"> e </w:t>
            </w:r>
            <w:r w:rsidR="004F2AC3" w:rsidRPr="004F2AC3">
              <w:rPr>
                <w:rFonts w:ascii="Garamond" w:eastAsia="Times New Roman" w:hAnsi="Garamond" w:cs="Times New Roman"/>
                <w:color w:val="000000"/>
                <w:sz w:val="10"/>
                <w:szCs w:val="10"/>
                <w:lang w:eastAsia="sq-AL"/>
              </w:rPr>
              <w:t>kontrollit</w:t>
            </w:r>
            <w:r w:rsidRPr="004F2AC3">
              <w:rPr>
                <w:rFonts w:ascii="Garamond" w:eastAsia="Times New Roman" w:hAnsi="Garamond" w:cs="Times New Roman"/>
                <w:color w:val="000000"/>
                <w:sz w:val="10"/>
                <w:szCs w:val="10"/>
                <w:lang w:eastAsia="sq-AL"/>
              </w:rPr>
              <w:t xml:space="preserve"> dhe hedhjes së të dhënave për anketat mujore dhe vjetore të blegtorisë. -|- 4</w:t>
            </w:r>
          </w:p>
        </w:tc>
        <w:tc>
          <w:tcPr>
            <w:tcW w:w="551" w:type="dxa"/>
            <w:tcBorders>
              <w:top w:val="nil"/>
              <w:left w:val="nil"/>
              <w:bottom w:val="single" w:sz="4" w:space="0" w:color="auto"/>
              <w:right w:val="single" w:sz="4" w:space="0" w:color="auto"/>
            </w:tcBorders>
            <w:shd w:val="clear" w:color="auto" w:fill="auto"/>
            <w:vAlign w:val="center"/>
            <w:hideMark/>
          </w:tcPr>
          <w:p w14:paraId="60532AB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1E96EA25" w14:textId="77777777" w:rsidTr="0021321C">
        <w:trPr>
          <w:trHeight w:val="180"/>
          <w:jc w:val="center"/>
        </w:trPr>
        <w:tc>
          <w:tcPr>
            <w:tcW w:w="388" w:type="dxa"/>
            <w:tcBorders>
              <w:top w:val="nil"/>
              <w:left w:val="nil"/>
              <w:bottom w:val="nil"/>
              <w:right w:val="nil"/>
            </w:tcBorders>
            <w:shd w:val="clear" w:color="000000" w:fill="FFFFFF"/>
            <w:vAlign w:val="bottom"/>
            <w:hideMark/>
          </w:tcPr>
          <w:p w14:paraId="3385905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5FF6C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2F98B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A611FD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B0FA7B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2A2EAA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6F11FA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3.1.2.b.4</w:t>
            </w:r>
          </w:p>
        </w:tc>
        <w:tc>
          <w:tcPr>
            <w:tcW w:w="563" w:type="dxa"/>
            <w:tcBorders>
              <w:top w:val="nil"/>
              <w:left w:val="nil"/>
              <w:bottom w:val="single" w:sz="4" w:space="0" w:color="auto"/>
              <w:right w:val="single" w:sz="4" w:space="0" w:color="auto"/>
            </w:tcBorders>
            <w:shd w:val="clear" w:color="auto" w:fill="auto"/>
            <w:vAlign w:val="center"/>
            <w:hideMark/>
          </w:tcPr>
          <w:p w14:paraId="1FB32489" w14:textId="252BF892"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Blegtorisë, Mishit dhe Vezëve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nga vrojtimi mujor mbi monitorimin e aktivitetit të thertoreve të shpendëve</w:t>
            </w:r>
          </w:p>
        </w:tc>
        <w:tc>
          <w:tcPr>
            <w:tcW w:w="446" w:type="dxa"/>
            <w:tcBorders>
              <w:top w:val="nil"/>
              <w:left w:val="nil"/>
              <w:bottom w:val="single" w:sz="4" w:space="0" w:color="auto"/>
              <w:right w:val="single" w:sz="4" w:space="0" w:color="auto"/>
            </w:tcBorders>
            <w:shd w:val="clear" w:color="auto" w:fill="auto"/>
            <w:vAlign w:val="center"/>
            <w:hideMark/>
          </w:tcPr>
          <w:p w14:paraId="368D64D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6961D04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688168D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47A03A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8E6A46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single" w:sz="4" w:space="0" w:color="auto"/>
              <w:right w:val="single" w:sz="4" w:space="0" w:color="auto"/>
            </w:tcBorders>
            <w:shd w:val="clear" w:color="auto" w:fill="auto"/>
            <w:vAlign w:val="center"/>
            <w:hideMark/>
          </w:tcPr>
          <w:p w14:paraId="733DDB62" w14:textId="179F0C3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Prodhimi i vezëve </w:t>
            </w:r>
            <w:r w:rsidR="004F2AC3" w:rsidRPr="004F2AC3">
              <w:rPr>
                <w:rFonts w:ascii="Garamond" w:eastAsia="Times New Roman" w:hAnsi="Garamond" w:cs="Times New Roman"/>
                <w:color w:val="000000"/>
                <w:sz w:val="10"/>
                <w:szCs w:val="10"/>
                <w:lang w:eastAsia="sq-AL"/>
              </w:rPr>
              <w:t>për</w:t>
            </w:r>
            <w:r w:rsidRPr="004F2AC3">
              <w:rPr>
                <w:rFonts w:ascii="Garamond" w:eastAsia="Times New Roman" w:hAnsi="Garamond" w:cs="Times New Roman"/>
                <w:color w:val="000000"/>
                <w:sz w:val="10"/>
                <w:szCs w:val="10"/>
                <w:lang w:eastAsia="sq-AL"/>
              </w:rPr>
              <w:t xml:space="preserve"> konsum </w:t>
            </w:r>
            <w:r w:rsidR="004F2AC3" w:rsidRPr="004F2AC3">
              <w:rPr>
                <w:rFonts w:ascii="Garamond" w:eastAsia="Times New Roman" w:hAnsi="Garamond" w:cs="Times New Roman"/>
                <w:color w:val="000000"/>
                <w:sz w:val="10"/>
                <w:szCs w:val="10"/>
                <w:lang w:eastAsia="sq-AL"/>
              </w:rPr>
              <w:t>njerëzor</w:t>
            </w:r>
            <w:r w:rsidRPr="004F2AC3">
              <w:rPr>
                <w:rFonts w:ascii="Garamond" w:eastAsia="Times New Roman" w:hAnsi="Garamond" w:cs="Times New Roman"/>
                <w:color w:val="000000"/>
                <w:sz w:val="10"/>
                <w:szCs w:val="10"/>
                <w:lang w:eastAsia="sq-AL"/>
              </w:rPr>
              <w:t xml:space="preserve"> (subjektet e prodhimit të vezëve)</w:t>
            </w:r>
            <w:r w:rsidRPr="004F2AC3">
              <w:rPr>
                <w:rFonts w:ascii="Garamond" w:eastAsia="Times New Roman" w:hAnsi="Garamond" w:cs="Times New Roman"/>
                <w:color w:val="000000"/>
                <w:sz w:val="10"/>
                <w:szCs w:val="10"/>
                <w:lang w:eastAsia="sq-AL"/>
              </w:rPr>
              <w:br/>
              <w:t>2. Struktura e çeljeve</w:t>
            </w:r>
            <w:r w:rsidRPr="004F2AC3">
              <w:rPr>
                <w:rFonts w:ascii="Garamond" w:eastAsia="Times New Roman" w:hAnsi="Garamond" w:cs="Times New Roman"/>
                <w:color w:val="000000"/>
                <w:sz w:val="10"/>
                <w:szCs w:val="10"/>
                <w:lang w:eastAsia="sq-AL"/>
              </w:rPr>
              <w:br/>
              <w:t>3. Numri i pulave pjellëse</w:t>
            </w:r>
          </w:p>
        </w:tc>
        <w:tc>
          <w:tcPr>
            <w:tcW w:w="554" w:type="dxa"/>
            <w:tcBorders>
              <w:top w:val="nil"/>
              <w:left w:val="nil"/>
              <w:bottom w:val="single" w:sz="4" w:space="0" w:color="auto"/>
              <w:right w:val="single" w:sz="4" w:space="0" w:color="auto"/>
            </w:tcBorders>
            <w:shd w:val="clear" w:color="auto" w:fill="auto"/>
            <w:vAlign w:val="center"/>
            <w:hideMark/>
          </w:tcPr>
          <w:p w14:paraId="271621E2" w14:textId="7D06F52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171EA881" w14:textId="430BE53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0E3328B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15 e M</w:t>
            </w:r>
          </w:p>
        </w:tc>
        <w:tc>
          <w:tcPr>
            <w:tcW w:w="385" w:type="dxa"/>
            <w:tcBorders>
              <w:top w:val="nil"/>
              <w:left w:val="nil"/>
              <w:bottom w:val="single" w:sz="4" w:space="0" w:color="auto"/>
              <w:right w:val="single" w:sz="4" w:space="0" w:color="auto"/>
            </w:tcBorders>
            <w:shd w:val="clear" w:color="auto" w:fill="auto"/>
            <w:vAlign w:val="center"/>
            <w:hideMark/>
          </w:tcPr>
          <w:p w14:paraId="5BACE13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+ 26D</w:t>
            </w:r>
          </w:p>
        </w:tc>
        <w:tc>
          <w:tcPr>
            <w:tcW w:w="361" w:type="dxa"/>
            <w:tcBorders>
              <w:top w:val="nil"/>
              <w:left w:val="nil"/>
              <w:bottom w:val="single" w:sz="4" w:space="0" w:color="auto"/>
              <w:right w:val="single" w:sz="4" w:space="0" w:color="auto"/>
            </w:tcBorders>
            <w:shd w:val="clear" w:color="auto" w:fill="auto"/>
            <w:vAlign w:val="center"/>
            <w:hideMark/>
          </w:tcPr>
          <w:p w14:paraId="124A0AA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3D875733" w14:textId="5CFEC19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Vonesa dhe gabime të tjera në </w:t>
            </w:r>
            <w:r w:rsidR="004F2AC3" w:rsidRPr="004F2AC3">
              <w:rPr>
                <w:rFonts w:ascii="Garamond" w:eastAsia="Times New Roman" w:hAnsi="Garamond" w:cs="Times New Roman"/>
                <w:color w:val="000000"/>
                <w:sz w:val="10"/>
                <w:szCs w:val="10"/>
                <w:lang w:eastAsia="sq-AL"/>
              </w:rPr>
              <w:t>procesin</w:t>
            </w:r>
            <w:r w:rsidRPr="004F2AC3">
              <w:rPr>
                <w:rFonts w:ascii="Garamond" w:eastAsia="Times New Roman" w:hAnsi="Garamond" w:cs="Times New Roman"/>
                <w:color w:val="000000"/>
                <w:sz w:val="10"/>
                <w:szCs w:val="10"/>
                <w:lang w:eastAsia="sq-AL"/>
              </w:rPr>
              <w:t xml:space="preserve"> e </w:t>
            </w:r>
            <w:r w:rsidR="004F2AC3" w:rsidRPr="004F2AC3">
              <w:rPr>
                <w:rFonts w:ascii="Garamond" w:eastAsia="Times New Roman" w:hAnsi="Garamond" w:cs="Times New Roman"/>
                <w:color w:val="000000"/>
                <w:sz w:val="10"/>
                <w:szCs w:val="10"/>
                <w:lang w:eastAsia="sq-AL"/>
              </w:rPr>
              <w:t>kontrollit</w:t>
            </w:r>
            <w:r w:rsidRPr="004F2AC3">
              <w:rPr>
                <w:rFonts w:ascii="Garamond" w:eastAsia="Times New Roman" w:hAnsi="Garamond" w:cs="Times New Roman"/>
                <w:color w:val="000000"/>
                <w:sz w:val="10"/>
                <w:szCs w:val="10"/>
                <w:lang w:eastAsia="sq-AL"/>
              </w:rPr>
              <w:t xml:space="preserve"> dhe hedhjes së të dhënave për anketat mujore dhe vjetore të blegtorisë. -|- 4</w:t>
            </w:r>
          </w:p>
        </w:tc>
        <w:tc>
          <w:tcPr>
            <w:tcW w:w="551" w:type="dxa"/>
            <w:tcBorders>
              <w:top w:val="nil"/>
              <w:left w:val="nil"/>
              <w:bottom w:val="single" w:sz="4" w:space="0" w:color="auto"/>
              <w:right w:val="single" w:sz="4" w:space="0" w:color="auto"/>
            </w:tcBorders>
            <w:shd w:val="clear" w:color="auto" w:fill="auto"/>
            <w:vAlign w:val="center"/>
            <w:hideMark/>
          </w:tcPr>
          <w:p w14:paraId="0C2911A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7CD8C138" w14:textId="77777777" w:rsidTr="0021321C">
        <w:trPr>
          <w:trHeight w:val="180"/>
          <w:jc w:val="center"/>
        </w:trPr>
        <w:tc>
          <w:tcPr>
            <w:tcW w:w="388" w:type="dxa"/>
            <w:tcBorders>
              <w:top w:val="nil"/>
              <w:left w:val="nil"/>
              <w:bottom w:val="nil"/>
              <w:right w:val="nil"/>
            </w:tcBorders>
            <w:shd w:val="clear" w:color="000000" w:fill="FFFFFF"/>
            <w:vAlign w:val="bottom"/>
            <w:hideMark/>
          </w:tcPr>
          <w:p w14:paraId="1EA142F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B91E58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7202F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8C88D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0EF928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1D4B10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279893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3.1.2.b.5</w:t>
            </w:r>
          </w:p>
        </w:tc>
        <w:tc>
          <w:tcPr>
            <w:tcW w:w="563" w:type="dxa"/>
            <w:tcBorders>
              <w:top w:val="nil"/>
              <w:left w:val="nil"/>
              <w:bottom w:val="single" w:sz="4" w:space="0" w:color="auto"/>
              <w:right w:val="single" w:sz="4" w:space="0" w:color="auto"/>
            </w:tcBorders>
            <w:shd w:val="clear" w:color="auto" w:fill="auto"/>
            <w:vAlign w:val="center"/>
            <w:hideMark/>
          </w:tcPr>
          <w:p w14:paraId="235A429C" w14:textId="48F7F696"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Blegtorisë, Mishit dhe Vezëve nga</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vrojtimi mujor i aktivitetit të pularive për prodhimin e vezëve (konsum njerëzor)</w:t>
            </w:r>
          </w:p>
        </w:tc>
        <w:tc>
          <w:tcPr>
            <w:tcW w:w="446" w:type="dxa"/>
            <w:tcBorders>
              <w:top w:val="nil"/>
              <w:left w:val="nil"/>
              <w:bottom w:val="single" w:sz="4" w:space="0" w:color="auto"/>
              <w:right w:val="single" w:sz="4" w:space="0" w:color="auto"/>
            </w:tcBorders>
            <w:shd w:val="clear" w:color="auto" w:fill="auto"/>
            <w:vAlign w:val="center"/>
            <w:hideMark/>
          </w:tcPr>
          <w:p w14:paraId="58BA1CC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76EE204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28585F64"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615049E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02F32A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nil"/>
              <w:right w:val="single" w:sz="4" w:space="0" w:color="auto"/>
            </w:tcBorders>
            <w:shd w:val="clear" w:color="auto" w:fill="auto"/>
            <w:vAlign w:val="center"/>
            <w:hideMark/>
          </w:tcPr>
          <w:p w14:paraId="0DB7ECF2" w14:textId="1D01E116" w:rsidR="0021321C" w:rsidRPr="004F2AC3" w:rsidRDefault="0021321C" w:rsidP="00376756">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Prodhimi i mishit t</w:t>
            </w:r>
            <w:r w:rsidR="00376756"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shpend</w:t>
            </w:r>
            <w:r w:rsidR="00376756"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ve nga thertoret</w:t>
            </w:r>
            <w:r w:rsidR="00376756"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Import - eksporti i </w:t>
            </w:r>
            <w:r w:rsidR="00376756" w:rsidRPr="004F2AC3">
              <w:rPr>
                <w:rFonts w:ascii="Garamond" w:eastAsia="Times New Roman" w:hAnsi="Garamond" w:cs="Times New Roman"/>
                <w:color w:val="000000"/>
                <w:sz w:val="10"/>
                <w:szCs w:val="10"/>
                <w:lang w:eastAsia="sq-AL"/>
              </w:rPr>
              <w:t>shpendëve.</w:t>
            </w:r>
          </w:p>
        </w:tc>
        <w:tc>
          <w:tcPr>
            <w:tcW w:w="554" w:type="dxa"/>
            <w:tcBorders>
              <w:top w:val="nil"/>
              <w:left w:val="nil"/>
              <w:bottom w:val="single" w:sz="4" w:space="0" w:color="auto"/>
              <w:right w:val="single" w:sz="4" w:space="0" w:color="auto"/>
            </w:tcBorders>
            <w:shd w:val="clear" w:color="auto" w:fill="auto"/>
            <w:vAlign w:val="center"/>
            <w:hideMark/>
          </w:tcPr>
          <w:p w14:paraId="6409A813" w14:textId="0DCB2EF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6181C887" w14:textId="6166F05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37675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4AF6C4E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11 e M</w:t>
            </w:r>
          </w:p>
        </w:tc>
        <w:tc>
          <w:tcPr>
            <w:tcW w:w="385" w:type="dxa"/>
            <w:tcBorders>
              <w:top w:val="nil"/>
              <w:left w:val="nil"/>
              <w:bottom w:val="single" w:sz="4" w:space="0" w:color="auto"/>
              <w:right w:val="single" w:sz="4" w:space="0" w:color="auto"/>
            </w:tcBorders>
            <w:shd w:val="clear" w:color="auto" w:fill="auto"/>
            <w:vAlign w:val="center"/>
            <w:hideMark/>
          </w:tcPr>
          <w:p w14:paraId="77EC8DE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+ 30D</w:t>
            </w:r>
          </w:p>
        </w:tc>
        <w:tc>
          <w:tcPr>
            <w:tcW w:w="361" w:type="dxa"/>
            <w:tcBorders>
              <w:top w:val="nil"/>
              <w:left w:val="nil"/>
              <w:bottom w:val="single" w:sz="4" w:space="0" w:color="auto"/>
              <w:right w:val="single" w:sz="4" w:space="0" w:color="auto"/>
            </w:tcBorders>
            <w:shd w:val="clear" w:color="auto" w:fill="auto"/>
            <w:noWrap/>
            <w:vAlign w:val="center"/>
            <w:hideMark/>
          </w:tcPr>
          <w:p w14:paraId="490DF69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37BB01B6" w14:textId="01E6E64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Gabime të bëra nga stafi ekspert gjatë përpunimit dhe nxjerrjes së rezultateve duke sjell ndikim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cilësinë e produktit -|- 4</w:t>
            </w:r>
            <w:r w:rsidRPr="004F2AC3">
              <w:rPr>
                <w:rFonts w:ascii="Garamond" w:eastAsia="Times New Roman" w:hAnsi="Garamond" w:cs="Times New Roman"/>
                <w:color w:val="000000"/>
                <w:sz w:val="10"/>
                <w:szCs w:val="10"/>
                <w:lang w:eastAsia="sq-AL"/>
              </w:rPr>
              <w:br/>
              <w:t>2. Vonesa dhe gabime të tjera në procesin e kontrollit dhe hedhjes së të dhënave për anketat mujore dhe vjetore të blegtorisë -|- 4</w:t>
            </w:r>
            <w:r w:rsidRPr="004F2AC3">
              <w:rPr>
                <w:rFonts w:ascii="Garamond" w:eastAsia="Times New Roman" w:hAnsi="Garamond" w:cs="Times New Roman"/>
                <w:color w:val="000000"/>
                <w:sz w:val="10"/>
                <w:szCs w:val="10"/>
                <w:lang w:eastAsia="sq-AL"/>
              </w:rPr>
              <w:br/>
              <w:t xml:space="preserve">3. Vonesa dhe gabime të tjera në </w:t>
            </w:r>
            <w:r w:rsidR="004F2AC3" w:rsidRPr="004F2AC3">
              <w:rPr>
                <w:rFonts w:ascii="Garamond" w:eastAsia="Times New Roman" w:hAnsi="Garamond" w:cs="Times New Roman"/>
                <w:color w:val="000000"/>
                <w:sz w:val="10"/>
                <w:szCs w:val="10"/>
                <w:lang w:eastAsia="sq-AL"/>
              </w:rPr>
              <w:t>procesin</w:t>
            </w:r>
            <w:r w:rsidRPr="004F2AC3">
              <w:rPr>
                <w:rFonts w:ascii="Garamond" w:eastAsia="Times New Roman" w:hAnsi="Garamond" w:cs="Times New Roman"/>
                <w:color w:val="000000"/>
                <w:sz w:val="10"/>
                <w:szCs w:val="10"/>
                <w:lang w:eastAsia="sq-AL"/>
              </w:rPr>
              <w:t xml:space="preserve"> e </w:t>
            </w:r>
            <w:r w:rsidR="004F2AC3" w:rsidRPr="004F2AC3">
              <w:rPr>
                <w:rFonts w:ascii="Garamond" w:eastAsia="Times New Roman" w:hAnsi="Garamond" w:cs="Times New Roman"/>
                <w:color w:val="000000"/>
                <w:sz w:val="10"/>
                <w:szCs w:val="10"/>
                <w:lang w:eastAsia="sq-AL"/>
              </w:rPr>
              <w:t>kontrollit</w:t>
            </w:r>
            <w:r w:rsidRPr="004F2AC3">
              <w:rPr>
                <w:rFonts w:ascii="Garamond" w:eastAsia="Times New Roman" w:hAnsi="Garamond" w:cs="Times New Roman"/>
                <w:color w:val="000000"/>
                <w:sz w:val="10"/>
                <w:szCs w:val="10"/>
                <w:lang w:eastAsia="sq-AL"/>
              </w:rPr>
              <w:t xml:space="preserve"> dhe hedhjes së të dhënave për anketat mujore dhe vjetore të blegtorisë -|- 4</w:t>
            </w:r>
            <w:r w:rsidRPr="004F2AC3">
              <w:rPr>
                <w:rFonts w:ascii="Garamond" w:eastAsia="Times New Roman" w:hAnsi="Garamond" w:cs="Times New Roman"/>
                <w:color w:val="000000"/>
                <w:sz w:val="10"/>
                <w:szCs w:val="10"/>
                <w:lang w:eastAsia="sq-AL"/>
              </w:rPr>
              <w:br/>
              <w:t>4. Gabime në hedhjen e të dhënave nga vrojtimet statistikore të sektorit. -|- 4</w:t>
            </w:r>
          </w:p>
        </w:tc>
        <w:tc>
          <w:tcPr>
            <w:tcW w:w="551" w:type="dxa"/>
            <w:tcBorders>
              <w:top w:val="nil"/>
              <w:left w:val="nil"/>
              <w:bottom w:val="single" w:sz="4" w:space="0" w:color="auto"/>
              <w:right w:val="single" w:sz="4" w:space="0" w:color="auto"/>
            </w:tcBorders>
            <w:shd w:val="clear" w:color="auto" w:fill="auto"/>
            <w:vAlign w:val="center"/>
            <w:hideMark/>
          </w:tcPr>
          <w:p w14:paraId="1C3D75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501F17F8" w14:textId="77777777" w:rsidTr="0021321C">
        <w:trPr>
          <w:trHeight w:val="180"/>
          <w:jc w:val="center"/>
        </w:trPr>
        <w:tc>
          <w:tcPr>
            <w:tcW w:w="388" w:type="dxa"/>
            <w:tcBorders>
              <w:top w:val="nil"/>
              <w:left w:val="nil"/>
              <w:bottom w:val="nil"/>
              <w:right w:val="nil"/>
            </w:tcBorders>
            <w:shd w:val="clear" w:color="000000" w:fill="FFFFFF"/>
            <w:vAlign w:val="bottom"/>
            <w:hideMark/>
          </w:tcPr>
          <w:p w14:paraId="22796AD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704B0B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9FC4AE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ED335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7C77D4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B1D62D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single" w:sz="4" w:space="0" w:color="000000"/>
              <w:right w:val="nil"/>
            </w:tcBorders>
            <w:shd w:val="clear" w:color="000000" w:fill="F0F0F0"/>
            <w:vAlign w:val="center"/>
            <w:hideMark/>
          </w:tcPr>
          <w:p w14:paraId="61656A0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3.1.2.c</w:t>
            </w:r>
          </w:p>
        </w:tc>
        <w:tc>
          <w:tcPr>
            <w:tcW w:w="7155" w:type="dxa"/>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0AA0A6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qumështit dhe nënprodukteve të tij</w:t>
            </w:r>
          </w:p>
        </w:tc>
      </w:tr>
      <w:tr w:rsidR="00C73163" w:rsidRPr="004F2AC3" w14:paraId="7E513DC2" w14:textId="77777777" w:rsidTr="0021321C">
        <w:trPr>
          <w:trHeight w:val="180"/>
          <w:jc w:val="center"/>
        </w:trPr>
        <w:tc>
          <w:tcPr>
            <w:tcW w:w="388" w:type="dxa"/>
            <w:tcBorders>
              <w:top w:val="nil"/>
              <w:left w:val="nil"/>
              <w:bottom w:val="nil"/>
              <w:right w:val="nil"/>
            </w:tcBorders>
            <w:shd w:val="clear" w:color="000000" w:fill="FFFFFF"/>
            <w:vAlign w:val="bottom"/>
            <w:hideMark/>
          </w:tcPr>
          <w:p w14:paraId="53E75EC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E2C08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A58B5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8412DF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78C29F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732405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2DDB4D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3.1.2.c.1</w:t>
            </w:r>
          </w:p>
        </w:tc>
        <w:tc>
          <w:tcPr>
            <w:tcW w:w="563" w:type="dxa"/>
            <w:tcBorders>
              <w:top w:val="nil"/>
              <w:left w:val="nil"/>
              <w:bottom w:val="single" w:sz="4" w:space="0" w:color="auto"/>
              <w:right w:val="single" w:sz="4" w:space="0" w:color="auto"/>
            </w:tcBorders>
            <w:shd w:val="clear" w:color="auto" w:fill="auto"/>
            <w:vAlign w:val="center"/>
            <w:hideMark/>
          </w:tcPr>
          <w:p w14:paraId="51383589" w14:textId="1BE5EAD8"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Qumështit dhe Nënprodukteve të tij të</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Vrojtimi vjetor në të gjitha fabrikat dhe baxhot që grumbullojnë dhe përpunojnë qumësht</w:t>
            </w:r>
          </w:p>
        </w:tc>
        <w:tc>
          <w:tcPr>
            <w:tcW w:w="446" w:type="dxa"/>
            <w:tcBorders>
              <w:top w:val="nil"/>
              <w:left w:val="nil"/>
              <w:bottom w:val="single" w:sz="4" w:space="0" w:color="auto"/>
              <w:right w:val="single" w:sz="4" w:space="0" w:color="auto"/>
            </w:tcBorders>
            <w:shd w:val="clear" w:color="auto" w:fill="auto"/>
            <w:vAlign w:val="center"/>
            <w:hideMark/>
          </w:tcPr>
          <w:p w14:paraId="746A980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bottom"/>
            <w:hideMark/>
          </w:tcPr>
          <w:p w14:paraId="3857BE9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193712DA"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70DAFB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1BFF9EE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388085E6" w14:textId="1D1A3C4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w:t>
            </w:r>
            <w:r w:rsidR="00C73163" w:rsidRPr="004F2AC3">
              <w:rPr>
                <w:rFonts w:ascii="Garamond" w:eastAsia="Times New Roman" w:hAnsi="Garamond" w:cs="Times New Roman"/>
                <w:color w:val="000000"/>
                <w:sz w:val="10"/>
                <w:szCs w:val="10"/>
                <w:lang w:eastAsia="sq-AL"/>
              </w:rPr>
              <w:t>asia e qumështit të grumbulluar;</w:t>
            </w:r>
            <w:r w:rsidRPr="004F2AC3">
              <w:rPr>
                <w:rFonts w:ascii="Garamond" w:eastAsia="Times New Roman" w:hAnsi="Garamond" w:cs="Times New Roman"/>
                <w:color w:val="000000"/>
                <w:sz w:val="10"/>
                <w:szCs w:val="10"/>
                <w:lang w:eastAsia="sq-AL"/>
              </w:rPr>
              <w:br/>
              <w:t>2. Nën produktet e qumështit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Përmbajtja mesatare e yndyrës dhe proteinave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Struktura e fabrikave/qendrave të grumbullimit</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359D8AF1" w14:textId="5144C2B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77E816D7" w14:textId="2803AAB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1DC1276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+ 57D</w:t>
            </w:r>
          </w:p>
        </w:tc>
        <w:tc>
          <w:tcPr>
            <w:tcW w:w="385" w:type="dxa"/>
            <w:tcBorders>
              <w:top w:val="nil"/>
              <w:left w:val="nil"/>
              <w:bottom w:val="single" w:sz="4" w:space="0" w:color="auto"/>
              <w:right w:val="single" w:sz="4" w:space="0" w:color="auto"/>
            </w:tcBorders>
            <w:shd w:val="clear" w:color="auto" w:fill="auto"/>
            <w:vAlign w:val="center"/>
            <w:hideMark/>
          </w:tcPr>
          <w:p w14:paraId="1611401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+ 147D</w:t>
            </w:r>
          </w:p>
        </w:tc>
        <w:tc>
          <w:tcPr>
            <w:tcW w:w="361" w:type="dxa"/>
            <w:tcBorders>
              <w:top w:val="nil"/>
              <w:left w:val="nil"/>
              <w:bottom w:val="single" w:sz="4" w:space="0" w:color="auto"/>
              <w:right w:val="single" w:sz="4" w:space="0" w:color="auto"/>
            </w:tcBorders>
            <w:shd w:val="clear" w:color="auto" w:fill="auto"/>
            <w:vAlign w:val="center"/>
            <w:hideMark/>
          </w:tcPr>
          <w:p w14:paraId="2ED533A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+ 189D</w:t>
            </w:r>
          </w:p>
        </w:tc>
        <w:tc>
          <w:tcPr>
            <w:tcW w:w="732" w:type="dxa"/>
            <w:tcBorders>
              <w:top w:val="nil"/>
              <w:left w:val="nil"/>
              <w:bottom w:val="single" w:sz="4" w:space="0" w:color="auto"/>
              <w:right w:val="single" w:sz="4" w:space="0" w:color="auto"/>
            </w:tcBorders>
            <w:shd w:val="clear" w:color="auto" w:fill="auto"/>
            <w:vAlign w:val="center"/>
            <w:hideMark/>
          </w:tcPr>
          <w:p w14:paraId="442BAACB" w14:textId="300AD15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Gabime të bëra nga stafi ekspert gjatë përpunimit dhe nxjerrjes së rezultateve duke sjell ndikim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cilësinë e produktit -|- 4</w:t>
            </w:r>
            <w:r w:rsidRPr="004F2AC3">
              <w:rPr>
                <w:rFonts w:ascii="Garamond" w:eastAsia="Times New Roman" w:hAnsi="Garamond" w:cs="Times New Roman"/>
                <w:color w:val="000000"/>
                <w:sz w:val="10"/>
                <w:szCs w:val="10"/>
                <w:lang w:eastAsia="sq-AL"/>
              </w:rPr>
              <w:br/>
              <w:t xml:space="preserve">2. Vonesa dhe gabime të tjera në </w:t>
            </w:r>
            <w:r w:rsidR="004F2AC3" w:rsidRPr="004F2AC3">
              <w:rPr>
                <w:rFonts w:ascii="Garamond" w:eastAsia="Times New Roman" w:hAnsi="Garamond" w:cs="Times New Roman"/>
                <w:color w:val="000000"/>
                <w:sz w:val="10"/>
                <w:szCs w:val="10"/>
                <w:lang w:eastAsia="sq-AL"/>
              </w:rPr>
              <w:t>procesin</w:t>
            </w:r>
            <w:r w:rsidRPr="004F2AC3">
              <w:rPr>
                <w:rFonts w:ascii="Garamond" w:eastAsia="Times New Roman" w:hAnsi="Garamond" w:cs="Times New Roman"/>
                <w:color w:val="000000"/>
                <w:sz w:val="10"/>
                <w:szCs w:val="10"/>
                <w:lang w:eastAsia="sq-AL"/>
              </w:rPr>
              <w:t xml:space="preserve"> e kontrollit dhe hedhjes së të dhënave për anketat mujore dhe vjetore të blegtorisë -|- 4</w:t>
            </w:r>
            <w:r w:rsidRPr="004F2AC3">
              <w:rPr>
                <w:rFonts w:ascii="Garamond" w:eastAsia="Times New Roman" w:hAnsi="Garamond" w:cs="Times New Roman"/>
                <w:color w:val="000000"/>
                <w:sz w:val="10"/>
                <w:szCs w:val="10"/>
                <w:lang w:eastAsia="sq-AL"/>
              </w:rPr>
              <w:br/>
              <w:t>3. Ardhja e pyetësorëve me vonesë në INSTAT lidhur me: Statistikat e qumështit dhe nënprodukteve të tij të gjeneruara nga vrojtimi vjetor dhe mujor në fabrikat dhe baxhot që grumbullojnë dhe përpunojnë qumësht (të gjithë llojet -|- 4, 4</w:t>
            </w:r>
            <w:r w:rsidRPr="004F2AC3">
              <w:rPr>
                <w:rFonts w:ascii="Garamond" w:eastAsia="Times New Roman" w:hAnsi="Garamond" w:cs="Times New Roman"/>
                <w:color w:val="000000"/>
                <w:sz w:val="10"/>
                <w:szCs w:val="10"/>
                <w:lang w:eastAsia="sq-AL"/>
              </w:rPr>
              <w:br/>
              <w:t>4. Gabime në hedhjen e të dhënave nga vrojtimet statistikore të sektorit - -|- 4</w:t>
            </w:r>
          </w:p>
        </w:tc>
        <w:tc>
          <w:tcPr>
            <w:tcW w:w="551" w:type="dxa"/>
            <w:tcBorders>
              <w:top w:val="nil"/>
              <w:left w:val="nil"/>
              <w:bottom w:val="single" w:sz="4" w:space="0" w:color="auto"/>
              <w:right w:val="single" w:sz="4" w:space="0" w:color="auto"/>
            </w:tcBorders>
            <w:shd w:val="clear" w:color="auto" w:fill="auto"/>
            <w:vAlign w:val="center"/>
            <w:hideMark/>
          </w:tcPr>
          <w:p w14:paraId="5A4403C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3C139604" w14:textId="77777777" w:rsidTr="0021321C">
        <w:trPr>
          <w:trHeight w:val="180"/>
          <w:jc w:val="center"/>
        </w:trPr>
        <w:tc>
          <w:tcPr>
            <w:tcW w:w="388" w:type="dxa"/>
            <w:tcBorders>
              <w:top w:val="nil"/>
              <w:left w:val="nil"/>
              <w:bottom w:val="nil"/>
              <w:right w:val="nil"/>
            </w:tcBorders>
            <w:shd w:val="clear" w:color="000000" w:fill="FFFFFF"/>
            <w:vAlign w:val="bottom"/>
            <w:hideMark/>
          </w:tcPr>
          <w:p w14:paraId="0DBB27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FDC975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CA6B21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20AA26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D05FE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9FE525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1CAAD7E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3.1.2.c.2</w:t>
            </w:r>
          </w:p>
        </w:tc>
        <w:tc>
          <w:tcPr>
            <w:tcW w:w="563" w:type="dxa"/>
            <w:tcBorders>
              <w:top w:val="nil"/>
              <w:left w:val="nil"/>
              <w:bottom w:val="single" w:sz="4" w:space="0" w:color="auto"/>
              <w:right w:val="single" w:sz="4" w:space="0" w:color="auto"/>
            </w:tcBorders>
            <w:shd w:val="clear" w:color="auto" w:fill="auto"/>
            <w:vAlign w:val="center"/>
            <w:hideMark/>
          </w:tcPr>
          <w:p w14:paraId="6128DCFB" w14:textId="69D254C0"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Qumështit dhe Nënprodukteve të tij</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nga Vrojtimi mujor në fabrikat që grumbullojnë dhe përpunojnë qumështin e lopës</w:t>
            </w:r>
          </w:p>
        </w:tc>
        <w:tc>
          <w:tcPr>
            <w:tcW w:w="446" w:type="dxa"/>
            <w:tcBorders>
              <w:top w:val="nil"/>
              <w:left w:val="nil"/>
              <w:bottom w:val="single" w:sz="4" w:space="0" w:color="auto"/>
              <w:right w:val="single" w:sz="4" w:space="0" w:color="auto"/>
            </w:tcBorders>
            <w:shd w:val="clear" w:color="auto" w:fill="auto"/>
            <w:vAlign w:val="center"/>
            <w:hideMark/>
          </w:tcPr>
          <w:p w14:paraId="77B267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bottom"/>
            <w:hideMark/>
          </w:tcPr>
          <w:p w14:paraId="1248867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035A9D8F"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465B17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2FABA97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single" w:sz="4" w:space="0" w:color="auto"/>
              <w:right w:val="single" w:sz="4" w:space="0" w:color="auto"/>
            </w:tcBorders>
            <w:shd w:val="clear" w:color="auto" w:fill="auto"/>
            <w:vAlign w:val="center"/>
            <w:hideMark/>
          </w:tcPr>
          <w:p w14:paraId="679156AE" w14:textId="312204A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Grumbullimi dhe përpunimi i qumështit të lopës sipas % se yndyrës dhe proteinës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Nënproduktet kryesore nga qumështi i lopës të prodhuar nga subjektet e përpunimit të qumështit</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4DB7353D" w14:textId="7F48266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088251CF" w14:textId="2FAF66E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0A89343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15 e M</w:t>
            </w:r>
          </w:p>
        </w:tc>
        <w:tc>
          <w:tcPr>
            <w:tcW w:w="385" w:type="dxa"/>
            <w:tcBorders>
              <w:top w:val="nil"/>
              <w:left w:val="nil"/>
              <w:bottom w:val="single" w:sz="4" w:space="0" w:color="auto"/>
              <w:right w:val="single" w:sz="4" w:space="0" w:color="auto"/>
            </w:tcBorders>
            <w:shd w:val="clear" w:color="auto" w:fill="auto"/>
            <w:vAlign w:val="center"/>
            <w:hideMark/>
          </w:tcPr>
          <w:p w14:paraId="4CA4D66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26 e M</w:t>
            </w:r>
          </w:p>
        </w:tc>
        <w:tc>
          <w:tcPr>
            <w:tcW w:w="361" w:type="dxa"/>
            <w:tcBorders>
              <w:top w:val="nil"/>
              <w:left w:val="nil"/>
              <w:bottom w:val="single" w:sz="4" w:space="0" w:color="auto"/>
              <w:right w:val="single" w:sz="4" w:space="0" w:color="auto"/>
            </w:tcBorders>
            <w:shd w:val="clear" w:color="auto" w:fill="auto"/>
            <w:noWrap/>
            <w:vAlign w:val="center"/>
            <w:hideMark/>
          </w:tcPr>
          <w:p w14:paraId="6AC3197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59B5E751" w14:textId="0C5AC56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Gabime të bëra nga stafi ekspert gjatë përpunimit dhe nxjerrjes së rezultateve duke sjell ndikim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cilësinë e produktit -|- 4</w:t>
            </w:r>
            <w:r w:rsidRPr="004F2AC3">
              <w:rPr>
                <w:rFonts w:ascii="Garamond" w:eastAsia="Times New Roman" w:hAnsi="Garamond" w:cs="Times New Roman"/>
                <w:color w:val="000000"/>
                <w:sz w:val="10"/>
                <w:szCs w:val="10"/>
                <w:lang w:eastAsia="sq-AL"/>
              </w:rPr>
              <w:br/>
              <w:t>2. Moskryerja e kontrolleve periodike në terren riskon cilësinë e të dhënave të mbledhura -|- 4</w:t>
            </w:r>
          </w:p>
        </w:tc>
        <w:tc>
          <w:tcPr>
            <w:tcW w:w="551" w:type="dxa"/>
            <w:tcBorders>
              <w:top w:val="nil"/>
              <w:left w:val="nil"/>
              <w:bottom w:val="single" w:sz="4" w:space="0" w:color="auto"/>
              <w:right w:val="single" w:sz="4" w:space="0" w:color="auto"/>
            </w:tcBorders>
            <w:shd w:val="clear" w:color="auto" w:fill="auto"/>
            <w:vAlign w:val="center"/>
            <w:hideMark/>
          </w:tcPr>
          <w:p w14:paraId="3277E18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200D7B2B" w14:textId="77777777" w:rsidTr="0021321C">
        <w:trPr>
          <w:trHeight w:val="180"/>
          <w:jc w:val="center"/>
        </w:trPr>
        <w:tc>
          <w:tcPr>
            <w:tcW w:w="388" w:type="dxa"/>
            <w:tcBorders>
              <w:top w:val="nil"/>
              <w:left w:val="nil"/>
              <w:bottom w:val="nil"/>
              <w:right w:val="nil"/>
            </w:tcBorders>
            <w:shd w:val="clear" w:color="000000" w:fill="FFFFFF"/>
            <w:vAlign w:val="bottom"/>
            <w:hideMark/>
          </w:tcPr>
          <w:p w14:paraId="566EE41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731B2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8A0930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334667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C4B48D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F36D5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45B4BD9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3.1.2.c.3</w:t>
            </w:r>
          </w:p>
        </w:tc>
        <w:tc>
          <w:tcPr>
            <w:tcW w:w="563" w:type="dxa"/>
            <w:tcBorders>
              <w:top w:val="nil"/>
              <w:left w:val="nil"/>
              <w:bottom w:val="single" w:sz="4" w:space="0" w:color="auto"/>
              <w:right w:val="single" w:sz="4" w:space="0" w:color="auto"/>
            </w:tcBorders>
            <w:shd w:val="clear" w:color="auto" w:fill="auto"/>
            <w:vAlign w:val="center"/>
            <w:hideMark/>
          </w:tcPr>
          <w:p w14:paraId="41DA1276" w14:textId="36342DC8"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Qumështit dhe Nënprodukteve të tij</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nga burimi administrativ</w:t>
            </w:r>
          </w:p>
        </w:tc>
        <w:tc>
          <w:tcPr>
            <w:tcW w:w="446" w:type="dxa"/>
            <w:tcBorders>
              <w:top w:val="nil"/>
              <w:left w:val="nil"/>
              <w:bottom w:val="single" w:sz="4" w:space="0" w:color="auto"/>
              <w:right w:val="single" w:sz="4" w:space="0" w:color="auto"/>
            </w:tcBorders>
            <w:shd w:val="clear" w:color="auto" w:fill="auto"/>
            <w:vAlign w:val="center"/>
            <w:hideMark/>
          </w:tcPr>
          <w:p w14:paraId="6603131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1EFFDAC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5878EF7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3286922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FA19C4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auto" w:fill="auto"/>
            <w:vAlign w:val="center"/>
            <w:hideMark/>
          </w:tcPr>
          <w:p w14:paraId="25F6811B" w14:textId="61F1D0F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Prodhimi i qumështit sipas llojit, qarkut dhe bashkisë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Rendimenti i prodhimit të qumështit sipas llojit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nivel qarku dhe bashkie</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7CC3ACC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Ministria e Bujqësisë dhe Zhvillimit Rural</w:t>
            </w:r>
          </w:p>
        </w:tc>
        <w:tc>
          <w:tcPr>
            <w:tcW w:w="413" w:type="dxa"/>
            <w:tcBorders>
              <w:top w:val="nil"/>
              <w:left w:val="nil"/>
              <w:bottom w:val="single" w:sz="4" w:space="0" w:color="auto"/>
              <w:right w:val="single" w:sz="4" w:space="0" w:color="auto"/>
            </w:tcBorders>
            <w:shd w:val="clear" w:color="auto" w:fill="auto"/>
            <w:vAlign w:val="center"/>
            <w:hideMark/>
          </w:tcPr>
          <w:p w14:paraId="79C7D1BD" w14:textId="6000958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7E7186"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01C6274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+ 113D</w:t>
            </w:r>
          </w:p>
        </w:tc>
        <w:tc>
          <w:tcPr>
            <w:tcW w:w="385" w:type="dxa"/>
            <w:tcBorders>
              <w:top w:val="nil"/>
              <w:left w:val="nil"/>
              <w:bottom w:val="single" w:sz="4" w:space="0" w:color="auto"/>
              <w:right w:val="single" w:sz="4" w:space="0" w:color="auto"/>
            </w:tcBorders>
            <w:shd w:val="clear" w:color="000000" w:fill="FFFFFF"/>
            <w:vAlign w:val="center"/>
            <w:hideMark/>
          </w:tcPr>
          <w:p w14:paraId="29DDFD7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+ 169D</w:t>
            </w:r>
          </w:p>
        </w:tc>
        <w:tc>
          <w:tcPr>
            <w:tcW w:w="361" w:type="dxa"/>
            <w:tcBorders>
              <w:top w:val="nil"/>
              <w:left w:val="nil"/>
              <w:bottom w:val="single" w:sz="4" w:space="0" w:color="auto"/>
              <w:right w:val="single" w:sz="4" w:space="0" w:color="auto"/>
            </w:tcBorders>
            <w:shd w:val="clear" w:color="000000" w:fill="FFFFFF"/>
            <w:vAlign w:val="center"/>
            <w:hideMark/>
          </w:tcPr>
          <w:p w14:paraId="44510E2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+ 176D</w:t>
            </w:r>
          </w:p>
        </w:tc>
        <w:tc>
          <w:tcPr>
            <w:tcW w:w="732" w:type="dxa"/>
            <w:tcBorders>
              <w:top w:val="nil"/>
              <w:left w:val="nil"/>
              <w:bottom w:val="single" w:sz="4" w:space="0" w:color="auto"/>
              <w:right w:val="single" w:sz="4" w:space="0" w:color="auto"/>
            </w:tcBorders>
            <w:shd w:val="clear" w:color="auto" w:fill="auto"/>
            <w:vAlign w:val="center"/>
            <w:hideMark/>
          </w:tcPr>
          <w:p w14:paraId="7497E14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lidhur me: Statistikat e qumështit -|- 4</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të dhënat administrative lidhur me: Statistikat e qumështit -|- 4</w:t>
            </w:r>
            <w:r w:rsidRPr="004F2AC3">
              <w:rPr>
                <w:rFonts w:ascii="Garamond" w:eastAsia="Times New Roman" w:hAnsi="Garamond" w:cs="Times New Roman"/>
                <w:color w:val="000000"/>
                <w:sz w:val="10"/>
                <w:szCs w:val="10"/>
                <w:lang w:eastAsia="sq-AL"/>
              </w:rPr>
              <w:br/>
              <w:t>3. Mosrealizimi në kohë dhe me cilësi i treguesve të qumështit - -|- 4</w:t>
            </w:r>
            <w:r w:rsidRPr="004F2AC3">
              <w:rPr>
                <w:rFonts w:ascii="Garamond" w:eastAsia="Times New Roman" w:hAnsi="Garamond" w:cs="Times New Roman"/>
                <w:color w:val="000000"/>
                <w:sz w:val="10"/>
                <w:szCs w:val="10"/>
                <w:lang w:eastAsia="sq-AL"/>
              </w:rPr>
              <w:br/>
              <w:t>4. Mosrealizimit I aktiviteteve statistikore që janë detyrim i burimit administrativ lidhur me: Statistikat e qumështit gjeneruar nga burimi administrative -|- 4</w:t>
            </w:r>
            <w:r w:rsidRPr="004F2AC3">
              <w:rPr>
                <w:rFonts w:ascii="Garamond" w:eastAsia="Times New Roman" w:hAnsi="Garamond" w:cs="Times New Roman"/>
                <w:color w:val="000000"/>
                <w:sz w:val="10"/>
                <w:szCs w:val="10"/>
                <w:lang w:eastAsia="sq-AL"/>
              </w:rPr>
              <w:br/>
              <w:t>5. Gabime në përllogaritjen e treguesve -|- 4</w:t>
            </w:r>
          </w:p>
        </w:tc>
        <w:tc>
          <w:tcPr>
            <w:tcW w:w="551" w:type="dxa"/>
            <w:tcBorders>
              <w:top w:val="nil"/>
              <w:left w:val="nil"/>
              <w:bottom w:val="single" w:sz="4" w:space="0" w:color="auto"/>
              <w:right w:val="single" w:sz="4" w:space="0" w:color="auto"/>
            </w:tcBorders>
            <w:shd w:val="clear" w:color="auto" w:fill="auto"/>
            <w:vAlign w:val="center"/>
            <w:hideMark/>
          </w:tcPr>
          <w:p w14:paraId="01AB349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3C1525A4" w14:textId="77777777" w:rsidTr="0021321C">
        <w:trPr>
          <w:trHeight w:val="180"/>
          <w:jc w:val="center"/>
        </w:trPr>
        <w:tc>
          <w:tcPr>
            <w:tcW w:w="388" w:type="dxa"/>
            <w:tcBorders>
              <w:top w:val="nil"/>
              <w:left w:val="nil"/>
              <w:bottom w:val="nil"/>
              <w:right w:val="nil"/>
            </w:tcBorders>
            <w:shd w:val="clear" w:color="000000" w:fill="FFFFFF"/>
            <w:vAlign w:val="bottom"/>
            <w:hideMark/>
          </w:tcPr>
          <w:p w14:paraId="403AF33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090961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5DAAA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0C8E8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692D6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A3B689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single" w:sz="4" w:space="0" w:color="000000"/>
              <w:right w:val="nil"/>
            </w:tcBorders>
            <w:shd w:val="clear" w:color="000000" w:fill="F0F0F0"/>
            <w:vAlign w:val="center"/>
            <w:hideMark/>
          </w:tcPr>
          <w:p w14:paraId="3428CB1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3.1.2.d</w:t>
            </w:r>
          </w:p>
        </w:tc>
        <w:tc>
          <w:tcPr>
            <w:tcW w:w="7155" w:type="dxa"/>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1C030CF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Strukturore të Fermës</w:t>
            </w:r>
          </w:p>
        </w:tc>
      </w:tr>
      <w:tr w:rsidR="00C73163" w:rsidRPr="004F2AC3" w14:paraId="6E3A087F" w14:textId="77777777" w:rsidTr="0021321C">
        <w:trPr>
          <w:trHeight w:val="180"/>
          <w:jc w:val="center"/>
        </w:trPr>
        <w:tc>
          <w:tcPr>
            <w:tcW w:w="388" w:type="dxa"/>
            <w:tcBorders>
              <w:top w:val="nil"/>
              <w:left w:val="nil"/>
              <w:bottom w:val="nil"/>
              <w:right w:val="nil"/>
            </w:tcBorders>
            <w:shd w:val="clear" w:color="000000" w:fill="FFFFFF"/>
            <w:vAlign w:val="bottom"/>
            <w:hideMark/>
          </w:tcPr>
          <w:p w14:paraId="1251CA1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6C3839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59C158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FF244B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C43F4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5F97E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6F71909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3.1.2.d.1</w:t>
            </w:r>
          </w:p>
        </w:tc>
        <w:tc>
          <w:tcPr>
            <w:tcW w:w="563" w:type="dxa"/>
            <w:tcBorders>
              <w:top w:val="nil"/>
              <w:left w:val="nil"/>
              <w:bottom w:val="single" w:sz="4" w:space="0" w:color="auto"/>
              <w:right w:val="single" w:sz="4" w:space="0" w:color="auto"/>
            </w:tcBorders>
            <w:shd w:val="clear" w:color="000000" w:fill="FFFFFF"/>
            <w:vAlign w:val="center"/>
            <w:hideMark/>
          </w:tcPr>
          <w:p w14:paraId="72C51D1D"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Censi i Bujqësisë</w:t>
            </w:r>
          </w:p>
        </w:tc>
        <w:tc>
          <w:tcPr>
            <w:tcW w:w="446" w:type="dxa"/>
            <w:tcBorders>
              <w:top w:val="nil"/>
              <w:left w:val="nil"/>
              <w:bottom w:val="single" w:sz="4" w:space="0" w:color="auto"/>
              <w:right w:val="single" w:sz="4" w:space="0" w:color="auto"/>
            </w:tcBorders>
            <w:shd w:val="clear" w:color="000000" w:fill="FFFFFF"/>
            <w:vAlign w:val="center"/>
            <w:hideMark/>
          </w:tcPr>
          <w:p w14:paraId="0EFAD228"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Vrojtim</w:t>
            </w:r>
          </w:p>
        </w:tc>
        <w:tc>
          <w:tcPr>
            <w:tcW w:w="450" w:type="dxa"/>
            <w:tcBorders>
              <w:top w:val="nil"/>
              <w:left w:val="nil"/>
              <w:bottom w:val="single" w:sz="4" w:space="0" w:color="auto"/>
              <w:right w:val="single" w:sz="4" w:space="0" w:color="auto"/>
            </w:tcBorders>
            <w:shd w:val="clear" w:color="000000" w:fill="FFFFFF"/>
            <w:noWrap/>
            <w:vAlign w:val="center"/>
            <w:hideMark/>
          </w:tcPr>
          <w:p w14:paraId="475CFC4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554829E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000000" w:fill="FFFFFF"/>
            <w:vAlign w:val="center"/>
            <w:hideMark/>
          </w:tcPr>
          <w:p w14:paraId="4C7B8C0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Pilot</w:t>
            </w:r>
          </w:p>
        </w:tc>
        <w:tc>
          <w:tcPr>
            <w:tcW w:w="409" w:type="dxa"/>
            <w:tcBorders>
              <w:top w:val="nil"/>
              <w:left w:val="nil"/>
              <w:bottom w:val="single" w:sz="4" w:space="0" w:color="auto"/>
              <w:right w:val="single" w:sz="4" w:space="0" w:color="auto"/>
            </w:tcBorders>
            <w:shd w:val="clear" w:color="000000" w:fill="FFFFFF"/>
            <w:vAlign w:val="center"/>
            <w:hideMark/>
          </w:tcPr>
          <w:p w14:paraId="3AB6F87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Çdo 10 vite </w:t>
            </w:r>
          </w:p>
        </w:tc>
        <w:tc>
          <w:tcPr>
            <w:tcW w:w="1098" w:type="dxa"/>
            <w:tcBorders>
              <w:top w:val="nil"/>
              <w:left w:val="nil"/>
              <w:bottom w:val="single" w:sz="4" w:space="0" w:color="auto"/>
              <w:right w:val="single" w:sz="4" w:space="0" w:color="auto"/>
            </w:tcBorders>
            <w:shd w:val="clear" w:color="000000" w:fill="FFFFFF"/>
            <w:vAlign w:val="center"/>
            <w:hideMark/>
          </w:tcPr>
          <w:p w14:paraId="186637C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2477C67C" w14:textId="6A4356E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000000" w:fill="FFFFFF"/>
            <w:vAlign w:val="center"/>
            <w:hideMark/>
          </w:tcPr>
          <w:p w14:paraId="22064510" w14:textId="589C019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65942B4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004C88E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32BC38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10F9F1B0" w14:textId="77777777" w:rsidR="0021321C" w:rsidRPr="004F2AC3" w:rsidRDefault="0021321C" w:rsidP="0021321C">
            <w:pPr>
              <w:spacing w:after="240" w:line="240" w:lineRule="auto"/>
              <w:rPr>
                <w:rFonts w:ascii="Garamond" w:eastAsia="Times New Roman" w:hAnsi="Garamond" w:cs="Times New Roman"/>
                <w:color w:val="000000"/>
                <w:sz w:val="10"/>
                <w:szCs w:val="10"/>
                <w:lang w:eastAsia="sq-AL"/>
              </w:rPr>
            </w:pPr>
          </w:p>
        </w:tc>
        <w:tc>
          <w:tcPr>
            <w:tcW w:w="551" w:type="dxa"/>
            <w:tcBorders>
              <w:top w:val="nil"/>
              <w:left w:val="nil"/>
              <w:bottom w:val="single" w:sz="4" w:space="0" w:color="auto"/>
              <w:right w:val="single" w:sz="4" w:space="0" w:color="auto"/>
            </w:tcBorders>
            <w:shd w:val="clear" w:color="000000" w:fill="FFFFFF"/>
            <w:vAlign w:val="center"/>
            <w:hideMark/>
          </w:tcPr>
          <w:p w14:paraId="5FB99946" w14:textId="1C3B5BC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Kombinuar (Buxhet </w:t>
            </w:r>
            <w:r w:rsidR="006400E2" w:rsidRPr="004F2AC3">
              <w:rPr>
                <w:rFonts w:ascii="Garamond" w:eastAsia="Times New Roman" w:hAnsi="Garamond" w:cs="Times New Roman"/>
                <w:color w:val="000000"/>
                <w:sz w:val="10"/>
                <w:szCs w:val="10"/>
                <w:lang w:eastAsia="sq-AL"/>
              </w:rPr>
              <w:t>shteti+donatorët)</w:t>
            </w:r>
          </w:p>
        </w:tc>
      </w:tr>
      <w:tr w:rsidR="00C73163" w:rsidRPr="004F2AC3" w14:paraId="54CF1E30" w14:textId="77777777" w:rsidTr="0021321C">
        <w:trPr>
          <w:trHeight w:val="180"/>
          <w:jc w:val="center"/>
        </w:trPr>
        <w:tc>
          <w:tcPr>
            <w:tcW w:w="388" w:type="dxa"/>
            <w:tcBorders>
              <w:top w:val="nil"/>
              <w:left w:val="nil"/>
              <w:bottom w:val="nil"/>
              <w:right w:val="nil"/>
            </w:tcBorders>
            <w:shd w:val="clear" w:color="000000" w:fill="FFFFFF"/>
            <w:vAlign w:val="bottom"/>
            <w:hideMark/>
          </w:tcPr>
          <w:p w14:paraId="4364DC0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F5A0E5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CE463D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0D5FE5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C8B89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02F85E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2A30C6E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63" w:type="dxa"/>
            <w:tcBorders>
              <w:top w:val="nil"/>
              <w:left w:val="nil"/>
              <w:bottom w:val="single" w:sz="4" w:space="0" w:color="auto"/>
              <w:right w:val="single" w:sz="4" w:space="0" w:color="auto"/>
            </w:tcBorders>
            <w:shd w:val="clear" w:color="000000" w:fill="FFFFFF"/>
            <w:vAlign w:val="center"/>
            <w:hideMark/>
          </w:tcPr>
          <w:p w14:paraId="2C4AAF62"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Rishikimi i strategjisë, planit të aktiviteteve dhe buxhetit</w:t>
            </w:r>
          </w:p>
        </w:tc>
        <w:tc>
          <w:tcPr>
            <w:tcW w:w="446" w:type="dxa"/>
            <w:tcBorders>
              <w:top w:val="nil"/>
              <w:left w:val="nil"/>
              <w:bottom w:val="single" w:sz="4" w:space="0" w:color="auto"/>
              <w:right w:val="single" w:sz="4" w:space="0" w:color="auto"/>
            </w:tcBorders>
            <w:shd w:val="clear" w:color="000000" w:fill="FFFFFF"/>
            <w:vAlign w:val="center"/>
            <w:hideMark/>
          </w:tcPr>
          <w:p w14:paraId="48370FED"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single" w:sz="4" w:space="0" w:color="auto"/>
              <w:right w:val="single" w:sz="4" w:space="0" w:color="auto"/>
            </w:tcBorders>
            <w:shd w:val="clear" w:color="000000" w:fill="FFFFFF"/>
            <w:noWrap/>
            <w:vAlign w:val="center"/>
            <w:hideMark/>
          </w:tcPr>
          <w:p w14:paraId="036AE25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36793AD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63D3BFF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000000" w:fill="FFFFFF"/>
            <w:vAlign w:val="center"/>
            <w:hideMark/>
          </w:tcPr>
          <w:p w14:paraId="4D777F5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FFFFF"/>
            <w:vAlign w:val="center"/>
            <w:hideMark/>
          </w:tcPr>
          <w:p w14:paraId="7C5CA03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087C45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228293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0667D70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58AFC03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96EC89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5A1125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5ED60D7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4447877E" w14:textId="77777777" w:rsidTr="0021321C">
        <w:trPr>
          <w:trHeight w:val="180"/>
          <w:jc w:val="center"/>
        </w:trPr>
        <w:tc>
          <w:tcPr>
            <w:tcW w:w="388" w:type="dxa"/>
            <w:tcBorders>
              <w:top w:val="nil"/>
              <w:left w:val="nil"/>
              <w:bottom w:val="nil"/>
              <w:right w:val="nil"/>
            </w:tcBorders>
            <w:shd w:val="clear" w:color="000000" w:fill="FFFFFF"/>
            <w:vAlign w:val="bottom"/>
            <w:hideMark/>
          </w:tcPr>
          <w:p w14:paraId="28C60BB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0BCB4D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2716C0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44A01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62AD3F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413999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0EF7A89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63" w:type="dxa"/>
            <w:tcBorders>
              <w:top w:val="nil"/>
              <w:left w:val="nil"/>
              <w:bottom w:val="single" w:sz="4" w:space="0" w:color="auto"/>
              <w:right w:val="single" w:sz="4" w:space="0" w:color="auto"/>
            </w:tcBorders>
            <w:shd w:val="clear" w:color="000000" w:fill="FFFFFF"/>
            <w:vAlign w:val="center"/>
            <w:hideMark/>
          </w:tcPr>
          <w:p w14:paraId="4E0BA34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Finalizimi i pyetësorit dhe i kornizës metodologjike</w:t>
            </w:r>
          </w:p>
        </w:tc>
        <w:tc>
          <w:tcPr>
            <w:tcW w:w="446" w:type="dxa"/>
            <w:tcBorders>
              <w:top w:val="nil"/>
              <w:left w:val="nil"/>
              <w:bottom w:val="single" w:sz="4" w:space="0" w:color="auto"/>
              <w:right w:val="single" w:sz="4" w:space="0" w:color="auto"/>
            </w:tcBorders>
            <w:shd w:val="clear" w:color="000000" w:fill="FFFFFF"/>
            <w:vAlign w:val="center"/>
            <w:hideMark/>
          </w:tcPr>
          <w:p w14:paraId="2F84201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single" w:sz="4" w:space="0" w:color="auto"/>
              <w:right w:val="single" w:sz="4" w:space="0" w:color="auto"/>
            </w:tcBorders>
            <w:shd w:val="clear" w:color="000000" w:fill="FFFFFF"/>
            <w:noWrap/>
            <w:vAlign w:val="center"/>
            <w:hideMark/>
          </w:tcPr>
          <w:p w14:paraId="7ACF831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05E4214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1BDD959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000000" w:fill="FFFFFF"/>
            <w:vAlign w:val="center"/>
            <w:hideMark/>
          </w:tcPr>
          <w:p w14:paraId="1EC13BF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FFFFF"/>
            <w:vAlign w:val="center"/>
            <w:hideMark/>
          </w:tcPr>
          <w:p w14:paraId="762658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3825F9C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23EB77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1B5F8B4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3B6FD9A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CFE670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56C2BB8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07A0F0E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50ED0FF7" w14:textId="77777777" w:rsidTr="0021321C">
        <w:trPr>
          <w:trHeight w:val="180"/>
          <w:jc w:val="center"/>
        </w:trPr>
        <w:tc>
          <w:tcPr>
            <w:tcW w:w="388" w:type="dxa"/>
            <w:tcBorders>
              <w:top w:val="nil"/>
              <w:left w:val="nil"/>
              <w:bottom w:val="nil"/>
              <w:right w:val="nil"/>
            </w:tcBorders>
            <w:shd w:val="clear" w:color="000000" w:fill="FFFFFF"/>
            <w:vAlign w:val="bottom"/>
            <w:hideMark/>
          </w:tcPr>
          <w:p w14:paraId="0725CCF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0359B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3A38FD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4D265E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69C223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EDA57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3957CAB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63" w:type="dxa"/>
            <w:tcBorders>
              <w:top w:val="nil"/>
              <w:left w:val="nil"/>
              <w:bottom w:val="single" w:sz="4" w:space="0" w:color="auto"/>
              <w:right w:val="single" w:sz="4" w:space="0" w:color="auto"/>
            </w:tcBorders>
            <w:shd w:val="clear" w:color="000000" w:fill="FFFFFF"/>
            <w:vAlign w:val="center"/>
            <w:hideMark/>
          </w:tcPr>
          <w:p w14:paraId="780855B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Ngritja e sistemit të teknologjisë së informacionit dhe gjeoinformacionit (TI/GIS) për mbledhjen dhe analizimin e të dhënave dhënave </w:t>
            </w:r>
          </w:p>
        </w:tc>
        <w:tc>
          <w:tcPr>
            <w:tcW w:w="446" w:type="dxa"/>
            <w:tcBorders>
              <w:top w:val="nil"/>
              <w:left w:val="nil"/>
              <w:bottom w:val="single" w:sz="4" w:space="0" w:color="auto"/>
              <w:right w:val="single" w:sz="4" w:space="0" w:color="auto"/>
            </w:tcBorders>
            <w:shd w:val="clear" w:color="000000" w:fill="FFFFFF"/>
            <w:vAlign w:val="center"/>
            <w:hideMark/>
          </w:tcPr>
          <w:p w14:paraId="72CE71F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single" w:sz="4" w:space="0" w:color="auto"/>
              <w:right w:val="single" w:sz="4" w:space="0" w:color="auto"/>
            </w:tcBorders>
            <w:shd w:val="clear" w:color="000000" w:fill="FFFFFF"/>
            <w:noWrap/>
            <w:vAlign w:val="center"/>
            <w:hideMark/>
          </w:tcPr>
          <w:p w14:paraId="74F76BB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52ED55D4"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76027EF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000000" w:fill="FFFFFF"/>
            <w:vAlign w:val="center"/>
            <w:hideMark/>
          </w:tcPr>
          <w:p w14:paraId="58CD47C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FFFFF"/>
            <w:vAlign w:val="center"/>
            <w:hideMark/>
          </w:tcPr>
          <w:p w14:paraId="5647A84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160FD03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77B288D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1738A44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7303218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5A29AA1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0B6FB00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56C14E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0848ABBB" w14:textId="77777777" w:rsidTr="0021321C">
        <w:trPr>
          <w:trHeight w:val="180"/>
          <w:jc w:val="center"/>
        </w:trPr>
        <w:tc>
          <w:tcPr>
            <w:tcW w:w="388" w:type="dxa"/>
            <w:tcBorders>
              <w:top w:val="nil"/>
              <w:left w:val="nil"/>
              <w:bottom w:val="nil"/>
              <w:right w:val="nil"/>
            </w:tcBorders>
            <w:shd w:val="clear" w:color="000000" w:fill="FFFFFF"/>
            <w:vAlign w:val="bottom"/>
            <w:hideMark/>
          </w:tcPr>
          <w:p w14:paraId="318A48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10E308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869573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C4358C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EB0CF6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011CD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25F936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63" w:type="dxa"/>
            <w:tcBorders>
              <w:top w:val="nil"/>
              <w:left w:val="nil"/>
              <w:bottom w:val="single" w:sz="4" w:space="0" w:color="auto"/>
              <w:right w:val="single" w:sz="4" w:space="0" w:color="auto"/>
            </w:tcBorders>
            <w:shd w:val="clear" w:color="000000" w:fill="FFFFFF"/>
            <w:vAlign w:val="center"/>
            <w:hideMark/>
          </w:tcPr>
          <w:p w14:paraId="649B707B"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Zhvillimi i testit të Cens-it të bujqësisë</w:t>
            </w:r>
          </w:p>
        </w:tc>
        <w:tc>
          <w:tcPr>
            <w:tcW w:w="446" w:type="dxa"/>
            <w:tcBorders>
              <w:top w:val="nil"/>
              <w:left w:val="nil"/>
              <w:bottom w:val="single" w:sz="4" w:space="0" w:color="auto"/>
              <w:right w:val="single" w:sz="4" w:space="0" w:color="auto"/>
            </w:tcBorders>
            <w:shd w:val="clear" w:color="000000" w:fill="FFFFFF"/>
            <w:vAlign w:val="center"/>
            <w:hideMark/>
          </w:tcPr>
          <w:p w14:paraId="3A36FDC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single" w:sz="4" w:space="0" w:color="auto"/>
              <w:right w:val="single" w:sz="4" w:space="0" w:color="auto"/>
            </w:tcBorders>
            <w:shd w:val="clear" w:color="000000" w:fill="FFFFFF"/>
            <w:noWrap/>
            <w:vAlign w:val="center"/>
            <w:hideMark/>
          </w:tcPr>
          <w:p w14:paraId="6AB2354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51B3906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70B8B46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000000" w:fill="FFFFFF"/>
            <w:vAlign w:val="center"/>
            <w:hideMark/>
          </w:tcPr>
          <w:p w14:paraId="78EE01E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FFFFF"/>
            <w:vAlign w:val="center"/>
            <w:hideMark/>
          </w:tcPr>
          <w:p w14:paraId="5DCCBC9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126B98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44B67C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27DDB0A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7ECE4EF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4BB7DC8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6793100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0FDC0F6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60DD4B11" w14:textId="77777777" w:rsidTr="0021321C">
        <w:trPr>
          <w:trHeight w:val="180"/>
          <w:jc w:val="center"/>
        </w:trPr>
        <w:tc>
          <w:tcPr>
            <w:tcW w:w="388" w:type="dxa"/>
            <w:tcBorders>
              <w:top w:val="nil"/>
              <w:left w:val="nil"/>
              <w:bottom w:val="nil"/>
              <w:right w:val="nil"/>
            </w:tcBorders>
            <w:shd w:val="clear" w:color="000000" w:fill="FFFFFF"/>
            <w:vAlign w:val="bottom"/>
            <w:hideMark/>
          </w:tcPr>
          <w:p w14:paraId="66F0E45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274114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9C6C0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8E44D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98CFF2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125D83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63E43CF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63" w:type="dxa"/>
            <w:tcBorders>
              <w:top w:val="nil"/>
              <w:left w:val="nil"/>
              <w:bottom w:val="single" w:sz="4" w:space="0" w:color="auto"/>
              <w:right w:val="single" w:sz="4" w:space="0" w:color="auto"/>
            </w:tcBorders>
            <w:shd w:val="clear" w:color="000000" w:fill="FFFFFF"/>
            <w:vAlign w:val="center"/>
            <w:hideMark/>
          </w:tcPr>
          <w:p w14:paraId="46030BF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Planifikimi logjistik dhe organizimi i operacionit në terren (duke përfshirë edhe përzgjedhjen dhe trajnimin e stafit që do të angazhohet në Censin e Bujqësisë</w:t>
            </w:r>
          </w:p>
        </w:tc>
        <w:tc>
          <w:tcPr>
            <w:tcW w:w="446" w:type="dxa"/>
            <w:tcBorders>
              <w:top w:val="nil"/>
              <w:left w:val="nil"/>
              <w:bottom w:val="single" w:sz="4" w:space="0" w:color="auto"/>
              <w:right w:val="single" w:sz="4" w:space="0" w:color="auto"/>
            </w:tcBorders>
            <w:shd w:val="clear" w:color="000000" w:fill="FFFFFF"/>
            <w:vAlign w:val="center"/>
            <w:hideMark/>
          </w:tcPr>
          <w:p w14:paraId="7DF007AE"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single" w:sz="4" w:space="0" w:color="auto"/>
              <w:right w:val="single" w:sz="4" w:space="0" w:color="auto"/>
            </w:tcBorders>
            <w:shd w:val="clear" w:color="000000" w:fill="FFFFFF"/>
            <w:noWrap/>
            <w:vAlign w:val="center"/>
            <w:hideMark/>
          </w:tcPr>
          <w:p w14:paraId="7C639A7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1428C13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7A8803B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000000" w:fill="FFFFFF"/>
            <w:vAlign w:val="center"/>
            <w:hideMark/>
          </w:tcPr>
          <w:p w14:paraId="4F033C9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FFFFF"/>
            <w:vAlign w:val="center"/>
            <w:hideMark/>
          </w:tcPr>
          <w:p w14:paraId="4A37BD2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575F59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0004096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35E878C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326F0A8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68F4556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007E3C2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05D53EF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29416365" w14:textId="77777777" w:rsidTr="0021321C">
        <w:trPr>
          <w:trHeight w:val="180"/>
          <w:jc w:val="center"/>
        </w:trPr>
        <w:tc>
          <w:tcPr>
            <w:tcW w:w="388" w:type="dxa"/>
            <w:tcBorders>
              <w:top w:val="nil"/>
              <w:left w:val="nil"/>
              <w:bottom w:val="nil"/>
              <w:right w:val="nil"/>
            </w:tcBorders>
            <w:shd w:val="clear" w:color="000000" w:fill="FFFFFF"/>
            <w:vAlign w:val="bottom"/>
            <w:hideMark/>
          </w:tcPr>
          <w:p w14:paraId="2495BF8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FE0507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B7AC8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07290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61BD3A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493ABF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103A38E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63" w:type="dxa"/>
            <w:tcBorders>
              <w:top w:val="nil"/>
              <w:left w:val="nil"/>
              <w:bottom w:val="single" w:sz="4" w:space="0" w:color="auto"/>
              <w:right w:val="single" w:sz="4" w:space="0" w:color="auto"/>
            </w:tcBorders>
            <w:shd w:val="clear" w:color="000000" w:fill="FFFFFF"/>
            <w:vAlign w:val="center"/>
            <w:hideMark/>
          </w:tcPr>
          <w:p w14:paraId="24A65CB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Realizimi në terren i Cens-it të bujqësisë</w:t>
            </w:r>
          </w:p>
        </w:tc>
        <w:tc>
          <w:tcPr>
            <w:tcW w:w="446" w:type="dxa"/>
            <w:tcBorders>
              <w:top w:val="nil"/>
              <w:left w:val="nil"/>
              <w:bottom w:val="single" w:sz="4" w:space="0" w:color="auto"/>
              <w:right w:val="single" w:sz="4" w:space="0" w:color="auto"/>
            </w:tcBorders>
            <w:shd w:val="clear" w:color="000000" w:fill="FFFFFF"/>
            <w:vAlign w:val="center"/>
            <w:hideMark/>
          </w:tcPr>
          <w:p w14:paraId="1D3F03E4"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single" w:sz="4" w:space="0" w:color="auto"/>
              <w:right w:val="single" w:sz="4" w:space="0" w:color="auto"/>
            </w:tcBorders>
            <w:shd w:val="clear" w:color="000000" w:fill="FFFFFF"/>
            <w:noWrap/>
            <w:vAlign w:val="center"/>
            <w:hideMark/>
          </w:tcPr>
          <w:p w14:paraId="1584F28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285927C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7F586F2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000000" w:fill="FFFFFF"/>
            <w:vAlign w:val="center"/>
            <w:hideMark/>
          </w:tcPr>
          <w:p w14:paraId="7EAD5E9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FFFFF"/>
            <w:vAlign w:val="center"/>
            <w:hideMark/>
          </w:tcPr>
          <w:p w14:paraId="5C13D4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7FD78A9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0AEDE0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62DA1AE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64468B4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0159CC3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6CFCB8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362E4C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393588FD" w14:textId="77777777" w:rsidTr="0021321C">
        <w:trPr>
          <w:trHeight w:val="180"/>
          <w:jc w:val="center"/>
        </w:trPr>
        <w:tc>
          <w:tcPr>
            <w:tcW w:w="388" w:type="dxa"/>
            <w:tcBorders>
              <w:top w:val="nil"/>
              <w:left w:val="nil"/>
              <w:bottom w:val="nil"/>
              <w:right w:val="nil"/>
            </w:tcBorders>
            <w:shd w:val="clear" w:color="000000" w:fill="FFFFFF"/>
            <w:vAlign w:val="bottom"/>
            <w:hideMark/>
          </w:tcPr>
          <w:p w14:paraId="4C8ED08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DE3167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BE1FFB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81BEE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29BF76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46F3C9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noWrap/>
            <w:vAlign w:val="bottom"/>
            <w:hideMark/>
          </w:tcPr>
          <w:p w14:paraId="2A74C86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63" w:type="dxa"/>
            <w:tcBorders>
              <w:top w:val="nil"/>
              <w:left w:val="nil"/>
              <w:bottom w:val="single" w:sz="4" w:space="0" w:color="auto"/>
              <w:right w:val="single" w:sz="4" w:space="0" w:color="auto"/>
            </w:tcBorders>
            <w:shd w:val="clear" w:color="000000" w:fill="FFFFFF"/>
            <w:vAlign w:val="center"/>
            <w:hideMark/>
          </w:tcPr>
          <w:p w14:paraId="5D38C379"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Kontrolli dhe përpunimi i të dhënave</w:t>
            </w:r>
          </w:p>
        </w:tc>
        <w:tc>
          <w:tcPr>
            <w:tcW w:w="446" w:type="dxa"/>
            <w:tcBorders>
              <w:top w:val="nil"/>
              <w:left w:val="nil"/>
              <w:bottom w:val="single" w:sz="4" w:space="0" w:color="auto"/>
              <w:right w:val="single" w:sz="4" w:space="0" w:color="auto"/>
            </w:tcBorders>
            <w:shd w:val="clear" w:color="000000" w:fill="FFFFFF"/>
            <w:vAlign w:val="center"/>
            <w:hideMark/>
          </w:tcPr>
          <w:p w14:paraId="65AFF1A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50" w:type="dxa"/>
            <w:tcBorders>
              <w:top w:val="nil"/>
              <w:left w:val="nil"/>
              <w:bottom w:val="single" w:sz="4" w:space="0" w:color="auto"/>
              <w:right w:val="single" w:sz="4" w:space="0" w:color="auto"/>
            </w:tcBorders>
            <w:shd w:val="clear" w:color="000000" w:fill="FFFFFF"/>
            <w:noWrap/>
            <w:vAlign w:val="center"/>
            <w:hideMark/>
          </w:tcPr>
          <w:p w14:paraId="29D6F88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3708160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000000" w:fill="FFFFFF"/>
            <w:vAlign w:val="center"/>
            <w:hideMark/>
          </w:tcPr>
          <w:p w14:paraId="4C40CD2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09" w:type="dxa"/>
            <w:tcBorders>
              <w:top w:val="nil"/>
              <w:left w:val="nil"/>
              <w:bottom w:val="single" w:sz="4" w:space="0" w:color="auto"/>
              <w:right w:val="single" w:sz="4" w:space="0" w:color="auto"/>
            </w:tcBorders>
            <w:shd w:val="clear" w:color="000000" w:fill="FFFFFF"/>
            <w:vAlign w:val="center"/>
            <w:hideMark/>
          </w:tcPr>
          <w:p w14:paraId="6D0A174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FFFFF"/>
            <w:vAlign w:val="center"/>
            <w:hideMark/>
          </w:tcPr>
          <w:p w14:paraId="372B995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1EA59DF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52A978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4A751F3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0A3B169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noWrap/>
            <w:vAlign w:val="center"/>
            <w:hideMark/>
          </w:tcPr>
          <w:p w14:paraId="17DD51C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2097135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5ECEA8F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21321C" w:rsidRPr="004F2AC3" w14:paraId="60A34042" w14:textId="77777777" w:rsidTr="0021321C">
        <w:trPr>
          <w:trHeight w:val="180"/>
          <w:jc w:val="center"/>
        </w:trPr>
        <w:tc>
          <w:tcPr>
            <w:tcW w:w="388" w:type="dxa"/>
            <w:tcBorders>
              <w:top w:val="nil"/>
              <w:left w:val="nil"/>
              <w:bottom w:val="nil"/>
              <w:right w:val="nil"/>
            </w:tcBorders>
            <w:shd w:val="clear" w:color="000000" w:fill="FFFFFF"/>
            <w:vAlign w:val="bottom"/>
            <w:hideMark/>
          </w:tcPr>
          <w:p w14:paraId="55D529A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DABBA0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00D11A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06C50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66298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F706E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single" w:sz="4" w:space="0" w:color="000000"/>
              <w:right w:val="nil"/>
            </w:tcBorders>
            <w:shd w:val="clear" w:color="000000" w:fill="F0F0F0"/>
            <w:vAlign w:val="center"/>
            <w:hideMark/>
          </w:tcPr>
          <w:p w14:paraId="773E03C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3.1.2.e</w:t>
            </w:r>
          </w:p>
        </w:tc>
        <w:tc>
          <w:tcPr>
            <w:tcW w:w="7155" w:type="dxa"/>
            <w:gridSpan w:val="14"/>
            <w:tcBorders>
              <w:top w:val="nil"/>
              <w:left w:val="single" w:sz="4" w:space="0" w:color="auto"/>
              <w:bottom w:val="single" w:sz="4" w:space="0" w:color="auto"/>
              <w:right w:val="single" w:sz="4" w:space="0" w:color="auto"/>
            </w:tcBorders>
            <w:shd w:val="clear" w:color="000000" w:fill="F0F0F0"/>
            <w:vAlign w:val="center"/>
            <w:hideMark/>
          </w:tcPr>
          <w:p w14:paraId="212341E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ekonomike në bujqësi</w:t>
            </w:r>
          </w:p>
        </w:tc>
      </w:tr>
      <w:tr w:rsidR="00C73163" w:rsidRPr="004F2AC3" w14:paraId="4F09CDF9" w14:textId="77777777" w:rsidTr="0021321C">
        <w:trPr>
          <w:trHeight w:val="180"/>
          <w:jc w:val="center"/>
        </w:trPr>
        <w:tc>
          <w:tcPr>
            <w:tcW w:w="388" w:type="dxa"/>
            <w:tcBorders>
              <w:top w:val="nil"/>
              <w:left w:val="nil"/>
              <w:bottom w:val="nil"/>
              <w:right w:val="nil"/>
            </w:tcBorders>
            <w:shd w:val="clear" w:color="000000" w:fill="FFFFFF"/>
            <w:vAlign w:val="bottom"/>
            <w:hideMark/>
          </w:tcPr>
          <w:p w14:paraId="71E516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CAD014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416B4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6144C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3C9BB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D32B33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5D133CF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3.1.2.e.1</w:t>
            </w:r>
          </w:p>
        </w:tc>
        <w:tc>
          <w:tcPr>
            <w:tcW w:w="563" w:type="dxa"/>
            <w:tcBorders>
              <w:top w:val="nil"/>
              <w:left w:val="nil"/>
              <w:bottom w:val="single" w:sz="4" w:space="0" w:color="auto"/>
              <w:right w:val="single" w:sz="4" w:space="0" w:color="auto"/>
            </w:tcBorders>
            <w:shd w:val="clear" w:color="auto" w:fill="auto"/>
            <w:vAlign w:val="center"/>
            <w:hideMark/>
          </w:tcPr>
          <w:p w14:paraId="4616E211"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mbi Llogaritë Ekonomike në Bujqësi</w:t>
            </w:r>
          </w:p>
        </w:tc>
        <w:tc>
          <w:tcPr>
            <w:tcW w:w="446" w:type="dxa"/>
            <w:tcBorders>
              <w:top w:val="nil"/>
              <w:left w:val="nil"/>
              <w:bottom w:val="single" w:sz="4" w:space="0" w:color="auto"/>
              <w:right w:val="single" w:sz="4" w:space="0" w:color="auto"/>
            </w:tcBorders>
            <w:shd w:val="clear" w:color="000000" w:fill="FFFFFF"/>
            <w:vAlign w:val="center"/>
            <w:hideMark/>
          </w:tcPr>
          <w:p w14:paraId="76EB763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000000" w:fill="FFFFFF"/>
            <w:noWrap/>
            <w:vAlign w:val="center"/>
            <w:hideMark/>
          </w:tcPr>
          <w:p w14:paraId="42225C1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500%</w:t>
            </w:r>
          </w:p>
        </w:tc>
        <w:tc>
          <w:tcPr>
            <w:tcW w:w="301" w:type="dxa"/>
            <w:tcBorders>
              <w:top w:val="nil"/>
              <w:left w:val="nil"/>
              <w:bottom w:val="single" w:sz="4" w:space="0" w:color="auto"/>
              <w:right w:val="single" w:sz="4" w:space="0" w:color="auto"/>
            </w:tcBorders>
            <w:shd w:val="clear" w:color="000000" w:fill="FFFFFF"/>
            <w:noWrap/>
            <w:vAlign w:val="center"/>
            <w:hideMark/>
          </w:tcPr>
          <w:p w14:paraId="3B32D46A"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500%</w:t>
            </w:r>
          </w:p>
        </w:tc>
        <w:tc>
          <w:tcPr>
            <w:tcW w:w="426" w:type="dxa"/>
            <w:tcBorders>
              <w:top w:val="nil"/>
              <w:left w:val="nil"/>
              <w:bottom w:val="single" w:sz="4" w:space="0" w:color="auto"/>
              <w:right w:val="single" w:sz="4" w:space="0" w:color="auto"/>
            </w:tcBorders>
            <w:shd w:val="clear" w:color="auto" w:fill="auto"/>
            <w:vAlign w:val="center"/>
            <w:hideMark/>
          </w:tcPr>
          <w:p w14:paraId="280BB0F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391A28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000000" w:fill="FFFFFF"/>
            <w:vAlign w:val="center"/>
            <w:hideMark/>
          </w:tcPr>
          <w:p w14:paraId="65147C2A" w14:textId="50A5B46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Llogaritë ekonomike</w:t>
            </w:r>
            <w:r w:rsidR="00C73163" w:rsidRPr="004F2AC3">
              <w:rPr>
                <w:rFonts w:ascii="Garamond" w:eastAsia="Times New Roman" w:hAnsi="Garamond" w:cs="Times New Roman"/>
                <w:color w:val="000000"/>
                <w:sz w:val="10"/>
                <w:szCs w:val="10"/>
                <w:lang w:eastAsia="sq-AL"/>
              </w:rPr>
              <w:t xml:space="preserve"> në bujqësi - Vlerësimet e para;</w:t>
            </w:r>
            <w:r w:rsidRPr="004F2AC3">
              <w:rPr>
                <w:rFonts w:ascii="Garamond" w:eastAsia="Times New Roman" w:hAnsi="Garamond" w:cs="Times New Roman"/>
                <w:color w:val="000000"/>
                <w:sz w:val="10"/>
                <w:szCs w:val="10"/>
                <w:lang w:eastAsia="sq-AL"/>
              </w:rPr>
              <w:br/>
              <w:t>2. Llogaritë ekonomike në bujqësi - Vlerësimet e dyta</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Llogaritë ekonomike në bujqësi - Çmime korrente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Llogaritë ekonomike në bujqësi - Çmime konstante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Llogaritë ekonomike në bujqësi- Rajonale</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5DEC4B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Bujqësisë dhe Zhvillimit Rural</w:t>
            </w:r>
          </w:p>
        </w:tc>
        <w:tc>
          <w:tcPr>
            <w:tcW w:w="413" w:type="dxa"/>
            <w:tcBorders>
              <w:top w:val="nil"/>
              <w:left w:val="nil"/>
              <w:bottom w:val="single" w:sz="4" w:space="0" w:color="auto"/>
              <w:right w:val="single" w:sz="4" w:space="0" w:color="auto"/>
            </w:tcBorders>
            <w:shd w:val="clear" w:color="auto" w:fill="auto"/>
            <w:vAlign w:val="center"/>
            <w:hideMark/>
          </w:tcPr>
          <w:p w14:paraId="4D23AFB7" w14:textId="1386E9A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6D18CF9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+ 125D</w:t>
            </w:r>
          </w:p>
        </w:tc>
        <w:tc>
          <w:tcPr>
            <w:tcW w:w="385" w:type="dxa"/>
            <w:tcBorders>
              <w:top w:val="nil"/>
              <w:left w:val="nil"/>
              <w:bottom w:val="single" w:sz="4" w:space="0" w:color="auto"/>
              <w:right w:val="single" w:sz="4" w:space="0" w:color="auto"/>
            </w:tcBorders>
            <w:shd w:val="clear" w:color="auto" w:fill="auto"/>
            <w:vAlign w:val="center"/>
            <w:hideMark/>
          </w:tcPr>
          <w:p w14:paraId="6BE0414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+ 160D</w:t>
            </w:r>
          </w:p>
        </w:tc>
        <w:tc>
          <w:tcPr>
            <w:tcW w:w="361" w:type="dxa"/>
            <w:tcBorders>
              <w:top w:val="nil"/>
              <w:left w:val="nil"/>
              <w:bottom w:val="single" w:sz="4" w:space="0" w:color="auto"/>
              <w:right w:val="single" w:sz="4" w:space="0" w:color="auto"/>
            </w:tcBorders>
            <w:shd w:val="clear" w:color="auto" w:fill="auto"/>
            <w:noWrap/>
            <w:vAlign w:val="center"/>
            <w:hideMark/>
          </w:tcPr>
          <w:p w14:paraId="1534F27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2B46CFEB" w14:textId="5969B58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Mbledhja me vonesë dhe jo në cilësinë e duhur e të dhënave administrative për llogaritë ekonomike në bujqësi, çka mund të sjellë vonesa në llogaritjen dhe shpërndarjen e statistikave të llogarive ekonomike në bujqësi -|- 7</w:t>
            </w:r>
            <w:r w:rsidRPr="004F2AC3">
              <w:rPr>
                <w:rFonts w:ascii="Garamond" w:eastAsia="Times New Roman" w:hAnsi="Garamond" w:cs="Times New Roman"/>
                <w:color w:val="000000"/>
                <w:sz w:val="10"/>
                <w:szCs w:val="10"/>
                <w:lang w:eastAsia="sq-AL"/>
              </w:rPr>
              <w:br/>
              <w:t>2. Mungesa e kapaciteteve të përdorimit të programeve kompjuterike statistikore (SPSS</w:t>
            </w:r>
            <w:r w:rsidR="004F2AC3" w:rsidRPr="004F2AC3">
              <w:rPr>
                <w:rFonts w:ascii="Garamond" w:eastAsia="Times New Roman" w:hAnsi="Garamond" w:cs="Times New Roman"/>
                <w:color w:val="000000"/>
                <w:sz w:val="10"/>
                <w:szCs w:val="10"/>
                <w:lang w:eastAsia="sq-AL"/>
              </w:rPr>
              <w:t>, EXCEL, R etj</w:t>
            </w:r>
            <w:r w:rsidR="00D8054E">
              <w:rPr>
                <w:rFonts w:ascii="Garamond" w:eastAsia="Times New Roman" w:hAnsi="Garamond" w:cs="Times New Roman"/>
                <w:color w:val="000000"/>
                <w:sz w:val="10"/>
                <w:szCs w:val="10"/>
                <w:lang w:eastAsia="sq-AL"/>
              </w:rPr>
              <w:t>.</w:t>
            </w:r>
            <w:r w:rsidR="004F2AC3" w:rsidRPr="004F2AC3">
              <w:rPr>
                <w:rFonts w:ascii="Garamond" w:eastAsia="Times New Roman" w:hAnsi="Garamond" w:cs="Times New Roman"/>
                <w:color w:val="000000"/>
                <w:sz w:val="10"/>
                <w:szCs w:val="10"/>
                <w:lang w:eastAsia="sq-AL"/>
              </w:rPr>
              <w:t>) për manaxhimin</w:t>
            </w:r>
            <w:r w:rsidRPr="004F2AC3">
              <w:rPr>
                <w:rFonts w:ascii="Garamond" w:eastAsia="Times New Roman" w:hAnsi="Garamond" w:cs="Times New Roman"/>
                <w:color w:val="000000"/>
                <w:sz w:val="10"/>
                <w:szCs w:val="10"/>
                <w:lang w:eastAsia="sq-AL"/>
              </w:rPr>
              <w:t xml:space="preserve"> e të dhënave dhe prodhimin e rezultateve nga stafi i sektorit, çka sjell mangësi në përdorimin e regjistrave statistikor për prodhimin e treguesve -|- 5</w:t>
            </w:r>
            <w:r w:rsidRPr="004F2AC3">
              <w:rPr>
                <w:rFonts w:ascii="Garamond" w:eastAsia="Times New Roman" w:hAnsi="Garamond" w:cs="Times New Roman"/>
                <w:color w:val="000000"/>
                <w:sz w:val="10"/>
                <w:szCs w:val="10"/>
                <w:lang w:eastAsia="sq-AL"/>
              </w:rPr>
              <w:br/>
              <w:t>3. Mungesa e trajnimeve të stafit të sektorit në fushat relevante, çka sjell një ambient pune jo motivues dhe rënie të kapaciteteve të stafit -|- 5</w:t>
            </w:r>
            <w:r w:rsidRPr="004F2AC3">
              <w:rPr>
                <w:rFonts w:ascii="Garamond" w:eastAsia="Times New Roman" w:hAnsi="Garamond" w:cs="Times New Roman"/>
                <w:color w:val="000000"/>
                <w:sz w:val="10"/>
                <w:szCs w:val="10"/>
                <w:lang w:eastAsia="sq-AL"/>
              </w:rPr>
              <w:br/>
              <w:t>4. Mungesa memorandumeve të bashkëpunimit me institucionet furnizues me të dhëna, çka sjell vonesa dhe mangësi në prodhimin statistik -|- 5</w:t>
            </w:r>
            <w:r w:rsidRPr="004F2AC3">
              <w:rPr>
                <w:rFonts w:ascii="Garamond" w:eastAsia="Times New Roman" w:hAnsi="Garamond" w:cs="Times New Roman"/>
                <w:color w:val="000000"/>
                <w:sz w:val="10"/>
                <w:szCs w:val="10"/>
                <w:lang w:eastAsia="sq-AL"/>
              </w:rPr>
              <w:br/>
              <w:t>5. Mosrealizimi i publikimeve të reja që janë produkt i projekteve IPA, si rezultat i efektit të pandemisë, çka sjell dobësimin e rolit të INSTAT -|- 5</w:t>
            </w:r>
          </w:p>
        </w:tc>
        <w:tc>
          <w:tcPr>
            <w:tcW w:w="551" w:type="dxa"/>
            <w:tcBorders>
              <w:top w:val="nil"/>
              <w:left w:val="nil"/>
              <w:bottom w:val="single" w:sz="4" w:space="0" w:color="auto"/>
              <w:right w:val="single" w:sz="4" w:space="0" w:color="auto"/>
            </w:tcBorders>
            <w:shd w:val="clear" w:color="auto" w:fill="auto"/>
            <w:vAlign w:val="center"/>
            <w:hideMark/>
          </w:tcPr>
          <w:p w14:paraId="56A33A8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2CC6081C" w14:textId="77777777" w:rsidTr="0021321C">
        <w:trPr>
          <w:trHeight w:val="180"/>
          <w:jc w:val="center"/>
        </w:trPr>
        <w:tc>
          <w:tcPr>
            <w:tcW w:w="388" w:type="dxa"/>
            <w:tcBorders>
              <w:top w:val="nil"/>
              <w:left w:val="nil"/>
              <w:bottom w:val="nil"/>
              <w:right w:val="nil"/>
            </w:tcBorders>
            <w:shd w:val="clear" w:color="000000" w:fill="FFFFFF"/>
            <w:vAlign w:val="bottom"/>
            <w:hideMark/>
          </w:tcPr>
          <w:p w14:paraId="462F9D6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BB5568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6C432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FC60C1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BC9BD9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57B4C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263C6E7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3.1.2.e.2</w:t>
            </w:r>
          </w:p>
        </w:tc>
        <w:tc>
          <w:tcPr>
            <w:tcW w:w="563" w:type="dxa"/>
            <w:tcBorders>
              <w:top w:val="nil"/>
              <w:left w:val="nil"/>
              <w:bottom w:val="single" w:sz="4" w:space="0" w:color="auto"/>
              <w:right w:val="single" w:sz="4" w:space="0" w:color="auto"/>
            </w:tcBorders>
            <w:shd w:val="clear" w:color="000000" w:fill="FFFFFF"/>
            <w:vAlign w:val="center"/>
            <w:hideMark/>
          </w:tcPr>
          <w:p w14:paraId="7766A9B6"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mbi Çmimet Bujqësore</w:t>
            </w:r>
          </w:p>
        </w:tc>
        <w:tc>
          <w:tcPr>
            <w:tcW w:w="446" w:type="dxa"/>
            <w:tcBorders>
              <w:top w:val="nil"/>
              <w:left w:val="nil"/>
              <w:bottom w:val="single" w:sz="4" w:space="0" w:color="auto"/>
              <w:right w:val="single" w:sz="4" w:space="0" w:color="auto"/>
            </w:tcBorders>
            <w:shd w:val="clear" w:color="auto" w:fill="auto"/>
            <w:vAlign w:val="center"/>
            <w:hideMark/>
          </w:tcPr>
          <w:p w14:paraId="3889AD3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14C6173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0E75F18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5DBF794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159C32D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nil"/>
              <w:right w:val="single" w:sz="4" w:space="0" w:color="auto"/>
            </w:tcBorders>
            <w:shd w:val="clear" w:color="000000" w:fill="FFFFFF"/>
            <w:vAlign w:val="center"/>
            <w:hideMark/>
          </w:tcPr>
          <w:p w14:paraId="24585095" w14:textId="79B9401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Çmimet e bujqësisë </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Indekset vjetore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Çmimet e bujqësisë </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Indekset tre mujore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Çmimet e bujqësisë </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Çmimet absolute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 Çmimet dhe </w:t>
            </w:r>
            <w:r w:rsidR="004F2AC3" w:rsidRPr="004F2AC3">
              <w:rPr>
                <w:rFonts w:ascii="Garamond" w:eastAsia="Times New Roman" w:hAnsi="Garamond" w:cs="Times New Roman"/>
                <w:color w:val="000000"/>
                <w:sz w:val="10"/>
                <w:szCs w:val="10"/>
                <w:lang w:eastAsia="sq-AL"/>
              </w:rPr>
              <w:t>qiratë</w:t>
            </w:r>
            <w:r w:rsidRPr="004F2AC3">
              <w:rPr>
                <w:rFonts w:ascii="Garamond" w:eastAsia="Times New Roman" w:hAnsi="Garamond" w:cs="Times New Roman"/>
                <w:color w:val="000000"/>
                <w:sz w:val="10"/>
                <w:szCs w:val="10"/>
                <w:lang w:eastAsia="sq-AL"/>
              </w:rPr>
              <w:t xml:space="preserve"> e tokës bujqësore</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6B18271D" w14:textId="53B031D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18A16C36" w14:textId="5ADD874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03C1240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+ 16D</w:t>
            </w:r>
          </w:p>
        </w:tc>
        <w:tc>
          <w:tcPr>
            <w:tcW w:w="385" w:type="dxa"/>
            <w:tcBorders>
              <w:top w:val="nil"/>
              <w:left w:val="nil"/>
              <w:bottom w:val="single" w:sz="4" w:space="0" w:color="auto"/>
              <w:right w:val="single" w:sz="4" w:space="0" w:color="auto"/>
            </w:tcBorders>
            <w:shd w:val="clear" w:color="auto" w:fill="auto"/>
            <w:vAlign w:val="center"/>
            <w:hideMark/>
          </w:tcPr>
          <w:p w14:paraId="238F837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M+ 27D</w:t>
            </w:r>
          </w:p>
        </w:tc>
        <w:tc>
          <w:tcPr>
            <w:tcW w:w="361" w:type="dxa"/>
            <w:tcBorders>
              <w:top w:val="nil"/>
              <w:left w:val="nil"/>
              <w:bottom w:val="single" w:sz="4" w:space="0" w:color="auto"/>
              <w:right w:val="single" w:sz="4" w:space="0" w:color="auto"/>
            </w:tcBorders>
            <w:shd w:val="clear" w:color="auto" w:fill="auto"/>
            <w:noWrap/>
            <w:vAlign w:val="center"/>
            <w:hideMark/>
          </w:tcPr>
          <w:p w14:paraId="53B3808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28560D57" w14:textId="1E52DCD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Mbledhja me vonesë dhe jo në cilësinë e duhur e të të dhënave duke sjellë vonesa në llogaritjen dhe shpërndarjen e statistikave lidhur me: Vrojtimin mujor të çmimeve të prodhimeve bujqësore, vrojtimin tremujor të çmimeve të inputeve bujqësore, </w:t>
            </w:r>
            <w:r w:rsidR="004F2AC3" w:rsidRPr="004F2AC3">
              <w:rPr>
                <w:rFonts w:ascii="Garamond" w:eastAsia="Times New Roman" w:hAnsi="Garamond" w:cs="Times New Roman"/>
                <w:color w:val="000000"/>
                <w:sz w:val="10"/>
                <w:szCs w:val="10"/>
                <w:lang w:eastAsia="sq-AL"/>
              </w:rPr>
              <w:t>vrojtimin</w:t>
            </w:r>
            <w:r w:rsidRPr="004F2AC3">
              <w:rPr>
                <w:rFonts w:ascii="Garamond" w:eastAsia="Times New Roman" w:hAnsi="Garamond" w:cs="Times New Roman"/>
                <w:color w:val="000000"/>
                <w:sz w:val="10"/>
                <w:szCs w:val="10"/>
                <w:lang w:eastAsia="sq-AL"/>
              </w:rPr>
              <w:t xml:space="preserve"> tremujor të çmimeve të kafshëve për mbarështim,</w:t>
            </w:r>
            <w:r w:rsidR="004F2AC3"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Logaritë ekonomike në Bujqësi - -|- 5</w:t>
            </w:r>
            <w:r w:rsidRPr="004F2AC3">
              <w:rPr>
                <w:rFonts w:ascii="Garamond" w:eastAsia="Times New Roman" w:hAnsi="Garamond" w:cs="Times New Roman"/>
                <w:color w:val="000000"/>
                <w:sz w:val="10"/>
                <w:szCs w:val="10"/>
                <w:lang w:eastAsia="sq-AL"/>
              </w:rPr>
              <w:br/>
              <w:t>2. Gabime të bëra nga stafi ekspert gjatë përpunimit dhe nxjerrjes së rezultateve duke sjellë ndikim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cilësinë e produktit statistikor -|- 5</w:t>
            </w:r>
            <w:r w:rsidRPr="004F2AC3">
              <w:rPr>
                <w:rFonts w:ascii="Garamond" w:eastAsia="Times New Roman" w:hAnsi="Garamond" w:cs="Times New Roman"/>
                <w:color w:val="000000"/>
                <w:sz w:val="10"/>
                <w:szCs w:val="10"/>
                <w:lang w:eastAsia="sq-AL"/>
              </w:rPr>
              <w:br/>
              <w:t>3. Mungesa e kapaciteteve të përdorimit të programeve kompjuterike statistikore (SPSS, EXCEL, R etj</w:t>
            </w:r>
            <w:r w:rsidR="00D8054E">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per manaxhimin e të dhënave dhe prodhimin e rezultateve nga stafi i sektorit, çka sjell mangësi në përdorimin e regjistrave statistikor për prodhimin e treguesve -|- 5</w:t>
            </w:r>
            <w:r w:rsidRPr="004F2AC3">
              <w:rPr>
                <w:rFonts w:ascii="Garamond" w:eastAsia="Times New Roman" w:hAnsi="Garamond" w:cs="Times New Roman"/>
                <w:color w:val="000000"/>
                <w:sz w:val="10"/>
                <w:szCs w:val="10"/>
                <w:lang w:eastAsia="sq-AL"/>
              </w:rPr>
              <w:br/>
              <w:t>4. Mungesa e trajnimeve të stafit të sektorit në fushat relevante, çka sjell një ambient pune jo motivues dhe rënie të kapaciteteve të stafit -|- 5</w:t>
            </w:r>
            <w:r w:rsidRPr="004F2AC3">
              <w:rPr>
                <w:rFonts w:ascii="Garamond" w:eastAsia="Times New Roman" w:hAnsi="Garamond" w:cs="Times New Roman"/>
                <w:color w:val="000000"/>
                <w:sz w:val="10"/>
                <w:szCs w:val="10"/>
                <w:lang w:eastAsia="sq-AL"/>
              </w:rPr>
              <w:br/>
              <w:t>5. Mungesa memorandumeve të bashkëpunimit me institucionet furnizues me të dhëna, çka sjell vonesa dhe mangësi në prodhimin statistikor -|- 5</w:t>
            </w:r>
            <w:r w:rsidRPr="004F2AC3">
              <w:rPr>
                <w:rFonts w:ascii="Garamond" w:eastAsia="Times New Roman" w:hAnsi="Garamond" w:cs="Times New Roman"/>
                <w:color w:val="000000"/>
                <w:sz w:val="10"/>
                <w:szCs w:val="10"/>
                <w:lang w:eastAsia="sq-AL"/>
              </w:rPr>
              <w:br/>
              <w:t>6. Mosrealizimi i publikimeve të reja që janë produkt i projekteve IPA, si rezultat i efektit të pandemisë, çka sjell dobësimin e rolit të INSTAT -|- 5</w:t>
            </w:r>
          </w:p>
        </w:tc>
        <w:tc>
          <w:tcPr>
            <w:tcW w:w="551" w:type="dxa"/>
            <w:tcBorders>
              <w:top w:val="nil"/>
              <w:left w:val="nil"/>
              <w:bottom w:val="single" w:sz="4" w:space="0" w:color="auto"/>
              <w:right w:val="single" w:sz="4" w:space="0" w:color="auto"/>
            </w:tcBorders>
            <w:shd w:val="clear" w:color="auto" w:fill="auto"/>
            <w:vAlign w:val="center"/>
            <w:hideMark/>
          </w:tcPr>
          <w:p w14:paraId="084A7DB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45D14F03" w14:textId="77777777" w:rsidTr="0021321C">
        <w:trPr>
          <w:trHeight w:val="180"/>
          <w:jc w:val="center"/>
        </w:trPr>
        <w:tc>
          <w:tcPr>
            <w:tcW w:w="388" w:type="dxa"/>
            <w:tcBorders>
              <w:top w:val="nil"/>
              <w:left w:val="nil"/>
              <w:bottom w:val="nil"/>
              <w:right w:val="nil"/>
            </w:tcBorders>
            <w:shd w:val="clear" w:color="000000" w:fill="FFFFFF"/>
            <w:vAlign w:val="bottom"/>
            <w:hideMark/>
          </w:tcPr>
          <w:p w14:paraId="4431F53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B98E6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3D6F8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9075AE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1A37300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3.1.3</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523B3E4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peshkimit</w:t>
            </w:r>
          </w:p>
        </w:tc>
      </w:tr>
      <w:tr w:rsidR="00C73163" w:rsidRPr="004F2AC3" w14:paraId="1B68CCDA" w14:textId="77777777" w:rsidTr="0021321C">
        <w:trPr>
          <w:trHeight w:val="180"/>
          <w:jc w:val="center"/>
        </w:trPr>
        <w:tc>
          <w:tcPr>
            <w:tcW w:w="388" w:type="dxa"/>
            <w:tcBorders>
              <w:top w:val="nil"/>
              <w:left w:val="nil"/>
              <w:bottom w:val="nil"/>
              <w:right w:val="nil"/>
            </w:tcBorders>
            <w:shd w:val="clear" w:color="000000" w:fill="FFFFFF"/>
            <w:vAlign w:val="bottom"/>
            <w:hideMark/>
          </w:tcPr>
          <w:p w14:paraId="09D0ED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F311F1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A8209C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9BCC92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A7E35D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6E51E7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4ECE005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3.1.3.1</w:t>
            </w:r>
          </w:p>
        </w:tc>
        <w:tc>
          <w:tcPr>
            <w:tcW w:w="563" w:type="dxa"/>
            <w:tcBorders>
              <w:top w:val="nil"/>
              <w:left w:val="nil"/>
              <w:bottom w:val="single" w:sz="4" w:space="0" w:color="auto"/>
              <w:right w:val="single" w:sz="4" w:space="0" w:color="auto"/>
            </w:tcBorders>
            <w:shd w:val="clear" w:color="auto" w:fill="auto"/>
            <w:vAlign w:val="center"/>
            <w:hideMark/>
          </w:tcPr>
          <w:p w14:paraId="4FEFC61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e peshkimit </w:t>
            </w:r>
          </w:p>
        </w:tc>
        <w:tc>
          <w:tcPr>
            <w:tcW w:w="446" w:type="dxa"/>
            <w:tcBorders>
              <w:top w:val="nil"/>
              <w:left w:val="nil"/>
              <w:bottom w:val="single" w:sz="4" w:space="0" w:color="auto"/>
              <w:right w:val="single" w:sz="4" w:space="0" w:color="auto"/>
            </w:tcBorders>
            <w:shd w:val="clear" w:color="auto" w:fill="auto"/>
            <w:vAlign w:val="center"/>
            <w:hideMark/>
          </w:tcPr>
          <w:p w14:paraId="3C8E90C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4455263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11A8ED5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18A6142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365ECA3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6D80A1D4" w14:textId="24750123" w:rsidR="0021321C" w:rsidRPr="004F2AC3" w:rsidRDefault="0021321C" w:rsidP="0021321C">
            <w:pPr>
              <w:spacing w:after="24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Satistikat e zenies se peshkut sipas kategorive ujore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Satistikat e peshkimit sipas porteve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Flota Detare sipas llojit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anijes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Flota Detare sipas porteve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Zëniet sipas specieve në kategorinë ujrat e brendshme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Zëniet sipas specieve në kategoritë detare, bregdetare dhe laguna</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7ACD39E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Bujqësisë dhe Zhvillimit Rural</w:t>
            </w:r>
          </w:p>
        </w:tc>
        <w:tc>
          <w:tcPr>
            <w:tcW w:w="413" w:type="dxa"/>
            <w:tcBorders>
              <w:top w:val="nil"/>
              <w:left w:val="nil"/>
              <w:bottom w:val="single" w:sz="4" w:space="0" w:color="auto"/>
              <w:right w:val="single" w:sz="4" w:space="0" w:color="auto"/>
            </w:tcBorders>
            <w:shd w:val="clear" w:color="auto" w:fill="auto"/>
            <w:vAlign w:val="center"/>
            <w:hideMark/>
          </w:tcPr>
          <w:p w14:paraId="2E331E5F" w14:textId="2E18575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7A20F90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V+120D</w:t>
            </w:r>
          </w:p>
        </w:tc>
        <w:tc>
          <w:tcPr>
            <w:tcW w:w="385" w:type="dxa"/>
            <w:tcBorders>
              <w:top w:val="nil"/>
              <w:left w:val="nil"/>
              <w:bottom w:val="single" w:sz="4" w:space="0" w:color="auto"/>
              <w:right w:val="single" w:sz="4" w:space="0" w:color="auto"/>
            </w:tcBorders>
            <w:shd w:val="clear" w:color="auto" w:fill="auto"/>
            <w:vAlign w:val="center"/>
            <w:hideMark/>
          </w:tcPr>
          <w:p w14:paraId="5DFF600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V+148D</w:t>
            </w:r>
          </w:p>
        </w:tc>
        <w:tc>
          <w:tcPr>
            <w:tcW w:w="361" w:type="dxa"/>
            <w:tcBorders>
              <w:top w:val="nil"/>
              <w:left w:val="nil"/>
              <w:bottom w:val="single" w:sz="4" w:space="0" w:color="auto"/>
              <w:right w:val="single" w:sz="4" w:space="0" w:color="auto"/>
            </w:tcBorders>
            <w:shd w:val="clear" w:color="auto" w:fill="auto"/>
            <w:vAlign w:val="center"/>
            <w:hideMark/>
          </w:tcPr>
          <w:p w14:paraId="2914EE8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V+205D</w:t>
            </w:r>
          </w:p>
        </w:tc>
        <w:tc>
          <w:tcPr>
            <w:tcW w:w="732" w:type="dxa"/>
            <w:tcBorders>
              <w:top w:val="nil"/>
              <w:left w:val="nil"/>
              <w:bottom w:val="single" w:sz="4" w:space="0" w:color="auto"/>
              <w:right w:val="single" w:sz="4" w:space="0" w:color="auto"/>
            </w:tcBorders>
            <w:shd w:val="clear" w:color="auto" w:fill="auto"/>
            <w:vAlign w:val="center"/>
            <w:hideMark/>
          </w:tcPr>
          <w:p w14:paraId="230E702E" w14:textId="5B5DDAE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lidhur me: Statistikat e peshkimit dhe akuakultures -|- 4</w:t>
            </w:r>
            <w:r w:rsidRPr="004F2AC3">
              <w:rPr>
                <w:rFonts w:ascii="Garamond" w:eastAsia="Times New Roman" w:hAnsi="Garamond" w:cs="Times New Roman"/>
                <w:color w:val="000000"/>
                <w:sz w:val="10"/>
                <w:szCs w:val="10"/>
                <w:lang w:eastAsia="sq-AL"/>
              </w:rPr>
              <w:br/>
              <w:t>2. Gabime të bëra nga stafi ekspert gjatë përpunimit dhe nxjerrjes së rezultateve duke sjell ndikim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cilësinë e produktit -|- 4</w:t>
            </w:r>
            <w:r w:rsidRPr="004F2AC3">
              <w:rPr>
                <w:rFonts w:ascii="Garamond" w:eastAsia="Times New Roman" w:hAnsi="Garamond" w:cs="Times New Roman"/>
                <w:color w:val="000000"/>
                <w:sz w:val="10"/>
                <w:szCs w:val="10"/>
                <w:lang w:eastAsia="sq-AL"/>
              </w:rPr>
              <w:br/>
              <w:t>3. Risk i jashtëm për keqinterpretim të statistikave zyrtare të publikuara -|- 4</w:t>
            </w:r>
            <w:r w:rsidRPr="004F2AC3">
              <w:rPr>
                <w:rFonts w:ascii="Garamond" w:eastAsia="Times New Roman" w:hAnsi="Garamond" w:cs="Times New Roman"/>
                <w:color w:val="000000"/>
                <w:sz w:val="10"/>
                <w:szCs w:val="10"/>
                <w:lang w:eastAsia="sq-AL"/>
              </w:rPr>
              <w:br/>
              <w:t xml:space="preserve">4. Mospërmbushja e kritereve të cilësisë si: saktësia, përpikmëria dhe krahasueshmëria, për të dhënat administrative lidhur me: Statistikat e peshkimit dhe akuakultures -|- 4 </w:t>
            </w:r>
            <w:r w:rsidRPr="004F2AC3">
              <w:rPr>
                <w:rFonts w:ascii="Garamond" w:eastAsia="Times New Roman" w:hAnsi="Garamond" w:cs="Times New Roman"/>
                <w:color w:val="000000"/>
                <w:sz w:val="10"/>
                <w:szCs w:val="10"/>
                <w:lang w:eastAsia="sq-AL"/>
              </w:rPr>
              <w:br/>
              <w:t>2. Risk i jashtëm për keqinterpretim të statistikave zyrtare të publikuara -|- 4</w:t>
            </w:r>
            <w:r w:rsidRPr="004F2AC3">
              <w:rPr>
                <w:rFonts w:ascii="Garamond" w:eastAsia="Times New Roman" w:hAnsi="Garamond" w:cs="Times New Roman"/>
                <w:color w:val="000000"/>
                <w:sz w:val="10"/>
                <w:szCs w:val="10"/>
                <w:lang w:eastAsia="sq-AL"/>
              </w:rPr>
              <w:br/>
              <w:t>3. Risk i mos realizimit të aktiviteteve statistikore detyrim i burimit administrativ lidhur me: Mbledhjen dhe përpunimin e të dhënave administrative për peshkimin dhe akuakulturën -|- 4</w:t>
            </w:r>
          </w:p>
        </w:tc>
        <w:tc>
          <w:tcPr>
            <w:tcW w:w="551" w:type="dxa"/>
            <w:tcBorders>
              <w:top w:val="nil"/>
              <w:left w:val="nil"/>
              <w:bottom w:val="single" w:sz="4" w:space="0" w:color="auto"/>
              <w:right w:val="single" w:sz="4" w:space="0" w:color="auto"/>
            </w:tcBorders>
            <w:shd w:val="clear" w:color="auto" w:fill="auto"/>
            <w:vAlign w:val="center"/>
            <w:hideMark/>
          </w:tcPr>
          <w:p w14:paraId="7BF259B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6401A57D" w14:textId="77777777" w:rsidTr="0021321C">
        <w:trPr>
          <w:trHeight w:val="180"/>
          <w:jc w:val="center"/>
        </w:trPr>
        <w:tc>
          <w:tcPr>
            <w:tcW w:w="388" w:type="dxa"/>
            <w:tcBorders>
              <w:top w:val="nil"/>
              <w:left w:val="nil"/>
              <w:bottom w:val="nil"/>
              <w:right w:val="nil"/>
            </w:tcBorders>
            <w:shd w:val="clear" w:color="000000" w:fill="FFFFFF"/>
            <w:vAlign w:val="bottom"/>
            <w:hideMark/>
          </w:tcPr>
          <w:p w14:paraId="1E8774F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D9F73F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9316A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7C5318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30AB91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D6AF9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7BEF972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3.1.3.2</w:t>
            </w:r>
          </w:p>
        </w:tc>
        <w:tc>
          <w:tcPr>
            <w:tcW w:w="563" w:type="dxa"/>
            <w:tcBorders>
              <w:top w:val="nil"/>
              <w:left w:val="nil"/>
              <w:bottom w:val="single" w:sz="4" w:space="0" w:color="auto"/>
              <w:right w:val="single" w:sz="4" w:space="0" w:color="auto"/>
            </w:tcBorders>
            <w:shd w:val="clear" w:color="auto" w:fill="auto"/>
            <w:vAlign w:val="center"/>
            <w:hideMark/>
          </w:tcPr>
          <w:p w14:paraId="3187654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Statistikat e peshkimit dhe akuakulturës </w:t>
            </w:r>
          </w:p>
        </w:tc>
        <w:tc>
          <w:tcPr>
            <w:tcW w:w="446" w:type="dxa"/>
            <w:tcBorders>
              <w:top w:val="nil"/>
              <w:left w:val="nil"/>
              <w:bottom w:val="single" w:sz="4" w:space="0" w:color="auto"/>
              <w:right w:val="single" w:sz="4" w:space="0" w:color="auto"/>
            </w:tcBorders>
            <w:shd w:val="clear" w:color="auto" w:fill="auto"/>
            <w:vAlign w:val="center"/>
            <w:hideMark/>
          </w:tcPr>
          <w:p w14:paraId="3244223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7AE25DC4"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59341FB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3FB17E8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174FF31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auto" w:fill="auto"/>
            <w:vAlign w:val="center"/>
            <w:hideMark/>
          </w:tcPr>
          <w:p w14:paraId="712D5800" w14:textId="0E3E7B1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Zënie peshku sipas kategorive ujore dhe specieve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w:t>
            </w:r>
            <w:r w:rsidR="004F2AC3" w:rsidRPr="004F2AC3">
              <w:rPr>
                <w:rFonts w:ascii="Garamond" w:eastAsia="Times New Roman" w:hAnsi="Garamond" w:cs="Times New Roman"/>
                <w:color w:val="000000"/>
                <w:sz w:val="10"/>
                <w:szCs w:val="10"/>
                <w:lang w:eastAsia="sq-AL"/>
              </w:rPr>
              <w:t>Statistikat</w:t>
            </w:r>
            <w:r w:rsidRPr="004F2AC3">
              <w:rPr>
                <w:rFonts w:ascii="Garamond" w:eastAsia="Times New Roman" w:hAnsi="Garamond" w:cs="Times New Roman"/>
                <w:color w:val="000000"/>
                <w:sz w:val="10"/>
                <w:szCs w:val="10"/>
                <w:lang w:eastAsia="sq-AL"/>
              </w:rPr>
              <w:t xml:space="preserve"> e akuakulturës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Llogaritë ekonomike në peshkim</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Prodhimi i rasateve</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7395DD0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Bujqësisë dhe Zhvillimit Rural</w:t>
            </w:r>
          </w:p>
        </w:tc>
        <w:tc>
          <w:tcPr>
            <w:tcW w:w="413" w:type="dxa"/>
            <w:tcBorders>
              <w:top w:val="nil"/>
              <w:left w:val="nil"/>
              <w:bottom w:val="single" w:sz="4" w:space="0" w:color="auto"/>
              <w:right w:val="single" w:sz="4" w:space="0" w:color="auto"/>
            </w:tcBorders>
            <w:shd w:val="clear" w:color="auto" w:fill="auto"/>
            <w:vAlign w:val="center"/>
            <w:hideMark/>
          </w:tcPr>
          <w:p w14:paraId="574C4382" w14:textId="54F3CCB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23C6AB7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V+120D</w:t>
            </w:r>
          </w:p>
        </w:tc>
        <w:tc>
          <w:tcPr>
            <w:tcW w:w="385" w:type="dxa"/>
            <w:tcBorders>
              <w:top w:val="nil"/>
              <w:left w:val="nil"/>
              <w:bottom w:val="single" w:sz="4" w:space="0" w:color="auto"/>
              <w:right w:val="single" w:sz="4" w:space="0" w:color="auto"/>
            </w:tcBorders>
            <w:shd w:val="clear" w:color="auto" w:fill="auto"/>
            <w:vAlign w:val="center"/>
            <w:hideMark/>
          </w:tcPr>
          <w:p w14:paraId="17ACDAE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V+148D</w:t>
            </w:r>
          </w:p>
        </w:tc>
        <w:tc>
          <w:tcPr>
            <w:tcW w:w="361" w:type="dxa"/>
            <w:tcBorders>
              <w:top w:val="nil"/>
              <w:left w:val="nil"/>
              <w:bottom w:val="single" w:sz="4" w:space="0" w:color="auto"/>
              <w:right w:val="single" w:sz="4" w:space="0" w:color="auto"/>
            </w:tcBorders>
            <w:shd w:val="clear" w:color="auto" w:fill="auto"/>
            <w:vAlign w:val="center"/>
            <w:hideMark/>
          </w:tcPr>
          <w:p w14:paraId="5D55E41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V+205D</w:t>
            </w:r>
          </w:p>
        </w:tc>
        <w:tc>
          <w:tcPr>
            <w:tcW w:w="732" w:type="dxa"/>
            <w:tcBorders>
              <w:top w:val="nil"/>
              <w:left w:val="nil"/>
              <w:bottom w:val="single" w:sz="4" w:space="0" w:color="auto"/>
              <w:right w:val="single" w:sz="4" w:space="0" w:color="auto"/>
            </w:tcBorders>
            <w:shd w:val="clear" w:color="auto" w:fill="auto"/>
            <w:vAlign w:val="center"/>
            <w:hideMark/>
          </w:tcPr>
          <w:p w14:paraId="431C5E4F" w14:textId="73A327C1" w:rsidR="0021321C" w:rsidRPr="004F2AC3" w:rsidRDefault="0021321C" w:rsidP="004F2AC3">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procesin e grumbullimit të të dhënave nga burimet administrative lidhur me: Statistikat e peshkimit dhe akuakultur</w:t>
            </w:r>
            <w:r w:rsidR="004F2AC3"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s -|- 4</w:t>
            </w:r>
            <w:r w:rsidRPr="004F2AC3">
              <w:rPr>
                <w:rFonts w:ascii="Garamond" w:eastAsia="Times New Roman" w:hAnsi="Garamond" w:cs="Times New Roman"/>
                <w:color w:val="000000"/>
                <w:sz w:val="10"/>
                <w:szCs w:val="10"/>
                <w:lang w:eastAsia="sq-AL"/>
              </w:rPr>
              <w:br/>
              <w:t>2. Gabime të bëra nga stafi ekspert gjatë përpunimit dhe nxjerrjes së rezultateve duke sjell ndikim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cilësinë e produktit -|- 4</w:t>
            </w:r>
            <w:r w:rsidRPr="004F2AC3">
              <w:rPr>
                <w:rFonts w:ascii="Garamond" w:eastAsia="Times New Roman" w:hAnsi="Garamond" w:cs="Times New Roman"/>
                <w:color w:val="000000"/>
                <w:sz w:val="10"/>
                <w:szCs w:val="10"/>
                <w:lang w:eastAsia="sq-AL"/>
              </w:rPr>
              <w:br/>
              <w:t>3. Risk i jashtëm për keqinterpretim të statistikave zyrtare të publikuara -|- 4</w:t>
            </w:r>
            <w:r w:rsidRPr="004F2AC3">
              <w:rPr>
                <w:rFonts w:ascii="Garamond" w:eastAsia="Times New Roman" w:hAnsi="Garamond" w:cs="Times New Roman"/>
                <w:color w:val="000000"/>
                <w:sz w:val="10"/>
                <w:szCs w:val="10"/>
                <w:lang w:eastAsia="sq-AL"/>
              </w:rPr>
              <w:br/>
              <w:t>4. Mospërmbushja e kritereve të cilësisë si: saktësia, përpikmëria dhe krahasueshmëria, për të dhënat administrative lidhur me: Statistikat e peshkimit dhe akuakultures -|- 4</w:t>
            </w:r>
            <w:r w:rsidRPr="004F2AC3">
              <w:rPr>
                <w:rFonts w:ascii="Garamond" w:eastAsia="Times New Roman" w:hAnsi="Garamond" w:cs="Times New Roman"/>
                <w:color w:val="000000"/>
                <w:sz w:val="10"/>
                <w:szCs w:val="10"/>
                <w:lang w:eastAsia="sq-AL"/>
              </w:rPr>
              <w:br/>
              <w:t xml:space="preserve">5. Risk i jashtëm për keqinterpretim të statistikave zyrtare të publikuara -|- 4 </w:t>
            </w:r>
            <w:r w:rsidRPr="004F2AC3">
              <w:rPr>
                <w:rFonts w:ascii="Garamond" w:eastAsia="Times New Roman" w:hAnsi="Garamond" w:cs="Times New Roman"/>
                <w:color w:val="000000"/>
                <w:sz w:val="10"/>
                <w:szCs w:val="10"/>
                <w:lang w:eastAsia="sq-AL"/>
              </w:rPr>
              <w:br/>
              <w:t>6. Risk i mos realizimit të aktiviteteve statistikore detyrim i burimit administrativ lidhur me: Mbledhjen dhe përpunimin e të dhënave administrative për peshkimin dhe akuakulturën -|- 4</w:t>
            </w:r>
          </w:p>
        </w:tc>
        <w:tc>
          <w:tcPr>
            <w:tcW w:w="551" w:type="dxa"/>
            <w:tcBorders>
              <w:top w:val="nil"/>
              <w:left w:val="nil"/>
              <w:bottom w:val="single" w:sz="4" w:space="0" w:color="auto"/>
              <w:right w:val="single" w:sz="4" w:space="0" w:color="auto"/>
            </w:tcBorders>
            <w:shd w:val="clear" w:color="auto" w:fill="auto"/>
            <w:vAlign w:val="center"/>
            <w:hideMark/>
          </w:tcPr>
          <w:p w14:paraId="325AE4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0D9CD15C" w14:textId="77777777" w:rsidTr="0021321C">
        <w:trPr>
          <w:trHeight w:val="180"/>
          <w:jc w:val="center"/>
        </w:trPr>
        <w:tc>
          <w:tcPr>
            <w:tcW w:w="388" w:type="dxa"/>
            <w:tcBorders>
              <w:top w:val="nil"/>
              <w:left w:val="nil"/>
              <w:bottom w:val="nil"/>
              <w:right w:val="nil"/>
            </w:tcBorders>
            <w:shd w:val="clear" w:color="000000" w:fill="FFFFFF"/>
            <w:vAlign w:val="bottom"/>
            <w:hideMark/>
          </w:tcPr>
          <w:p w14:paraId="2E36A4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158226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D2D24B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7E70D2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35F1444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3.1.4</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3D49676" w14:textId="785BA33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prodhimeve organike në bujqësi</w:t>
            </w:r>
          </w:p>
        </w:tc>
      </w:tr>
      <w:tr w:rsidR="00C73163" w:rsidRPr="004F2AC3" w14:paraId="38E7B05E" w14:textId="77777777" w:rsidTr="0021321C">
        <w:trPr>
          <w:trHeight w:val="180"/>
          <w:jc w:val="center"/>
        </w:trPr>
        <w:tc>
          <w:tcPr>
            <w:tcW w:w="388" w:type="dxa"/>
            <w:tcBorders>
              <w:top w:val="nil"/>
              <w:left w:val="nil"/>
              <w:bottom w:val="nil"/>
              <w:right w:val="nil"/>
            </w:tcBorders>
            <w:shd w:val="clear" w:color="000000" w:fill="FFFFFF"/>
            <w:vAlign w:val="bottom"/>
            <w:hideMark/>
          </w:tcPr>
          <w:p w14:paraId="54187B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A46EF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E6BB4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5029C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044012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BEE51F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00CAA41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3.1.4.1</w:t>
            </w:r>
          </w:p>
        </w:tc>
        <w:tc>
          <w:tcPr>
            <w:tcW w:w="563" w:type="dxa"/>
            <w:tcBorders>
              <w:top w:val="nil"/>
              <w:left w:val="nil"/>
              <w:bottom w:val="single" w:sz="4" w:space="0" w:color="auto"/>
              <w:right w:val="single" w:sz="4" w:space="0" w:color="auto"/>
            </w:tcBorders>
            <w:shd w:val="clear" w:color="auto" w:fill="auto"/>
            <w:vAlign w:val="center"/>
            <w:hideMark/>
          </w:tcPr>
          <w:p w14:paraId="79057425" w14:textId="6A108AA5"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prodhimeve organike në bujqësi </w:t>
            </w:r>
          </w:p>
        </w:tc>
        <w:tc>
          <w:tcPr>
            <w:tcW w:w="446" w:type="dxa"/>
            <w:tcBorders>
              <w:top w:val="nil"/>
              <w:left w:val="nil"/>
              <w:bottom w:val="single" w:sz="4" w:space="0" w:color="auto"/>
              <w:right w:val="single" w:sz="4" w:space="0" w:color="auto"/>
            </w:tcBorders>
            <w:shd w:val="clear" w:color="auto" w:fill="auto"/>
            <w:vAlign w:val="center"/>
            <w:hideMark/>
          </w:tcPr>
          <w:p w14:paraId="6145AA5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noWrap/>
            <w:vAlign w:val="center"/>
            <w:hideMark/>
          </w:tcPr>
          <w:p w14:paraId="48A4135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noWrap/>
            <w:vAlign w:val="center"/>
            <w:hideMark/>
          </w:tcPr>
          <w:p w14:paraId="5986944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1AF3069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78509B6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4767BD3A" w14:textId="037BE3B6" w:rsidR="0021321C" w:rsidRPr="004F2AC3" w:rsidRDefault="0021321C" w:rsidP="0021321C">
            <w:pPr>
              <w:spacing w:after="24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Numri i Fermave organike gjithsej</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Numri i Fermave organike sipas aktivitetit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Sipërfaqe e produkteve organike në proces </w:t>
            </w:r>
            <w:r w:rsidR="00C73163" w:rsidRPr="004F2AC3">
              <w:rPr>
                <w:rFonts w:ascii="Garamond" w:eastAsia="Times New Roman" w:hAnsi="Garamond" w:cs="Times New Roman"/>
                <w:color w:val="000000"/>
                <w:sz w:val="10"/>
                <w:szCs w:val="10"/>
                <w:lang w:eastAsia="sq-AL"/>
              </w:rPr>
              <w:t>certifikimi;</w:t>
            </w:r>
            <w:r w:rsidRPr="004F2AC3">
              <w:rPr>
                <w:rFonts w:ascii="Garamond" w:eastAsia="Times New Roman" w:hAnsi="Garamond" w:cs="Times New Roman"/>
                <w:color w:val="000000"/>
                <w:sz w:val="10"/>
                <w:szCs w:val="10"/>
                <w:lang w:eastAsia="sq-AL"/>
              </w:rPr>
              <w:br/>
              <w:t xml:space="preserve">4. </w:t>
            </w:r>
            <w:r w:rsidR="004F2AC3" w:rsidRPr="004F2AC3">
              <w:rPr>
                <w:rFonts w:ascii="Garamond" w:eastAsia="Times New Roman" w:hAnsi="Garamond" w:cs="Times New Roman"/>
                <w:color w:val="000000"/>
                <w:sz w:val="10"/>
                <w:szCs w:val="10"/>
                <w:lang w:eastAsia="sq-AL"/>
              </w:rPr>
              <w:t>Sipërfaqe</w:t>
            </w:r>
            <w:r w:rsidRPr="004F2AC3">
              <w:rPr>
                <w:rFonts w:ascii="Garamond" w:eastAsia="Times New Roman" w:hAnsi="Garamond" w:cs="Times New Roman"/>
                <w:color w:val="000000"/>
                <w:sz w:val="10"/>
                <w:szCs w:val="10"/>
                <w:lang w:eastAsia="sq-AL"/>
              </w:rPr>
              <w:t xml:space="preserve"> e produkteve organike e </w:t>
            </w:r>
            <w:r w:rsidR="004F2AC3" w:rsidRPr="004F2AC3">
              <w:rPr>
                <w:rFonts w:ascii="Garamond" w:eastAsia="Times New Roman" w:hAnsi="Garamond" w:cs="Times New Roman"/>
                <w:color w:val="000000"/>
                <w:sz w:val="10"/>
                <w:szCs w:val="10"/>
                <w:lang w:eastAsia="sq-AL"/>
              </w:rPr>
              <w:t>certifikuar</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Prodhimi i produkteve organike në proces certifikimi</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6. Prodhimi i produkteve organike të </w:t>
            </w:r>
            <w:r w:rsidR="004F2AC3" w:rsidRPr="004F2AC3">
              <w:rPr>
                <w:rFonts w:ascii="Garamond" w:eastAsia="Times New Roman" w:hAnsi="Garamond" w:cs="Times New Roman"/>
                <w:color w:val="000000"/>
                <w:sz w:val="10"/>
                <w:szCs w:val="10"/>
                <w:lang w:eastAsia="sq-AL"/>
              </w:rPr>
              <w:t>certifikuar</w:t>
            </w:r>
            <w:r w:rsidRPr="004F2AC3">
              <w:rPr>
                <w:rFonts w:ascii="Garamond" w:eastAsia="Times New Roman" w:hAnsi="Garamond" w:cs="Times New Roman"/>
                <w:color w:val="000000"/>
                <w:sz w:val="10"/>
                <w:szCs w:val="10"/>
                <w:lang w:eastAsia="sq-AL"/>
              </w:rPr>
              <w:t xml:space="preserve"> në serre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7. </w:t>
            </w:r>
            <w:r w:rsidR="004F2AC3" w:rsidRPr="004F2AC3">
              <w:rPr>
                <w:rFonts w:ascii="Garamond" w:eastAsia="Times New Roman" w:hAnsi="Garamond" w:cs="Times New Roman"/>
                <w:color w:val="000000"/>
                <w:sz w:val="10"/>
                <w:szCs w:val="10"/>
                <w:lang w:eastAsia="sq-AL"/>
              </w:rPr>
              <w:t>Sipërfaqe</w:t>
            </w:r>
            <w:r w:rsidRPr="004F2AC3">
              <w:rPr>
                <w:rFonts w:ascii="Garamond" w:eastAsia="Times New Roman" w:hAnsi="Garamond" w:cs="Times New Roman"/>
                <w:color w:val="000000"/>
                <w:sz w:val="10"/>
                <w:szCs w:val="10"/>
                <w:lang w:eastAsia="sq-AL"/>
              </w:rPr>
              <w:t xml:space="preserve"> e produkteve organike të egra</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Prodhimi i produkteve organike të egra</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Blegtoria organike, produktet me origjinë shtazore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Akuakultura organike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Produktet bio të përpunuara bujqësore dhe blegtorale</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71D334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Bujqësisë dhe Zhvillimit Rural</w:t>
            </w:r>
          </w:p>
        </w:tc>
        <w:tc>
          <w:tcPr>
            <w:tcW w:w="413" w:type="dxa"/>
            <w:tcBorders>
              <w:top w:val="nil"/>
              <w:left w:val="nil"/>
              <w:bottom w:val="single" w:sz="4" w:space="0" w:color="auto"/>
              <w:right w:val="single" w:sz="4" w:space="0" w:color="auto"/>
            </w:tcBorders>
            <w:shd w:val="clear" w:color="auto" w:fill="auto"/>
            <w:vAlign w:val="center"/>
            <w:hideMark/>
          </w:tcPr>
          <w:p w14:paraId="4E81030F" w14:textId="0733E1D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465F279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+ 118D</w:t>
            </w:r>
          </w:p>
        </w:tc>
        <w:tc>
          <w:tcPr>
            <w:tcW w:w="385" w:type="dxa"/>
            <w:tcBorders>
              <w:top w:val="nil"/>
              <w:left w:val="nil"/>
              <w:bottom w:val="single" w:sz="4" w:space="0" w:color="auto"/>
              <w:right w:val="single" w:sz="4" w:space="0" w:color="auto"/>
            </w:tcBorders>
            <w:shd w:val="clear" w:color="000000" w:fill="FFFFFF"/>
            <w:vAlign w:val="center"/>
            <w:hideMark/>
          </w:tcPr>
          <w:p w14:paraId="4B7EE78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+ 160D</w:t>
            </w:r>
          </w:p>
        </w:tc>
        <w:tc>
          <w:tcPr>
            <w:tcW w:w="361" w:type="dxa"/>
            <w:tcBorders>
              <w:top w:val="nil"/>
              <w:left w:val="nil"/>
              <w:bottom w:val="single" w:sz="4" w:space="0" w:color="auto"/>
              <w:right w:val="single" w:sz="4" w:space="0" w:color="auto"/>
            </w:tcBorders>
            <w:shd w:val="clear" w:color="000000" w:fill="FFFFFF"/>
            <w:vAlign w:val="center"/>
            <w:hideMark/>
          </w:tcPr>
          <w:p w14:paraId="5E861DA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+ 174D</w:t>
            </w:r>
          </w:p>
        </w:tc>
        <w:tc>
          <w:tcPr>
            <w:tcW w:w="732" w:type="dxa"/>
            <w:tcBorders>
              <w:top w:val="nil"/>
              <w:left w:val="nil"/>
              <w:bottom w:val="single" w:sz="4" w:space="0" w:color="auto"/>
              <w:right w:val="single" w:sz="4" w:space="0" w:color="auto"/>
            </w:tcBorders>
            <w:shd w:val="clear" w:color="auto" w:fill="auto"/>
            <w:vAlign w:val="center"/>
            <w:hideMark/>
          </w:tcPr>
          <w:p w14:paraId="5A2CA586" w14:textId="544788C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Mospërmbushja e kritereve të cilësisë (saktësia, përpikmëria dhe krahasueshmëria) për të dhënat administrative mbi Tokën dhe prodhimin Bimor e cila sjell si pasojë mos prodhimin në kohë dhe cilësi të treguesve statistikore. -|- 4</w:t>
            </w:r>
            <w:r w:rsidRPr="004F2AC3">
              <w:rPr>
                <w:rFonts w:ascii="Garamond" w:eastAsia="Times New Roman" w:hAnsi="Garamond" w:cs="Times New Roman"/>
                <w:color w:val="000000"/>
                <w:sz w:val="10"/>
                <w:szCs w:val="10"/>
                <w:lang w:eastAsia="sq-AL"/>
              </w:rPr>
              <w:br/>
              <w:t xml:space="preserve">2. Lëvizja/largimi i stafit të sektorit me eksperiencë në prodhimin e statistikave të </w:t>
            </w:r>
            <w:r w:rsidR="004F2AC3" w:rsidRPr="004F2AC3">
              <w:rPr>
                <w:rFonts w:ascii="Garamond" w:eastAsia="Times New Roman" w:hAnsi="Garamond" w:cs="Times New Roman"/>
                <w:color w:val="000000"/>
                <w:sz w:val="10"/>
                <w:szCs w:val="10"/>
                <w:lang w:eastAsia="sq-AL"/>
              </w:rPr>
              <w:t>Bujqësisë</w:t>
            </w:r>
            <w:r w:rsidRPr="004F2AC3">
              <w:rPr>
                <w:rFonts w:ascii="Garamond" w:eastAsia="Times New Roman" w:hAnsi="Garamond" w:cs="Times New Roman"/>
                <w:color w:val="000000"/>
                <w:sz w:val="10"/>
                <w:szCs w:val="10"/>
                <w:lang w:eastAsia="sq-AL"/>
              </w:rPr>
              <w:t>, e cila sjell si pasojë ndërprerje/ngadalësim të proceseve të punës -|- 9</w:t>
            </w:r>
          </w:p>
        </w:tc>
        <w:tc>
          <w:tcPr>
            <w:tcW w:w="551" w:type="dxa"/>
            <w:tcBorders>
              <w:top w:val="nil"/>
              <w:left w:val="nil"/>
              <w:bottom w:val="single" w:sz="4" w:space="0" w:color="auto"/>
              <w:right w:val="single" w:sz="4" w:space="0" w:color="auto"/>
            </w:tcBorders>
            <w:shd w:val="clear" w:color="auto" w:fill="auto"/>
            <w:vAlign w:val="center"/>
            <w:hideMark/>
          </w:tcPr>
          <w:p w14:paraId="7DD6EA4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5CB9A28B" w14:textId="77777777" w:rsidTr="0021321C">
        <w:trPr>
          <w:trHeight w:val="180"/>
          <w:jc w:val="center"/>
        </w:trPr>
        <w:tc>
          <w:tcPr>
            <w:tcW w:w="388" w:type="dxa"/>
            <w:tcBorders>
              <w:top w:val="nil"/>
              <w:left w:val="nil"/>
              <w:bottom w:val="nil"/>
              <w:right w:val="nil"/>
            </w:tcBorders>
            <w:shd w:val="clear" w:color="000000" w:fill="FFFFFF"/>
            <w:vAlign w:val="bottom"/>
            <w:hideMark/>
          </w:tcPr>
          <w:p w14:paraId="2B65CDB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B915E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2D546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AF2D22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7074911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3.1.5</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2EEC2F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agromjedisit</w:t>
            </w:r>
          </w:p>
        </w:tc>
      </w:tr>
      <w:tr w:rsidR="00C73163" w:rsidRPr="004F2AC3" w14:paraId="0CBE1392" w14:textId="77777777" w:rsidTr="0021321C">
        <w:trPr>
          <w:trHeight w:val="180"/>
          <w:jc w:val="center"/>
        </w:trPr>
        <w:tc>
          <w:tcPr>
            <w:tcW w:w="388" w:type="dxa"/>
            <w:tcBorders>
              <w:top w:val="nil"/>
              <w:left w:val="nil"/>
              <w:bottom w:val="nil"/>
              <w:right w:val="nil"/>
            </w:tcBorders>
            <w:shd w:val="clear" w:color="000000" w:fill="FFFFFF"/>
            <w:vAlign w:val="bottom"/>
            <w:hideMark/>
          </w:tcPr>
          <w:p w14:paraId="589D862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E30C0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F5C179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B00FF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052D13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430C0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3D4F742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3.1.5.1</w:t>
            </w:r>
          </w:p>
        </w:tc>
        <w:tc>
          <w:tcPr>
            <w:tcW w:w="563" w:type="dxa"/>
            <w:tcBorders>
              <w:top w:val="nil"/>
              <w:left w:val="nil"/>
              <w:bottom w:val="single" w:sz="4" w:space="0" w:color="auto"/>
              <w:right w:val="single" w:sz="4" w:space="0" w:color="auto"/>
            </w:tcBorders>
            <w:shd w:val="clear" w:color="auto" w:fill="auto"/>
            <w:vAlign w:val="center"/>
            <w:hideMark/>
          </w:tcPr>
          <w:p w14:paraId="2C284FB1"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agromjedisit</w:t>
            </w:r>
          </w:p>
        </w:tc>
        <w:tc>
          <w:tcPr>
            <w:tcW w:w="446" w:type="dxa"/>
            <w:tcBorders>
              <w:top w:val="nil"/>
              <w:left w:val="nil"/>
              <w:bottom w:val="single" w:sz="4" w:space="0" w:color="auto"/>
              <w:right w:val="single" w:sz="4" w:space="0" w:color="auto"/>
            </w:tcBorders>
            <w:shd w:val="clear" w:color="auto" w:fill="auto"/>
            <w:vAlign w:val="center"/>
            <w:hideMark/>
          </w:tcPr>
          <w:p w14:paraId="21860A6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noWrap/>
            <w:vAlign w:val="center"/>
            <w:hideMark/>
          </w:tcPr>
          <w:p w14:paraId="2E48CCE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noWrap/>
            <w:vAlign w:val="center"/>
            <w:hideMark/>
          </w:tcPr>
          <w:p w14:paraId="39E8C2EF"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318B139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3F7AFCE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6C458947" w14:textId="49C65F3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4F2AC3" w:rsidRPr="004F2AC3">
              <w:rPr>
                <w:rFonts w:ascii="Garamond" w:eastAsia="Times New Roman" w:hAnsi="Garamond" w:cs="Times New Roman"/>
                <w:color w:val="000000"/>
                <w:sz w:val="10"/>
                <w:szCs w:val="10"/>
                <w:lang w:eastAsia="sq-AL"/>
              </w:rPr>
              <w:t>Sipërfaqja</w:t>
            </w:r>
            <w:r w:rsidRPr="004F2AC3">
              <w:rPr>
                <w:rFonts w:ascii="Garamond" w:eastAsia="Times New Roman" w:hAnsi="Garamond" w:cs="Times New Roman"/>
                <w:color w:val="000000"/>
                <w:sz w:val="10"/>
                <w:szCs w:val="10"/>
                <w:lang w:eastAsia="sq-AL"/>
              </w:rPr>
              <w:t xml:space="preserve"> e trajtuar me plehra</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Sipërfaqja e trajtuar me pesticide sipas llojeve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Sasia e plehrave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Sasia e pesticideve</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42B054B1" w14:textId="7D3EEBA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Ministria e Bujqësisë dhe Zhvillimit Rural</w:t>
            </w:r>
          </w:p>
        </w:tc>
        <w:tc>
          <w:tcPr>
            <w:tcW w:w="413" w:type="dxa"/>
            <w:tcBorders>
              <w:top w:val="nil"/>
              <w:left w:val="nil"/>
              <w:bottom w:val="single" w:sz="4" w:space="0" w:color="auto"/>
              <w:right w:val="single" w:sz="4" w:space="0" w:color="auto"/>
            </w:tcBorders>
            <w:shd w:val="clear" w:color="auto" w:fill="auto"/>
            <w:vAlign w:val="center"/>
            <w:hideMark/>
          </w:tcPr>
          <w:p w14:paraId="01ADD35C" w14:textId="3ED0A99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049227B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+ 152D</w:t>
            </w:r>
          </w:p>
        </w:tc>
        <w:tc>
          <w:tcPr>
            <w:tcW w:w="385" w:type="dxa"/>
            <w:tcBorders>
              <w:top w:val="nil"/>
              <w:left w:val="nil"/>
              <w:bottom w:val="single" w:sz="4" w:space="0" w:color="auto"/>
              <w:right w:val="single" w:sz="4" w:space="0" w:color="auto"/>
            </w:tcBorders>
            <w:shd w:val="clear" w:color="000000" w:fill="FFFFFF"/>
            <w:vAlign w:val="center"/>
            <w:hideMark/>
          </w:tcPr>
          <w:p w14:paraId="760A99A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+ 292D</w:t>
            </w:r>
          </w:p>
        </w:tc>
        <w:tc>
          <w:tcPr>
            <w:tcW w:w="361" w:type="dxa"/>
            <w:tcBorders>
              <w:top w:val="nil"/>
              <w:left w:val="nil"/>
              <w:bottom w:val="single" w:sz="4" w:space="0" w:color="auto"/>
              <w:right w:val="single" w:sz="4" w:space="0" w:color="auto"/>
            </w:tcBorders>
            <w:shd w:val="clear" w:color="000000" w:fill="FFFFFF"/>
            <w:vAlign w:val="center"/>
            <w:hideMark/>
          </w:tcPr>
          <w:p w14:paraId="0FB4B9E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+ 299D</w:t>
            </w:r>
          </w:p>
        </w:tc>
        <w:tc>
          <w:tcPr>
            <w:tcW w:w="732" w:type="dxa"/>
            <w:tcBorders>
              <w:top w:val="nil"/>
              <w:left w:val="nil"/>
              <w:bottom w:val="single" w:sz="4" w:space="0" w:color="auto"/>
              <w:right w:val="single" w:sz="4" w:space="0" w:color="auto"/>
            </w:tcBorders>
            <w:shd w:val="clear" w:color="auto" w:fill="auto"/>
            <w:vAlign w:val="center"/>
            <w:hideMark/>
          </w:tcPr>
          <w:p w14:paraId="234BB5CC" w14:textId="5C699E41" w:rsidR="0021321C" w:rsidRPr="004F2AC3" w:rsidRDefault="004F2AC3"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w:t>
            </w:r>
            <w:r w:rsidR="0021321C" w:rsidRPr="004F2AC3">
              <w:rPr>
                <w:rFonts w:ascii="Garamond" w:eastAsia="Times New Roman" w:hAnsi="Garamond" w:cs="Times New Roman"/>
                <w:color w:val="000000"/>
                <w:sz w:val="10"/>
                <w:szCs w:val="10"/>
                <w:lang w:eastAsia="sq-AL"/>
              </w:rPr>
              <w:t xml:space="preserve">marrja e të dhënave administrative </w:t>
            </w:r>
            <w:r w:rsidRPr="004F2AC3">
              <w:rPr>
                <w:rFonts w:ascii="Garamond" w:eastAsia="Times New Roman" w:hAnsi="Garamond" w:cs="Times New Roman"/>
                <w:color w:val="000000"/>
                <w:sz w:val="10"/>
                <w:szCs w:val="10"/>
                <w:lang w:eastAsia="sq-AL"/>
              </w:rPr>
              <w:t>për</w:t>
            </w:r>
            <w:r w:rsidR="0021321C" w:rsidRPr="004F2AC3">
              <w:rPr>
                <w:rFonts w:ascii="Garamond" w:eastAsia="Times New Roman" w:hAnsi="Garamond" w:cs="Times New Roman"/>
                <w:color w:val="000000"/>
                <w:sz w:val="10"/>
                <w:szCs w:val="10"/>
                <w:lang w:eastAsia="sq-AL"/>
              </w:rPr>
              <w:t xml:space="preserve"> Agro-mjedisin nga Ministria e Bujqësisë dhe Zhvillimit Rural, mund të sjellë vonesa dhe pasaktësi në publikimin e </w:t>
            </w:r>
            <w:r w:rsidRPr="004F2AC3">
              <w:rPr>
                <w:rFonts w:ascii="Garamond" w:eastAsia="Times New Roman" w:hAnsi="Garamond" w:cs="Times New Roman"/>
                <w:color w:val="000000"/>
                <w:sz w:val="10"/>
                <w:szCs w:val="10"/>
                <w:lang w:eastAsia="sq-AL"/>
              </w:rPr>
              <w:t>reaguesve</w:t>
            </w:r>
            <w:r w:rsidR="0021321C" w:rsidRPr="004F2AC3">
              <w:rPr>
                <w:rFonts w:ascii="Garamond" w:eastAsia="Times New Roman" w:hAnsi="Garamond" w:cs="Times New Roman"/>
                <w:color w:val="000000"/>
                <w:sz w:val="10"/>
                <w:szCs w:val="10"/>
                <w:lang w:eastAsia="sq-AL"/>
              </w:rPr>
              <w:t xml:space="preserve"> statistikorë -|- 4</w:t>
            </w:r>
          </w:p>
        </w:tc>
        <w:tc>
          <w:tcPr>
            <w:tcW w:w="551" w:type="dxa"/>
            <w:tcBorders>
              <w:top w:val="nil"/>
              <w:left w:val="nil"/>
              <w:bottom w:val="single" w:sz="4" w:space="0" w:color="auto"/>
              <w:right w:val="single" w:sz="4" w:space="0" w:color="auto"/>
            </w:tcBorders>
            <w:shd w:val="clear" w:color="auto" w:fill="auto"/>
            <w:vAlign w:val="center"/>
            <w:hideMark/>
          </w:tcPr>
          <w:p w14:paraId="2A8A0A6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154D7B0C" w14:textId="77777777" w:rsidTr="0021321C">
        <w:trPr>
          <w:trHeight w:val="180"/>
          <w:jc w:val="center"/>
        </w:trPr>
        <w:tc>
          <w:tcPr>
            <w:tcW w:w="388" w:type="dxa"/>
            <w:tcBorders>
              <w:top w:val="nil"/>
              <w:left w:val="nil"/>
              <w:bottom w:val="nil"/>
              <w:right w:val="nil"/>
            </w:tcBorders>
            <w:shd w:val="clear" w:color="000000" w:fill="FFFFFF"/>
            <w:vAlign w:val="bottom"/>
            <w:hideMark/>
          </w:tcPr>
          <w:p w14:paraId="73018F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DDA86E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single" w:sz="4" w:space="0" w:color="000000"/>
            </w:tcBorders>
            <w:shd w:val="clear" w:color="000000" w:fill="F0F0F0"/>
            <w:vAlign w:val="center"/>
            <w:hideMark/>
          </w:tcPr>
          <w:p w14:paraId="6374F10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3.2</w:t>
            </w:r>
          </w:p>
        </w:tc>
        <w:tc>
          <w:tcPr>
            <w:tcW w:w="3781" w:type="dxa"/>
            <w:gridSpan w:val="10"/>
            <w:tcBorders>
              <w:top w:val="single" w:sz="4" w:space="0" w:color="000000"/>
              <w:left w:val="nil"/>
              <w:bottom w:val="single" w:sz="4" w:space="0" w:color="000000"/>
              <w:right w:val="nil"/>
            </w:tcBorders>
            <w:shd w:val="clear" w:color="000000" w:fill="F0F0F0"/>
            <w:vAlign w:val="center"/>
            <w:hideMark/>
          </w:tcPr>
          <w:p w14:paraId="185069F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Energjia</w:t>
            </w:r>
          </w:p>
        </w:tc>
        <w:tc>
          <w:tcPr>
            <w:tcW w:w="1098" w:type="dxa"/>
            <w:tcBorders>
              <w:top w:val="nil"/>
              <w:left w:val="single" w:sz="4" w:space="0" w:color="auto"/>
              <w:bottom w:val="single" w:sz="4" w:space="0" w:color="auto"/>
              <w:right w:val="single" w:sz="4" w:space="0" w:color="auto"/>
            </w:tcBorders>
            <w:shd w:val="clear" w:color="000000" w:fill="F0F0F0"/>
            <w:vAlign w:val="center"/>
            <w:hideMark/>
          </w:tcPr>
          <w:p w14:paraId="5FFE3EA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auto" w:fill="auto"/>
            <w:vAlign w:val="center"/>
            <w:hideMark/>
          </w:tcPr>
          <w:p w14:paraId="37B6C4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auto" w:fill="auto"/>
            <w:vAlign w:val="center"/>
            <w:hideMark/>
          </w:tcPr>
          <w:p w14:paraId="79B017D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auto" w:fill="auto"/>
            <w:vAlign w:val="center"/>
            <w:hideMark/>
          </w:tcPr>
          <w:p w14:paraId="738E9B1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auto" w:fill="auto"/>
            <w:vAlign w:val="center"/>
            <w:hideMark/>
          </w:tcPr>
          <w:p w14:paraId="40DFDBF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auto" w:fill="auto"/>
            <w:vAlign w:val="center"/>
            <w:hideMark/>
          </w:tcPr>
          <w:p w14:paraId="6706E8F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0F23980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auto" w:fill="auto"/>
            <w:vAlign w:val="center"/>
            <w:hideMark/>
          </w:tcPr>
          <w:p w14:paraId="638C380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21321C" w:rsidRPr="004F2AC3" w14:paraId="3CF98EEA" w14:textId="77777777" w:rsidTr="0021321C">
        <w:trPr>
          <w:trHeight w:val="180"/>
          <w:jc w:val="center"/>
        </w:trPr>
        <w:tc>
          <w:tcPr>
            <w:tcW w:w="388" w:type="dxa"/>
            <w:tcBorders>
              <w:top w:val="nil"/>
              <w:left w:val="nil"/>
              <w:bottom w:val="nil"/>
              <w:right w:val="nil"/>
            </w:tcBorders>
            <w:shd w:val="clear" w:color="000000" w:fill="FFFFFF"/>
            <w:vAlign w:val="bottom"/>
            <w:hideMark/>
          </w:tcPr>
          <w:p w14:paraId="587638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A5F88D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E1242E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D9D6FB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0BD454A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3.2.1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BBFED2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e Energjisë - prodhimi </w:t>
            </w:r>
          </w:p>
        </w:tc>
      </w:tr>
      <w:tr w:rsidR="00C73163" w:rsidRPr="004F2AC3" w14:paraId="2C329DCE" w14:textId="77777777" w:rsidTr="0021321C">
        <w:trPr>
          <w:trHeight w:val="180"/>
          <w:jc w:val="center"/>
        </w:trPr>
        <w:tc>
          <w:tcPr>
            <w:tcW w:w="388" w:type="dxa"/>
            <w:tcBorders>
              <w:top w:val="nil"/>
              <w:left w:val="nil"/>
              <w:bottom w:val="nil"/>
              <w:right w:val="nil"/>
            </w:tcBorders>
            <w:shd w:val="clear" w:color="000000" w:fill="FFFFFF"/>
            <w:vAlign w:val="bottom"/>
            <w:hideMark/>
          </w:tcPr>
          <w:p w14:paraId="4CEC85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8BE8F0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180E9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99A739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5519A4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697C2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70C766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3.2.1.1</w:t>
            </w:r>
          </w:p>
        </w:tc>
        <w:tc>
          <w:tcPr>
            <w:tcW w:w="56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426E3B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energjisë</w:t>
            </w:r>
          </w:p>
        </w:tc>
        <w:tc>
          <w:tcPr>
            <w:tcW w:w="446" w:type="dxa"/>
            <w:vMerge w:val="restart"/>
            <w:tcBorders>
              <w:top w:val="nil"/>
              <w:left w:val="single" w:sz="4" w:space="0" w:color="000000"/>
              <w:bottom w:val="single" w:sz="4" w:space="0" w:color="000000"/>
              <w:right w:val="single" w:sz="4" w:space="0" w:color="auto"/>
            </w:tcBorders>
            <w:shd w:val="clear" w:color="auto" w:fill="auto"/>
            <w:vAlign w:val="center"/>
            <w:hideMark/>
          </w:tcPr>
          <w:p w14:paraId="72FBF52B"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F96A3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6C493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7A40EA1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auto" w:fill="auto"/>
            <w:vAlign w:val="center"/>
            <w:hideMark/>
          </w:tcPr>
          <w:p w14:paraId="27624A6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nil"/>
              <w:right w:val="single" w:sz="4" w:space="0" w:color="auto"/>
            </w:tcBorders>
            <w:shd w:val="clear" w:color="auto" w:fill="auto"/>
            <w:hideMark/>
          </w:tcPr>
          <w:p w14:paraId="00CD329B" w14:textId="21789EFE" w:rsidR="0021321C" w:rsidRPr="004F2AC3" w:rsidRDefault="0021321C" w:rsidP="002D5897">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i/>
                <w:iCs/>
                <w:color w:val="000000"/>
                <w:sz w:val="10"/>
                <w:szCs w:val="10"/>
                <w:lang w:eastAsia="sq-AL"/>
              </w:rPr>
              <w:t>I. Energji në dispozicion (Prodhimi neto vendas)</w:t>
            </w:r>
            <w:r w:rsidRPr="004F2AC3">
              <w:rPr>
                <w:rFonts w:ascii="Garamond" w:eastAsia="Times New Roman" w:hAnsi="Garamond" w:cs="Times New Roman"/>
                <w:color w:val="000000"/>
                <w:sz w:val="10"/>
                <w:szCs w:val="10"/>
                <w:lang w:eastAsia="sq-AL"/>
              </w:rPr>
              <w:br/>
            </w:r>
            <w:r w:rsidR="00C73163" w:rsidRPr="004F2AC3">
              <w:rPr>
                <w:rFonts w:ascii="Garamond" w:eastAsia="Times New Roman" w:hAnsi="Garamond" w:cs="Times New Roman"/>
                <w:i/>
                <w:iCs/>
                <w:color w:val="000000"/>
                <w:sz w:val="10"/>
                <w:szCs w:val="10"/>
                <w:lang w:eastAsia="sq-AL"/>
              </w:rPr>
              <w:t>a. Energji Elektrike</w:t>
            </w:r>
            <w:r w:rsidR="00C73163" w:rsidRPr="004F2AC3">
              <w:rPr>
                <w:rFonts w:ascii="Garamond" w:eastAsia="Times New Roman" w:hAnsi="Garamond" w:cs="Times New Roman"/>
                <w:color w:val="000000"/>
                <w:sz w:val="10"/>
                <w:szCs w:val="10"/>
                <w:lang w:eastAsia="sq-AL"/>
              </w:rPr>
              <w:br/>
              <w:t>1. Termocentrale</w:t>
            </w:r>
            <w:r w:rsidRPr="004F2AC3">
              <w:rPr>
                <w:rFonts w:ascii="Garamond" w:eastAsia="Times New Roman" w:hAnsi="Garamond" w:cs="Times New Roman"/>
                <w:color w:val="000000"/>
                <w:sz w:val="10"/>
                <w:szCs w:val="10"/>
                <w:lang w:eastAsia="sq-AL"/>
              </w:rPr>
              <w:br/>
              <w:t>2. Hidrocentrale</w:t>
            </w:r>
            <w:r w:rsidRPr="004F2AC3">
              <w:rPr>
                <w:rFonts w:ascii="Garamond" w:eastAsia="Times New Roman" w:hAnsi="Garamond" w:cs="Times New Roman"/>
                <w:color w:val="000000"/>
                <w:sz w:val="10"/>
                <w:szCs w:val="10"/>
                <w:lang w:eastAsia="sq-AL"/>
              </w:rPr>
              <w:br/>
              <w:t>3. PV (Parqe Fotovoltaike)</w:t>
            </w:r>
            <w:r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i/>
                <w:iCs/>
                <w:color w:val="000000"/>
                <w:sz w:val="10"/>
                <w:szCs w:val="10"/>
                <w:lang w:eastAsia="sq-AL"/>
              </w:rPr>
              <w:t>b. Naft</w:t>
            </w:r>
            <w:r w:rsidR="002D5897" w:rsidRPr="004F2AC3">
              <w:rPr>
                <w:rFonts w:ascii="Garamond" w:eastAsia="Times New Roman" w:hAnsi="Garamond" w:cs="Times New Roman"/>
                <w:i/>
                <w:iCs/>
                <w:color w:val="000000"/>
                <w:sz w:val="10"/>
                <w:szCs w:val="10"/>
                <w:lang w:eastAsia="sq-AL"/>
              </w:rPr>
              <w:t>ë</w:t>
            </w:r>
            <w:r w:rsidRPr="004F2AC3">
              <w:rPr>
                <w:rFonts w:ascii="Garamond" w:eastAsia="Times New Roman" w:hAnsi="Garamond" w:cs="Times New Roman"/>
                <w:i/>
                <w:iCs/>
                <w:color w:val="000000"/>
                <w:sz w:val="10"/>
                <w:szCs w:val="10"/>
                <w:lang w:eastAsia="sq-AL"/>
              </w:rPr>
              <w:t xml:space="preserve"> dhe Produket e saj</w:t>
            </w:r>
            <w:r w:rsidRPr="004F2AC3">
              <w:rPr>
                <w:rFonts w:ascii="Garamond" w:eastAsia="Times New Roman" w:hAnsi="Garamond" w:cs="Times New Roman"/>
                <w:color w:val="000000"/>
                <w:sz w:val="10"/>
                <w:szCs w:val="10"/>
                <w:lang w:eastAsia="sq-AL"/>
              </w:rPr>
              <w:br/>
              <w:t>4. Naft</w:t>
            </w:r>
            <w:r w:rsidR="002D5897"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brut</w:t>
            </w:r>
            <w:r w:rsidR="002D5897" w:rsidRPr="004F2AC3">
              <w:rPr>
                <w:rFonts w:ascii="Garamond" w:eastAsia="Times New Roman" w:hAnsi="Garamond" w:cs="Times New Roman"/>
                <w:color w:val="000000"/>
                <w:sz w:val="10"/>
                <w:szCs w:val="10"/>
                <w:lang w:eastAsia="sq-AL"/>
              </w:rPr>
              <w:t>o</w:t>
            </w:r>
            <w:r w:rsidRPr="004F2AC3">
              <w:rPr>
                <w:rFonts w:ascii="Garamond" w:eastAsia="Times New Roman" w:hAnsi="Garamond" w:cs="Times New Roman"/>
                <w:color w:val="000000"/>
                <w:sz w:val="10"/>
                <w:szCs w:val="10"/>
                <w:lang w:eastAsia="sq-AL"/>
              </w:rPr>
              <w:br/>
              <w:t>5. Gaz Natyror</w:t>
            </w:r>
            <w:r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i/>
                <w:iCs/>
                <w:color w:val="000000"/>
                <w:sz w:val="10"/>
                <w:szCs w:val="10"/>
                <w:lang w:eastAsia="sq-AL"/>
              </w:rPr>
              <w:t>c. Qymyr</w:t>
            </w:r>
            <w:r w:rsidRPr="004F2AC3">
              <w:rPr>
                <w:rFonts w:ascii="Garamond" w:eastAsia="Times New Roman" w:hAnsi="Garamond" w:cs="Times New Roman"/>
                <w:color w:val="000000"/>
                <w:sz w:val="10"/>
                <w:szCs w:val="10"/>
                <w:lang w:eastAsia="sq-AL"/>
              </w:rPr>
              <w:br/>
              <w:t>6. Zhavor Bituminaz</w:t>
            </w:r>
            <w:r w:rsidRPr="004F2AC3">
              <w:rPr>
                <w:rFonts w:ascii="Garamond" w:eastAsia="Times New Roman" w:hAnsi="Garamond" w:cs="Times New Roman"/>
                <w:color w:val="000000"/>
                <w:sz w:val="10"/>
                <w:szCs w:val="10"/>
                <w:lang w:eastAsia="sq-AL"/>
              </w:rPr>
              <w:br/>
              <w:t>7. Qymyr Guri</w:t>
            </w:r>
            <w:r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i/>
                <w:iCs/>
                <w:color w:val="000000"/>
                <w:sz w:val="10"/>
                <w:szCs w:val="10"/>
                <w:lang w:eastAsia="sq-AL"/>
              </w:rPr>
              <w:t>II.</w:t>
            </w:r>
            <w:r w:rsidR="00684E85" w:rsidRPr="004F2AC3">
              <w:rPr>
                <w:rFonts w:ascii="Garamond" w:eastAsia="Times New Roman" w:hAnsi="Garamond" w:cs="Times New Roman"/>
                <w:i/>
                <w:iCs/>
                <w:color w:val="000000"/>
                <w:sz w:val="10"/>
                <w:szCs w:val="10"/>
                <w:lang w:eastAsia="sq-AL"/>
              </w:rPr>
              <w:t xml:space="preserve"> </w:t>
            </w:r>
            <w:r w:rsidRPr="004F2AC3">
              <w:rPr>
                <w:rFonts w:ascii="Garamond" w:eastAsia="Times New Roman" w:hAnsi="Garamond" w:cs="Times New Roman"/>
                <w:i/>
                <w:iCs/>
                <w:color w:val="000000"/>
                <w:sz w:val="10"/>
                <w:szCs w:val="10"/>
                <w:lang w:eastAsia="sq-AL"/>
              </w:rPr>
              <w:t xml:space="preserve">Prodhim </w:t>
            </w:r>
            <w:r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i/>
                <w:iCs/>
                <w:color w:val="000000"/>
                <w:sz w:val="10"/>
                <w:szCs w:val="10"/>
                <w:lang w:eastAsia="sq-AL"/>
              </w:rPr>
              <w:t xml:space="preserve"> Prodhim (Energji Elektrike)</w:t>
            </w:r>
            <w:r w:rsidRPr="004F2AC3">
              <w:rPr>
                <w:rFonts w:ascii="Garamond" w:eastAsia="Times New Roman" w:hAnsi="Garamond" w:cs="Times New Roman"/>
                <w:color w:val="000000"/>
                <w:sz w:val="10"/>
                <w:szCs w:val="10"/>
                <w:lang w:eastAsia="sq-AL"/>
              </w:rPr>
              <w:br/>
              <w:t>8. Prodhim bruto i hidrocentraleve publike</w:t>
            </w:r>
            <w:r w:rsidRPr="004F2AC3">
              <w:rPr>
                <w:rFonts w:ascii="Garamond" w:eastAsia="Times New Roman" w:hAnsi="Garamond" w:cs="Times New Roman"/>
                <w:color w:val="000000"/>
                <w:sz w:val="10"/>
                <w:szCs w:val="10"/>
                <w:lang w:eastAsia="sq-AL"/>
              </w:rPr>
              <w:br/>
              <w:t>9. Prodhues të pavarur privatë dhe koncesionarë</w:t>
            </w:r>
            <w:r w:rsidRPr="004F2AC3">
              <w:rPr>
                <w:rFonts w:ascii="Garamond" w:eastAsia="Times New Roman" w:hAnsi="Garamond" w:cs="Times New Roman"/>
                <w:color w:val="000000"/>
                <w:sz w:val="10"/>
                <w:szCs w:val="10"/>
                <w:lang w:eastAsia="sq-AL"/>
              </w:rPr>
              <w:br/>
              <w:t>10. Të tjerë prodhues (energji të rinovueshme të tjera)</w:t>
            </w:r>
            <w:r w:rsidRPr="004F2AC3">
              <w:rPr>
                <w:rFonts w:ascii="Garamond" w:eastAsia="Times New Roman" w:hAnsi="Garamond" w:cs="Times New Roman"/>
                <w:color w:val="000000"/>
                <w:sz w:val="10"/>
                <w:szCs w:val="10"/>
                <w:lang w:eastAsia="sq-AL"/>
              </w:rPr>
              <w:br/>
              <w:t>11. Konsum dhe humbje vetjake</w:t>
            </w:r>
            <w:r w:rsidRPr="004F2AC3">
              <w:rPr>
                <w:rFonts w:ascii="Garamond" w:eastAsia="Times New Roman" w:hAnsi="Garamond" w:cs="Times New Roman"/>
                <w:color w:val="000000"/>
                <w:sz w:val="10"/>
                <w:szCs w:val="10"/>
                <w:lang w:eastAsia="sq-AL"/>
              </w:rPr>
              <w:br/>
              <w:t>12. Importi bruto (energji në marrje)</w:t>
            </w:r>
            <w:r w:rsidRPr="004F2AC3">
              <w:rPr>
                <w:rFonts w:ascii="Garamond" w:eastAsia="Times New Roman" w:hAnsi="Garamond" w:cs="Times New Roman"/>
                <w:color w:val="000000"/>
                <w:sz w:val="10"/>
                <w:szCs w:val="10"/>
                <w:lang w:eastAsia="sq-AL"/>
              </w:rPr>
              <w:br/>
              <w:t>13. Eksporti bruto (energji në dhënie)</w:t>
            </w:r>
            <w:r w:rsidRPr="004F2AC3">
              <w:rPr>
                <w:rFonts w:ascii="Garamond" w:eastAsia="Times New Roman" w:hAnsi="Garamond" w:cs="Times New Roman"/>
                <w:color w:val="000000"/>
                <w:sz w:val="10"/>
                <w:szCs w:val="10"/>
                <w:lang w:eastAsia="sq-AL"/>
              </w:rPr>
              <w:br/>
              <w:t xml:space="preserve">14. Konsumi i energjisë elektrike </w:t>
            </w:r>
            <w:r w:rsidRPr="004F2AC3">
              <w:rPr>
                <w:rFonts w:ascii="Garamond" w:eastAsia="Times New Roman" w:hAnsi="Garamond" w:cs="Times New Roman"/>
                <w:color w:val="000000"/>
                <w:sz w:val="10"/>
                <w:szCs w:val="10"/>
                <w:lang w:eastAsia="sq-AL"/>
              </w:rPr>
              <w:br/>
              <w:t>15. Humbjet në rrjet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16. Humbjet dhe konsumi vetjak në transmetim</w:t>
            </w:r>
            <w:r w:rsidRPr="004F2AC3">
              <w:rPr>
                <w:rFonts w:ascii="Garamond" w:eastAsia="Times New Roman" w:hAnsi="Garamond" w:cs="Times New Roman"/>
                <w:color w:val="000000"/>
                <w:sz w:val="10"/>
                <w:szCs w:val="10"/>
                <w:lang w:eastAsia="sq-AL"/>
              </w:rPr>
              <w:br/>
              <w:t>17. Humbjet në shpërndarje</w:t>
            </w:r>
            <w:r w:rsidRPr="004F2AC3">
              <w:rPr>
                <w:rFonts w:ascii="Garamond" w:eastAsia="Times New Roman" w:hAnsi="Garamond" w:cs="Times New Roman"/>
                <w:color w:val="000000"/>
                <w:sz w:val="10"/>
                <w:szCs w:val="10"/>
                <w:lang w:eastAsia="sq-AL"/>
              </w:rPr>
              <w:br/>
            </w:r>
          </w:p>
        </w:tc>
        <w:tc>
          <w:tcPr>
            <w:tcW w:w="554" w:type="dxa"/>
            <w:vMerge w:val="restart"/>
            <w:tcBorders>
              <w:top w:val="nil"/>
              <w:left w:val="single" w:sz="4" w:space="0" w:color="auto"/>
              <w:bottom w:val="single" w:sz="4" w:space="0" w:color="000000"/>
              <w:right w:val="single" w:sz="4" w:space="0" w:color="000000"/>
            </w:tcBorders>
            <w:shd w:val="clear" w:color="auto" w:fill="auto"/>
            <w:vAlign w:val="center"/>
            <w:hideMark/>
          </w:tcPr>
          <w:p w14:paraId="514A837A" w14:textId="77777777" w:rsidR="002D5897"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Opera</w:t>
            </w:r>
            <w:r w:rsidR="00C73163" w:rsidRPr="004F2AC3">
              <w:rPr>
                <w:rFonts w:ascii="Garamond" w:eastAsia="Times New Roman" w:hAnsi="Garamond" w:cs="Times New Roman"/>
                <w:color w:val="000000"/>
                <w:sz w:val="10"/>
                <w:szCs w:val="10"/>
                <w:lang w:eastAsia="sq-AL"/>
              </w:rPr>
              <w:t>tori i Sistemit të Transmetimit;</w:t>
            </w:r>
            <w:r w:rsidRPr="004F2AC3">
              <w:rPr>
                <w:rFonts w:ascii="Garamond" w:eastAsia="Times New Roman" w:hAnsi="Garamond" w:cs="Times New Roman"/>
                <w:color w:val="000000"/>
                <w:sz w:val="10"/>
                <w:szCs w:val="10"/>
                <w:lang w:eastAsia="sq-AL"/>
              </w:rPr>
              <w:br/>
              <w:t>Korpora</w:t>
            </w:r>
            <w:r w:rsidR="00C73163" w:rsidRPr="004F2AC3">
              <w:rPr>
                <w:rFonts w:ascii="Garamond" w:eastAsia="Times New Roman" w:hAnsi="Garamond" w:cs="Times New Roman"/>
                <w:color w:val="000000"/>
                <w:sz w:val="10"/>
                <w:szCs w:val="10"/>
                <w:lang w:eastAsia="sq-AL"/>
              </w:rPr>
              <w:t>ta Elektroenergjitik</w:t>
            </w:r>
            <w:r w:rsidR="002D5897" w:rsidRPr="004F2AC3">
              <w:rPr>
                <w:rFonts w:ascii="Garamond" w:eastAsia="Times New Roman" w:hAnsi="Garamond" w:cs="Times New Roman"/>
                <w:color w:val="000000"/>
                <w:sz w:val="10"/>
                <w:szCs w:val="10"/>
                <w:lang w:eastAsia="sq-AL"/>
              </w:rPr>
              <w:t>e</w:t>
            </w:r>
          </w:p>
          <w:p w14:paraId="5B1B07F9" w14:textId="0365F29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Shqiptare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r>
            <w:r w:rsidR="004F2AC3" w:rsidRPr="004F2AC3">
              <w:rPr>
                <w:rFonts w:ascii="Garamond" w:eastAsia="Times New Roman" w:hAnsi="Garamond" w:cs="Times New Roman"/>
                <w:color w:val="000000"/>
                <w:sz w:val="10"/>
                <w:szCs w:val="10"/>
                <w:lang w:eastAsia="sq-AL"/>
              </w:rPr>
              <w:t>Operatori</w:t>
            </w:r>
            <w:r w:rsidRPr="004F2AC3">
              <w:rPr>
                <w:rFonts w:ascii="Garamond" w:eastAsia="Times New Roman" w:hAnsi="Garamond" w:cs="Times New Roman"/>
                <w:color w:val="000000"/>
                <w:sz w:val="10"/>
                <w:szCs w:val="10"/>
                <w:lang w:eastAsia="sq-AL"/>
              </w:rPr>
              <w:t xml:space="preserve"> i </w:t>
            </w:r>
            <w:r w:rsidR="004F2AC3" w:rsidRPr="004F2AC3">
              <w:rPr>
                <w:rFonts w:ascii="Garamond" w:eastAsia="Times New Roman" w:hAnsi="Garamond" w:cs="Times New Roman"/>
                <w:color w:val="000000"/>
                <w:sz w:val="10"/>
                <w:szCs w:val="10"/>
                <w:lang w:eastAsia="sq-AL"/>
              </w:rPr>
              <w:t>Shpërndarjes</w:t>
            </w:r>
            <w:r w:rsidRPr="004F2AC3">
              <w:rPr>
                <w:rFonts w:ascii="Garamond" w:eastAsia="Times New Roman" w:hAnsi="Garamond" w:cs="Times New Roman"/>
                <w:color w:val="000000"/>
                <w:sz w:val="10"/>
                <w:szCs w:val="10"/>
                <w:lang w:eastAsia="sq-AL"/>
              </w:rPr>
              <w:t xml:space="preserve"> së Energjisë Elektrike</w:t>
            </w:r>
            <w:r w:rsidR="00C73163"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Ministria e Infrastrukturës dhe Energjisë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Agjencia Kombëtare e Burimeve Natyrore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Albpetrol sh.a</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Enti Rregullator i Energjisë</w:t>
            </w:r>
            <w:r w:rsidR="00C73163" w:rsidRPr="004F2AC3">
              <w:rPr>
                <w:rFonts w:ascii="Garamond" w:eastAsia="Times New Roman" w:hAnsi="Garamond" w:cs="Times New Roman"/>
                <w:color w:val="000000"/>
                <w:sz w:val="10"/>
                <w:szCs w:val="10"/>
                <w:lang w:eastAsia="sq-AL"/>
              </w:rPr>
              <w:t>.</w:t>
            </w:r>
          </w:p>
        </w:tc>
        <w:tc>
          <w:tcPr>
            <w:tcW w:w="413" w:type="dxa"/>
            <w:vMerge w:val="restart"/>
            <w:tcBorders>
              <w:top w:val="nil"/>
              <w:left w:val="single" w:sz="4" w:space="0" w:color="000000"/>
              <w:bottom w:val="single" w:sz="4" w:space="0" w:color="000000"/>
              <w:right w:val="single" w:sz="4" w:space="0" w:color="auto"/>
            </w:tcBorders>
            <w:shd w:val="clear" w:color="auto" w:fill="auto"/>
            <w:vAlign w:val="center"/>
            <w:hideMark/>
          </w:tcPr>
          <w:p w14:paraId="370DC6F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Agjencia Kombëtare e Burimeve Natyrore </w:t>
            </w:r>
          </w:p>
        </w:tc>
        <w:tc>
          <w:tcPr>
            <w:tcW w:w="46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697633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+ 54D</w:t>
            </w:r>
          </w:p>
        </w:tc>
        <w:tc>
          <w:tcPr>
            <w:tcW w:w="3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C66BF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+ 59D</w:t>
            </w:r>
          </w:p>
        </w:tc>
        <w:tc>
          <w:tcPr>
            <w:tcW w:w="3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285F3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+ 64D</w:t>
            </w:r>
          </w:p>
        </w:tc>
        <w:tc>
          <w:tcPr>
            <w:tcW w:w="732" w:type="dxa"/>
            <w:vMerge w:val="restart"/>
            <w:tcBorders>
              <w:top w:val="nil"/>
              <w:left w:val="single" w:sz="4" w:space="0" w:color="auto"/>
              <w:bottom w:val="single" w:sz="4" w:space="0" w:color="000000"/>
              <w:right w:val="single" w:sz="4" w:space="0" w:color="auto"/>
            </w:tcBorders>
            <w:shd w:val="clear" w:color="auto" w:fill="auto"/>
            <w:vAlign w:val="center"/>
            <w:hideMark/>
          </w:tcPr>
          <w:p w14:paraId="1AD95FDB" w14:textId="1974385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Mosmarrja në kohë dhe ndryshimi i bazës ligjore të burimit administrativ, sjell si pasojë mos publikimin në kohë dhe me cilësi të rezultateve të treguesve statistikorë -|- 3</w:t>
            </w:r>
            <w:r w:rsidRPr="004F2AC3">
              <w:rPr>
                <w:rFonts w:ascii="Garamond" w:eastAsia="Times New Roman" w:hAnsi="Garamond" w:cs="Times New Roman"/>
                <w:color w:val="000000"/>
                <w:sz w:val="10"/>
                <w:szCs w:val="10"/>
                <w:lang w:eastAsia="sq-AL"/>
              </w:rPr>
              <w:br/>
              <w:t>2. Moszbatimi në kohë i hapave dhe detyrave për kryerjen e procesit statistikor në vrojtimet vjetore, e cila sjell si pasojë mos publikimin në kohë të rezultateve të vrojtimit. -|- 4</w:t>
            </w:r>
            <w:r w:rsidRPr="004F2AC3">
              <w:rPr>
                <w:rFonts w:ascii="Garamond" w:eastAsia="Times New Roman" w:hAnsi="Garamond" w:cs="Times New Roman"/>
                <w:color w:val="000000"/>
                <w:sz w:val="10"/>
                <w:szCs w:val="10"/>
                <w:lang w:eastAsia="sq-AL"/>
              </w:rPr>
              <w:br/>
              <w:t>3. Mospërmbushja e kritereve të cilësisë si: saktësia, përpikmëria dhe krahasueshmëria, për vrojtimet statistikore e cila sjell si pasojë mos shpërndarjen në kohë e në cilësi të rezultateve të vrojtimit. -|- 5</w:t>
            </w:r>
            <w:r w:rsidRPr="004F2AC3">
              <w:rPr>
                <w:rFonts w:ascii="Garamond" w:eastAsia="Times New Roman" w:hAnsi="Garamond" w:cs="Times New Roman"/>
                <w:color w:val="000000"/>
                <w:sz w:val="10"/>
                <w:szCs w:val="10"/>
                <w:lang w:eastAsia="sq-AL"/>
              </w:rPr>
              <w:br/>
              <w:t xml:space="preserve">4. Pezullimi/vonesa e mbledhjes, prodhimit dhe shpërndarjes të statistikave zyrtare nga fatkeqësitë </w:t>
            </w:r>
            <w:r w:rsidR="005B3A9C" w:rsidRPr="004F2AC3">
              <w:rPr>
                <w:rFonts w:ascii="Garamond" w:eastAsia="Times New Roman" w:hAnsi="Garamond" w:cs="Times New Roman"/>
                <w:color w:val="000000"/>
                <w:sz w:val="10"/>
                <w:szCs w:val="10"/>
                <w:lang w:eastAsia="sq-AL"/>
              </w:rPr>
              <w:t>natyrore/</w:t>
            </w:r>
            <w:r w:rsidRPr="004F2AC3">
              <w:rPr>
                <w:rFonts w:ascii="Garamond" w:eastAsia="Times New Roman" w:hAnsi="Garamond" w:cs="Times New Roman"/>
                <w:color w:val="000000"/>
                <w:sz w:val="10"/>
                <w:szCs w:val="10"/>
                <w:lang w:eastAsia="sq-AL"/>
              </w:rPr>
              <w:t>pandemi globale, e cila sjell si pasojë mos publikimin në kohë të rezultateve të vrojtimit. -|- 5</w:t>
            </w:r>
            <w:r w:rsidRPr="004F2AC3">
              <w:rPr>
                <w:rFonts w:ascii="Garamond" w:eastAsia="Times New Roman" w:hAnsi="Garamond" w:cs="Times New Roman"/>
                <w:color w:val="000000"/>
                <w:sz w:val="10"/>
                <w:szCs w:val="10"/>
                <w:lang w:eastAsia="sq-AL"/>
              </w:rPr>
              <w:br/>
              <w:t>5. Mosevidentimi dhe realizimi i detyrave të përditshme të sektorit, e cila sjell si pasojë ngadalësim të proceseve të punës -|- 2</w:t>
            </w:r>
            <w:r w:rsidRPr="004F2AC3">
              <w:rPr>
                <w:rFonts w:ascii="Garamond" w:eastAsia="Times New Roman" w:hAnsi="Garamond" w:cs="Times New Roman"/>
                <w:color w:val="000000"/>
                <w:sz w:val="10"/>
                <w:szCs w:val="10"/>
                <w:lang w:eastAsia="sq-AL"/>
              </w:rPr>
              <w:br/>
              <w:t>6. Moszbatimi në kohë i kalendarit të publikimeve statistikore dhe përditësimit të materialeve në web, e cila sjell si pasojë mungesën e informacionit për përdoruesit dhe cënimin e imazhit të INSTAT. -|- 2</w:t>
            </w:r>
            <w:r w:rsidRPr="004F2AC3">
              <w:rPr>
                <w:rFonts w:ascii="Garamond" w:eastAsia="Times New Roman" w:hAnsi="Garamond" w:cs="Times New Roman"/>
                <w:color w:val="000000"/>
                <w:sz w:val="10"/>
                <w:szCs w:val="10"/>
                <w:lang w:eastAsia="sq-AL"/>
              </w:rPr>
              <w:br/>
              <w:t>7. Gabime në përllogaritje e treguesve nga specialistët, e cila sjell si pasojë mos shpërndarja në cilësi të rezultateve të treguesve statistikorë -|- 2</w:t>
            </w:r>
            <w:r w:rsidRPr="004F2AC3">
              <w:rPr>
                <w:rFonts w:ascii="Garamond" w:eastAsia="Times New Roman" w:hAnsi="Garamond" w:cs="Times New Roman"/>
                <w:color w:val="000000"/>
                <w:sz w:val="10"/>
                <w:szCs w:val="10"/>
                <w:lang w:eastAsia="sq-AL"/>
              </w:rPr>
              <w:br/>
              <w:t>8. Mosfunksionimi i metodave të reja të IT për mbledhjen e të dhënave në vrojtimet vjetore, e cila sjell si pasojë mos publikimin në kohë të rezultateve të vrojtimit -|- 7</w:t>
            </w:r>
            <w:r w:rsidRPr="004F2AC3">
              <w:rPr>
                <w:rFonts w:ascii="Garamond" w:eastAsia="Times New Roman" w:hAnsi="Garamond" w:cs="Times New Roman"/>
                <w:color w:val="000000"/>
                <w:sz w:val="10"/>
                <w:szCs w:val="10"/>
                <w:lang w:eastAsia="sq-AL"/>
              </w:rPr>
              <w:br/>
              <w:t>9. Lëvizja e stafit me eksperiencë nga sektori, e cila sjell si pasojë ndërprerje/ngadalësim të proceseve të punës. -|- 6</w:t>
            </w:r>
            <w:r w:rsidRPr="004F2AC3">
              <w:rPr>
                <w:rFonts w:ascii="Garamond" w:eastAsia="Times New Roman" w:hAnsi="Garamond" w:cs="Times New Roman"/>
                <w:color w:val="000000"/>
                <w:sz w:val="10"/>
                <w:szCs w:val="10"/>
                <w:lang w:eastAsia="sq-AL"/>
              </w:rPr>
              <w:br/>
              <w:t>10. Mosfunksionimi i metodave të automatizimit dhe mos pasja e suportit për automatizimin e proceseve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prodhimit statistikor, e cila sjell si pasojë ngadalësim të procesit të automatizimit -|- 7</w:t>
            </w:r>
            <w:r w:rsidRPr="004F2AC3">
              <w:rPr>
                <w:rFonts w:ascii="Garamond" w:eastAsia="Times New Roman" w:hAnsi="Garamond" w:cs="Times New Roman"/>
                <w:color w:val="000000"/>
                <w:sz w:val="10"/>
                <w:szCs w:val="10"/>
                <w:lang w:eastAsia="sq-AL"/>
              </w:rPr>
              <w:br/>
              <w:t>11. Moszhvillimi i sistemeve të informacionit dhe web-services, e cila sjell si pasojë përdorimin e sistemeve aktuale dhe mospërmirësim të response burden -|- 6</w:t>
            </w:r>
          </w:p>
        </w:tc>
        <w:tc>
          <w:tcPr>
            <w:tcW w:w="551" w:type="dxa"/>
            <w:vMerge w:val="restart"/>
            <w:tcBorders>
              <w:top w:val="nil"/>
              <w:left w:val="single" w:sz="4" w:space="0" w:color="auto"/>
              <w:bottom w:val="single" w:sz="4" w:space="0" w:color="000000"/>
              <w:right w:val="single" w:sz="4" w:space="0" w:color="auto"/>
            </w:tcBorders>
            <w:shd w:val="clear" w:color="auto" w:fill="auto"/>
            <w:vAlign w:val="center"/>
            <w:hideMark/>
          </w:tcPr>
          <w:p w14:paraId="203F01B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215AF87F" w14:textId="77777777" w:rsidTr="0021321C">
        <w:trPr>
          <w:trHeight w:val="180"/>
          <w:jc w:val="center"/>
        </w:trPr>
        <w:tc>
          <w:tcPr>
            <w:tcW w:w="388" w:type="dxa"/>
            <w:tcBorders>
              <w:top w:val="nil"/>
              <w:left w:val="nil"/>
              <w:bottom w:val="nil"/>
              <w:right w:val="nil"/>
            </w:tcBorders>
            <w:shd w:val="clear" w:color="000000" w:fill="FFFFFF"/>
            <w:vAlign w:val="bottom"/>
            <w:hideMark/>
          </w:tcPr>
          <w:p w14:paraId="2CDCC22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C101A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0DED2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F2D0D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E60142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6F1EB3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000000"/>
              <w:bottom w:val="single" w:sz="4" w:space="0" w:color="000000"/>
              <w:right w:val="single" w:sz="4" w:space="0" w:color="000000"/>
            </w:tcBorders>
            <w:vAlign w:val="center"/>
            <w:hideMark/>
          </w:tcPr>
          <w:p w14:paraId="49D98F1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000000"/>
              <w:bottom w:val="single" w:sz="4" w:space="0" w:color="000000"/>
              <w:right w:val="single" w:sz="4" w:space="0" w:color="000000"/>
            </w:tcBorders>
            <w:vAlign w:val="center"/>
            <w:hideMark/>
          </w:tcPr>
          <w:p w14:paraId="3A537E0F"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46" w:type="dxa"/>
            <w:vMerge/>
            <w:tcBorders>
              <w:top w:val="nil"/>
              <w:left w:val="single" w:sz="4" w:space="0" w:color="000000"/>
              <w:bottom w:val="single" w:sz="4" w:space="0" w:color="000000"/>
              <w:right w:val="single" w:sz="4" w:space="0" w:color="auto"/>
            </w:tcBorders>
            <w:vAlign w:val="center"/>
            <w:hideMark/>
          </w:tcPr>
          <w:p w14:paraId="3017E655"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1FEC1F66"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407D61B3"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2519DB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6BF774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single" w:sz="4" w:space="0" w:color="auto"/>
            </w:tcBorders>
            <w:shd w:val="clear" w:color="auto" w:fill="auto"/>
            <w:hideMark/>
          </w:tcPr>
          <w:p w14:paraId="0F4895B9" w14:textId="07974682" w:rsidR="0021321C" w:rsidRPr="004F2AC3" w:rsidRDefault="0021321C" w:rsidP="004F2AC3">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18. Humbjet teknike në shpërndarje</w:t>
            </w:r>
            <w:r w:rsidRPr="004F2AC3">
              <w:rPr>
                <w:rFonts w:ascii="Garamond" w:eastAsia="Times New Roman" w:hAnsi="Garamond" w:cs="Times New Roman"/>
                <w:color w:val="000000"/>
                <w:sz w:val="10"/>
                <w:szCs w:val="10"/>
                <w:lang w:eastAsia="sq-AL"/>
              </w:rPr>
              <w:br/>
              <w:t>19. Humbjet jo teknike në shpërndarje</w:t>
            </w:r>
            <w:r w:rsidRPr="004F2AC3">
              <w:rPr>
                <w:rFonts w:ascii="Garamond" w:eastAsia="Times New Roman" w:hAnsi="Garamond" w:cs="Times New Roman"/>
                <w:color w:val="000000"/>
                <w:sz w:val="10"/>
                <w:szCs w:val="10"/>
                <w:lang w:eastAsia="sq-AL"/>
              </w:rPr>
              <w:br/>
              <w:t>20. Përdorimi</w:t>
            </w:r>
            <w:r w:rsidR="005B3A9C" w:rsidRPr="004F2AC3">
              <w:rPr>
                <w:rFonts w:ascii="Garamond" w:eastAsia="Times New Roman" w:hAnsi="Garamond" w:cs="Times New Roman"/>
                <w:color w:val="000000"/>
                <w:sz w:val="10"/>
                <w:szCs w:val="10"/>
                <w:lang w:eastAsia="sq-AL"/>
              </w:rPr>
              <w:t xml:space="preserve"> nga konsumatorët</w:t>
            </w:r>
            <w:r w:rsidR="005B3A9C" w:rsidRPr="004F2AC3">
              <w:rPr>
                <w:rFonts w:ascii="Garamond" w:eastAsia="Times New Roman" w:hAnsi="Garamond" w:cs="Times New Roman"/>
                <w:color w:val="000000"/>
                <w:sz w:val="10"/>
                <w:szCs w:val="10"/>
                <w:lang w:eastAsia="sq-AL"/>
              </w:rPr>
              <w:br/>
              <w:t>21. Familjarë;</w:t>
            </w:r>
            <w:r w:rsidR="005B3A9C" w:rsidRPr="004F2AC3">
              <w:rPr>
                <w:rFonts w:ascii="Garamond" w:eastAsia="Times New Roman" w:hAnsi="Garamond" w:cs="Times New Roman"/>
                <w:color w:val="000000"/>
                <w:sz w:val="10"/>
                <w:szCs w:val="10"/>
                <w:lang w:eastAsia="sq-AL"/>
              </w:rPr>
              <w:br/>
              <w:t>22. Jof</w:t>
            </w:r>
            <w:r w:rsidRPr="004F2AC3">
              <w:rPr>
                <w:rFonts w:ascii="Garamond" w:eastAsia="Times New Roman" w:hAnsi="Garamond" w:cs="Times New Roman"/>
                <w:color w:val="000000"/>
                <w:sz w:val="10"/>
                <w:szCs w:val="10"/>
                <w:lang w:eastAsia="sq-AL"/>
              </w:rPr>
              <w:t>amiljarë</w:t>
            </w:r>
            <w:r w:rsidRPr="004F2AC3">
              <w:rPr>
                <w:rFonts w:ascii="Garamond" w:eastAsia="Times New Roman" w:hAnsi="Garamond" w:cs="Times New Roman"/>
                <w:color w:val="000000"/>
                <w:sz w:val="10"/>
                <w:szCs w:val="10"/>
                <w:lang w:eastAsia="sq-AL"/>
              </w:rPr>
              <w:br/>
              <w:t>Prodhim (Naft</w:t>
            </w:r>
            <w:r w:rsidR="004F2AC3"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Brut</w:t>
            </w:r>
            <w:r w:rsidR="004F2AC3" w:rsidRPr="004F2AC3">
              <w:rPr>
                <w:rFonts w:ascii="Garamond" w:eastAsia="Times New Roman" w:hAnsi="Garamond" w:cs="Times New Roman"/>
                <w:color w:val="000000"/>
                <w:sz w:val="10"/>
                <w:szCs w:val="10"/>
                <w:lang w:eastAsia="sq-AL"/>
              </w:rPr>
              <w:t>o</w:t>
            </w:r>
            <w:r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23. Eksporti bruto</w:t>
            </w:r>
            <w:r w:rsidRPr="004F2AC3">
              <w:rPr>
                <w:rFonts w:ascii="Garamond" w:eastAsia="Times New Roman" w:hAnsi="Garamond" w:cs="Times New Roman"/>
                <w:color w:val="000000"/>
                <w:sz w:val="10"/>
                <w:szCs w:val="10"/>
                <w:lang w:eastAsia="sq-AL"/>
              </w:rPr>
              <w:br/>
              <w:t>Prodhim Qymyri</w:t>
            </w:r>
            <w:r w:rsidRPr="004F2AC3">
              <w:rPr>
                <w:rFonts w:ascii="Garamond" w:eastAsia="Times New Roman" w:hAnsi="Garamond" w:cs="Times New Roman"/>
                <w:color w:val="000000"/>
                <w:sz w:val="10"/>
                <w:szCs w:val="10"/>
                <w:lang w:eastAsia="sq-AL"/>
              </w:rPr>
              <w:br/>
              <w:t xml:space="preserve">24. Konsumi </w:t>
            </w:r>
            <w:r w:rsidR="002D5897"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t xml:space="preserve"> </w:t>
            </w:r>
            <w:r w:rsidR="002D5897" w:rsidRPr="004F2AC3">
              <w:rPr>
                <w:rFonts w:ascii="Garamond" w:eastAsia="Times New Roman" w:hAnsi="Garamond" w:cs="Times New Roman"/>
                <w:color w:val="000000"/>
                <w:sz w:val="10"/>
                <w:szCs w:val="10"/>
                <w:lang w:eastAsia="sq-AL"/>
              </w:rPr>
              <w:t>brendshëm</w:t>
            </w:r>
            <w:r w:rsidRPr="004F2AC3">
              <w:rPr>
                <w:rFonts w:ascii="Garamond" w:eastAsia="Times New Roman" w:hAnsi="Garamond" w:cs="Times New Roman"/>
                <w:color w:val="000000"/>
                <w:sz w:val="10"/>
                <w:szCs w:val="10"/>
                <w:lang w:eastAsia="sq-AL"/>
              </w:rPr>
              <w:br/>
              <w:t xml:space="preserve">25. Importi bruto </w:t>
            </w:r>
            <w:r w:rsidRPr="004F2AC3">
              <w:rPr>
                <w:rFonts w:ascii="Garamond" w:eastAsia="Times New Roman" w:hAnsi="Garamond" w:cs="Times New Roman"/>
                <w:color w:val="000000"/>
                <w:sz w:val="10"/>
                <w:szCs w:val="10"/>
                <w:lang w:eastAsia="sq-AL"/>
              </w:rPr>
              <w:br/>
              <w:t xml:space="preserve">26. Eksporti bruto </w:t>
            </w:r>
          </w:p>
        </w:tc>
        <w:tc>
          <w:tcPr>
            <w:tcW w:w="554" w:type="dxa"/>
            <w:vMerge/>
            <w:tcBorders>
              <w:top w:val="nil"/>
              <w:left w:val="single" w:sz="4" w:space="0" w:color="auto"/>
              <w:bottom w:val="single" w:sz="4" w:space="0" w:color="000000"/>
              <w:right w:val="single" w:sz="4" w:space="0" w:color="000000"/>
            </w:tcBorders>
            <w:vAlign w:val="center"/>
            <w:hideMark/>
          </w:tcPr>
          <w:p w14:paraId="6EA484F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000000"/>
              <w:bottom w:val="single" w:sz="4" w:space="0" w:color="000000"/>
              <w:right w:val="single" w:sz="4" w:space="0" w:color="auto"/>
            </w:tcBorders>
            <w:vAlign w:val="center"/>
            <w:hideMark/>
          </w:tcPr>
          <w:p w14:paraId="388ED34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5A4B03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0AC3203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7AB8A08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17F3F34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04C8AB2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3718DD08" w14:textId="77777777" w:rsidTr="0021321C">
        <w:trPr>
          <w:trHeight w:val="180"/>
          <w:jc w:val="center"/>
        </w:trPr>
        <w:tc>
          <w:tcPr>
            <w:tcW w:w="388" w:type="dxa"/>
            <w:tcBorders>
              <w:top w:val="nil"/>
              <w:left w:val="nil"/>
              <w:bottom w:val="nil"/>
              <w:right w:val="nil"/>
            </w:tcBorders>
            <w:shd w:val="clear" w:color="000000" w:fill="FFFFFF"/>
            <w:vAlign w:val="bottom"/>
            <w:hideMark/>
          </w:tcPr>
          <w:p w14:paraId="39FBE73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FE31DD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6FBFB8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BEC1AC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BCCA7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544A2D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nil"/>
              <w:right w:val="single" w:sz="4" w:space="0" w:color="000000"/>
            </w:tcBorders>
            <w:shd w:val="clear" w:color="auto" w:fill="auto"/>
            <w:vAlign w:val="center"/>
            <w:hideMark/>
          </w:tcPr>
          <w:p w14:paraId="7527EB0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3.2.1.2</w:t>
            </w:r>
          </w:p>
        </w:tc>
        <w:tc>
          <w:tcPr>
            <w:tcW w:w="563" w:type="dxa"/>
            <w:tcBorders>
              <w:top w:val="nil"/>
              <w:left w:val="nil"/>
              <w:bottom w:val="nil"/>
              <w:right w:val="single" w:sz="4" w:space="0" w:color="000000"/>
            </w:tcBorders>
            <w:shd w:val="clear" w:color="auto" w:fill="auto"/>
            <w:vAlign w:val="center"/>
            <w:hideMark/>
          </w:tcPr>
          <w:p w14:paraId="1770F624"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bilancit të përgjithshëm të energjisë</w:t>
            </w:r>
          </w:p>
        </w:tc>
        <w:tc>
          <w:tcPr>
            <w:tcW w:w="446" w:type="dxa"/>
            <w:tcBorders>
              <w:top w:val="nil"/>
              <w:left w:val="nil"/>
              <w:bottom w:val="nil"/>
              <w:right w:val="single" w:sz="4" w:space="0" w:color="000000"/>
            </w:tcBorders>
            <w:shd w:val="clear" w:color="auto" w:fill="auto"/>
            <w:vAlign w:val="center"/>
            <w:hideMark/>
          </w:tcPr>
          <w:p w14:paraId="639F815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nil"/>
              <w:right w:val="single" w:sz="4" w:space="0" w:color="auto"/>
            </w:tcBorders>
            <w:shd w:val="clear" w:color="auto" w:fill="auto"/>
            <w:noWrap/>
            <w:vAlign w:val="center"/>
            <w:hideMark/>
          </w:tcPr>
          <w:p w14:paraId="7931E4A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nil"/>
              <w:right w:val="single" w:sz="4" w:space="0" w:color="auto"/>
            </w:tcBorders>
            <w:shd w:val="clear" w:color="auto" w:fill="auto"/>
            <w:noWrap/>
            <w:vAlign w:val="center"/>
            <w:hideMark/>
          </w:tcPr>
          <w:p w14:paraId="0A1D08A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nil"/>
              <w:right w:val="single" w:sz="4" w:space="0" w:color="auto"/>
            </w:tcBorders>
            <w:shd w:val="clear" w:color="auto" w:fill="auto"/>
            <w:vAlign w:val="center"/>
            <w:hideMark/>
          </w:tcPr>
          <w:p w14:paraId="16E099A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000000"/>
            </w:tcBorders>
            <w:shd w:val="clear" w:color="auto" w:fill="auto"/>
            <w:vAlign w:val="center"/>
            <w:hideMark/>
          </w:tcPr>
          <w:p w14:paraId="41733F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nil"/>
              <w:right w:val="single" w:sz="4" w:space="0" w:color="auto"/>
            </w:tcBorders>
            <w:shd w:val="clear" w:color="000000" w:fill="FFFFFF"/>
            <w:vAlign w:val="center"/>
            <w:hideMark/>
          </w:tcPr>
          <w:p w14:paraId="7D5D0AE1" w14:textId="752C2114" w:rsidR="0021321C" w:rsidRPr="004F2AC3" w:rsidRDefault="0021321C" w:rsidP="00C73163">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Prodhimi i produkteve primare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2.Konsumi i brendshëm bruto</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Import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Konsumi në degën e energjisë</w:t>
            </w:r>
            <w:r w:rsidR="00C73163" w:rsidRPr="004F2AC3">
              <w:rPr>
                <w:rFonts w:ascii="Garamond" w:eastAsia="Times New Roman" w:hAnsi="Garamond" w:cs="Times New Roman"/>
                <w:color w:val="000000"/>
                <w:sz w:val="10"/>
                <w:szCs w:val="10"/>
                <w:lang w:eastAsia="sq-AL"/>
              </w:rPr>
              <w:t>;</w:t>
            </w:r>
            <w:r w:rsidR="005B3A9C" w:rsidRPr="004F2AC3">
              <w:rPr>
                <w:rFonts w:ascii="Garamond" w:eastAsia="Times New Roman" w:hAnsi="Garamond" w:cs="Times New Roman"/>
                <w:color w:val="000000"/>
                <w:sz w:val="10"/>
                <w:szCs w:val="10"/>
                <w:lang w:eastAsia="sq-AL"/>
              </w:rPr>
              <w:br/>
              <w:t>6. Humbje në shpërndarje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Disponi</w:t>
            </w:r>
            <w:r w:rsidR="00C73163" w:rsidRPr="004F2AC3">
              <w:rPr>
                <w:rFonts w:ascii="Garamond" w:eastAsia="Times New Roman" w:hAnsi="Garamond" w:cs="Times New Roman"/>
                <w:color w:val="000000"/>
                <w:sz w:val="10"/>
                <w:szCs w:val="10"/>
                <w:lang w:eastAsia="sq-AL"/>
              </w:rPr>
              <w:t>bël për konsum final;</w:t>
            </w:r>
            <w:r w:rsidRPr="004F2AC3">
              <w:rPr>
                <w:rFonts w:ascii="Garamond" w:eastAsia="Times New Roman" w:hAnsi="Garamond" w:cs="Times New Roman"/>
                <w:color w:val="000000"/>
                <w:sz w:val="10"/>
                <w:szCs w:val="10"/>
                <w:lang w:eastAsia="sq-AL"/>
              </w:rPr>
              <w:br/>
              <w:t>8. Konsumi final joenergjetik</w:t>
            </w:r>
            <w:r w:rsidR="00C73163" w:rsidRPr="004F2AC3">
              <w:rPr>
                <w:rFonts w:ascii="Garamond" w:eastAsia="Times New Roman" w:hAnsi="Garamond" w:cs="Times New Roman"/>
                <w:color w:val="000000"/>
                <w:sz w:val="10"/>
                <w:szCs w:val="10"/>
                <w:lang w:eastAsia="sq-AL"/>
              </w:rPr>
              <w:t>;</w:t>
            </w:r>
            <w:r w:rsidR="00C73163" w:rsidRPr="004F2AC3">
              <w:rPr>
                <w:rFonts w:ascii="Garamond" w:eastAsia="Times New Roman" w:hAnsi="Garamond" w:cs="Times New Roman"/>
                <w:color w:val="000000"/>
                <w:sz w:val="10"/>
                <w:szCs w:val="10"/>
                <w:lang w:eastAsia="sq-AL"/>
              </w:rPr>
              <w:br/>
              <w:t>9. Konsumi Final i Energjisë;</w:t>
            </w:r>
            <w:r w:rsidRPr="004F2AC3">
              <w:rPr>
                <w:rFonts w:ascii="Garamond" w:eastAsia="Times New Roman" w:hAnsi="Garamond" w:cs="Times New Roman"/>
                <w:color w:val="000000"/>
                <w:sz w:val="10"/>
                <w:szCs w:val="10"/>
                <w:lang w:eastAsia="sq-AL"/>
              </w:rPr>
              <w:br/>
              <w:t xml:space="preserve">10. Konsumi final i energjisë </w:t>
            </w:r>
            <w:r w:rsidR="00C73163" w:rsidRPr="004F2AC3">
              <w:rPr>
                <w:rFonts w:ascii="Garamond" w:eastAsia="Times New Roman" w:hAnsi="Garamond" w:cs="Times New Roman"/>
                <w:color w:val="000000"/>
                <w:sz w:val="10"/>
                <w:szCs w:val="10"/>
                <w:lang w:eastAsia="sq-AL"/>
              </w:rPr>
              <w:t>për banorë;</w:t>
            </w:r>
            <w:r w:rsidR="00C73163" w:rsidRPr="004F2AC3">
              <w:rPr>
                <w:rFonts w:ascii="Garamond" w:eastAsia="Times New Roman" w:hAnsi="Garamond" w:cs="Times New Roman"/>
                <w:color w:val="000000"/>
                <w:sz w:val="10"/>
                <w:szCs w:val="10"/>
                <w:lang w:eastAsia="sq-AL"/>
              </w:rPr>
              <w:br/>
              <w:t>11. Intensiteti i Energjisë;</w:t>
            </w:r>
            <w:r w:rsidRPr="004F2AC3">
              <w:rPr>
                <w:rFonts w:ascii="Garamond" w:eastAsia="Times New Roman" w:hAnsi="Garamond" w:cs="Times New Roman"/>
                <w:color w:val="000000"/>
                <w:sz w:val="10"/>
                <w:szCs w:val="10"/>
                <w:lang w:eastAsia="sq-AL"/>
              </w:rPr>
              <w:br/>
              <w:t>12.Kontributi i burimeve të Energjisë së Rinovueshme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Konsumin Final</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nil"/>
            </w:tcBorders>
            <w:shd w:val="clear" w:color="000000" w:fill="FFFFFF"/>
            <w:vAlign w:val="center"/>
            <w:hideMark/>
          </w:tcPr>
          <w:p w14:paraId="7577628E" w14:textId="036C521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Enti Rregullator i Energjisë, Operatori i Shpërndarjes së Energjisë Elektrike, Korporata </w:t>
            </w:r>
            <w:r w:rsidR="004F2AC3" w:rsidRPr="004F2AC3">
              <w:rPr>
                <w:rFonts w:ascii="Garamond" w:eastAsia="Times New Roman" w:hAnsi="Garamond" w:cs="Times New Roman"/>
                <w:color w:val="000000"/>
                <w:sz w:val="10"/>
                <w:szCs w:val="10"/>
                <w:lang w:eastAsia="sq-AL"/>
              </w:rPr>
              <w:t>Energjetike</w:t>
            </w:r>
            <w:r w:rsidRPr="004F2AC3">
              <w:rPr>
                <w:rFonts w:ascii="Garamond" w:eastAsia="Times New Roman" w:hAnsi="Garamond" w:cs="Times New Roman"/>
                <w:color w:val="000000"/>
                <w:sz w:val="10"/>
                <w:szCs w:val="10"/>
                <w:lang w:eastAsia="sq-AL"/>
              </w:rPr>
              <w:t xml:space="preserve"> Shqiptare, Operatori i Sistemit të Transmetimit, Bashkitë, Drejtoria e Përgjithshme e Tatimeve, Drejtoria e Përgjithshme e Doganave, Ministria e infrastrukturës dhe Energjisë, Ministria e Turizmit dhe Mjedisit Albpetrol, sh.a</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004F2AC3" w:rsidRPr="004F2AC3">
              <w:rPr>
                <w:rFonts w:ascii="Garamond" w:eastAsia="Times New Roman" w:hAnsi="Garamond" w:cs="Times New Roman"/>
                <w:color w:val="000000"/>
                <w:sz w:val="10"/>
                <w:szCs w:val="10"/>
                <w:lang w:eastAsia="sq-AL"/>
              </w:rPr>
              <w:t>Inspektorati</w:t>
            </w:r>
            <w:r w:rsidRPr="004F2AC3">
              <w:rPr>
                <w:rFonts w:ascii="Garamond" w:eastAsia="Times New Roman" w:hAnsi="Garamond" w:cs="Times New Roman"/>
                <w:color w:val="000000"/>
                <w:sz w:val="10"/>
                <w:szCs w:val="10"/>
                <w:lang w:eastAsia="sq-AL"/>
              </w:rPr>
              <w:t xml:space="preserve"> Shtetëror Teknik dhe Industrial</w:t>
            </w:r>
            <w:r w:rsidR="00C73163" w:rsidRPr="004F2AC3">
              <w:rPr>
                <w:rFonts w:ascii="Garamond" w:eastAsia="Times New Roman" w:hAnsi="Garamond" w:cs="Times New Roman"/>
                <w:color w:val="000000"/>
                <w:sz w:val="10"/>
                <w:szCs w:val="10"/>
                <w:lang w:eastAsia="sq-AL"/>
              </w:rPr>
              <w:t>.</w:t>
            </w:r>
          </w:p>
        </w:tc>
        <w:tc>
          <w:tcPr>
            <w:tcW w:w="413" w:type="dxa"/>
            <w:tcBorders>
              <w:top w:val="nil"/>
              <w:left w:val="single" w:sz="4" w:space="0" w:color="000000"/>
              <w:bottom w:val="nil"/>
              <w:right w:val="nil"/>
            </w:tcBorders>
            <w:shd w:val="clear" w:color="auto" w:fill="auto"/>
            <w:vAlign w:val="center"/>
            <w:hideMark/>
          </w:tcPr>
          <w:p w14:paraId="000CD5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Agjencia Kombëtare e Burimeve Natyrore </w:t>
            </w:r>
          </w:p>
        </w:tc>
        <w:tc>
          <w:tcPr>
            <w:tcW w:w="466" w:type="dxa"/>
            <w:tcBorders>
              <w:top w:val="nil"/>
              <w:left w:val="single" w:sz="4" w:space="0" w:color="auto"/>
              <w:bottom w:val="nil"/>
              <w:right w:val="single" w:sz="4" w:space="0" w:color="auto"/>
            </w:tcBorders>
            <w:shd w:val="clear" w:color="000000" w:fill="FFFFFF"/>
            <w:vAlign w:val="center"/>
            <w:hideMark/>
          </w:tcPr>
          <w:p w14:paraId="0767695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+ 229D</w:t>
            </w:r>
          </w:p>
        </w:tc>
        <w:tc>
          <w:tcPr>
            <w:tcW w:w="385" w:type="dxa"/>
            <w:tcBorders>
              <w:top w:val="nil"/>
              <w:left w:val="nil"/>
              <w:bottom w:val="nil"/>
              <w:right w:val="single" w:sz="4" w:space="0" w:color="auto"/>
            </w:tcBorders>
            <w:shd w:val="clear" w:color="000000" w:fill="FFFFFF"/>
            <w:vAlign w:val="center"/>
            <w:hideMark/>
          </w:tcPr>
          <w:p w14:paraId="2541004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+ 264D</w:t>
            </w:r>
          </w:p>
        </w:tc>
        <w:tc>
          <w:tcPr>
            <w:tcW w:w="361" w:type="dxa"/>
            <w:tcBorders>
              <w:top w:val="nil"/>
              <w:left w:val="nil"/>
              <w:bottom w:val="nil"/>
              <w:right w:val="single" w:sz="4" w:space="0" w:color="auto"/>
            </w:tcBorders>
            <w:shd w:val="clear" w:color="000000" w:fill="FFFFFF"/>
            <w:vAlign w:val="center"/>
            <w:hideMark/>
          </w:tcPr>
          <w:p w14:paraId="49B48AD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+ 274D</w:t>
            </w:r>
          </w:p>
        </w:tc>
        <w:tc>
          <w:tcPr>
            <w:tcW w:w="732" w:type="dxa"/>
            <w:tcBorders>
              <w:top w:val="nil"/>
              <w:left w:val="nil"/>
              <w:bottom w:val="nil"/>
              <w:right w:val="single" w:sz="4" w:space="0" w:color="auto"/>
            </w:tcBorders>
            <w:shd w:val="clear" w:color="000000" w:fill="FFFFFF"/>
            <w:vAlign w:val="center"/>
            <w:hideMark/>
          </w:tcPr>
          <w:p w14:paraId="2E3F22B6" w14:textId="6BE4168D" w:rsidR="0021321C" w:rsidRPr="004F2AC3" w:rsidRDefault="0021321C" w:rsidP="002D5897">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Moszbatimi në kohë i hapave dhe detyrave për kryerjen e procesit statistikor në vrojtimet vjetore, e cila sjell si pasojë mospublikimin në kohë të rezultateve të vrojtimit -|- 2</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vrojtimet statistikore e cila sjell si pasojë mosshpërndarjen në kohë e në cilësi të rezultateve të vrojtimit -|- 5</w:t>
            </w:r>
            <w:r w:rsidRPr="004F2AC3">
              <w:rPr>
                <w:rFonts w:ascii="Garamond" w:eastAsia="Times New Roman" w:hAnsi="Garamond" w:cs="Times New Roman"/>
                <w:color w:val="000000"/>
                <w:sz w:val="10"/>
                <w:szCs w:val="10"/>
                <w:lang w:eastAsia="sq-AL"/>
              </w:rPr>
              <w:br/>
              <w:t>3. Pezullimi/vonesa e mbledhjes, prodhimit dhe shpërndarjes të statistikave zyr</w:t>
            </w:r>
            <w:r w:rsidR="005B3A9C" w:rsidRPr="004F2AC3">
              <w:rPr>
                <w:rFonts w:ascii="Garamond" w:eastAsia="Times New Roman" w:hAnsi="Garamond" w:cs="Times New Roman"/>
                <w:color w:val="000000"/>
                <w:sz w:val="10"/>
                <w:szCs w:val="10"/>
                <w:lang w:eastAsia="sq-AL"/>
              </w:rPr>
              <w:t>tare nga fatkeqësitë natyrore/</w:t>
            </w:r>
            <w:r w:rsidRPr="004F2AC3">
              <w:rPr>
                <w:rFonts w:ascii="Garamond" w:eastAsia="Times New Roman" w:hAnsi="Garamond" w:cs="Times New Roman"/>
                <w:color w:val="000000"/>
                <w:sz w:val="10"/>
                <w:szCs w:val="10"/>
                <w:lang w:eastAsia="sq-AL"/>
              </w:rPr>
              <w:t>pandemi globale, e cila sjell si pasojë mospublikimin në kohë të rezultateve të vrojtimit -|- 1</w:t>
            </w:r>
            <w:r w:rsidRPr="004F2AC3">
              <w:rPr>
                <w:rFonts w:ascii="Garamond" w:eastAsia="Times New Roman" w:hAnsi="Garamond" w:cs="Times New Roman"/>
                <w:color w:val="000000"/>
                <w:sz w:val="10"/>
                <w:szCs w:val="10"/>
                <w:lang w:eastAsia="sq-AL"/>
              </w:rPr>
              <w:br/>
              <w:t>4. Mosmarrja në kohë dhe ndryshimi i bazës ligjore të burimit administrativ, sjell si pasojë mospublikimin në kohë të rezultateve të treguesve statistikorë -|- 2</w:t>
            </w:r>
            <w:r w:rsidRPr="004F2AC3">
              <w:rPr>
                <w:rFonts w:ascii="Garamond" w:eastAsia="Times New Roman" w:hAnsi="Garamond" w:cs="Times New Roman"/>
                <w:color w:val="000000"/>
                <w:sz w:val="10"/>
                <w:szCs w:val="10"/>
                <w:lang w:eastAsia="sq-AL"/>
              </w:rPr>
              <w:br/>
              <w:t>5. Mosevidentimi dhe realizimi i detyrave të përditshme të sektorit, e cila sjell si pasojë ngadalësim të proceseve të punës -|- 2</w:t>
            </w:r>
            <w:r w:rsidRPr="004F2AC3">
              <w:rPr>
                <w:rFonts w:ascii="Garamond" w:eastAsia="Times New Roman" w:hAnsi="Garamond" w:cs="Times New Roman"/>
                <w:color w:val="000000"/>
                <w:sz w:val="10"/>
                <w:szCs w:val="10"/>
                <w:lang w:eastAsia="sq-AL"/>
              </w:rPr>
              <w:br/>
              <w:t xml:space="preserve">6. Moszbatimi në kohë i kalendarit të publikimeve statistikore dhe përditësimit të materialeve në </w:t>
            </w:r>
            <w:r w:rsidRPr="004F2AC3">
              <w:rPr>
                <w:rFonts w:ascii="Garamond" w:eastAsia="Times New Roman" w:hAnsi="Garamond" w:cs="Times New Roman"/>
                <w:i/>
                <w:color w:val="000000"/>
                <w:sz w:val="10"/>
                <w:szCs w:val="10"/>
                <w:lang w:eastAsia="sq-AL"/>
              </w:rPr>
              <w:t>web</w:t>
            </w:r>
            <w:r w:rsidRPr="004F2AC3">
              <w:rPr>
                <w:rFonts w:ascii="Garamond" w:eastAsia="Times New Roman" w:hAnsi="Garamond" w:cs="Times New Roman"/>
                <w:color w:val="000000"/>
                <w:sz w:val="10"/>
                <w:szCs w:val="10"/>
                <w:lang w:eastAsia="sq-AL"/>
              </w:rPr>
              <w:t>, e cila sjell si pasojë mungesën e informacionit për përdoruesit dhe c</w:t>
            </w:r>
            <w:r w:rsidR="002D5897" w:rsidRPr="004F2AC3">
              <w:rPr>
                <w:rFonts w:ascii="Garamond" w:eastAsia="Times New Roman" w:hAnsi="Garamond" w:cs="Times New Roman"/>
                <w:color w:val="000000"/>
                <w:sz w:val="10"/>
                <w:szCs w:val="10"/>
                <w:lang w:eastAsia="sq-AL"/>
              </w:rPr>
              <w:t>e</w:t>
            </w:r>
            <w:r w:rsidRPr="004F2AC3">
              <w:rPr>
                <w:rFonts w:ascii="Garamond" w:eastAsia="Times New Roman" w:hAnsi="Garamond" w:cs="Times New Roman"/>
                <w:color w:val="000000"/>
                <w:sz w:val="10"/>
                <w:szCs w:val="10"/>
                <w:lang w:eastAsia="sq-AL"/>
              </w:rPr>
              <w:t>nimin e imazhit të INSTAT -|- 2</w:t>
            </w:r>
            <w:r w:rsidRPr="004F2AC3">
              <w:rPr>
                <w:rFonts w:ascii="Garamond" w:eastAsia="Times New Roman" w:hAnsi="Garamond" w:cs="Times New Roman"/>
                <w:color w:val="000000"/>
                <w:sz w:val="10"/>
                <w:szCs w:val="10"/>
                <w:lang w:eastAsia="sq-AL"/>
              </w:rPr>
              <w:br/>
              <w:t>7. Gabime në përllogaritje e treguesve nga specialistët, e cila sjell si pasojë mosshpërndarjen me cilësi të rezultateve të treguesve statistikorë. -|- 2</w:t>
            </w:r>
            <w:r w:rsidRPr="004F2AC3">
              <w:rPr>
                <w:rFonts w:ascii="Garamond" w:eastAsia="Times New Roman" w:hAnsi="Garamond" w:cs="Times New Roman"/>
                <w:color w:val="000000"/>
                <w:sz w:val="10"/>
                <w:szCs w:val="10"/>
                <w:lang w:eastAsia="sq-AL"/>
              </w:rPr>
              <w:br/>
              <w:t>8. Mosmarrja në kohë dhe ndryshimi i bazës ligjore të burimit administrativ, që sjell si pasojë mospublikimin në kohë dhe me cilësi të rezultateve të treguesve statistikorë. -|- 2</w:t>
            </w:r>
            <w:r w:rsidRPr="004F2AC3">
              <w:rPr>
                <w:rFonts w:ascii="Garamond" w:eastAsia="Times New Roman" w:hAnsi="Garamond" w:cs="Times New Roman"/>
                <w:color w:val="000000"/>
                <w:sz w:val="10"/>
                <w:szCs w:val="10"/>
                <w:lang w:eastAsia="sq-AL"/>
              </w:rPr>
              <w:br/>
              <w:t>9. Lëvizja e stafit me eksperiencë nga sektori, e cila sjell si pasojë ndërprerje/ngadalësim të proceseve të punës. -|- 5</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10. Buxheti i ulet për përgatitjen e bilancit të energjisë</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-|- 5</w:t>
            </w:r>
            <w:r w:rsidRPr="004F2AC3">
              <w:rPr>
                <w:rFonts w:ascii="Garamond" w:eastAsia="Times New Roman" w:hAnsi="Garamond" w:cs="Times New Roman"/>
                <w:color w:val="000000"/>
                <w:sz w:val="10"/>
                <w:szCs w:val="10"/>
                <w:lang w:eastAsia="sq-AL"/>
              </w:rPr>
              <w:br/>
              <w:t>11. Staf i pamjaftueshëm për përgatitjen e bilancit të energjisë</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-|- 5</w:t>
            </w:r>
            <w:r w:rsidRPr="004F2AC3">
              <w:rPr>
                <w:rFonts w:ascii="Garamond" w:eastAsia="Times New Roman" w:hAnsi="Garamond" w:cs="Times New Roman"/>
                <w:color w:val="000000"/>
                <w:sz w:val="10"/>
                <w:szCs w:val="10"/>
                <w:lang w:eastAsia="sq-AL"/>
              </w:rPr>
              <w:br/>
              <w:t>12. Kuadri jo i plotë i legjislacionit sekondar për sigurimin e të dhënave të energjisë në aktivitetet prodhuese private.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-|- 5</w:t>
            </w:r>
          </w:p>
        </w:tc>
        <w:tc>
          <w:tcPr>
            <w:tcW w:w="551" w:type="dxa"/>
            <w:tcBorders>
              <w:top w:val="nil"/>
              <w:left w:val="nil"/>
              <w:bottom w:val="nil"/>
              <w:right w:val="single" w:sz="4" w:space="0" w:color="auto"/>
            </w:tcBorders>
            <w:shd w:val="clear" w:color="auto" w:fill="auto"/>
            <w:vAlign w:val="center"/>
            <w:hideMark/>
          </w:tcPr>
          <w:p w14:paraId="47237A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6C9F462D" w14:textId="77777777" w:rsidTr="0021321C">
        <w:trPr>
          <w:trHeight w:val="180"/>
          <w:jc w:val="center"/>
        </w:trPr>
        <w:tc>
          <w:tcPr>
            <w:tcW w:w="388" w:type="dxa"/>
            <w:tcBorders>
              <w:top w:val="nil"/>
              <w:left w:val="nil"/>
              <w:bottom w:val="nil"/>
              <w:right w:val="nil"/>
            </w:tcBorders>
            <w:shd w:val="clear" w:color="000000" w:fill="FFFFFF"/>
            <w:vAlign w:val="bottom"/>
            <w:hideMark/>
          </w:tcPr>
          <w:p w14:paraId="4FE440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29296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CA0A79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A4917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111D8F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4BCA26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AFA8E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3.2.1.3</w:t>
            </w:r>
          </w:p>
        </w:tc>
        <w:tc>
          <w:tcPr>
            <w:tcW w:w="563" w:type="dxa"/>
            <w:tcBorders>
              <w:top w:val="single" w:sz="4" w:space="0" w:color="auto"/>
              <w:left w:val="nil"/>
              <w:bottom w:val="single" w:sz="4" w:space="0" w:color="auto"/>
              <w:right w:val="single" w:sz="4" w:space="0" w:color="auto"/>
            </w:tcBorders>
            <w:shd w:val="clear" w:color="000000" w:fill="FFFFFF"/>
            <w:vAlign w:val="center"/>
            <w:hideMark/>
          </w:tcPr>
          <w:p w14:paraId="64F085E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bilancit të përgjithshëm të energjisë - përditësim databaze</w:t>
            </w:r>
          </w:p>
        </w:tc>
        <w:tc>
          <w:tcPr>
            <w:tcW w:w="446" w:type="dxa"/>
            <w:tcBorders>
              <w:top w:val="single" w:sz="4" w:space="0" w:color="auto"/>
              <w:left w:val="nil"/>
              <w:bottom w:val="single" w:sz="4" w:space="0" w:color="auto"/>
              <w:right w:val="single" w:sz="4" w:space="0" w:color="auto"/>
            </w:tcBorders>
            <w:shd w:val="clear" w:color="000000" w:fill="FFFFFF"/>
            <w:vAlign w:val="center"/>
            <w:hideMark/>
          </w:tcPr>
          <w:p w14:paraId="7A4EE2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single" w:sz="4" w:space="0" w:color="auto"/>
              <w:left w:val="nil"/>
              <w:bottom w:val="single" w:sz="4" w:space="0" w:color="auto"/>
              <w:right w:val="single" w:sz="4" w:space="0" w:color="auto"/>
            </w:tcBorders>
            <w:shd w:val="clear" w:color="000000" w:fill="FFFFFF"/>
            <w:noWrap/>
            <w:vAlign w:val="center"/>
            <w:hideMark/>
          </w:tcPr>
          <w:p w14:paraId="3F5965A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single" w:sz="4" w:space="0" w:color="auto"/>
              <w:left w:val="nil"/>
              <w:bottom w:val="single" w:sz="4" w:space="0" w:color="auto"/>
              <w:right w:val="single" w:sz="4" w:space="0" w:color="auto"/>
            </w:tcBorders>
            <w:shd w:val="clear" w:color="000000" w:fill="FFFFFF"/>
            <w:vAlign w:val="center"/>
            <w:hideMark/>
          </w:tcPr>
          <w:p w14:paraId="639C7FD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single" w:sz="4" w:space="0" w:color="auto"/>
              <w:left w:val="nil"/>
              <w:bottom w:val="single" w:sz="4" w:space="0" w:color="auto"/>
              <w:right w:val="single" w:sz="4" w:space="0" w:color="auto"/>
            </w:tcBorders>
            <w:shd w:val="clear" w:color="000000" w:fill="FFFFFF"/>
            <w:vAlign w:val="center"/>
            <w:hideMark/>
          </w:tcPr>
          <w:p w14:paraId="05E252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single" w:sz="4" w:space="0" w:color="auto"/>
              <w:left w:val="nil"/>
              <w:bottom w:val="single" w:sz="4" w:space="0" w:color="auto"/>
              <w:right w:val="single" w:sz="4" w:space="0" w:color="auto"/>
            </w:tcBorders>
            <w:shd w:val="clear" w:color="000000" w:fill="FFFFFF"/>
            <w:vAlign w:val="center"/>
            <w:hideMark/>
          </w:tcPr>
          <w:p w14:paraId="56782D3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nil"/>
              <w:right w:val="single" w:sz="4" w:space="0" w:color="auto"/>
            </w:tcBorders>
            <w:shd w:val="clear" w:color="000000" w:fill="FFFFFF"/>
            <w:vAlign w:val="center"/>
            <w:hideMark/>
          </w:tcPr>
          <w:p w14:paraId="5B6C7EA3" w14:textId="4B8805D8" w:rsidR="0021321C" w:rsidRPr="004F2AC3" w:rsidRDefault="00C73163" w:rsidP="00C73163">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21321C" w:rsidRPr="004F2AC3">
              <w:rPr>
                <w:rFonts w:ascii="Garamond" w:eastAsia="Times New Roman" w:hAnsi="Garamond" w:cs="Times New Roman"/>
                <w:color w:val="000000"/>
                <w:sz w:val="10"/>
                <w:szCs w:val="10"/>
                <w:lang w:eastAsia="sq-AL"/>
              </w:rPr>
              <w:t>Konsumi i brendshëm bruto</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2. Prodhimi i produkteve primare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3. Import</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4. Ndryshimi i gjendjeve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5. Eksport</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6. Depozituar</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7. Konsumi në degën e energjisë</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8. Humbje në shpërndarje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9. Dis</w:t>
            </w:r>
            <w:r w:rsidRPr="004F2AC3">
              <w:rPr>
                <w:rFonts w:ascii="Garamond" w:eastAsia="Times New Roman" w:hAnsi="Garamond" w:cs="Times New Roman"/>
                <w:color w:val="000000"/>
                <w:sz w:val="10"/>
                <w:szCs w:val="10"/>
                <w:lang w:eastAsia="sq-AL"/>
              </w:rPr>
              <w:t>ponibël për konsum final;</w:t>
            </w:r>
            <w:r w:rsidR="0021321C" w:rsidRPr="004F2AC3">
              <w:rPr>
                <w:rFonts w:ascii="Garamond" w:eastAsia="Times New Roman" w:hAnsi="Garamond" w:cs="Times New Roman"/>
                <w:color w:val="000000"/>
                <w:sz w:val="10"/>
                <w:szCs w:val="10"/>
                <w:lang w:eastAsia="sq-AL"/>
              </w:rPr>
              <w:br/>
              <w:t>10. Konsumi final joenergjetik</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11. Konsumi final i energjisë</w:t>
            </w:r>
            <w:r w:rsidRPr="004F2AC3">
              <w:rPr>
                <w:rFonts w:ascii="Garamond" w:eastAsia="Times New Roman" w:hAnsi="Garamond" w:cs="Times New Roman"/>
                <w:color w:val="000000"/>
                <w:sz w:val="10"/>
                <w:szCs w:val="10"/>
                <w:lang w:eastAsia="sq-AL"/>
              </w:rPr>
              <w:t>.</w:t>
            </w:r>
          </w:p>
        </w:tc>
        <w:tc>
          <w:tcPr>
            <w:tcW w:w="554" w:type="dxa"/>
            <w:tcBorders>
              <w:top w:val="single" w:sz="4" w:space="0" w:color="auto"/>
              <w:left w:val="nil"/>
              <w:bottom w:val="single" w:sz="4" w:space="0" w:color="auto"/>
              <w:right w:val="single" w:sz="4" w:space="0" w:color="auto"/>
            </w:tcBorders>
            <w:shd w:val="clear" w:color="000000" w:fill="FFFFFF"/>
            <w:vAlign w:val="center"/>
            <w:hideMark/>
          </w:tcPr>
          <w:p w14:paraId="6C43084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Agjencia Kombëtare e Burimeve Natyrore</w:t>
            </w:r>
          </w:p>
        </w:tc>
        <w:tc>
          <w:tcPr>
            <w:tcW w:w="413" w:type="dxa"/>
            <w:tcBorders>
              <w:top w:val="single" w:sz="4" w:space="0" w:color="auto"/>
              <w:left w:val="nil"/>
              <w:bottom w:val="single" w:sz="4" w:space="0" w:color="auto"/>
              <w:right w:val="single" w:sz="4" w:space="0" w:color="auto"/>
            </w:tcBorders>
            <w:shd w:val="clear" w:color="000000" w:fill="FFFFFF"/>
            <w:vAlign w:val="center"/>
            <w:hideMark/>
          </w:tcPr>
          <w:p w14:paraId="62A0AC08" w14:textId="565D1D1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single" w:sz="4" w:space="0" w:color="auto"/>
              <w:left w:val="nil"/>
              <w:bottom w:val="single" w:sz="4" w:space="0" w:color="auto"/>
              <w:right w:val="single" w:sz="4" w:space="0" w:color="auto"/>
            </w:tcBorders>
            <w:shd w:val="clear" w:color="000000" w:fill="FFFFFF"/>
            <w:vAlign w:val="center"/>
            <w:hideMark/>
          </w:tcPr>
          <w:p w14:paraId="48F4AA0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+ 243D</w:t>
            </w:r>
          </w:p>
        </w:tc>
        <w:tc>
          <w:tcPr>
            <w:tcW w:w="385" w:type="dxa"/>
            <w:tcBorders>
              <w:top w:val="single" w:sz="4" w:space="0" w:color="auto"/>
              <w:left w:val="nil"/>
              <w:bottom w:val="single" w:sz="4" w:space="0" w:color="auto"/>
              <w:right w:val="single" w:sz="4" w:space="0" w:color="auto"/>
            </w:tcBorders>
            <w:shd w:val="clear" w:color="000000" w:fill="FFFFFF"/>
            <w:vAlign w:val="center"/>
            <w:hideMark/>
          </w:tcPr>
          <w:p w14:paraId="6D2B1FA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+ 268D</w:t>
            </w:r>
          </w:p>
        </w:tc>
        <w:tc>
          <w:tcPr>
            <w:tcW w:w="361" w:type="dxa"/>
            <w:tcBorders>
              <w:top w:val="single" w:sz="4" w:space="0" w:color="auto"/>
              <w:left w:val="nil"/>
              <w:bottom w:val="single" w:sz="4" w:space="0" w:color="auto"/>
              <w:right w:val="single" w:sz="4" w:space="0" w:color="auto"/>
            </w:tcBorders>
            <w:shd w:val="clear" w:color="000000" w:fill="FFFFFF"/>
            <w:vAlign w:val="center"/>
            <w:hideMark/>
          </w:tcPr>
          <w:p w14:paraId="2A69954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+ 273D</w:t>
            </w:r>
          </w:p>
        </w:tc>
        <w:tc>
          <w:tcPr>
            <w:tcW w:w="732" w:type="dxa"/>
            <w:tcBorders>
              <w:top w:val="single" w:sz="4" w:space="0" w:color="auto"/>
              <w:left w:val="nil"/>
              <w:bottom w:val="single" w:sz="4" w:space="0" w:color="auto"/>
              <w:right w:val="single" w:sz="4" w:space="0" w:color="auto"/>
            </w:tcBorders>
            <w:shd w:val="clear" w:color="000000" w:fill="FFFFFF"/>
            <w:vAlign w:val="center"/>
            <w:hideMark/>
          </w:tcPr>
          <w:p w14:paraId="2F91396F" w14:textId="59F3210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Moszbatimi në kohë i hapave dhe detyrave për kryerjen e procesit statistikor në vrojtimet vjetore, e cila sjell si pasojë mospublikimin në kohë të rezultateve të vrojtimit -|- 2</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vrojtimet statistikore e cila sjell si pasojë mosshpërndarjen në kohë e në cilësi të rezultateve të vrojtimit -|- 5</w:t>
            </w:r>
            <w:r w:rsidRPr="004F2AC3">
              <w:rPr>
                <w:rFonts w:ascii="Garamond" w:eastAsia="Times New Roman" w:hAnsi="Garamond" w:cs="Times New Roman"/>
                <w:color w:val="000000"/>
                <w:sz w:val="10"/>
                <w:szCs w:val="10"/>
                <w:lang w:eastAsia="sq-AL"/>
              </w:rPr>
              <w:br/>
              <w:t>3. Pezullimi/vonesa e mbledhjes, prodhimit dhe shpërndarjes të statistikave zyr</w:t>
            </w:r>
            <w:r w:rsidR="005B3A9C" w:rsidRPr="004F2AC3">
              <w:rPr>
                <w:rFonts w:ascii="Garamond" w:eastAsia="Times New Roman" w:hAnsi="Garamond" w:cs="Times New Roman"/>
                <w:color w:val="000000"/>
                <w:sz w:val="10"/>
                <w:szCs w:val="10"/>
                <w:lang w:eastAsia="sq-AL"/>
              </w:rPr>
              <w:t>tare nga fatkeqësitë natyrore/</w:t>
            </w:r>
            <w:r w:rsidRPr="004F2AC3">
              <w:rPr>
                <w:rFonts w:ascii="Garamond" w:eastAsia="Times New Roman" w:hAnsi="Garamond" w:cs="Times New Roman"/>
                <w:color w:val="000000"/>
                <w:sz w:val="10"/>
                <w:szCs w:val="10"/>
                <w:lang w:eastAsia="sq-AL"/>
              </w:rPr>
              <w:t>pandemi globale, e cila sjell si pasojë mospublikimin në kohë të rezultateve të vrojtimit -|- 1</w:t>
            </w:r>
            <w:r w:rsidRPr="004F2AC3">
              <w:rPr>
                <w:rFonts w:ascii="Garamond" w:eastAsia="Times New Roman" w:hAnsi="Garamond" w:cs="Times New Roman"/>
                <w:color w:val="000000"/>
                <w:sz w:val="10"/>
                <w:szCs w:val="10"/>
                <w:lang w:eastAsia="sq-AL"/>
              </w:rPr>
              <w:br/>
              <w:t>4. Mosmarrja në kohë dhe ndryshimi i bazës ligjore të burimit administrativ, sjell si pasojë mospublikimin në kohë të rezultateve të treguesve statistikorë -|- 2</w:t>
            </w:r>
            <w:r w:rsidRPr="004F2AC3">
              <w:rPr>
                <w:rFonts w:ascii="Garamond" w:eastAsia="Times New Roman" w:hAnsi="Garamond" w:cs="Times New Roman"/>
                <w:color w:val="000000"/>
                <w:sz w:val="10"/>
                <w:szCs w:val="10"/>
                <w:lang w:eastAsia="sq-AL"/>
              </w:rPr>
              <w:br/>
              <w:t>5. Mosevidentimi dhe realizimi i detyrave të përditshme të sektorit, e cila sjell si pasojë ngadalësim të proceseve të punës -|- 2</w:t>
            </w:r>
            <w:r w:rsidRPr="004F2AC3">
              <w:rPr>
                <w:rFonts w:ascii="Garamond" w:eastAsia="Times New Roman" w:hAnsi="Garamond" w:cs="Times New Roman"/>
                <w:color w:val="000000"/>
                <w:sz w:val="10"/>
                <w:szCs w:val="10"/>
                <w:lang w:eastAsia="sq-AL"/>
              </w:rPr>
              <w:br/>
              <w:t>6. Moszbatimi në kohë i kalendarit të publikimeve statistikore dhe përditësimit të materialeve në web, e cila sjell si pasojë mungesën e informacionit për përdoruesit dhe cënimin e imazhit të INSTAT -|- 2</w:t>
            </w:r>
            <w:r w:rsidRPr="004F2AC3">
              <w:rPr>
                <w:rFonts w:ascii="Garamond" w:eastAsia="Times New Roman" w:hAnsi="Garamond" w:cs="Times New Roman"/>
                <w:color w:val="000000"/>
                <w:sz w:val="10"/>
                <w:szCs w:val="10"/>
                <w:lang w:eastAsia="sq-AL"/>
              </w:rPr>
              <w:br/>
              <w:t>7. Gabime në përllogaritje e treguesve nga specialistët, e cila sjell si pasojë mosshpërndarjen me cilësi të rezultateve të treguesve statistikorë. -|- 2</w:t>
            </w:r>
            <w:r w:rsidRPr="004F2AC3">
              <w:rPr>
                <w:rFonts w:ascii="Garamond" w:eastAsia="Times New Roman" w:hAnsi="Garamond" w:cs="Times New Roman"/>
                <w:color w:val="000000"/>
                <w:sz w:val="10"/>
                <w:szCs w:val="10"/>
                <w:lang w:eastAsia="sq-AL"/>
              </w:rPr>
              <w:br/>
              <w:t>8. Mosmarrja në kohë dhe ndryshimi i bazës ligjore të burimit administrativ, që sjell si pasojë mospublikimin në kohë dhe me cilësi të rezultateve të treguesve statistikorë. -|- 2</w:t>
            </w:r>
            <w:r w:rsidRPr="004F2AC3">
              <w:rPr>
                <w:rFonts w:ascii="Garamond" w:eastAsia="Times New Roman" w:hAnsi="Garamond" w:cs="Times New Roman"/>
                <w:color w:val="000000"/>
                <w:sz w:val="10"/>
                <w:szCs w:val="10"/>
                <w:lang w:eastAsia="sq-AL"/>
              </w:rPr>
              <w:br/>
              <w:t>9. Lëvizja e stafit me eksperiencë nga sektori, e cila sjell si pasojë ndërprerje/ngadalësim të proceseve të punës. -|- 2</w:t>
            </w:r>
            <w:r w:rsidRPr="004F2AC3">
              <w:rPr>
                <w:rFonts w:ascii="Garamond" w:eastAsia="Times New Roman" w:hAnsi="Garamond" w:cs="Times New Roman"/>
                <w:color w:val="000000"/>
                <w:sz w:val="10"/>
                <w:szCs w:val="10"/>
                <w:lang w:eastAsia="sq-AL"/>
              </w:rPr>
              <w:br/>
              <w:t>10. Buxheti i ulet për përgatitjen e bilancit të energjisë -|- 5</w:t>
            </w:r>
            <w:r w:rsidRPr="004F2AC3">
              <w:rPr>
                <w:rFonts w:ascii="Garamond" w:eastAsia="Times New Roman" w:hAnsi="Garamond" w:cs="Times New Roman"/>
                <w:color w:val="000000"/>
                <w:sz w:val="10"/>
                <w:szCs w:val="10"/>
                <w:lang w:eastAsia="sq-AL"/>
              </w:rPr>
              <w:br/>
              <w:t>11. Staf i pamjaftueshëm për përgatitjen e bilancit të energjisë -|- 5</w:t>
            </w:r>
            <w:r w:rsidRPr="004F2AC3">
              <w:rPr>
                <w:rFonts w:ascii="Garamond" w:eastAsia="Times New Roman" w:hAnsi="Garamond" w:cs="Times New Roman"/>
                <w:color w:val="000000"/>
                <w:sz w:val="10"/>
                <w:szCs w:val="10"/>
                <w:lang w:eastAsia="sq-AL"/>
              </w:rPr>
              <w:br/>
              <w:t>12. Kuadri jo i plotë i legjislacionit sekondar për sigurimin e të dhënave të energjisë në aktivitetet prodhuese private. -|- 5</w:t>
            </w:r>
          </w:p>
        </w:tc>
        <w:tc>
          <w:tcPr>
            <w:tcW w:w="551" w:type="dxa"/>
            <w:tcBorders>
              <w:top w:val="single" w:sz="4" w:space="0" w:color="auto"/>
              <w:left w:val="nil"/>
              <w:bottom w:val="single" w:sz="4" w:space="0" w:color="auto"/>
              <w:right w:val="single" w:sz="4" w:space="0" w:color="auto"/>
            </w:tcBorders>
            <w:shd w:val="clear" w:color="000000" w:fill="FFFFFF"/>
            <w:vAlign w:val="center"/>
            <w:hideMark/>
          </w:tcPr>
          <w:p w14:paraId="715533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2390E1F9" w14:textId="77777777" w:rsidTr="0021321C">
        <w:trPr>
          <w:trHeight w:val="180"/>
          <w:jc w:val="center"/>
        </w:trPr>
        <w:tc>
          <w:tcPr>
            <w:tcW w:w="388" w:type="dxa"/>
            <w:tcBorders>
              <w:top w:val="nil"/>
              <w:left w:val="nil"/>
              <w:bottom w:val="nil"/>
              <w:right w:val="nil"/>
            </w:tcBorders>
            <w:shd w:val="clear" w:color="000000" w:fill="FFFFFF"/>
            <w:vAlign w:val="bottom"/>
            <w:hideMark/>
          </w:tcPr>
          <w:p w14:paraId="355427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885F73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66B077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3099F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335A12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B73B0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504DCB8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3.2.1.4</w:t>
            </w:r>
          </w:p>
        </w:tc>
        <w:tc>
          <w:tcPr>
            <w:tcW w:w="563" w:type="dxa"/>
            <w:tcBorders>
              <w:top w:val="nil"/>
              <w:left w:val="nil"/>
              <w:bottom w:val="single" w:sz="4" w:space="0" w:color="auto"/>
              <w:right w:val="single" w:sz="4" w:space="0" w:color="auto"/>
            </w:tcBorders>
            <w:shd w:val="clear" w:color="auto" w:fill="auto"/>
            <w:vAlign w:val="center"/>
            <w:hideMark/>
          </w:tcPr>
          <w:p w14:paraId="53856B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Bilancit të Energjisë Elektrike</w:t>
            </w:r>
          </w:p>
        </w:tc>
        <w:tc>
          <w:tcPr>
            <w:tcW w:w="446" w:type="dxa"/>
            <w:tcBorders>
              <w:top w:val="nil"/>
              <w:left w:val="nil"/>
              <w:bottom w:val="single" w:sz="4" w:space="0" w:color="auto"/>
              <w:right w:val="single" w:sz="4" w:space="0" w:color="auto"/>
            </w:tcBorders>
            <w:shd w:val="clear" w:color="auto" w:fill="auto"/>
            <w:vAlign w:val="center"/>
            <w:hideMark/>
          </w:tcPr>
          <w:p w14:paraId="4082CA8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74A0CF4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583D752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48C4D57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423D8D0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14:paraId="4E57D667" w14:textId="694CED03" w:rsidR="0021321C" w:rsidRPr="004F2AC3" w:rsidRDefault="00C73163" w:rsidP="0021321C">
            <w:pPr>
              <w:spacing w:after="24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Energji në dispozicion;</w:t>
            </w:r>
            <w:r w:rsidRPr="004F2AC3">
              <w:rPr>
                <w:rFonts w:ascii="Garamond" w:eastAsia="Times New Roman" w:hAnsi="Garamond" w:cs="Times New Roman"/>
                <w:color w:val="000000"/>
                <w:sz w:val="10"/>
                <w:szCs w:val="10"/>
                <w:lang w:eastAsia="sq-AL"/>
              </w:rPr>
              <w:br/>
              <w:t>2. Prodhimi neto vendas;</w:t>
            </w:r>
            <w:r w:rsidRPr="004F2AC3">
              <w:rPr>
                <w:rFonts w:ascii="Garamond" w:eastAsia="Times New Roman" w:hAnsi="Garamond" w:cs="Times New Roman"/>
                <w:color w:val="000000"/>
                <w:sz w:val="10"/>
                <w:szCs w:val="10"/>
                <w:lang w:eastAsia="sq-AL"/>
              </w:rPr>
              <w:br/>
              <w:t>3. Termocentrale;</w:t>
            </w:r>
            <w:r w:rsidR="0021321C" w:rsidRPr="004F2AC3">
              <w:rPr>
                <w:rFonts w:ascii="Garamond" w:eastAsia="Times New Roman" w:hAnsi="Garamond" w:cs="Times New Roman"/>
                <w:color w:val="000000"/>
                <w:sz w:val="10"/>
                <w:szCs w:val="10"/>
                <w:lang w:eastAsia="sq-AL"/>
              </w:rPr>
              <w:br/>
              <w:t>4. Hidrocentrale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5. Publike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6. Prodhim</w:t>
            </w:r>
            <w:r w:rsidRPr="004F2AC3">
              <w:rPr>
                <w:rFonts w:ascii="Garamond" w:eastAsia="Times New Roman" w:hAnsi="Garamond" w:cs="Times New Roman"/>
                <w:color w:val="000000"/>
                <w:sz w:val="10"/>
                <w:szCs w:val="10"/>
                <w:lang w:eastAsia="sq-AL"/>
              </w:rPr>
              <w:t xml:space="preserve"> bruto i hidrocentraleve publike;</w:t>
            </w:r>
            <w:r w:rsidR="0021321C" w:rsidRPr="004F2AC3">
              <w:rPr>
                <w:rFonts w:ascii="Garamond" w:eastAsia="Times New Roman" w:hAnsi="Garamond" w:cs="Times New Roman"/>
                <w:color w:val="000000"/>
                <w:sz w:val="10"/>
                <w:szCs w:val="10"/>
                <w:lang w:eastAsia="sq-AL"/>
              </w:rPr>
              <w:br/>
              <w:t>7. Konsum dhe humbje vetjake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8. Prodhues të pavarur privatë dhe koncesionarë</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9. Të tjerë prodhues (energji të rinovueshme të tjera)</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10. Importi bruto (energji në marrje)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11.</w:t>
            </w:r>
            <w:r w:rsidR="00684E85"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Eksporti bruto (energji në dhënie)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12.</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Konsumi i energjisë elektrike;</w:t>
            </w:r>
            <w:r w:rsidR="0021321C" w:rsidRPr="004F2AC3">
              <w:rPr>
                <w:rFonts w:ascii="Garamond" w:eastAsia="Times New Roman" w:hAnsi="Garamond" w:cs="Times New Roman"/>
                <w:color w:val="000000"/>
                <w:sz w:val="10"/>
                <w:szCs w:val="10"/>
                <w:lang w:eastAsia="sq-AL"/>
              </w:rPr>
              <w:br/>
              <w:t>13.</w:t>
            </w:r>
            <w:r w:rsidR="00684E85"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Humbjet në rrjet</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14.</w:t>
            </w:r>
            <w:r w:rsidR="00684E85"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Humbjet dhe konsumi vetjak në transmetim</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15.</w:t>
            </w:r>
            <w:r w:rsidR="00684E85"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Humbjet në shpërndarje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16.</w:t>
            </w:r>
            <w:r w:rsidR="00684E85"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Humbjet teknike në shpërndarje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17.</w:t>
            </w:r>
            <w:r w:rsidR="00684E85" w:rsidRPr="004F2AC3">
              <w:rPr>
                <w:rFonts w:ascii="Garamond" w:eastAsia="Times New Roman" w:hAnsi="Garamond" w:cs="Times New Roman"/>
                <w:color w:val="000000"/>
                <w:sz w:val="10"/>
                <w:szCs w:val="10"/>
                <w:lang w:eastAsia="sq-AL"/>
              </w:rPr>
              <w:t xml:space="preserve"> </w:t>
            </w:r>
            <w:r w:rsidR="002D5897" w:rsidRPr="004F2AC3">
              <w:rPr>
                <w:rFonts w:ascii="Garamond" w:eastAsia="Times New Roman" w:hAnsi="Garamond" w:cs="Times New Roman"/>
                <w:color w:val="000000"/>
                <w:sz w:val="10"/>
                <w:szCs w:val="10"/>
                <w:lang w:eastAsia="sq-AL"/>
              </w:rPr>
              <w:t>Humbjet jo</w:t>
            </w:r>
            <w:r w:rsidR="0021321C" w:rsidRPr="004F2AC3">
              <w:rPr>
                <w:rFonts w:ascii="Garamond" w:eastAsia="Times New Roman" w:hAnsi="Garamond" w:cs="Times New Roman"/>
                <w:color w:val="000000"/>
                <w:sz w:val="10"/>
                <w:szCs w:val="10"/>
                <w:lang w:eastAsia="sq-AL"/>
              </w:rPr>
              <w:t>teknike në shpërndarje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18.</w:t>
            </w:r>
            <w:r w:rsidR="00684E85"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Përdorimi nga konsumatorët</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19.</w:t>
            </w:r>
            <w:r w:rsidR="00684E85"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Familjarë</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20.</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Jofamiljarë.</w:t>
            </w:r>
          </w:p>
        </w:tc>
        <w:tc>
          <w:tcPr>
            <w:tcW w:w="554" w:type="dxa"/>
            <w:tcBorders>
              <w:top w:val="nil"/>
              <w:left w:val="nil"/>
              <w:bottom w:val="single" w:sz="4" w:space="0" w:color="auto"/>
              <w:right w:val="single" w:sz="4" w:space="0" w:color="auto"/>
            </w:tcBorders>
            <w:shd w:val="clear" w:color="auto" w:fill="auto"/>
            <w:vAlign w:val="center"/>
            <w:hideMark/>
          </w:tcPr>
          <w:p w14:paraId="5D58AD34" w14:textId="77777777" w:rsidR="00C73163"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Operatori i Sistemit të Transmetimit</w:t>
            </w:r>
            <w:r w:rsidR="00C73163" w:rsidRPr="004F2AC3">
              <w:rPr>
                <w:rFonts w:ascii="Garamond" w:eastAsia="Times New Roman" w:hAnsi="Garamond" w:cs="Times New Roman"/>
                <w:color w:val="000000"/>
                <w:sz w:val="10"/>
                <w:szCs w:val="10"/>
                <w:lang w:eastAsia="sq-AL"/>
              </w:rPr>
              <w:t>;</w:t>
            </w:r>
          </w:p>
          <w:p w14:paraId="4530E437" w14:textId="77777777" w:rsidR="00C73163"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Korporata Elektroenergjitike Shqiptare</w:t>
            </w:r>
            <w:r w:rsidR="00C73163" w:rsidRPr="004F2AC3">
              <w:rPr>
                <w:rFonts w:ascii="Garamond" w:eastAsia="Times New Roman" w:hAnsi="Garamond" w:cs="Times New Roman"/>
                <w:color w:val="000000"/>
                <w:sz w:val="10"/>
                <w:szCs w:val="10"/>
                <w:lang w:eastAsia="sq-AL"/>
              </w:rPr>
              <w:t>;</w:t>
            </w:r>
          </w:p>
          <w:p w14:paraId="1AC9023D" w14:textId="38A88ECE" w:rsidR="0021321C" w:rsidRPr="004F2AC3" w:rsidRDefault="008A3DCB"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Operatori</w:t>
            </w:r>
            <w:r w:rsidR="0021321C" w:rsidRPr="004F2AC3">
              <w:rPr>
                <w:rFonts w:ascii="Garamond" w:eastAsia="Times New Roman" w:hAnsi="Garamond" w:cs="Times New Roman"/>
                <w:color w:val="000000"/>
                <w:sz w:val="10"/>
                <w:szCs w:val="10"/>
                <w:lang w:eastAsia="sq-AL"/>
              </w:rPr>
              <w:t xml:space="preserve"> i </w:t>
            </w:r>
            <w:r w:rsidRPr="004F2AC3">
              <w:rPr>
                <w:rFonts w:ascii="Garamond" w:eastAsia="Times New Roman" w:hAnsi="Garamond" w:cs="Times New Roman"/>
                <w:color w:val="000000"/>
                <w:sz w:val="10"/>
                <w:szCs w:val="10"/>
                <w:lang w:eastAsia="sq-AL"/>
              </w:rPr>
              <w:t>Shpërndarjes</w:t>
            </w:r>
            <w:r w:rsidR="0021321C" w:rsidRPr="004F2AC3">
              <w:rPr>
                <w:rFonts w:ascii="Garamond" w:eastAsia="Times New Roman" w:hAnsi="Garamond" w:cs="Times New Roman"/>
                <w:color w:val="000000"/>
                <w:sz w:val="10"/>
                <w:szCs w:val="10"/>
                <w:lang w:eastAsia="sq-AL"/>
              </w:rPr>
              <w:t xml:space="preserve"> së Energjisë </w:t>
            </w:r>
            <w:r w:rsidRPr="004F2AC3">
              <w:rPr>
                <w:rFonts w:ascii="Garamond" w:eastAsia="Times New Roman" w:hAnsi="Garamond" w:cs="Times New Roman"/>
                <w:color w:val="000000"/>
                <w:sz w:val="10"/>
                <w:szCs w:val="10"/>
                <w:lang w:eastAsia="sq-AL"/>
              </w:rPr>
              <w:t>Elektrike</w:t>
            </w:r>
            <w:r w:rsidR="00C73163"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2C67A951" w14:textId="4A90ABF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1FD7430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+ 38D</w:t>
            </w:r>
          </w:p>
        </w:tc>
        <w:tc>
          <w:tcPr>
            <w:tcW w:w="385" w:type="dxa"/>
            <w:tcBorders>
              <w:top w:val="nil"/>
              <w:left w:val="nil"/>
              <w:bottom w:val="single" w:sz="4" w:space="0" w:color="auto"/>
              <w:right w:val="single" w:sz="4" w:space="0" w:color="auto"/>
            </w:tcBorders>
            <w:shd w:val="clear" w:color="auto" w:fill="auto"/>
            <w:vAlign w:val="center"/>
            <w:hideMark/>
          </w:tcPr>
          <w:p w14:paraId="2032F24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+ 45D</w:t>
            </w:r>
          </w:p>
        </w:tc>
        <w:tc>
          <w:tcPr>
            <w:tcW w:w="361" w:type="dxa"/>
            <w:tcBorders>
              <w:top w:val="nil"/>
              <w:left w:val="nil"/>
              <w:bottom w:val="single" w:sz="4" w:space="0" w:color="auto"/>
              <w:right w:val="single" w:sz="4" w:space="0" w:color="auto"/>
            </w:tcBorders>
            <w:shd w:val="clear" w:color="auto" w:fill="auto"/>
            <w:vAlign w:val="center"/>
            <w:hideMark/>
          </w:tcPr>
          <w:p w14:paraId="5D866BD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+ 52D</w:t>
            </w:r>
          </w:p>
        </w:tc>
        <w:tc>
          <w:tcPr>
            <w:tcW w:w="732" w:type="dxa"/>
            <w:tcBorders>
              <w:top w:val="nil"/>
              <w:left w:val="nil"/>
              <w:bottom w:val="single" w:sz="4" w:space="0" w:color="auto"/>
              <w:right w:val="single" w:sz="4" w:space="0" w:color="auto"/>
            </w:tcBorders>
            <w:shd w:val="clear" w:color="auto" w:fill="auto"/>
            <w:vAlign w:val="center"/>
            <w:hideMark/>
          </w:tcPr>
          <w:p w14:paraId="08E4A261" w14:textId="32696E0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Moszbatimi në kohë i hapave dhe detyrave për kryerjen e procesit statistikor në vrojtimet vjetore, e cila sjell si pasojë mospublikimin në kohë të rezultateve të vrojtimit -|- 2</w:t>
            </w:r>
            <w:r w:rsidRPr="004F2AC3">
              <w:rPr>
                <w:rFonts w:ascii="Garamond" w:eastAsia="Times New Roman" w:hAnsi="Garamond" w:cs="Times New Roman"/>
                <w:color w:val="000000"/>
                <w:sz w:val="10"/>
                <w:szCs w:val="10"/>
                <w:lang w:eastAsia="sq-AL"/>
              </w:rPr>
              <w:br/>
              <w:t>Mospërmbushja e kritereve të cilësisë si: saktësia, përpikmëria dhe krahasueshmëria, për vrojtimet statistikore e cila sjell si pasojë mosshpërndarjen në kohë e në cilësi të rezultateve të vrojtimit -|- 5</w:t>
            </w:r>
            <w:r w:rsidRPr="004F2AC3">
              <w:rPr>
                <w:rFonts w:ascii="Garamond" w:eastAsia="Times New Roman" w:hAnsi="Garamond" w:cs="Times New Roman"/>
                <w:color w:val="000000"/>
                <w:sz w:val="10"/>
                <w:szCs w:val="10"/>
                <w:lang w:eastAsia="sq-AL"/>
              </w:rPr>
              <w:br/>
              <w:t>Pezullimi/vonesa e mbledhjes, prodhimit dhe shpërndarjes të statistikave zy</w:t>
            </w:r>
            <w:r w:rsidR="005B3A9C" w:rsidRPr="004F2AC3">
              <w:rPr>
                <w:rFonts w:ascii="Garamond" w:eastAsia="Times New Roman" w:hAnsi="Garamond" w:cs="Times New Roman"/>
                <w:color w:val="000000"/>
                <w:sz w:val="10"/>
                <w:szCs w:val="10"/>
                <w:lang w:eastAsia="sq-AL"/>
              </w:rPr>
              <w:t>rtare nga fatkeqësitë natyrore/</w:t>
            </w:r>
            <w:r w:rsidRPr="004F2AC3">
              <w:rPr>
                <w:rFonts w:ascii="Garamond" w:eastAsia="Times New Roman" w:hAnsi="Garamond" w:cs="Times New Roman"/>
                <w:color w:val="000000"/>
                <w:sz w:val="10"/>
                <w:szCs w:val="10"/>
                <w:lang w:eastAsia="sq-AL"/>
              </w:rPr>
              <w:t>pandemi globale, e cila sjell si pasojë mospublikimin në kohë të rezultateve të vrojtimit -|- 5</w:t>
            </w:r>
            <w:r w:rsidRPr="004F2AC3">
              <w:rPr>
                <w:rFonts w:ascii="Garamond" w:eastAsia="Times New Roman" w:hAnsi="Garamond" w:cs="Times New Roman"/>
                <w:color w:val="000000"/>
                <w:sz w:val="10"/>
                <w:szCs w:val="10"/>
                <w:lang w:eastAsia="sq-AL"/>
              </w:rPr>
              <w:br/>
              <w:t>1. Mosmarrja në kohë dhe ndryshimi i bazës ligjore të burimit administrativ, sjell si pasojë mospublikimin në kohë të rezultateve të treguesve statistikorë -|- 2</w:t>
            </w:r>
            <w:r w:rsidRPr="004F2AC3">
              <w:rPr>
                <w:rFonts w:ascii="Garamond" w:eastAsia="Times New Roman" w:hAnsi="Garamond" w:cs="Times New Roman"/>
                <w:color w:val="000000"/>
                <w:sz w:val="10"/>
                <w:szCs w:val="10"/>
                <w:lang w:eastAsia="sq-AL"/>
              </w:rPr>
              <w:br/>
              <w:t>2. Mosevidentimi dhe realizimi i detyrave të përditshme të sektorit, e cila sjell si pasojë ngadalësim të proceseve të punës -|- 2</w:t>
            </w:r>
            <w:r w:rsidRPr="004F2AC3">
              <w:rPr>
                <w:rFonts w:ascii="Garamond" w:eastAsia="Times New Roman" w:hAnsi="Garamond" w:cs="Times New Roman"/>
                <w:color w:val="000000"/>
                <w:sz w:val="10"/>
                <w:szCs w:val="10"/>
                <w:lang w:eastAsia="sq-AL"/>
              </w:rPr>
              <w:br/>
              <w:t xml:space="preserve">3. Moszbatimi në kohë i kalendarit të publikimeve statistikore dhe përditësimit të materialeve në </w:t>
            </w:r>
            <w:r w:rsidRPr="004F2AC3">
              <w:rPr>
                <w:rFonts w:ascii="Garamond" w:eastAsia="Times New Roman" w:hAnsi="Garamond" w:cs="Times New Roman"/>
                <w:i/>
                <w:color w:val="000000"/>
                <w:sz w:val="10"/>
                <w:szCs w:val="10"/>
                <w:lang w:eastAsia="sq-AL"/>
              </w:rPr>
              <w:t>web</w:t>
            </w:r>
            <w:r w:rsidRPr="004F2AC3">
              <w:rPr>
                <w:rFonts w:ascii="Garamond" w:eastAsia="Times New Roman" w:hAnsi="Garamond" w:cs="Times New Roman"/>
                <w:color w:val="000000"/>
                <w:sz w:val="10"/>
                <w:szCs w:val="10"/>
                <w:lang w:eastAsia="sq-AL"/>
              </w:rPr>
              <w:t xml:space="preserve">, e cila sjell si pasojë mungesën e informacionit për përdoruesit dhe </w:t>
            </w:r>
            <w:r w:rsidR="008A3DCB" w:rsidRPr="004F2AC3">
              <w:rPr>
                <w:rFonts w:ascii="Garamond" w:eastAsia="Times New Roman" w:hAnsi="Garamond" w:cs="Times New Roman"/>
                <w:color w:val="000000"/>
                <w:sz w:val="10"/>
                <w:szCs w:val="10"/>
                <w:lang w:eastAsia="sq-AL"/>
              </w:rPr>
              <w:t>cenimin</w:t>
            </w:r>
            <w:r w:rsidRPr="004F2AC3">
              <w:rPr>
                <w:rFonts w:ascii="Garamond" w:eastAsia="Times New Roman" w:hAnsi="Garamond" w:cs="Times New Roman"/>
                <w:color w:val="000000"/>
                <w:sz w:val="10"/>
                <w:szCs w:val="10"/>
                <w:lang w:eastAsia="sq-AL"/>
              </w:rPr>
              <w:t xml:space="preserve"> e imazhit të INSTAT -|- 2</w:t>
            </w:r>
            <w:r w:rsidRPr="004F2AC3">
              <w:rPr>
                <w:rFonts w:ascii="Garamond" w:eastAsia="Times New Roman" w:hAnsi="Garamond" w:cs="Times New Roman"/>
                <w:color w:val="000000"/>
                <w:sz w:val="10"/>
                <w:szCs w:val="10"/>
                <w:lang w:eastAsia="sq-AL"/>
              </w:rPr>
              <w:br/>
              <w:t>4. Gabime në përllogaritje e treguesve nga specialistët, e cila sjell si pasojë mosshpërndarjen me cilësi të rezultateve të treguesve statistikorë. -|- 2</w:t>
            </w:r>
            <w:r w:rsidRPr="004F2AC3">
              <w:rPr>
                <w:rFonts w:ascii="Garamond" w:eastAsia="Times New Roman" w:hAnsi="Garamond" w:cs="Times New Roman"/>
                <w:color w:val="000000"/>
                <w:sz w:val="10"/>
                <w:szCs w:val="10"/>
                <w:lang w:eastAsia="sq-AL"/>
              </w:rPr>
              <w:br/>
              <w:t>5. Mosmarrja në kohë dhe ndryshimi i bazës ligjore të burimit administrativ, që sjell si pasojë mospublikimin në kohë dhe me cilësi të rezultateve të treguesve statistikorë -|- 2</w:t>
            </w:r>
            <w:r w:rsidRPr="004F2AC3">
              <w:rPr>
                <w:rFonts w:ascii="Garamond" w:eastAsia="Times New Roman" w:hAnsi="Garamond" w:cs="Times New Roman"/>
                <w:color w:val="000000"/>
                <w:sz w:val="10"/>
                <w:szCs w:val="10"/>
                <w:lang w:eastAsia="sq-AL"/>
              </w:rPr>
              <w:br/>
              <w:t>6. Lëvizja e stafit me eksperiencë nga sektori, e cila sjell si pasojë ndërprerje/ngadalësim të proceseve të punës -|- 5</w:t>
            </w:r>
            <w:r w:rsidRPr="004F2AC3">
              <w:rPr>
                <w:rFonts w:ascii="Garamond" w:eastAsia="Times New Roman" w:hAnsi="Garamond" w:cs="Times New Roman"/>
                <w:color w:val="000000"/>
                <w:sz w:val="10"/>
                <w:szCs w:val="10"/>
                <w:lang w:eastAsia="sq-AL"/>
              </w:rPr>
              <w:br/>
              <w:t>7. Mosfunksionimi i metodave të reja të IT për mbledhjen e të dhënave në vrojtimet vjetore, e cila sjell si pasojë mospublikimin në kohë të rezultateve të vrojtimit -|- 5</w:t>
            </w:r>
            <w:r w:rsidRPr="004F2AC3">
              <w:rPr>
                <w:rFonts w:ascii="Garamond" w:eastAsia="Times New Roman" w:hAnsi="Garamond" w:cs="Times New Roman"/>
                <w:color w:val="000000"/>
                <w:sz w:val="10"/>
                <w:szCs w:val="10"/>
                <w:lang w:eastAsia="sq-AL"/>
              </w:rPr>
              <w:br/>
              <w:t>8. Mosfunksionimi i metodave të automatizimit dhe mos pasja e suportit për automatizimin e proceseve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prodhimit statistikor, e cila sjell si pasojë ngadalësim të procesit të automatizimit -|- 5</w:t>
            </w:r>
            <w:r w:rsidRPr="004F2AC3">
              <w:rPr>
                <w:rFonts w:ascii="Garamond" w:eastAsia="Times New Roman" w:hAnsi="Garamond" w:cs="Times New Roman"/>
                <w:color w:val="000000"/>
                <w:sz w:val="10"/>
                <w:szCs w:val="10"/>
                <w:lang w:eastAsia="sq-AL"/>
              </w:rPr>
              <w:br/>
              <w:t>9. Moszhvillimi i sistemeve të informacionit dhe web-services, e cila sjell si pasojë përdorimin e sistemeve aktuale dhe mospërmirësim të response burden -|- 5</w:t>
            </w:r>
          </w:p>
        </w:tc>
        <w:tc>
          <w:tcPr>
            <w:tcW w:w="551" w:type="dxa"/>
            <w:tcBorders>
              <w:top w:val="nil"/>
              <w:left w:val="nil"/>
              <w:bottom w:val="single" w:sz="4" w:space="0" w:color="auto"/>
              <w:right w:val="single" w:sz="4" w:space="0" w:color="auto"/>
            </w:tcBorders>
            <w:shd w:val="clear" w:color="auto" w:fill="auto"/>
            <w:vAlign w:val="center"/>
            <w:hideMark/>
          </w:tcPr>
          <w:p w14:paraId="4636135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77FD292A" w14:textId="77777777" w:rsidTr="0021321C">
        <w:trPr>
          <w:trHeight w:val="180"/>
          <w:jc w:val="center"/>
        </w:trPr>
        <w:tc>
          <w:tcPr>
            <w:tcW w:w="388" w:type="dxa"/>
            <w:tcBorders>
              <w:top w:val="nil"/>
              <w:left w:val="nil"/>
              <w:bottom w:val="nil"/>
              <w:right w:val="nil"/>
            </w:tcBorders>
            <w:shd w:val="clear" w:color="000000" w:fill="FFFFFF"/>
            <w:vAlign w:val="bottom"/>
            <w:hideMark/>
          </w:tcPr>
          <w:p w14:paraId="0839E0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F658C0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65BA9F7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3.3</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43859D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Transporti</w:t>
            </w:r>
          </w:p>
        </w:tc>
      </w:tr>
      <w:tr w:rsidR="0021321C" w:rsidRPr="004F2AC3" w14:paraId="44A360C7" w14:textId="77777777" w:rsidTr="0021321C">
        <w:trPr>
          <w:trHeight w:val="180"/>
          <w:jc w:val="center"/>
        </w:trPr>
        <w:tc>
          <w:tcPr>
            <w:tcW w:w="388" w:type="dxa"/>
            <w:tcBorders>
              <w:top w:val="nil"/>
              <w:left w:val="nil"/>
              <w:bottom w:val="nil"/>
              <w:right w:val="nil"/>
            </w:tcBorders>
            <w:shd w:val="clear" w:color="000000" w:fill="FFFFFF"/>
            <w:vAlign w:val="bottom"/>
            <w:hideMark/>
          </w:tcPr>
          <w:p w14:paraId="46211DE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F8410A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881028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84A15A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2D2DC57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3.3.1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FFD549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Transportit</w:t>
            </w:r>
          </w:p>
        </w:tc>
      </w:tr>
      <w:tr w:rsidR="00C73163" w:rsidRPr="004F2AC3" w14:paraId="5D4A3417" w14:textId="77777777" w:rsidTr="0021321C">
        <w:trPr>
          <w:trHeight w:val="180"/>
          <w:jc w:val="center"/>
        </w:trPr>
        <w:tc>
          <w:tcPr>
            <w:tcW w:w="388" w:type="dxa"/>
            <w:tcBorders>
              <w:top w:val="nil"/>
              <w:left w:val="nil"/>
              <w:bottom w:val="nil"/>
              <w:right w:val="nil"/>
            </w:tcBorders>
            <w:shd w:val="clear" w:color="000000" w:fill="FFFFFF"/>
            <w:vAlign w:val="bottom"/>
            <w:hideMark/>
          </w:tcPr>
          <w:p w14:paraId="4AC47B0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EB163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6435E8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18D1A1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D2F74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0897B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755B900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3.3.1.1</w:t>
            </w:r>
          </w:p>
        </w:tc>
        <w:tc>
          <w:tcPr>
            <w:tcW w:w="563" w:type="dxa"/>
            <w:tcBorders>
              <w:top w:val="nil"/>
              <w:left w:val="nil"/>
              <w:bottom w:val="single" w:sz="4" w:space="0" w:color="auto"/>
              <w:right w:val="single" w:sz="4" w:space="0" w:color="auto"/>
            </w:tcBorders>
            <w:shd w:val="clear" w:color="auto" w:fill="auto"/>
            <w:vAlign w:val="center"/>
            <w:hideMark/>
          </w:tcPr>
          <w:p w14:paraId="54B23B35" w14:textId="7182A29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transportit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ajror, detar, ujor i brendshëm dhe hekurudhor të mallrave dhe pasagjerëve</w:t>
            </w:r>
          </w:p>
        </w:tc>
        <w:tc>
          <w:tcPr>
            <w:tcW w:w="446" w:type="dxa"/>
            <w:tcBorders>
              <w:top w:val="nil"/>
              <w:left w:val="nil"/>
              <w:bottom w:val="single" w:sz="4" w:space="0" w:color="auto"/>
              <w:right w:val="single" w:sz="4" w:space="0" w:color="auto"/>
            </w:tcBorders>
            <w:shd w:val="clear" w:color="auto" w:fill="auto"/>
            <w:vAlign w:val="center"/>
            <w:hideMark/>
          </w:tcPr>
          <w:p w14:paraId="54963D1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22B2773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33946D5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6033A6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387B0B0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single" w:sz="4" w:space="0" w:color="auto"/>
              <w:right w:val="single" w:sz="4" w:space="0" w:color="auto"/>
            </w:tcBorders>
            <w:shd w:val="clear" w:color="auto" w:fill="auto"/>
            <w:vAlign w:val="center"/>
            <w:hideMark/>
          </w:tcPr>
          <w:p w14:paraId="6363D17B" w14:textId="6D4A0B6C" w:rsidR="0021321C" w:rsidRPr="004F2AC3" w:rsidRDefault="0021321C" w:rsidP="008A3DCB">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Gjatësia e rrjetit rrugor</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Transporti hekurudhor i mallrave në ton</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Transporti hekurudhor i mallrave në ton/km</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Transporti hekurudhor pasagjerëve në numër</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Transporti hekuru</w:t>
            </w:r>
            <w:r w:rsidR="00C73163" w:rsidRPr="004F2AC3">
              <w:rPr>
                <w:rFonts w:ascii="Garamond" w:eastAsia="Times New Roman" w:hAnsi="Garamond" w:cs="Times New Roman"/>
                <w:color w:val="000000"/>
                <w:sz w:val="10"/>
                <w:szCs w:val="10"/>
                <w:lang w:eastAsia="sq-AL"/>
              </w:rPr>
              <w:t>dhor pasagjerëve në pasagjerë/</w:t>
            </w:r>
            <w:r w:rsidRPr="004F2AC3">
              <w:rPr>
                <w:rFonts w:ascii="Garamond" w:eastAsia="Times New Roman" w:hAnsi="Garamond" w:cs="Times New Roman"/>
                <w:color w:val="000000"/>
                <w:sz w:val="10"/>
                <w:szCs w:val="10"/>
                <w:lang w:eastAsia="sq-AL"/>
              </w:rPr>
              <w:t>km</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Aksidente në hekurudhë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Numri i lokomotivave të transportit hekurudhor</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8. Numri i </w:t>
            </w:r>
            <w:r w:rsidR="008A3DCB" w:rsidRPr="004F2AC3">
              <w:rPr>
                <w:rFonts w:ascii="Garamond" w:eastAsia="Times New Roman" w:hAnsi="Garamond" w:cs="Times New Roman"/>
                <w:color w:val="000000"/>
                <w:sz w:val="10"/>
                <w:szCs w:val="10"/>
                <w:lang w:eastAsia="sq-AL"/>
              </w:rPr>
              <w:t>Vagonëve</w:t>
            </w:r>
            <w:r w:rsidRPr="004F2AC3">
              <w:rPr>
                <w:rFonts w:ascii="Garamond" w:eastAsia="Times New Roman" w:hAnsi="Garamond" w:cs="Times New Roman"/>
                <w:color w:val="000000"/>
                <w:sz w:val="10"/>
                <w:szCs w:val="10"/>
                <w:lang w:eastAsia="sq-AL"/>
              </w:rPr>
              <w:t xml:space="preserve"> për pasagjerë të transportit hekurudhor</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9. Numri i </w:t>
            </w:r>
            <w:r w:rsidR="008A3DCB" w:rsidRPr="004F2AC3">
              <w:rPr>
                <w:rFonts w:ascii="Garamond" w:eastAsia="Times New Roman" w:hAnsi="Garamond" w:cs="Times New Roman"/>
                <w:color w:val="000000"/>
                <w:sz w:val="10"/>
                <w:szCs w:val="10"/>
                <w:lang w:eastAsia="sq-AL"/>
              </w:rPr>
              <w:t>Vagonëve</w:t>
            </w:r>
            <w:r w:rsidRPr="004F2AC3">
              <w:rPr>
                <w:rFonts w:ascii="Garamond" w:eastAsia="Times New Roman" w:hAnsi="Garamond" w:cs="Times New Roman"/>
                <w:color w:val="000000"/>
                <w:sz w:val="10"/>
                <w:szCs w:val="10"/>
                <w:lang w:eastAsia="sq-AL"/>
              </w:rPr>
              <w:t xml:space="preserve"> të mallrave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Gjatësia e linjës hekurudhore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në shfrytëzim</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Volumi i mallrave nëpërmjet hekurudhës sipas NST 2007</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Volumi i mallrave nëpërmjet he</w:t>
            </w:r>
            <w:r w:rsidR="00C73163" w:rsidRPr="004F2AC3">
              <w:rPr>
                <w:rFonts w:ascii="Garamond" w:eastAsia="Times New Roman" w:hAnsi="Garamond" w:cs="Times New Roman"/>
                <w:color w:val="000000"/>
                <w:sz w:val="10"/>
                <w:szCs w:val="10"/>
                <w:lang w:eastAsia="sq-AL"/>
              </w:rPr>
              <w:t xml:space="preserve">kurudhës sipas destinacionit 3 </w:t>
            </w:r>
            <w:r w:rsidRPr="004F2AC3">
              <w:rPr>
                <w:rFonts w:ascii="Garamond" w:eastAsia="Times New Roman" w:hAnsi="Garamond" w:cs="Times New Roman"/>
                <w:color w:val="000000"/>
                <w:sz w:val="10"/>
                <w:szCs w:val="10"/>
                <w:lang w:eastAsia="sq-AL"/>
              </w:rPr>
              <w:t>(kombë</w:t>
            </w:r>
            <w:r w:rsidR="008A3DCB" w:rsidRPr="004F2AC3">
              <w:rPr>
                <w:rFonts w:ascii="Garamond" w:eastAsia="Times New Roman" w:hAnsi="Garamond" w:cs="Times New Roman"/>
                <w:color w:val="000000"/>
                <w:sz w:val="10"/>
                <w:szCs w:val="10"/>
                <w:lang w:eastAsia="sq-AL"/>
              </w:rPr>
              <w:t>tar</w:t>
            </w:r>
            <w:r w:rsidRPr="004F2AC3">
              <w:rPr>
                <w:rFonts w:ascii="Garamond" w:eastAsia="Times New Roman" w:hAnsi="Garamond" w:cs="Times New Roman"/>
                <w:color w:val="000000"/>
                <w:sz w:val="10"/>
                <w:szCs w:val="10"/>
                <w:lang w:eastAsia="sq-AL"/>
              </w:rPr>
              <w:t>/ndërkombëtar)</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Volumi i ngarkim-shkarkimit (sipas porteve detare)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Numri i pasagjerëve sipas porteve detare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(shqiptarë,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huaj</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dhe të mitur)</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Numri i porteve detare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Volumin e mallrave për Transportin Detar sipas NST 2007</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17. Numri i shoqërive ajrore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18. Numri i fluturimeve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19. Numri i mbikalime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Numri i pasagjerë (të hyrë, të dalë)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21. Mallra (të hyrë, të dalë)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22</w:t>
            </w:r>
            <w:r w:rsidR="00C73163" w:rsidRPr="004F2AC3">
              <w:rPr>
                <w:rFonts w:ascii="Garamond" w:eastAsia="Times New Roman" w:hAnsi="Garamond" w:cs="Times New Roman"/>
                <w:color w:val="000000"/>
                <w:sz w:val="10"/>
                <w:szCs w:val="10"/>
                <w:lang w:eastAsia="sq-AL"/>
              </w:rPr>
              <w:t>. Posta (</w:t>
            </w:r>
            <w:r w:rsidRPr="004F2AC3">
              <w:rPr>
                <w:rFonts w:ascii="Garamond" w:eastAsia="Times New Roman" w:hAnsi="Garamond" w:cs="Times New Roman"/>
                <w:color w:val="000000"/>
                <w:sz w:val="10"/>
                <w:szCs w:val="10"/>
                <w:lang w:eastAsia="sq-AL"/>
              </w:rPr>
              <w:t>të hyrë, të dalë)</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07683A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Infrastrukturës dhe Energjisë</w:t>
            </w:r>
          </w:p>
        </w:tc>
        <w:tc>
          <w:tcPr>
            <w:tcW w:w="413" w:type="dxa"/>
            <w:tcBorders>
              <w:top w:val="nil"/>
              <w:left w:val="nil"/>
              <w:bottom w:val="single" w:sz="4" w:space="0" w:color="auto"/>
              <w:right w:val="single" w:sz="4" w:space="0" w:color="auto"/>
            </w:tcBorders>
            <w:shd w:val="clear" w:color="auto" w:fill="auto"/>
            <w:vAlign w:val="center"/>
            <w:hideMark/>
          </w:tcPr>
          <w:p w14:paraId="44A35E4C" w14:textId="2BAE590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4A65756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T+ 10D</w:t>
            </w:r>
          </w:p>
        </w:tc>
        <w:tc>
          <w:tcPr>
            <w:tcW w:w="385" w:type="dxa"/>
            <w:tcBorders>
              <w:top w:val="nil"/>
              <w:left w:val="nil"/>
              <w:bottom w:val="single" w:sz="4" w:space="0" w:color="auto"/>
              <w:right w:val="single" w:sz="4" w:space="0" w:color="auto"/>
            </w:tcBorders>
            <w:shd w:val="clear" w:color="auto" w:fill="auto"/>
            <w:vAlign w:val="center"/>
            <w:hideMark/>
          </w:tcPr>
          <w:p w14:paraId="3156E56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T+ 23D</w:t>
            </w:r>
          </w:p>
        </w:tc>
        <w:tc>
          <w:tcPr>
            <w:tcW w:w="361" w:type="dxa"/>
            <w:tcBorders>
              <w:top w:val="nil"/>
              <w:left w:val="nil"/>
              <w:bottom w:val="single" w:sz="4" w:space="0" w:color="auto"/>
              <w:right w:val="single" w:sz="4" w:space="0" w:color="auto"/>
            </w:tcBorders>
            <w:shd w:val="clear" w:color="auto" w:fill="auto"/>
            <w:vAlign w:val="center"/>
            <w:hideMark/>
          </w:tcPr>
          <w:p w14:paraId="6DABCEE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T+ 29D</w:t>
            </w:r>
          </w:p>
        </w:tc>
        <w:tc>
          <w:tcPr>
            <w:tcW w:w="732" w:type="dxa"/>
            <w:tcBorders>
              <w:top w:val="nil"/>
              <w:left w:val="nil"/>
              <w:bottom w:val="single" w:sz="4" w:space="0" w:color="auto"/>
              <w:right w:val="single" w:sz="4" w:space="0" w:color="auto"/>
            </w:tcBorders>
            <w:shd w:val="clear" w:color="auto" w:fill="auto"/>
            <w:vAlign w:val="center"/>
            <w:hideMark/>
          </w:tcPr>
          <w:p w14:paraId="732E35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marrjen e të dhënave nga burimet administrative -|- 6</w:t>
            </w:r>
          </w:p>
        </w:tc>
        <w:tc>
          <w:tcPr>
            <w:tcW w:w="551" w:type="dxa"/>
            <w:tcBorders>
              <w:top w:val="nil"/>
              <w:left w:val="nil"/>
              <w:bottom w:val="single" w:sz="4" w:space="0" w:color="auto"/>
              <w:right w:val="single" w:sz="4" w:space="0" w:color="auto"/>
            </w:tcBorders>
            <w:shd w:val="clear" w:color="auto" w:fill="auto"/>
            <w:vAlign w:val="center"/>
            <w:hideMark/>
          </w:tcPr>
          <w:p w14:paraId="4EC7AD2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164BA2E4" w14:textId="77777777" w:rsidTr="0021321C">
        <w:trPr>
          <w:trHeight w:val="180"/>
          <w:jc w:val="center"/>
        </w:trPr>
        <w:tc>
          <w:tcPr>
            <w:tcW w:w="388" w:type="dxa"/>
            <w:tcBorders>
              <w:top w:val="nil"/>
              <w:left w:val="nil"/>
              <w:bottom w:val="nil"/>
              <w:right w:val="nil"/>
            </w:tcBorders>
            <w:shd w:val="clear" w:color="000000" w:fill="FFFFFF"/>
            <w:vAlign w:val="bottom"/>
            <w:hideMark/>
          </w:tcPr>
          <w:p w14:paraId="02BD33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F6A5A4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E16176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08DCC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AE36AA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18084B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2A6FD20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3.3.1.2</w:t>
            </w:r>
          </w:p>
        </w:tc>
        <w:tc>
          <w:tcPr>
            <w:tcW w:w="563" w:type="dxa"/>
            <w:tcBorders>
              <w:top w:val="nil"/>
              <w:left w:val="nil"/>
              <w:bottom w:val="single" w:sz="4" w:space="0" w:color="auto"/>
              <w:right w:val="single" w:sz="4" w:space="0" w:color="auto"/>
            </w:tcBorders>
            <w:shd w:val="clear" w:color="auto" w:fill="auto"/>
            <w:vAlign w:val="center"/>
            <w:hideMark/>
          </w:tcPr>
          <w:p w14:paraId="1ED8E17C" w14:textId="4008B78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mbi karakteristikat 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mjeteve të transportit rrugor</w:t>
            </w:r>
          </w:p>
        </w:tc>
        <w:tc>
          <w:tcPr>
            <w:tcW w:w="446" w:type="dxa"/>
            <w:tcBorders>
              <w:top w:val="nil"/>
              <w:left w:val="nil"/>
              <w:bottom w:val="single" w:sz="4" w:space="0" w:color="auto"/>
              <w:right w:val="single" w:sz="4" w:space="0" w:color="auto"/>
            </w:tcBorders>
            <w:shd w:val="clear" w:color="auto" w:fill="auto"/>
            <w:vAlign w:val="center"/>
            <w:hideMark/>
          </w:tcPr>
          <w:p w14:paraId="014F197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529054F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0617D80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5BC6689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5A84F7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bottom"/>
            <w:hideMark/>
          </w:tcPr>
          <w:p w14:paraId="04FD4873" w14:textId="7195B96A" w:rsidR="0021321C" w:rsidRPr="004F2AC3" w:rsidRDefault="0021321C" w:rsidP="0021321C">
            <w:pPr>
              <w:spacing w:after="24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Mjete për pasagjerë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Mjeteve për mallra</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Mjete të transportit rrugor sipas llojit të mjetit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Mjete rrugore sipas rajoneve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Autovetura sipas vitit të prodhimit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Autovetura sipas lëndës djegëse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Autovetura sipas fuqisë motorike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Autovetura sipas kambios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Autovetura sipas qarqeve</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03D10A7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Drejtoria e Përgjithshme e Shërbimit të Transportit Rrugor</w:t>
            </w:r>
          </w:p>
        </w:tc>
        <w:tc>
          <w:tcPr>
            <w:tcW w:w="413" w:type="dxa"/>
            <w:tcBorders>
              <w:top w:val="nil"/>
              <w:left w:val="nil"/>
              <w:bottom w:val="single" w:sz="4" w:space="0" w:color="auto"/>
              <w:right w:val="single" w:sz="4" w:space="0" w:color="auto"/>
            </w:tcBorders>
            <w:shd w:val="clear" w:color="auto" w:fill="auto"/>
            <w:vAlign w:val="center"/>
            <w:hideMark/>
          </w:tcPr>
          <w:p w14:paraId="058A6067" w14:textId="40B3F05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28A1109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+ 15D</w:t>
            </w:r>
          </w:p>
        </w:tc>
        <w:tc>
          <w:tcPr>
            <w:tcW w:w="385" w:type="dxa"/>
            <w:tcBorders>
              <w:top w:val="nil"/>
              <w:left w:val="nil"/>
              <w:bottom w:val="single" w:sz="4" w:space="0" w:color="auto"/>
              <w:right w:val="single" w:sz="4" w:space="0" w:color="auto"/>
            </w:tcBorders>
            <w:shd w:val="clear" w:color="auto" w:fill="auto"/>
            <w:vAlign w:val="center"/>
            <w:hideMark/>
          </w:tcPr>
          <w:p w14:paraId="4606E53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+ 182D</w:t>
            </w:r>
          </w:p>
        </w:tc>
        <w:tc>
          <w:tcPr>
            <w:tcW w:w="361" w:type="dxa"/>
            <w:tcBorders>
              <w:top w:val="nil"/>
              <w:left w:val="nil"/>
              <w:bottom w:val="single" w:sz="4" w:space="0" w:color="auto"/>
              <w:right w:val="single" w:sz="4" w:space="0" w:color="auto"/>
            </w:tcBorders>
            <w:shd w:val="clear" w:color="auto" w:fill="auto"/>
            <w:vAlign w:val="center"/>
            <w:hideMark/>
          </w:tcPr>
          <w:p w14:paraId="119395A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+ 212D</w:t>
            </w:r>
          </w:p>
        </w:tc>
        <w:tc>
          <w:tcPr>
            <w:tcW w:w="732" w:type="dxa"/>
            <w:tcBorders>
              <w:top w:val="nil"/>
              <w:left w:val="nil"/>
              <w:bottom w:val="single" w:sz="4" w:space="0" w:color="auto"/>
              <w:right w:val="single" w:sz="4" w:space="0" w:color="auto"/>
            </w:tcBorders>
            <w:shd w:val="clear" w:color="auto" w:fill="auto"/>
            <w:vAlign w:val="center"/>
            <w:hideMark/>
          </w:tcPr>
          <w:p w14:paraId="65E1872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marrjen e të dhënave nga burimet administrative -|- 6</w:t>
            </w:r>
          </w:p>
        </w:tc>
        <w:tc>
          <w:tcPr>
            <w:tcW w:w="551" w:type="dxa"/>
            <w:tcBorders>
              <w:top w:val="nil"/>
              <w:left w:val="nil"/>
              <w:bottom w:val="single" w:sz="4" w:space="0" w:color="auto"/>
              <w:right w:val="single" w:sz="4" w:space="0" w:color="auto"/>
            </w:tcBorders>
            <w:shd w:val="clear" w:color="auto" w:fill="auto"/>
            <w:vAlign w:val="center"/>
            <w:hideMark/>
          </w:tcPr>
          <w:p w14:paraId="180BC32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356CE31C" w14:textId="77777777" w:rsidTr="0021321C">
        <w:trPr>
          <w:trHeight w:val="180"/>
          <w:jc w:val="center"/>
        </w:trPr>
        <w:tc>
          <w:tcPr>
            <w:tcW w:w="388" w:type="dxa"/>
            <w:tcBorders>
              <w:top w:val="nil"/>
              <w:left w:val="nil"/>
              <w:bottom w:val="nil"/>
              <w:right w:val="nil"/>
            </w:tcBorders>
            <w:shd w:val="clear" w:color="000000" w:fill="FFFFFF"/>
            <w:vAlign w:val="bottom"/>
            <w:hideMark/>
          </w:tcPr>
          <w:p w14:paraId="6EB4BCD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6BEB21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CC4138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92DC1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B5FE3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8B7DE7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70DDDC6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3.3.1.3</w:t>
            </w:r>
          </w:p>
        </w:tc>
        <w:tc>
          <w:tcPr>
            <w:tcW w:w="563" w:type="dxa"/>
            <w:tcBorders>
              <w:top w:val="nil"/>
              <w:left w:val="nil"/>
              <w:bottom w:val="single" w:sz="4" w:space="0" w:color="auto"/>
              <w:right w:val="single" w:sz="4" w:space="0" w:color="auto"/>
            </w:tcBorders>
            <w:shd w:val="clear" w:color="000000" w:fill="FFFFFF"/>
            <w:vAlign w:val="center"/>
            <w:hideMark/>
          </w:tcPr>
          <w:p w14:paraId="0A5E756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Vrojtimi i Transportit Rrugor të Malrave</w:t>
            </w:r>
          </w:p>
        </w:tc>
        <w:tc>
          <w:tcPr>
            <w:tcW w:w="446" w:type="dxa"/>
            <w:tcBorders>
              <w:top w:val="nil"/>
              <w:left w:val="nil"/>
              <w:bottom w:val="single" w:sz="4" w:space="0" w:color="auto"/>
              <w:right w:val="single" w:sz="4" w:space="0" w:color="auto"/>
            </w:tcBorders>
            <w:shd w:val="clear" w:color="000000" w:fill="FFFFFF"/>
            <w:vAlign w:val="center"/>
            <w:hideMark/>
          </w:tcPr>
          <w:p w14:paraId="64CBAE0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000000" w:fill="FFFFFF"/>
            <w:noWrap/>
            <w:vAlign w:val="center"/>
            <w:hideMark/>
          </w:tcPr>
          <w:p w14:paraId="74E08E7F"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65C7884F"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000000" w:fill="FFFFFF"/>
            <w:vAlign w:val="center"/>
            <w:hideMark/>
          </w:tcPr>
          <w:p w14:paraId="32C5276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000000" w:fill="FFFFFF"/>
            <w:vAlign w:val="center"/>
            <w:hideMark/>
          </w:tcPr>
          <w:p w14:paraId="50845E3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single" w:sz="4" w:space="0" w:color="auto"/>
              <w:left w:val="nil"/>
              <w:bottom w:val="nil"/>
              <w:right w:val="single" w:sz="4" w:space="0" w:color="auto"/>
            </w:tcBorders>
            <w:shd w:val="clear" w:color="000000" w:fill="FFFFFF"/>
            <w:vAlign w:val="center"/>
            <w:hideMark/>
          </w:tcPr>
          <w:p w14:paraId="011E999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000000" w:fill="FFFFFF"/>
            <w:vAlign w:val="center"/>
            <w:hideMark/>
          </w:tcPr>
          <w:p w14:paraId="0DF68E72" w14:textId="7537024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000000" w:fill="FFFFFF"/>
            <w:vAlign w:val="center"/>
            <w:hideMark/>
          </w:tcPr>
          <w:p w14:paraId="46C3706D" w14:textId="41FD6B4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52BCCFB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T+ 10</w:t>
            </w:r>
          </w:p>
        </w:tc>
        <w:tc>
          <w:tcPr>
            <w:tcW w:w="385" w:type="dxa"/>
            <w:tcBorders>
              <w:top w:val="nil"/>
              <w:left w:val="nil"/>
              <w:bottom w:val="single" w:sz="4" w:space="0" w:color="auto"/>
              <w:right w:val="single" w:sz="4" w:space="0" w:color="auto"/>
            </w:tcBorders>
            <w:shd w:val="clear" w:color="000000" w:fill="FFFFFF"/>
            <w:vAlign w:val="center"/>
            <w:hideMark/>
          </w:tcPr>
          <w:p w14:paraId="307A686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T+40</w:t>
            </w:r>
          </w:p>
        </w:tc>
        <w:tc>
          <w:tcPr>
            <w:tcW w:w="361" w:type="dxa"/>
            <w:tcBorders>
              <w:top w:val="nil"/>
              <w:left w:val="nil"/>
              <w:bottom w:val="single" w:sz="4" w:space="0" w:color="auto"/>
              <w:right w:val="single" w:sz="4" w:space="0" w:color="auto"/>
            </w:tcBorders>
            <w:shd w:val="clear" w:color="000000" w:fill="FFFFFF"/>
            <w:vAlign w:val="center"/>
            <w:hideMark/>
          </w:tcPr>
          <w:p w14:paraId="630493C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41A6415D" w14:textId="53A14773"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1. Vonesa/mosmarrja e marrjes së skedarit nga burimet administrative </w:t>
            </w:r>
            <w:r w:rsidR="008A3DCB"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krijimin e </w:t>
            </w:r>
            <w:r w:rsidRPr="004F2AC3">
              <w:rPr>
                <w:rFonts w:ascii="Garamond" w:eastAsia="Times New Roman" w:hAnsi="Garamond" w:cs="Times New Roman"/>
                <w:i/>
                <w:sz w:val="10"/>
                <w:szCs w:val="10"/>
                <w:lang w:eastAsia="sq-AL"/>
              </w:rPr>
              <w:t>sample</w:t>
            </w:r>
            <w:r w:rsidRPr="004F2AC3">
              <w:rPr>
                <w:rFonts w:ascii="Garamond" w:eastAsia="Times New Roman" w:hAnsi="Garamond" w:cs="Times New Roman"/>
                <w:sz w:val="10"/>
                <w:szCs w:val="10"/>
                <w:lang w:eastAsia="sq-AL"/>
              </w:rPr>
              <w:t xml:space="preserve"> </w:t>
            </w:r>
            <w:r w:rsidR="008A3DCB" w:rsidRPr="004F2AC3">
              <w:rPr>
                <w:rFonts w:ascii="Garamond" w:eastAsia="Times New Roman" w:hAnsi="Garamond" w:cs="Times New Roman"/>
                <w:sz w:val="10"/>
                <w:szCs w:val="10"/>
                <w:lang w:eastAsia="sq-AL"/>
              </w:rPr>
              <w:t>për</w:t>
            </w:r>
            <w:r w:rsidRPr="004F2AC3">
              <w:rPr>
                <w:rFonts w:ascii="Garamond" w:eastAsia="Times New Roman" w:hAnsi="Garamond" w:cs="Times New Roman"/>
                <w:sz w:val="10"/>
                <w:szCs w:val="10"/>
                <w:lang w:eastAsia="sq-AL"/>
              </w:rPr>
              <w:t xml:space="preserve"> hedhjen e anket</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s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terren</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-|- 9</w:t>
            </w:r>
            <w:r w:rsidRPr="004F2AC3">
              <w:rPr>
                <w:rFonts w:ascii="Garamond" w:eastAsia="Times New Roman" w:hAnsi="Garamond" w:cs="Times New Roman"/>
                <w:sz w:val="10"/>
                <w:szCs w:val="10"/>
                <w:lang w:eastAsia="sq-AL"/>
              </w:rPr>
              <w:br/>
              <w:t>2. Mosrespektimi i afateve të vrojtimit në terren. -|- 2</w:t>
            </w:r>
            <w:r w:rsidRPr="004F2AC3">
              <w:rPr>
                <w:rFonts w:ascii="Garamond" w:eastAsia="Times New Roman" w:hAnsi="Garamond" w:cs="Times New Roman"/>
                <w:sz w:val="10"/>
                <w:szCs w:val="10"/>
                <w:lang w:eastAsia="sq-AL"/>
              </w:rPr>
              <w:br/>
              <w:t>3. Informacion jo i plotë, i pa-</w:t>
            </w:r>
            <w:r w:rsidR="008A3DCB" w:rsidRPr="004F2AC3">
              <w:rPr>
                <w:rFonts w:ascii="Garamond" w:eastAsia="Times New Roman" w:hAnsi="Garamond" w:cs="Times New Roman"/>
                <w:sz w:val="10"/>
                <w:szCs w:val="10"/>
                <w:lang w:eastAsia="sq-AL"/>
              </w:rPr>
              <w:t>standardizuar</w:t>
            </w:r>
            <w:r w:rsidRPr="004F2AC3">
              <w:rPr>
                <w:rFonts w:ascii="Garamond" w:eastAsia="Times New Roman" w:hAnsi="Garamond" w:cs="Times New Roman"/>
                <w:sz w:val="10"/>
                <w:szCs w:val="10"/>
                <w:lang w:eastAsia="sq-AL"/>
              </w:rPr>
              <w:t>, me gabime -|- 2</w:t>
            </w:r>
          </w:p>
        </w:tc>
        <w:tc>
          <w:tcPr>
            <w:tcW w:w="551" w:type="dxa"/>
            <w:tcBorders>
              <w:top w:val="nil"/>
              <w:left w:val="nil"/>
              <w:bottom w:val="single" w:sz="4" w:space="0" w:color="auto"/>
              <w:right w:val="single" w:sz="4" w:space="0" w:color="auto"/>
            </w:tcBorders>
            <w:shd w:val="clear" w:color="000000" w:fill="FFFFFF"/>
            <w:vAlign w:val="center"/>
            <w:hideMark/>
          </w:tcPr>
          <w:p w14:paraId="2226613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0247AD9C" w14:textId="77777777" w:rsidTr="0021321C">
        <w:trPr>
          <w:trHeight w:val="180"/>
          <w:jc w:val="center"/>
        </w:trPr>
        <w:tc>
          <w:tcPr>
            <w:tcW w:w="388" w:type="dxa"/>
            <w:tcBorders>
              <w:top w:val="nil"/>
              <w:left w:val="nil"/>
              <w:bottom w:val="nil"/>
              <w:right w:val="nil"/>
            </w:tcBorders>
            <w:shd w:val="clear" w:color="000000" w:fill="FFFFFF"/>
            <w:vAlign w:val="bottom"/>
            <w:hideMark/>
          </w:tcPr>
          <w:p w14:paraId="2D51785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983AE2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BBBE4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243A5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683F02B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3.3.2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545956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mbi sigurinë në rrugë</w:t>
            </w:r>
          </w:p>
        </w:tc>
      </w:tr>
      <w:tr w:rsidR="00C73163" w:rsidRPr="004F2AC3" w14:paraId="1AA690B5" w14:textId="77777777" w:rsidTr="0021321C">
        <w:trPr>
          <w:trHeight w:val="180"/>
          <w:jc w:val="center"/>
        </w:trPr>
        <w:tc>
          <w:tcPr>
            <w:tcW w:w="388" w:type="dxa"/>
            <w:tcBorders>
              <w:top w:val="nil"/>
              <w:left w:val="nil"/>
              <w:bottom w:val="nil"/>
              <w:right w:val="nil"/>
            </w:tcBorders>
            <w:shd w:val="clear" w:color="000000" w:fill="FFFFFF"/>
            <w:vAlign w:val="bottom"/>
            <w:hideMark/>
          </w:tcPr>
          <w:p w14:paraId="12DBEE9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A5C3A0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F2AC0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62CF97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66C2D2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F0D8EA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46269A2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3.3.2.1</w:t>
            </w:r>
          </w:p>
        </w:tc>
        <w:tc>
          <w:tcPr>
            <w:tcW w:w="563" w:type="dxa"/>
            <w:tcBorders>
              <w:top w:val="nil"/>
              <w:left w:val="nil"/>
              <w:bottom w:val="single" w:sz="4" w:space="0" w:color="auto"/>
              <w:right w:val="single" w:sz="4" w:space="0" w:color="auto"/>
            </w:tcBorders>
            <w:shd w:val="clear" w:color="auto" w:fill="auto"/>
            <w:vAlign w:val="center"/>
            <w:hideMark/>
          </w:tcPr>
          <w:p w14:paraId="51F56D6A" w14:textId="479E39B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sigurisë në transport</w:t>
            </w:r>
          </w:p>
        </w:tc>
        <w:tc>
          <w:tcPr>
            <w:tcW w:w="446" w:type="dxa"/>
            <w:tcBorders>
              <w:top w:val="nil"/>
              <w:left w:val="nil"/>
              <w:bottom w:val="single" w:sz="4" w:space="0" w:color="auto"/>
              <w:right w:val="single" w:sz="4" w:space="0" w:color="auto"/>
            </w:tcBorders>
            <w:shd w:val="clear" w:color="auto" w:fill="auto"/>
            <w:vAlign w:val="center"/>
            <w:hideMark/>
          </w:tcPr>
          <w:p w14:paraId="4F7356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16D4A68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770620A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412062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1263C77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nil"/>
              <w:right w:val="single" w:sz="4" w:space="0" w:color="auto"/>
            </w:tcBorders>
            <w:shd w:val="clear" w:color="000000" w:fill="FFFFFF"/>
            <w:vAlign w:val="center"/>
            <w:hideMark/>
          </w:tcPr>
          <w:p w14:paraId="18E72B7F" w14:textId="27DFBB9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Numri i aksidenteve sipas ditëve të javës (ditë jave dhe ditë fundjave);</w:t>
            </w:r>
            <w:r w:rsidRPr="004F2AC3">
              <w:rPr>
                <w:rFonts w:ascii="Garamond" w:eastAsia="Times New Roman" w:hAnsi="Garamond" w:cs="Times New Roman"/>
                <w:color w:val="000000"/>
                <w:sz w:val="10"/>
                <w:szCs w:val="10"/>
                <w:lang w:eastAsia="sq-AL"/>
              </w:rPr>
              <w:br/>
              <w:t>2. Numri i aksidenteve sipas rrugëve (autostradë, interurbane, urbane, lokale dhe të tjera);</w:t>
            </w:r>
            <w:r w:rsidRPr="004F2AC3">
              <w:rPr>
                <w:rFonts w:ascii="Garamond" w:eastAsia="Times New Roman" w:hAnsi="Garamond" w:cs="Times New Roman"/>
                <w:color w:val="000000"/>
                <w:sz w:val="10"/>
                <w:szCs w:val="10"/>
                <w:lang w:eastAsia="sq-AL"/>
              </w:rPr>
              <w:br/>
              <w:t>3. Numri i aksidenteve sipas shkakut (sjellja e drejtuesit të mjetit dhe këmbësorëve);</w:t>
            </w:r>
            <w:r w:rsidRPr="004F2AC3">
              <w:rPr>
                <w:rFonts w:ascii="Garamond" w:eastAsia="Times New Roman" w:hAnsi="Garamond" w:cs="Times New Roman"/>
                <w:color w:val="000000"/>
                <w:sz w:val="10"/>
                <w:szCs w:val="10"/>
                <w:lang w:eastAsia="sq-AL"/>
              </w:rPr>
              <w:br/>
              <w:t>4. Numri i aksidenteve sipas gjeometrisë së rrugës;</w:t>
            </w:r>
            <w:r w:rsidRPr="004F2AC3">
              <w:rPr>
                <w:rFonts w:ascii="Garamond" w:eastAsia="Times New Roman" w:hAnsi="Garamond" w:cs="Times New Roman"/>
                <w:color w:val="000000"/>
                <w:sz w:val="10"/>
                <w:szCs w:val="10"/>
                <w:lang w:eastAsia="sq-AL"/>
              </w:rPr>
              <w:br/>
              <w:t>5. Numri i personave të aksidentuar;</w:t>
            </w:r>
            <w:r w:rsidRPr="004F2AC3">
              <w:rPr>
                <w:rFonts w:ascii="Garamond" w:eastAsia="Times New Roman" w:hAnsi="Garamond" w:cs="Times New Roman"/>
                <w:color w:val="000000"/>
                <w:sz w:val="10"/>
                <w:szCs w:val="10"/>
                <w:lang w:eastAsia="sq-AL"/>
              </w:rPr>
              <w:br/>
              <w:t>6. Numri i</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të vdekurve;</w:t>
            </w:r>
            <w:r w:rsidRPr="004F2AC3">
              <w:rPr>
                <w:rFonts w:ascii="Garamond" w:eastAsia="Times New Roman" w:hAnsi="Garamond" w:cs="Times New Roman"/>
                <w:color w:val="000000"/>
                <w:sz w:val="10"/>
                <w:szCs w:val="10"/>
                <w:lang w:eastAsia="sq-AL"/>
              </w:rPr>
              <w:br/>
              <w:t>7. Numri i aksidenteve rrugore sipas moshës së drejtuesit;</w:t>
            </w:r>
            <w:r w:rsidRPr="004F2AC3">
              <w:rPr>
                <w:rFonts w:ascii="Garamond" w:eastAsia="Times New Roman" w:hAnsi="Garamond" w:cs="Times New Roman"/>
                <w:color w:val="000000"/>
                <w:sz w:val="10"/>
                <w:szCs w:val="10"/>
                <w:lang w:eastAsia="sq-AL"/>
              </w:rPr>
              <w:br/>
              <w:t>8. Numri i të plagosurve;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9. Numri i aksidenteve sipas qarqeve;</w:t>
            </w:r>
          </w:p>
        </w:tc>
        <w:tc>
          <w:tcPr>
            <w:tcW w:w="554" w:type="dxa"/>
            <w:tcBorders>
              <w:top w:val="nil"/>
              <w:left w:val="nil"/>
              <w:bottom w:val="single" w:sz="4" w:space="0" w:color="auto"/>
              <w:right w:val="single" w:sz="4" w:space="0" w:color="auto"/>
            </w:tcBorders>
            <w:shd w:val="clear" w:color="auto" w:fill="auto"/>
            <w:vAlign w:val="center"/>
            <w:hideMark/>
          </w:tcPr>
          <w:p w14:paraId="777C5AC2" w14:textId="4287448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Drejtoria e Përgjithshme e Policisë</w:t>
            </w:r>
          </w:p>
        </w:tc>
        <w:tc>
          <w:tcPr>
            <w:tcW w:w="413" w:type="dxa"/>
            <w:tcBorders>
              <w:top w:val="nil"/>
              <w:left w:val="nil"/>
              <w:bottom w:val="single" w:sz="4" w:space="0" w:color="auto"/>
              <w:right w:val="single" w:sz="4" w:space="0" w:color="auto"/>
            </w:tcBorders>
            <w:shd w:val="clear" w:color="auto" w:fill="auto"/>
            <w:vAlign w:val="center"/>
            <w:hideMark/>
          </w:tcPr>
          <w:p w14:paraId="78B2CA72" w14:textId="2E5A99C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7E0D6EE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+ 10D</w:t>
            </w:r>
          </w:p>
        </w:tc>
        <w:tc>
          <w:tcPr>
            <w:tcW w:w="385" w:type="dxa"/>
            <w:tcBorders>
              <w:top w:val="nil"/>
              <w:left w:val="nil"/>
              <w:bottom w:val="single" w:sz="4" w:space="0" w:color="auto"/>
              <w:right w:val="single" w:sz="4" w:space="0" w:color="auto"/>
            </w:tcBorders>
            <w:shd w:val="clear" w:color="auto" w:fill="auto"/>
            <w:vAlign w:val="center"/>
            <w:hideMark/>
          </w:tcPr>
          <w:p w14:paraId="6465492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M+ 24D</w:t>
            </w:r>
          </w:p>
        </w:tc>
        <w:tc>
          <w:tcPr>
            <w:tcW w:w="361" w:type="dxa"/>
            <w:tcBorders>
              <w:top w:val="nil"/>
              <w:left w:val="nil"/>
              <w:bottom w:val="single" w:sz="4" w:space="0" w:color="auto"/>
              <w:right w:val="single" w:sz="4" w:space="0" w:color="auto"/>
            </w:tcBorders>
            <w:shd w:val="clear" w:color="auto" w:fill="auto"/>
            <w:vAlign w:val="center"/>
            <w:hideMark/>
          </w:tcPr>
          <w:p w14:paraId="1CB4028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M+ 27D</w:t>
            </w:r>
          </w:p>
        </w:tc>
        <w:tc>
          <w:tcPr>
            <w:tcW w:w="732" w:type="dxa"/>
            <w:tcBorders>
              <w:top w:val="nil"/>
              <w:left w:val="nil"/>
              <w:bottom w:val="single" w:sz="4" w:space="0" w:color="auto"/>
              <w:right w:val="single" w:sz="4" w:space="0" w:color="auto"/>
            </w:tcBorders>
            <w:shd w:val="clear" w:color="auto" w:fill="auto"/>
            <w:vAlign w:val="center"/>
            <w:hideMark/>
          </w:tcPr>
          <w:p w14:paraId="40D2F3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në marrjen e të dhënave nga burimet administrative -|- 6</w:t>
            </w:r>
          </w:p>
        </w:tc>
        <w:tc>
          <w:tcPr>
            <w:tcW w:w="551" w:type="dxa"/>
            <w:tcBorders>
              <w:top w:val="nil"/>
              <w:left w:val="nil"/>
              <w:bottom w:val="single" w:sz="4" w:space="0" w:color="auto"/>
              <w:right w:val="single" w:sz="4" w:space="0" w:color="auto"/>
            </w:tcBorders>
            <w:shd w:val="clear" w:color="auto" w:fill="auto"/>
            <w:vAlign w:val="center"/>
            <w:hideMark/>
          </w:tcPr>
          <w:p w14:paraId="77E4ABF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4CEB2A80" w14:textId="77777777" w:rsidTr="0021321C">
        <w:trPr>
          <w:trHeight w:val="180"/>
          <w:jc w:val="center"/>
        </w:trPr>
        <w:tc>
          <w:tcPr>
            <w:tcW w:w="388" w:type="dxa"/>
            <w:tcBorders>
              <w:top w:val="nil"/>
              <w:left w:val="nil"/>
              <w:bottom w:val="nil"/>
              <w:right w:val="nil"/>
            </w:tcBorders>
            <w:shd w:val="clear" w:color="000000" w:fill="FFFFFF"/>
            <w:vAlign w:val="bottom"/>
            <w:hideMark/>
          </w:tcPr>
          <w:p w14:paraId="030A1F0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655675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056A9B5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65D58F6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Turizmi</w:t>
            </w:r>
          </w:p>
        </w:tc>
      </w:tr>
      <w:tr w:rsidR="0021321C" w:rsidRPr="004F2AC3" w14:paraId="7651660B" w14:textId="77777777" w:rsidTr="0021321C">
        <w:trPr>
          <w:trHeight w:val="180"/>
          <w:jc w:val="center"/>
        </w:trPr>
        <w:tc>
          <w:tcPr>
            <w:tcW w:w="388" w:type="dxa"/>
            <w:tcBorders>
              <w:top w:val="nil"/>
              <w:left w:val="nil"/>
              <w:bottom w:val="nil"/>
              <w:right w:val="nil"/>
            </w:tcBorders>
            <w:shd w:val="clear" w:color="000000" w:fill="FFFFFF"/>
            <w:vAlign w:val="bottom"/>
            <w:hideMark/>
          </w:tcPr>
          <w:p w14:paraId="74CA40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E118E9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298B8D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7F7AC2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0393454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3D5A61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Turizmit -ana e ofertës</w:t>
            </w:r>
          </w:p>
        </w:tc>
      </w:tr>
      <w:tr w:rsidR="00C73163" w:rsidRPr="004F2AC3" w14:paraId="4BD3B2D5" w14:textId="77777777" w:rsidTr="0021321C">
        <w:trPr>
          <w:trHeight w:val="180"/>
          <w:jc w:val="center"/>
        </w:trPr>
        <w:tc>
          <w:tcPr>
            <w:tcW w:w="388" w:type="dxa"/>
            <w:tcBorders>
              <w:top w:val="nil"/>
              <w:left w:val="nil"/>
              <w:bottom w:val="nil"/>
              <w:right w:val="nil"/>
            </w:tcBorders>
            <w:shd w:val="clear" w:color="000000" w:fill="FFFFFF"/>
            <w:vAlign w:val="bottom"/>
            <w:hideMark/>
          </w:tcPr>
          <w:p w14:paraId="2BC49BD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09BA46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DFE01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4809A7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4B326D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7E4FA5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5665A4D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3.4.1.1</w:t>
            </w:r>
          </w:p>
        </w:tc>
        <w:tc>
          <w:tcPr>
            <w:tcW w:w="563" w:type="dxa"/>
            <w:tcBorders>
              <w:top w:val="nil"/>
              <w:left w:val="nil"/>
              <w:bottom w:val="single" w:sz="4" w:space="0" w:color="auto"/>
              <w:right w:val="single" w:sz="4" w:space="0" w:color="auto"/>
            </w:tcBorders>
            <w:shd w:val="clear" w:color="auto" w:fill="auto"/>
            <w:vAlign w:val="center"/>
            <w:hideMark/>
          </w:tcPr>
          <w:p w14:paraId="1471AA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Strukturave Akomoduese</w:t>
            </w:r>
          </w:p>
        </w:tc>
        <w:tc>
          <w:tcPr>
            <w:tcW w:w="446" w:type="dxa"/>
            <w:tcBorders>
              <w:top w:val="nil"/>
              <w:left w:val="nil"/>
              <w:bottom w:val="single" w:sz="4" w:space="0" w:color="auto"/>
              <w:right w:val="single" w:sz="4" w:space="0" w:color="auto"/>
            </w:tcBorders>
            <w:shd w:val="clear" w:color="auto" w:fill="auto"/>
            <w:vAlign w:val="center"/>
            <w:hideMark/>
          </w:tcPr>
          <w:p w14:paraId="67B5BE0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4248CEA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7E2D36B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2798AD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27498DF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nil"/>
              <w:right w:val="single" w:sz="4" w:space="0" w:color="auto"/>
            </w:tcBorders>
            <w:shd w:val="clear" w:color="000000" w:fill="FFFFFF"/>
            <w:vAlign w:val="center"/>
            <w:hideMark/>
          </w:tcPr>
          <w:p w14:paraId="4BD746F1" w14:textId="12178EC4"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1. Numri i </w:t>
            </w:r>
            <w:r w:rsidR="00C73163" w:rsidRPr="004F2AC3">
              <w:rPr>
                <w:rFonts w:ascii="Garamond" w:eastAsia="Times New Roman" w:hAnsi="Garamond" w:cs="Times New Roman"/>
                <w:sz w:val="10"/>
                <w:szCs w:val="10"/>
                <w:lang w:eastAsia="sq-AL"/>
              </w:rPr>
              <w:t xml:space="preserve">strukturave </w:t>
            </w:r>
            <w:r w:rsidRPr="004F2AC3">
              <w:rPr>
                <w:rFonts w:ascii="Garamond" w:eastAsia="Times New Roman" w:hAnsi="Garamond" w:cs="Times New Roman"/>
                <w:sz w:val="10"/>
                <w:szCs w:val="10"/>
                <w:lang w:eastAsia="sq-AL"/>
              </w:rPr>
              <w:t>akomoduese dhe të ngjashme</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Numri i dhomave</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Numri i shtretërve</w:t>
            </w:r>
            <w:r w:rsidRPr="004F2AC3">
              <w:rPr>
                <w:rFonts w:ascii="Garamond" w:eastAsia="Times New Roman" w:hAnsi="Garamond" w:cs="Times New Roman"/>
                <w:sz w:val="10"/>
                <w:szCs w:val="10"/>
                <w:lang w:eastAsia="sq-AL"/>
              </w:rPr>
              <w:br/>
              <w:t>Numri i vizitorëve rezident</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4. Numri i vizitorëve </w:t>
            </w:r>
            <w:r w:rsidR="00D449AF" w:rsidRPr="004F2AC3">
              <w:rPr>
                <w:rFonts w:ascii="Garamond" w:eastAsia="Times New Roman" w:hAnsi="Garamond" w:cs="Times New Roman"/>
                <w:sz w:val="10"/>
                <w:szCs w:val="10"/>
                <w:lang w:eastAsia="sq-AL"/>
              </w:rPr>
              <w:t>jo</w:t>
            </w:r>
            <w:r w:rsidRPr="004F2AC3">
              <w:rPr>
                <w:rFonts w:ascii="Garamond" w:eastAsia="Times New Roman" w:hAnsi="Garamond" w:cs="Times New Roman"/>
                <w:sz w:val="10"/>
                <w:szCs w:val="10"/>
                <w:lang w:eastAsia="sq-AL"/>
              </w:rPr>
              <w:t>rezident</w:t>
            </w:r>
            <w:r w:rsidR="00C73163" w:rsidRPr="004F2AC3">
              <w:rPr>
                <w:rFonts w:ascii="Garamond" w:eastAsia="Times New Roman" w:hAnsi="Garamond" w:cs="Times New Roman"/>
                <w:sz w:val="10"/>
                <w:szCs w:val="10"/>
                <w:lang w:eastAsia="sq-AL"/>
              </w:rPr>
              <w:t>;</w:t>
            </w:r>
            <w:r w:rsidR="008A3DCB" w:rsidRPr="004F2AC3">
              <w:rPr>
                <w:rFonts w:ascii="Garamond" w:eastAsia="Times New Roman" w:hAnsi="Garamond" w:cs="Times New Roman"/>
                <w:sz w:val="10"/>
                <w:szCs w:val="10"/>
                <w:lang w:eastAsia="sq-AL"/>
              </w:rPr>
              <w:br/>
              <w:t>5. Numri i netë</w:t>
            </w:r>
            <w:r w:rsidRPr="004F2AC3">
              <w:rPr>
                <w:rFonts w:ascii="Garamond" w:eastAsia="Times New Roman" w:hAnsi="Garamond" w:cs="Times New Roman"/>
                <w:sz w:val="10"/>
                <w:szCs w:val="10"/>
                <w:lang w:eastAsia="sq-AL"/>
              </w:rPr>
              <w:t>qëndrime nga rezident</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r>
            <w:r w:rsidR="008A3DCB" w:rsidRPr="004F2AC3">
              <w:rPr>
                <w:rFonts w:ascii="Garamond" w:eastAsia="Times New Roman" w:hAnsi="Garamond" w:cs="Times New Roman"/>
                <w:sz w:val="10"/>
                <w:szCs w:val="10"/>
                <w:lang w:eastAsia="sq-AL"/>
              </w:rPr>
              <w:t>6. Numri i netë</w:t>
            </w:r>
            <w:r w:rsidR="00D449AF" w:rsidRPr="004F2AC3">
              <w:rPr>
                <w:rFonts w:ascii="Garamond" w:eastAsia="Times New Roman" w:hAnsi="Garamond" w:cs="Times New Roman"/>
                <w:sz w:val="10"/>
                <w:szCs w:val="10"/>
                <w:lang w:eastAsia="sq-AL"/>
              </w:rPr>
              <w:t>qëndrime nga jo</w:t>
            </w:r>
            <w:r w:rsidRPr="004F2AC3">
              <w:rPr>
                <w:rFonts w:ascii="Garamond" w:eastAsia="Times New Roman" w:hAnsi="Garamond" w:cs="Times New Roman"/>
                <w:sz w:val="10"/>
                <w:szCs w:val="10"/>
                <w:lang w:eastAsia="sq-AL"/>
              </w:rPr>
              <w:t>rezident</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7. Norma neto e shfrytëzimit të dhomave</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8. Norma neto e shfrytëzimit të shtretërve</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9. Tregues lidhur me punësimin në ndërmarrjet q</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w:t>
            </w:r>
            <w:r w:rsidR="008A3DCB" w:rsidRPr="004F2AC3">
              <w:rPr>
                <w:rFonts w:ascii="Garamond" w:eastAsia="Times New Roman" w:hAnsi="Garamond" w:cs="Times New Roman"/>
                <w:sz w:val="10"/>
                <w:szCs w:val="10"/>
                <w:lang w:eastAsia="sq-AL"/>
              </w:rPr>
              <w:t>operojnë</w:t>
            </w:r>
            <w:r w:rsidRPr="004F2AC3">
              <w:rPr>
                <w:rFonts w:ascii="Garamond" w:eastAsia="Times New Roman" w:hAnsi="Garamond" w:cs="Times New Roman"/>
                <w:sz w:val="10"/>
                <w:szCs w:val="10"/>
                <w:lang w:eastAsia="sq-AL"/>
              </w:rPr>
              <w:t xml:space="preserve"> në fushën e turizmit</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10. Tipologjia e vendeve të punës (me kohë të plotë, me kohë të pjesshme, sezonale, etj.)</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11. Prania dhe niveli i zbatimit të veprimeve të qëndrueshme (ndryshimi i klimës, menaxhimi i mbetjeve, redu</w:t>
            </w:r>
            <w:r w:rsidR="00C73163" w:rsidRPr="004F2AC3">
              <w:rPr>
                <w:rFonts w:ascii="Garamond" w:eastAsia="Times New Roman" w:hAnsi="Garamond" w:cs="Times New Roman"/>
                <w:sz w:val="10"/>
                <w:szCs w:val="10"/>
                <w:lang w:eastAsia="sq-AL"/>
              </w:rPr>
              <w:t>ktimi i konsumit të ujit, etj.).</w:t>
            </w:r>
          </w:p>
        </w:tc>
        <w:tc>
          <w:tcPr>
            <w:tcW w:w="554" w:type="dxa"/>
            <w:tcBorders>
              <w:top w:val="nil"/>
              <w:left w:val="nil"/>
              <w:bottom w:val="single" w:sz="4" w:space="0" w:color="auto"/>
              <w:right w:val="single" w:sz="4" w:space="0" w:color="auto"/>
            </w:tcBorders>
            <w:shd w:val="clear" w:color="auto" w:fill="auto"/>
            <w:vAlign w:val="center"/>
            <w:hideMark/>
          </w:tcPr>
          <w:p w14:paraId="1CC97713" w14:textId="1135AE8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77E9E07A" w14:textId="27DEAF4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62559A9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M+ 16D</w:t>
            </w:r>
          </w:p>
        </w:tc>
        <w:tc>
          <w:tcPr>
            <w:tcW w:w="385" w:type="dxa"/>
            <w:tcBorders>
              <w:top w:val="nil"/>
              <w:left w:val="nil"/>
              <w:bottom w:val="single" w:sz="4" w:space="0" w:color="auto"/>
              <w:right w:val="single" w:sz="4" w:space="0" w:color="auto"/>
            </w:tcBorders>
            <w:shd w:val="clear" w:color="auto" w:fill="auto"/>
            <w:vAlign w:val="center"/>
            <w:hideMark/>
          </w:tcPr>
          <w:p w14:paraId="0918467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M+ 40D</w:t>
            </w:r>
          </w:p>
        </w:tc>
        <w:tc>
          <w:tcPr>
            <w:tcW w:w="361" w:type="dxa"/>
            <w:tcBorders>
              <w:top w:val="nil"/>
              <w:left w:val="nil"/>
              <w:bottom w:val="single" w:sz="4" w:space="0" w:color="auto"/>
              <w:right w:val="single" w:sz="4" w:space="0" w:color="auto"/>
            </w:tcBorders>
            <w:shd w:val="clear" w:color="auto" w:fill="auto"/>
            <w:vAlign w:val="center"/>
            <w:hideMark/>
          </w:tcPr>
          <w:p w14:paraId="0354BC4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M+ 44D</w:t>
            </w:r>
          </w:p>
        </w:tc>
        <w:tc>
          <w:tcPr>
            <w:tcW w:w="732" w:type="dxa"/>
            <w:tcBorders>
              <w:top w:val="nil"/>
              <w:left w:val="nil"/>
              <w:bottom w:val="single" w:sz="4" w:space="0" w:color="auto"/>
              <w:right w:val="single" w:sz="4" w:space="0" w:color="auto"/>
            </w:tcBorders>
            <w:shd w:val="clear" w:color="auto" w:fill="auto"/>
            <w:vAlign w:val="center"/>
            <w:hideMark/>
          </w:tcPr>
          <w:p w14:paraId="64C85A64" w14:textId="5CF1BA2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Moszbatimi në kohë i kalendarit të publikimeve statistikore dhe përditësimit të materialeve në </w:t>
            </w:r>
            <w:r w:rsidRPr="004F2AC3">
              <w:rPr>
                <w:rFonts w:ascii="Garamond" w:eastAsia="Times New Roman" w:hAnsi="Garamond" w:cs="Times New Roman"/>
                <w:i/>
                <w:color w:val="000000"/>
                <w:sz w:val="10"/>
                <w:szCs w:val="10"/>
                <w:lang w:eastAsia="sq-AL"/>
              </w:rPr>
              <w:t>web</w:t>
            </w:r>
            <w:r w:rsidRPr="004F2AC3">
              <w:rPr>
                <w:rFonts w:ascii="Garamond" w:eastAsia="Times New Roman" w:hAnsi="Garamond" w:cs="Times New Roman"/>
                <w:color w:val="000000"/>
                <w:sz w:val="10"/>
                <w:szCs w:val="10"/>
                <w:lang w:eastAsia="sq-AL"/>
              </w:rPr>
              <w:t xml:space="preserve">, e cila sjell si pasojë mungesën e informacionit për përdoruesit dhe </w:t>
            </w:r>
            <w:r w:rsidR="008A3DCB" w:rsidRPr="004F2AC3">
              <w:rPr>
                <w:rFonts w:ascii="Garamond" w:eastAsia="Times New Roman" w:hAnsi="Garamond" w:cs="Times New Roman"/>
                <w:color w:val="000000"/>
                <w:sz w:val="10"/>
                <w:szCs w:val="10"/>
                <w:lang w:eastAsia="sq-AL"/>
              </w:rPr>
              <w:t>cenimin</w:t>
            </w:r>
            <w:r w:rsidRPr="004F2AC3">
              <w:rPr>
                <w:rFonts w:ascii="Garamond" w:eastAsia="Times New Roman" w:hAnsi="Garamond" w:cs="Times New Roman"/>
                <w:color w:val="000000"/>
                <w:sz w:val="10"/>
                <w:szCs w:val="10"/>
                <w:lang w:eastAsia="sq-AL"/>
              </w:rPr>
              <w:t xml:space="preserve"> e imazhit të INSTAT. -|- 3</w:t>
            </w:r>
            <w:r w:rsidRPr="004F2AC3">
              <w:rPr>
                <w:rFonts w:ascii="Garamond" w:eastAsia="Times New Roman" w:hAnsi="Garamond" w:cs="Times New Roman"/>
                <w:color w:val="000000"/>
                <w:sz w:val="10"/>
                <w:szCs w:val="10"/>
                <w:lang w:eastAsia="sq-AL"/>
              </w:rPr>
              <w:br/>
              <w:t>2. Gabime në përllogaritje e treguesve, e cila sjell si pasojë mos shpërndarja në cilësi të rezultateve të treguesve statistikorë -|- 2</w:t>
            </w:r>
            <w:r w:rsidRPr="004F2AC3">
              <w:rPr>
                <w:rFonts w:ascii="Garamond" w:eastAsia="Times New Roman" w:hAnsi="Garamond" w:cs="Times New Roman"/>
                <w:color w:val="000000"/>
                <w:sz w:val="10"/>
                <w:szCs w:val="10"/>
                <w:lang w:eastAsia="sq-AL"/>
              </w:rPr>
              <w:br/>
              <w:t>3. Pezullimi/vonesa e mbledhjes, prodhimit dhe shpërndarjes të statistikave zyr</w:t>
            </w:r>
            <w:r w:rsidR="005B3A9C" w:rsidRPr="004F2AC3">
              <w:rPr>
                <w:rFonts w:ascii="Garamond" w:eastAsia="Times New Roman" w:hAnsi="Garamond" w:cs="Times New Roman"/>
                <w:color w:val="000000"/>
                <w:sz w:val="10"/>
                <w:szCs w:val="10"/>
                <w:lang w:eastAsia="sq-AL"/>
              </w:rPr>
              <w:t>tare nga fatkeqësitë natyrore/</w:t>
            </w:r>
            <w:r w:rsidRPr="004F2AC3">
              <w:rPr>
                <w:rFonts w:ascii="Garamond" w:eastAsia="Times New Roman" w:hAnsi="Garamond" w:cs="Times New Roman"/>
                <w:color w:val="000000"/>
                <w:sz w:val="10"/>
                <w:szCs w:val="10"/>
                <w:lang w:eastAsia="sq-AL"/>
              </w:rPr>
              <w:t>pandemi globale, e cila sjell si pasojë mos publikimin në kohë të rezultateve të vrojtimit. -|- 5</w:t>
            </w:r>
            <w:r w:rsidRPr="004F2AC3">
              <w:rPr>
                <w:rFonts w:ascii="Garamond" w:eastAsia="Times New Roman" w:hAnsi="Garamond" w:cs="Times New Roman"/>
                <w:color w:val="000000"/>
                <w:sz w:val="10"/>
                <w:szCs w:val="10"/>
                <w:lang w:eastAsia="sq-AL"/>
              </w:rPr>
              <w:br/>
              <w:t>4. Mosevidentimi dhe realizimi i detyrave të përditshme të sektorit, e cila sjell si pasojë ngadalësim të proceseve të punës. -|- 4</w:t>
            </w:r>
            <w:r w:rsidRPr="004F2AC3">
              <w:rPr>
                <w:rFonts w:ascii="Garamond" w:eastAsia="Times New Roman" w:hAnsi="Garamond" w:cs="Times New Roman"/>
                <w:color w:val="000000"/>
                <w:sz w:val="10"/>
                <w:szCs w:val="10"/>
                <w:lang w:eastAsia="sq-AL"/>
              </w:rPr>
              <w:br/>
              <w:t>5. Mosfunksionimi i metodave të reja të IT për mbledhjen e të dhënave në vrojtimet mujore, e cila sjell si pasojë mos publikimin në kohë të rezultateve të vrojtimit. -|- 4</w:t>
            </w:r>
            <w:r w:rsidRPr="004F2AC3">
              <w:rPr>
                <w:rFonts w:ascii="Garamond" w:eastAsia="Times New Roman" w:hAnsi="Garamond" w:cs="Times New Roman"/>
                <w:color w:val="000000"/>
                <w:sz w:val="10"/>
                <w:szCs w:val="10"/>
                <w:lang w:eastAsia="sq-AL"/>
              </w:rPr>
              <w:br/>
              <w:t>6. Lëvizja e stafit me eksperiencë nga sektori, e cila sjell si pasojë ndërprerje/ngadalësim të proceseve të punës. -|- 5</w:t>
            </w:r>
            <w:r w:rsidRPr="004F2AC3">
              <w:rPr>
                <w:rFonts w:ascii="Garamond" w:eastAsia="Times New Roman" w:hAnsi="Garamond" w:cs="Times New Roman"/>
                <w:color w:val="000000"/>
                <w:sz w:val="10"/>
                <w:szCs w:val="10"/>
                <w:lang w:eastAsia="sq-AL"/>
              </w:rPr>
              <w:br/>
              <w:t>7. Mungesa e trajnimeve për stafin, e cila sjell si pasojë uljen e cilësisë dhe gabime në proceset e punës. -|- 4</w:t>
            </w:r>
            <w:r w:rsidRPr="004F2AC3">
              <w:rPr>
                <w:rFonts w:ascii="Garamond" w:eastAsia="Times New Roman" w:hAnsi="Garamond" w:cs="Times New Roman"/>
                <w:color w:val="000000"/>
                <w:sz w:val="10"/>
                <w:szCs w:val="10"/>
                <w:lang w:eastAsia="sq-AL"/>
              </w:rPr>
              <w:br/>
              <w:t>8. Moszhvillimi i sistemeve të informacionit dhe web-services, e cila sjell si pasojë përdorimin e sistemeve aktuale dhe mospërmirësim të ngarkesës së ndërmarrjes. -|- 6</w:t>
            </w:r>
            <w:r w:rsidRPr="004F2AC3">
              <w:rPr>
                <w:rFonts w:ascii="Garamond" w:eastAsia="Times New Roman" w:hAnsi="Garamond" w:cs="Times New Roman"/>
                <w:color w:val="000000"/>
                <w:sz w:val="10"/>
                <w:szCs w:val="10"/>
                <w:lang w:eastAsia="sq-AL"/>
              </w:rPr>
              <w:br/>
              <w:t>9. Mosfunksionimi i metodave dhe mospasja e suportit për automatizimin e proceseve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prodhimit statistikor, e cila sjell si pasojë ngadalësim e procesit të automatizimit. -|- 3</w:t>
            </w:r>
          </w:p>
        </w:tc>
        <w:tc>
          <w:tcPr>
            <w:tcW w:w="551" w:type="dxa"/>
            <w:tcBorders>
              <w:top w:val="nil"/>
              <w:left w:val="nil"/>
              <w:bottom w:val="single" w:sz="4" w:space="0" w:color="auto"/>
              <w:right w:val="single" w:sz="4" w:space="0" w:color="auto"/>
            </w:tcBorders>
            <w:shd w:val="clear" w:color="auto" w:fill="auto"/>
            <w:vAlign w:val="center"/>
            <w:hideMark/>
          </w:tcPr>
          <w:p w14:paraId="7540A3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1B717EAA" w14:textId="77777777" w:rsidTr="0021321C">
        <w:trPr>
          <w:trHeight w:val="180"/>
          <w:jc w:val="center"/>
        </w:trPr>
        <w:tc>
          <w:tcPr>
            <w:tcW w:w="388" w:type="dxa"/>
            <w:tcBorders>
              <w:top w:val="nil"/>
              <w:left w:val="nil"/>
              <w:bottom w:val="nil"/>
              <w:right w:val="nil"/>
            </w:tcBorders>
            <w:shd w:val="clear" w:color="000000" w:fill="FFFFFF"/>
            <w:vAlign w:val="bottom"/>
            <w:hideMark/>
          </w:tcPr>
          <w:p w14:paraId="13807BC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31A734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8C5B5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3CFC9C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557BF96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01BF4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Turizmit - ana e Kerkeses</w:t>
            </w:r>
          </w:p>
        </w:tc>
      </w:tr>
      <w:tr w:rsidR="00C73163" w:rsidRPr="004F2AC3" w14:paraId="4EA924C6" w14:textId="77777777" w:rsidTr="0021321C">
        <w:trPr>
          <w:trHeight w:val="180"/>
          <w:jc w:val="center"/>
        </w:trPr>
        <w:tc>
          <w:tcPr>
            <w:tcW w:w="388" w:type="dxa"/>
            <w:tcBorders>
              <w:top w:val="nil"/>
              <w:left w:val="nil"/>
              <w:bottom w:val="nil"/>
              <w:right w:val="nil"/>
            </w:tcBorders>
            <w:shd w:val="clear" w:color="000000" w:fill="FFFFFF"/>
            <w:vAlign w:val="bottom"/>
            <w:hideMark/>
          </w:tcPr>
          <w:p w14:paraId="6C15101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F16C4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78412F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0D859C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6F935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1868C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CDAC2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3.4.2.1</w:t>
            </w:r>
          </w:p>
        </w:tc>
        <w:tc>
          <w:tcPr>
            <w:tcW w:w="5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51CF00" w14:textId="04EFE20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Anketa e Turizmit në Familje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Pushime dhe Udhëtime</w:t>
            </w:r>
            <w:r w:rsidR="00D32864" w:rsidRPr="004F2AC3">
              <w:rPr>
                <w:rFonts w:ascii="Garamond" w:eastAsia="Times New Roman" w:hAnsi="Garamond" w:cs="Times New Roman"/>
                <w:color w:val="000000"/>
                <w:sz w:val="10"/>
                <w:szCs w:val="10"/>
                <w:lang w:eastAsia="sq-AL"/>
              </w:rPr>
              <w:t>”</w:t>
            </w:r>
          </w:p>
        </w:tc>
        <w:tc>
          <w:tcPr>
            <w:tcW w:w="4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4F7EF86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0BA91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62708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83EC7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129F7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nil"/>
              <w:right w:val="single" w:sz="4" w:space="0" w:color="auto"/>
            </w:tcBorders>
            <w:shd w:val="clear" w:color="000000" w:fill="FFFFFF"/>
            <w:hideMark/>
          </w:tcPr>
          <w:p w14:paraId="5F7D6296" w14:textId="69488AA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Numri i personave rezidentë mbi 15 vjeç që marrin pjesë në turizëm për qëllime personale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Numri i personave rezidentë mbi 15 vjeç që marrin pjesë në turizëm për qëllime personale, vetëm për udhëtimet brenda vendit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Numri i personave rezidentë mbi 15 vjeç që marrin pjesë në turizëm për qëllime personale, vetëm për udhëtimet jashtë vendit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Numri i personave rezidentë mbi 15 vjeç që marrin pjesë në turizëm për qëllime personale, vetëm për udhëtimet e shkurtra/një ditore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Numri i personave rezidentë mbi 15 vjeç që marrin pjesë në turizëm për qëllime personale, vetëm për udhëtimet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Numri i personave rezidentë mbi 15 vjeç që marrin pjesë në turizëm për qëllime personale, vetëm për udhëtimet e gjata brenda vendit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Numri i personave rezidentë mbi 15 vjeç që marrin pjesë në turizëm për qëllime personale, për udhëtimet jashtë vendit,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Numri i personave rezidente mbi 15 vjeç që marrin pjesë në turizëm për qëllime personale, vetëm për udhëtimet e gjata brenda dhe jashtë vendit sipas gjinisë dhe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Numri i udhëtimeve dhe shuma e netëve të qëndrimit sipas muajit të nisjes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Shpërndarja e numrit të udhëtimeve sipas qëllimit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Shpërndarja sipas qëllimit të udhëtimeve brenda dhe jashtë Shqipërisë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Shpërndarja e udhëtimeve sipas kohëzgjatjes brenda dhe jashtë Shqipërisë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Shpërndarja e udhëtimeve sipas qëllimit, kohëzgjatjes brenda dhe jashtë Shqipërisë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Shpërndarja e udhëtimeve sipas grup-moshës brenda dhe jashtë Shqipërisë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Shpërndarja e udhëtimeve sipas gjinisë brenda dhe jashtë Shqipërisë</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Shpërndarja e udhëtimeve sipas grup-moshës dhe kohëzgjatjes</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17. Përqindja e udhëtimeve sipas destinacioneve më të frekuentuara në Shqipëri dhe jashtë sajë</w:t>
            </w:r>
            <w:r w:rsidR="00C73163" w:rsidRPr="004F2AC3">
              <w:rPr>
                <w:rFonts w:ascii="Garamond" w:eastAsia="Times New Roman" w:hAnsi="Garamond" w:cs="Times New Roman"/>
                <w:color w:val="000000"/>
                <w:sz w:val="10"/>
                <w:szCs w:val="10"/>
                <w:lang w:eastAsia="sq-AL"/>
              </w:rPr>
              <w:t>;</w:t>
            </w:r>
          </w:p>
        </w:tc>
        <w:tc>
          <w:tcPr>
            <w:tcW w:w="55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3C0F1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1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1B2C0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47530D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V+29D (Për 2025)</w:t>
            </w:r>
            <w:r w:rsidRPr="004F2AC3">
              <w:rPr>
                <w:rFonts w:ascii="Garamond" w:eastAsia="Times New Roman" w:hAnsi="Garamond" w:cs="Times New Roman"/>
                <w:color w:val="000000"/>
                <w:sz w:val="10"/>
                <w:szCs w:val="10"/>
                <w:lang w:eastAsia="sq-AL"/>
              </w:rPr>
              <w:br/>
              <w:t>V+29D (Për 2026)</w:t>
            </w:r>
          </w:p>
        </w:tc>
        <w:tc>
          <w:tcPr>
            <w:tcW w:w="38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DF33D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V+166D (Për 2025)</w:t>
            </w:r>
          </w:p>
        </w:tc>
        <w:tc>
          <w:tcPr>
            <w:tcW w:w="3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3D5B95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V+180D (Për 2025)</w:t>
            </w:r>
          </w:p>
        </w:tc>
        <w:tc>
          <w:tcPr>
            <w:tcW w:w="73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343BD0" w14:textId="190A07F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rgatitja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koh</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e programit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mbledhjes</w:t>
            </w:r>
            <w:r w:rsidR="007B55C4" w:rsidRPr="004F2AC3">
              <w:rPr>
                <w:rFonts w:ascii="Garamond" w:eastAsia="Times New Roman" w:hAnsi="Garamond" w:cs="Times New Roman"/>
                <w:color w:val="000000"/>
                <w:sz w:val="10"/>
                <w:szCs w:val="10"/>
                <w:lang w:eastAsia="sq-AL"/>
              </w:rPr>
              <w:t xml:space="preserve"> së të</w:t>
            </w:r>
            <w:r w:rsidRPr="004F2AC3">
              <w:rPr>
                <w:rFonts w:ascii="Garamond" w:eastAsia="Times New Roman" w:hAnsi="Garamond" w:cs="Times New Roman"/>
                <w:color w:val="000000"/>
                <w:sz w:val="10"/>
                <w:szCs w:val="10"/>
                <w:lang w:eastAsia="sq-AL"/>
              </w:rPr>
              <w:t xml:space="preserve"> </w:t>
            </w:r>
            <w:r w:rsidR="008A3DCB" w:rsidRPr="004F2AC3">
              <w:rPr>
                <w:rFonts w:ascii="Garamond" w:eastAsia="Times New Roman" w:hAnsi="Garamond" w:cs="Times New Roman"/>
                <w:color w:val="000000"/>
                <w:sz w:val="10"/>
                <w:szCs w:val="10"/>
                <w:lang w:eastAsia="sq-AL"/>
              </w:rPr>
              <w:t>dhënave</w:t>
            </w:r>
            <w:r w:rsidRPr="004F2AC3">
              <w:rPr>
                <w:rFonts w:ascii="Garamond" w:eastAsia="Times New Roman" w:hAnsi="Garamond" w:cs="Times New Roman"/>
                <w:color w:val="000000"/>
                <w:sz w:val="10"/>
                <w:szCs w:val="10"/>
                <w:lang w:eastAsia="sq-AL"/>
              </w:rPr>
              <w:t xml:space="preserve"> p</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r vitin referues -|- 3</w:t>
            </w:r>
          </w:p>
        </w:tc>
        <w:tc>
          <w:tcPr>
            <w:tcW w:w="55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E7620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44564633" w14:textId="77777777" w:rsidTr="0021321C">
        <w:trPr>
          <w:trHeight w:val="180"/>
          <w:jc w:val="center"/>
        </w:trPr>
        <w:tc>
          <w:tcPr>
            <w:tcW w:w="388" w:type="dxa"/>
            <w:tcBorders>
              <w:top w:val="nil"/>
              <w:left w:val="nil"/>
              <w:bottom w:val="nil"/>
              <w:right w:val="nil"/>
            </w:tcBorders>
            <w:shd w:val="clear" w:color="000000" w:fill="FFFFFF"/>
            <w:vAlign w:val="bottom"/>
            <w:hideMark/>
          </w:tcPr>
          <w:p w14:paraId="49F4A58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97F37E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091AA6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F4254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EA8307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55804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auto"/>
              <w:right w:val="single" w:sz="4" w:space="0" w:color="auto"/>
            </w:tcBorders>
            <w:vAlign w:val="center"/>
            <w:hideMark/>
          </w:tcPr>
          <w:p w14:paraId="7CB8F4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auto"/>
              <w:right w:val="single" w:sz="4" w:space="0" w:color="auto"/>
            </w:tcBorders>
            <w:vAlign w:val="center"/>
            <w:hideMark/>
          </w:tcPr>
          <w:p w14:paraId="5E91A2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auto"/>
              <w:right w:val="single" w:sz="4" w:space="0" w:color="auto"/>
            </w:tcBorders>
            <w:vAlign w:val="center"/>
            <w:hideMark/>
          </w:tcPr>
          <w:p w14:paraId="14139FA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auto"/>
              <w:right w:val="single" w:sz="4" w:space="0" w:color="auto"/>
            </w:tcBorders>
            <w:vAlign w:val="center"/>
            <w:hideMark/>
          </w:tcPr>
          <w:p w14:paraId="4FE0A86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01" w:type="dxa"/>
            <w:vMerge/>
            <w:tcBorders>
              <w:top w:val="nil"/>
              <w:left w:val="single" w:sz="4" w:space="0" w:color="auto"/>
              <w:bottom w:val="single" w:sz="4" w:space="0" w:color="auto"/>
              <w:right w:val="single" w:sz="4" w:space="0" w:color="auto"/>
            </w:tcBorders>
            <w:vAlign w:val="center"/>
            <w:hideMark/>
          </w:tcPr>
          <w:p w14:paraId="78A85B7D"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426" w:type="dxa"/>
            <w:vMerge/>
            <w:tcBorders>
              <w:top w:val="nil"/>
              <w:left w:val="single" w:sz="4" w:space="0" w:color="auto"/>
              <w:bottom w:val="single" w:sz="4" w:space="0" w:color="auto"/>
              <w:right w:val="single" w:sz="4" w:space="0" w:color="auto"/>
            </w:tcBorders>
            <w:vAlign w:val="center"/>
            <w:hideMark/>
          </w:tcPr>
          <w:p w14:paraId="6DCACA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17D45A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single" w:sz="4" w:space="0" w:color="auto"/>
            </w:tcBorders>
            <w:shd w:val="clear" w:color="000000" w:fill="FFFFFF"/>
            <w:hideMark/>
          </w:tcPr>
          <w:p w14:paraId="489F88A2" w14:textId="29AA2A9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18. Përqindja e udhëtimeve sipas destinacioneve më të frekuentuara në Shqipëri dhe tremujorëve për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Pushime dhe kohë të lirë</w:t>
            </w:r>
            <w:r w:rsidR="00D32864" w:rsidRPr="004F2AC3">
              <w:rPr>
                <w:rFonts w:ascii="Garamond" w:eastAsia="Times New Roman" w:hAnsi="Garamond" w:cs="Times New Roman"/>
                <w:color w:val="000000"/>
                <w:sz w:val="10"/>
                <w:szCs w:val="10"/>
                <w:lang w:eastAsia="sq-AL"/>
              </w:rPr>
              <w: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19. Shpërndarja udhëtimeve sipas llojit të akomodimit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Shpërndarja e udhëtimeve brenda dhe jashtë Shqipërisë sipas llojit të akomodimit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21. Shpërndarja udhëtimeve brenda dhe jashtë Shqipërisë sipas qëllimit dhe llojit të akomodimit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22. Shpërndarja e udhëtimeve brenda Shqipërisë (sipas qarqeve) dhe llojit të akomodimit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23. Shpërndarja udhëtimeve sipas mënyrës së transportit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24. Format e rezervimit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25. Shpërndarja e udhëtimeve një ditore (vajtje-ardhje) sipas tremujorëve dhe qëllimit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26. Shpërndarja udhëtimeve brenda dhe jashtë Shqipërisë sipas vendit të origjinës</w:t>
            </w:r>
            <w:r w:rsidR="00C73163"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auto"/>
              <w:right w:val="single" w:sz="4" w:space="0" w:color="auto"/>
            </w:tcBorders>
            <w:vAlign w:val="center"/>
            <w:hideMark/>
          </w:tcPr>
          <w:p w14:paraId="2B497CE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auto"/>
              <w:right w:val="single" w:sz="4" w:space="0" w:color="auto"/>
            </w:tcBorders>
            <w:vAlign w:val="center"/>
            <w:hideMark/>
          </w:tcPr>
          <w:p w14:paraId="3D4A744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auto"/>
              <w:right w:val="single" w:sz="4" w:space="0" w:color="auto"/>
            </w:tcBorders>
            <w:vAlign w:val="center"/>
            <w:hideMark/>
          </w:tcPr>
          <w:p w14:paraId="6C5B9C0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auto"/>
              <w:right w:val="single" w:sz="4" w:space="0" w:color="auto"/>
            </w:tcBorders>
            <w:vAlign w:val="center"/>
            <w:hideMark/>
          </w:tcPr>
          <w:p w14:paraId="117CFF3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auto"/>
              <w:right w:val="single" w:sz="4" w:space="0" w:color="auto"/>
            </w:tcBorders>
            <w:vAlign w:val="center"/>
            <w:hideMark/>
          </w:tcPr>
          <w:p w14:paraId="0358095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auto"/>
              <w:right w:val="single" w:sz="4" w:space="0" w:color="auto"/>
            </w:tcBorders>
            <w:vAlign w:val="center"/>
            <w:hideMark/>
          </w:tcPr>
          <w:p w14:paraId="636B54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auto"/>
              <w:right w:val="single" w:sz="4" w:space="0" w:color="auto"/>
            </w:tcBorders>
            <w:vAlign w:val="center"/>
            <w:hideMark/>
          </w:tcPr>
          <w:p w14:paraId="2792C3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C73163" w:rsidRPr="004F2AC3" w14:paraId="1EEE3860" w14:textId="77777777" w:rsidTr="0021321C">
        <w:trPr>
          <w:trHeight w:val="180"/>
          <w:jc w:val="center"/>
        </w:trPr>
        <w:tc>
          <w:tcPr>
            <w:tcW w:w="388" w:type="dxa"/>
            <w:tcBorders>
              <w:top w:val="nil"/>
              <w:left w:val="nil"/>
              <w:bottom w:val="nil"/>
              <w:right w:val="nil"/>
            </w:tcBorders>
            <w:shd w:val="clear" w:color="000000" w:fill="FFFFFF"/>
            <w:vAlign w:val="bottom"/>
            <w:hideMark/>
          </w:tcPr>
          <w:p w14:paraId="3CCFFCD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224075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B3B88A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5F5360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B272E9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9344F7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06D89F6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3.4.2.2</w:t>
            </w:r>
          </w:p>
        </w:tc>
        <w:tc>
          <w:tcPr>
            <w:tcW w:w="563" w:type="dxa"/>
            <w:tcBorders>
              <w:top w:val="nil"/>
              <w:left w:val="nil"/>
              <w:bottom w:val="single" w:sz="4" w:space="0" w:color="auto"/>
              <w:right w:val="single" w:sz="4" w:space="0" w:color="auto"/>
            </w:tcBorders>
            <w:shd w:val="clear" w:color="000000" w:fill="FFFFFF"/>
            <w:vAlign w:val="center"/>
            <w:hideMark/>
          </w:tcPr>
          <w:p w14:paraId="3F682E33" w14:textId="7822B4E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Anketa e vizitorëve në k</w:t>
            </w:r>
            <w:r w:rsidR="008A3DCB" w:rsidRPr="004F2AC3">
              <w:rPr>
                <w:rFonts w:ascii="Garamond" w:eastAsia="Times New Roman" w:hAnsi="Garamond" w:cs="Times New Roman"/>
                <w:color w:val="000000"/>
                <w:sz w:val="10"/>
                <w:szCs w:val="10"/>
                <w:lang w:eastAsia="sq-AL"/>
              </w:rPr>
              <w:t>roç</w:t>
            </w:r>
            <w:r w:rsidRPr="004F2AC3">
              <w:rPr>
                <w:rFonts w:ascii="Garamond" w:eastAsia="Times New Roman" w:hAnsi="Garamond" w:cs="Times New Roman"/>
                <w:color w:val="000000"/>
                <w:sz w:val="10"/>
                <w:szCs w:val="10"/>
                <w:lang w:eastAsia="sq-AL"/>
              </w:rPr>
              <w:t xml:space="preserve">era </w:t>
            </w:r>
          </w:p>
        </w:tc>
        <w:tc>
          <w:tcPr>
            <w:tcW w:w="446" w:type="dxa"/>
            <w:tcBorders>
              <w:top w:val="nil"/>
              <w:left w:val="nil"/>
              <w:bottom w:val="single" w:sz="4" w:space="0" w:color="auto"/>
              <w:right w:val="single" w:sz="4" w:space="0" w:color="auto"/>
            </w:tcBorders>
            <w:shd w:val="clear" w:color="000000" w:fill="FFFFFF"/>
            <w:vAlign w:val="center"/>
            <w:hideMark/>
          </w:tcPr>
          <w:p w14:paraId="1AC137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000000" w:fill="FFFFFF"/>
            <w:vAlign w:val="center"/>
            <w:hideMark/>
          </w:tcPr>
          <w:p w14:paraId="016A472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6538F4B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000000" w:fill="FFFFFF"/>
            <w:vAlign w:val="center"/>
            <w:hideMark/>
          </w:tcPr>
          <w:p w14:paraId="5511F8B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ri</w:t>
            </w:r>
          </w:p>
        </w:tc>
        <w:tc>
          <w:tcPr>
            <w:tcW w:w="409" w:type="dxa"/>
            <w:tcBorders>
              <w:top w:val="nil"/>
              <w:left w:val="nil"/>
              <w:bottom w:val="single" w:sz="4" w:space="0" w:color="auto"/>
              <w:right w:val="single" w:sz="4" w:space="0" w:color="auto"/>
            </w:tcBorders>
            <w:shd w:val="clear" w:color="000000" w:fill="FFFFFF"/>
            <w:vAlign w:val="center"/>
            <w:hideMark/>
          </w:tcPr>
          <w:p w14:paraId="2D80363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single" w:sz="4" w:space="0" w:color="auto"/>
              <w:left w:val="nil"/>
              <w:bottom w:val="single" w:sz="4" w:space="0" w:color="auto"/>
              <w:right w:val="single" w:sz="4" w:space="0" w:color="auto"/>
            </w:tcBorders>
            <w:shd w:val="clear" w:color="000000" w:fill="FFFFFF"/>
            <w:vAlign w:val="center"/>
            <w:hideMark/>
          </w:tcPr>
          <w:p w14:paraId="2AABACE0" w14:textId="02B2A334" w:rsidR="0021321C" w:rsidRPr="004F2AC3" w:rsidRDefault="008A3DCB"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Numri i vizitorëve të kroç</w:t>
            </w:r>
            <w:r w:rsidR="0021321C" w:rsidRPr="004F2AC3">
              <w:rPr>
                <w:rFonts w:ascii="Garamond" w:eastAsia="Times New Roman" w:hAnsi="Garamond" w:cs="Times New Roman"/>
                <w:color w:val="000000"/>
                <w:sz w:val="10"/>
                <w:szCs w:val="10"/>
                <w:lang w:eastAsia="sq-AL"/>
              </w:rPr>
              <w:t>ereve</w:t>
            </w:r>
            <w:r w:rsidR="00C73163"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2. Mesatarja e kohëzgjatjes së ndalesës në port</w:t>
            </w:r>
            <w:r w:rsidR="00C73163"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3. Shpenzimi mesatar</w:t>
            </w:r>
            <w:r w:rsidRPr="004F2AC3">
              <w:rPr>
                <w:rFonts w:ascii="Garamond" w:eastAsia="Times New Roman" w:hAnsi="Garamond" w:cs="Times New Roman"/>
                <w:color w:val="000000"/>
                <w:sz w:val="10"/>
                <w:szCs w:val="10"/>
                <w:lang w:eastAsia="sq-AL"/>
              </w:rPr>
              <w:t xml:space="preserve"> për vizitor kroç</w:t>
            </w:r>
            <w:r w:rsidR="0021321C" w:rsidRPr="004F2AC3">
              <w:rPr>
                <w:rFonts w:ascii="Garamond" w:eastAsia="Times New Roman" w:hAnsi="Garamond" w:cs="Times New Roman"/>
                <w:color w:val="000000"/>
                <w:sz w:val="10"/>
                <w:szCs w:val="10"/>
                <w:lang w:eastAsia="sq-AL"/>
              </w:rPr>
              <w:t>ere</w:t>
            </w:r>
            <w:r w:rsidR="00C73163"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4. Numri i atraksioneve/aktiviteteve</w:t>
            </w:r>
            <w:r w:rsidRPr="004F2AC3">
              <w:rPr>
                <w:rFonts w:ascii="Garamond" w:eastAsia="Times New Roman" w:hAnsi="Garamond" w:cs="Times New Roman"/>
                <w:color w:val="000000"/>
                <w:sz w:val="10"/>
                <w:szCs w:val="10"/>
                <w:lang w:eastAsia="sq-AL"/>
              </w:rPr>
              <w:t xml:space="preserve"> të kryera nga vizitorët e kroç</w:t>
            </w:r>
            <w:r w:rsidR="0021321C" w:rsidRPr="004F2AC3">
              <w:rPr>
                <w:rFonts w:ascii="Garamond" w:eastAsia="Times New Roman" w:hAnsi="Garamond" w:cs="Times New Roman"/>
                <w:color w:val="000000"/>
                <w:sz w:val="10"/>
                <w:szCs w:val="10"/>
                <w:lang w:eastAsia="sq-AL"/>
              </w:rPr>
              <w:t>ereve</w:t>
            </w:r>
            <w:r w:rsidR="00C73163"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5. Niveli i kënaqësis</w:t>
            </w:r>
            <w:r w:rsidRPr="004F2AC3">
              <w:rPr>
                <w:rFonts w:ascii="Garamond" w:eastAsia="Times New Roman" w:hAnsi="Garamond" w:cs="Times New Roman"/>
                <w:color w:val="000000"/>
                <w:sz w:val="10"/>
                <w:szCs w:val="10"/>
                <w:lang w:eastAsia="sq-AL"/>
              </w:rPr>
              <w:t>ë së vizitorëve të kroç</w:t>
            </w:r>
            <w:r w:rsidR="0021321C" w:rsidRPr="004F2AC3">
              <w:rPr>
                <w:rFonts w:ascii="Garamond" w:eastAsia="Times New Roman" w:hAnsi="Garamond" w:cs="Times New Roman"/>
                <w:color w:val="000000"/>
                <w:sz w:val="10"/>
                <w:szCs w:val="10"/>
                <w:lang w:eastAsia="sq-AL"/>
              </w:rPr>
              <w:t>ereve</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1713D44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6EC2BB5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3F9B0BB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3A1D746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vAlign w:val="center"/>
            <w:hideMark/>
          </w:tcPr>
          <w:p w14:paraId="17065B3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69E7479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68B2658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2E4D1E60" w14:textId="77777777" w:rsidTr="0021321C">
        <w:trPr>
          <w:trHeight w:val="180"/>
          <w:jc w:val="center"/>
        </w:trPr>
        <w:tc>
          <w:tcPr>
            <w:tcW w:w="388" w:type="dxa"/>
            <w:tcBorders>
              <w:top w:val="nil"/>
              <w:left w:val="nil"/>
              <w:bottom w:val="nil"/>
              <w:right w:val="nil"/>
            </w:tcBorders>
            <w:shd w:val="clear" w:color="000000" w:fill="FFFFFF"/>
            <w:vAlign w:val="bottom"/>
            <w:hideMark/>
          </w:tcPr>
          <w:p w14:paraId="33F57B2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B82CE4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42F5ED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856460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0C978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C17E7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6C18093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3.4.2.3</w:t>
            </w:r>
          </w:p>
        </w:tc>
        <w:tc>
          <w:tcPr>
            <w:tcW w:w="563" w:type="dxa"/>
            <w:tcBorders>
              <w:top w:val="nil"/>
              <w:left w:val="nil"/>
              <w:bottom w:val="single" w:sz="4" w:space="0" w:color="auto"/>
              <w:right w:val="single" w:sz="4" w:space="0" w:color="auto"/>
            </w:tcBorders>
            <w:shd w:val="clear" w:color="000000" w:fill="FFFFFF"/>
            <w:vAlign w:val="center"/>
            <w:hideMark/>
          </w:tcPr>
          <w:p w14:paraId="712556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Anketa mbi cilësinë e shërbimeve në turizëm në qarqe</w:t>
            </w:r>
          </w:p>
        </w:tc>
        <w:tc>
          <w:tcPr>
            <w:tcW w:w="446" w:type="dxa"/>
            <w:tcBorders>
              <w:top w:val="nil"/>
              <w:left w:val="nil"/>
              <w:bottom w:val="single" w:sz="4" w:space="0" w:color="auto"/>
              <w:right w:val="single" w:sz="4" w:space="0" w:color="auto"/>
            </w:tcBorders>
            <w:shd w:val="clear" w:color="000000" w:fill="FFFFFF"/>
            <w:vAlign w:val="center"/>
            <w:hideMark/>
          </w:tcPr>
          <w:p w14:paraId="4076FA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000000" w:fill="FFFFFF"/>
            <w:vAlign w:val="center"/>
            <w:hideMark/>
          </w:tcPr>
          <w:p w14:paraId="2F7B9E6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3477DFC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000000" w:fill="FFFFFF"/>
            <w:vAlign w:val="center"/>
            <w:hideMark/>
          </w:tcPr>
          <w:p w14:paraId="75D0CEC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ri</w:t>
            </w:r>
          </w:p>
        </w:tc>
        <w:tc>
          <w:tcPr>
            <w:tcW w:w="409" w:type="dxa"/>
            <w:tcBorders>
              <w:top w:val="nil"/>
              <w:left w:val="nil"/>
              <w:bottom w:val="single" w:sz="4" w:space="0" w:color="auto"/>
              <w:right w:val="single" w:sz="4" w:space="0" w:color="auto"/>
            </w:tcBorders>
            <w:shd w:val="clear" w:color="000000" w:fill="FFFFFF"/>
            <w:vAlign w:val="center"/>
            <w:hideMark/>
          </w:tcPr>
          <w:p w14:paraId="6698867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FFFFF"/>
            <w:vAlign w:val="center"/>
            <w:hideMark/>
          </w:tcPr>
          <w:p w14:paraId="046AB66F" w14:textId="08A8456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Përqindja e rezidentëve që perceptojnë ndikim pozitiv të turizmit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Përqindja e rezidentëve që perceptojnë ndikim negativ të turizmit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Përqindja e rezidentëve të kënaqur me zhvillimin e turizmit</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0CE56C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588CFD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33D95A0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345E83B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vAlign w:val="center"/>
            <w:hideMark/>
          </w:tcPr>
          <w:p w14:paraId="28F116B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440267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2B4918E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6FA116D1" w14:textId="77777777" w:rsidTr="0021321C">
        <w:trPr>
          <w:trHeight w:val="180"/>
          <w:jc w:val="center"/>
        </w:trPr>
        <w:tc>
          <w:tcPr>
            <w:tcW w:w="388" w:type="dxa"/>
            <w:tcBorders>
              <w:top w:val="nil"/>
              <w:left w:val="nil"/>
              <w:bottom w:val="nil"/>
              <w:right w:val="nil"/>
            </w:tcBorders>
            <w:shd w:val="clear" w:color="000000" w:fill="FFFFFF"/>
            <w:vAlign w:val="bottom"/>
            <w:hideMark/>
          </w:tcPr>
          <w:p w14:paraId="5F93152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89F4F9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2BC0B5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30C2C7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513015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52645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000000" w:fill="FFFFFF"/>
            <w:vAlign w:val="center"/>
            <w:hideMark/>
          </w:tcPr>
          <w:p w14:paraId="683F8A7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3.4.2.4</w:t>
            </w:r>
          </w:p>
        </w:tc>
        <w:tc>
          <w:tcPr>
            <w:tcW w:w="563" w:type="dxa"/>
            <w:tcBorders>
              <w:top w:val="nil"/>
              <w:left w:val="nil"/>
              <w:bottom w:val="single" w:sz="4" w:space="0" w:color="auto"/>
              <w:right w:val="single" w:sz="4" w:space="0" w:color="auto"/>
            </w:tcBorders>
            <w:shd w:val="clear" w:color="000000" w:fill="FFFFFF"/>
            <w:vAlign w:val="center"/>
            <w:hideMark/>
          </w:tcPr>
          <w:p w14:paraId="68AFD21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Anketa e vizitorëve hyrës</w:t>
            </w:r>
          </w:p>
        </w:tc>
        <w:tc>
          <w:tcPr>
            <w:tcW w:w="446" w:type="dxa"/>
            <w:tcBorders>
              <w:top w:val="nil"/>
              <w:left w:val="nil"/>
              <w:bottom w:val="single" w:sz="4" w:space="0" w:color="auto"/>
              <w:right w:val="single" w:sz="4" w:space="0" w:color="auto"/>
            </w:tcBorders>
            <w:shd w:val="clear" w:color="000000" w:fill="FFFFFF"/>
            <w:vAlign w:val="center"/>
            <w:hideMark/>
          </w:tcPr>
          <w:p w14:paraId="3C1CAF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000000" w:fill="FFFFFF"/>
            <w:vAlign w:val="center"/>
            <w:hideMark/>
          </w:tcPr>
          <w:p w14:paraId="3381C87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000000" w:fill="FFFFFF"/>
            <w:noWrap/>
            <w:vAlign w:val="center"/>
            <w:hideMark/>
          </w:tcPr>
          <w:p w14:paraId="14F4C3C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000000" w:fill="FFFFFF"/>
            <w:vAlign w:val="center"/>
            <w:hideMark/>
          </w:tcPr>
          <w:p w14:paraId="0D08039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ri</w:t>
            </w:r>
          </w:p>
        </w:tc>
        <w:tc>
          <w:tcPr>
            <w:tcW w:w="409" w:type="dxa"/>
            <w:tcBorders>
              <w:top w:val="nil"/>
              <w:left w:val="nil"/>
              <w:bottom w:val="single" w:sz="4" w:space="0" w:color="auto"/>
              <w:right w:val="single" w:sz="4" w:space="0" w:color="auto"/>
            </w:tcBorders>
            <w:shd w:val="clear" w:color="000000" w:fill="FFFFFF"/>
            <w:vAlign w:val="center"/>
            <w:hideMark/>
          </w:tcPr>
          <w:p w14:paraId="077D635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1098" w:type="dxa"/>
            <w:tcBorders>
              <w:top w:val="nil"/>
              <w:left w:val="nil"/>
              <w:bottom w:val="single" w:sz="4" w:space="0" w:color="auto"/>
              <w:right w:val="single" w:sz="4" w:space="0" w:color="auto"/>
            </w:tcBorders>
            <w:shd w:val="clear" w:color="000000" w:fill="FFFFFF"/>
            <w:vAlign w:val="center"/>
            <w:hideMark/>
          </w:tcPr>
          <w:p w14:paraId="7059952A" w14:textId="2E2DACB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Numri i vizitorëve hyrës (ardhjet totale ndërkombëtare)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Numri i vizitorëve sipas vendbanimit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Koha e qëndrimit (numri i netëve të qëndrimit)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Numri i vizit</w:t>
            </w:r>
            <w:r w:rsidR="00C73163" w:rsidRPr="004F2AC3">
              <w:rPr>
                <w:rFonts w:ascii="Garamond" w:eastAsia="Times New Roman" w:hAnsi="Garamond" w:cs="Times New Roman"/>
                <w:color w:val="000000"/>
                <w:sz w:val="10"/>
                <w:szCs w:val="10"/>
                <w:lang w:eastAsia="sq-AL"/>
              </w:rPr>
              <w:t>orëve sipas qëllimit të vizitës</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i/>
                <w:iCs/>
                <w:color w:val="000000"/>
                <w:sz w:val="10"/>
                <w:szCs w:val="10"/>
                <w:lang w:eastAsia="sq-AL"/>
              </w:rPr>
              <w:t>(1. Trajtim mjekësor; 2. Studim; 3. Vizita tek miq ose të afërm; 4. Për qëllime fetare; 5. Aktivitete sportive dhe kulturore; 6. Tranzit; 7. Punësim sezonal ose kufitar; 8. Takime zyrtare, negociata tregtare, ekspozita; 9. Seminare ose asistenca teknike; 10. Të tjera.)</w:t>
            </w:r>
            <w:r w:rsidR="00C73163" w:rsidRPr="004F2AC3">
              <w:rPr>
                <w:rFonts w:ascii="Garamond" w:eastAsia="Times New Roman" w:hAnsi="Garamond" w:cs="Times New Roman"/>
                <w:i/>
                <w:iCs/>
                <w:color w:val="000000"/>
                <w:sz w:val="10"/>
                <w:szCs w:val="10"/>
                <w:lang w:eastAsia="sq-AL"/>
              </w:rPr>
              <w:t>;</w:t>
            </w:r>
            <w:r w:rsidRPr="004F2AC3">
              <w:rPr>
                <w:rFonts w:ascii="Garamond" w:eastAsia="Times New Roman" w:hAnsi="Garamond" w:cs="Times New Roman"/>
                <w:color w:val="000000"/>
                <w:sz w:val="10"/>
                <w:szCs w:val="10"/>
                <w:lang w:eastAsia="sq-AL"/>
              </w:rPr>
              <w:br/>
              <w:t>5. Mjeti i transportit në hyrje (proporcioni % për ajror, tokësor, detar)</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Shpenzimi mesatar për vizitor hyrës</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37BC56C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13" w:type="dxa"/>
            <w:tcBorders>
              <w:top w:val="nil"/>
              <w:left w:val="nil"/>
              <w:bottom w:val="single" w:sz="4" w:space="0" w:color="auto"/>
              <w:right w:val="single" w:sz="4" w:space="0" w:color="auto"/>
            </w:tcBorders>
            <w:shd w:val="clear" w:color="000000" w:fill="FFFFFF"/>
            <w:vAlign w:val="center"/>
            <w:hideMark/>
          </w:tcPr>
          <w:p w14:paraId="4F5B02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66" w:type="dxa"/>
            <w:tcBorders>
              <w:top w:val="nil"/>
              <w:left w:val="nil"/>
              <w:bottom w:val="single" w:sz="4" w:space="0" w:color="auto"/>
              <w:right w:val="single" w:sz="4" w:space="0" w:color="auto"/>
            </w:tcBorders>
            <w:shd w:val="clear" w:color="000000" w:fill="FFFFFF"/>
            <w:vAlign w:val="center"/>
            <w:hideMark/>
          </w:tcPr>
          <w:p w14:paraId="716B08D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323FD31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000000" w:fill="FFFFFF"/>
            <w:vAlign w:val="center"/>
            <w:hideMark/>
          </w:tcPr>
          <w:p w14:paraId="5591D3E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000000" w:fill="FFFFFF"/>
            <w:vAlign w:val="center"/>
            <w:hideMark/>
          </w:tcPr>
          <w:p w14:paraId="567A0C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234D82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7122CF54" w14:textId="77777777" w:rsidTr="0021321C">
        <w:trPr>
          <w:trHeight w:val="180"/>
          <w:jc w:val="center"/>
        </w:trPr>
        <w:tc>
          <w:tcPr>
            <w:tcW w:w="388" w:type="dxa"/>
            <w:tcBorders>
              <w:top w:val="nil"/>
              <w:left w:val="nil"/>
              <w:bottom w:val="nil"/>
              <w:right w:val="nil"/>
            </w:tcBorders>
            <w:shd w:val="clear" w:color="000000" w:fill="FFFFFF"/>
            <w:vAlign w:val="bottom"/>
            <w:hideMark/>
          </w:tcPr>
          <w:p w14:paraId="11F550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B1593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5C7876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2A39E8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A05FF9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32ABCB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69976EA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3.4.2.5</w:t>
            </w:r>
          </w:p>
        </w:tc>
        <w:tc>
          <w:tcPr>
            <w:tcW w:w="563" w:type="dxa"/>
            <w:tcBorders>
              <w:top w:val="nil"/>
              <w:left w:val="nil"/>
              <w:bottom w:val="nil"/>
              <w:right w:val="single" w:sz="4" w:space="0" w:color="auto"/>
            </w:tcBorders>
            <w:shd w:val="clear" w:color="auto" w:fill="auto"/>
            <w:vAlign w:val="center"/>
            <w:hideMark/>
          </w:tcPr>
          <w:p w14:paraId="717E09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Anketa e Turizmit në Ndërmarrje </w:t>
            </w:r>
          </w:p>
        </w:tc>
        <w:tc>
          <w:tcPr>
            <w:tcW w:w="446" w:type="dxa"/>
            <w:tcBorders>
              <w:top w:val="nil"/>
              <w:left w:val="nil"/>
              <w:bottom w:val="nil"/>
              <w:right w:val="single" w:sz="4" w:space="0" w:color="auto"/>
            </w:tcBorders>
            <w:shd w:val="clear" w:color="auto" w:fill="auto"/>
            <w:vAlign w:val="center"/>
            <w:hideMark/>
          </w:tcPr>
          <w:p w14:paraId="0B3079B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nil"/>
              <w:right w:val="single" w:sz="4" w:space="0" w:color="auto"/>
            </w:tcBorders>
            <w:shd w:val="clear" w:color="auto" w:fill="auto"/>
            <w:vAlign w:val="center"/>
            <w:hideMark/>
          </w:tcPr>
          <w:p w14:paraId="5DB98BB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nil"/>
              <w:right w:val="single" w:sz="4" w:space="0" w:color="auto"/>
            </w:tcBorders>
            <w:shd w:val="clear" w:color="000000" w:fill="FFFFFF"/>
            <w:noWrap/>
            <w:vAlign w:val="center"/>
            <w:hideMark/>
          </w:tcPr>
          <w:p w14:paraId="3230B99A"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nil"/>
              <w:right w:val="single" w:sz="4" w:space="0" w:color="auto"/>
            </w:tcBorders>
            <w:shd w:val="clear" w:color="auto" w:fill="auto"/>
            <w:vAlign w:val="center"/>
            <w:hideMark/>
          </w:tcPr>
          <w:p w14:paraId="124D1A8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ri</w:t>
            </w:r>
          </w:p>
        </w:tc>
        <w:tc>
          <w:tcPr>
            <w:tcW w:w="409" w:type="dxa"/>
            <w:tcBorders>
              <w:top w:val="nil"/>
              <w:left w:val="nil"/>
              <w:bottom w:val="nil"/>
              <w:right w:val="single" w:sz="4" w:space="0" w:color="auto"/>
            </w:tcBorders>
            <w:shd w:val="clear" w:color="auto" w:fill="auto"/>
            <w:vAlign w:val="center"/>
            <w:hideMark/>
          </w:tcPr>
          <w:p w14:paraId="330018E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hideMark/>
          </w:tcPr>
          <w:p w14:paraId="25C8C1B8" w14:textId="13ECC3DB"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br/>
              <w:t>1.</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Tregues lidhur me punësimin në ndërmarrjet q</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operojn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sz w:val="10"/>
                <w:szCs w:val="10"/>
                <w:lang w:eastAsia="sq-AL"/>
              </w:rPr>
              <w:t xml:space="preserve"> në fushën e turizmit</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Tipologjia e vendeve të punës (me kohë të plotë, me ko</w:t>
            </w:r>
            <w:r w:rsidR="00C73163" w:rsidRPr="004F2AC3">
              <w:rPr>
                <w:rFonts w:ascii="Garamond" w:eastAsia="Times New Roman" w:hAnsi="Garamond" w:cs="Times New Roman"/>
                <w:sz w:val="10"/>
                <w:szCs w:val="10"/>
                <w:lang w:eastAsia="sq-AL"/>
              </w:rPr>
              <w:t>hë të pjesshme, sezonale, etj.);</w:t>
            </w:r>
            <w:r w:rsidRPr="004F2AC3">
              <w:rPr>
                <w:rFonts w:ascii="Garamond" w:eastAsia="Times New Roman" w:hAnsi="Garamond" w:cs="Times New Roman"/>
                <w:sz w:val="10"/>
                <w:szCs w:val="10"/>
                <w:lang w:eastAsia="sq-AL"/>
              </w:rPr>
              <w:br/>
              <w:t xml:space="preserve">3. Prania dhe niveli i zbatimit të veprimeve të qëndrueshme (ndryshimi i klimës, menaxhimi i </w:t>
            </w:r>
            <w:r w:rsidRPr="004F2AC3">
              <w:rPr>
                <w:rFonts w:ascii="Garamond" w:eastAsia="Times New Roman" w:hAnsi="Garamond" w:cs="Times New Roman"/>
                <w:sz w:val="10"/>
                <w:szCs w:val="10"/>
                <w:lang w:eastAsia="sq-AL"/>
              </w:rPr>
              <w:br/>
              <w:t>mbetjeve, redu</w:t>
            </w:r>
            <w:r w:rsidR="00C73163" w:rsidRPr="004F2AC3">
              <w:rPr>
                <w:rFonts w:ascii="Garamond" w:eastAsia="Times New Roman" w:hAnsi="Garamond" w:cs="Times New Roman"/>
                <w:sz w:val="10"/>
                <w:szCs w:val="10"/>
                <w:lang w:eastAsia="sq-AL"/>
              </w:rPr>
              <w:t>ktimi i konsumit të ujit, etj.).</w:t>
            </w:r>
          </w:p>
        </w:tc>
        <w:tc>
          <w:tcPr>
            <w:tcW w:w="554" w:type="dxa"/>
            <w:tcBorders>
              <w:top w:val="nil"/>
              <w:left w:val="nil"/>
              <w:bottom w:val="nil"/>
              <w:right w:val="single" w:sz="4" w:space="0" w:color="auto"/>
            </w:tcBorders>
            <w:shd w:val="clear" w:color="auto" w:fill="auto"/>
            <w:vAlign w:val="center"/>
            <w:hideMark/>
          </w:tcPr>
          <w:p w14:paraId="21BC7B3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13" w:type="dxa"/>
            <w:tcBorders>
              <w:top w:val="nil"/>
              <w:left w:val="nil"/>
              <w:bottom w:val="nil"/>
              <w:right w:val="single" w:sz="4" w:space="0" w:color="auto"/>
            </w:tcBorders>
            <w:shd w:val="clear" w:color="auto" w:fill="auto"/>
            <w:vAlign w:val="center"/>
            <w:hideMark/>
          </w:tcPr>
          <w:p w14:paraId="56D0093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tcBorders>
              <w:top w:val="nil"/>
              <w:left w:val="nil"/>
              <w:bottom w:val="nil"/>
              <w:right w:val="single" w:sz="4" w:space="0" w:color="auto"/>
            </w:tcBorders>
            <w:shd w:val="clear" w:color="auto" w:fill="auto"/>
            <w:vAlign w:val="center"/>
            <w:hideMark/>
          </w:tcPr>
          <w:p w14:paraId="05FE056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+ 273D</w:t>
            </w:r>
          </w:p>
        </w:tc>
        <w:tc>
          <w:tcPr>
            <w:tcW w:w="385" w:type="dxa"/>
            <w:tcBorders>
              <w:top w:val="nil"/>
              <w:left w:val="nil"/>
              <w:bottom w:val="nil"/>
              <w:right w:val="single" w:sz="4" w:space="0" w:color="auto"/>
            </w:tcBorders>
            <w:shd w:val="clear" w:color="auto" w:fill="auto"/>
            <w:vAlign w:val="center"/>
            <w:hideMark/>
          </w:tcPr>
          <w:p w14:paraId="7D212CE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+ 351D</w:t>
            </w:r>
          </w:p>
        </w:tc>
        <w:tc>
          <w:tcPr>
            <w:tcW w:w="361" w:type="dxa"/>
            <w:tcBorders>
              <w:top w:val="nil"/>
              <w:left w:val="nil"/>
              <w:bottom w:val="nil"/>
              <w:right w:val="single" w:sz="4" w:space="0" w:color="auto"/>
            </w:tcBorders>
            <w:shd w:val="clear" w:color="auto" w:fill="auto"/>
            <w:vAlign w:val="center"/>
            <w:hideMark/>
          </w:tcPr>
          <w:p w14:paraId="7CC3C15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+ 358D</w:t>
            </w:r>
          </w:p>
        </w:tc>
        <w:tc>
          <w:tcPr>
            <w:tcW w:w="732" w:type="dxa"/>
            <w:tcBorders>
              <w:top w:val="nil"/>
              <w:left w:val="nil"/>
              <w:bottom w:val="nil"/>
              <w:right w:val="single" w:sz="4" w:space="0" w:color="auto"/>
            </w:tcBorders>
            <w:shd w:val="clear" w:color="auto" w:fill="auto"/>
            <w:vAlign w:val="center"/>
            <w:hideMark/>
          </w:tcPr>
          <w:p w14:paraId="7CDD7F38" w14:textId="252AAC6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Moszbatimi në kohë i hapave dhe detyrave për kryerjen e procesit statistikor në vrojtimet vjetore, e cila sjell si pasojë mospublikimin në kohë të rezultateve të vrojtimit -|- 4</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vrojtimet statistikore e cila sjell si pasojë mosshpërndarjen në kohë e në cilësi të rezultateve të vrojtimit -|- 5</w:t>
            </w:r>
            <w:r w:rsidRPr="004F2AC3">
              <w:rPr>
                <w:rFonts w:ascii="Garamond" w:eastAsia="Times New Roman" w:hAnsi="Garamond" w:cs="Times New Roman"/>
                <w:color w:val="000000"/>
                <w:sz w:val="10"/>
                <w:szCs w:val="10"/>
                <w:lang w:eastAsia="sq-AL"/>
              </w:rPr>
              <w:br/>
              <w:t>3. Pezullimi/vonesa e mbledhjes, prodhimit dhe shpërndarjes të statistikave zyrtare nga fa</w:t>
            </w:r>
            <w:r w:rsidR="005B3A9C" w:rsidRPr="004F2AC3">
              <w:rPr>
                <w:rFonts w:ascii="Garamond" w:eastAsia="Times New Roman" w:hAnsi="Garamond" w:cs="Times New Roman"/>
                <w:color w:val="000000"/>
                <w:sz w:val="10"/>
                <w:szCs w:val="10"/>
                <w:lang w:eastAsia="sq-AL"/>
              </w:rPr>
              <w:t>tkeqësitë natyrore/</w:t>
            </w:r>
            <w:r w:rsidRPr="004F2AC3">
              <w:rPr>
                <w:rFonts w:ascii="Garamond" w:eastAsia="Times New Roman" w:hAnsi="Garamond" w:cs="Times New Roman"/>
                <w:color w:val="000000"/>
                <w:sz w:val="10"/>
                <w:szCs w:val="10"/>
                <w:lang w:eastAsia="sq-AL"/>
              </w:rPr>
              <w:t>pandemi globale, e cila sjell si pasojë mospublikimin në kohë të rezultateve të vrojtimit -|- 5</w:t>
            </w:r>
            <w:r w:rsidRPr="004F2AC3">
              <w:rPr>
                <w:rFonts w:ascii="Garamond" w:eastAsia="Times New Roman" w:hAnsi="Garamond" w:cs="Times New Roman"/>
                <w:color w:val="000000"/>
                <w:sz w:val="10"/>
                <w:szCs w:val="10"/>
                <w:lang w:eastAsia="sq-AL"/>
              </w:rPr>
              <w:br/>
              <w:t>4. Mosevidentimi dhe realizimi i detyrave të përditshme të sektorit, e cila sjell si pasojë ngadalësim të proceseve të punës -|- 5</w:t>
            </w:r>
            <w:r w:rsidRPr="004F2AC3">
              <w:rPr>
                <w:rFonts w:ascii="Garamond" w:eastAsia="Times New Roman" w:hAnsi="Garamond" w:cs="Times New Roman"/>
                <w:color w:val="000000"/>
                <w:sz w:val="10"/>
                <w:szCs w:val="10"/>
                <w:lang w:eastAsia="sq-AL"/>
              </w:rPr>
              <w:br/>
              <w:t xml:space="preserve">5. Moszbatimi në kohë i kalendarit të publikimeve statistikore dhe përditësimit të materialeve në </w:t>
            </w:r>
            <w:r w:rsidRPr="004F2AC3">
              <w:rPr>
                <w:rFonts w:ascii="Garamond" w:eastAsia="Times New Roman" w:hAnsi="Garamond" w:cs="Times New Roman"/>
                <w:i/>
                <w:color w:val="000000"/>
                <w:sz w:val="10"/>
                <w:szCs w:val="10"/>
                <w:lang w:eastAsia="sq-AL"/>
              </w:rPr>
              <w:t>web</w:t>
            </w:r>
            <w:r w:rsidRPr="004F2AC3">
              <w:rPr>
                <w:rFonts w:ascii="Garamond" w:eastAsia="Times New Roman" w:hAnsi="Garamond" w:cs="Times New Roman"/>
                <w:color w:val="000000"/>
                <w:sz w:val="10"/>
                <w:szCs w:val="10"/>
                <w:lang w:eastAsia="sq-AL"/>
              </w:rPr>
              <w:t xml:space="preserve">, e cila sjell si pasojë mungesën e informacionit për përdoruesit dhe </w:t>
            </w:r>
            <w:r w:rsidR="0070619F" w:rsidRPr="004F2AC3">
              <w:rPr>
                <w:rFonts w:ascii="Garamond" w:eastAsia="Times New Roman" w:hAnsi="Garamond" w:cs="Times New Roman"/>
                <w:color w:val="000000"/>
                <w:sz w:val="10"/>
                <w:szCs w:val="10"/>
                <w:lang w:eastAsia="sq-AL"/>
              </w:rPr>
              <w:t>cenimin</w:t>
            </w:r>
            <w:r w:rsidRPr="004F2AC3">
              <w:rPr>
                <w:rFonts w:ascii="Garamond" w:eastAsia="Times New Roman" w:hAnsi="Garamond" w:cs="Times New Roman"/>
                <w:color w:val="000000"/>
                <w:sz w:val="10"/>
                <w:szCs w:val="10"/>
                <w:lang w:eastAsia="sq-AL"/>
              </w:rPr>
              <w:t xml:space="preserve"> e imazhit të INSTAT -|- 4</w:t>
            </w:r>
            <w:r w:rsidRPr="004F2AC3">
              <w:rPr>
                <w:rFonts w:ascii="Garamond" w:eastAsia="Times New Roman" w:hAnsi="Garamond" w:cs="Times New Roman"/>
                <w:color w:val="000000"/>
                <w:sz w:val="10"/>
                <w:szCs w:val="10"/>
                <w:lang w:eastAsia="sq-AL"/>
              </w:rPr>
              <w:br/>
              <w:t>6. Gabime në përllogaritje e treguesve nga specialistët, e cila sjell si pasojë mosshpërndarjen me cilësi të rezultateve të treguesve statistikorë -|- 4</w:t>
            </w:r>
            <w:r w:rsidRPr="004F2AC3">
              <w:rPr>
                <w:rFonts w:ascii="Garamond" w:eastAsia="Times New Roman" w:hAnsi="Garamond" w:cs="Times New Roman"/>
                <w:color w:val="000000"/>
                <w:sz w:val="10"/>
                <w:szCs w:val="10"/>
                <w:lang w:eastAsia="sq-AL"/>
              </w:rPr>
              <w:br/>
              <w:t>7. Lëvizja e stafit me eksperiencë nga sektori, e cila sjell si pasojë ndërprerje/ngadalësim të proceseve të punës -|- 3</w:t>
            </w:r>
            <w:r w:rsidRPr="004F2AC3">
              <w:rPr>
                <w:rFonts w:ascii="Garamond" w:eastAsia="Times New Roman" w:hAnsi="Garamond" w:cs="Times New Roman"/>
                <w:color w:val="000000"/>
                <w:sz w:val="10"/>
                <w:szCs w:val="10"/>
                <w:lang w:eastAsia="sq-AL"/>
              </w:rPr>
              <w:br/>
              <w:t>8. Mosfunksionimi i metodave të reja të IT për mbledhjen e të dhënave në vrojtimet vjetore, e cila sjell si pasojë mospublikimin në kohë të rezultateve të vrojtimit -|- 6</w:t>
            </w:r>
          </w:p>
        </w:tc>
        <w:tc>
          <w:tcPr>
            <w:tcW w:w="551" w:type="dxa"/>
            <w:tcBorders>
              <w:top w:val="nil"/>
              <w:left w:val="nil"/>
              <w:bottom w:val="nil"/>
              <w:right w:val="single" w:sz="4" w:space="0" w:color="auto"/>
            </w:tcBorders>
            <w:shd w:val="clear" w:color="auto" w:fill="auto"/>
            <w:vAlign w:val="center"/>
            <w:hideMark/>
          </w:tcPr>
          <w:p w14:paraId="58668C5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0FA5C945" w14:textId="77777777" w:rsidTr="0021321C">
        <w:trPr>
          <w:trHeight w:val="180"/>
          <w:jc w:val="center"/>
        </w:trPr>
        <w:tc>
          <w:tcPr>
            <w:tcW w:w="388" w:type="dxa"/>
            <w:tcBorders>
              <w:top w:val="nil"/>
              <w:left w:val="nil"/>
              <w:bottom w:val="nil"/>
              <w:right w:val="nil"/>
            </w:tcBorders>
            <w:shd w:val="clear" w:color="000000" w:fill="FFFFFF"/>
            <w:vAlign w:val="bottom"/>
            <w:hideMark/>
          </w:tcPr>
          <w:p w14:paraId="5F78AE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3D1B85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F9A338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9B8A6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2BE2F21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3.4.3</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C6F29DD" w14:textId="0FC2EDD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e </w:t>
            </w:r>
            <w:r w:rsidR="00C73163" w:rsidRPr="004F2AC3">
              <w:rPr>
                <w:rFonts w:ascii="Garamond" w:eastAsia="Times New Roman" w:hAnsi="Garamond" w:cs="Times New Roman"/>
                <w:color w:val="000000"/>
                <w:sz w:val="10"/>
                <w:szCs w:val="10"/>
                <w:lang w:eastAsia="sq-AL"/>
              </w:rPr>
              <w:t>lëvizjes së shtetasve</w:t>
            </w:r>
          </w:p>
        </w:tc>
      </w:tr>
      <w:tr w:rsidR="00C73163" w:rsidRPr="004F2AC3" w14:paraId="4A7CA72A" w14:textId="77777777" w:rsidTr="0021321C">
        <w:trPr>
          <w:trHeight w:val="180"/>
          <w:jc w:val="center"/>
        </w:trPr>
        <w:tc>
          <w:tcPr>
            <w:tcW w:w="388" w:type="dxa"/>
            <w:tcBorders>
              <w:top w:val="nil"/>
              <w:left w:val="nil"/>
              <w:bottom w:val="nil"/>
              <w:right w:val="nil"/>
            </w:tcBorders>
            <w:shd w:val="clear" w:color="000000" w:fill="FFFFFF"/>
            <w:vAlign w:val="bottom"/>
            <w:hideMark/>
          </w:tcPr>
          <w:p w14:paraId="662728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74C2DF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08C877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A36C50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231E9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FD4B78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4E91104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3.4.3.1</w:t>
            </w:r>
          </w:p>
        </w:tc>
        <w:tc>
          <w:tcPr>
            <w:tcW w:w="563" w:type="dxa"/>
            <w:tcBorders>
              <w:top w:val="nil"/>
              <w:left w:val="nil"/>
              <w:bottom w:val="single" w:sz="4" w:space="0" w:color="auto"/>
              <w:right w:val="single" w:sz="4" w:space="0" w:color="auto"/>
            </w:tcBorders>
            <w:shd w:val="clear" w:color="auto" w:fill="auto"/>
            <w:vAlign w:val="center"/>
            <w:hideMark/>
          </w:tcPr>
          <w:p w14:paraId="2E2A5F0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Lëvizjes së Shtetasve</w:t>
            </w:r>
          </w:p>
        </w:tc>
        <w:tc>
          <w:tcPr>
            <w:tcW w:w="446" w:type="dxa"/>
            <w:tcBorders>
              <w:top w:val="nil"/>
              <w:left w:val="nil"/>
              <w:bottom w:val="single" w:sz="4" w:space="0" w:color="auto"/>
              <w:right w:val="single" w:sz="4" w:space="0" w:color="auto"/>
            </w:tcBorders>
            <w:shd w:val="clear" w:color="auto" w:fill="auto"/>
            <w:vAlign w:val="center"/>
            <w:hideMark/>
          </w:tcPr>
          <w:p w14:paraId="2A8BF38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560A11B4"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5B55FEC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0D1D0B91" w14:textId="47D44863"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2E516E4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nil"/>
              <w:right w:val="single" w:sz="4" w:space="0" w:color="auto"/>
            </w:tcBorders>
            <w:shd w:val="clear" w:color="auto" w:fill="auto"/>
            <w:vAlign w:val="center"/>
            <w:hideMark/>
          </w:tcPr>
          <w:p w14:paraId="050060E7" w14:textId="598EBC8B"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Hyrje shtetas total</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Dalje shtetas total</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Hyrje shtetas shqiptarë</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Dalje shtetas shqiptarë</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Hyrje shtetas të huaj</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6. Dalje shtetas të huaj</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7. Hyrjet e shtetasve të huaj sipas</w:t>
            </w:r>
            <w:r w:rsidR="00684E85" w:rsidRPr="004F2AC3">
              <w:rPr>
                <w:rFonts w:ascii="Garamond" w:eastAsia="Times New Roman" w:hAnsi="Garamond" w:cs="Times New Roman"/>
                <w:sz w:val="10"/>
                <w:szCs w:val="10"/>
                <w:lang w:eastAsia="sq-AL"/>
              </w:rPr>
              <w:t xml:space="preserve"> </w:t>
            </w:r>
            <w:r w:rsidR="00C73163" w:rsidRPr="004F2AC3">
              <w:rPr>
                <w:rFonts w:ascii="Garamond" w:eastAsia="Times New Roman" w:hAnsi="Garamond" w:cs="Times New Roman"/>
                <w:sz w:val="10"/>
                <w:szCs w:val="10"/>
                <w:lang w:eastAsia="sq-AL"/>
              </w:rPr>
              <w:t>rajoneve;</w:t>
            </w:r>
            <w:r w:rsidRPr="004F2AC3">
              <w:rPr>
                <w:rFonts w:ascii="Garamond" w:eastAsia="Times New Roman" w:hAnsi="Garamond" w:cs="Times New Roman"/>
                <w:sz w:val="10"/>
                <w:szCs w:val="10"/>
                <w:lang w:eastAsia="sq-AL"/>
              </w:rPr>
              <w:br/>
              <w:t>8. Hyrjet e shtetasve të huaj sipas qëllimit</w:t>
            </w:r>
            <w:r w:rsidR="00C73163"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9. Lëvizjet e </w:t>
            </w:r>
            <w:r w:rsidR="0070619F" w:rsidRPr="004F2AC3">
              <w:rPr>
                <w:rFonts w:ascii="Garamond" w:eastAsia="Times New Roman" w:hAnsi="Garamond" w:cs="Times New Roman"/>
                <w:sz w:val="10"/>
                <w:szCs w:val="10"/>
                <w:lang w:eastAsia="sq-AL"/>
              </w:rPr>
              <w:t>shtetasve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sipas mënyrës së udhëtimit</w:t>
            </w:r>
            <w:r w:rsidR="00C73163"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7A923FDA" w14:textId="2744241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57A88867" w14:textId="3051C10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7785BB2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M+ 10D</w:t>
            </w:r>
          </w:p>
        </w:tc>
        <w:tc>
          <w:tcPr>
            <w:tcW w:w="385" w:type="dxa"/>
            <w:tcBorders>
              <w:top w:val="nil"/>
              <w:left w:val="nil"/>
              <w:bottom w:val="single" w:sz="4" w:space="0" w:color="auto"/>
              <w:right w:val="single" w:sz="4" w:space="0" w:color="auto"/>
            </w:tcBorders>
            <w:shd w:val="clear" w:color="auto" w:fill="auto"/>
            <w:vAlign w:val="center"/>
            <w:hideMark/>
          </w:tcPr>
          <w:p w14:paraId="6069719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M+ 23D</w:t>
            </w:r>
          </w:p>
        </w:tc>
        <w:tc>
          <w:tcPr>
            <w:tcW w:w="361" w:type="dxa"/>
            <w:tcBorders>
              <w:top w:val="nil"/>
              <w:left w:val="nil"/>
              <w:bottom w:val="single" w:sz="4" w:space="0" w:color="auto"/>
              <w:right w:val="single" w:sz="4" w:space="0" w:color="auto"/>
            </w:tcBorders>
            <w:shd w:val="clear" w:color="auto" w:fill="auto"/>
            <w:vAlign w:val="center"/>
            <w:hideMark/>
          </w:tcPr>
          <w:p w14:paraId="48370D6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M+ 25D</w:t>
            </w:r>
          </w:p>
        </w:tc>
        <w:tc>
          <w:tcPr>
            <w:tcW w:w="732" w:type="dxa"/>
            <w:tcBorders>
              <w:top w:val="nil"/>
              <w:left w:val="nil"/>
              <w:bottom w:val="single" w:sz="4" w:space="0" w:color="auto"/>
              <w:right w:val="single" w:sz="4" w:space="0" w:color="auto"/>
            </w:tcBorders>
            <w:shd w:val="clear" w:color="auto" w:fill="auto"/>
            <w:vAlign w:val="center"/>
            <w:hideMark/>
          </w:tcPr>
          <w:p w14:paraId="030A5C66" w14:textId="51AFA8D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Moszbatimi në kohë i kalendarit të publikimeve statistikore dhe përditësimit të materialeve në </w:t>
            </w:r>
            <w:r w:rsidRPr="004F2AC3">
              <w:rPr>
                <w:rFonts w:ascii="Garamond" w:eastAsia="Times New Roman" w:hAnsi="Garamond" w:cs="Times New Roman"/>
                <w:i/>
                <w:color w:val="000000"/>
                <w:sz w:val="10"/>
                <w:szCs w:val="10"/>
                <w:lang w:eastAsia="sq-AL"/>
              </w:rPr>
              <w:t>web</w:t>
            </w:r>
            <w:r w:rsidRPr="004F2AC3">
              <w:rPr>
                <w:rFonts w:ascii="Garamond" w:eastAsia="Times New Roman" w:hAnsi="Garamond" w:cs="Times New Roman"/>
                <w:color w:val="000000"/>
                <w:sz w:val="10"/>
                <w:szCs w:val="10"/>
                <w:lang w:eastAsia="sq-AL"/>
              </w:rPr>
              <w:t xml:space="preserve">, e cila sjell si pasojë mungesën e informacionit për përdoruesit dhe </w:t>
            </w:r>
            <w:r w:rsidR="0070619F" w:rsidRPr="004F2AC3">
              <w:rPr>
                <w:rFonts w:ascii="Garamond" w:eastAsia="Times New Roman" w:hAnsi="Garamond" w:cs="Times New Roman"/>
                <w:color w:val="000000"/>
                <w:sz w:val="10"/>
                <w:szCs w:val="10"/>
                <w:lang w:eastAsia="sq-AL"/>
              </w:rPr>
              <w:t>cenimin</w:t>
            </w:r>
            <w:r w:rsidRPr="004F2AC3">
              <w:rPr>
                <w:rFonts w:ascii="Garamond" w:eastAsia="Times New Roman" w:hAnsi="Garamond" w:cs="Times New Roman"/>
                <w:color w:val="000000"/>
                <w:sz w:val="10"/>
                <w:szCs w:val="10"/>
                <w:lang w:eastAsia="sq-AL"/>
              </w:rPr>
              <w:t xml:space="preserve"> e imazhit të INSTAT. -|- 3</w:t>
            </w:r>
            <w:r w:rsidRPr="004F2AC3">
              <w:rPr>
                <w:rFonts w:ascii="Garamond" w:eastAsia="Times New Roman" w:hAnsi="Garamond" w:cs="Times New Roman"/>
                <w:color w:val="000000"/>
                <w:sz w:val="10"/>
                <w:szCs w:val="10"/>
                <w:lang w:eastAsia="sq-AL"/>
              </w:rPr>
              <w:br/>
              <w:t>2. Gabime në përllogaritje e treguesve, e cila sjell si pasojë mos shpërndarja në cilësi të rezultateve të treguesve statistikorë. -|- 2</w:t>
            </w:r>
            <w:r w:rsidRPr="004F2AC3">
              <w:rPr>
                <w:rFonts w:ascii="Garamond" w:eastAsia="Times New Roman" w:hAnsi="Garamond" w:cs="Times New Roman"/>
                <w:color w:val="000000"/>
                <w:sz w:val="10"/>
                <w:szCs w:val="10"/>
                <w:lang w:eastAsia="sq-AL"/>
              </w:rPr>
              <w:br/>
              <w:t>3. Pezullimi/vonesa e mbledhjes, prodhimit dhe shpërndarjes të statistikave zyrtare nga fatkeqësitë naty</w:t>
            </w:r>
            <w:r w:rsidR="005B3A9C" w:rsidRPr="004F2AC3">
              <w:rPr>
                <w:rFonts w:ascii="Garamond" w:eastAsia="Times New Roman" w:hAnsi="Garamond" w:cs="Times New Roman"/>
                <w:color w:val="000000"/>
                <w:sz w:val="10"/>
                <w:szCs w:val="10"/>
                <w:lang w:eastAsia="sq-AL"/>
              </w:rPr>
              <w:t>rore/</w:t>
            </w:r>
            <w:r w:rsidRPr="004F2AC3">
              <w:rPr>
                <w:rFonts w:ascii="Garamond" w:eastAsia="Times New Roman" w:hAnsi="Garamond" w:cs="Times New Roman"/>
                <w:color w:val="000000"/>
                <w:sz w:val="10"/>
                <w:szCs w:val="10"/>
                <w:lang w:eastAsia="sq-AL"/>
              </w:rPr>
              <w:t>pandemi globale, e cila sjell si pasojë mos publikimin në kohë të rezultateve të vrojtimit. -|- 5</w:t>
            </w:r>
            <w:r w:rsidRPr="004F2AC3">
              <w:rPr>
                <w:rFonts w:ascii="Garamond" w:eastAsia="Times New Roman" w:hAnsi="Garamond" w:cs="Times New Roman"/>
                <w:color w:val="000000"/>
                <w:sz w:val="10"/>
                <w:szCs w:val="10"/>
                <w:lang w:eastAsia="sq-AL"/>
              </w:rPr>
              <w:br/>
              <w:t>4. Mosevidentimi dhe realizimi i detyrave të përditshme të sektorit, e cila sjell si pasojë ngadalësim të proceseve të punës. -|- 4</w:t>
            </w:r>
            <w:r w:rsidRPr="004F2AC3">
              <w:rPr>
                <w:rFonts w:ascii="Garamond" w:eastAsia="Times New Roman" w:hAnsi="Garamond" w:cs="Times New Roman"/>
                <w:color w:val="000000"/>
                <w:sz w:val="10"/>
                <w:szCs w:val="10"/>
                <w:lang w:eastAsia="sq-AL"/>
              </w:rPr>
              <w:br/>
              <w:t>5. Mosfunksionimi i metodave të reja të IT për mbledhjen e të dhënave në vrojtimet mujore, e cila sjell si pasojë mos publikimin në kohë të rezultateve të vrojtimit. -|- 4</w:t>
            </w:r>
            <w:r w:rsidRPr="004F2AC3">
              <w:rPr>
                <w:rFonts w:ascii="Garamond" w:eastAsia="Times New Roman" w:hAnsi="Garamond" w:cs="Times New Roman"/>
                <w:color w:val="000000"/>
                <w:sz w:val="10"/>
                <w:szCs w:val="10"/>
                <w:lang w:eastAsia="sq-AL"/>
              </w:rPr>
              <w:br/>
              <w:t>6. Lëvizja e stafit me eksperiencë nga sektori, e cila sjell si pasojë ndërprerje/ngadalësim të proceseve të punës. -|- 6</w:t>
            </w:r>
            <w:r w:rsidRPr="004F2AC3">
              <w:rPr>
                <w:rFonts w:ascii="Garamond" w:eastAsia="Times New Roman" w:hAnsi="Garamond" w:cs="Times New Roman"/>
                <w:color w:val="000000"/>
                <w:sz w:val="10"/>
                <w:szCs w:val="10"/>
                <w:lang w:eastAsia="sq-AL"/>
              </w:rPr>
              <w:br/>
              <w:t>7. Mungesa e trajnimeve për stafin, e cila sjell si pasojë uljen e cilësisë dhe gabime në proceset e punës. -|- 4</w:t>
            </w:r>
            <w:r w:rsidRPr="004F2AC3">
              <w:rPr>
                <w:rFonts w:ascii="Garamond" w:eastAsia="Times New Roman" w:hAnsi="Garamond" w:cs="Times New Roman"/>
                <w:color w:val="000000"/>
                <w:sz w:val="10"/>
                <w:szCs w:val="10"/>
                <w:lang w:eastAsia="sq-AL"/>
              </w:rPr>
              <w:br/>
              <w:t xml:space="preserve">8. Moszhvillimi i sistemeve të informacionit dhe </w:t>
            </w:r>
            <w:r w:rsidRPr="004F2AC3">
              <w:rPr>
                <w:rFonts w:ascii="Garamond" w:eastAsia="Times New Roman" w:hAnsi="Garamond" w:cs="Times New Roman"/>
                <w:i/>
                <w:color w:val="000000"/>
                <w:sz w:val="10"/>
                <w:szCs w:val="10"/>
                <w:lang w:eastAsia="sq-AL"/>
              </w:rPr>
              <w:t>web-services</w:t>
            </w:r>
            <w:r w:rsidRPr="004F2AC3">
              <w:rPr>
                <w:rFonts w:ascii="Garamond" w:eastAsia="Times New Roman" w:hAnsi="Garamond" w:cs="Times New Roman"/>
                <w:color w:val="000000"/>
                <w:sz w:val="10"/>
                <w:szCs w:val="10"/>
                <w:lang w:eastAsia="sq-AL"/>
              </w:rPr>
              <w:t>, e cila sjell si pasojë përdorimin e sistemeve aktuale dhe mospërmirësim të ngarkesës së ndërmarrjes. -|- 6</w:t>
            </w:r>
            <w:r w:rsidRPr="004F2AC3">
              <w:rPr>
                <w:rFonts w:ascii="Garamond" w:eastAsia="Times New Roman" w:hAnsi="Garamond" w:cs="Times New Roman"/>
                <w:color w:val="000000"/>
                <w:sz w:val="10"/>
                <w:szCs w:val="10"/>
                <w:lang w:eastAsia="sq-AL"/>
              </w:rPr>
              <w:br/>
              <w:t>9. Mosfunksionimi i metodave dhe mospasja e suportit për automatizimin e proceseve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prodhimit statistikor, e cila sjell si pasojë ngadalësim e procesit të automatizimit. -|- 3</w:t>
            </w:r>
          </w:p>
        </w:tc>
        <w:tc>
          <w:tcPr>
            <w:tcW w:w="551" w:type="dxa"/>
            <w:tcBorders>
              <w:top w:val="nil"/>
              <w:left w:val="nil"/>
              <w:bottom w:val="single" w:sz="4" w:space="0" w:color="auto"/>
              <w:right w:val="single" w:sz="4" w:space="0" w:color="auto"/>
            </w:tcBorders>
            <w:shd w:val="clear" w:color="auto" w:fill="auto"/>
            <w:vAlign w:val="center"/>
            <w:hideMark/>
          </w:tcPr>
          <w:p w14:paraId="3F87741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11009B99" w14:textId="77777777" w:rsidTr="0021321C">
        <w:trPr>
          <w:trHeight w:val="180"/>
          <w:jc w:val="center"/>
        </w:trPr>
        <w:tc>
          <w:tcPr>
            <w:tcW w:w="388" w:type="dxa"/>
            <w:tcBorders>
              <w:top w:val="nil"/>
              <w:left w:val="nil"/>
              <w:bottom w:val="nil"/>
              <w:right w:val="nil"/>
            </w:tcBorders>
            <w:shd w:val="clear" w:color="000000" w:fill="FFFFFF"/>
            <w:vAlign w:val="bottom"/>
            <w:hideMark/>
          </w:tcPr>
          <w:p w14:paraId="2B25D1D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4EF3D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4921E8F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3.5</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4F408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Tregtia e Jashtme</w:t>
            </w:r>
          </w:p>
        </w:tc>
      </w:tr>
      <w:tr w:rsidR="0021321C" w:rsidRPr="004F2AC3" w14:paraId="2CAC4044" w14:textId="77777777" w:rsidTr="0021321C">
        <w:trPr>
          <w:trHeight w:val="180"/>
          <w:jc w:val="center"/>
        </w:trPr>
        <w:tc>
          <w:tcPr>
            <w:tcW w:w="388" w:type="dxa"/>
            <w:tcBorders>
              <w:top w:val="nil"/>
              <w:left w:val="nil"/>
              <w:bottom w:val="nil"/>
              <w:right w:val="nil"/>
            </w:tcBorders>
            <w:shd w:val="clear" w:color="000000" w:fill="FFFFFF"/>
            <w:vAlign w:val="bottom"/>
            <w:hideMark/>
          </w:tcPr>
          <w:p w14:paraId="5F5DFAF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372EE3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B2A7FB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871618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00B627D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3.5.1</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7225F3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Investimeve të huaja direkte dhe Tregtisë ndërkombëtare të shërbimeve</w:t>
            </w:r>
          </w:p>
        </w:tc>
      </w:tr>
      <w:tr w:rsidR="00C73163" w:rsidRPr="004F2AC3" w14:paraId="65CC215C" w14:textId="77777777" w:rsidTr="0021321C">
        <w:trPr>
          <w:trHeight w:val="180"/>
          <w:jc w:val="center"/>
        </w:trPr>
        <w:tc>
          <w:tcPr>
            <w:tcW w:w="388" w:type="dxa"/>
            <w:tcBorders>
              <w:top w:val="nil"/>
              <w:left w:val="nil"/>
              <w:bottom w:val="nil"/>
              <w:right w:val="nil"/>
            </w:tcBorders>
            <w:shd w:val="clear" w:color="000000" w:fill="FFFFFF"/>
            <w:vAlign w:val="bottom"/>
            <w:hideMark/>
          </w:tcPr>
          <w:p w14:paraId="672A29D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79540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3DA5AA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AD5AFE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2CA4A4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591187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7A64FC7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3.5.1.1</w:t>
            </w:r>
          </w:p>
        </w:tc>
        <w:tc>
          <w:tcPr>
            <w:tcW w:w="563" w:type="dxa"/>
            <w:tcBorders>
              <w:top w:val="nil"/>
              <w:left w:val="nil"/>
              <w:bottom w:val="single" w:sz="4" w:space="0" w:color="auto"/>
              <w:right w:val="single" w:sz="4" w:space="0" w:color="auto"/>
            </w:tcBorders>
            <w:shd w:val="clear" w:color="auto" w:fill="auto"/>
            <w:vAlign w:val="center"/>
            <w:hideMark/>
          </w:tcPr>
          <w:p w14:paraId="0F36AD5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tremujore të fluksit dhe stokut të Investimeve Direkte</w:t>
            </w:r>
          </w:p>
        </w:tc>
        <w:tc>
          <w:tcPr>
            <w:tcW w:w="446" w:type="dxa"/>
            <w:tcBorders>
              <w:top w:val="nil"/>
              <w:left w:val="nil"/>
              <w:bottom w:val="single" w:sz="4" w:space="0" w:color="auto"/>
              <w:right w:val="single" w:sz="4" w:space="0" w:color="auto"/>
            </w:tcBorders>
            <w:shd w:val="clear" w:color="auto" w:fill="auto"/>
            <w:vAlign w:val="center"/>
            <w:hideMark/>
          </w:tcPr>
          <w:p w14:paraId="3FA48DFD"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noWrap/>
            <w:vAlign w:val="center"/>
            <w:hideMark/>
          </w:tcPr>
          <w:p w14:paraId="26E8034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80%</w:t>
            </w:r>
          </w:p>
        </w:tc>
        <w:tc>
          <w:tcPr>
            <w:tcW w:w="301" w:type="dxa"/>
            <w:tcBorders>
              <w:top w:val="nil"/>
              <w:left w:val="nil"/>
              <w:bottom w:val="single" w:sz="4" w:space="0" w:color="auto"/>
              <w:right w:val="single" w:sz="4" w:space="0" w:color="auto"/>
            </w:tcBorders>
            <w:shd w:val="clear" w:color="auto" w:fill="auto"/>
            <w:noWrap/>
            <w:vAlign w:val="center"/>
            <w:hideMark/>
          </w:tcPr>
          <w:p w14:paraId="2DD2382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20%</w:t>
            </w:r>
          </w:p>
        </w:tc>
        <w:tc>
          <w:tcPr>
            <w:tcW w:w="426" w:type="dxa"/>
            <w:tcBorders>
              <w:top w:val="nil"/>
              <w:left w:val="nil"/>
              <w:bottom w:val="single" w:sz="4" w:space="0" w:color="auto"/>
              <w:right w:val="single" w:sz="4" w:space="0" w:color="auto"/>
            </w:tcBorders>
            <w:shd w:val="clear" w:color="auto" w:fill="auto"/>
            <w:vAlign w:val="center"/>
            <w:hideMark/>
          </w:tcPr>
          <w:p w14:paraId="74C1BC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475A6C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single" w:sz="4" w:space="0" w:color="auto"/>
              <w:right w:val="single" w:sz="4" w:space="0" w:color="auto"/>
            </w:tcBorders>
            <w:shd w:val="clear" w:color="000000" w:fill="FFFFFF"/>
            <w:vAlign w:val="center"/>
            <w:hideMark/>
          </w:tcPr>
          <w:p w14:paraId="7314189F" w14:textId="3634FD5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Statistikat e fluksit të Investimeve Direkte sipas shteteve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Statistikat e fluksit të Investimeve Direkte sipas aktivitetit ekonomik</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Statistikat e pozicionit të Investimeve Direkte sipas shteteve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Statistikat e pozicionit të Investimeve Direkte sipas aktivitetit ekonomik</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Statistikat e fluksit të Investimeve Direkte sipas shteteve dhe aktiviteteve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Statistikat e pozicionit të Investimeve Direkte sipas shteteve dhe aktiviteteve</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65018F7C" w14:textId="2D07D1B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Drej</w:t>
            </w:r>
            <w:r w:rsidR="00C73163" w:rsidRPr="004F2AC3">
              <w:rPr>
                <w:rFonts w:ascii="Garamond" w:eastAsia="Times New Roman" w:hAnsi="Garamond" w:cs="Times New Roman"/>
                <w:color w:val="000000"/>
                <w:sz w:val="10"/>
                <w:szCs w:val="10"/>
                <w:lang w:eastAsia="sq-AL"/>
              </w:rPr>
              <w:t>toria e Përgjithshme e Tatimeve;</w:t>
            </w:r>
            <w:r w:rsidRPr="004F2AC3">
              <w:rPr>
                <w:rFonts w:ascii="Garamond" w:eastAsia="Times New Roman" w:hAnsi="Garamond" w:cs="Times New Roman"/>
                <w:color w:val="000000"/>
                <w:sz w:val="10"/>
                <w:szCs w:val="10"/>
                <w:lang w:eastAsia="sq-AL"/>
              </w:rPr>
              <w:br/>
              <w:t>Autoriteti i Kërkimit Shkencor dhe Inovacionit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Agjencia Kombëtare e Burimeve Natyrore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Qendra Kombëtare 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Biznesit</w:t>
            </w:r>
          </w:p>
        </w:tc>
        <w:tc>
          <w:tcPr>
            <w:tcW w:w="413" w:type="dxa"/>
            <w:tcBorders>
              <w:top w:val="nil"/>
              <w:left w:val="nil"/>
              <w:bottom w:val="single" w:sz="4" w:space="0" w:color="auto"/>
              <w:right w:val="single" w:sz="4" w:space="0" w:color="auto"/>
            </w:tcBorders>
            <w:shd w:val="clear" w:color="auto" w:fill="auto"/>
            <w:vAlign w:val="center"/>
            <w:hideMark/>
          </w:tcPr>
          <w:p w14:paraId="07EA6E7A" w14:textId="53D17D8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Banka e </w:t>
            </w:r>
            <w:r w:rsidR="0070619F" w:rsidRPr="004F2AC3">
              <w:rPr>
                <w:rFonts w:ascii="Garamond" w:eastAsia="Times New Roman" w:hAnsi="Garamond" w:cs="Times New Roman"/>
                <w:color w:val="000000"/>
                <w:sz w:val="10"/>
                <w:szCs w:val="10"/>
                <w:lang w:eastAsia="sq-AL"/>
              </w:rPr>
              <w:t>Shqipërisë</w:t>
            </w:r>
          </w:p>
        </w:tc>
        <w:tc>
          <w:tcPr>
            <w:tcW w:w="466" w:type="dxa"/>
            <w:tcBorders>
              <w:top w:val="nil"/>
              <w:left w:val="nil"/>
              <w:bottom w:val="single" w:sz="4" w:space="0" w:color="auto"/>
              <w:right w:val="single" w:sz="4" w:space="0" w:color="auto"/>
            </w:tcBorders>
            <w:shd w:val="clear" w:color="000000" w:fill="FFFFFF"/>
            <w:vAlign w:val="center"/>
            <w:hideMark/>
          </w:tcPr>
          <w:p w14:paraId="479CFD6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+ 60D</w:t>
            </w:r>
          </w:p>
        </w:tc>
        <w:tc>
          <w:tcPr>
            <w:tcW w:w="385" w:type="dxa"/>
            <w:tcBorders>
              <w:top w:val="nil"/>
              <w:left w:val="nil"/>
              <w:bottom w:val="single" w:sz="4" w:space="0" w:color="auto"/>
              <w:right w:val="single" w:sz="4" w:space="0" w:color="auto"/>
            </w:tcBorders>
            <w:shd w:val="clear" w:color="000000" w:fill="FFFFFF"/>
            <w:vAlign w:val="center"/>
            <w:hideMark/>
          </w:tcPr>
          <w:p w14:paraId="6CB27CB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+ 80D</w:t>
            </w:r>
          </w:p>
        </w:tc>
        <w:tc>
          <w:tcPr>
            <w:tcW w:w="361" w:type="dxa"/>
            <w:tcBorders>
              <w:top w:val="nil"/>
              <w:left w:val="nil"/>
              <w:bottom w:val="single" w:sz="4" w:space="0" w:color="auto"/>
              <w:right w:val="single" w:sz="4" w:space="0" w:color="auto"/>
            </w:tcBorders>
            <w:shd w:val="clear" w:color="000000" w:fill="FFFFFF"/>
            <w:vAlign w:val="center"/>
            <w:hideMark/>
          </w:tcPr>
          <w:p w14:paraId="16681F1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+ 85D</w:t>
            </w:r>
          </w:p>
        </w:tc>
        <w:tc>
          <w:tcPr>
            <w:tcW w:w="732" w:type="dxa"/>
            <w:tcBorders>
              <w:top w:val="nil"/>
              <w:left w:val="nil"/>
              <w:bottom w:val="single" w:sz="4" w:space="0" w:color="auto"/>
              <w:right w:val="single" w:sz="4" w:space="0" w:color="auto"/>
            </w:tcBorders>
            <w:shd w:val="clear" w:color="auto" w:fill="auto"/>
            <w:vAlign w:val="center"/>
            <w:hideMark/>
          </w:tcPr>
          <w:p w14:paraId="337DE40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 së të dhënave nga burimet administrative. -|- 2</w:t>
            </w:r>
            <w:r w:rsidRPr="004F2AC3">
              <w:rPr>
                <w:rFonts w:ascii="Garamond" w:eastAsia="Times New Roman" w:hAnsi="Garamond" w:cs="Times New Roman"/>
                <w:color w:val="000000"/>
                <w:sz w:val="10"/>
                <w:szCs w:val="10"/>
                <w:lang w:eastAsia="sq-AL"/>
              </w:rPr>
              <w:br/>
              <w:t>2. Mosrespektimi i afateve të vrojtimit në terren. -|- 2</w:t>
            </w:r>
            <w:r w:rsidRPr="004F2AC3">
              <w:rPr>
                <w:rFonts w:ascii="Garamond" w:eastAsia="Times New Roman" w:hAnsi="Garamond" w:cs="Times New Roman"/>
                <w:color w:val="000000"/>
                <w:sz w:val="10"/>
                <w:szCs w:val="10"/>
                <w:lang w:eastAsia="sq-AL"/>
              </w:rPr>
              <w:br/>
              <w:t>3. Informacion jo i plotë, i pa-standartizuar, me gabime -|- 2</w:t>
            </w:r>
          </w:p>
        </w:tc>
        <w:tc>
          <w:tcPr>
            <w:tcW w:w="551" w:type="dxa"/>
            <w:tcBorders>
              <w:top w:val="nil"/>
              <w:left w:val="nil"/>
              <w:bottom w:val="single" w:sz="4" w:space="0" w:color="auto"/>
              <w:right w:val="single" w:sz="4" w:space="0" w:color="auto"/>
            </w:tcBorders>
            <w:shd w:val="clear" w:color="auto" w:fill="auto"/>
            <w:vAlign w:val="center"/>
            <w:hideMark/>
          </w:tcPr>
          <w:p w14:paraId="7FA1306F" w14:textId="2A5DC3A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Buxheti i </w:t>
            </w:r>
            <w:r w:rsidR="0070619F" w:rsidRPr="004F2AC3">
              <w:rPr>
                <w:rFonts w:ascii="Garamond" w:eastAsia="Times New Roman" w:hAnsi="Garamond" w:cs="Times New Roman"/>
                <w:color w:val="000000"/>
                <w:sz w:val="10"/>
                <w:szCs w:val="10"/>
                <w:lang w:eastAsia="sq-AL"/>
              </w:rPr>
              <w:t>Bankës</w:t>
            </w:r>
          </w:p>
        </w:tc>
      </w:tr>
      <w:tr w:rsidR="00C73163" w:rsidRPr="004F2AC3" w14:paraId="586B4665" w14:textId="77777777" w:rsidTr="0021321C">
        <w:trPr>
          <w:trHeight w:val="180"/>
          <w:jc w:val="center"/>
        </w:trPr>
        <w:tc>
          <w:tcPr>
            <w:tcW w:w="388" w:type="dxa"/>
            <w:tcBorders>
              <w:top w:val="nil"/>
              <w:left w:val="nil"/>
              <w:bottom w:val="nil"/>
              <w:right w:val="nil"/>
            </w:tcBorders>
            <w:shd w:val="clear" w:color="000000" w:fill="FFFFFF"/>
            <w:vAlign w:val="bottom"/>
            <w:hideMark/>
          </w:tcPr>
          <w:p w14:paraId="6328BD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CEE8A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63482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776A32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D5ED6D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A6468E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nil"/>
              <w:right w:val="single" w:sz="4" w:space="0" w:color="000000"/>
            </w:tcBorders>
            <w:shd w:val="clear" w:color="auto" w:fill="auto"/>
            <w:vAlign w:val="center"/>
            <w:hideMark/>
          </w:tcPr>
          <w:p w14:paraId="1919DA6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3.5.1.2</w:t>
            </w:r>
          </w:p>
        </w:tc>
        <w:tc>
          <w:tcPr>
            <w:tcW w:w="563" w:type="dxa"/>
            <w:tcBorders>
              <w:top w:val="nil"/>
              <w:left w:val="nil"/>
              <w:bottom w:val="nil"/>
              <w:right w:val="single" w:sz="4" w:space="0" w:color="000000"/>
            </w:tcBorders>
            <w:shd w:val="clear" w:color="auto" w:fill="auto"/>
            <w:vAlign w:val="center"/>
            <w:hideMark/>
          </w:tcPr>
          <w:p w14:paraId="0FDCBC39"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Tregtisë ndërkombëtare të shërbimeve</w:t>
            </w:r>
          </w:p>
        </w:tc>
        <w:tc>
          <w:tcPr>
            <w:tcW w:w="446" w:type="dxa"/>
            <w:tcBorders>
              <w:top w:val="nil"/>
              <w:left w:val="nil"/>
              <w:bottom w:val="nil"/>
              <w:right w:val="single" w:sz="4" w:space="0" w:color="000000"/>
            </w:tcBorders>
            <w:shd w:val="clear" w:color="auto" w:fill="auto"/>
            <w:vAlign w:val="center"/>
            <w:hideMark/>
          </w:tcPr>
          <w:p w14:paraId="222D9486"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noWrap/>
            <w:vAlign w:val="center"/>
            <w:hideMark/>
          </w:tcPr>
          <w:p w14:paraId="49A7ACE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80%</w:t>
            </w:r>
          </w:p>
        </w:tc>
        <w:tc>
          <w:tcPr>
            <w:tcW w:w="301" w:type="dxa"/>
            <w:tcBorders>
              <w:top w:val="nil"/>
              <w:left w:val="nil"/>
              <w:bottom w:val="single" w:sz="4" w:space="0" w:color="auto"/>
              <w:right w:val="single" w:sz="4" w:space="0" w:color="auto"/>
            </w:tcBorders>
            <w:shd w:val="clear" w:color="auto" w:fill="auto"/>
            <w:noWrap/>
            <w:vAlign w:val="center"/>
            <w:hideMark/>
          </w:tcPr>
          <w:p w14:paraId="40A0D3B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20%</w:t>
            </w:r>
          </w:p>
        </w:tc>
        <w:tc>
          <w:tcPr>
            <w:tcW w:w="426" w:type="dxa"/>
            <w:tcBorders>
              <w:top w:val="nil"/>
              <w:left w:val="nil"/>
              <w:bottom w:val="single" w:sz="4" w:space="0" w:color="auto"/>
              <w:right w:val="single" w:sz="4" w:space="0" w:color="auto"/>
            </w:tcBorders>
            <w:shd w:val="clear" w:color="auto" w:fill="auto"/>
            <w:vAlign w:val="center"/>
            <w:hideMark/>
          </w:tcPr>
          <w:p w14:paraId="74E5E27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000000"/>
            </w:tcBorders>
            <w:shd w:val="clear" w:color="auto" w:fill="auto"/>
            <w:vAlign w:val="center"/>
            <w:hideMark/>
          </w:tcPr>
          <w:p w14:paraId="322F20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551177AE" w14:textId="015D8B2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Tregtia ndërkombëtare e shërbimeve-eksport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Tregtia ndërkombëtare e shërbimeve-import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Shërbime për përpunim të inputeve fizike të zotëruara nga të tjerët import </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Shërbime mirëmbajtje dhe riparimi import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 Transport import </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Udhëtime import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Konstruksion import-eksport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Shërbime sigurimi dhe të pensioneve import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Shërbime financiare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import-eksport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Pagesa për përdorimin e pasurisë intelektuale import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11. Shërbime telekomunikacioni, kompjuteri dhe informacioni import </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12. Shërbime të tjera biznesi import </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eksport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13. Shërbime personale, kulturore dhe argëtimi import</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eksport</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1A292C0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Pr="004F2AC3">
              <w:rPr>
                <w:rFonts w:ascii="Garamond" w:eastAsia="Times New Roman" w:hAnsi="Garamond" w:cs="Times New Roman"/>
                <w:color w:val="000000"/>
                <w:sz w:val="10"/>
                <w:szCs w:val="10"/>
                <w:lang w:eastAsia="sq-AL"/>
              </w:rPr>
              <w:br/>
              <w:t>Ministria e Financave</w:t>
            </w:r>
            <w:r w:rsidRPr="004F2AC3">
              <w:rPr>
                <w:rFonts w:ascii="Garamond" w:eastAsia="Times New Roman" w:hAnsi="Garamond" w:cs="Times New Roman"/>
                <w:color w:val="000000"/>
                <w:sz w:val="10"/>
                <w:szCs w:val="10"/>
                <w:lang w:eastAsia="sq-AL"/>
              </w:rPr>
              <w:br/>
              <w:t xml:space="preserve">Banka e Shqipërisë </w:t>
            </w:r>
            <w:r w:rsidRPr="004F2AC3">
              <w:rPr>
                <w:rFonts w:ascii="Garamond" w:eastAsia="Times New Roman" w:hAnsi="Garamond" w:cs="Times New Roman"/>
                <w:color w:val="000000"/>
                <w:sz w:val="10"/>
                <w:szCs w:val="10"/>
                <w:lang w:eastAsia="sq-AL"/>
              </w:rPr>
              <w:br/>
              <w:t xml:space="preserve">Drejtoria e Përgjithshme e Doganave </w:t>
            </w:r>
            <w:r w:rsidRPr="004F2AC3">
              <w:rPr>
                <w:rFonts w:ascii="Garamond" w:eastAsia="Times New Roman" w:hAnsi="Garamond" w:cs="Times New Roman"/>
                <w:color w:val="000000"/>
                <w:sz w:val="10"/>
                <w:szCs w:val="10"/>
                <w:lang w:eastAsia="sq-AL"/>
              </w:rPr>
              <w:br/>
              <w:t>Autoriteti i Mbikëqyrjes Financiare</w:t>
            </w:r>
          </w:p>
        </w:tc>
        <w:tc>
          <w:tcPr>
            <w:tcW w:w="413" w:type="dxa"/>
            <w:tcBorders>
              <w:top w:val="nil"/>
              <w:left w:val="nil"/>
              <w:bottom w:val="nil"/>
              <w:right w:val="single" w:sz="4" w:space="0" w:color="auto"/>
            </w:tcBorders>
            <w:shd w:val="clear" w:color="auto" w:fill="auto"/>
            <w:vAlign w:val="center"/>
            <w:hideMark/>
          </w:tcPr>
          <w:p w14:paraId="388AA58A" w14:textId="31C631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Banka e </w:t>
            </w:r>
            <w:r w:rsidR="0070619F" w:rsidRPr="004F2AC3">
              <w:rPr>
                <w:rFonts w:ascii="Garamond" w:eastAsia="Times New Roman" w:hAnsi="Garamond" w:cs="Times New Roman"/>
                <w:color w:val="000000"/>
                <w:sz w:val="10"/>
                <w:szCs w:val="10"/>
                <w:lang w:eastAsia="sq-AL"/>
              </w:rPr>
              <w:t>Shqipërisë</w:t>
            </w:r>
          </w:p>
        </w:tc>
        <w:tc>
          <w:tcPr>
            <w:tcW w:w="466" w:type="dxa"/>
            <w:tcBorders>
              <w:top w:val="nil"/>
              <w:left w:val="nil"/>
              <w:bottom w:val="nil"/>
              <w:right w:val="single" w:sz="4" w:space="0" w:color="auto"/>
            </w:tcBorders>
            <w:shd w:val="clear" w:color="000000" w:fill="FFFFFF"/>
            <w:vAlign w:val="center"/>
            <w:hideMark/>
          </w:tcPr>
          <w:p w14:paraId="39FD844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+ 243D</w:t>
            </w:r>
          </w:p>
        </w:tc>
        <w:tc>
          <w:tcPr>
            <w:tcW w:w="385" w:type="dxa"/>
            <w:tcBorders>
              <w:top w:val="nil"/>
              <w:left w:val="nil"/>
              <w:bottom w:val="nil"/>
              <w:right w:val="single" w:sz="4" w:space="0" w:color="auto"/>
            </w:tcBorders>
            <w:shd w:val="clear" w:color="000000" w:fill="FFFFFF"/>
            <w:vAlign w:val="center"/>
            <w:hideMark/>
          </w:tcPr>
          <w:p w14:paraId="4DC8C69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+ 273D</w:t>
            </w:r>
          </w:p>
        </w:tc>
        <w:tc>
          <w:tcPr>
            <w:tcW w:w="361" w:type="dxa"/>
            <w:tcBorders>
              <w:top w:val="nil"/>
              <w:left w:val="nil"/>
              <w:bottom w:val="nil"/>
              <w:right w:val="single" w:sz="4" w:space="0" w:color="auto"/>
            </w:tcBorders>
            <w:shd w:val="clear" w:color="000000" w:fill="FFFFFF"/>
            <w:vAlign w:val="center"/>
            <w:hideMark/>
          </w:tcPr>
          <w:p w14:paraId="2A77D2D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+ 304D</w:t>
            </w:r>
          </w:p>
        </w:tc>
        <w:tc>
          <w:tcPr>
            <w:tcW w:w="732" w:type="dxa"/>
            <w:tcBorders>
              <w:top w:val="nil"/>
              <w:left w:val="nil"/>
              <w:bottom w:val="nil"/>
              <w:right w:val="single" w:sz="4" w:space="0" w:color="auto"/>
            </w:tcBorders>
            <w:shd w:val="clear" w:color="auto" w:fill="auto"/>
            <w:vAlign w:val="center"/>
            <w:hideMark/>
          </w:tcPr>
          <w:p w14:paraId="51E16F1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Vonesat nga burimet administrative -|- 2</w:t>
            </w:r>
            <w:r w:rsidRPr="004F2AC3">
              <w:rPr>
                <w:rFonts w:ascii="Garamond" w:eastAsia="Times New Roman" w:hAnsi="Garamond" w:cs="Times New Roman"/>
                <w:color w:val="000000"/>
                <w:sz w:val="10"/>
                <w:szCs w:val="10"/>
                <w:lang w:eastAsia="sq-AL"/>
              </w:rPr>
              <w:br/>
              <w:t>2. Mosrespektimi i afateve të vrojtimit në terren -|- 2</w:t>
            </w:r>
            <w:r w:rsidRPr="004F2AC3">
              <w:rPr>
                <w:rFonts w:ascii="Garamond" w:eastAsia="Times New Roman" w:hAnsi="Garamond" w:cs="Times New Roman"/>
                <w:color w:val="000000"/>
                <w:sz w:val="10"/>
                <w:szCs w:val="10"/>
                <w:lang w:eastAsia="sq-AL"/>
              </w:rPr>
              <w:br/>
              <w:t>3. Informacion jo i plotë, i pa-standardizuar -|- 2</w:t>
            </w:r>
            <w:r w:rsidRPr="004F2AC3">
              <w:rPr>
                <w:rFonts w:ascii="Garamond" w:eastAsia="Times New Roman" w:hAnsi="Garamond" w:cs="Times New Roman"/>
                <w:color w:val="000000"/>
                <w:sz w:val="10"/>
                <w:szCs w:val="10"/>
                <w:lang w:eastAsia="sq-AL"/>
              </w:rPr>
              <w:br/>
              <w:t>4. Gabime të bëra nga stafi ekspert gjatë përpunimit dhe nxjerrjes së rezultateve -|- 2</w:t>
            </w:r>
          </w:p>
        </w:tc>
        <w:tc>
          <w:tcPr>
            <w:tcW w:w="551" w:type="dxa"/>
            <w:tcBorders>
              <w:top w:val="nil"/>
              <w:left w:val="nil"/>
              <w:bottom w:val="nil"/>
              <w:right w:val="single" w:sz="4" w:space="0" w:color="auto"/>
            </w:tcBorders>
            <w:shd w:val="clear" w:color="auto" w:fill="auto"/>
            <w:vAlign w:val="center"/>
            <w:hideMark/>
          </w:tcPr>
          <w:p w14:paraId="506F49B3" w14:textId="059893E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Buxheti i </w:t>
            </w:r>
            <w:r w:rsidR="0070619F" w:rsidRPr="004F2AC3">
              <w:rPr>
                <w:rFonts w:ascii="Garamond" w:eastAsia="Times New Roman" w:hAnsi="Garamond" w:cs="Times New Roman"/>
                <w:color w:val="000000"/>
                <w:sz w:val="10"/>
                <w:szCs w:val="10"/>
                <w:lang w:eastAsia="sq-AL"/>
              </w:rPr>
              <w:t>Bankës</w:t>
            </w:r>
          </w:p>
        </w:tc>
      </w:tr>
      <w:tr w:rsidR="0021321C" w:rsidRPr="004F2AC3" w14:paraId="097E7BF5" w14:textId="77777777" w:rsidTr="0021321C">
        <w:trPr>
          <w:trHeight w:val="180"/>
          <w:jc w:val="center"/>
        </w:trPr>
        <w:tc>
          <w:tcPr>
            <w:tcW w:w="388" w:type="dxa"/>
            <w:tcBorders>
              <w:top w:val="nil"/>
              <w:left w:val="nil"/>
              <w:bottom w:val="nil"/>
              <w:right w:val="nil"/>
            </w:tcBorders>
            <w:shd w:val="clear" w:color="000000" w:fill="FFFFFF"/>
            <w:vAlign w:val="bottom"/>
            <w:hideMark/>
          </w:tcPr>
          <w:p w14:paraId="26787FE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7CEF03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8E27C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3CEDA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319583A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3.5.2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FE7C50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tregtisë së jashtme të mallrave</w:t>
            </w:r>
          </w:p>
        </w:tc>
      </w:tr>
      <w:tr w:rsidR="00C73163" w:rsidRPr="004F2AC3" w14:paraId="60B23A3C" w14:textId="77777777" w:rsidTr="0021321C">
        <w:trPr>
          <w:trHeight w:val="180"/>
          <w:jc w:val="center"/>
        </w:trPr>
        <w:tc>
          <w:tcPr>
            <w:tcW w:w="388" w:type="dxa"/>
            <w:tcBorders>
              <w:top w:val="nil"/>
              <w:left w:val="nil"/>
              <w:bottom w:val="nil"/>
              <w:right w:val="nil"/>
            </w:tcBorders>
            <w:shd w:val="clear" w:color="000000" w:fill="FFFFFF"/>
            <w:vAlign w:val="bottom"/>
            <w:hideMark/>
          </w:tcPr>
          <w:p w14:paraId="5466146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B28DE2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19DF3CE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42F854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E1943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A4E842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712FBAF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3.5.2.1</w:t>
            </w:r>
          </w:p>
        </w:tc>
        <w:tc>
          <w:tcPr>
            <w:tcW w:w="563" w:type="dxa"/>
            <w:tcBorders>
              <w:top w:val="nil"/>
              <w:left w:val="nil"/>
              <w:bottom w:val="single" w:sz="4" w:space="0" w:color="auto"/>
              <w:right w:val="single" w:sz="4" w:space="0" w:color="auto"/>
            </w:tcBorders>
            <w:shd w:val="clear" w:color="auto" w:fill="auto"/>
            <w:vAlign w:val="center"/>
            <w:hideMark/>
          </w:tcPr>
          <w:p w14:paraId="4F242218" w14:textId="480CDD3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mbi</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eksportet/importet e mallrave</w:t>
            </w:r>
          </w:p>
        </w:tc>
        <w:tc>
          <w:tcPr>
            <w:tcW w:w="446" w:type="dxa"/>
            <w:tcBorders>
              <w:top w:val="nil"/>
              <w:left w:val="nil"/>
              <w:bottom w:val="single" w:sz="4" w:space="0" w:color="auto"/>
              <w:right w:val="single" w:sz="4" w:space="0" w:color="auto"/>
            </w:tcBorders>
            <w:shd w:val="clear" w:color="auto" w:fill="auto"/>
            <w:vAlign w:val="center"/>
            <w:hideMark/>
          </w:tcPr>
          <w:p w14:paraId="383CCB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0F581D6F"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426DF1A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0EDD8F8F" w14:textId="65623E84"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4D9114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single" w:sz="4" w:space="0" w:color="auto"/>
              <w:right w:val="single" w:sz="4" w:space="0" w:color="auto"/>
            </w:tcBorders>
            <w:shd w:val="clear" w:color="000000" w:fill="FFFFFF"/>
            <w:vAlign w:val="center"/>
            <w:hideMark/>
          </w:tcPr>
          <w:p w14:paraId="7678B0B3" w14:textId="43B8D73A" w:rsidR="0021321C" w:rsidRPr="004F2AC3" w:rsidRDefault="00C73163"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Eksportet e mallrave;</w:t>
            </w:r>
            <w:r w:rsidR="0021321C" w:rsidRPr="004F2AC3">
              <w:rPr>
                <w:rFonts w:ascii="Garamond" w:eastAsia="Times New Roman" w:hAnsi="Garamond" w:cs="Times New Roman"/>
                <w:color w:val="000000"/>
                <w:sz w:val="10"/>
                <w:szCs w:val="10"/>
                <w:lang w:eastAsia="sq-AL"/>
              </w:rPr>
              <w:br/>
              <w:t>2. Importet e mallrave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3. Bilanci tregtar i mallrave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4. Volumi tregtar i mallrave</w:t>
            </w:r>
            <w:r w:rsidR="0021321C" w:rsidRPr="004F2AC3">
              <w:rPr>
                <w:rFonts w:ascii="Garamond" w:eastAsia="Times New Roman" w:hAnsi="Garamond" w:cs="Times New Roman"/>
                <w:color w:val="000000"/>
                <w:sz w:val="10"/>
                <w:szCs w:val="10"/>
                <w:lang w:eastAsia="sq-AL"/>
              </w:rPr>
              <w:br/>
              <w:t>5. % e mbulimit (eksporte/importe)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6. Eksportet/importet sipas vendeve partnere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7. Eksportet/importet sipas grup mallrave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8. Eksportet/importet sipas seksioneve t</w:t>
            </w:r>
            <w:r w:rsidR="00520D08" w:rsidRPr="004F2AC3">
              <w:rPr>
                <w:rFonts w:ascii="Garamond" w:eastAsia="Times New Roman" w:hAnsi="Garamond" w:cs="Times New Roman"/>
                <w:sz w:val="10"/>
                <w:szCs w:val="10"/>
                <w:lang w:eastAsia="sq-AL"/>
              </w:rPr>
              <w:t>ë</w:t>
            </w:r>
            <w:r w:rsidR="0021321C" w:rsidRPr="004F2AC3">
              <w:rPr>
                <w:rFonts w:ascii="Garamond" w:eastAsia="Times New Roman" w:hAnsi="Garamond" w:cs="Times New Roman"/>
                <w:color w:val="000000"/>
                <w:sz w:val="10"/>
                <w:szCs w:val="10"/>
                <w:lang w:eastAsia="sq-AL"/>
              </w:rPr>
              <w:t xml:space="preserve"> Sistemit t</w:t>
            </w:r>
            <w:r w:rsidR="00520D08" w:rsidRPr="004F2AC3">
              <w:rPr>
                <w:rFonts w:ascii="Garamond" w:eastAsia="Times New Roman" w:hAnsi="Garamond" w:cs="Times New Roman"/>
                <w:sz w:val="10"/>
                <w:szCs w:val="10"/>
                <w:lang w:eastAsia="sq-AL"/>
              </w:rPr>
              <w:t>ë</w:t>
            </w:r>
            <w:r w:rsidR="0021321C" w:rsidRPr="004F2AC3">
              <w:rPr>
                <w:rFonts w:ascii="Garamond" w:eastAsia="Times New Roman" w:hAnsi="Garamond" w:cs="Times New Roman"/>
                <w:color w:val="000000"/>
                <w:sz w:val="10"/>
                <w:szCs w:val="10"/>
                <w:lang w:eastAsia="sq-AL"/>
              </w:rPr>
              <w:t xml:space="preserve"> Harmonizuar t</w:t>
            </w:r>
            <w:r w:rsidR="00520D08" w:rsidRPr="004F2AC3">
              <w:rPr>
                <w:rFonts w:ascii="Garamond" w:eastAsia="Times New Roman" w:hAnsi="Garamond" w:cs="Times New Roman"/>
                <w:sz w:val="10"/>
                <w:szCs w:val="10"/>
                <w:lang w:eastAsia="sq-AL"/>
              </w:rPr>
              <w:t>ë</w:t>
            </w:r>
            <w:r w:rsidR="0021321C" w:rsidRPr="004F2AC3">
              <w:rPr>
                <w:rFonts w:ascii="Garamond" w:eastAsia="Times New Roman" w:hAnsi="Garamond" w:cs="Times New Roman"/>
                <w:color w:val="000000"/>
                <w:sz w:val="10"/>
                <w:szCs w:val="10"/>
                <w:lang w:eastAsia="sq-AL"/>
              </w:rPr>
              <w:t xml:space="preserve"> Mallrave (HS)</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9. Eksportet/importet sipas kapitujve kryesore t</w:t>
            </w:r>
            <w:r w:rsidR="00520D08" w:rsidRPr="004F2AC3">
              <w:rPr>
                <w:rFonts w:ascii="Garamond" w:eastAsia="Times New Roman" w:hAnsi="Garamond" w:cs="Times New Roman"/>
                <w:sz w:val="10"/>
                <w:szCs w:val="10"/>
                <w:lang w:eastAsia="sq-AL"/>
              </w:rPr>
              <w:t>ë</w:t>
            </w:r>
            <w:r w:rsidR="0021321C" w:rsidRPr="004F2AC3">
              <w:rPr>
                <w:rFonts w:ascii="Garamond" w:eastAsia="Times New Roman" w:hAnsi="Garamond" w:cs="Times New Roman"/>
                <w:color w:val="000000"/>
                <w:sz w:val="10"/>
                <w:szCs w:val="10"/>
                <w:lang w:eastAsia="sq-AL"/>
              </w:rPr>
              <w:t xml:space="preserve"> Sistemit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Harmonizuar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Mallrave (HS);</w:t>
            </w:r>
            <w:r w:rsidR="0021321C" w:rsidRPr="004F2AC3">
              <w:rPr>
                <w:rFonts w:ascii="Garamond" w:eastAsia="Times New Roman" w:hAnsi="Garamond" w:cs="Times New Roman"/>
                <w:color w:val="000000"/>
                <w:sz w:val="10"/>
                <w:szCs w:val="10"/>
                <w:lang w:eastAsia="sq-AL"/>
              </w:rPr>
              <w:br/>
              <w:t>10. Eksportet/importet sipas grup</w:t>
            </w:r>
            <w:r w:rsidR="0070619F"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t>mallrave dhe partnerëve kryesorë tregtarë</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11. Volumi tregtar i mallrave sipas vendeve partnere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12. Eksport</w:t>
            </w:r>
            <w:r w:rsidR="005B3A9C" w:rsidRPr="004F2AC3">
              <w:rPr>
                <w:rFonts w:ascii="Garamond" w:eastAsia="Times New Roman" w:hAnsi="Garamond" w:cs="Times New Roman"/>
                <w:color w:val="000000"/>
                <w:sz w:val="10"/>
                <w:szCs w:val="10"/>
                <w:lang w:eastAsia="sq-AL"/>
              </w:rPr>
              <w:t>et/importet sipas grup</w:t>
            </w:r>
            <w:r w:rsidR="0070619F" w:rsidRPr="004F2AC3">
              <w:rPr>
                <w:rFonts w:ascii="Garamond" w:eastAsia="Times New Roman" w:hAnsi="Garamond" w:cs="Times New Roman"/>
                <w:color w:val="000000"/>
                <w:sz w:val="10"/>
                <w:szCs w:val="10"/>
                <w:lang w:eastAsia="sq-AL"/>
              </w:rPr>
              <w:t>-</w:t>
            </w:r>
            <w:r w:rsidR="005B3A9C" w:rsidRPr="004F2AC3">
              <w:rPr>
                <w:rFonts w:ascii="Garamond" w:eastAsia="Times New Roman" w:hAnsi="Garamond" w:cs="Times New Roman"/>
                <w:color w:val="000000"/>
                <w:sz w:val="10"/>
                <w:szCs w:val="10"/>
                <w:lang w:eastAsia="sq-AL"/>
              </w:rPr>
              <w:t>vendeve (</w:t>
            </w:r>
            <w:r w:rsidR="0021321C" w:rsidRPr="004F2AC3">
              <w:rPr>
                <w:rFonts w:ascii="Garamond" w:eastAsia="Times New Roman" w:hAnsi="Garamond" w:cs="Times New Roman"/>
                <w:color w:val="000000"/>
                <w:sz w:val="10"/>
                <w:szCs w:val="10"/>
                <w:lang w:eastAsia="sq-AL"/>
              </w:rPr>
              <w:t>Euro zone, BE, etj.)</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13. Eksportet/importet sipas mënyrës së transportit, Eksportet/importet e mallrave sipas Klasifikimit Standart të Tregtisë së Jashtme (SITC Rev.4).</w:t>
            </w:r>
          </w:p>
        </w:tc>
        <w:tc>
          <w:tcPr>
            <w:tcW w:w="554" w:type="dxa"/>
            <w:tcBorders>
              <w:top w:val="nil"/>
              <w:left w:val="nil"/>
              <w:bottom w:val="single" w:sz="4" w:space="0" w:color="auto"/>
              <w:right w:val="single" w:sz="4" w:space="0" w:color="auto"/>
            </w:tcBorders>
            <w:shd w:val="clear" w:color="auto" w:fill="auto"/>
            <w:vAlign w:val="center"/>
            <w:hideMark/>
          </w:tcPr>
          <w:p w14:paraId="0F1FB00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Drejtoria e Përgjithshme e Doganave</w:t>
            </w:r>
          </w:p>
        </w:tc>
        <w:tc>
          <w:tcPr>
            <w:tcW w:w="413" w:type="dxa"/>
            <w:tcBorders>
              <w:top w:val="nil"/>
              <w:left w:val="nil"/>
              <w:bottom w:val="single" w:sz="4" w:space="0" w:color="auto"/>
              <w:right w:val="single" w:sz="4" w:space="0" w:color="auto"/>
            </w:tcBorders>
            <w:shd w:val="clear" w:color="auto" w:fill="auto"/>
            <w:vAlign w:val="center"/>
            <w:hideMark/>
          </w:tcPr>
          <w:p w14:paraId="4DB1A14A" w14:textId="21A2EFE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3285610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M+ 6D</w:t>
            </w:r>
          </w:p>
        </w:tc>
        <w:tc>
          <w:tcPr>
            <w:tcW w:w="385" w:type="dxa"/>
            <w:tcBorders>
              <w:top w:val="nil"/>
              <w:left w:val="nil"/>
              <w:bottom w:val="single" w:sz="4" w:space="0" w:color="auto"/>
              <w:right w:val="single" w:sz="4" w:space="0" w:color="auto"/>
            </w:tcBorders>
            <w:shd w:val="clear" w:color="auto" w:fill="auto"/>
            <w:vAlign w:val="center"/>
            <w:hideMark/>
          </w:tcPr>
          <w:p w14:paraId="41E959B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M+ 13D</w:t>
            </w:r>
          </w:p>
        </w:tc>
        <w:tc>
          <w:tcPr>
            <w:tcW w:w="361" w:type="dxa"/>
            <w:tcBorders>
              <w:top w:val="nil"/>
              <w:left w:val="nil"/>
              <w:bottom w:val="single" w:sz="4" w:space="0" w:color="auto"/>
              <w:right w:val="single" w:sz="4" w:space="0" w:color="auto"/>
            </w:tcBorders>
            <w:shd w:val="clear" w:color="auto" w:fill="auto"/>
            <w:vAlign w:val="center"/>
            <w:hideMark/>
          </w:tcPr>
          <w:p w14:paraId="3024609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+ 17D</w:t>
            </w:r>
          </w:p>
        </w:tc>
        <w:tc>
          <w:tcPr>
            <w:tcW w:w="732" w:type="dxa"/>
            <w:tcBorders>
              <w:top w:val="nil"/>
              <w:left w:val="nil"/>
              <w:bottom w:val="single" w:sz="4" w:space="0" w:color="auto"/>
              <w:right w:val="single" w:sz="4" w:space="0" w:color="auto"/>
            </w:tcBorders>
            <w:shd w:val="clear" w:color="auto" w:fill="auto"/>
            <w:vAlign w:val="center"/>
            <w:hideMark/>
          </w:tcPr>
          <w:p w14:paraId="7E9AF5F1" w14:textId="55EBBED4" w:rsidR="0021321C" w:rsidRPr="004F2AC3" w:rsidRDefault="005B3A9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Risku i lëvizjeve/</w:t>
            </w:r>
            <w:r w:rsidR="0021321C" w:rsidRPr="004F2AC3">
              <w:rPr>
                <w:rFonts w:ascii="Garamond" w:eastAsia="Times New Roman" w:hAnsi="Garamond" w:cs="Times New Roman"/>
                <w:color w:val="000000"/>
                <w:sz w:val="10"/>
                <w:szCs w:val="10"/>
                <w:lang w:eastAsia="sq-AL"/>
              </w:rPr>
              <w:t>largimit të stafit me eksperiencë duke sjellë pezullim/vonesa në prodhimin dhe shpërndarjen e statistikave zyrtare -|- 4</w:t>
            </w:r>
            <w:r w:rsidR="0021321C" w:rsidRPr="004F2AC3">
              <w:rPr>
                <w:rFonts w:ascii="Garamond" w:eastAsia="Times New Roman" w:hAnsi="Garamond" w:cs="Times New Roman"/>
                <w:color w:val="000000"/>
                <w:sz w:val="10"/>
                <w:szCs w:val="10"/>
                <w:lang w:eastAsia="sq-AL"/>
              </w:rPr>
              <w:br/>
              <w:t xml:space="preserve">2. Risku i gabimeve gjatë kontrollit në nivel mikro të të dhënave si pasojë e kohës së shkurtër ndërmjet marrjes së bazave të të dhënave dhe afatit të publikimit duke </w:t>
            </w:r>
            <w:r w:rsidR="0070619F" w:rsidRPr="004F2AC3">
              <w:rPr>
                <w:rFonts w:ascii="Garamond" w:eastAsia="Times New Roman" w:hAnsi="Garamond" w:cs="Times New Roman"/>
                <w:color w:val="000000"/>
                <w:sz w:val="10"/>
                <w:szCs w:val="10"/>
                <w:lang w:eastAsia="sq-AL"/>
              </w:rPr>
              <w:t>cenuar</w:t>
            </w:r>
            <w:r w:rsidR="0021321C" w:rsidRPr="004F2AC3">
              <w:rPr>
                <w:rFonts w:ascii="Garamond" w:eastAsia="Times New Roman" w:hAnsi="Garamond" w:cs="Times New Roman"/>
                <w:color w:val="000000"/>
                <w:sz w:val="10"/>
                <w:szCs w:val="10"/>
                <w:lang w:eastAsia="sq-AL"/>
              </w:rPr>
              <w:t xml:space="preserve"> prodhimin e </w:t>
            </w:r>
            <w:r w:rsidR="0070619F" w:rsidRPr="004F2AC3">
              <w:rPr>
                <w:rFonts w:ascii="Garamond" w:eastAsia="Times New Roman" w:hAnsi="Garamond" w:cs="Times New Roman"/>
                <w:color w:val="000000"/>
                <w:sz w:val="10"/>
                <w:szCs w:val="10"/>
                <w:lang w:eastAsia="sq-AL"/>
              </w:rPr>
              <w:t>treguesve</w:t>
            </w:r>
            <w:r w:rsidR="0021321C" w:rsidRPr="004F2AC3">
              <w:rPr>
                <w:rFonts w:ascii="Garamond" w:eastAsia="Times New Roman" w:hAnsi="Garamond" w:cs="Times New Roman"/>
                <w:color w:val="000000"/>
                <w:sz w:val="10"/>
                <w:szCs w:val="10"/>
                <w:lang w:eastAsia="sq-AL"/>
              </w:rPr>
              <w:t xml:space="preserve"> statistikorë -|- 4</w:t>
            </w:r>
          </w:p>
        </w:tc>
        <w:tc>
          <w:tcPr>
            <w:tcW w:w="551" w:type="dxa"/>
            <w:tcBorders>
              <w:top w:val="nil"/>
              <w:left w:val="nil"/>
              <w:bottom w:val="single" w:sz="4" w:space="0" w:color="auto"/>
              <w:right w:val="single" w:sz="4" w:space="0" w:color="auto"/>
            </w:tcBorders>
            <w:shd w:val="clear" w:color="auto" w:fill="auto"/>
            <w:vAlign w:val="center"/>
            <w:hideMark/>
          </w:tcPr>
          <w:p w14:paraId="19DA246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5A9F22B0" w14:textId="77777777" w:rsidTr="0021321C">
        <w:trPr>
          <w:trHeight w:val="180"/>
          <w:jc w:val="center"/>
        </w:trPr>
        <w:tc>
          <w:tcPr>
            <w:tcW w:w="388" w:type="dxa"/>
            <w:tcBorders>
              <w:top w:val="nil"/>
              <w:left w:val="nil"/>
              <w:bottom w:val="nil"/>
              <w:right w:val="nil"/>
            </w:tcBorders>
            <w:shd w:val="clear" w:color="000000" w:fill="FFFFFF"/>
            <w:vAlign w:val="bottom"/>
            <w:hideMark/>
          </w:tcPr>
          <w:p w14:paraId="3070F4F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871F0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61ECA5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64572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142AA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5936BC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039AA07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3.5.2.2</w:t>
            </w:r>
          </w:p>
        </w:tc>
        <w:tc>
          <w:tcPr>
            <w:tcW w:w="563" w:type="dxa"/>
            <w:tcBorders>
              <w:top w:val="nil"/>
              <w:left w:val="nil"/>
              <w:bottom w:val="single" w:sz="4" w:space="0" w:color="auto"/>
              <w:right w:val="single" w:sz="4" w:space="0" w:color="auto"/>
            </w:tcBorders>
            <w:shd w:val="clear" w:color="auto" w:fill="auto"/>
            <w:vAlign w:val="center"/>
            <w:hideMark/>
          </w:tcPr>
          <w:p w14:paraId="5E0BA42A" w14:textId="3632503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mbi</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eksportet/importet e mallrave sipas karakteristikave të ndërmarrjeve</w:t>
            </w:r>
          </w:p>
        </w:tc>
        <w:tc>
          <w:tcPr>
            <w:tcW w:w="446" w:type="dxa"/>
            <w:tcBorders>
              <w:top w:val="nil"/>
              <w:left w:val="nil"/>
              <w:bottom w:val="single" w:sz="4" w:space="0" w:color="auto"/>
              <w:right w:val="single" w:sz="4" w:space="0" w:color="auto"/>
            </w:tcBorders>
            <w:shd w:val="clear" w:color="auto" w:fill="auto"/>
            <w:vAlign w:val="center"/>
            <w:hideMark/>
          </w:tcPr>
          <w:p w14:paraId="7FA5C76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000000" w:fill="FFFFFF"/>
            <w:noWrap/>
            <w:vAlign w:val="center"/>
            <w:hideMark/>
          </w:tcPr>
          <w:p w14:paraId="15DFCD0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45CA57B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7E9317AF" w14:textId="364F54D1" w:rsidR="0021321C" w:rsidRPr="004F2AC3" w:rsidRDefault="006400E2"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C00947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6D4CE88E" w14:textId="0BE7959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Numri i </w:t>
            </w:r>
            <w:r w:rsidR="0070619F" w:rsidRPr="004F2AC3">
              <w:rPr>
                <w:rFonts w:ascii="Garamond" w:eastAsia="Times New Roman" w:hAnsi="Garamond" w:cs="Times New Roman"/>
                <w:color w:val="000000"/>
                <w:sz w:val="10"/>
                <w:szCs w:val="10"/>
                <w:lang w:eastAsia="sq-AL"/>
              </w:rPr>
              <w:t>ndërmarrjeve</w:t>
            </w:r>
            <w:r w:rsidRPr="004F2AC3">
              <w:rPr>
                <w:rFonts w:ascii="Garamond" w:eastAsia="Times New Roman" w:hAnsi="Garamond" w:cs="Times New Roman"/>
                <w:color w:val="000000"/>
                <w:sz w:val="10"/>
                <w:szCs w:val="10"/>
                <w:lang w:eastAsia="sq-AL"/>
              </w:rPr>
              <w:t xml:space="preserve"> sipas aktivitetit ekonomik dhe numrit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w:t>
            </w:r>
            <w:r w:rsidR="00C73163" w:rsidRPr="004F2AC3">
              <w:rPr>
                <w:rFonts w:ascii="Garamond" w:eastAsia="Times New Roman" w:hAnsi="Garamond" w:cs="Times New Roman"/>
                <w:color w:val="000000"/>
                <w:sz w:val="10"/>
                <w:szCs w:val="10"/>
                <w:lang w:eastAsia="sq-AL"/>
              </w:rPr>
              <w:t>punësuarve;</w:t>
            </w:r>
            <w:r w:rsidRPr="004F2AC3">
              <w:rPr>
                <w:rFonts w:ascii="Garamond" w:eastAsia="Times New Roman" w:hAnsi="Garamond" w:cs="Times New Roman"/>
                <w:color w:val="000000"/>
                <w:sz w:val="10"/>
                <w:szCs w:val="10"/>
                <w:lang w:eastAsia="sq-AL"/>
              </w:rPr>
              <w:br/>
              <w:t>2. Eksportet e mallrave sipas aktivitetit ekonomik dhe numrit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w:t>
            </w:r>
            <w:r w:rsidR="00C73163" w:rsidRPr="004F2AC3">
              <w:rPr>
                <w:rFonts w:ascii="Garamond" w:eastAsia="Times New Roman" w:hAnsi="Garamond" w:cs="Times New Roman"/>
                <w:color w:val="000000"/>
                <w:sz w:val="10"/>
                <w:szCs w:val="10"/>
                <w:lang w:eastAsia="sq-AL"/>
              </w:rPr>
              <w:t>punësuarve;</w:t>
            </w:r>
            <w:r w:rsidRPr="004F2AC3">
              <w:rPr>
                <w:rFonts w:ascii="Garamond" w:eastAsia="Times New Roman" w:hAnsi="Garamond" w:cs="Times New Roman"/>
                <w:color w:val="000000"/>
                <w:sz w:val="10"/>
                <w:szCs w:val="10"/>
                <w:lang w:eastAsia="sq-AL"/>
              </w:rPr>
              <w:br/>
              <w:t>3. Importet e mallrave sipas aktivitetit ekonomik dhe numrit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w:t>
            </w:r>
            <w:r w:rsidR="00C73163" w:rsidRPr="004F2AC3">
              <w:rPr>
                <w:rFonts w:ascii="Garamond" w:eastAsia="Times New Roman" w:hAnsi="Garamond" w:cs="Times New Roman"/>
                <w:color w:val="000000"/>
                <w:sz w:val="10"/>
                <w:szCs w:val="10"/>
                <w:lang w:eastAsia="sq-AL"/>
              </w:rPr>
              <w:t>punësuarve;</w:t>
            </w:r>
            <w:r w:rsidRPr="004F2AC3">
              <w:rPr>
                <w:rFonts w:ascii="Garamond" w:eastAsia="Times New Roman" w:hAnsi="Garamond" w:cs="Times New Roman"/>
                <w:color w:val="000000"/>
                <w:sz w:val="10"/>
                <w:szCs w:val="10"/>
                <w:lang w:eastAsia="sq-AL"/>
              </w:rPr>
              <w:br/>
              <w:t xml:space="preserve">4. Numri i </w:t>
            </w:r>
            <w:r w:rsidR="0070619F" w:rsidRPr="004F2AC3">
              <w:rPr>
                <w:rFonts w:ascii="Garamond" w:eastAsia="Times New Roman" w:hAnsi="Garamond" w:cs="Times New Roman"/>
                <w:color w:val="000000"/>
                <w:sz w:val="10"/>
                <w:szCs w:val="10"/>
                <w:lang w:eastAsia="sq-AL"/>
              </w:rPr>
              <w:t>ndërmarrjeve</w:t>
            </w:r>
            <w:r w:rsidRPr="004F2AC3">
              <w:rPr>
                <w:rFonts w:ascii="Garamond" w:eastAsia="Times New Roman" w:hAnsi="Garamond" w:cs="Times New Roman"/>
                <w:color w:val="000000"/>
                <w:sz w:val="10"/>
                <w:szCs w:val="10"/>
                <w:lang w:eastAsia="sq-AL"/>
              </w:rPr>
              <w:t xml:space="preserve"> sipas aktivitetit ekon</w:t>
            </w:r>
            <w:r w:rsidR="00C73163" w:rsidRPr="004F2AC3">
              <w:rPr>
                <w:rFonts w:ascii="Garamond" w:eastAsia="Times New Roman" w:hAnsi="Garamond" w:cs="Times New Roman"/>
                <w:color w:val="000000"/>
                <w:sz w:val="10"/>
                <w:szCs w:val="10"/>
                <w:lang w:eastAsia="sq-AL"/>
              </w:rPr>
              <w:t>omik dhe disa shteteve kryesore;</w:t>
            </w:r>
            <w:r w:rsidRPr="004F2AC3">
              <w:rPr>
                <w:rFonts w:ascii="Garamond" w:eastAsia="Times New Roman" w:hAnsi="Garamond" w:cs="Times New Roman"/>
                <w:color w:val="000000"/>
                <w:sz w:val="10"/>
                <w:szCs w:val="10"/>
                <w:lang w:eastAsia="sq-AL"/>
              </w:rPr>
              <w:br/>
              <w:t>5. Eksportet e mallrave sipas aktivitetit ekonomik dhe disa shteteve kryesore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Importet e mallrave sipas aktivitetit ekonomik dhe disa shteteve kryesore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Eksportet e mallrave sipas aktivitetit ekonomik dhe produkteve kryesore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Importet e mallrave sipas aktivitetit ekonomik dhe produkteve kryesore</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9. </w:t>
            </w:r>
            <w:r w:rsidR="0070619F" w:rsidRPr="004F2AC3">
              <w:rPr>
                <w:rFonts w:ascii="Garamond" w:eastAsia="Times New Roman" w:hAnsi="Garamond" w:cs="Times New Roman"/>
                <w:color w:val="000000"/>
                <w:sz w:val="10"/>
                <w:szCs w:val="10"/>
                <w:lang w:eastAsia="sq-AL"/>
              </w:rPr>
              <w:t>Përqendrimi</w:t>
            </w:r>
            <w:r w:rsidRPr="004F2AC3">
              <w:rPr>
                <w:rFonts w:ascii="Garamond" w:eastAsia="Times New Roman" w:hAnsi="Garamond" w:cs="Times New Roman"/>
                <w:color w:val="000000"/>
                <w:sz w:val="10"/>
                <w:szCs w:val="10"/>
                <w:lang w:eastAsia="sq-AL"/>
              </w:rPr>
              <w:t xml:space="preserve"> i tregtisë së jashtme të mallrave sipas aktivitetit ekonomik</w:t>
            </w:r>
            <w:r w:rsidR="00C73163"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Numri i ndërmarrjeve sipas numrit të vendeve partnere dhe aktivitetit ekonomik 11. Eksportet e mallrave sipas numrit të vendeve pa</w:t>
            </w:r>
            <w:r w:rsidR="00C73163" w:rsidRPr="004F2AC3">
              <w:rPr>
                <w:rFonts w:ascii="Garamond" w:eastAsia="Times New Roman" w:hAnsi="Garamond" w:cs="Times New Roman"/>
                <w:color w:val="000000"/>
                <w:sz w:val="10"/>
                <w:szCs w:val="10"/>
                <w:lang w:eastAsia="sq-AL"/>
              </w:rPr>
              <w:t>rtnere dhe aktivitetit ekonomik;</w:t>
            </w:r>
            <w:r w:rsidRPr="004F2AC3">
              <w:rPr>
                <w:rFonts w:ascii="Garamond" w:eastAsia="Times New Roman" w:hAnsi="Garamond" w:cs="Times New Roman"/>
                <w:color w:val="000000"/>
                <w:sz w:val="10"/>
                <w:szCs w:val="10"/>
                <w:lang w:eastAsia="sq-AL"/>
              </w:rPr>
              <w:br/>
              <w:t>12. Importet e mallrave sipas numrit të vendeve partnere dhe aktivitetit ekonomik</w:t>
            </w:r>
            <w:r w:rsidR="00C73163"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3A8280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Drejtoria e Përgjithshme e Doganave</w:t>
            </w:r>
          </w:p>
        </w:tc>
        <w:tc>
          <w:tcPr>
            <w:tcW w:w="413" w:type="dxa"/>
            <w:tcBorders>
              <w:top w:val="nil"/>
              <w:left w:val="nil"/>
              <w:bottom w:val="single" w:sz="4" w:space="0" w:color="auto"/>
              <w:right w:val="single" w:sz="4" w:space="0" w:color="auto"/>
            </w:tcBorders>
            <w:shd w:val="clear" w:color="auto" w:fill="auto"/>
            <w:vAlign w:val="center"/>
            <w:hideMark/>
          </w:tcPr>
          <w:p w14:paraId="3B88A483" w14:textId="3C3604E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C73163"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041C12A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+ 9D</w:t>
            </w:r>
          </w:p>
        </w:tc>
        <w:tc>
          <w:tcPr>
            <w:tcW w:w="385" w:type="dxa"/>
            <w:tcBorders>
              <w:top w:val="nil"/>
              <w:left w:val="nil"/>
              <w:bottom w:val="single" w:sz="4" w:space="0" w:color="auto"/>
              <w:right w:val="single" w:sz="4" w:space="0" w:color="auto"/>
            </w:tcBorders>
            <w:shd w:val="clear" w:color="auto" w:fill="auto"/>
            <w:vAlign w:val="center"/>
            <w:hideMark/>
          </w:tcPr>
          <w:p w14:paraId="44045B1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+ 145D</w:t>
            </w:r>
          </w:p>
        </w:tc>
        <w:tc>
          <w:tcPr>
            <w:tcW w:w="361" w:type="dxa"/>
            <w:tcBorders>
              <w:top w:val="nil"/>
              <w:left w:val="nil"/>
              <w:bottom w:val="single" w:sz="4" w:space="0" w:color="auto"/>
              <w:right w:val="single" w:sz="4" w:space="0" w:color="auto"/>
            </w:tcBorders>
            <w:shd w:val="clear" w:color="auto" w:fill="auto"/>
            <w:vAlign w:val="center"/>
            <w:hideMark/>
          </w:tcPr>
          <w:p w14:paraId="7626A98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+ 181D</w:t>
            </w:r>
          </w:p>
        </w:tc>
        <w:tc>
          <w:tcPr>
            <w:tcW w:w="732" w:type="dxa"/>
            <w:tcBorders>
              <w:top w:val="nil"/>
              <w:left w:val="nil"/>
              <w:bottom w:val="single" w:sz="4" w:space="0" w:color="auto"/>
              <w:right w:val="single" w:sz="4" w:space="0" w:color="auto"/>
            </w:tcBorders>
            <w:shd w:val="clear" w:color="auto" w:fill="auto"/>
            <w:vAlign w:val="center"/>
            <w:hideMark/>
          </w:tcPr>
          <w:p w14:paraId="4442F178" w14:textId="1F44D3FC" w:rsidR="0021321C" w:rsidRPr="004F2AC3" w:rsidRDefault="005B3A9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Risku i lëvizjeve</w:t>
            </w:r>
            <w:r w:rsidR="0021321C" w:rsidRPr="004F2AC3">
              <w:rPr>
                <w:rFonts w:ascii="Garamond" w:eastAsia="Times New Roman" w:hAnsi="Garamond" w:cs="Times New Roman"/>
                <w:color w:val="000000"/>
                <w:sz w:val="10"/>
                <w:szCs w:val="10"/>
                <w:lang w:eastAsia="sq-AL"/>
              </w:rPr>
              <w:t>/ largimit të stafit me eksperiencë duke sjellë pezullim/vonesa në prodhimin dhe shpërndarjen e statistikave zyrtare -|- 4</w:t>
            </w:r>
            <w:r w:rsidR="0021321C" w:rsidRPr="004F2AC3">
              <w:rPr>
                <w:rFonts w:ascii="Garamond" w:eastAsia="Times New Roman" w:hAnsi="Garamond" w:cs="Times New Roman"/>
                <w:color w:val="000000"/>
                <w:sz w:val="10"/>
                <w:szCs w:val="10"/>
                <w:lang w:eastAsia="sq-AL"/>
              </w:rPr>
              <w:br/>
              <w:t xml:space="preserve">2. Risku i gabimeve gjatë kontrollit në nivel mikro të të dhënave si pasojë e kohës së shkurtër ndërmjet marrjes së bazave të të dhënave dhe afatit të publikimit duke </w:t>
            </w:r>
            <w:r w:rsidR="0070619F" w:rsidRPr="004F2AC3">
              <w:rPr>
                <w:rFonts w:ascii="Garamond" w:eastAsia="Times New Roman" w:hAnsi="Garamond" w:cs="Times New Roman"/>
                <w:color w:val="000000"/>
                <w:sz w:val="10"/>
                <w:szCs w:val="10"/>
                <w:lang w:eastAsia="sq-AL"/>
              </w:rPr>
              <w:t>cenuar</w:t>
            </w:r>
            <w:r w:rsidR="0021321C" w:rsidRPr="004F2AC3">
              <w:rPr>
                <w:rFonts w:ascii="Garamond" w:eastAsia="Times New Roman" w:hAnsi="Garamond" w:cs="Times New Roman"/>
                <w:color w:val="000000"/>
                <w:sz w:val="10"/>
                <w:szCs w:val="10"/>
                <w:lang w:eastAsia="sq-AL"/>
              </w:rPr>
              <w:t xml:space="preserve"> prodhimin e </w:t>
            </w:r>
            <w:r w:rsidR="0070619F" w:rsidRPr="004F2AC3">
              <w:rPr>
                <w:rFonts w:ascii="Garamond" w:eastAsia="Times New Roman" w:hAnsi="Garamond" w:cs="Times New Roman"/>
                <w:color w:val="000000"/>
                <w:sz w:val="10"/>
                <w:szCs w:val="10"/>
                <w:lang w:eastAsia="sq-AL"/>
              </w:rPr>
              <w:t>treguesve</w:t>
            </w:r>
            <w:r w:rsidR="0021321C" w:rsidRPr="004F2AC3">
              <w:rPr>
                <w:rFonts w:ascii="Garamond" w:eastAsia="Times New Roman" w:hAnsi="Garamond" w:cs="Times New Roman"/>
                <w:color w:val="000000"/>
                <w:sz w:val="10"/>
                <w:szCs w:val="10"/>
                <w:lang w:eastAsia="sq-AL"/>
              </w:rPr>
              <w:t xml:space="preserve"> statistikorë -|- 4</w:t>
            </w:r>
          </w:p>
        </w:tc>
        <w:tc>
          <w:tcPr>
            <w:tcW w:w="551" w:type="dxa"/>
            <w:tcBorders>
              <w:top w:val="nil"/>
              <w:left w:val="nil"/>
              <w:bottom w:val="single" w:sz="4" w:space="0" w:color="auto"/>
              <w:right w:val="single" w:sz="4" w:space="0" w:color="auto"/>
            </w:tcBorders>
            <w:shd w:val="clear" w:color="auto" w:fill="auto"/>
            <w:vAlign w:val="center"/>
            <w:hideMark/>
          </w:tcPr>
          <w:p w14:paraId="5736567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0ACFBC87" w14:textId="77777777" w:rsidTr="0021321C">
        <w:trPr>
          <w:trHeight w:val="180"/>
          <w:jc w:val="center"/>
        </w:trPr>
        <w:tc>
          <w:tcPr>
            <w:tcW w:w="388" w:type="dxa"/>
            <w:tcBorders>
              <w:top w:val="nil"/>
              <w:left w:val="nil"/>
              <w:bottom w:val="nil"/>
              <w:right w:val="nil"/>
            </w:tcBorders>
            <w:shd w:val="clear" w:color="000000" w:fill="FFFFFF"/>
            <w:vAlign w:val="bottom"/>
            <w:hideMark/>
          </w:tcPr>
          <w:p w14:paraId="26029A8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CEEBF5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7E2EB94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3.6</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6186C8B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Bilanci i Pagesave</w:t>
            </w:r>
          </w:p>
        </w:tc>
      </w:tr>
      <w:tr w:rsidR="0021321C" w:rsidRPr="004F2AC3" w14:paraId="3A3E5E8E" w14:textId="77777777" w:rsidTr="0021321C">
        <w:trPr>
          <w:trHeight w:val="180"/>
          <w:jc w:val="center"/>
        </w:trPr>
        <w:tc>
          <w:tcPr>
            <w:tcW w:w="388" w:type="dxa"/>
            <w:tcBorders>
              <w:top w:val="nil"/>
              <w:left w:val="nil"/>
              <w:bottom w:val="nil"/>
              <w:right w:val="nil"/>
            </w:tcBorders>
            <w:shd w:val="clear" w:color="000000" w:fill="FFFFFF"/>
            <w:vAlign w:val="bottom"/>
            <w:hideMark/>
          </w:tcPr>
          <w:p w14:paraId="5E802D8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660885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05C213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973151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auto"/>
              <w:bottom w:val="single" w:sz="4" w:space="0" w:color="auto"/>
              <w:right w:val="single" w:sz="4" w:space="0" w:color="auto"/>
            </w:tcBorders>
            <w:shd w:val="clear" w:color="000000" w:fill="F0F0F0"/>
            <w:vAlign w:val="center"/>
            <w:hideMark/>
          </w:tcPr>
          <w:p w14:paraId="6EFE0D8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3.6.1</w:t>
            </w:r>
          </w:p>
        </w:tc>
        <w:tc>
          <w:tcPr>
            <w:tcW w:w="7813" w:type="dxa"/>
            <w:gridSpan w:val="16"/>
            <w:tcBorders>
              <w:top w:val="single" w:sz="4" w:space="0" w:color="auto"/>
              <w:left w:val="nil"/>
              <w:bottom w:val="single" w:sz="4" w:space="0" w:color="auto"/>
              <w:right w:val="single" w:sz="4" w:space="0" w:color="auto"/>
            </w:tcBorders>
            <w:shd w:val="clear" w:color="000000" w:fill="F0F0F0"/>
            <w:vAlign w:val="center"/>
            <w:hideMark/>
          </w:tcPr>
          <w:p w14:paraId="235977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Bilancit të Pagesave</w:t>
            </w:r>
          </w:p>
        </w:tc>
      </w:tr>
      <w:tr w:rsidR="00C73163" w:rsidRPr="004F2AC3" w14:paraId="5405291E" w14:textId="77777777" w:rsidTr="0021321C">
        <w:trPr>
          <w:trHeight w:val="180"/>
          <w:jc w:val="center"/>
        </w:trPr>
        <w:tc>
          <w:tcPr>
            <w:tcW w:w="388" w:type="dxa"/>
            <w:tcBorders>
              <w:top w:val="nil"/>
              <w:left w:val="nil"/>
              <w:bottom w:val="nil"/>
              <w:right w:val="nil"/>
            </w:tcBorders>
            <w:shd w:val="clear" w:color="000000" w:fill="FFFFFF"/>
            <w:vAlign w:val="bottom"/>
            <w:hideMark/>
          </w:tcPr>
          <w:p w14:paraId="05BE39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DB32A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D6694B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362D33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14DD66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227C73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5B12B56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3.6.1.1</w:t>
            </w:r>
          </w:p>
        </w:tc>
        <w:tc>
          <w:tcPr>
            <w:tcW w:w="563" w:type="dxa"/>
            <w:tcBorders>
              <w:top w:val="nil"/>
              <w:left w:val="nil"/>
              <w:bottom w:val="single" w:sz="4" w:space="0" w:color="auto"/>
              <w:right w:val="single" w:sz="4" w:space="0" w:color="auto"/>
            </w:tcBorders>
            <w:shd w:val="clear" w:color="auto" w:fill="auto"/>
            <w:vAlign w:val="center"/>
            <w:hideMark/>
          </w:tcPr>
          <w:p w14:paraId="77C59571"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tremujore të Bilancit të Pagesave</w:t>
            </w:r>
          </w:p>
        </w:tc>
        <w:tc>
          <w:tcPr>
            <w:tcW w:w="446" w:type="dxa"/>
            <w:tcBorders>
              <w:top w:val="nil"/>
              <w:left w:val="nil"/>
              <w:bottom w:val="single" w:sz="4" w:space="0" w:color="auto"/>
              <w:right w:val="single" w:sz="4" w:space="0" w:color="auto"/>
            </w:tcBorders>
            <w:shd w:val="clear" w:color="auto" w:fill="auto"/>
            <w:vAlign w:val="center"/>
            <w:hideMark/>
          </w:tcPr>
          <w:p w14:paraId="72030144"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noWrap/>
            <w:vAlign w:val="center"/>
            <w:hideMark/>
          </w:tcPr>
          <w:p w14:paraId="7854793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80%</w:t>
            </w:r>
          </w:p>
        </w:tc>
        <w:tc>
          <w:tcPr>
            <w:tcW w:w="301" w:type="dxa"/>
            <w:tcBorders>
              <w:top w:val="nil"/>
              <w:left w:val="nil"/>
              <w:bottom w:val="single" w:sz="4" w:space="0" w:color="auto"/>
              <w:right w:val="single" w:sz="4" w:space="0" w:color="auto"/>
            </w:tcBorders>
            <w:shd w:val="clear" w:color="auto" w:fill="auto"/>
            <w:noWrap/>
            <w:vAlign w:val="center"/>
            <w:hideMark/>
          </w:tcPr>
          <w:p w14:paraId="5BBB72B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20%</w:t>
            </w:r>
          </w:p>
        </w:tc>
        <w:tc>
          <w:tcPr>
            <w:tcW w:w="426" w:type="dxa"/>
            <w:tcBorders>
              <w:top w:val="nil"/>
              <w:left w:val="nil"/>
              <w:bottom w:val="single" w:sz="4" w:space="0" w:color="auto"/>
              <w:right w:val="single" w:sz="4" w:space="0" w:color="auto"/>
            </w:tcBorders>
            <w:shd w:val="clear" w:color="auto" w:fill="auto"/>
            <w:vAlign w:val="center"/>
            <w:hideMark/>
          </w:tcPr>
          <w:p w14:paraId="412CF62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74EC12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single" w:sz="4" w:space="0" w:color="auto"/>
              <w:right w:val="single" w:sz="4" w:space="0" w:color="auto"/>
            </w:tcBorders>
            <w:shd w:val="clear" w:color="000000" w:fill="FFFFFF"/>
            <w:vAlign w:val="center"/>
            <w:hideMark/>
          </w:tcPr>
          <w:p w14:paraId="1F9F09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Bilanci i Pagesave tremujor</w:t>
            </w:r>
          </w:p>
        </w:tc>
        <w:tc>
          <w:tcPr>
            <w:tcW w:w="554" w:type="dxa"/>
            <w:tcBorders>
              <w:top w:val="nil"/>
              <w:left w:val="nil"/>
              <w:bottom w:val="single" w:sz="4" w:space="0" w:color="auto"/>
              <w:right w:val="single" w:sz="4" w:space="0" w:color="auto"/>
            </w:tcBorders>
            <w:shd w:val="clear" w:color="auto" w:fill="auto"/>
            <w:vAlign w:val="center"/>
            <w:hideMark/>
          </w:tcPr>
          <w:p w14:paraId="3336BA42" w14:textId="7444F2A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Instituti i Statistikave</w:t>
            </w:r>
            <w:r w:rsidR="0047434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Ministria e Financave dhe Ekonomisë</w:t>
            </w:r>
            <w:r w:rsidR="0047434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Banka e Shqipërisë</w:t>
            </w:r>
            <w:r w:rsidR="0047434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Drej</w:t>
            </w:r>
            <w:r w:rsidR="00474345" w:rsidRPr="004F2AC3">
              <w:rPr>
                <w:rFonts w:ascii="Garamond" w:eastAsia="Times New Roman" w:hAnsi="Garamond" w:cs="Times New Roman"/>
                <w:color w:val="000000"/>
                <w:sz w:val="10"/>
                <w:szCs w:val="10"/>
                <w:lang w:eastAsia="sq-AL"/>
              </w:rPr>
              <w:t>toria e Përgjithshme e Tatimeve;</w:t>
            </w:r>
            <w:r w:rsidRPr="004F2AC3">
              <w:rPr>
                <w:rFonts w:ascii="Garamond" w:eastAsia="Times New Roman" w:hAnsi="Garamond" w:cs="Times New Roman"/>
                <w:color w:val="000000"/>
                <w:sz w:val="10"/>
                <w:szCs w:val="10"/>
                <w:lang w:eastAsia="sq-AL"/>
              </w:rPr>
              <w:br/>
              <w:t>Drej</w:t>
            </w:r>
            <w:r w:rsidR="00474345" w:rsidRPr="004F2AC3">
              <w:rPr>
                <w:rFonts w:ascii="Garamond" w:eastAsia="Times New Roman" w:hAnsi="Garamond" w:cs="Times New Roman"/>
                <w:color w:val="000000"/>
                <w:sz w:val="10"/>
                <w:szCs w:val="10"/>
                <w:lang w:eastAsia="sq-AL"/>
              </w:rPr>
              <w:t>toria e Përgjithshme e Doganave;</w:t>
            </w:r>
            <w:r w:rsidRPr="004F2AC3">
              <w:rPr>
                <w:rFonts w:ascii="Garamond" w:eastAsia="Times New Roman" w:hAnsi="Garamond" w:cs="Times New Roman"/>
                <w:color w:val="000000"/>
                <w:sz w:val="10"/>
                <w:szCs w:val="10"/>
                <w:lang w:eastAsia="sq-AL"/>
              </w:rPr>
              <w:br/>
              <w:t>Auto</w:t>
            </w:r>
            <w:r w:rsidR="00474345" w:rsidRPr="004F2AC3">
              <w:rPr>
                <w:rFonts w:ascii="Garamond" w:eastAsia="Times New Roman" w:hAnsi="Garamond" w:cs="Times New Roman"/>
                <w:color w:val="000000"/>
                <w:sz w:val="10"/>
                <w:szCs w:val="10"/>
                <w:lang w:eastAsia="sq-AL"/>
              </w:rPr>
              <w:t>riteti i Mbikëqyrjes Financiare;</w:t>
            </w:r>
            <w:r w:rsidRPr="004F2AC3">
              <w:rPr>
                <w:rFonts w:ascii="Garamond" w:eastAsia="Times New Roman" w:hAnsi="Garamond" w:cs="Times New Roman"/>
                <w:color w:val="000000"/>
                <w:sz w:val="10"/>
                <w:szCs w:val="10"/>
                <w:lang w:eastAsia="sq-AL"/>
              </w:rPr>
              <w:br/>
              <w:t>Autoriteti i Kë</w:t>
            </w:r>
            <w:r w:rsidR="00474345" w:rsidRPr="004F2AC3">
              <w:rPr>
                <w:rFonts w:ascii="Garamond" w:eastAsia="Times New Roman" w:hAnsi="Garamond" w:cs="Times New Roman"/>
                <w:color w:val="000000"/>
                <w:sz w:val="10"/>
                <w:szCs w:val="10"/>
                <w:lang w:eastAsia="sq-AL"/>
              </w:rPr>
              <w:t>rkimit Shkencor dhe Inovacionit;</w:t>
            </w:r>
            <w:r w:rsidRPr="004F2AC3">
              <w:rPr>
                <w:rFonts w:ascii="Garamond" w:eastAsia="Times New Roman" w:hAnsi="Garamond" w:cs="Times New Roman"/>
                <w:color w:val="000000"/>
                <w:sz w:val="10"/>
                <w:szCs w:val="10"/>
                <w:lang w:eastAsia="sq-AL"/>
              </w:rPr>
              <w:br/>
              <w:t>Agjenci</w:t>
            </w:r>
            <w:r w:rsidR="00474345" w:rsidRPr="004F2AC3">
              <w:rPr>
                <w:rFonts w:ascii="Garamond" w:eastAsia="Times New Roman" w:hAnsi="Garamond" w:cs="Times New Roman"/>
                <w:color w:val="000000"/>
                <w:sz w:val="10"/>
                <w:szCs w:val="10"/>
                <w:lang w:eastAsia="sq-AL"/>
              </w:rPr>
              <w:t>a Kombëtare e Burimeve Natyrore;</w:t>
            </w:r>
            <w:r w:rsidRPr="004F2AC3">
              <w:rPr>
                <w:rFonts w:ascii="Garamond" w:eastAsia="Times New Roman" w:hAnsi="Garamond" w:cs="Times New Roman"/>
                <w:color w:val="000000"/>
                <w:sz w:val="10"/>
                <w:szCs w:val="10"/>
                <w:lang w:eastAsia="sq-AL"/>
              </w:rPr>
              <w:br/>
              <w:t>Qendra Kombëtare 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Biznesit</w:t>
            </w:r>
            <w:r w:rsidR="0047434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Drejtoria për Kufirin dhe Migracionin</w:t>
            </w:r>
            <w:r w:rsidR="00474345"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5594336B" w14:textId="7656158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Banka e </w:t>
            </w:r>
            <w:r w:rsidR="0070619F" w:rsidRPr="004F2AC3">
              <w:rPr>
                <w:rFonts w:ascii="Garamond" w:eastAsia="Times New Roman" w:hAnsi="Garamond" w:cs="Times New Roman"/>
                <w:color w:val="000000"/>
                <w:sz w:val="10"/>
                <w:szCs w:val="10"/>
                <w:lang w:eastAsia="sq-AL"/>
              </w:rPr>
              <w:t>Shqipërisë</w:t>
            </w:r>
          </w:p>
        </w:tc>
        <w:tc>
          <w:tcPr>
            <w:tcW w:w="466" w:type="dxa"/>
            <w:tcBorders>
              <w:top w:val="nil"/>
              <w:left w:val="nil"/>
              <w:bottom w:val="single" w:sz="4" w:space="0" w:color="auto"/>
              <w:right w:val="single" w:sz="4" w:space="0" w:color="auto"/>
            </w:tcBorders>
            <w:shd w:val="clear" w:color="000000" w:fill="FFFFFF"/>
            <w:vAlign w:val="center"/>
            <w:hideMark/>
          </w:tcPr>
          <w:p w14:paraId="3185679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+ 60D</w:t>
            </w:r>
          </w:p>
        </w:tc>
        <w:tc>
          <w:tcPr>
            <w:tcW w:w="385" w:type="dxa"/>
            <w:tcBorders>
              <w:top w:val="nil"/>
              <w:left w:val="nil"/>
              <w:bottom w:val="single" w:sz="4" w:space="0" w:color="auto"/>
              <w:right w:val="single" w:sz="4" w:space="0" w:color="auto"/>
            </w:tcBorders>
            <w:shd w:val="clear" w:color="000000" w:fill="FFFFFF"/>
            <w:vAlign w:val="center"/>
            <w:hideMark/>
          </w:tcPr>
          <w:p w14:paraId="65E4C06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+ 80D</w:t>
            </w:r>
          </w:p>
        </w:tc>
        <w:tc>
          <w:tcPr>
            <w:tcW w:w="361" w:type="dxa"/>
            <w:tcBorders>
              <w:top w:val="nil"/>
              <w:left w:val="nil"/>
              <w:bottom w:val="single" w:sz="4" w:space="0" w:color="auto"/>
              <w:right w:val="single" w:sz="4" w:space="0" w:color="auto"/>
            </w:tcBorders>
            <w:shd w:val="clear" w:color="000000" w:fill="FFFFFF"/>
            <w:vAlign w:val="center"/>
            <w:hideMark/>
          </w:tcPr>
          <w:p w14:paraId="13B655D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+ 85D</w:t>
            </w:r>
          </w:p>
        </w:tc>
        <w:tc>
          <w:tcPr>
            <w:tcW w:w="732" w:type="dxa"/>
            <w:tcBorders>
              <w:top w:val="nil"/>
              <w:left w:val="nil"/>
              <w:bottom w:val="single" w:sz="4" w:space="0" w:color="auto"/>
              <w:right w:val="single" w:sz="4" w:space="0" w:color="auto"/>
            </w:tcBorders>
            <w:shd w:val="clear" w:color="auto" w:fill="auto"/>
            <w:vAlign w:val="center"/>
            <w:hideMark/>
          </w:tcPr>
          <w:p w14:paraId="5507B67A" w14:textId="7A8F1AC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 së të dhënave nga burimet administrative. -|- 2</w:t>
            </w:r>
            <w:r w:rsidRPr="004F2AC3">
              <w:rPr>
                <w:rFonts w:ascii="Garamond" w:eastAsia="Times New Roman" w:hAnsi="Garamond" w:cs="Times New Roman"/>
                <w:color w:val="000000"/>
                <w:sz w:val="10"/>
                <w:szCs w:val="10"/>
                <w:lang w:eastAsia="sq-AL"/>
              </w:rPr>
              <w:br/>
              <w:t>2. Mosrespektimi i afateve të vrojtimit në terren -|- 2</w:t>
            </w:r>
            <w:r w:rsidRPr="004F2AC3">
              <w:rPr>
                <w:rFonts w:ascii="Garamond" w:eastAsia="Times New Roman" w:hAnsi="Garamond" w:cs="Times New Roman"/>
                <w:color w:val="000000"/>
                <w:sz w:val="10"/>
                <w:szCs w:val="10"/>
                <w:lang w:eastAsia="sq-AL"/>
              </w:rPr>
              <w:br/>
              <w:t>3. Informacion jo i plotë, i pa-</w:t>
            </w:r>
            <w:r w:rsidR="0070619F" w:rsidRPr="004F2AC3">
              <w:rPr>
                <w:rFonts w:ascii="Garamond" w:eastAsia="Times New Roman" w:hAnsi="Garamond" w:cs="Times New Roman"/>
                <w:color w:val="000000"/>
                <w:sz w:val="10"/>
                <w:szCs w:val="10"/>
                <w:lang w:eastAsia="sq-AL"/>
              </w:rPr>
              <w:t>standardizuar</w:t>
            </w:r>
            <w:r w:rsidRPr="004F2AC3">
              <w:rPr>
                <w:rFonts w:ascii="Garamond" w:eastAsia="Times New Roman" w:hAnsi="Garamond" w:cs="Times New Roman"/>
                <w:color w:val="000000"/>
                <w:sz w:val="10"/>
                <w:szCs w:val="10"/>
                <w:lang w:eastAsia="sq-AL"/>
              </w:rPr>
              <w:t>, me gabime -|- 2</w:t>
            </w:r>
          </w:p>
        </w:tc>
        <w:tc>
          <w:tcPr>
            <w:tcW w:w="551" w:type="dxa"/>
            <w:tcBorders>
              <w:top w:val="nil"/>
              <w:left w:val="nil"/>
              <w:bottom w:val="single" w:sz="4" w:space="0" w:color="auto"/>
              <w:right w:val="single" w:sz="4" w:space="0" w:color="auto"/>
            </w:tcBorders>
            <w:shd w:val="clear" w:color="auto" w:fill="auto"/>
            <w:vAlign w:val="center"/>
            <w:hideMark/>
          </w:tcPr>
          <w:p w14:paraId="23F047F4" w14:textId="7BA5CBC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Buxheti i </w:t>
            </w:r>
            <w:r w:rsidR="0070619F" w:rsidRPr="004F2AC3">
              <w:rPr>
                <w:rFonts w:ascii="Garamond" w:eastAsia="Times New Roman" w:hAnsi="Garamond" w:cs="Times New Roman"/>
                <w:color w:val="000000"/>
                <w:sz w:val="10"/>
                <w:szCs w:val="10"/>
                <w:lang w:eastAsia="sq-AL"/>
              </w:rPr>
              <w:t>Bankës</w:t>
            </w:r>
          </w:p>
        </w:tc>
      </w:tr>
      <w:tr w:rsidR="00C73163" w:rsidRPr="004F2AC3" w14:paraId="15F34198" w14:textId="77777777" w:rsidTr="0021321C">
        <w:trPr>
          <w:trHeight w:val="180"/>
          <w:jc w:val="center"/>
        </w:trPr>
        <w:tc>
          <w:tcPr>
            <w:tcW w:w="388" w:type="dxa"/>
            <w:tcBorders>
              <w:top w:val="nil"/>
              <w:left w:val="nil"/>
              <w:bottom w:val="nil"/>
              <w:right w:val="nil"/>
            </w:tcBorders>
            <w:shd w:val="clear" w:color="000000" w:fill="FFFFFF"/>
            <w:vAlign w:val="bottom"/>
            <w:hideMark/>
          </w:tcPr>
          <w:p w14:paraId="650736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0CA19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440AD8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04EA53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425AC5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45057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69441F9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3.6.1.2</w:t>
            </w:r>
          </w:p>
        </w:tc>
        <w:tc>
          <w:tcPr>
            <w:tcW w:w="563" w:type="dxa"/>
            <w:tcBorders>
              <w:top w:val="nil"/>
              <w:left w:val="nil"/>
              <w:bottom w:val="nil"/>
              <w:right w:val="single" w:sz="4" w:space="0" w:color="auto"/>
            </w:tcBorders>
            <w:shd w:val="clear" w:color="auto" w:fill="auto"/>
            <w:vAlign w:val="center"/>
            <w:hideMark/>
          </w:tcPr>
          <w:p w14:paraId="757BF94E"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mujore të Bilancit të Pagesave</w:t>
            </w:r>
          </w:p>
        </w:tc>
        <w:tc>
          <w:tcPr>
            <w:tcW w:w="446" w:type="dxa"/>
            <w:tcBorders>
              <w:top w:val="nil"/>
              <w:left w:val="nil"/>
              <w:bottom w:val="nil"/>
              <w:right w:val="single" w:sz="4" w:space="0" w:color="auto"/>
            </w:tcBorders>
            <w:shd w:val="clear" w:color="auto" w:fill="auto"/>
            <w:vAlign w:val="center"/>
            <w:hideMark/>
          </w:tcPr>
          <w:p w14:paraId="30181A4D"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Kombinim i burimeve administrative dhe vrojtimeve</w:t>
            </w:r>
          </w:p>
        </w:tc>
        <w:tc>
          <w:tcPr>
            <w:tcW w:w="450" w:type="dxa"/>
            <w:tcBorders>
              <w:top w:val="nil"/>
              <w:left w:val="nil"/>
              <w:bottom w:val="nil"/>
              <w:right w:val="single" w:sz="4" w:space="0" w:color="auto"/>
            </w:tcBorders>
            <w:shd w:val="clear" w:color="auto" w:fill="auto"/>
            <w:noWrap/>
            <w:vAlign w:val="center"/>
            <w:hideMark/>
          </w:tcPr>
          <w:p w14:paraId="27B5C44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80%</w:t>
            </w:r>
          </w:p>
        </w:tc>
        <w:tc>
          <w:tcPr>
            <w:tcW w:w="301" w:type="dxa"/>
            <w:tcBorders>
              <w:top w:val="nil"/>
              <w:left w:val="nil"/>
              <w:bottom w:val="nil"/>
              <w:right w:val="single" w:sz="4" w:space="0" w:color="auto"/>
            </w:tcBorders>
            <w:shd w:val="clear" w:color="auto" w:fill="auto"/>
            <w:noWrap/>
            <w:vAlign w:val="center"/>
            <w:hideMark/>
          </w:tcPr>
          <w:p w14:paraId="0337BC8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20%</w:t>
            </w:r>
          </w:p>
        </w:tc>
        <w:tc>
          <w:tcPr>
            <w:tcW w:w="426" w:type="dxa"/>
            <w:tcBorders>
              <w:top w:val="nil"/>
              <w:left w:val="nil"/>
              <w:bottom w:val="nil"/>
              <w:right w:val="single" w:sz="4" w:space="0" w:color="auto"/>
            </w:tcBorders>
            <w:shd w:val="clear" w:color="auto" w:fill="auto"/>
            <w:vAlign w:val="center"/>
            <w:hideMark/>
          </w:tcPr>
          <w:p w14:paraId="0C4732C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auto"/>
            </w:tcBorders>
            <w:shd w:val="clear" w:color="auto" w:fill="auto"/>
            <w:vAlign w:val="center"/>
            <w:hideMark/>
          </w:tcPr>
          <w:p w14:paraId="2273993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nil"/>
              <w:right w:val="single" w:sz="4" w:space="0" w:color="auto"/>
            </w:tcBorders>
            <w:shd w:val="clear" w:color="000000" w:fill="FFFFFF"/>
            <w:vAlign w:val="center"/>
            <w:hideMark/>
          </w:tcPr>
          <w:p w14:paraId="47C9C82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Bilanci i Pagesave mujor</w:t>
            </w:r>
          </w:p>
        </w:tc>
        <w:tc>
          <w:tcPr>
            <w:tcW w:w="554" w:type="dxa"/>
            <w:tcBorders>
              <w:top w:val="nil"/>
              <w:left w:val="nil"/>
              <w:bottom w:val="nil"/>
              <w:right w:val="single" w:sz="4" w:space="0" w:color="auto"/>
            </w:tcBorders>
            <w:shd w:val="clear" w:color="auto" w:fill="auto"/>
            <w:vAlign w:val="center"/>
            <w:hideMark/>
          </w:tcPr>
          <w:p w14:paraId="23109AC9" w14:textId="435EC00D" w:rsidR="0021321C" w:rsidRPr="004F2AC3" w:rsidRDefault="00474345"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Instituti i Statistikave;</w:t>
            </w:r>
            <w:r w:rsidR="0021321C" w:rsidRPr="004F2AC3">
              <w:rPr>
                <w:rFonts w:ascii="Garamond" w:eastAsia="Times New Roman" w:hAnsi="Garamond" w:cs="Times New Roman"/>
                <w:color w:val="000000"/>
                <w:sz w:val="10"/>
                <w:szCs w:val="10"/>
                <w:lang w:eastAsia="sq-AL"/>
              </w:rPr>
              <w:br/>
              <w:t>Ministria e Financave dhe Ekonomisë</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Banka e Shqipërisë</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Drejtoria e Përgjithshme e Tatimeve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Drejtoria e Përgjithshme e Doganave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Auto</w:t>
            </w:r>
            <w:r w:rsidRPr="004F2AC3">
              <w:rPr>
                <w:rFonts w:ascii="Garamond" w:eastAsia="Times New Roman" w:hAnsi="Garamond" w:cs="Times New Roman"/>
                <w:color w:val="000000"/>
                <w:sz w:val="10"/>
                <w:szCs w:val="10"/>
                <w:lang w:eastAsia="sq-AL"/>
              </w:rPr>
              <w:t>riteti i Mbikëqyrjes Financiare;</w:t>
            </w:r>
            <w:r w:rsidR="0021321C" w:rsidRPr="004F2AC3">
              <w:rPr>
                <w:rFonts w:ascii="Garamond" w:eastAsia="Times New Roman" w:hAnsi="Garamond" w:cs="Times New Roman"/>
                <w:color w:val="000000"/>
                <w:sz w:val="10"/>
                <w:szCs w:val="10"/>
                <w:lang w:eastAsia="sq-AL"/>
              </w:rPr>
              <w:br/>
              <w:t>Autoriteti i Kërkimit Shkencor dhe Inovacionit</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Agjenci</w:t>
            </w:r>
            <w:r w:rsidRPr="004F2AC3">
              <w:rPr>
                <w:rFonts w:ascii="Garamond" w:eastAsia="Times New Roman" w:hAnsi="Garamond" w:cs="Times New Roman"/>
                <w:color w:val="000000"/>
                <w:sz w:val="10"/>
                <w:szCs w:val="10"/>
                <w:lang w:eastAsia="sq-AL"/>
              </w:rPr>
              <w:t>a Kombëtare e Burimeve Natyrore;</w:t>
            </w:r>
            <w:r w:rsidR="0021321C" w:rsidRPr="004F2AC3">
              <w:rPr>
                <w:rFonts w:ascii="Garamond" w:eastAsia="Times New Roman" w:hAnsi="Garamond" w:cs="Times New Roman"/>
                <w:color w:val="000000"/>
                <w:sz w:val="10"/>
                <w:szCs w:val="10"/>
                <w:lang w:eastAsia="sq-AL"/>
              </w:rPr>
              <w:br/>
              <w:t>Qendra Kombëtare 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Biznesit.</w:t>
            </w:r>
          </w:p>
        </w:tc>
        <w:tc>
          <w:tcPr>
            <w:tcW w:w="413" w:type="dxa"/>
            <w:tcBorders>
              <w:top w:val="nil"/>
              <w:left w:val="nil"/>
              <w:bottom w:val="nil"/>
              <w:right w:val="single" w:sz="4" w:space="0" w:color="auto"/>
            </w:tcBorders>
            <w:shd w:val="clear" w:color="auto" w:fill="auto"/>
            <w:vAlign w:val="center"/>
            <w:hideMark/>
          </w:tcPr>
          <w:p w14:paraId="4F0ED08F" w14:textId="2B41FDF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Banka e </w:t>
            </w:r>
            <w:r w:rsidR="0070619F" w:rsidRPr="004F2AC3">
              <w:rPr>
                <w:rFonts w:ascii="Garamond" w:eastAsia="Times New Roman" w:hAnsi="Garamond" w:cs="Times New Roman"/>
                <w:color w:val="000000"/>
                <w:sz w:val="10"/>
                <w:szCs w:val="10"/>
                <w:lang w:eastAsia="sq-AL"/>
              </w:rPr>
              <w:t>Shqipërisë</w:t>
            </w:r>
          </w:p>
        </w:tc>
        <w:tc>
          <w:tcPr>
            <w:tcW w:w="466" w:type="dxa"/>
            <w:tcBorders>
              <w:top w:val="nil"/>
              <w:left w:val="nil"/>
              <w:bottom w:val="nil"/>
              <w:right w:val="single" w:sz="4" w:space="0" w:color="auto"/>
            </w:tcBorders>
            <w:shd w:val="clear" w:color="000000" w:fill="FFFFFF"/>
            <w:vAlign w:val="center"/>
            <w:hideMark/>
          </w:tcPr>
          <w:p w14:paraId="0663D8F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+ 50D</w:t>
            </w:r>
          </w:p>
        </w:tc>
        <w:tc>
          <w:tcPr>
            <w:tcW w:w="385" w:type="dxa"/>
            <w:tcBorders>
              <w:top w:val="nil"/>
              <w:left w:val="nil"/>
              <w:bottom w:val="nil"/>
              <w:right w:val="single" w:sz="4" w:space="0" w:color="auto"/>
            </w:tcBorders>
            <w:shd w:val="clear" w:color="000000" w:fill="FFFFFF"/>
            <w:vAlign w:val="center"/>
            <w:hideMark/>
          </w:tcPr>
          <w:p w14:paraId="3F882FF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+ 60D</w:t>
            </w:r>
          </w:p>
        </w:tc>
        <w:tc>
          <w:tcPr>
            <w:tcW w:w="361" w:type="dxa"/>
            <w:tcBorders>
              <w:top w:val="nil"/>
              <w:left w:val="nil"/>
              <w:bottom w:val="nil"/>
              <w:right w:val="single" w:sz="4" w:space="0" w:color="auto"/>
            </w:tcBorders>
            <w:shd w:val="clear" w:color="000000" w:fill="FFFFFF"/>
            <w:vAlign w:val="center"/>
            <w:hideMark/>
          </w:tcPr>
          <w:p w14:paraId="66A5BAB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+ 75D</w:t>
            </w:r>
          </w:p>
        </w:tc>
        <w:tc>
          <w:tcPr>
            <w:tcW w:w="732" w:type="dxa"/>
            <w:tcBorders>
              <w:top w:val="nil"/>
              <w:left w:val="nil"/>
              <w:bottom w:val="nil"/>
              <w:right w:val="single" w:sz="4" w:space="0" w:color="auto"/>
            </w:tcBorders>
            <w:shd w:val="clear" w:color="auto" w:fill="auto"/>
            <w:vAlign w:val="center"/>
            <w:hideMark/>
          </w:tcPr>
          <w:p w14:paraId="7EF945C9" w14:textId="532006F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 së të dhënave nga burimet administrative. -|- 2</w:t>
            </w:r>
            <w:r w:rsidRPr="004F2AC3">
              <w:rPr>
                <w:rFonts w:ascii="Garamond" w:eastAsia="Times New Roman" w:hAnsi="Garamond" w:cs="Times New Roman"/>
                <w:color w:val="000000"/>
                <w:sz w:val="10"/>
                <w:szCs w:val="10"/>
                <w:lang w:eastAsia="sq-AL"/>
              </w:rPr>
              <w:br/>
              <w:t>2. Mosrespektimi i afateve të vrojtimit në terren -|- 2</w:t>
            </w:r>
            <w:r w:rsidRPr="004F2AC3">
              <w:rPr>
                <w:rFonts w:ascii="Garamond" w:eastAsia="Times New Roman" w:hAnsi="Garamond" w:cs="Times New Roman"/>
                <w:color w:val="000000"/>
                <w:sz w:val="10"/>
                <w:szCs w:val="10"/>
                <w:lang w:eastAsia="sq-AL"/>
              </w:rPr>
              <w:br/>
              <w:t>3. Informacion jo i plotë, i pa-</w:t>
            </w:r>
            <w:r w:rsidR="0070619F" w:rsidRPr="004F2AC3">
              <w:rPr>
                <w:rFonts w:ascii="Garamond" w:eastAsia="Times New Roman" w:hAnsi="Garamond" w:cs="Times New Roman"/>
                <w:color w:val="000000"/>
                <w:sz w:val="10"/>
                <w:szCs w:val="10"/>
                <w:lang w:eastAsia="sq-AL"/>
              </w:rPr>
              <w:t>standardizuar</w:t>
            </w:r>
            <w:r w:rsidRPr="004F2AC3">
              <w:rPr>
                <w:rFonts w:ascii="Garamond" w:eastAsia="Times New Roman" w:hAnsi="Garamond" w:cs="Times New Roman"/>
                <w:color w:val="000000"/>
                <w:sz w:val="10"/>
                <w:szCs w:val="10"/>
                <w:lang w:eastAsia="sq-AL"/>
              </w:rPr>
              <w:t>, me gabime -|- 2</w:t>
            </w:r>
          </w:p>
        </w:tc>
        <w:tc>
          <w:tcPr>
            <w:tcW w:w="551" w:type="dxa"/>
            <w:tcBorders>
              <w:top w:val="nil"/>
              <w:left w:val="nil"/>
              <w:bottom w:val="nil"/>
              <w:right w:val="single" w:sz="4" w:space="0" w:color="auto"/>
            </w:tcBorders>
            <w:shd w:val="clear" w:color="auto" w:fill="auto"/>
            <w:vAlign w:val="center"/>
            <w:hideMark/>
          </w:tcPr>
          <w:p w14:paraId="3BF73684" w14:textId="6AD985E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Buxheti i </w:t>
            </w:r>
            <w:r w:rsidR="0070619F" w:rsidRPr="004F2AC3">
              <w:rPr>
                <w:rFonts w:ascii="Garamond" w:eastAsia="Times New Roman" w:hAnsi="Garamond" w:cs="Times New Roman"/>
                <w:color w:val="000000"/>
                <w:sz w:val="10"/>
                <w:szCs w:val="10"/>
                <w:lang w:eastAsia="sq-AL"/>
              </w:rPr>
              <w:t>Bankës</w:t>
            </w:r>
          </w:p>
        </w:tc>
      </w:tr>
      <w:tr w:rsidR="0021321C" w:rsidRPr="004F2AC3" w14:paraId="299203F5" w14:textId="77777777" w:rsidTr="0021321C">
        <w:trPr>
          <w:trHeight w:val="180"/>
          <w:jc w:val="center"/>
        </w:trPr>
        <w:tc>
          <w:tcPr>
            <w:tcW w:w="388" w:type="dxa"/>
            <w:tcBorders>
              <w:top w:val="nil"/>
              <w:left w:val="nil"/>
              <w:bottom w:val="nil"/>
              <w:right w:val="nil"/>
            </w:tcBorders>
            <w:shd w:val="clear" w:color="000000" w:fill="FFFFFF"/>
            <w:vAlign w:val="bottom"/>
            <w:hideMark/>
          </w:tcPr>
          <w:p w14:paraId="30281D5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DF96F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53C976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08A41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02F75DB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3.6.2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6D236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tremujore të Pozicionit të Investimeve Ndërkombëtare</w:t>
            </w:r>
          </w:p>
        </w:tc>
      </w:tr>
      <w:tr w:rsidR="00C73163" w:rsidRPr="004F2AC3" w14:paraId="33753D9B" w14:textId="77777777" w:rsidTr="0021321C">
        <w:trPr>
          <w:trHeight w:val="180"/>
          <w:jc w:val="center"/>
        </w:trPr>
        <w:tc>
          <w:tcPr>
            <w:tcW w:w="388" w:type="dxa"/>
            <w:tcBorders>
              <w:top w:val="nil"/>
              <w:left w:val="nil"/>
              <w:bottom w:val="nil"/>
              <w:right w:val="nil"/>
            </w:tcBorders>
            <w:shd w:val="clear" w:color="000000" w:fill="FFFFFF"/>
            <w:vAlign w:val="bottom"/>
            <w:hideMark/>
          </w:tcPr>
          <w:p w14:paraId="61AEA10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36446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901296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C9EC05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146AF7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FC62F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nil"/>
              <w:right w:val="single" w:sz="4" w:space="0" w:color="auto"/>
            </w:tcBorders>
            <w:shd w:val="clear" w:color="auto" w:fill="auto"/>
            <w:vAlign w:val="center"/>
            <w:hideMark/>
          </w:tcPr>
          <w:p w14:paraId="31189E5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3.6.2.1</w:t>
            </w:r>
          </w:p>
        </w:tc>
        <w:tc>
          <w:tcPr>
            <w:tcW w:w="563" w:type="dxa"/>
            <w:tcBorders>
              <w:top w:val="nil"/>
              <w:left w:val="nil"/>
              <w:bottom w:val="nil"/>
              <w:right w:val="single" w:sz="4" w:space="0" w:color="auto"/>
            </w:tcBorders>
            <w:shd w:val="clear" w:color="auto" w:fill="auto"/>
            <w:vAlign w:val="center"/>
            <w:hideMark/>
          </w:tcPr>
          <w:p w14:paraId="188001F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tremujore të Pozicionit të Investimeve Ndërkombëtare</w:t>
            </w:r>
          </w:p>
        </w:tc>
        <w:tc>
          <w:tcPr>
            <w:tcW w:w="446" w:type="dxa"/>
            <w:tcBorders>
              <w:top w:val="nil"/>
              <w:left w:val="nil"/>
              <w:bottom w:val="nil"/>
              <w:right w:val="single" w:sz="4" w:space="0" w:color="auto"/>
            </w:tcBorders>
            <w:shd w:val="clear" w:color="auto" w:fill="auto"/>
            <w:vAlign w:val="center"/>
            <w:hideMark/>
          </w:tcPr>
          <w:p w14:paraId="01D94D8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noWrap/>
            <w:vAlign w:val="center"/>
            <w:hideMark/>
          </w:tcPr>
          <w:p w14:paraId="08812A1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80%</w:t>
            </w:r>
          </w:p>
        </w:tc>
        <w:tc>
          <w:tcPr>
            <w:tcW w:w="301" w:type="dxa"/>
            <w:tcBorders>
              <w:top w:val="nil"/>
              <w:left w:val="nil"/>
              <w:bottom w:val="single" w:sz="4" w:space="0" w:color="auto"/>
              <w:right w:val="single" w:sz="4" w:space="0" w:color="auto"/>
            </w:tcBorders>
            <w:shd w:val="clear" w:color="auto" w:fill="auto"/>
            <w:noWrap/>
            <w:vAlign w:val="center"/>
            <w:hideMark/>
          </w:tcPr>
          <w:p w14:paraId="5E385E3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20%</w:t>
            </w:r>
          </w:p>
        </w:tc>
        <w:tc>
          <w:tcPr>
            <w:tcW w:w="426" w:type="dxa"/>
            <w:tcBorders>
              <w:top w:val="nil"/>
              <w:left w:val="nil"/>
              <w:bottom w:val="single" w:sz="4" w:space="0" w:color="auto"/>
              <w:right w:val="single" w:sz="4" w:space="0" w:color="auto"/>
            </w:tcBorders>
            <w:shd w:val="clear" w:color="auto" w:fill="auto"/>
            <w:vAlign w:val="center"/>
            <w:hideMark/>
          </w:tcPr>
          <w:p w14:paraId="33844F9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75EE7E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single" w:sz="4" w:space="0" w:color="auto"/>
              <w:right w:val="single" w:sz="4" w:space="0" w:color="auto"/>
            </w:tcBorders>
            <w:shd w:val="clear" w:color="000000" w:fill="FFFFFF"/>
            <w:vAlign w:val="center"/>
            <w:hideMark/>
          </w:tcPr>
          <w:p w14:paraId="5973AC0D" w14:textId="6E84013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Pozicioni i investimeve ndërkombëtare sipas kategorive funksionale/instrumenteve/sektorëve institucionalë dhe sipas maturitetit</w:t>
            </w:r>
            <w:r w:rsidR="00474345"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459C53F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Banka e Shqipërisë</w:t>
            </w:r>
          </w:p>
        </w:tc>
        <w:tc>
          <w:tcPr>
            <w:tcW w:w="413" w:type="dxa"/>
            <w:tcBorders>
              <w:top w:val="nil"/>
              <w:left w:val="nil"/>
              <w:bottom w:val="single" w:sz="4" w:space="0" w:color="auto"/>
              <w:right w:val="single" w:sz="4" w:space="0" w:color="auto"/>
            </w:tcBorders>
            <w:shd w:val="clear" w:color="000000" w:fill="FFFFFF"/>
            <w:vAlign w:val="center"/>
            <w:hideMark/>
          </w:tcPr>
          <w:p w14:paraId="194D7A54" w14:textId="2FBA39F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474345"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Ministria e Financave</w:t>
            </w:r>
            <w:r w:rsidR="0047434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 xml:space="preserve"> Banka e Shqipërisë</w:t>
            </w:r>
            <w:r w:rsidR="0047434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 Drej</w:t>
            </w:r>
            <w:r w:rsidR="00474345" w:rsidRPr="004F2AC3">
              <w:rPr>
                <w:rFonts w:ascii="Garamond" w:eastAsia="Times New Roman" w:hAnsi="Garamond" w:cs="Times New Roman"/>
                <w:color w:val="000000"/>
                <w:sz w:val="10"/>
                <w:szCs w:val="10"/>
                <w:lang w:eastAsia="sq-AL"/>
              </w:rPr>
              <w:t>toria e Përgjithshme e Tatimeve;</w:t>
            </w:r>
            <w:r w:rsidRPr="004F2AC3">
              <w:rPr>
                <w:rFonts w:ascii="Garamond" w:eastAsia="Times New Roman" w:hAnsi="Garamond" w:cs="Times New Roman"/>
                <w:color w:val="000000"/>
                <w:sz w:val="10"/>
                <w:szCs w:val="10"/>
                <w:lang w:eastAsia="sq-AL"/>
              </w:rPr>
              <w:br/>
              <w:t>Autoriteti i Mbikëqyrjes Financiare</w:t>
            </w:r>
            <w:r w:rsidR="0047434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Agjencia Kombëtare e Burimeve Natyrore</w:t>
            </w:r>
            <w:r w:rsidR="0047434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Qendra Kombëtare 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Biznesit</w:t>
            </w:r>
            <w:r w:rsidR="00474345" w:rsidRPr="004F2AC3">
              <w:rPr>
                <w:rFonts w:ascii="Garamond" w:eastAsia="Times New Roman" w:hAnsi="Garamond" w:cs="Times New Roman"/>
                <w:color w:val="000000"/>
                <w:sz w:val="10"/>
                <w:szCs w:val="10"/>
                <w:lang w:eastAsia="sq-AL"/>
              </w:rPr>
              <w:t>.</w:t>
            </w:r>
          </w:p>
        </w:tc>
        <w:tc>
          <w:tcPr>
            <w:tcW w:w="466" w:type="dxa"/>
            <w:tcBorders>
              <w:top w:val="nil"/>
              <w:left w:val="nil"/>
              <w:bottom w:val="single" w:sz="4" w:space="0" w:color="auto"/>
              <w:right w:val="single" w:sz="4" w:space="0" w:color="auto"/>
            </w:tcBorders>
            <w:shd w:val="clear" w:color="000000" w:fill="FFFFFF"/>
            <w:vAlign w:val="center"/>
            <w:hideMark/>
          </w:tcPr>
          <w:p w14:paraId="4C5AB55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+ 60 D</w:t>
            </w:r>
          </w:p>
        </w:tc>
        <w:tc>
          <w:tcPr>
            <w:tcW w:w="385" w:type="dxa"/>
            <w:tcBorders>
              <w:top w:val="nil"/>
              <w:left w:val="nil"/>
              <w:bottom w:val="single" w:sz="4" w:space="0" w:color="auto"/>
              <w:right w:val="single" w:sz="4" w:space="0" w:color="auto"/>
            </w:tcBorders>
            <w:shd w:val="clear" w:color="000000" w:fill="FFFFFF"/>
            <w:vAlign w:val="center"/>
            <w:hideMark/>
          </w:tcPr>
          <w:p w14:paraId="4EEAC53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+ 80 D</w:t>
            </w:r>
          </w:p>
        </w:tc>
        <w:tc>
          <w:tcPr>
            <w:tcW w:w="361" w:type="dxa"/>
            <w:tcBorders>
              <w:top w:val="nil"/>
              <w:left w:val="nil"/>
              <w:bottom w:val="nil"/>
              <w:right w:val="single" w:sz="4" w:space="0" w:color="auto"/>
            </w:tcBorders>
            <w:shd w:val="clear" w:color="000000" w:fill="FFFFFF"/>
            <w:vAlign w:val="center"/>
            <w:hideMark/>
          </w:tcPr>
          <w:p w14:paraId="1F9D5C5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T+85 D</w:t>
            </w:r>
          </w:p>
        </w:tc>
        <w:tc>
          <w:tcPr>
            <w:tcW w:w="732" w:type="dxa"/>
            <w:tcBorders>
              <w:top w:val="nil"/>
              <w:left w:val="nil"/>
              <w:bottom w:val="single" w:sz="4" w:space="0" w:color="auto"/>
              <w:right w:val="single" w:sz="4" w:space="0" w:color="auto"/>
            </w:tcBorders>
            <w:shd w:val="clear" w:color="auto" w:fill="auto"/>
            <w:vAlign w:val="center"/>
            <w:hideMark/>
          </w:tcPr>
          <w:p w14:paraId="72EC9C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Vonesat e marrjes së të dhënave nga burimet administrative -|- 2</w:t>
            </w:r>
            <w:r w:rsidRPr="004F2AC3">
              <w:rPr>
                <w:rFonts w:ascii="Garamond" w:eastAsia="Times New Roman" w:hAnsi="Garamond" w:cs="Times New Roman"/>
                <w:color w:val="000000"/>
                <w:sz w:val="10"/>
                <w:szCs w:val="10"/>
                <w:lang w:eastAsia="sq-AL"/>
              </w:rPr>
              <w:br/>
              <w:t>2. Mosrespektimi i afateve të raportimit direkt -|- 2</w:t>
            </w:r>
            <w:r w:rsidRPr="004F2AC3">
              <w:rPr>
                <w:rFonts w:ascii="Garamond" w:eastAsia="Times New Roman" w:hAnsi="Garamond" w:cs="Times New Roman"/>
                <w:color w:val="000000"/>
                <w:sz w:val="10"/>
                <w:szCs w:val="10"/>
                <w:lang w:eastAsia="sq-AL"/>
              </w:rPr>
              <w:br/>
              <w:t>3. Informacion jo i plotë, i pa-standardizuar -|- 2</w:t>
            </w:r>
            <w:r w:rsidRPr="004F2AC3">
              <w:rPr>
                <w:rFonts w:ascii="Garamond" w:eastAsia="Times New Roman" w:hAnsi="Garamond" w:cs="Times New Roman"/>
                <w:color w:val="000000"/>
                <w:sz w:val="10"/>
                <w:szCs w:val="10"/>
                <w:lang w:eastAsia="sq-AL"/>
              </w:rPr>
              <w:br/>
              <w:t>4. Gabime të bëra nga stafi ekspert gjatë përpunimit dhe nxjerrjes së rezultateve -|- 2</w:t>
            </w:r>
          </w:p>
        </w:tc>
        <w:tc>
          <w:tcPr>
            <w:tcW w:w="551" w:type="dxa"/>
            <w:tcBorders>
              <w:top w:val="nil"/>
              <w:left w:val="nil"/>
              <w:bottom w:val="single" w:sz="4" w:space="0" w:color="auto"/>
              <w:right w:val="single" w:sz="4" w:space="0" w:color="auto"/>
            </w:tcBorders>
            <w:shd w:val="clear" w:color="auto" w:fill="auto"/>
            <w:vAlign w:val="center"/>
            <w:hideMark/>
          </w:tcPr>
          <w:p w14:paraId="7A2D35C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Buxheti i Bankës</w:t>
            </w:r>
          </w:p>
        </w:tc>
      </w:tr>
      <w:tr w:rsidR="0021321C" w:rsidRPr="004F2AC3" w14:paraId="0FB53DEF" w14:textId="77777777" w:rsidTr="0021321C">
        <w:trPr>
          <w:trHeight w:val="180"/>
          <w:jc w:val="center"/>
        </w:trPr>
        <w:tc>
          <w:tcPr>
            <w:tcW w:w="388" w:type="dxa"/>
            <w:tcBorders>
              <w:top w:val="nil"/>
              <w:left w:val="nil"/>
              <w:bottom w:val="nil"/>
              <w:right w:val="nil"/>
            </w:tcBorders>
            <w:shd w:val="clear" w:color="000000" w:fill="FFFFFF"/>
            <w:vAlign w:val="bottom"/>
            <w:hideMark/>
          </w:tcPr>
          <w:p w14:paraId="33C9383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97DF50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02D50E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5866FF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7181FE5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3.6.3</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30847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mujore të Rezervës Ndërkombëtare</w:t>
            </w:r>
          </w:p>
        </w:tc>
      </w:tr>
      <w:tr w:rsidR="00C73163" w:rsidRPr="004F2AC3" w14:paraId="78965C1E" w14:textId="77777777" w:rsidTr="0021321C">
        <w:trPr>
          <w:trHeight w:val="180"/>
          <w:jc w:val="center"/>
        </w:trPr>
        <w:tc>
          <w:tcPr>
            <w:tcW w:w="388" w:type="dxa"/>
            <w:tcBorders>
              <w:top w:val="nil"/>
              <w:left w:val="nil"/>
              <w:bottom w:val="nil"/>
              <w:right w:val="nil"/>
            </w:tcBorders>
            <w:shd w:val="clear" w:color="000000" w:fill="FFFFFF"/>
            <w:vAlign w:val="bottom"/>
            <w:hideMark/>
          </w:tcPr>
          <w:p w14:paraId="3715C19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8B1319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0C88F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93DAD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E24C28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348C4E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59B7EE9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3.6.3.1</w:t>
            </w:r>
          </w:p>
        </w:tc>
        <w:tc>
          <w:tcPr>
            <w:tcW w:w="563" w:type="dxa"/>
            <w:tcBorders>
              <w:top w:val="nil"/>
              <w:left w:val="nil"/>
              <w:bottom w:val="single" w:sz="4" w:space="0" w:color="auto"/>
              <w:right w:val="single" w:sz="4" w:space="0" w:color="auto"/>
            </w:tcBorders>
            <w:shd w:val="clear" w:color="auto" w:fill="auto"/>
            <w:vAlign w:val="center"/>
            <w:hideMark/>
          </w:tcPr>
          <w:p w14:paraId="004A35E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mujore të Rezervës Ndërkombëtare</w:t>
            </w:r>
          </w:p>
        </w:tc>
        <w:tc>
          <w:tcPr>
            <w:tcW w:w="446" w:type="dxa"/>
            <w:tcBorders>
              <w:top w:val="nil"/>
              <w:left w:val="nil"/>
              <w:bottom w:val="single" w:sz="4" w:space="0" w:color="auto"/>
              <w:right w:val="single" w:sz="4" w:space="0" w:color="auto"/>
            </w:tcBorders>
            <w:shd w:val="clear" w:color="auto" w:fill="auto"/>
            <w:vAlign w:val="center"/>
            <w:hideMark/>
          </w:tcPr>
          <w:p w14:paraId="3A01FD1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noWrap/>
            <w:vAlign w:val="center"/>
            <w:hideMark/>
          </w:tcPr>
          <w:p w14:paraId="7956201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781ABD7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34E382A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171732D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single" w:sz="4" w:space="0" w:color="auto"/>
              <w:right w:val="single" w:sz="4" w:space="0" w:color="auto"/>
            </w:tcBorders>
            <w:shd w:val="clear" w:color="000000" w:fill="FFFFFF"/>
            <w:vAlign w:val="center"/>
            <w:hideMark/>
          </w:tcPr>
          <w:p w14:paraId="7005CEC5" w14:textId="45C947C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Rezerva ndërkombëtare</w:t>
            </w:r>
            <w:r w:rsidR="00474345"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29DA6104" w14:textId="32A8917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Ministria e Financave dhe Ekonomisë</w:t>
            </w:r>
            <w:r w:rsidR="0047434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 xml:space="preserve"> Banka e Shqipërisë</w:t>
            </w:r>
            <w:r w:rsidR="00474345"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39C89D43" w14:textId="46B381CA" w:rsidR="0021321C" w:rsidRPr="004F2AC3" w:rsidRDefault="0021321C" w:rsidP="00474345">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Banka e </w:t>
            </w:r>
            <w:r w:rsidR="00474345" w:rsidRPr="004F2AC3">
              <w:rPr>
                <w:rFonts w:ascii="Garamond" w:eastAsia="Times New Roman" w:hAnsi="Garamond" w:cs="Times New Roman"/>
                <w:color w:val="000000"/>
                <w:sz w:val="10"/>
                <w:szCs w:val="10"/>
                <w:lang w:eastAsia="sq-AL"/>
              </w:rPr>
              <w:t>Shqipërisë</w:t>
            </w:r>
          </w:p>
        </w:tc>
        <w:tc>
          <w:tcPr>
            <w:tcW w:w="466" w:type="dxa"/>
            <w:tcBorders>
              <w:top w:val="nil"/>
              <w:left w:val="nil"/>
              <w:bottom w:val="single" w:sz="4" w:space="0" w:color="auto"/>
              <w:right w:val="single" w:sz="4" w:space="0" w:color="auto"/>
            </w:tcBorders>
            <w:shd w:val="clear" w:color="000000" w:fill="FFFFFF"/>
            <w:vAlign w:val="center"/>
            <w:hideMark/>
          </w:tcPr>
          <w:p w14:paraId="6045DFC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+ 15D</w:t>
            </w:r>
          </w:p>
        </w:tc>
        <w:tc>
          <w:tcPr>
            <w:tcW w:w="385" w:type="dxa"/>
            <w:tcBorders>
              <w:top w:val="nil"/>
              <w:left w:val="nil"/>
              <w:bottom w:val="single" w:sz="4" w:space="0" w:color="auto"/>
              <w:right w:val="single" w:sz="4" w:space="0" w:color="auto"/>
            </w:tcBorders>
            <w:shd w:val="clear" w:color="000000" w:fill="FFFFFF"/>
            <w:vAlign w:val="center"/>
            <w:hideMark/>
          </w:tcPr>
          <w:p w14:paraId="73A6468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+ 25D</w:t>
            </w:r>
          </w:p>
        </w:tc>
        <w:tc>
          <w:tcPr>
            <w:tcW w:w="361" w:type="dxa"/>
            <w:tcBorders>
              <w:top w:val="nil"/>
              <w:left w:val="nil"/>
              <w:bottom w:val="single" w:sz="4" w:space="0" w:color="auto"/>
              <w:right w:val="single" w:sz="4" w:space="0" w:color="auto"/>
            </w:tcBorders>
            <w:shd w:val="clear" w:color="000000" w:fill="FFFFFF"/>
            <w:vAlign w:val="center"/>
            <w:hideMark/>
          </w:tcPr>
          <w:p w14:paraId="4CECB19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 + 31D</w:t>
            </w:r>
          </w:p>
        </w:tc>
        <w:tc>
          <w:tcPr>
            <w:tcW w:w="732" w:type="dxa"/>
            <w:tcBorders>
              <w:top w:val="nil"/>
              <w:left w:val="nil"/>
              <w:bottom w:val="single" w:sz="4" w:space="0" w:color="auto"/>
              <w:right w:val="single" w:sz="4" w:space="0" w:color="auto"/>
            </w:tcBorders>
            <w:shd w:val="clear" w:color="auto" w:fill="auto"/>
            <w:vAlign w:val="center"/>
            <w:hideMark/>
          </w:tcPr>
          <w:p w14:paraId="2F64B9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Gabime të bëra nga stafi ekspert gjatë përpunimit dhe nxjerrjes së rezultateve -|- 2</w:t>
            </w:r>
            <w:r w:rsidRPr="004F2AC3">
              <w:rPr>
                <w:rFonts w:ascii="Garamond" w:eastAsia="Times New Roman" w:hAnsi="Garamond" w:cs="Times New Roman"/>
                <w:color w:val="000000"/>
                <w:sz w:val="10"/>
                <w:szCs w:val="10"/>
                <w:lang w:eastAsia="sq-AL"/>
              </w:rPr>
              <w:br/>
              <w:t>2. Vonesa e marrjes së të dhënave nga burimet administrative -|- 1</w:t>
            </w:r>
          </w:p>
        </w:tc>
        <w:tc>
          <w:tcPr>
            <w:tcW w:w="551" w:type="dxa"/>
            <w:tcBorders>
              <w:top w:val="nil"/>
              <w:left w:val="nil"/>
              <w:bottom w:val="single" w:sz="4" w:space="0" w:color="auto"/>
              <w:right w:val="single" w:sz="4" w:space="0" w:color="auto"/>
            </w:tcBorders>
            <w:shd w:val="clear" w:color="auto" w:fill="auto"/>
            <w:vAlign w:val="center"/>
            <w:hideMark/>
          </w:tcPr>
          <w:p w14:paraId="46279BF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Buxheti i Bankes</w:t>
            </w:r>
          </w:p>
        </w:tc>
      </w:tr>
      <w:tr w:rsidR="0021321C" w:rsidRPr="004F2AC3" w14:paraId="5BBEB34F" w14:textId="77777777" w:rsidTr="0021321C">
        <w:trPr>
          <w:trHeight w:val="180"/>
          <w:jc w:val="center"/>
        </w:trPr>
        <w:tc>
          <w:tcPr>
            <w:tcW w:w="388" w:type="dxa"/>
            <w:tcBorders>
              <w:top w:val="nil"/>
              <w:left w:val="nil"/>
              <w:bottom w:val="nil"/>
              <w:right w:val="nil"/>
            </w:tcBorders>
            <w:shd w:val="clear" w:color="000000" w:fill="FFFFFF"/>
            <w:vAlign w:val="bottom"/>
            <w:hideMark/>
          </w:tcPr>
          <w:p w14:paraId="3B58D67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A2999A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8F9965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A09FB5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1BFC5A7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3.6.4</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B26D4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tremujore të Borxhit të Jashtëm</w:t>
            </w:r>
          </w:p>
        </w:tc>
      </w:tr>
      <w:tr w:rsidR="00C73163" w:rsidRPr="004F2AC3" w14:paraId="407E2769" w14:textId="77777777" w:rsidTr="0021321C">
        <w:trPr>
          <w:trHeight w:val="180"/>
          <w:jc w:val="center"/>
        </w:trPr>
        <w:tc>
          <w:tcPr>
            <w:tcW w:w="388" w:type="dxa"/>
            <w:tcBorders>
              <w:top w:val="nil"/>
              <w:left w:val="nil"/>
              <w:bottom w:val="nil"/>
              <w:right w:val="nil"/>
            </w:tcBorders>
            <w:shd w:val="clear" w:color="000000" w:fill="FFFFFF"/>
            <w:vAlign w:val="bottom"/>
            <w:hideMark/>
          </w:tcPr>
          <w:p w14:paraId="3DF1BAB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D93B55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6A1E9A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C8CC9E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029E1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1C59BB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24F3EB6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3.6.4.1</w:t>
            </w:r>
          </w:p>
        </w:tc>
        <w:tc>
          <w:tcPr>
            <w:tcW w:w="563" w:type="dxa"/>
            <w:tcBorders>
              <w:top w:val="nil"/>
              <w:left w:val="nil"/>
              <w:bottom w:val="single" w:sz="4" w:space="0" w:color="auto"/>
              <w:right w:val="single" w:sz="4" w:space="0" w:color="auto"/>
            </w:tcBorders>
            <w:shd w:val="clear" w:color="auto" w:fill="auto"/>
            <w:vAlign w:val="center"/>
            <w:hideMark/>
          </w:tcPr>
          <w:p w14:paraId="3C9B07DE"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tremujore të Borxhit të Jashtëm</w:t>
            </w:r>
          </w:p>
        </w:tc>
        <w:tc>
          <w:tcPr>
            <w:tcW w:w="446" w:type="dxa"/>
            <w:tcBorders>
              <w:top w:val="nil"/>
              <w:left w:val="nil"/>
              <w:bottom w:val="single" w:sz="4" w:space="0" w:color="auto"/>
              <w:right w:val="single" w:sz="4" w:space="0" w:color="auto"/>
            </w:tcBorders>
            <w:shd w:val="clear" w:color="auto" w:fill="auto"/>
            <w:vAlign w:val="center"/>
            <w:hideMark/>
          </w:tcPr>
          <w:p w14:paraId="228998A1"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noWrap/>
            <w:vAlign w:val="center"/>
            <w:hideMark/>
          </w:tcPr>
          <w:p w14:paraId="13B12F2F"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90%</w:t>
            </w:r>
          </w:p>
        </w:tc>
        <w:tc>
          <w:tcPr>
            <w:tcW w:w="301" w:type="dxa"/>
            <w:tcBorders>
              <w:top w:val="nil"/>
              <w:left w:val="nil"/>
              <w:bottom w:val="single" w:sz="4" w:space="0" w:color="auto"/>
              <w:right w:val="single" w:sz="4" w:space="0" w:color="auto"/>
            </w:tcBorders>
            <w:shd w:val="clear" w:color="auto" w:fill="auto"/>
            <w:noWrap/>
            <w:vAlign w:val="center"/>
            <w:hideMark/>
          </w:tcPr>
          <w:p w14:paraId="0F6BD79F"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w:t>
            </w:r>
          </w:p>
        </w:tc>
        <w:tc>
          <w:tcPr>
            <w:tcW w:w="426" w:type="dxa"/>
            <w:tcBorders>
              <w:top w:val="nil"/>
              <w:left w:val="nil"/>
              <w:bottom w:val="single" w:sz="4" w:space="0" w:color="auto"/>
              <w:right w:val="single" w:sz="4" w:space="0" w:color="auto"/>
            </w:tcBorders>
            <w:shd w:val="clear" w:color="auto" w:fill="auto"/>
            <w:vAlign w:val="center"/>
            <w:hideMark/>
          </w:tcPr>
          <w:p w14:paraId="373BB56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08ABAEB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single" w:sz="4" w:space="0" w:color="auto"/>
              <w:right w:val="single" w:sz="4" w:space="0" w:color="auto"/>
            </w:tcBorders>
            <w:shd w:val="clear" w:color="000000" w:fill="FFFFFF"/>
            <w:vAlign w:val="center"/>
            <w:hideMark/>
          </w:tcPr>
          <w:p w14:paraId="3D5ADBC7" w14:textId="2EB57FA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1. Borxhi i Jashtëm</w:t>
            </w:r>
            <w:r w:rsidR="00474345"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61AE42B3" w14:textId="0F09150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Financave dhe Ekonomisë</w:t>
            </w:r>
            <w:r w:rsidR="00474345"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Banka e Shqipërisë</w:t>
            </w:r>
            <w:r w:rsidR="00474345"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7541ABF5" w14:textId="6E8A3719" w:rsidR="0021321C" w:rsidRPr="004F2AC3" w:rsidRDefault="0021321C" w:rsidP="00474345">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Banka e </w:t>
            </w:r>
            <w:r w:rsidR="00474345" w:rsidRPr="004F2AC3">
              <w:rPr>
                <w:rFonts w:ascii="Garamond" w:eastAsia="Times New Roman" w:hAnsi="Garamond" w:cs="Times New Roman"/>
                <w:color w:val="000000"/>
                <w:sz w:val="10"/>
                <w:szCs w:val="10"/>
                <w:lang w:eastAsia="sq-AL"/>
              </w:rPr>
              <w:t>Shqipërisë</w:t>
            </w:r>
          </w:p>
        </w:tc>
        <w:tc>
          <w:tcPr>
            <w:tcW w:w="466" w:type="dxa"/>
            <w:tcBorders>
              <w:top w:val="nil"/>
              <w:left w:val="nil"/>
              <w:bottom w:val="single" w:sz="4" w:space="0" w:color="auto"/>
              <w:right w:val="single" w:sz="4" w:space="0" w:color="auto"/>
            </w:tcBorders>
            <w:shd w:val="clear" w:color="000000" w:fill="FFFFFF"/>
            <w:vAlign w:val="center"/>
            <w:hideMark/>
          </w:tcPr>
          <w:p w14:paraId="736EDB8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+ 60D</w:t>
            </w:r>
          </w:p>
        </w:tc>
        <w:tc>
          <w:tcPr>
            <w:tcW w:w="385" w:type="dxa"/>
            <w:tcBorders>
              <w:top w:val="nil"/>
              <w:left w:val="nil"/>
              <w:bottom w:val="single" w:sz="4" w:space="0" w:color="auto"/>
              <w:right w:val="single" w:sz="4" w:space="0" w:color="auto"/>
            </w:tcBorders>
            <w:shd w:val="clear" w:color="000000" w:fill="FFFFFF"/>
            <w:vAlign w:val="center"/>
            <w:hideMark/>
          </w:tcPr>
          <w:p w14:paraId="7EE897E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+ 80D</w:t>
            </w:r>
          </w:p>
        </w:tc>
        <w:tc>
          <w:tcPr>
            <w:tcW w:w="361" w:type="dxa"/>
            <w:tcBorders>
              <w:top w:val="nil"/>
              <w:left w:val="nil"/>
              <w:bottom w:val="single" w:sz="4" w:space="0" w:color="auto"/>
              <w:right w:val="single" w:sz="4" w:space="0" w:color="auto"/>
            </w:tcBorders>
            <w:shd w:val="clear" w:color="000000" w:fill="FFFFFF"/>
            <w:vAlign w:val="center"/>
            <w:hideMark/>
          </w:tcPr>
          <w:p w14:paraId="3C17FB8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 + 85D</w:t>
            </w:r>
          </w:p>
        </w:tc>
        <w:tc>
          <w:tcPr>
            <w:tcW w:w="732" w:type="dxa"/>
            <w:tcBorders>
              <w:top w:val="nil"/>
              <w:left w:val="nil"/>
              <w:bottom w:val="single" w:sz="4" w:space="0" w:color="auto"/>
              <w:right w:val="single" w:sz="4" w:space="0" w:color="auto"/>
            </w:tcBorders>
            <w:shd w:val="clear" w:color="auto" w:fill="auto"/>
            <w:vAlign w:val="center"/>
            <w:hideMark/>
          </w:tcPr>
          <w:p w14:paraId="7F19C4C1" w14:textId="4D99539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Vonesa e marrjes së të dhënave nga burimet administrative. -|- 2</w:t>
            </w:r>
            <w:r w:rsidRPr="004F2AC3">
              <w:rPr>
                <w:rFonts w:ascii="Garamond" w:eastAsia="Times New Roman" w:hAnsi="Garamond" w:cs="Times New Roman"/>
                <w:color w:val="000000"/>
                <w:sz w:val="10"/>
                <w:szCs w:val="10"/>
                <w:lang w:eastAsia="sq-AL"/>
              </w:rPr>
              <w:br/>
              <w:t>2. Informacion jo i plotë, i pa-</w:t>
            </w:r>
            <w:r w:rsidR="0070619F" w:rsidRPr="004F2AC3">
              <w:rPr>
                <w:rFonts w:ascii="Garamond" w:eastAsia="Times New Roman" w:hAnsi="Garamond" w:cs="Times New Roman"/>
                <w:color w:val="000000"/>
                <w:sz w:val="10"/>
                <w:szCs w:val="10"/>
                <w:lang w:eastAsia="sq-AL"/>
              </w:rPr>
              <w:t>standardizuar</w:t>
            </w:r>
            <w:r w:rsidRPr="004F2AC3">
              <w:rPr>
                <w:rFonts w:ascii="Garamond" w:eastAsia="Times New Roman" w:hAnsi="Garamond" w:cs="Times New Roman"/>
                <w:color w:val="000000"/>
                <w:sz w:val="10"/>
                <w:szCs w:val="10"/>
                <w:lang w:eastAsia="sq-AL"/>
              </w:rPr>
              <w:t>, me gabime -|- 2</w:t>
            </w:r>
          </w:p>
        </w:tc>
        <w:tc>
          <w:tcPr>
            <w:tcW w:w="551" w:type="dxa"/>
            <w:tcBorders>
              <w:top w:val="nil"/>
              <w:left w:val="nil"/>
              <w:bottom w:val="single" w:sz="4" w:space="0" w:color="auto"/>
              <w:right w:val="single" w:sz="4" w:space="0" w:color="auto"/>
            </w:tcBorders>
            <w:shd w:val="clear" w:color="auto" w:fill="auto"/>
            <w:vAlign w:val="center"/>
            <w:hideMark/>
          </w:tcPr>
          <w:p w14:paraId="1A9E285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Buxheti i Bankes</w:t>
            </w:r>
          </w:p>
        </w:tc>
      </w:tr>
      <w:tr w:rsidR="0021321C" w:rsidRPr="004F2AC3" w14:paraId="1813D680" w14:textId="77777777" w:rsidTr="0021321C">
        <w:trPr>
          <w:trHeight w:val="180"/>
          <w:jc w:val="center"/>
        </w:trPr>
        <w:tc>
          <w:tcPr>
            <w:tcW w:w="388" w:type="dxa"/>
            <w:tcBorders>
              <w:top w:val="nil"/>
              <w:left w:val="nil"/>
              <w:bottom w:val="nil"/>
              <w:right w:val="nil"/>
            </w:tcBorders>
            <w:shd w:val="clear" w:color="000000" w:fill="FFFFFF"/>
            <w:vAlign w:val="bottom"/>
            <w:hideMark/>
          </w:tcPr>
          <w:p w14:paraId="42BABB8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0B87E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10DFECB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3.7</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798901B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Çmimet</w:t>
            </w:r>
          </w:p>
        </w:tc>
      </w:tr>
      <w:tr w:rsidR="0021321C" w:rsidRPr="004F2AC3" w14:paraId="38D81804" w14:textId="77777777" w:rsidTr="0021321C">
        <w:trPr>
          <w:trHeight w:val="180"/>
          <w:jc w:val="center"/>
        </w:trPr>
        <w:tc>
          <w:tcPr>
            <w:tcW w:w="388" w:type="dxa"/>
            <w:tcBorders>
              <w:top w:val="nil"/>
              <w:left w:val="nil"/>
              <w:bottom w:val="nil"/>
              <w:right w:val="nil"/>
            </w:tcBorders>
            <w:shd w:val="clear" w:color="000000" w:fill="FFFFFF"/>
            <w:vAlign w:val="bottom"/>
            <w:hideMark/>
          </w:tcPr>
          <w:p w14:paraId="4C189A4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6E3955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3E44A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809DC1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single" w:sz="4" w:space="0" w:color="000000"/>
            </w:tcBorders>
            <w:shd w:val="clear" w:color="000000" w:fill="F0F0F0"/>
            <w:vAlign w:val="center"/>
            <w:hideMark/>
          </w:tcPr>
          <w:p w14:paraId="1D4C8FC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3.7.1</w:t>
            </w:r>
          </w:p>
        </w:tc>
        <w:tc>
          <w:tcPr>
            <w:tcW w:w="4905" w:type="dxa"/>
            <w:gridSpan w:val="10"/>
            <w:tcBorders>
              <w:top w:val="nil"/>
              <w:left w:val="nil"/>
              <w:bottom w:val="single" w:sz="4" w:space="0" w:color="000000"/>
              <w:right w:val="single" w:sz="4" w:space="0" w:color="000000"/>
            </w:tcBorders>
            <w:shd w:val="clear" w:color="000000" w:fill="F0F0F0"/>
            <w:vAlign w:val="center"/>
            <w:hideMark/>
          </w:tcPr>
          <w:p w14:paraId="1D33CA9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Çmimeve të Konsumit</w:t>
            </w:r>
          </w:p>
        </w:tc>
        <w:tc>
          <w:tcPr>
            <w:tcW w:w="2357" w:type="dxa"/>
            <w:gridSpan w:val="5"/>
            <w:tcBorders>
              <w:top w:val="single" w:sz="4" w:space="0" w:color="auto"/>
              <w:left w:val="nil"/>
              <w:bottom w:val="single" w:sz="4" w:space="0" w:color="auto"/>
              <w:right w:val="single" w:sz="4" w:space="0" w:color="000000"/>
            </w:tcBorders>
            <w:shd w:val="clear" w:color="000000" w:fill="F0F0F0"/>
            <w:vAlign w:val="center"/>
            <w:hideMark/>
          </w:tcPr>
          <w:p w14:paraId="66EEBBE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nil"/>
              <w:right w:val="nil"/>
            </w:tcBorders>
            <w:shd w:val="clear" w:color="000000" w:fill="F0F0F0"/>
            <w:vAlign w:val="center"/>
            <w:hideMark/>
          </w:tcPr>
          <w:p w14:paraId="6FAC1C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59F03238" w14:textId="77777777" w:rsidTr="0021321C">
        <w:trPr>
          <w:trHeight w:val="180"/>
          <w:jc w:val="center"/>
        </w:trPr>
        <w:tc>
          <w:tcPr>
            <w:tcW w:w="388" w:type="dxa"/>
            <w:tcBorders>
              <w:top w:val="nil"/>
              <w:left w:val="nil"/>
              <w:bottom w:val="nil"/>
              <w:right w:val="nil"/>
            </w:tcBorders>
            <w:shd w:val="clear" w:color="000000" w:fill="FFFFFF"/>
            <w:vAlign w:val="bottom"/>
            <w:hideMark/>
          </w:tcPr>
          <w:p w14:paraId="551E2DB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1CBA9C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D3D264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DF1B28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C5BD6D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A4CD29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50389DD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3.7.1.1</w:t>
            </w:r>
          </w:p>
        </w:tc>
        <w:tc>
          <w:tcPr>
            <w:tcW w:w="563" w:type="dxa"/>
            <w:tcBorders>
              <w:top w:val="nil"/>
              <w:left w:val="nil"/>
              <w:bottom w:val="single" w:sz="4" w:space="0" w:color="auto"/>
              <w:right w:val="single" w:sz="4" w:space="0" w:color="auto"/>
            </w:tcBorders>
            <w:shd w:val="clear" w:color="auto" w:fill="auto"/>
            <w:vAlign w:val="center"/>
            <w:hideMark/>
          </w:tcPr>
          <w:p w14:paraId="270BFB8D" w14:textId="6EAA9A3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Indeksi</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i Çmimeve të Konsumit</w:t>
            </w:r>
          </w:p>
        </w:tc>
        <w:tc>
          <w:tcPr>
            <w:tcW w:w="446" w:type="dxa"/>
            <w:tcBorders>
              <w:top w:val="nil"/>
              <w:left w:val="nil"/>
              <w:bottom w:val="single" w:sz="4" w:space="0" w:color="auto"/>
              <w:right w:val="single" w:sz="4" w:space="0" w:color="auto"/>
            </w:tcBorders>
            <w:shd w:val="clear" w:color="auto" w:fill="auto"/>
            <w:vAlign w:val="center"/>
            <w:hideMark/>
          </w:tcPr>
          <w:p w14:paraId="11BE1DC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45890EB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noWrap/>
            <w:vAlign w:val="center"/>
            <w:hideMark/>
          </w:tcPr>
          <w:p w14:paraId="36058D5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0E0D2C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2A771D3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single" w:sz="4" w:space="0" w:color="auto"/>
              <w:right w:val="single" w:sz="4" w:space="0" w:color="auto"/>
            </w:tcBorders>
            <w:shd w:val="clear" w:color="000000" w:fill="FFFFFF"/>
            <w:vAlign w:val="center"/>
            <w:hideMark/>
          </w:tcPr>
          <w:p w14:paraId="36A9C929" w14:textId="39B5F5EE" w:rsidR="0021321C" w:rsidRPr="004F2AC3" w:rsidRDefault="0021321C" w:rsidP="0070619F">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Indeksi mujor i çmimeve të Konsumit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Indeksi mesatar vjetor i çmimeve të Konsumit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Ndryshimi mujor i Indeksit të çmimeve të Konsumit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Ndryshimi vjetor i Indeksit të çmimeve të Konsumit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Ndryshimi mesatar vjetor</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i Indeksit të çmimeve të Konsumit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Koefi</w:t>
            </w:r>
            <w:r w:rsidR="0070619F" w:rsidRPr="004F2AC3">
              <w:rPr>
                <w:rFonts w:ascii="Garamond" w:eastAsia="Times New Roman" w:hAnsi="Garamond" w:cs="Times New Roman"/>
                <w:color w:val="000000"/>
                <w:sz w:val="10"/>
                <w:szCs w:val="10"/>
                <w:lang w:eastAsia="sq-AL"/>
              </w:rPr>
              <w:t>ci</w:t>
            </w:r>
            <w:r w:rsidRPr="004F2AC3">
              <w:rPr>
                <w:rFonts w:ascii="Garamond" w:eastAsia="Times New Roman" w:hAnsi="Garamond" w:cs="Times New Roman"/>
                <w:color w:val="000000"/>
                <w:sz w:val="10"/>
                <w:szCs w:val="10"/>
                <w:lang w:eastAsia="sq-AL"/>
              </w:rPr>
              <w:t>enti i rivlerësimit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Çmimet mesatare të disa artikujve kryesorë të konsumit</w:t>
            </w:r>
            <w:r w:rsidR="000A041F"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2A970A7B" w14:textId="4E62321B"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7F79C953" w14:textId="6899AA4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7E2D81A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Dita e 23 e M</w:t>
            </w:r>
          </w:p>
        </w:tc>
        <w:tc>
          <w:tcPr>
            <w:tcW w:w="385" w:type="dxa"/>
            <w:tcBorders>
              <w:top w:val="nil"/>
              <w:left w:val="nil"/>
              <w:bottom w:val="single" w:sz="4" w:space="0" w:color="auto"/>
              <w:right w:val="single" w:sz="4" w:space="0" w:color="auto"/>
            </w:tcBorders>
            <w:shd w:val="clear" w:color="auto" w:fill="auto"/>
            <w:vAlign w:val="center"/>
            <w:hideMark/>
          </w:tcPr>
          <w:p w14:paraId="32D3609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M+ 10D</w:t>
            </w:r>
          </w:p>
        </w:tc>
        <w:tc>
          <w:tcPr>
            <w:tcW w:w="361" w:type="dxa"/>
            <w:tcBorders>
              <w:top w:val="nil"/>
              <w:left w:val="nil"/>
              <w:bottom w:val="single" w:sz="4" w:space="0" w:color="auto"/>
              <w:right w:val="single" w:sz="4" w:space="0" w:color="auto"/>
            </w:tcBorders>
            <w:shd w:val="clear" w:color="auto" w:fill="auto"/>
            <w:vAlign w:val="center"/>
            <w:hideMark/>
          </w:tcPr>
          <w:p w14:paraId="722D965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M+ 12D</w:t>
            </w:r>
          </w:p>
        </w:tc>
        <w:tc>
          <w:tcPr>
            <w:tcW w:w="732" w:type="dxa"/>
            <w:tcBorders>
              <w:top w:val="nil"/>
              <w:left w:val="nil"/>
              <w:bottom w:val="single" w:sz="4" w:space="0" w:color="auto"/>
              <w:right w:val="single" w:sz="4" w:space="0" w:color="auto"/>
            </w:tcBorders>
            <w:shd w:val="clear" w:color="auto" w:fill="auto"/>
            <w:vAlign w:val="center"/>
            <w:hideMark/>
          </w:tcPr>
          <w:p w14:paraId="59ED49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Mospërmbushja e kritereve të cilësisë si: saktësia, përpikmëria dhe krahasueshmëria, për të dhënat administrative -|- 1</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vrojtimet statistikore -|- 1</w:t>
            </w:r>
            <w:r w:rsidRPr="004F2AC3">
              <w:rPr>
                <w:rFonts w:ascii="Garamond" w:eastAsia="Times New Roman" w:hAnsi="Garamond" w:cs="Times New Roman"/>
                <w:color w:val="000000"/>
                <w:sz w:val="10"/>
                <w:szCs w:val="10"/>
                <w:lang w:eastAsia="sq-AL"/>
              </w:rPr>
              <w:br/>
              <w:t>3. Pezullimi/vonesa e mbledhjes, prodhimit dhe shpërndarjes të statistikave zyrtare si pasojë e Fatkeqësive natyrore/ Pandemi Globale -|- 1</w:t>
            </w:r>
          </w:p>
        </w:tc>
        <w:tc>
          <w:tcPr>
            <w:tcW w:w="551" w:type="dxa"/>
            <w:tcBorders>
              <w:top w:val="single" w:sz="4" w:space="0" w:color="auto"/>
              <w:left w:val="nil"/>
              <w:bottom w:val="single" w:sz="4" w:space="0" w:color="auto"/>
              <w:right w:val="single" w:sz="4" w:space="0" w:color="auto"/>
            </w:tcBorders>
            <w:shd w:val="clear" w:color="auto" w:fill="auto"/>
            <w:vAlign w:val="center"/>
            <w:hideMark/>
          </w:tcPr>
          <w:p w14:paraId="7F256D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6A28F888" w14:textId="77777777" w:rsidTr="0021321C">
        <w:trPr>
          <w:trHeight w:val="180"/>
          <w:jc w:val="center"/>
        </w:trPr>
        <w:tc>
          <w:tcPr>
            <w:tcW w:w="388" w:type="dxa"/>
            <w:tcBorders>
              <w:top w:val="nil"/>
              <w:left w:val="nil"/>
              <w:bottom w:val="nil"/>
              <w:right w:val="nil"/>
            </w:tcBorders>
            <w:shd w:val="clear" w:color="000000" w:fill="FFFFFF"/>
            <w:vAlign w:val="bottom"/>
            <w:hideMark/>
          </w:tcPr>
          <w:p w14:paraId="6EC375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B860D7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0BF813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DCE20C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7CB884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637981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6DD22F6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3.7.1.2</w:t>
            </w:r>
          </w:p>
        </w:tc>
        <w:tc>
          <w:tcPr>
            <w:tcW w:w="563" w:type="dxa"/>
            <w:tcBorders>
              <w:top w:val="nil"/>
              <w:left w:val="nil"/>
              <w:bottom w:val="single" w:sz="4" w:space="0" w:color="auto"/>
              <w:right w:val="single" w:sz="4" w:space="0" w:color="auto"/>
            </w:tcBorders>
            <w:shd w:val="clear" w:color="auto" w:fill="auto"/>
            <w:vAlign w:val="center"/>
            <w:hideMark/>
          </w:tcPr>
          <w:p w14:paraId="3370563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Indeksi i Harmonizuar i Çmimeve të Konsumit</w:t>
            </w:r>
          </w:p>
        </w:tc>
        <w:tc>
          <w:tcPr>
            <w:tcW w:w="446" w:type="dxa"/>
            <w:tcBorders>
              <w:top w:val="nil"/>
              <w:left w:val="nil"/>
              <w:bottom w:val="single" w:sz="4" w:space="0" w:color="auto"/>
              <w:right w:val="single" w:sz="4" w:space="0" w:color="auto"/>
            </w:tcBorders>
            <w:shd w:val="clear" w:color="auto" w:fill="auto"/>
            <w:vAlign w:val="center"/>
            <w:hideMark/>
          </w:tcPr>
          <w:p w14:paraId="77A9060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2A59FAC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noWrap/>
            <w:vAlign w:val="center"/>
            <w:hideMark/>
          </w:tcPr>
          <w:p w14:paraId="58F6D7BF"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10BF955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20D164C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single" w:sz="4" w:space="0" w:color="auto"/>
              <w:right w:val="single" w:sz="4" w:space="0" w:color="auto"/>
            </w:tcBorders>
            <w:shd w:val="clear" w:color="000000" w:fill="FFFFFF"/>
            <w:vAlign w:val="center"/>
            <w:hideMark/>
          </w:tcPr>
          <w:p w14:paraId="1C14F4C6" w14:textId="75A7595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Indeksi mujor i çmimeve të harmonizuar të konsumit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Indeksi mesatar vjetor i çmimeve të harmonizuar të konsumit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Ndryshimi mujor i Indeksit të çmimeve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të harmonizuar të konsumit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Ndryshimi vjetor i Indeksit të çmimeve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të harmonizuar të konsumit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Ndryshimi mesatar vjetor</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i Indeksit të çmimeve të harmonizuar të konsumit</w:t>
            </w:r>
            <w:r w:rsidR="000A041F"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6AFF23C6" w14:textId="2148FBD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590C4695" w14:textId="62452EB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46FCB27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Dita e 23 e M</w:t>
            </w:r>
          </w:p>
        </w:tc>
        <w:tc>
          <w:tcPr>
            <w:tcW w:w="385" w:type="dxa"/>
            <w:tcBorders>
              <w:top w:val="nil"/>
              <w:left w:val="nil"/>
              <w:bottom w:val="single" w:sz="4" w:space="0" w:color="auto"/>
              <w:right w:val="single" w:sz="4" w:space="0" w:color="auto"/>
            </w:tcBorders>
            <w:shd w:val="clear" w:color="auto" w:fill="auto"/>
            <w:vAlign w:val="center"/>
            <w:hideMark/>
          </w:tcPr>
          <w:p w14:paraId="6756A3F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M+ 18D</w:t>
            </w:r>
          </w:p>
        </w:tc>
        <w:tc>
          <w:tcPr>
            <w:tcW w:w="361" w:type="dxa"/>
            <w:tcBorders>
              <w:top w:val="nil"/>
              <w:left w:val="nil"/>
              <w:bottom w:val="single" w:sz="4" w:space="0" w:color="auto"/>
              <w:right w:val="single" w:sz="4" w:space="0" w:color="auto"/>
            </w:tcBorders>
            <w:shd w:val="clear" w:color="auto" w:fill="auto"/>
            <w:vAlign w:val="center"/>
            <w:hideMark/>
          </w:tcPr>
          <w:p w14:paraId="01DD31C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M+ 23D</w:t>
            </w:r>
          </w:p>
        </w:tc>
        <w:tc>
          <w:tcPr>
            <w:tcW w:w="732" w:type="dxa"/>
            <w:tcBorders>
              <w:top w:val="nil"/>
              <w:left w:val="nil"/>
              <w:bottom w:val="single" w:sz="4" w:space="0" w:color="auto"/>
              <w:right w:val="single" w:sz="4" w:space="0" w:color="auto"/>
            </w:tcBorders>
            <w:shd w:val="clear" w:color="auto" w:fill="auto"/>
            <w:vAlign w:val="center"/>
            <w:hideMark/>
          </w:tcPr>
          <w:p w14:paraId="1DCC044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Mospërmbushja e kritereve të cilësisë si: saktësia, përpikmëria dhe krahasueshmëria, për të dhënat administrative -|- 1</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vrojtimet statistikore -|- 1</w:t>
            </w:r>
            <w:r w:rsidRPr="004F2AC3">
              <w:rPr>
                <w:rFonts w:ascii="Garamond" w:eastAsia="Times New Roman" w:hAnsi="Garamond" w:cs="Times New Roman"/>
                <w:color w:val="000000"/>
                <w:sz w:val="10"/>
                <w:szCs w:val="10"/>
                <w:lang w:eastAsia="sq-AL"/>
              </w:rPr>
              <w:br/>
              <w:t>3. Pezullimi/vonesa e mbledhjes, prodhimit dhe shpërndarjes të statistikave zyrtare si pasojë e Fatkeqësive natyrore/ Pandemi Globale -|- 1</w:t>
            </w:r>
          </w:p>
        </w:tc>
        <w:tc>
          <w:tcPr>
            <w:tcW w:w="551" w:type="dxa"/>
            <w:tcBorders>
              <w:top w:val="nil"/>
              <w:left w:val="nil"/>
              <w:bottom w:val="single" w:sz="4" w:space="0" w:color="auto"/>
              <w:right w:val="single" w:sz="4" w:space="0" w:color="auto"/>
            </w:tcBorders>
            <w:shd w:val="clear" w:color="auto" w:fill="auto"/>
            <w:vAlign w:val="center"/>
            <w:hideMark/>
          </w:tcPr>
          <w:p w14:paraId="36CCCE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0E5151C5" w14:textId="77777777" w:rsidTr="0021321C">
        <w:trPr>
          <w:trHeight w:val="180"/>
          <w:jc w:val="center"/>
        </w:trPr>
        <w:tc>
          <w:tcPr>
            <w:tcW w:w="388" w:type="dxa"/>
            <w:tcBorders>
              <w:top w:val="nil"/>
              <w:left w:val="nil"/>
              <w:bottom w:val="nil"/>
              <w:right w:val="nil"/>
            </w:tcBorders>
            <w:shd w:val="clear" w:color="000000" w:fill="FFFFFF"/>
            <w:vAlign w:val="bottom"/>
            <w:hideMark/>
          </w:tcPr>
          <w:p w14:paraId="40D36A1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99A221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91B94F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22FA1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85A35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7CCE0A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39D3B26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3.7.1.3</w:t>
            </w:r>
          </w:p>
        </w:tc>
        <w:tc>
          <w:tcPr>
            <w:tcW w:w="563" w:type="dxa"/>
            <w:tcBorders>
              <w:top w:val="nil"/>
              <w:left w:val="nil"/>
              <w:bottom w:val="single" w:sz="4" w:space="0" w:color="auto"/>
              <w:right w:val="single" w:sz="4" w:space="0" w:color="auto"/>
            </w:tcBorders>
            <w:shd w:val="clear" w:color="auto" w:fill="auto"/>
            <w:vAlign w:val="center"/>
            <w:hideMark/>
          </w:tcPr>
          <w:p w14:paraId="096FC85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Indeksi i Harmonizuar i Çmimeve të Konsumit (IHÇK) me taksa konstante</w:t>
            </w:r>
          </w:p>
        </w:tc>
        <w:tc>
          <w:tcPr>
            <w:tcW w:w="446" w:type="dxa"/>
            <w:tcBorders>
              <w:top w:val="nil"/>
              <w:left w:val="nil"/>
              <w:bottom w:val="single" w:sz="4" w:space="0" w:color="auto"/>
              <w:right w:val="single" w:sz="4" w:space="0" w:color="auto"/>
            </w:tcBorders>
            <w:shd w:val="clear" w:color="auto" w:fill="auto"/>
            <w:vAlign w:val="center"/>
            <w:hideMark/>
          </w:tcPr>
          <w:p w14:paraId="2064E6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59F5425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noWrap/>
            <w:vAlign w:val="center"/>
            <w:hideMark/>
          </w:tcPr>
          <w:p w14:paraId="30FF07B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42D7672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5C9CDFB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Mujor</w:t>
            </w:r>
          </w:p>
        </w:tc>
        <w:tc>
          <w:tcPr>
            <w:tcW w:w="1098" w:type="dxa"/>
            <w:tcBorders>
              <w:top w:val="nil"/>
              <w:left w:val="nil"/>
              <w:bottom w:val="nil"/>
              <w:right w:val="single" w:sz="4" w:space="0" w:color="auto"/>
            </w:tcBorders>
            <w:shd w:val="clear" w:color="000000" w:fill="FFFFFF"/>
            <w:vAlign w:val="center"/>
            <w:hideMark/>
          </w:tcPr>
          <w:p w14:paraId="093F5131" w14:textId="22F5DEA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Indeksi mujor i çmimeve të harmonizuar të konsumit- me taksa konstante</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Indeksi mesatar vjetor i çmimeve të harmonizuar të konsumit me taksa konstante</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Ndryshimi mujor i Indeksit të çmimeve të harmonizuar të konsumit me taksa konstante</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Ndryshimi vjetor i Indeksit të çmimeve të harmonizuar të konsumit me taksa konstante</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Ndryshimi mesatar vjetor i Indeksit të çmimeve të harmonizuar të konsumit me taksa konstante</w:t>
            </w:r>
            <w:r w:rsidR="000A041F"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5D1A72E1" w14:textId="649F863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5AB616C6" w14:textId="72AC4B9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16949F7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Dita e 23 e M</w:t>
            </w:r>
          </w:p>
        </w:tc>
        <w:tc>
          <w:tcPr>
            <w:tcW w:w="385" w:type="dxa"/>
            <w:tcBorders>
              <w:top w:val="nil"/>
              <w:left w:val="nil"/>
              <w:bottom w:val="single" w:sz="4" w:space="0" w:color="auto"/>
              <w:right w:val="single" w:sz="4" w:space="0" w:color="auto"/>
            </w:tcBorders>
            <w:shd w:val="clear" w:color="auto" w:fill="auto"/>
            <w:vAlign w:val="center"/>
            <w:hideMark/>
          </w:tcPr>
          <w:p w14:paraId="5EB77E6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M+ 19D</w:t>
            </w:r>
          </w:p>
        </w:tc>
        <w:tc>
          <w:tcPr>
            <w:tcW w:w="361" w:type="dxa"/>
            <w:tcBorders>
              <w:top w:val="nil"/>
              <w:left w:val="nil"/>
              <w:bottom w:val="single" w:sz="4" w:space="0" w:color="auto"/>
              <w:right w:val="single" w:sz="4" w:space="0" w:color="auto"/>
            </w:tcBorders>
            <w:shd w:val="clear" w:color="auto" w:fill="auto"/>
            <w:vAlign w:val="center"/>
            <w:hideMark/>
          </w:tcPr>
          <w:p w14:paraId="40787F1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69B0A17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Mospërmbushja e kritereve të cilësisë si: saktësia, përpikmëria dhe krahasueshmëria, për të dhënat administrative -|- 1</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vrojtimet statistikore -|- 1</w:t>
            </w:r>
            <w:r w:rsidRPr="004F2AC3">
              <w:rPr>
                <w:rFonts w:ascii="Garamond" w:eastAsia="Times New Roman" w:hAnsi="Garamond" w:cs="Times New Roman"/>
                <w:color w:val="000000"/>
                <w:sz w:val="10"/>
                <w:szCs w:val="10"/>
                <w:lang w:eastAsia="sq-AL"/>
              </w:rPr>
              <w:br/>
              <w:t>3. Pezullimi/vonesa e mbledhjes, prodhimit dhe shpërndarjes të statistikave zyrtare si pasojë e Fatkeqësive natyrore/ Pandemi Globale -|- 1</w:t>
            </w:r>
          </w:p>
        </w:tc>
        <w:tc>
          <w:tcPr>
            <w:tcW w:w="551" w:type="dxa"/>
            <w:tcBorders>
              <w:top w:val="nil"/>
              <w:left w:val="nil"/>
              <w:bottom w:val="single" w:sz="4" w:space="0" w:color="auto"/>
              <w:right w:val="single" w:sz="4" w:space="0" w:color="auto"/>
            </w:tcBorders>
            <w:shd w:val="clear" w:color="auto" w:fill="auto"/>
            <w:vAlign w:val="center"/>
            <w:hideMark/>
          </w:tcPr>
          <w:p w14:paraId="382F6C0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5A59934B" w14:textId="77777777" w:rsidTr="0021321C">
        <w:trPr>
          <w:trHeight w:val="180"/>
          <w:jc w:val="center"/>
        </w:trPr>
        <w:tc>
          <w:tcPr>
            <w:tcW w:w="388" w:type="dxa"/>
            <w:tcBorders>
              <w:top w:val="nil"/>
              <w:left w:val="nil"/>
              <w:bottom w:val="nil"/>
              <w:right w:val="nil"/>
            </w:tcBorders>
            <w:shd w:val="clear" w:color="000000" w:fill="FFFFFF"/>
            <w:vAlign w:val="bottom"/>
            <w:hideMark/>
          </w:tcPr>
          <w:p w14:paraId="60BAAF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4F0B5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160FC8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0C42BD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50D2D9C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3.7.2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3F99F1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Indeksi i Nivelit të Çmimeve, PBB për frymë në MFB</w:t>
            </w:r>
          </w:p>
        </w:tc>
      </w:tr>
      <w:tr w:rsidR="00C73163" w:rsidRPr="004F2AC3" w14:paraId="1BC60B56" w14:textId="77777777" w:rsidTr="0021321C">
        <w:trPr>
          <w:trHeight w:val="180"/>
          <w:jc w:val="center"/>
        </w:trPr>
        <w:tc>
          <w:tcPr>
            <w:tcW w:w="388" w:type="dxa"/>
            <w:tcBorders>
              <w:top w:val="nil"/>
              <w:left w:val="nil"/>
              <w:bottom w:val="nil"/>
              <w:right w:val="nil"/>
            </w:tcBorders>
            <w:shd w:val="clear" w:color="000000" w:fill="FFFFFF"/>
            <w:vAlign w:val="bottom"/>
            <w:hideMark/>
          </w:tcPr>
          <w:p w14:paraId="39747E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532A25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28BED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D1204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732825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7BF74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46E2B9F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3.7.2.1</w:t>
            </w:r>
          </w:p>
        </w:tc>
        <w:tc>
          <w:tcPr>
            <w:tcW w:w="563" w:type="dxa"/>
            <w:tcBorders>
              <w:top w:val="nil"/>
              <w:left w:val="nil"/>
              <w:bottom w:val="single" w:sz="4" w:space="0" w:color="auto"/>
              <w:right w:val="single" w:sz="4" w:space="0" w:color="auto"/>
            </w:tcBorders>
            <w:shd w:val="clear" w:color="auto" w:fill="auto"/>
            <w:vAlign w:val="center"/>
            <w:hideMark/>
          </w:tcPr>
          <w:p w14:paraId="0304107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Vrojtimet e Matjes së Fuqisë Blerëse</w:t>
            </w:r>
          </w:p>
        </w:tc>
        <w:tc>
          <w:tcPr>
            <w:tcW w:w="446" w:type="dxa"/>
            <w:tcBorders>
              <w:top w:val="nil"/>
              <w:left w:val="nil"/>
              <w:bottom w:val="single" w:sz="4" w:space="0" w:color="auto"/>
              <w:right w:val="single" w:sz="4" w:space="0" w:color="auto"/>
            </w:tcBorders>
            <w:shd w:val="clear" w:color="auto" w:fill="auto"/>
            <w:vAlign w:val="center"/>
            <w:hideMark/>
          </w:tcPr>
          <w:p w14:paraId="4DF79A3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2EE4F22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noWrap/>
            <w:vAlign w:val="center"/>
            <w:hideMark/>
          </w:tcPr>
          <w:p w14:paraId="202B74E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3E31740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0A3BFDE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3A88D2A6" w14:textId="64AA7BB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Indeksi i nivelit të çmimeve të konsumit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Produkti i Brendshëm Bruto për frymë në PFB</w:t>
            </w:r>
            <w:r w:rsidR="000A041F"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2E05FF93" w14:textId="2420474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372A7901" w14:textId="4FDE24C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7370E39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165 e V</w:t>
            </w:r>
          </w:p>
        </w:tc>
        <w:tc>
          <w:tcPr>
            <w:tcW w:w="385" w:type="dxa"/>
            <w:tcBorders>
              <w:top w:val="nil"/>
              <w:left w:val="nil"/>
              <w:bottom w:val="single" w:sz="4" w:space="0" w:color="auto"/>
              <w:right w:val="single" w:sz="4" w:space="0" w:color="auto"/>
            </w:tcBorders>
            <w:shd w:val="clear" w:color="auto" w:fill="auto"/>
            <w:vAlign w:val="center"/>
            <w:hideMark/>
          </w:tcPr>
          <w:p w14:paraId="4CD81BF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270 e V</w:t>
            </w:r>
          </w:p>
        </w:tc>
        <w:tc>
          <w:tcPr>
            <w:tcW w:w="361" w:type="dxa"/>
            <w:tcBorders>
              <w:top w:val="nil"/>
              <w:left w:val="nil"/>
              <w:bottom w:val="single" w:sz="4" w:space="0" w:color="auto"/>
              <w:right w:val="single" w:sz="4" w:space="0" w:color="auto"/>
            </w:tcBorders>
            <w:shd w:val="clear" w:color="auto" w:fill="auto"/>
            <w:noWrap/>
            <w:vAlign w:val="center"/>
            <w:hideMark/>
          </w:tcPr>
          <w:p w14:paraId="19B5427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59C3E5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Mospërmbushja e kritereve të cilësisë si: saktësia, përpikmëria dhe krahasueshmëria, për vrojtimet statistikore -|- 1</w:t>
            </w:r>
          </w:p>
        </w:tc>
        <w:tc>
          <w:tcPr>
            <w:tcW w:w="551" w:type="dxa"/>
            <w:tcBorders>
              <w:top w:val="nil"/>
              <w:left w:val="nil"/>
              <w:bottom w:val="single" w:sz="4" w:space="0" w:color="auto"/>
              <w:right w:val="single" w:sz="4" w:space="0" w:color="auto"/>
            </w:tcBorders>
            <w:shd w:val="clear" w:color="auto" w:fill="auto"/>
            <w:vAlign w:val="center"/>
            <w:hideMark/>
          </w:tcPr>
          <w:p w14:paraId="4B55205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Donatoret</w:t>
            </w:r>
          </w:p>
        </w:tc>
      </w:tr>
      <w:tr w:rsidR="0021321C" w:rsidRPr="004F2AC3" w14:paraId="4D34291E" w14:textId="77777777" w:rsidTr="0021321C">
        <w:trPr>
          <w:trHeight w:val="180"/>
          <w:jc w:val="center"/>
        </w:trPr>
        <w:tc>
          <w:tcPr>
            <w:tcW w:w="388" w:type="dxa"/>
            <w:tcBorders>
              <w:top w:val="nil"/>
              <w:left w:val="nil"/>
              <w:bottom w:val="nil"/>
              <w:right w:val="nil"/>
            </w:tcBorders>
            <w:shd w:val="clear" w:color="000000" w:fill="FFFFFF"/>
            <w:vAlign w:val="bottom"/>
            <w:hideMark/>
          </w:tcPr>
          <w:p w14:paraId="17ADAD6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CE1DCA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FDAA7C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263E85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4DD54A7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3.7.3</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A96908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Indeksi i Çmimeve të Banesave</w:t>
            </w:r>
          </w:p>
        </w:tc>
      </w:tr>
      <w:tr w:rsidR="00C73163" w:rsidRPr="004F2AC3" w14:paraId="71685349" w14:textId="77777777" w:rsidTr="0021321C">
        <w:trPr>
          <w:trHeight w:val="180"/>
          <w:jc w:val="center"/>
        </w:trPr>
        <w:tc>
          <w:tcPr>
            <w:tcW w:w="388" w:type="dxa"/>
            <w:tcBorders>
              <w:top w:val="nil"/>
              <w:left w:val="nil"/>
              <w:bottom w:val="nil"/>
              <w:right w:val="nil"/>
            </w:tcBorders>
            <w:shd w:val="clear" w:color="000000" w:fill="FFFFFF"/>
            <w:vAlign w:val="bottom"/>
            <w:hideMark/>
          </w:tcPr>
          <w:p w14:paraId="651A51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DA4EBF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AFD47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19BEC9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5D0CE5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689169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74341B5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3.7.3.1</w:t>
            </w:r>
          </w:p>
        </w:tc>
        <w:tc>
          <w:tcPr>
            <w:tcW w:w="563" w:type="dxa"/>
            <w:tcBorders>
              <w:top w:val="nil"/>
              <w:left w:val="nil"/>
              <w:bottom w:val="single" w:sz="4" w:space="0" w:color="auto"/>
              <w:right w:val="single" w:sz="4" w:space="0" w:color="auto"/>
            </w:tcBorders>
            <w:shd w:val="clear" w:color="auto" w:fill="auto"/>
            <w:vAlign w:val="center"/>
            <w:hideMark/>
          </w:tcPr>
          <w:p w14:paraId="0E0977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mbi Çmimet e Banesave (SÇB)</w:t>
            </w:r>
          </w:p>
        </w:tc>
        <w:tc>
          <w:tcPr>
            <w:tcW w:w="446" w:type="dxa"/>
            <w:tcBorders>
              <w:top w:val="nil"/>
              <w:left w:val="nil"/>
              <w:bottom w:val="single" w:sz="4" w:space="0" w:color="auto"/>
              <w:right w:val="single" w:sz="4" w:space="0" w:color="auto"/>
            </w:tcBorders>
            <w:shd w:val="clear" w:color="auto" w:fill="auto"/>
            <w:vAlign w:val="center"/>
            <w:hideMark/>
          </w:tcPr>
          <w:p w14:paraId="1C3956D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vAlign w:val="center"/>
            <w:hideMark/>
          </w:tcPr>
          <w:p w14:paraId="5EC64A6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vAlign w:val="center"/>
            <w:hideMark/>
          </w:tcPr>
          <w:p w14:paraId="7822383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53D4C4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Studim</w:t>
            </w:r>
          </w:p>
        </w:tc>
        <w:tc>
          <w:tcPr>
            <w:tcW w:w="409" w:type="dxa"/>
            <w:tcBorders>
              <w:top w:val="nil"/>
              <w:left w:val="nil"/>
              <w:bottom w:val="single" w:sz="4" w:space="0" w:color="auto"/>
              <w:right w:val="single" w:sz="4" w:space="0" w:color="auto"/>
            </w:tcBorders>
            <w:shd w:val="clear" w:color="auto" w:fill="auto"/>
            <w:vAlign w:val="center"/>
            <w:hideMark/>
          </w:tcPr>
          <w:p w14:paraId="247E312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Tremujor</w:t>
            </w:r>
          </w:p>
        </w:tc>
        <w:tc>
          <w:tcPr>
            <w:tcW w:w="1098" w:type="dxa"/>
            <w:tcBorders>
              <w:top w:val="nil"/>
              <w:left w:val="nil"/>
              <w:bottom w:val="single" w:sz="4" w:space="0" w:color="auto"/>
              <w:right w:val="single" w:sz="4" w:space="0" w:color="auto"/>
            </w:tcBorders>
            <w:shd w:val="clear" w:color="auto" w:fill="auto"/>
            <w:vAlign w:val="center"/>
            <w:hideMark/>
          </w:tcPr>
          <w:p w14:paraId="18315BD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4" w:type="dxa"/>
            <w:tcBorders>
              <w:top w:val="nil"/>
              <w:left w:val="nil"/>
              <w:bottom w:val="single" w:sz="4" w:space="0" w:color="auto"/>
              <w:right w:val="single" w:sz="4" w:space="0" w:color="auto"/>
            </w:tcBorders>
            <w:shd w:val="clear" w:color="auto" w:fill="auto"/>
            <w:vAlign w:val="center"/>
            <w:hideMark/>
          </w:tcPr>
          <w:p w14:paraId="389C644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Agjencia Shtetërore e Kadastrës</w:t>
            </w:r>
          </w:p>
        </w:tc>
        <w:tc>
          <w:tcPr>
            <w:tcW w:w="413" w:type="dxa"/>
            <w:tcBorders>
              <w:top w:val="nil"/>
              <w:left w:val="nil"/>
              <w:bottom w:val="single" w:sz="4" w:space="0" w:color="auto"/>
              <w:right w:val="single" w:sz="4" w:space="0" w:color="auto"/>
            </w:tcBorders>
            <w:shd w:val="clear" w:color="auto" w:fill="auto"/>
            <w:vAlign w:val="center"/>
            <w:hideMark/>
          </w:tcPr>
          <w:p w14:paraId="62BFBB3A" w14:textId="1C3BB02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noWrap/>
            <w:vAlign w:val="center"/>
            <w:hideMark/>
          </w:tcPr>
          <w:p w14:paraId="707E8C3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auto" w:fill="auto"/>
            <w:noWrap/>
            <w:vAlign w:val="center"/>
            <w:hideMark/>
          </w:tcPr>
          <w:p w14:paraId="41D511C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61" w:type="dxa"/>
            <w:tcBorders>
              <w:top w:val="nil"/>
              <w:left w:val="nil"/>
              <w:bottom w:val="single" w:sz="4" w:space="0" w:color="auto"/>
              <w:right w:val="single" w:sz="4" w:space="0" w:color="auto"/>
            </w:tcBorders>
            <w:shd w:val="clear" w:color="auto" w:fill="auto"/>
            <w:noWrap/>
            <w:vAlign w:val="center"/>
            <w:hideMark/>
          </w:tcPr>
          <w:p w14:paraId="2617374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63B0D6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Mospërmbushja e kritereve të cilësisë si: saktësia, përpikmëria dhe krahasueshmëria, për të dhënat administrative -|- 7</w:t>
            </w:r>
            <w:r w:rsidRPr="004F2AC3">
              <w:rPr>
                <w:rFonts w:ascii="Garamond" w:eastAsia="Times New Roman" w:hAnsi="Garamond" w:cs="Times New Roman"/>
                <w:color w:val="000000"/>
                <w:sz w:val="10"/>
                <w:szCs w:val="10"/>
                <w:lang w:eastAsia="sq-AL"/>
              </w:rPr>
              <w:br/>
              <w:t>2. Mospërmbushja e kritereve të cilësisë si: saktësia, përpikmëria dhe krahasueshmëria, për vrojtimet statistikore -|- 4</w:t>
            </w:r>
            <w:r w:rsidRPr="004F2AC3">
              <w:rPr>
                <w:rFonts w:ascii="Garamond" w:eastAsia="Times New Roman" w:hAnsi="Garamond" w:cs="Times New Roman"/>
                <w:color w:val="000000"/>
                <w:sz w:val="10"/>
                <w:szCs w:val="10"/>
                <w:lang w:eastAsia="sq-AL"/>
              </w:rPr>
              <w:br/>
              <w:t>3. Pezullimi/vonesa e mbledhjes, prodhimit dhe shpërndarjes të statistikave zyrtare si pasojë e Fatkeqësive natyrore/ Pandemi Globale -|- 1</w:t>
            </w:r>
          </w:p>
        </w:tc>
        <w:tc>
          <w:tcPr>
            <w:tcW w:w="551" w:type="dxa"/>
            <w:tcBorders>
              <w:top w:val="nil"/>
              <w:left w:val="nil"/>
              <w:bottom w:val="single" w:sz="4" w:space="0" w:color="auto"/>
              <w:right w:val="single" w:sz="4" w:space="0" w:color="auto"/>
            </w:tcBorders>
            <w:shd w:val="clear" w:color="auto" w:fill="auto"/>
            <w:vAlign w:val="center"/>
            <w:hideMark/>
          </w:tcPr>
          <w:p w14:paraId="121CAEB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10902772" w14:textId="77777777" w:rsidTr="0021321C">
        <w:trPr>
          <w:trHeight w:val="180"/>
          <w:jc w:val="center"/>
        </w:trPr>
        <w:tc>
          <w:tcPr>
            <w:tcW w:w="388" w:type="dxa"/>
            <w:tcBorders>
              <w:top w:val="nil"/>
              <w:left w:val="nil"/>
              <w:bottom w:val="nil"/>
              <w:right w:val="nil"/>
            </w:tcBorders>
            <w:shd w:val="clear" w:color="000000" w:fill="FFFFFF"/>
            <w:vAlign w:val="bottom"/>
            <w:hideMark/>
          </w:tcPr>
          <w:p w14:paraId="4A5014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D2C6B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0F0F0"/>
            <w:vAlign w:val="center"/>
            <w:hideMark/>
          </w:tcPr>
          <w:p w14:paraId="2C2A6ED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3.8</w:t>
            </w:r>
          </w:p>
        </w:tc>
        <w:tc>
          <w:tcPr>
            <w:tcW w:w="834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72E9DB5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Shkenca, Teknologjia dhe Inovacioni</w:t>
            </w:r>
          </w:p>
        </w:tc>
      </w:tr>
      <w:tr w:rsidR="0021321C" w:rsidRPr="004F2AC3" w14:paraId="39F91731" w14:textId="77777777" w:rsidTr="0021321C">
        <w:trPr>
          <w:trHeight w:val="180"/>
          <w:jc w:val="center"/>
        </w:trPr>
        <w:tc>
          <w:tcPr>
            <w:tcW w:w="388" w:type="dxa"/>
            <w:tcBorders>
              <w:top w:val="nil"/>
              <w:left w:val="nil"/>
              <w:bottom w:val="nil"/>
              <w:right w:val="nil"/>
            </w:tcBorders>
            <w:shd w:val="clear" w:color="000000" w:fill="FFFFFF"/>
            <w:vAlign w:val="bottom"/>
            <w:hideMark/>
          </w:tcPr>
          <w:p w14:paraId="0545F2B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77C459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585C0A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73C1BD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000000"/>
              <w:bottom w:val="single" w:sz="4" w:space="0" w:color="000000"/>
              <w:right w:val="nil"/>
            </w:tcBorders>
            <w:shd w:val="clear" w:color="000000" w:fill="F0F0F0"/>
            <w:vAlign w:val="center"/>
            <w:hideMark/>
          </w:tcPr>
          <w:p w14:paraId="7803B1E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3.8.1</w:t>
            </w:r>
          </w:p>
        </w:tc>
        <w:tc>
          <w:tcPr>
            <w:tcW w:w="7813" w:type="dxa"/>
            <w:gridSpan w:val="16"/>
            <w:tcBorders>
              <w:top w:val="nil"/>
              <w:left w:val="single" w:sz="4" w:space="0" w:color="auto"/>
              <w:bottom w:val="single" w:sz="4" w:space="0" w:color="auto"/>
              <w:right w:val="single" w:sz="4" w:space="0" w:color="auto"/>
            </w:tcBorders>
            <w:shd w:val="clear" w:color="000000" w:fill="F0F0F0"/>
            <w:vAlign w:val="center"/>
            <w:hideMark/>
          </w:tcPr>
          <w:p w14:paraId="40CE009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Statistikat e shkencës </w:t>
            </w:r>
          </w:p>
        </w:tc>
      </w:tr>
      <w:tr w:rsidR="00C73163" w:rsidRPr="004F2AC3" w14:paraId="49D0AA5F" w14:textId="77777777" w:rsidTr="0021321C">
        <w:trPr>
          <w:trHeight w:val="180"/>
          <w:jc w:val="center"/>
        </w:trPr>
        <w:tc>
          <w:tcPr>
            <w:tcW w:w="388" w:type="dxa"/>
            <w:tcBorders>
              <w:top w:val="nil"/>
              <w:left w:val="nil"/>
              <w:bottom w:val="nil"/>
              <w:right w:val="nil"/>
            </w:tcBorders>
            <w:shd w:val="clear" w:color="000000" w:fill="FFFFFF"/>
            <w:vAlign w:val="bottom"/>
            <w:hideMark/>
          </w:tcPr>
          <w:p w14:paraId="23FB7C1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1D3FDD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CBDA3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241DD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3EE470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7284EC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50641E8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3.8.1.1</w:t>
            </w:r>
          </w:p>
        </w:tc>
        <w:tc>
          <w:tcPr>
            <w:tcW w:w="563" w:type="dxa"/>
            <w:tcBorders>
              <w:top w:val="nil"/>
              <w:left w:val="nil"/>
              <w:bottom w:val="single" w:sz="4" w:space="0" w:color="auto"/>
              <w:right w:val="single" w:sz="4" w:space="0" w:color="auto"/>
            </w:tcBorders>
            <w:shd w:val="clear" w:color="auto" w:fill="auto"/>
            <w:vAlign w:val="center"/>
            <w:hideMark/>
          </w:tcPr>
          <w:p w14:paraId="2BF5391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nga vrojtimi mbi shkencën në 4 sektorë</w:t>
            </w:r>
          </w:p>
        </w:tc>
        <w:tc>
          <w:tcPr>
            <w:tcW w:w="446" w:type="dxa"/>
            <w:tcBorders>
              <w:top w:val="nil"/>
              <w:left w:val="nil"/>
              <w:bottom w:val="single" w:sz="4" w:space="0" w:color="auto"/>
              <w:right w:val="single" w:sz="4" w:space="0" w:color="auto"/>
            </w:tcBorders>
            <w:shd w:val="clear" w:color="auto" w:fill="auto"/>
            <w:vAlign w:val="center"/>
            <w:hideMark/>
          </w:tcPr>
          <w:p w14:paraId="799C7C8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vAlign w:val="center"/>
            <w:hideMark/>
          </w:tcPr>
          <w:p w14:paraId="036217F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1" w:type="dxa"/>
            <w:tcBorders>
              <w:top w:val="nil"/>
              <w:left w:val="nil"/>
              <w:bottom w:val="single" w:sz="4" w:space="0" w:color="auto"/>
              <w:right w:val="single" w:sz="4" w:space="0" w:color="auto"/>
            </w:tcBorders>
            <w:shd w:val="clear" w:color="auto" w:fill="auto"/>
            <w:noWrap/>
            <w:vAlign w:val="center"/>
            <w:hideMark/>
          </w:tcPr>
          <w:p w14:paraId="653E3F2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2009FF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3A9527E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Çdo 2 vite</w:t>
            </w:r>
          </w:p>
        </w:tc>
        <w:tc>
          <w:tcPr>
            <w:tcW w:w="1098" w:type="dxa"/>
            <w:tcBorders>
              <w:top w:val="nil"/>
              <w:left w:val="nil"/>
              <w:bottom w:val="single" w:sz="4" w:space="0" w:color="auto"/>
              <w:right w:val="single" w:sz="4" w:space="0" w:color="auto"/>
            </w:tcBorders>
            <w:shd w:val="clear" w:color="000000" w:fill="FFFFFF"/>
            <w:vAlign w:val="center"/>
            <w:hideMark/>
          </w:tcPr>
          <w:p w14:paraId="75D616A3" w14:textId="77777777" w:rsidR="000A041F"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Shpërndaja e fondeve të K&amp;ZH sipas sektorëve</w:t>
            </w:r>
            <w:r w:rsidR="000A041F"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p>
          <w:p w14:paraId="0727F84D" w14:textId="5E4E7D1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 Shpërndaja e shpenzimeve të K&amp;ZH sipas sektorëve</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Personel i angazhuar në Kërkim Shkencor dhe Zhvillim</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Personel i angazhuar në Kërkim Shkencor dhe Zhvillim sipas arsimimit</w:t>
            </w:r>
            <w:r w:rsidR="000A041F"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236D445E" w14:textId="1B23E18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31E48BF0" w14:textId="0BD7FE2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27D93C1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5" w:type="dxa"/>
            <w:tcBorders>
              <w:top w:val="nil"/>
              <w:left w:val="nil"/>
              <w:bottom w:val="single" w:sz="4" w:space="0" w:color="auto"/>
              <w:right w:val="single" w:sz="4" w:space="0" w:color="auto"/>
            </w:tcBorders>
            <w:shd w:val="clear" w:color="auto" w:fill="auto"/>
            <w:vAlign w:val="center"/>
            <w:hideMark/>
          </w:tcPr>
          <w:p w14:paraId="53E3509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2V + 485D</w:t>
            </w:r>
          </w:p>
        </w:tc>
        <w:tc>
          <w:tcPr>
            <w:tcW w:w="361" w:type="dxa"/>
            <w:tcBorders>
              <w:top w:val="nil"/>
              <w:left w:val="nil"/>
              <w:bottom w:val="single" w:sz="4" w:space="0" w:color="auto"/>
              <w:right w:val="single" w:sz="4" w:space="0" w:color="auto"/>
            </w:tcBorders>
            <w:shd w:val="clear" w:color="auto" w:fill="auto"/>
            <w:vAlign w:val="center"/>
            <w:hideMark/>
          </w:tcPr>
          <w:p w14:paraId="5298867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2V + 546D</w:t>
            </w:r>
          </w:p>
        </w:tc>
        <w:tc>
          <w:tcPr>
            <w:tcW w:w="732" w:type="dxa"/>
            <w:tcBorders>
              <w:top w:val="nil"/>
              <w:left w:val="nil"/>
              <w:bottom w:val="single" w:sz="4" w:space="0" w:color="auto"/>
              <w:right w:val="single" w:sz="4" w:space="0" w:color="auto"/>
            </w:tcBorders>
            <w:shd w:val="clear" w:color="000000" w:fill="FFFFFF"/>
            <w:vAlign w:val="center"/>
            <w:hideMark/>
          </w:tcPr>
          <w:p w14:paraId="406AEDCD" w14:textId="416EA8F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Mospublikimin në kohë i rezultateve të vrojtimit -|- 2</w:t>
            </w:r>
            <w:r w:rsidRPr="004F2AC3">
              <w:rPr>
                <w:rFonts w:ascii="Garamond" w:eastAsia="Times New Roman" w:hAnsi="Garamond" w:cs="Times New Roman"/>
                <w:color w:val="000000"/>
                <w:sz w:val="10"/>
                <w:szCs w:val="10"/>
                <w:lang w:eastAsia="sq-AL"/>
              </w:rPr>
              <w:br/>
              <w:t>2. Mospërmbushja e kritereve të cilësisë si: saktësia, përpikmëria dhe krahasueshmëria -|- 6</w:t>
            </w:r>
            <w:r w:rsidRPr="004F2AC3">
              <w:rPr>
                <w:rFonts w:ascii="Garamond" w:eastAsia="Times New Roman" w:hAnsi="Garamond" w:cs="Times New Roman"/>
                <w:color w:val="000000"/>
                <w:sz w:val="10"/>
                <w:szCs w:val="10"/>
                <w:lang w:eastAsia="sq-AL"/>
              </w:rPr>
              <w:br/>
              <w:t>3. Mosevidentimi dhe realizimi i detyrave të përditshme të specialistit përgjegjës të anketës -|- 1</w:t>
            </w:r>
            <w:r w:rsidRPr="004F2AC3">
              <w:rPr>
                <w:rFonts w:ascii="Garamond" w:eastAsia="Times New Roman" w:hAnsi="Garamond" w:cs="Times New Roman"/>
                <w:color w:val="000000"/>
                <w:sz w:val="10"/>
                <w:szCs w:val="10"/>
                <w:lang w:eastAsia="sq-AL"/>
              </w:rPr>
              <w:br/>
              <w:t>4. Moszbatimi në kohë i kalendarit të publikimeve statistikore dhe përditësimit të materialeve në web -|-3</w:t>
            </w:r>
            <w:r w:rsidRPr="004F2AC3">
              <w:rPr>
                <w:rFonts w:ascii="Garamond" w:eastAsia="Times New Roman" w:hAnsi="Garamond" w:cs="Times New Roman"/>
                <w:color w:val="000000"/>
                <w:sz w:val="10"/>
                <w:szCs w:val="10"/>
                <w:lang w:eastAsia="sq-AL"/>
              </w:rPr>
              <w:br/>
              <w:t>5. Gabime në përllogaritje e treguesve nga specialistët përgjegjës të anketës -|-3</w:t>
            </w:r>
            <w:r w:rsidRPr="004F2AC3">
              <w:rPr>
                <w:rFonts w:ascii="Garamond" w:eastAsia="Times New Roman" w:hAnsi="Garamond" w:cs="Times New Roman"/>
                <w:color w:val="000000"/>
                <w:sz w:val="10"/>
                <w:szCs w:val="10"/>
                <w:lang w:eastAsia="sq-AL"/>
              </w:rPr>
              <w:br/>
              <w:t>6. Lëvizja e stafit me eksperiencë nga sektori -|- 8</w:t>
            </w:r>
            <w:r w:rsidRPr="004F2AC3">
              <w:rPr>
                <w:rFonts w:ascii="Garamond" w:eastAsia="Times New Roman" w:hAnsi="Garamond" w:cs="Times New Roman"/>
                <w:color w:val="000000"/>
                <w:sz w:val="10"/>
                <w:szCs w:val="10"/>
                <w:lang w:eastAsia="sq-AL"/>
              </w:rPr>
              <w:br/>
              <w:t>7. Mosfunksionimi i metodave të automatizimit dhe mos pasja e suportit për automatizimin e proceseve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prodhimit statistikor -|- 6</w:t>
            </w:r>
            <w:r w:rsidRPr="004F2AC3">
              <w:rPr>
                <w:rFonts w:ascii="Garamond" w:eastAsia="Times New Roman" w:hAnsi="Garamond" w:cs="Times New Roman"/>
                <w:color w:val="000000"/>
                <w:sz w:val="10"/>
                <w:szCs w:val="10"/>
                <w:lang w:eastAsia="sq-AL"/>
              </w:rPr>
              <w:br/>
              <w:t>8. Moszhvillimi i sistemeve të informacionit dhe web-services -|- 6</w:t>
            </w:r>
          </w:p>
        </w:tc>
        <w:tc>
          <w:tcPr>
            <w:tcW w:w="551" w:type="dxa"/>
            <w:tcBorders>
              <w:top w:val="nil"/>
              <w:left w:val="nil"/>
              <w:bottom w:val="single" w:sz="4" w:space="0" w:color="auto"/>
              <w:right w:val="single" w:sz="4" w:space="0" w:color="auto"/>
            </w:tcBorders>
            <w:shd w:val="clear" w:color="auto" w:fill="auto"/>
            <w:vAlign w:val="center"/>
            <w:hideMark/>
          </w:tcPr>
          <w:p w14:paraId="6131AD4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2C96D4A8" w14:textId="77777777" w:rsidTr="0021321C">
        <w:trPr>
          <w:trHeight w:val="180"/>
          <w:jc w:val="center"/>
        </w:trPr>
        <w:tc>
          <w:tcPr>
            <w:tcW w:w="388" w:type="dxa"/>
            <w:tcBorders>
              <w:top w:val="nil"/>
              <w:left w:val="nil"/>
              <w:bottom w:val="nil"/>
              <w:right w:val="nil"/>
            </w:tcBorders>
            <w:shd w:val="clear" w:color="000000" w:fill="FFFFFF"/>
            <w:vAlign w:val="bottom"/>
            <w:hideMark/>
          </w:tcPr>
          <w:p w14:paraId="6524DFD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2AC396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4243A9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CE919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589471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E787B0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2F15385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3.8.1.2</w:t>
            </w:r>
          </w:p>
        </w:tc>
        <w:tc>
          <w:tcPr>
            <w:tcW w:w="563" w:type="dxa"/>
            <w:tcBorders>
              <w:top w:val="nil"/>
              <w:left w:val="nil"/>
              <w:bottom w:val="single" w:sz="4" w:space="0" w:color="auto"/>
              <w:right w:val="single" w:sz="4" w:space="0" w:color="auto"/>
            </w:tcBorders>
            <w:shd w:val="clear" w:color="auto" w:fill="auto"/>
            <w:vAlign w:val="center"/>
            <w:hideMark/>
          </w:tcPr>
          <w:p w14:paraId="5C1FA8F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GBARD</w:t>
            </w:r>
          </w:p>
        </w:tc>
        <w:tc>
          <w:tcPr>
            <w:tcW w:w="446" w:type="dxa"/>
            <w:tcBorders>
              <w:top w:val="nil"/>
              <w:left w:val="nil"/>
              <w:bottom w:val="single" w:sz="4" w:space="0" w:color="auto"/>
              <w:right w:val="single" w:sz="4" w:space="0" w:color="auto"/>
            </w:tcBorders>
            <w:shd w:val="clear" w:color="auto" w:fill="auto"/>
            <w:vAlign w:val="center"/>
            <w:hideMark/>
          </w:tcPr>
          <w:p w14:paraId="45A2D90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Kombinim i burimeve administrative dhe vrojtimeve</w:t>
            </w:r>
          </w:p>
        </w:tc>
        <w:tc>
          <w:tcPr>
            <w:tcW w:w="450" w:type="dxa"/>
            <w:tcBorders>
              <w:top w:val="nil"/>
              <w:left w:val="nil"/>
              <w:bottom w:val="single" w:sz="4" w:space="0" w:color="auto"/>
              <w:right w:val="single" w:sz="4" w:space="0" w:color="auto"/>
            </w:tcBorders>
            <w:shd w:val="clear" w:color="auto" w:fill="auto"/>
            <w:noWrap/>
            <w:vAlign w:val="center"/>
            <w:hideMark/>
          </w:tcPr>
          <w:p w14:paraId="136C1F89"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80%</w:t>
            </w:r>
          </w:p>
        </w:tc>
        <w:tc>
          <w:tcPr>
            <w:tcW w:w="301" w:type="dxa"/>
            <w:tcBorders>
              <w:top w:val="nil"/>
              <w:left w:val="nil"/>
              <w:bottom w:val="single" w:sz="4" w:space="0" w:color="auto"/>
              <w:right w:val="single" w:sz="4" w:space="0" w:color="auto"/>
            </w:tcBorders>
            <w:shd w:val="clear" w:color="auto" w:fill="auto"/>
            <w:noWrap/>
            <w:vAlign w:val="center"/>
            <w:hideMark/>
          </w:tcPr>
          <w:p w14:paraId="36027D46"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20%</w:t>
            </w:r>
          </w:p>
        </w:tc>
        <w:tc>
          <w:tcPr>
            <w:tcW w:w="426" w:type="dxa"/>
            <w:tcBorders>
              <w:top w:val="nil"/>
              <w:left w:val="nil"/>
              <w:bottom w:val="single" w:sz="4" w:space="0" w:color="auto"/>
              <w:right w:val="single" w:sz="4" w:space="0" w:color="auto"/>
            </w:tcBorders>
            <w:shd w:val="clear" w:color="auto" w:fill="auto"/>
            <w:vAlign w:val="center"/>
            <w:hideMark/>
          </w:tcPr>
          <w:p w14:paraId="188CAA3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76BCEC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4D41905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Fonde të alokuara për Aktivitetin e Kërkim-Zhvillimit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2. Detajimi i fondeve të alokuara për Aktivitetin e Kërkim-Zhvillimit sipas llojit të financimit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Detajimi i fondeve të alokuara për Aktivitetin e Kërkim-Zhvillimit sipas NABS 20</w:t>
            </w:r>
            <w:r w:rsidR="000A041F" w:rsidRPr="004F2AC3">
              <w:rPr>
                <w:rFonts w:ascii="Garamond" w:eastAsia="Times New Roman" w:hAnsi="Garamond" w:cs="Times New Roman"/>
                <w:color w:val="000000"/>
                <w:sz w:val="10"/>
                <w:szCs w:val="10"/>
                <w:lang w:eastAsia="sq-AL"/>
              </w:rPr>
              <w:t>07.</w:t>
            </w:r>
          </w:p>
          <w:p w14:paraId="2DE7D832" w14:textId="15A3F02C" w:rsidR="00C86843" w:rsidRPr="004F2AC3" w:rsidRDefault="00C86843" w:rsidP="0021321C">
            <w:pPr>
              <w:spacing w:after="0" w:line="240" w:lineRule="auto"/>
              <w:rPr>
                <w:rFonts w:ascii="Garamond" w:eastAsia="Times New Roman" w:hAnsi="Garamond" w:cs="Times New Roman"/>
                <w:color w:val="000000"/>
                <w:sz w:val="10"/>
                <w:szCs w:val="10"/>
                <w:lang w:eastAsia="sq-AL"/>
              </w:rPr>
            </w:pPr>
          </w:p>
        </w:tc>
        <w:tc>
          <w:tcPr>
            <w:tcW w:w="554" w:type="dxa"/>
            <w:tcBorders>
              <w:top w:val="nil"/>
              <w:left w:val="nil"/>
              <w:bottom w:val="single" w:sz="4" w:space="0" w:color="auto"/>
              <w:right w:val="single" w:sz="4" w:space="0" w:color="auto"/>
            </w:tcBorders>
            <w:shd w:val="clear" w:color="auto" w:fill="auto"/>
            <w:vAlign w:val="center"/>
            <w:hideMark/>
          </w:tcPr>
          <w:p w14:paraId="7EF2D26D" w14:textId="77777777" w:rsidR="000A041F"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Ministria e Financave</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 Banka e Shqipërisë</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r>
            <w:r w:rsidR="000A041F" w:rsidRPr="004F2AC3">
              <w:rPr>
                <w:rFonts w:ascii="Garamond" w:eastAsia="Times New Roman" w:hAnsi="Garamond" w:cs="Times New Roman"/>
                <w:color w:val="000000"/>
                <w:sz w:val="10"/>
                <w:szCs w:val="10"/>
                <w:lang w:eastAsia="sq-AL"/>
              </w:rPr>
              <w:t>Ministria e Punëve të Brendshme;</w:t>
            </w:r>
            <w:r w:rsidRPr="004F2AC3">
              <w:rPr>
                <w:rFonts w:ascii="Garamond" w:eastAsia="Times New Roman" w:hAnsi="Garamond" w:cs="Times New Roman"/>
                <w:color w:val="000000"/>
                <w:sz w:val="10"/>
                <w:szCs w:val="10"/>
                <w:lang w:eastAsia="sq-AL"/>
              </w:rPr>
              <w:br/>
              <w:t>Ministria e Arsimit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 xml:space="preserve"> Ministria e Infrastrukturës dhe Energjisë</w:t>
            </w:r>
            <w:r w:rsidR="000A041F"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p>
          <w:p w14:paraId="325DC956" w14:textId="200C2F5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Ekonomisë dhe Inovacionit</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r>
            <w:r w:rsidRPr="004F2AC3">
              <w:rPr>
                <w:rFonts w:ascii="Garamond" w:eastAsia="Times New Roman" w:hAnsi="Garamond" w:cs="Times New Roman"/>
                <w:sz w:val="10"/>
                <w:szCs w:val="10"/>
                <w:lang w:eastAsia="sq-AL"/>
              </w:rPr>
              <w:t>Ministria e Turizmit dhe Mjedisit</w:t>
            </w:r>
            <w:r w:rsidR="000A041F" w:rsidRPr="004F2AC3">
              <w:rPr>
                <w:rFonts w:ascii="Garamond" w:eastAsia="Times New Roman" w:hAnsi="Garamond" w:cs="Times New Roman"/>
                <w:sz w:val="10"/>
                <w:szCs w:val="10"/>
                <w:lang w:eastAsia="sq-AL"/>
              </w:rPr>
              <w:t>;</w:t>
            </w:r>
            <w:r w:rsidRPr="004F2AC3">
              <w:rPr>
                <w:rFonts w:ascii="Garamond" w:eastAsia="Times New Roman" w:hAnsi="Garamond" w:cs="Times New Roman"/>
                <w:color w:val="000000"/>
                <w:sz w:val="10"/>
                <w:szCs w:val="10"/>
                <w:lang w:eastAsia="sq-AL"/>
              </w:rPr>
              <w:br/>
              <w:t>Instituti i Shëndetit Publik</w:t>
            </w:r>
            <w:r w:rsidR="000A041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Shërbimi Gjeologjik Shqiptar</w:t>
            </w:r>
            <w:r w:rsidRPr="004F2AC3">
              <w:rPr>
                <w:rFonts w:ascii="Garamond" w:eastAsia="Times New Roman" w:hAnsi="Garamond" w:cs="Times New Roman"/>
                <w:color w:val="000000"/>
                <w:sz w:val="10"/>
                <w:szCs w:val="10"/>
                <w:lang w:eastAsia="sq-AL"/>
              </w:rPr>
              <w:br/>
              <w:t xml:space="preserve"> Universitetet</w:t>
            </w:r>
          </w:p>
        </w:tc>
        <w:tc>
          <w:tcPr>
            <w:tcW w:w="413" w:type="dxa"/>
            <w:tcBorders>
              <w:top w:val="nil"/>
              <w:left w:val="nil"/>
              <w:bottom w:val="single" w:sz="4" w:space="0" w:color="auto"/>
              <w:right w:val="single" w:sz="4" w:space="0" w:color="auto"/>
            </w:tcBorders>
            <w:shd w:val="clear" w:color="auto" w:fill="auto"/>
            <w:vAlign w:val="center"/>
            <w:hideMark/>
          </w:tcPr>
          <w:p w14:paraId="5301B38B" w14:textId="76964F21"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0A041F"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0351CA6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+ 181D</w:t>
            </w:r>
          </w:p>
        </w:tc>
        <w:tc>
          <w:tcPr>
            <w:tcW w:w="385" w:type="dxa"/>
            <w:tcBorders>
              <w:top w:val="nil"/>
              <w:left w:val="nil"/>
              <w:bottom w:val="single" w:sz="4" w:space="0" w:color="auto"/>
              <w:right w:val="single" w:sz="4" w:space="0" w:color="auto"/>
            </w:tcBorders>
            <w:shd w:val="clear" w:color="auto" w:fill="auto"/>
            <w:vAlign w:val="center"/>
            <w:hideMark/>
          </w:tcPr>
          <w:p w14:paraId="73CE319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+ 303D</w:t>
            </w:r>
          </w:p>
        </w:tc>
        <w:tc>
          <w:tcPr>
            <w:tcW w:w="361" w:type="dxa"/>
            <w:tcBorders>
              <w:top w:val="nil"/>
              <w:left w:val="nil"/>
              <w:bottom w:val="single" w:sz="4" w:space="0" w:color="auto"/>
              <w:right w:val="single" w:sz="4" w:space="0" w:color="auto"/>
            </w:tcBorders>
            <w:shd w:val="clear" w:color="auto" w:fill="auto"/>
            <w:vAlign w:val="center"/>
            <w:hideMark/>
          </w:tcPr>
          <w:p w14:paraId="4850A6A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+ 334D</w:t>
            </w:r>
          </w:p>
        </w:tc>
        <w:tc>
          <w:tcPr>
            <w:tcW w:w="732" w:type="dxa"/>
            <w:tcBorders>
              <w:top w:val="nil"/>
              <w:left w:val="nil"/>
              <w:bottom w:val="single" w:sz="4" w:space="0" w:color="auto"/>
              <w:right w:val="single" w:sz="4" w:space="0" w:color="auto"/>
            </w:tcBorders>
            <w:shd w:val="clear" w:color="000000" w:fill="FFFFFF"/>
            <w:vAlign w:val="center"/>
            <w:hideMark/>
          </w:tcPr>
          <w:p w14:paraId="591716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1.Mospublikimin në kohë i rezultateve të vrojtimit -|- 2</w:t>
            </w:r>
            <w:r w:rsidRPr="004F2AC3">
              <w:rPr>
                <w:rFonts w:ascii="Garamond" w:eastAsia="Times New Roman" w:hAnsi="Garamond" w:cs="Times New Roman"/>
                <w:color w:val="000000"/>
                <w:sz w:val="10"/>
                <w:szCs w:val="10"/>
                <w:lang w:eastAsia="sq-AL"/>
              </w:rPr>
              <w:br/>
              <w:t>2.Mospërmbushja e kritereve të cilësisë si: saktësia, përpikmëria dhe krahasueshmëria -|- 6</w:t>
            </w:r>
            <w:r w:rsidRPr="004F2AC3">
              <w:rPr>
                <w:rFonts w:ascii="Garamond" w:eastAsia="Times New Roman" w:hAnsi="Garamond" w:cs="Times New Roman"/>
                <w:color w:val="000000"/>
                <w:sz w:val="10"/>
                <w:szCs w:val="10"/>
                <w:lang w:eastAsia="sq-AL"/>
              </w:rPr>
              <w:br/>
              <w:t>3.Mosevidentimi dhe realizimi i detyrave të përditshme të specialistit përgjegjës të anketës -|- 1</w:t>
            </w:r>
            <w:r w:rsidRPr="004F2AC3">
              <w:rPr>
                <w:rFonts w:ascii="Garamond" w:eastAsia="Times New Roman" w:hAnsi="Garamond" w:cs="Times New Roman"/>
                <w:color w:val="000000"/>
                <w:sz w:val="10"/>
                <w:szCs w:val="10"/>
                <w:lang w:eastAsia="sq-AL"/>
              </w:rPr>
              <w:br/>
              <w:t>4.Moszbatimi në kohë i kalendarit të publikimeve statistikore dhe përditësimit të materialeve në web -|-3</w:t>
            </w:r>
            <w:r w:rsidRPr="004F2AC3">
              <w:rPr>
                <w:rFonts w:ascii="Garamond" w:eastAsia="Times New Roman" w:hAnsi="Garamond" w:cs="Times New Roman"/>
                <w:color w:val="000000"/>
                <w:sz w:val="10"/>
                <w:szCs w:val="10"/>
                <w:lang w:eastAsia="sq-AL"/>
              </w:rPr>
              <w:br/>
              <w:t>5.Gabime në përllogaritje e treguesve nga specialistët përgjegjës të anketës -|-3</w:t>
            </w:r>
            <w:r w:rsidRPr="004F2AC3">
              <w:rPr>
                <w:rFonts w:ascii="Garamond" w:eastAsia="Times New Roman" w:hAnsi="Garamond" w:cs="Times New Roman"/>
                <w:color w:val="000000"/>
                <w:sz w:val="10"/>
                <w:szCs w:val="10"/>
                <w:lang w:eastAsia="sq-AL"/>
              </w:rPr>
              <w:br/>
              <w:t>6.Lëvizja e stafit me eksperiencë nga sektori -|- 8</w:t>
            </w:r>
            <w:r w:rsidRPr="004F2AC3">
              <w:rPr>
                <w:rFonts w:ascii="Garamond" w:eastAsia="Times New Roman" w:hAnsi="Garamond" w:cs="Times New Roman"/>
                <w:color w:val="000000"/>
                <w:sz w:val="10"/>
                <w:szCs w:val="10"/>
                <w:lang w:eastAsia="sq-AL"/>
              </w:rPr>
              <w:br/>
              <w:t>7.Mosfunksionimi i metodave të automatizimit dhe mos pasja e suportit për automatizimin e proceseve të prodhimit statistikor -|- 6</w:t>
            </w:r>
            <w:r w:rsidRPr="004F2AC3">
              <w:rPr>
                <w:rFonts w:ascii="Garamond" w:eastAsia="Times New Roman" w:hAnsi="Garamond" w:cs="Times New Roman"/>
                <w:color w:val="000000"/>
                <w:sz w:val="10"/>
                <w:szCs w:val="10"/>
                <w:lang w:eastAsia="sq-AL"/>
              </w:rPr>
              <w:br/>
              <w:t>8.Moszhvillimi i sistemeve të informacionit dhe web-services -|- 6</w:t>
            </w:r>
          </w:p>
        </w:tc>
        <w:tc>
          <w:tcPr>
            <w:tcW w:w="551" w:type="dxa"/>
            <w:tcBorders>
              <w:top w:val="nil"/>
              <w:left w:val="nil"/>
              <w:bottom w:val="single" w:sz="4" w:space="0" w:color="auto"/>
              <w:right w:val="single" w:sz="4" w:space="0" w:color="auto"/>
            </w:tcBorders>
            <w:shd w:val="clear" w:color="auto" w:fill="auto"/>
            <w:vAlign w:val="center"/>
            <w:hideMark/>
          </w:tcPr>
          <w:p w14:paraId="65C0B2C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0F1F8113" w14:textId="77777777" w:rsidTr="0021321C">
        <w:trPr>
          <w:trHeight w:val="180"/>
          <w:jc w:val="center"/>
        </w:trPr>
        <w:tc>
          <w:tcPr>
            <w:tcW w:w="388" w:type="dxa"/>
            <w:tcBorders>
              <w:top w:val="nil"/>
              <w:left w:val="nil"/>
              <w:bottom w:val="nil"/>
              <w:right w:val="nil"/>
            </w:tcBorders>
            <w:shd w:val="clear" w:color="000000" w:fill="FFFFFF"/>
            <w:vAlign w:val="bottom"/>
            <w:hideMark/>
          </w:tcPr>
          <w:p w14:paraId="3169078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551848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43551BE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31B90D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43900C2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3.8.2</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82F06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inovacionit</w:t>
            </w:r>
          </w:p>
        </w:tc>
      </w:tr>
      <w:tr w:rsidR="00C73163" w:rsidRPr="004F2AC3" w14:paraId="335D8D5D" w14:textId="77777777" w:rsidTr="0021321C">
        <w:trPr>
          <w:trHeight w:val="180"/>
          <w:jc w:val="center"/>
        </w:trPr>
        <w:tc>
          <w:tcPr>
            <w:tcW w:w="388" w:type="dxa"/>
            <w:tcBorders>
              <w:top w:val="nil"/>
              <w:left w:val="nil"/>
              <w:bottom w:val="nil"/>
              <w:right w:val="nil"/>
            </w:tcBorders>
            <w:shd w:val="clear" w:color="000000" w:fill="FFFFFF"/>
            <w:vAlign w:val="bottom"/>
            <w:hideMark/>
          </w:tcPr>
          <w:p w14:paraId="46A77D2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2795DC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50F1A2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F6BC80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74E5774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21EBF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10964BA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3.8.2.1</w:t>
            </w:r>
          </w:p>
        </w:tc>
        <w:tc>
          <w:tcPr>
            <w:tcW w:w="563" w:type="dxa"/>
            <w:tcBorders>
              <w:top w:val="nil"/>
              <w:left w:val="nil"/>
              <w:bottom w:val="single" w:sz="4" w:space="0" w:color="auto"/>
              <w:right w:val="single" w:sz="4" w:space="0" w:color="auto"/>
            </w:tcBorders>
            <w:shd w:val="clear" w:color="auto" w:fill="auto"/>
            <w:vAlign w:val="center"/>
            <w:hideMark/>
          </w:tcPr>
          <w:p w14:paraId="70E0D4C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 mbi Inovacionin në ndërmarrje</w:t>
            </w:r>
          </w:p>
        </w:tc>
        <w:tc>
          <w:tcPr>
            <w:tcW w:w="446" w:type="dxa"/>
            <w:tcBorders>
              <w:top w:val="nil"/>
              <w:left w:val="nil"/>
              <w:bottom w:val="single" w:sz="4" w:space="0" w:color="auto"/>
              <w:right w:val="single" w:sz="4" w:space="0" w:color="auto"/>
            </w:tcBorders>
            <w:shd w:val="clear" w:color="auto" w:fill="auto"/>
            <w:vAlign w:val="center"/>
            <w:hideMark/>
          </w:tcPr>
          <w:p w14:paraId="7C50B0D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noWrap/>
            <w:vAlign w:val="center"/>
            <w:hideMark/>
          </w:tcPr>
          <w:p w14:paraId="3E9CDF0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2324EEE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5AEEDCB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1895C0B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Çdo 2 vite</w:t>
            </w:r>
          </w:p>
        </w:tc>
        <w:tc>
          <w:tcPr>
            <w:tcW w:w="1098" w:type="dxa"/>
            <w:tcBorders>
              <w:top w:val="nil"/>
              <w:left w:val="nil"/>
              <w:bottom w:val="nil"/>
              <w:right w:val="nil"/>
            </w:tcBorders>
            <w:shd w:val="clear" w:color="000000" w:fill="FFFFFF"/>
            <w:vAlign w:val="center"/>
            <w:hideMark/>
          </w:tcPr>
          <w:p w14:paraId="440F8985" w14:textId="324EB48C"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Përqindja e ndërmarrjeve aktive në Inovacion</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 Shitjet neto të ndërmarrjeve aktive në Inovacion</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3. Të punësuarit në ndërmarrjet aktive në Inovacion</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Përqindja e ndërmarrjeve që kanë të paktën një inovacion procesi biznesi</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5. Ndërmarrje që kanë inovacion produkt</w:t>
            </w:r>
            <w:r w:rsidR="00520D08" w:rsidRPr="004F2AC3">
              <w:rPr>
                <w:rFonts w:ascii="Garamond" w:eastAsia="Times New Roman" w:hAnsi="Garamond" w:cs="Times New Roman"/>
                <w:sz w:val="10"/>
                <w:szCs w:val="10"/>
                <w:lang w:eastAsia="sq-AL"/>
              </w:rPr>
              <w:t>i dhe inovacion procesi biznesi;</w:t>
            </w:r>
            <w:r w:rsidRPr="004F2AC3">
              <w:rPr>
                <w:rFonts w:ascii="Garamond" w:eastAsia="Times New Roman" w:hAnsi="Garamond" w:cs="Times New Roman"/>
                <w:sz w:val="10"/>
                <w:szCs w:val="10"/>
                <w:lang w:eastAsia="sq-AL"/>
              </w:rPr>
              <w:br/>
              <w:t>6. Ndërmarrje me të paktën një inovacion produkti që nuk ishte i ofruar më parë në treg</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7. Ndërmarrje aktive në inovacion që kanë bashkëpunuar</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8. Ndërmarrje që kanë blerë teknologji të re që nuk ishte përdorur më parë në ndërmarrje</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9. Ndërmarrje që morën mbështetje financiare nga </w:t>
            </w:r>
            <w:r w:rsidR="00520D08" w:rsidRPr="004F2AC3">
              <w:rPr>
                <w:rFonts w:ascii="Garamond" w:eastAsia="Times New Roman" w:hAnsi="Garamond" w:cs="Times New Roman"/>
                <w:sz w:val="10"/>
                <w:szCs w:val="10"/>
                <w:lang w:eastAsia="sq-AL"/>
              </w:rPr>
              <w:t>autoritetet publike;</w:t>
            </w:r>
            <w:r w:rsidRPr="004F2AC3">
              <w:rPr>
                <w:rFonts w:ascii="Garamond" w:eastAsia="Times New Roman" w:hAnsi="Garamond" w:cs="Times New Roman"/>
                <w:sz w:val="10"/>
                <w:szCs w:val="10"/>
                <w:lang w:eastAsia="sq-AL"/>
              </w:rPr>
              <w:br/>
              <w:t>10. Ndërmarrje aktive në inovacion</w:t>
            </w:r>
            <w:r w:rsidR="00520D08" w:rsidRPr="004F2AC3">
              <w:rPr>
                <w:rFonts w:ascii="Garamond" w:eastAsia="Times New Roman" w:hAnsi="Garamond" w:cs="Times New Roman"/>
                <w:sz w:val="10"/>
                <w:szCs w:val="10"/>
                <w:lang w:eastAsia="sq-AL"/>
              </w:rPr>
              <w:t xml:space="preserve"> sipas madhësisë së ndërmarrjes;</w:t>
            </w:r>
            <w:r w:rsidR="00520D08" w:rsidRPr="004F2AC3">
              <w:rPr>
                <w:rFonts w:ascii="Garamond" w:eastAsia="Times New Roman" w:hAnsi="Garamond" w:cs="Times New Roman"/>
                <w:sz w:val="10"/>
                <w:szCs w:val="10"/>
                <w:lang w:eastAsia="sq-AL"/>
              </w:rPr>
              <w:br/>
              <w:t>11. Ndërmarrje jo</w:t>
            </w:r>
            <w:r w:rsidRPr="004F2AC3">
              <w:rPr>
                <w:rFonts w:ascii="Garamond" w:eastAsia="Times New Roman" w:hAnsi="Garamond" w:cs="Times New Roman"/>
                <w:sz w:val="10"/>
                <w:szCs w:val="10"/>
                <w:lang w:eastAsia="sq-AL"/>
              </w:rPr>
              <w:t>aktive në Inovacion sipas madhësisë së ndërmarrjes</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12. Ndërmarrje aktive në inovacion që kanë bashkëpunuar sipas madhësisë së ndërmarrjes</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13. Ndërmarrje që kanë të paktën një inovacion produkti sipas madhësisë së ndërmarrjes</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14. Ndërmarrje që kanë të paktën një inovacion procesi biznesi sipas madhësisë së ndërmarrjes</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15. Përqindja e ndërmarrjeve aktive në ino</w:t>
            </w:r>
            <w:r w:rsidR="00520D08" w:rsidRPr="004F2AC3">
              <w:rPr>
                <w:rFonts w:ascii="Garamond" w:eastAsia="Times New Roman" w:hAnsi="Garamond" w:cs="Times New Roman"/>
                <w:sz w:val="10"/>
                <w:szCs w:val="10"/>
                <w:lang w:eastAsia="sq-AL"/>
              </w:rPr>
              <w:t>vacion sipas sektorëve ekonomik;</w:t>
            </w:r>
            <w:r w:rsidRPr="004F2AC3">
              <w:rPr>
                <w:rFonts w:ascii="Garamond" w:eastAsia="Times New Roman" w:hAnsi="Garamond" w:cs="Times New Roman"/>
                <w:sz w:val="10"/>
                <w:szCs w:val="10"/>
                <w:lang w:eastAsia="sq-AL"/>
              </w:rPr>
              <w:br/>
              <w:t>16. Ndërmarrje jo aktive në Inovacion sipas sektorëve ekonomik</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17. Ndërmarrje aktive në inovacion që kanë bashkëpunuar sipas sektorëve ekonomik</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18. Ndërmarrje që kanë të paktën një inovacion produkti sipas sektorëve ekonomik</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19. Ndërmarrje që kanë të paktën një inovacion procesi biznesi sipas sektorëve ekonom</w:t>
            </w:r>
            <w:r w:rsidR="00520D08" w:rsidRPr="004F2AC3">
              <w:rPr>
                <w:rFonts w:ascii="Garamond" w:eastAsia="Times New Roman" w:hAnsi="Garamond" w:cs="Times New Roman"/>
                <w:sz w:val="10"/>
                <w:szCs w:val="10"/>
                <w:lang w:eastAsia="sq-AL"/>
              </w:rPr>
              <w:t>ik;</w:t>
            </w:r>
            <w:r w:rsidRPr="004F2AC3">
              <w:rPr>
                <w:rFonts w:ascii="Garamond" w:eastAsia="Times New Roman" w:hAnsi="Garamond" w:cs="Times New Roman"/>
                <w:sz w:val="10"/>
                <w:szCs w:val="10"/>
                <w:lang w:eastAsia="sq-AL"/>
              </w:rPr>
              <w:br/>
              <w:t>20. Ndërmarrje që kanë vetëm inovacion produkti dhe procesi b</w:t>
            </w:r>
            <w:r w:rsidR="00520D08" w:rsidRPr="004F2AC3">
              <w:rPr>
                <w:rFonts w:ascii="Garamond" w:eastAsia="Times New Roman" w:hAnsi="Garamond" w:cs="Times New Roman"/>
                <w:sz w:val="10"/>
                <w:szCs w:val="10"/>
                <w:lang w:eastAsia="sq-AL"/>
              </w:rPr>
              <w:t>iznesi sipas sektorëve ekonomik;</w:t>
            </w:r>
            <w:r w:rsidRPr="004F2AC3">
              <w:rPr>
                <w:rFonts w:ascii="Garamond" w:eastAsia="Times New Roman" w:hAnsi="Garamond" w:cs="Times New Roman"/>
                <w:sz w:val="10"/>
                <w:szCs w:val="10"/>
                <w:lang w:eastAsia="sq-AL"/>
              </w:rPr>
              <w:br/>
              <w:t>21. Ndërmarrje me të paktën një inovacion produkti që ishte i ngjashëm ose identik me produkte në treg sipas sektorëve ekonomik</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22. Ndërmarrje me të paktën një inovacion produkti që nuk ishte i ofruar më parë në treg sipas sektorëve ekonomik</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23. Përqindja e ndërmarrjeve që kanë të paktën një inovacion produkti</w:t>
            </w:r>
            <w:r w:rsidR="00520D08" w:rsidRPr="004F2AC3">
              <w:rPr>
                <w:rFonts w:ascii="Garamond" w:eastAsia="Times New Roman" w:hAnsi="Garamond" w:cs="Times New Roman"/>
                <w:sz w:val="10"/>
                <w:szCs w:val="10"/>
                <w:lang w:eastAsia="sq-AL"/>
              </w:rPr>
              <w:t>.</w:t>
            </w:r>
          </w:p>
        </w:tc>
        <w:tc>
          <w:tcPr>
            <w:tcW w:w="554" w:type="dxa"/>
            <w:tcBorders>
              <w:top w:val="nil"/>
              <w:left w:val="single" w:sz="4" w:space="0" w:color="auto"/>
              <w:bottom w:val="single" w:sz="4" w:space="0" w:color="auto"/>
              <w:right w:val="single" w:sz="4" w:space="0" w:color="auto"/>
            </w:tcBorders>
            <w:shd w:val="clear" w:color="auto" w:fill="auto"/>
            <w:vAlign w:val="center"/>
            <w:hideMark/>
          </w:tcPr>
          <w:p w14:paraId="231B8703" w14:textId="2CCECF5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721753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tcBorders>
              <w:top w:val="nil"/>
              <w:left w:val="nil"/>
              <w:bottom w:val="single" w:sz="4" w:space="0" w:color="auto"/>
              <w:right w:val="single" w:sz="4" w:space="0" w:color="auto"/>
            </w:tcBorders>
            <w:shd w:val="clear" w:color="000000" w:fill="FFFFFF"/>
            <w:vAlign w:val="center"/>
            <w:hideMark/>
          </w:tcPr>
          <w:p w14:paraId="03F6FE4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dita e 340 e Viteve reference</w:t>
            </w:r>
            <w:r w:rsidRPr="004F2AC3">
              <w:rPr>
                <w:rFonts w:ascii="Garamond" w:eastAsia="Times New Roman" w:hAnsi="Garamond" w:cs="Times New Roman"/>
                <w:color w:val="000000"/>
                <w:sz w:val="10"/>
                <w:szCs w:val="10"/>
                <w:lang w:eastAsia="sq-AL"/>
              </w:rPr>
              <w:br/>
              <w:t>(Për 2024-2026)</w:t>
            </w:r>
          </w:p>
        </w:tc>
        <w:tc>
          <w:tcPr>
            <w:tcW w:w="385" w:type="dxa"/>
            <w:tcBorders>
              <w:top w:val="nil"/>
              <w:left w:val="nil"/>
              <w:bottom w:val="single" w:sz="4" w:space="0" w:color="auto"/>
              <w:right w:val="single" w:sz="4" w:space="0" w:color="auto"/>
            </w:tcBorders>
            <w:shd w:val="clear" w:color="auto" w:fill="auto"/>
            <w:vAlign w:val="center"/>
            <w:hideMark/>
          </w:tcPr>
          <w:p w14:paraId="35848CD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Vitet referencë + 516 D</w:t>
            </w:r>
            <w:r w:rsidRPr="004F2AC3">
              <w:rPr>
                <w:rFonts w:ascii="Garamond" w:eastAsia="Times New Roman" w:hAnsi="Garamond" w:cs="Times New Roman"/>
                <w:color w:val="000000"/>
                <w:sz w:val="10"/>
                <w:szCs w:val="10"/>
                <w:lang w:eastAsia="sq-AL"/>
              </w:rPr>
              <w:br/>
              <w:t>(Për 2024-2026)</w:t>
            </w:r>
          </w:p>
        </w:tc>
        <w:tc>
          <w:tcPr>
            <w:tcW w:w="361" w:type="dxa"/>
            <w:tcBorders>
              <w:top w:val="nil"/>
              <w:left w:val="nil"/>
              <w:bottom w:val="single" w:sz="4" w:space="0" w:color="auto"/>
              <w:right w:val="single" w:sz="4" w:space="0" w:color="auto"/>
            </w:tcBorders>
            <w:shd w:val="clear" w:color="auto" w:fill="auto"/>
            <w:vAlign w:val="center"/>
            <w:hideMark/>
          </w:tcPr>
          <w:p w14:paraId="391B87F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Vitet referencë + 546D</w:t>
            </w:r>
            <w:r w:rsidRPr="004F2AC3">
              <w:rPr>
                <w:rFonts w:ascii="Garamond" w:eastAsia="Times New Roman" w:hAnsi="Garamond" w:cs="Times New Roman"/>
                <w:color w:val="000000"/>
                <w:sz w:val="10"/>
                <w:szCs w:val="10"/>
                <w:lang w:eastAsia="sq-AL"/>
              </w:rPr>
              <w:br/>
              <w:t>(Për 2024-2026)</w:t>
            </w:r>
          </w:p>
        </w:tc>
        <w:tc>
          <w:tcPr>
            <w:tcW w:w="732" w:type="dxa"/>
            <w:tcBorders>
              <w:top w:val="nil"/>
              <w:left w:val="nil"/>
              <w:bottom w:val="single" w:sz="4" w:space="0" w:color="auto"/>
              <w:right w:val="single" w:sz="4" w:space="0" w:color="auto"/>
            </w:tcBorders>
            <w:shd w:val="clear" w:color="000000" w:fill="FFFFFF"/>
            <w:vAlign w:val="center"/>
            <w:hideMark/>
          </w:tcPr>
          <w:p w14:paraId="703BFE99" w14:textId="6628A82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Mospërmbushja e kritereve të cilësisë si: saktësia, përpikmëria dhe krahasueshmëria -|-6</w:t>
            </w:r>
            <w:r w:rsidRPr="004F2AC3">
              <w:rPr>
                <w:rFonts w:ascii="Garamond" w:eastAsia="Times New Roman" w:hAnsi="Garamond" w:cs="Times New Roman"/>
                <w:color w:val="000000"/>
                <w:sz w:val="10"/>
                <w:szCs w:val="10"/>
                <w:lang w:eastAsia="sq-AL"/>
              </w:rPr>
              <w:br/>
              <w:t xml:space="preserve">2. Mosevidentimi dhe realizimi i detyrave të përditshme të </w:t>
            </w:r>
            <w:r w:rsidR="0070619F" w:rsidRPr="004F2AC3">
              <w:rPr>
                <w:rFonts w:ascii="Garamond" w:eastAsia="Times New Roman" w:hAnsi="Garamond" w:cs="Times New Roman"/>
                <w:color w:val="000000"/>
                <w:sz w:val="10"/>
                <w:szCs w:val="10"/>
                <w:lang w:eastAsia="sq-AL"/>
              </w:rPr>
              <w:t>specialistit</w:t>
            </w:r>
            <w:r w:rsidRPr="004F2AC3">
              <w:rPr>
                <w:rFonts w:ascii="Garamond" w:eastAsia="Times New Roman" w:hAnsi="Garamond" w:cs="Times New Roman"/>
                <w:color w:val="000000"/>
                <w:sz w:val="10"/>
                <w:szCs w:val="10"/>
                <w:lang w:eastAsia="sq-AL"/>
              </w:rPr>
              <w:t xml:space="preserve"> përgjegjës -|- 5</w:t>
            </w:r>
            <w:r w:rsidRPr="004F2AC3">
              <w:rPr>
                <w:rFonts w:ascii="Garamond" w:eastAsia="Times New Roman" w:hAnsi="Garamond" w:cs="Times New Roman"/>
                <w:color w:val="000000"/>
                <w:sz w:val="10"/>
                <w:szCs w:val="10"/>
                <w:lang w:eastAsia="sq-AL"/>
              </w:rPr>
              <w:br/>
              <w:t>3. Moszbatimi në kohë i kalendarit të publikimit dhe përditësimit të materialeve në web -|- 4</w:t>
            </w:r>
            <w:r w:rsidRPr="004F2AC3">
              <w:rPr>
                <w:rFonts w:ascii="Garamond" w:eastAsia="Times New Roman" w:hAnsi="Garamond" w:cs="Times New Roman"/>
                <w:color w:val="000000"/>
                <w:sz w:val="10"/>
                <w:szCs w:val="10"/>
                <w:lang w:eastAsia="sq-AL"/>
              </w:rPr>
              <w:br/>
              <w:t>4. Gabime në përllogaritje e treguesve nga specialistë -|- 4</w:t>
            </w:r>
            <w:r w:rsidRPr="004F2AC3">
              <w:rPr>
                <w:rFonts w:ascii="Garamond" w:eastAsia="Times New Roman" w:hAnsi="Garamond" w:cs="Times New Roman"/>
                <w:color w:val="000000"/>
                <w:sz w:val="10"/>
                <w:szCs w:val="10"/>
                <w:lang w:eastAsia="sq-AL"/>
              </w:rPr>
              <w:br/>
              <w:t>5. Lëvizja e stafit me eksperiencë nga sektori -|- 6</w:t>
            </w:r>
            <w:r w:rsidRPr="004F2AC3">
              <w:rPr>
                <w:rFonts w:ascii="Garamond" w:eastAsia="Times New Roman" w:hAnsi="Garamond" w:cs="Times New Roman"/>
                <w:color w:val="000000"/>
                <w:sz w:val="10"/>
                <w:szCs w:val="10"/>
                <w:lang w:eastAsia="sq-AL"/>
              </w:rPr>
              <w:br/>
              <w:t>6. Mosfunksionimi i metodave të automatizimit dhe mospasja e suportit për automatizimin e proceseve të prodhimit të statistikave -|-6</w:t>
            </w:r>
            <w:r w:rsidRPr="004F2AC3">
              <w:rPr>
                <w:rFonts w:ascii="Garamond" w:eastAsia="Times New Roman" w:hAnsi="Garamond" w:cs="Times New Roman"/>
                <w:color w:val="000000"/>
                <w:sz w:val="10"/>
                <w:szCs w:val="10"/>
                <w:lang w:eastAsia="sq-AL"/>
              </w:rPr>
              <w:br/>
              <w:t xml:space="preserve">7. Moszhvillimi i sistemeve të informacionit dhe </w:t>
            </w:r>
            <w:r w:rsidRPr="004F2AC3">
              <w:rPr>
                <w:rFonts w:ascii="Garamond" w:eastAsia="Times New Roman" w:hAnsi="Garamond" w:cs="Times New Roman"/>
                <w:i/>
                <w:color w:val="000000"/>
                <w:sz w:val="10"/>
                <w:szCs w:val="10"/>
                <w:lang w:eastAsia="sq-AL"/>
              </w:rPr>
              <w:t>web-services</w:t>
            </w:r>
            <w:r w:rsidRPr="004F2AC3">
              <w:rPr>
                <w:rFonts w:ascii="Garamond" w:eastAsia="Times New Roman" w:hAnsi="Garamond" w:cs="Times New Roman"/>
                <w:color w:val="000000"/>
                <w:sz w:val="10"/>
                <w:szCs w:val="10"/>
                <w:lang w:eastAsia="sq-AL"/>
              </w:rPr>
              <w:t xml:space="preserve"> -|- 6</w:t>
            </w:r>
            <w:r w:rsidRPr="004F2AC3">
              <w:rPr>
                <w:rFonts w:ascii="Garamond" w:eastAsia="Times New Roman" w:hAnsi="Garamond" w:cs="Times New Roman"/>
                <w:color w:val="000000"/>
                <w:sz w:val="10"/>
                <w:szCs w:val="10"/>
                <w:lang w:eastAsia="sq-AL"/>
              </w:rPr>
              <w:br/>
              <w:t>8. Mospublikimi në kohë i rezultateve të vrojtimit -|-3</w:t>
            </w:r>
          </w:p>
        </w:tc>
        <w:tc>
          <w:tcPr>
            <w:tcW w:w="551" w:type="dxa"/>
            <w:tcBorders>
              <w:top w:val="nil"/>
              <w:left w:val="nil"/>
              <w:bottom w:val="single" w:sz="4" w:space="0" w:color="auto"/>
              <w:right w:val="single" w:sz="4" w:space="0" w:color="auto"/>
            </w:tcBorders>
            <w:shd w:val="clear" w:color="auto" w:fill="auto"/>
            <w:vAlign w:val="center"/>
            <w:hideMark/>
          </w:tcPr>
          <w:p w14:paraId="48A314B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29A867BD" w14:textId="77777777" w:rsidTr="0021321C">
        <w:trPr>
          <w:trHeight w:val="180"/>
          <w:jc w:val="center"/>
        </w:trPr>
        <w:tc>
          <w:tcPr>
            <w:tcW w:w="388" w:type="dxa"/>
            <w:tcBorders>
              <w:top w:val="nil"/>
              <w:left w:val="nil"/>
              <w:bottom w:val="nil"/>
              <w:right w:val="nil"/>
            </w:tcBorders>
            <w:shd w:val="clear" w:color="000000" w:fill="FFFFFF"/>
            <w:vAlign w:val="bottom"/>
            <w:hideMark/>
          </w:tcPr>
          <w:p w14:paraId="2704F21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3C7426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E4A52A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4520B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6A9FE6C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3.8.3</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36520C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Teknologjisë së Informacionit dhe Komunikimit</w:t>
            </w:r>
          </w:p>
        </w:tc>
      </w:tr>
      <w:tr w:rsidR="00C73163" w:rsidRPr="004F2AC3" w14:paraId="7534B481" w14:textId="77777777" w:rsidTr="0021321C">
        <w:trPr>
          <w:trHeight w:val="180"/>
          <w:jc w:val="center"/>
        </w:trPr>
        <w:tc>
          <w:tcPr>
            <w:tcW w:w="388" w:type="dxa"/>
            <w:tcBorders>
              <w:top w:val="nil"/>
              <w:left w:val="nil"/>
              <w:bottom w:val="nil"/>
              <w:right w:val="nil"/>
            </w:tcBorders>
            <w:shd w:val="clear" w:color="000000" w:fill="FFFFFF"/>
            <w:vAlign w:val="bottom"/>
            <w:hideMark/>
          </w:tcPr>
          <w:p w14:paraId="3CA07C8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3D609B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54017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36DB68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A38814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4C569F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247E563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3.8.3.1</w:t>
            </w:r>
          </w:p>
        </w:tc>
        <w:tc>
          <w:tcPr>
            <w:tcW w:w="563" w:type="dxa"/>
            <w:tcBorders>
              <w:top w:val="nil"/>
              <w:left w:val="nil"/>
              <w:bottom w:val="single" w:sz="4" w:space="0" w:color="auto"/>
              <w:right w:val="single" w:sz="4" w:space="0" w:color="auto"/>
            </w:tcBorders>
            <w:shd w:val="clear" w:color="auto" w:fill="auto"/>
            <w:vAlign w:val="center"/>
            <w:hideMark/>
          </w:tcPr>
          <w:p w14:paraId="1DBF162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Teknologjisë së Informacionit dhe Komunikimit në ndërmarrje</w:t>
            </w:r>
          </w:p>
        </w:tc>
        <w:tc>
          <w:tcPr>
            <w:tcW w:w="446" w:type="dxa"/>
            <w:tcBorders>
              <w:top w:val="nil"/>
              <w:left w:val="nil"/>
              <w:bottom w:val="single" w:sz="4" w:space="0" w:color="auto"/>
              <w:right w:val="single" w:sz="4" w:space="0" w:color="auto"/>
            </w:tcBorders>
            <w:shd w:val="clear" w:color="auto" w:fill="auto"/>
            <w:vAlign w:val="center"/>
            <w:hideMark/>
          </w:tcPr>
          <w:p w14:paraId="46C1FEF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tcBorders>
              <w:top w:val="nil"/>
              <w:left w:val="nil"/>
              <w:bottom w:val="single" w:sz="4" w:space="0" w:color="auto"/>
              <w:right w:val="single" w:sz="4" w:space="0" w:color="auto"/>
            </w:tcBorders>
            <w:shd w:val="clear" w:color="auto" w:fill="auto"/>
            <w:noWrap/>
            <w:vAlign w:val="center"/>
            <w:hideMark/>
          </w:tcPr>
          <w:p w14:paraId="1B5FC61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443F313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474F71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4DBC854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000000" w:fill="FFFFFF"/>
            <w:vAlign w:val="center"/>
            <w:hideMark/>
          </w:tcPr>
          <w:p w14:paraId="5450D63E" w14:textId="34A2880E"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 Ndërmarrje që kanë akses në internet</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2. Ndërmarrje që shesin produkte/shërbime </w:t>
            </w:r>
            <w:r w:rsidRPr="004F2AC3">
              <w:rPr>
                <w:rFonts w:ascii="Garamond" w:eastAsia="Times New Roman" w:hAnsi="Garamond" w:cs="Times New Roman"/>
                <w:i/>
                <w:sz w:val="10"/>
                <w:szCs w:val="10"/>
                <w:lang w:eastAsia="sq-AL"/>
              </w:rPr>
              <w:t>online</w:t>
            </w:r>
            <w:r w:rsidR="00520D08" w:rsidRPr="004F2AC3">
              <w:rPr>
                <w:rFonts w:ascii="Garamond" w:eastAsia="Times New Roman" w:hAnsi="Garamond" w:cs="Times New Roman"/>
                <w:i/>
                <w:sz w:val="10"/>
                <w:szCs w:val="10"/>
                <w:lang w:eastAsia="sq-AL"/>
              </w:rPr>
              <w:t>;</w:t>
            </w:r>
            <w:r w:rsidRPr="004F2AC3">
              <w:rPr>
                <w:rFonts w:ascii="Garamond" w:eastAsia="Times New Roman" w:hAnsi="Garamond" w:cs="Times New Roman"/>
                <w:sz w:val="10"/>
                <w:szCs w:val="10"/>
                <w:lang w:eastAsia="sq-AL"/>
              </w:rPr>
              <w:br/>
              <w:t xml:space="preserve">3. Shpejtësia maksimale për shkarkim </w:t>
            </w:r>
            <w:r w:rsidR="008D6DE3" w:rsidRPr="004F2AC3">
              <w:rPr>
                <w:rFonts w:ascii="Garamond" w:eastAsia="Times New Roman" w:hAnsi="Garamond" w:cs="Times New Roman"/>
                <w:sz w:val="10"/>
                <w:szCs w:val="10"/>
                <w:lang w:eastAsia="sq-AL"/>
              </w:rPr>
              <w:t>dokumentesh</w:t>
            </w:r>
            <w:r w:rsidRPr="004F2AC3">
              <w:rPr>
                <w:rFonts w:ascii="Garamond" w:eastAsia="Times New Roman" w:hAnsi="Garamond" w:cs="Times New Roman"/>
                <w:sz w:val="10"/>
                <w:szCs w:val="10"/>
                <w:lang w:eastAsia="sq-AL"/>
              </w:rPr>
              <w:t xml:space="preserve"> e specifikuar në kontratën me ofruesin e shërbimit të internetit</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4. Përqindja e ndërmarrjeve që përdorin një nga llojet e medias sociale</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5.Përqindja e ndërmarrjeve që përdorin </w:t>
            </w:r>
            <w:r w:rsidRPr="004F2AC3">
              <w:rPr>
                <w:rFonts w:ascii="Garamond" w:eastAsia="Times New Roman" w:hAnsi="Garamond" w:cs="Times New Roman"/>
                <w:i/>
                <w:sz w:val="10"/>
                <w:szCs w:val="10"/>
                <w:lang w:eastAsia="sq-AL"/>
              </w:rPr>
              <w:t>website</w:t>
            </w:r>
            <w:r w:rsidRPr="004F2AC3">
              <w:rPr>
                <w:rFonts w:ascii="Garamond" w:eastAsia="Times New Roman" w:hAnsi="Garamond" w:cs="Times New Roman"/>
                <w:sz w:val="10"/>
                <w:szCs w:val="10"/>
                <w:lang w:eastAsia="sq-AL"/>
              </w:rPr>
              <w:t xml:space="preserve"> ose një </w:t>
            </w:r>
            <w:r w:rsidRPr="004F2AC3">
              <w:rPr>
                <w:rFonts w:ascii="Garamond" w:eastAsia="Times New Roman" w:hAnsi="Garamond" w:cs="Times New Roman"/>
                <w:i/>
                <w:sz w:val="10"/>
                <w:szCs w:val="10"/>
                <w:lang w:eastAsia="sq-AL"/>
              </w:rPr>
              <w:t>homepage</w:t>
            </w:r>
            <w:r w:rsidR="00520D08" w:rsidRPr="004F2AC3">
              <w:rPr>
                <w:rFonts w:ascii="Garamond" w:eastAsia="Times New Roman" w:hAnsi="Garamond" w:cs="Times New Roman"/>
                <w:i/>
                <w:sz w:val="10"/>
                <w:szCs w:val="10"/>
                <w:lang w:eastAsia="sq-AL"/>
              </w:rPr>
              <w:t>;</w:t>
            </w:r>
            <w:r w:rsidRPr="004F2AC3">
              <w:rPr>
                <w:rFonts w:ascii="Garamond" w:eastAsia="Times New Roman" w:hAnsi="Garamond" w:cs="Times New Roman"/>
                <w:sz w:val="10"/>
                <w:szCs w:val="10"/>
                <w:lang w:eastAsia="sq-AL"/>
              </w:rPr>
              <w:br/>
              <w:t>6.</w:t>
            </w:r>
            <w:r w:rsidR="00520D08"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 xml:space="preserve">Përqindja e ndërmarrjeve që përdorin shërbimet </w:t>
            </w:r>
            <w:r w:rsidRPr="004F2AC3">
              <w:rPr>
                <w:rFonts w:ascii="Garamond" w:eastAsia="Times New Roman" w:hAnsi="Garamond" w:cs="Times New Roman"/>
                <w:i/>
                <w:sz w:val="10"/>
                <w:szCs w:val="10"/>
                <w:lang w:eastAsia="sq-AL"/>
              </w:rPr>
              <w:t>cloud</w:t>
            </w:r>
            <w:r w:rsidR="00520D08" w:rsidRPr="004F2AC3">
              <w:rPr>
                <w:rFonts w:ascii="Garamond" w:eastAsia="Times New Roman" w:hAnsi="Garamond" w:cs="Times New Roman"/>
                <w:i/>
                <w:sz w:val="10"/>
                <w:szCs w:val="10"/>
                <w:lang w:eastAsia="sq-AL"/>
              </w:rPr>
              <w:t>;</w:t>
            </w:r>
            <w:r w:rsidRPr="004F2AC3">
              <w:rPr>
                <w:rFonts w:ascii="Garamond" w:eastAsia="Times New Roman" w:hAnsi="Garamond" w:cs="Times New Roman"/>
                <w:sz w:val="10"/>
                <w:szCs w:val="10"/>
                <w:lang w:eastAsia="sq-AL"/>
              </w:rPr>
              <w:br/>
              <w:t>7. Përqindja e ndërmarrjeve që përdorin ndarjen automatike të informacionit brenda ndërmarrjes</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8. Përqindja e ndërmarrjeve që përdorin </w:t>
            </w:r>
            <w:r w:rsidRPr="004F2AC3">
              <w:rPr>
                <w:rFonts w:ascii="Garamond" w:eastAsia="Times New Roman" w:hAnsi="Garamond" w:cs="Times New Roman"/>
                <w:i/>
                <w:sz w:val="10"/>
                <w:szCs w:val="10"/>
                <w:lang w:eastAsia="sq-AL"/>
              </w:rPr>
              <w:t>software</w:t>
            </w:r>
            <w:r w:rsidRPr="004F2AC3">
              <w:rPr>
                <w:rFonts w:ascii="Garamond" w:eastAsia="Times New Roman" w:hAnsi="Garamond" w:cs="Times New Roman"/>
                <w:sz w:val="10"/>
                <w:szCs w:val="10"/>
                <w:lang w:eastAsia="sq-AL"/>
              </w:rPr>
              <w:t>-in për menaxhimin e marrëdhënieve me klientët (CRM)</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9.</w:t>
            </w:r>
            <w:r w:rsidR="00520D08"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Përqindja e ndërmarrjeve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që kanë një aplikacion celular për klientët</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10. Ndërmarrje që kanë akses në internet sipas madhësisë së ndërmarrjes</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11. Ndërmarrje që shesin produkte/shërbime </w:t>
            </w:r>
            <w:r w:rsidRPr="004F2AC3">
              <w:rPr>
                <w:rFonts w:ascii="Garamond" w:eastAsia="Times New Roman" w:hAnsi="Garamond" w:cs="Times New Roman"/>
                <w:i/>
                <w:sz w:val="10"/>
                <w:szCs w:val="10"/>
                <w:lang w:eastAsia="sq-AL"/>
              </w:rPr>
              <w:t>online</w:t>
            </w:r>
            <w:r w:rsidRPr="004F2AC3">
              <w:rPr>
                <w:rFonts w:ascii="Garamond" w:eastAsia="Times New Roman" w:hAnsi="Garamond" w:cs="Times New Roman"/>
                <w:sz w:val="10"/>
                <w:szCs w:val="10"/>
                <w:lang w:eastAsia="sq-AL"/>
              </w:rPr>
              <w:t xml:space="preserve"> sipas madhësisë së ndërmarrjes</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12. Përqindja e ndërmarrjeve të cilat kanë specialist të fushës së TIK</w:t>
            </w:r>
            <w:r w:rsidR="00520D08" w:rsidRPr="004F2AC3">
              <w:rPr>
                <w:rFonts w:ascii="Garamond" w:eastAsia="Times New Roman" w:hAnsi="Garamond" w:cs="Times New Roman"/>
                <w:sz w:val="10"/>
                <w:szCs w:val="10"/>
                <w:lang w:eastAsia="sq-AL"/>
              </w:rPr>
              <w:t>-ut;</w:t>
            </w:r>
            <w:r w:rsidRPr="004F2AC3">
              <w:rPr>
                <w:rFonts w:ascii="Garamond" w:eastAsia="Times New Roman" w:hAnsi="Garamond" w:cs="Times New Roman"/>
                <w:sz w:val="10"/>
                <w:szCs w:val="10"/>
                <w:lang w:eastAsia="sq-AL"/>
              </w:rPr>
              <w:br/>
              <w:t>13. Përqindja e ndërmarrjeve që përdorin kompjuter sipas aktivitetit ekonomik</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14. Përqindja e punonjësve që përdorin kompjuter në ndërmarrje sipas aktivitetit ekonomik;</w:t>
            </w:r>
            <w:r w:rsidRPr="004F2AC3">
              <w:rPr>
                <w:rFonts w:ascii="Garamond" w:eastAsia="Times New Roman" w:hAnsi="Garamond" w:cs="Times New Roman"/>
                <w:sz w:val="10"/>
                <w:szCs w:val="10"/>
                <w:lang w:eastAsia="sq-AL"/>
              </w:rPr>
              <w:br/>
              <w:t>15. Përqindja e ndërmarrjeve që kanë akses në internet sipas aktivitetit ekonomik</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 xml:space="preserve">16. Përqindja e ndërmarrjeve që shesin produkte/shërbime </w:t>
            </w:r>
            <w:r w:rsidRPr="004F2AC3">
              <w:rPr>
                <w:rFonts w:ascii="Garamond" w:eastAsia="Times New Roman" w:hAnsi="Garamond" w:cs="Times New Roman"/>
                <w:i/>
                <w:sz w:val="10"/>
                <w:szCs w:val="10"/>
                <w:lang w:eastAsia="sq-AL"/>
              </w:rPr>
              <w:t>online</w:t>
            </w:r>
            <w:r w:rsidR="00520D08" w:rsidRPr="004F2AC3">
              <w:rPr>
                <w:rFonts w:ascii="Garamond" w:eastAsia="Times New Roman" w:hAnsi="Garamond" w:cs="Times New Roman"/>
                <w:sz w:val="10"/>
                <w:szCs w:val="10"/>
                <w:lang w:eastAsia="sq-AL"/>
              </w:rPr>
              <w:t xml:space="preserve"> sipas aktivitetit ekonomik;</w:t>
            </w:r>
            <w:r w:rsidRPr="004F2AC3">
              <w:rPr>
                <w:rFonts w:ascii="Garamond" w:eastAsia="Times New Roman" w:hAnsi="Garamond" w:cs="Times New Roman"/>
                <w:sz w:val="10"/>
                <w:szCs w:val="10"/>
                <w:lang w:eastAsia="sq-AL"/>
              </w:rPr>
              <w:br/>
              <w:t>17. Përqindja e ndërmarrjeve të cilat kanë ndikim mjedisor</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18. Përqindja e ndërmarrjeve të cilat kanë përdorur teknologjinë AI në ndërmarrjet e tyre;</w:t>
            </w:r>
            <w:r w:rsidRPr="004F2AC3">
              <w:rPr>
                <w:rFonts w:ascii="Garamond" w:eastAsia="Times New Roman" w:hAnsi="Garamond" w:cs="Times New Roman"/>
                <w:sz w:val="10"/>
                <w:szCs w:val="10"/>
                <w:lang w:eastAsia="sq-AL"/>
              </w:rPr>
              <w:br/>
              <w:t>19.Përqindja e ndërmarrjeve të cilat kanë përdorur shërbime cloud</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20.</w:t>
            </w:r>
            <w:r w:rsidR="00520D08"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Përqindja e ndërmarrjeve të cilat kanë përdo</w:t>
            </w:r>
            <w:r w:rsidR="00520D08" w:rsidRPr="004F2AC3">
              <w:rPr>
                <w:rFonts w:ascii="Garamond" w:eastAsia="Times New Roman" w:hAnsi="Garamond" w:cs="Times New Roman"/>
                <w:sz w:val="10"/>
                <w:szCs w:val="10"/>
                <w:lang w:eastAsia="sq-AL"/>
              </w:rPr>
              <w:t>rur fatura në formë elektronike;</w:t>
            </w:r>
            <w:r w:rsidRPr="004F2AC3">
              <w:rPr>
                <w:rFonts w:ascii="Garamond" w:eastAsia="Times New Roman" w:hAnsi="Garamond" w:cs="Times New Roman"/>
                <w:sz w:val="10"/>
                <w:szCs w:val="10"/>
                <w:lang w:eastAsia="sq-AL"/>
              </w:rPr>
              <w:br/>
              <w:t>21.Përqindja e ndërmarrjeve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që kanë një aplikacion celular për klientët</w:t>
            </w:r>
            <w:r w:rsidR="00520D08"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br/>
              <w:t>22.Përqindja e ndërmarrjeve</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që</w:t>
            </w:r>
            <w:r w:rsidR="00684E85" w:rsidRPr="004F2AC3">
              <w:rPr>
                <w:rFonts w:ascii="Garamond" w:eastAsia="Times New Roman" w:hAnsi="Garamond" w:cs="Times New Roman"/>
                <w:sz w:val="10"/>
                <w:szCs w:val="10"/>
                <w:lang w:eastAsia="sq-AL"/>
              </w:rPr>
              <w:t xml:space="preserve"> </w:t>
            </w:r>
            <w:r w:rsidRPr="004F2AC3">
              <w:rPr>
                <w:rFonts w:ascii="Garamond" w:eastAsia="Times New Roman" w:hAnsi="Garamond" w:cs="Times New Roman"/>
                <w:sz w:val="10"/>
                <w:szCs w:val="10"/>
                <w:lang w:eastAsia="sq-AL"/>
              </w:rPr>
              <w:t>përdorin sisteme apo zgjidhje TIK për të reduktuar konsumin e energjisë së ndërmarrjes</w:t>
            </w:r>
            <w:r w:rsidR="00520D08" w:rsidRPr="004F2AC3">
              <w:rPr>
                <w:rFonts w:ascii="Garamond" w:eastAsia="Times New Roman" w:hAnsi="Garamond" w:cs="Times New Roman"/>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3C37FB3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13" w:type="dxa"/>
            <w:tcBorders>
              <w:top w:val="nil"/>
              <w:left w:val="nil"/>
              <w:bottom w:val="single" w:sz="4" w:space="0" w:color="auto"/>
              <w:right w:val="single" w:sz="4" w:space="0" w:color="auto"/>
            </w:tcBorders>
            <w:shd w:val="clear" w:color="auto" w:fill="auto"/>
            <w:vAlign w:val="center"/>
            <w:hideMark/>
          </w:tcPr>
          <w:p w14:paraId="4AAE308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tcBorders>
              <w:top w:val="nil"/>
              <w:left w:val="nil"/>
              <w:bottom w:val="single" w:sz="4" w:space="0" w:color="auto"/>
              <w:right w:val="single" w:sz="4" w:space="0" w:color="auto"/>
            </w:tcBorders>
            <w:shd w:val="clear" w:color="auto" w:fill="auto"/>
            <w:vAlign w:val="center"/>
            <w:hideMark/>
          </w:tcPr>
          <w:p w14:paraId="1788449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+ 93D</w:t>
            </w:r>
          </w:p>
        </w:tc>
        <w:tc>
          <w:tcPr>
            <w:tcW w:w="385" w:type="dxa"/>
            <w:tcBorders>
              <w:top w:val="nil"/>
              <w:left w:val="nil"/>
              <w:bottom w:val="single" w:sz="4" w:space="0" w:color="auto"/>
              <w:right w:val="single" w:sz="4" w:space="0" w:color="auto"/>
            </w:tcBorders>
            <w:shd w:val="clear" w:color="auto" w:fill="auto"/>
            <w:vAlign w:val="center"/>
            <w:hideMark/>
          </w:tcPr>
          <w:p w14:paraId="61BC52B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+ 253D</w:t>
            </w:r>
          </w:p>
        </w:tc>
        <w:tc>
          <w:tcPr>
            <w:tcW w:w="361" w:type="dxa"/>
            <w:tcBorders>
              <w:top w:val="nil"/>
              <w:left w:val="nil"/>
              <w:bottom w:val="single" w:sz="4" w:space="0" w:color="auto"/>
              <w:right w:val="single" w:sz="4" w:space="0" w:color="auto"/>
            </w:tcBorders>
            <w:shd w:val="clear" w:color="auto" w:fill="auto"/>
            <w:vAlign w:val="center"/>
            <w:hideMark/>
          </w:tcPr>
          <w:p w14:paraId="10BED62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+ 260D</w:t>
            </w:r>
          </w:p>
        </w:tc>
        <w:tc>
          <w:tcPr>
            <w:tcW w:w="732" w:type="dxa"/>
            <w:tcBorders>
              <w:top w:val="nil"/>
              <w:left w:val="nil"/>
              <w:bottom w:val="single" w:sz="4" w:space="0" w:color="auto"/>
              <w:right w:val="single" w:sz="4" w:space="0" w:color="auto"/>
            </w:tcBorders>
            <w:shd w:val="clear" w:color="auto" w:fill="auto"/>
            <w:vAlign w:val="center"/>
            <w:hideMark/>
          </w:tcPr>
          <w:p w14:paraId="0429960B" w14:textId="43BCF79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Mos përmbushja e kritereve të cilësisë (saktësia,</w:t>
            </w:r>
            <w:r w:rsidR="008D6DE3"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përpikmëria) -|- 1-3</w:t>
            </w:r>
            <w:r w:rsidRPr="004F2AC3">
              <w:rPr>
                <w:rFonts w:ascii="Garamond" w:eastAsia="Times New Roman" w:hAnsi="Garamond" w:cs="Times New Roman"/>
                <w:color w:val="000000"/>
                <w:sz w:val="10"/>
                <w:szCs w:val="10"/>
                <w:lang w:eastAsia="sq-AL"/>
              </w:rPr>
              <w:br/>
              <w:t xml:space="preserve">1. Mosevidentimi dhe realizimi i detyrave të përditshme të </w:t>
            </w:r>
            <w:r w:rsidR="008D6DE3" w:rsidRPr="004F2AC3">
              <w:rPr>
                <w:rFonts w:ascii="Garamond" w:eastAsia="Times New Roman" w:hAnsi="Garamond" w:cs="Times New Roman"/>
                <w:color w:val="000000"/>
                <w:sz w:val="10"/>
                <w:szCs w:val="10"/>
                <w:lang w:eastAsia="sq-AL"/>
              </w:rPr>
              <w:t>specialistit</w:t>
            </w:r>
            <w:r w:rsidRPr="004F2AC3">
              <w:rPr>
                <w:rFonts w:ascii="Garamond" w:eastAsia="Times New Roman" w:hAnsi="Garamond" w:cs="Times New Roman"/>
                <w:color w:val="000000"/>
                <w:sz w:val="10"/>
                <w:szCs w:val="10"/>
                <w:lang w:eastAsia="sq-AL"/>
              </w:rPr>
              <w:t xml:space="preserve"> përgjegjës -|- 1-3</w:t>
            </w:r>
            <w:r w:rsidRPr="004F2AC3">
              <w:rPr>
                <w:rFonts w:ascii="Garamond" w:eastAsia="Times New Roman" w:hAnsi="Garamond" w:cs="Times New Roman"/>
                <w:color w:val="000000"/>
                <w:sz w:val="10"/>
                <w:szCs w:val="10"/>
                <w:lang w:eastAsia="sq-AL"/>
              </w:rPr>
              <w:br/>
              <w:t>2. Gabime në përllogaritje e treguesve nga specialistët -|- 4-6</w:t>
            </w:r>
            <w:r w:rsidRPr="004F2AC3">
              <w:rPr>
                <w:rFonts w:ascii="Garamond" w:eastAsia="Times New Roman" w:hAnsi="Garamond" w:cs="Times New Roman"/>
                <w:color w:val="000000"/>
                <w:sz w:val="10"/>
                <w:szCs w:val="10"/>
                <w:lang w:eastAsia="sq-AL"/>
              </w:rPr>
              <w:br/>
              <w:t>3. Mospërmbushja e kritereve të cilësisë si: saktësia, përpikmëria dhe krahasueshmëria, për vrojtimin e TIK në Ndërmarrje -|- 4-6</w:t>
            </w:r>
            <w:r w:rsidRPr="004F2AC3">
              <w:rPr>
                <w:rFonts w:ascii="Garamond" w:eastAsia="Times New Roman" w:hAnsi="Garamond" w:cs="Times New Roman"/>
                <w:color w:val="000000"/>
                <w:sz w:val="10"/>
                <w:szCs w:val="10"/>
                <w:lang w:eastAsia="sq-AL"/>
              </w:rPr>
              <w:br/>
              <w:t>4. Mosfunksionimi i metodave të reja të IT për mbledhjen e të dhënave të vrojtimit -|- 4-6</w:t>
            </w:r>
            <w:r w:rsidRPr="004F2AC3">
              <w:rPr>
                <w:rFonts w:ascii="Garamond" w:eastAsia="Times New Roman" w:hAnsi="Garamond" w:cs="Times New Roman"/>
                <w:color w:val="000000"/>
                <w:sz w:val="10"/>
                <w:szCs w:val="10"/>
                <w:lang w:eastAsia="sq-AL"/>
              </w:rPr>
              <w:br/>
              <w:t>5. Lëvizja e stafit me eksperiencë nga sektori -|- 4-6</w:t>
            </w:r>
            <w:r w:rsidRPr="004F2AC3">
              <w:rPr>
                <w:rFonts w:ascii="Garamond" w:eastAsia="Times New Roman" w:hAnsi="Garamond" w:cs="Times New Roman"/>
                <w:color w:val="000000"/>
                <w:sz w:val="10"/>
                <w:szCs w:val="10"/>
                <w:lang w:eastAsia="sq-AL"/>
              </w:rPr>
              <w:br/>
              <w:t>6. Mosfunksionimi i metodave të automatizimit dhe mos pasja e suportit për automatizimin e proceseve të prodhimit të statistikave -|- 4-6</w:t>
            </w:r>
            <w:r w:rsidRPr="004F2AC3">
              <w:rPr>
                <w:rFonts w:ascii="Garamond" w:eastAsia="Times New Roman" w:hAnsi="Garamond" w:cs="Times New Roman"/>
                <w:color w:val="000000"/>
                <w:sz w:val="10"/>
                <w:szCs w:val="10"/>
                <w:lang w:eastAsia="sq-AL"/>
              </w:rPr>
              <w:br/>
              <w:t xml:space="preserve">7. Moszhvillimi i sistemeve të informacionit dhe </w:t>
            </w:r>
            <w:r w:rsidRPr="004F2AC3">
              <w:rPr>
                <w:rFonts w:ascii="Garamond" w:eastAsia="Times New Roman" w:hAnsi="Garamond" w:cs="Times New Roman"/>
                <w:i/>
                <w:color w:val="000000"/>
                <w:sz w:val="10"/>
                <w:szCs w:val="10"/>
                <w:lang w:eastAsia="sq-AL"/>
              </w:rPr>
              <w:t>web-services</w:t>
            </w:r>
            <w:r w:rsidRPr="004F2AC3">
              <w:rPr>
                <w:rFonts w:ascii="Garamond" w:eastAsia="Times New Roman" w:hAnsi="Garamond" w:cs="Times New Roman"/>
                <w:color w:val="000000"/>
                <w:sz w:val="10"/>
                <w:szCs w:val="10"/>
                <w:lang w:eastAsia="sq-AL"/>
              </w:rPr>
              <w:t xml:space="preserve"> -|- 4-6</w:t>
            </w:r>
            <w:r w:rsidRPr="004F2AC3">
              <w:rPr>
                <w:rFonts w:ascii="Garamond" w:eastAsia="Times New Roman" w:hAnsi="Garamond" w:cs="Times New Roman"/>
                <w:color w:val="000000"/>
                <w:sz w:val="10"/>
                <w:szCs w:val="10"/>
                <w:lang w:eastAsia="sq-AL"/>
              </w:rPr>
              <w:br/>
              <w:t>8. Mospublikimi në kohë i rezultateve të vrojtimit -|- 1-3</w:t>
            </w:r>
          </w:p>
        </w:tc>
        <w:tc>
          <w:tcPr>
            <w:tcW w:w="551" w:type="dxa"/>
            <w:tcBorders>
              <w:top w:val="nil"/>
              <w:left w:val="nil"/>
              <w:bottom w:val="single" w:sz="4" w:space="0" w:color="auto"/>
              <w:right w:val="single" w:sz="4" w:space="0" w:color="auto"/>
            </w:tcBorders>
            <w:shd w:val="clear" w:color="auto" w:fill="auto"/>
            <w:vAlign w:val="center"/>
            <w:hideMark/>
          </w:tcPr>
          <w:p w14:paraId="4A6DE69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059B53B7" w14:textId="77777777" w:rsidTr="0021321C">
        <w:trPr>
          <w:trHeight w:val="180"/>
          <w:jc w:val="center"/>
        </w:trPr>
        <w:tc>
          <w:tcPr>
            <w:tcW w:w="388" w:type="dxa"/>
            <w:tcBorders>
              <w:top w:val="nil"/>
              <w:left w:val="nil"/>
              <w:bottom w:val="nil"/>
              <w:right w:val="nil"/>
            </w:tcBorders>
            <w:shd w:val="clear" w:color="000000" w:fill="FFFFFF"/>
            <w:vAlign w:val="bottom"/>
            <w:hideMark/>
          </w:tcPr>
          <w:p w14:paraId="01FD9D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99B41F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43FB7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B7E98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29DAA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5A7E17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val="restart"/>
            <w:tcBorders>
              <w:top w:val="nil"/>
              <w:left w:val="single" w:sz="4" w:space="0" w:color="auto"/>
              <w:bottom w:val="single" w:sz="4" w:space="0" w:color="000000"/>
              <w:right w:val="single" w:sz="4" w:space="0" w:color="auto"/>
            </w:tcBorders>
            <w:shd w:val="clear" w:color="auto" w:fill="auto"/>
            <w:vAlign w:val="center"/>
            <w:hideMark/>
          </w:tcPr>
          <w:p w14:paraId="7482740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3.8.3.2</w:t>
            </w:r>
          </w:p>
        </w:tc>
        <w:tc>
          <w:tcPr>
            <w:tcW w:w="563" w:type="dxa"/>
            <w:vMerge w:val="restart"/>
            <w:tcBorders>
              <w:top w:val="nil"/>
              <w:left w:val="single" w:sz="4" w:space="0" w:color="auto"/>
              <w:bottom w:val="single" w:sz="4" w:space="0" w:color="000000"/>
              <w:right w:val="single" w:sz="4" w:space="0" w:color="auto"/>
            </w:tcBorders>
            <w:shd w:val="clear" w:color="auto" w:fill="auto"/>
            <w:vAlign w:val="center"/>
            <w:hideMark/>
          </w:tcPr>
          <w:p w14:paraId="4BAA989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nga Anketa e TIK në Familje</w:t>
            </w:r>
          </w:p>
        </w:tc>
        <w:tc>
          <w:tcPr>
            <w:tcW w:w="446" w:type="dxa"/>
            <w:vMerge w:val="restart"/>
            <w:tcBorders>
              <w:top w:val="nil"/>
              <w:left w:val="single" w:sz="4" w:space="0" w:color="auto"/>
              <w:bottom w:val="single" w:sz="4" w:space="0" w:color="000000"/>
              <w:right w:val="single" w:sz="4" w:space="0" w:color="auto"/>
            </w:tcBorders>
            <w:shd w:val="clear" w:color="auto" w:fill="auto"/>
            <w:vAlign w:val="center"/>
            <w:hideMark/>
          </w:tcPr>
          <w:p w14:paraId="6AACEDE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Vrojtim</w:t>
            </w:r>
          </w:p>
        </w:tc>
        <w:tc>
          <w:tcPr>
            <w:tcW w:w="4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2F022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vMerge w:val="restart"/>
            <w:tcBorders>
              <w:top w:val="nil"/>
              <w:left w:val="single" w:sz="4" w:space="0" w:color="auto"/>
              <w:bottom w:val="single" w:sz="4" w:space="0" w:color="000000"/>
              <w:right w:val="single" w:sz="4" w:space="0" w:color="auto"/>
            </w:tcBorders>
            <w:shd w:val="clear" w:color="auto" w:fill="auto"/>
            <w:vAlign w:val="center"/>
            <w:hideMark/>
          </w:tcPr>
          <w:p w14:paraId="31730A4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vMerge w:val="restart"/>
            <w:tcBorders>
              <w:top w:val="nil"/>
              <w:left w:val="single" w:sz="4" w:space="0" w:color="auto"/>
              <w:bottom w:val="single" w:sz="4" w:space="0" w:color="000000"/>
              <w:right w:val="single" w:sz="4" w:space="0" w:color="auto"/>
            </w:tcBorders>
            <w:shd w:val="clear" w:color="auto" w:fill="auto"/>
            <w:vAlign w:val="center"/>
            <w:hideMark/>
          </w:tcPr>
          <w:p w14:paraId="255D4944" w14:textId="6A9F9B77" w:rsidR="0021321C" w:rsidRPr="004F2AC3" w:rsidRDefault="006400E2"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vMerge w:val="restart"/>
            <w:tcBorders>
              <w:top w:val="nil"/>
              <w:left w:val="single" w:sz="4" w:space="0" w:color="auto"/>
              <w:bottom w:val="single" w:sz="4" w:space="0" w:color="000000"/>
              <w:right w:val="single" w:sz="4" w:space="0" w:color="auto"/>
            </w:tcBorders>
            <w:shd w:val="clear" w:color="auto" w:fill="auto"/>
            <w:vAlign w:val="center"/>
            <w:hideMark/>
          </w:tcPr>
          <w:p w14:paraId="06D06D8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single" w:sz="4" w:space="0" w:color="auto"/>
              <w:right w:val="single" w:sz="4" w:space="0" w:color="auto"/>
            </w:tcBorders>
            <w:shd w:val="clear" w:color="000000" w:fill="FFFFFF"/>
            <w:vAlign w:val="center"/>
            <w:hideMark/>
          </w:tcPr>
          <w:p w14:paraId="050693E3" w14:textId="48DD8E0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Përqindja e NJEF që kanë akses interneti në shtëpi</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Përqindja e NJEF që përdorin linjë interneti </w:t>
            </w:r>
            <w:r w:rsidRPr="004F2AC3">
              <w:rPr>
                <w:rFonts w:ascii="Garamond" w:eastAsia="Times New Roman" w:hAnsi="Garamond" w:cs="Times New Roman"/>
                <w:i/>
                <w:color w:val="000000"/>
                <w:sz w:val="10"/>
                <w:szCs w:val="10"/>
                <w:lang w:eastAsia="sq-AL"/>
              </w:rPr>
              <w:t>broadband</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Përqindja e individëve që e përdorin rregullisht internetin: gjithsej</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Përqindja e individëve që e përdorin rregullisht internetin: meshkuj (si % e të gjithë meshkujve)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Përqindja e individëve që e përdorin rregullisht internetin: femra (si % e të gjitha femrave)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Përqindja e individëve që e përdorin rregullisht internetin: grup-mosha 16</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24 vjeç (si % e të gjithë individëve 16</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24 vjeç)</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Përqindja e individëve që e përdorin rregullisht internetin: grup-mosha 25</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34 vjeç (si % e të gjithë individëve 25</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34 vjeç)</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Përqindja e individëve që e përdorin rregullisht internetin: grup-mosha 35</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44 vjeç (si % e të gjithë individëve 35</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44 vjeç)</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Përqindja e individëve që e përdorin rregullisht internetin: grup-mosha 45</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54 vjeç (si % e të gjithë individëve 45</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54 vjeç)</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Përqindja e individëve që e përdorin rregullisht internetin: grup-mosha 55</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64 vjeç (si % e të gjithë individëve 55</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64 vjeç)</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Përqindja e individëve që e përdorin rregullisht internetin: grup-mosha 65</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 (si % e të gjithë individëve 65</w:t>
            </w:r>
            <w:r w:rsidR="00612841"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74 vjeç)</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12. Përdorimi i e-qeverisjes: Përqindja e individëve që kanë dërguar elektronikisht formularë të plotësuar në 12 muajt e fundit</w:t>
            </w:r>
            <w:r w:rsidR="00520D08" w:rsidRPr="004F2AC3">
              <w:rPr>
                <w:rFonts w:ascii="Garamond" w:eastAsia="Times New Roman" w:hAnsi="Garamond" w:cs="Times New Roman"/>
                <w:color w:val="000000"/>
                <w:sz w:val="10"/>
                <w:szCs w:val="10"/>
                <w:lang w:eastAsia="sq-AL"/>
              </w:rPr>
              <w:t>.</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686415A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13" w:type="dxa"/>
            <w:vMerge w:val="restart"/>
            <w:tcBorders>
              <w:top w:val="nil"/>
              <w:left w:val="single" w:sz="4" w:space="0" w:color="auto"/>
              <w:bottom w:val="single" w:sz="4" w:space="0" w:color="000000"/>
              <w:right w:val="single" w:sz="4" w:space="0" w:color="auto"/>
            </w:tcBorders>
            <w:shd w:val="clear" w:color="auto" w:fill="auto"/>
            <w:vAlign w:val="center"/>
            <w:hideMark/>
          </w:tcPr>
          <w:p w14:paraId="629F654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p>
        </w:tc>
        <w:tc>
          <w:tcPr>
            <w:tcW w:w="466" w:type="dxa"/>
            <w:vMerge w:val="restart"/>
            <w:tcBorders>
              <w:top w:val="nil"/>
              <w:left w:val="single" w:sz="4" w:space="0" w:color="auto"/>
              <w:bottom w:val="single" w:sz="4" w:space="0" w:color="000000"/>
              <w:right w:val="single" w:sz="4" w:space="0" w:color="auto"/>
            </w:tcBorders>
            <w:shd w:val="clear" w:color="auto" w:fill="auto"/>
            <w:vAlign w:val="center"/>
            <w:hideMark/>
          </w:tcPr>
          <w:p w14:paraId="17FC7AA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+ 3D</w:t>
            </w:r>
          </w:p>
        </w:tc>
        <w:tc>
          <w:tcPr>
            <w:tcW w:w="385" w:type="dxa"/>
            <w:vMerge w:val="restart"/>
            <w:tcBorders>
              <w:top w:val="nil"/>
              <w:left w:val="single" w:sz="4" w:space="0" w:color="auto"/>
              <w:bottom w:val="single" w:sz="4" w:space="0" w:color="000000"/>
              <w:right w:val="single" w:sz="4" w:space="0" w:color="auto"/>
            </w:tcBorders>
            <w:shd w:val="clear" w:color="auto" w:fill="auto"/>
            <w:vAlign w:val="center"/>
            <w:hideMark/>
          </w:tcPr>
          <w:p w14:paraId="4BFA452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+ 150D</w:t>
            </w:r>
          </w:p>
        </w:tc>
        <w:tc>
          <w:tcPr>
            <w:tcW w:w="361" w:type="dxa"/>
            <w:vMerge w:val="restart"/>
            <w:tcBorders>
              <w:top w:val="nil"/>
              <w:left w:val="single" w:sz="4" w:space="0" w:color="auto"/>
              <w:bottom w:val="single" w:sz="4" w:space="0" w:color="000000"/>
              <w:right w:val="single" w:sz="4" w:space="0" w:color="auto"/>
            </w:tcBorders>
            <w:shd w:val="clear" w:color="auto" w:fill="auto"/>
            <w:vAlign w:val="center"/>
            <w:hideMark/>
          </w:tcPr>
          <w:p w14:paraId="5B3C36B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+ 167D</w:t>
            </w:r>
          </w:p>
        </w:tc>
        <w:tc>
          <w:tcPr>
            <w:tcW w:w="732" w:type="dxa"/>
            <w:vMerge w:val="restart"/>
            <w:tcBorders>
              <w:top w:val="nil"/>
              <w:left w:val="single" w:sz="4" w:space="0" w:color="auto"/>
              <w:bottom w:val="single" w:sz="4" w:space="0" w:color="000000"/>
              <w:right w:val="single" w:sz="4" w:space="0" w:color="auto"/>
            </w:tcBorders>
            <w:shd w:val="clear" w:color="auto" w:fill="auto"/>
            <w:vAlign w:val="center"/>
            <w:hideMark/>
          </w:tcPr>
          <w:p w14:paraId="300B2DB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Përgatitja në kohë e programit të mbledhjes së të dhënave për vitin referues -|- 3</w:t>
            </w:r>
          </w:p>
        </w:tc>
        <w:tc>
          <w:tcPr>
            <w:tcW w:w="551" w:type="dxa"/>
            <w:vMerge w:val="restart"/>
            <w:tcBorders>
              <w:top w:val="nil"/>
              <w:left w:val="single" w:sz="4" w:space="0" w:color="auto"/>
              <w:bottom w:val="single" w:sz="4" w:space="0" w:color="000000"/>
              <w:right w:val="single" w:sz="4" w:space="0" w:color="auto"/>
            </w:tcBorders>
            <w:shd w:val="clear" w:color="auto" w:fill="auto"/>
            <w:vAlign w:val="center"/>
            <w:hideMark/>
          </w:tcPr>
          <w:p w14:paraId="37E5CAA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58CBF578" w14:textId="77777777" w:rsidTr="0021321C">
        <w:trPr>
          <w:trHeight w:val="180"/>
          <w:jc w:val="center"/>
        </w:trPr>
        <w:tc>
          <w:tcPr>
            <w:tcW w:w="388" w:type="dxa"/>
            <w:tcBorders>
              <w:top w:val="nil"/>
              <w:left w:val="nil"/>
              <w:bottom w:val="nil"/>
              <w:right w:val="nil"/>
            </w:tcBorders>
            <w:shd w:val="clear" w:color="000000" w:fill="FFFFFF"/>
            <w:vAlign w:val="bottom"/>
            <w:hideMark/>
          </w:tcPr>
          <w:p w14:paraId="32E743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D047D6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04BA1E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08FBB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528F0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E9B649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vMerge/>
            <w:tcBorders>
              <w:top w:val="nil"/>
              <w:left w:val="single" w:sz="4" w:space="0" w:color="auto"/>
              <w:bottom w:val="single" w:sz="4" w:space="0" w:color="000000"/>
              <w:right w:val="single" w:sz="4" w:space="0" w:color="auto"/>
            </w:tcBorders>
            <w:vAlign w:val="center"/>
            <w:hideMark/>
          </w:tcPr>
          <w:p w14:paraId="2A6E4E5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63" w:type="dxa"/>
            <w:vMerge/>
            <w:tcBorders>
              <w:top w:val="nil"/>
              <w:left w:val="single" w:sz="4" w:space="0" w:color="auto"/>
              <w:bottom w:val="single" w:sz="4" w:space="0" w:color="000000"/>
              <w:right w:val="single" w:sz="4" w:space="0" w:color="auto"/>
            </w:tcBorders>
            <w:vAlign w:val="center"/>
            <w:hideMark/>
          </w:tcPr>
          <w:p w14:paraId="64C0520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46" w:type="dxa"/>
            <w:vMerge/>
            <w:tcBorders>
              <w:top w:val="nil"/>
              <w:left w:val="single" w:sz="4" w:space="0" w:color="auto"/>
              <w:bottom w:val="single" w:sz="4" w:space="0" w:color="000000"/>
              <w:right w:val="single" w:sz="4" w:space="0" w:color="auto"/>
            </w:tcBorders>
            <w:vAlign w:val="center"/>
            <w:hideMark/>
          </w:tcPr>
          <w:p w14:paraId="411771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50" w:type="dxa"/>
            <w:vMerge/>
            <w:tcBorders>
              <w:top w:val="nil"/>
              <w:left w:val="single" w:sz="4" w:space="0" w:color="auto"/>
              <w:bottom w:val="single" w:sz="4" w:space="0" w:color="000000"/>
              <w:right w:val="single" w:sz="4" w:space="0" w:color="auto"/>
            </w:tcBorders>
            <w:vAlign w:val="center"/>
            <w:hideMark/>
          </w:tcPr>
          <w:p w14:paraId="3B707D85" w14:textId="77777777" w:rsidR="0021321C" w:rsidRPr="004F2AC3" w:rsidRDefault="0021321C" w:rsidP="0021321C">
            <w:pPr>
              <w:spacing w:after="0" w:line="240" w:lineRule="auto"/>
              <w:rPr>
                <w:rFonts w:ascii="Garamond" w:eastAsia="Times New Roman" w:hAnsi="Garamond" w:cs="Times New Roman"/>
                <w:sz w:val="10"/>
                <w:szCs w:val="10"/>
                <w:lang w:eastAsia="sq-AL"/>
              </w:rPr>
            </w:pPr>
          </w:p>
        </w:tc>
        <w:tc>
          <w:tcPr>
            <w:tcW w:w="301" w:type="dxa"/>
            <w:vMerge/>
            <w:tcBorders>
              <w:top w:val="nil"/>
              <w:left w:val="single" w:sz="4" w:space="0" w:color="auto"/>
              <w:bottom w:val="single" w:sz="4" w:space="0" w:color="000000"/>
              <w:right w:val="single" w:sz="4" w:space="0" w:color="auto"/>
            </w:tcBorders>
            <w:vAlign w:val="center"/>
            <w:hideMark/>
          </w:tcPr>
          <w:p w14:paraId="658C2D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26" w:type="dxa"/>
            <w:vMerge/>
            <w:tcBorders>
              <w:top w:val="nil"/>
              <w:left w:val="single" w:sz="4" w:space="0" w:color="auto"/>
              <w:bottom w:val="single" w:sz="4" w:space="0" w:color="000000"/>
              <w:right w:val="single" w:sz="4" w:space="0" w:color="auto"/>
            </w:tcBorders>
            <w:vAlign w:val="center"/>
            <w:hideMark/>
          </w:tcPr>
          <w:p w14:paraId="4DB403C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09" w:type="dxa"/>
            <w:vMerge/>
            <w:tcBorders>
              <w:top w:val="nil"/>
              <w:left w:val="single" w:sz="4" w:space="0" w:color="auto"/>
              <w:bottom w:val="single" w:sz="4" w:space="0" w:color="000000"/>
              <w:right w:val="single" w:sz="4" w:space="0" w:color="auto"/>
            </w:tcBorders>
            <w:vAlign w:val="center"/>
            <w:hideMark/>
          </w:tcPr>
          <w:p w14:paraId="0E0294D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1098" w:type="dxa"/>
            <w:tcBorders>
              <w:top w:val="nil"/>
              <w:left w:val="nil"/>
              <w:bottom w:val="nil"/>
              <w:right w:val="nil"/>
            </w:tcBorders>
            <w:shd w:val="clear" w:color="000000" w:fill="FFFFFF"/>
            <w:vAlign w:val="center"/>
            <w:hideMark/>
          </w:tcPr>
          <w:p w14:paraId="1415770B" w14:textId="50AE433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13. Përdorimi i e-blerje (blerje </w:t>
            </w:r>
            <w:r w:rsidRPr="004F2AC3">
              <w:rPr>
                <w:rFonts w:ascii="Garamond" w:eastAsia="Times New Roman" w:hAnsi="Garamond" w:cs="Times New Roman"/>
                <w:i/>
                <w:color w:val="000000"/>
                <w:sz w:val="10"/>
                <w:szCs w:val="10"/>
                <w:lang w:eastAsia="sq-AL"/>
              </w:rPr>
              <w:t>online</w:t>
            </w:r>
            <w:r w:rsidRPr="004F2AC3">
              <w:rPr>
                <w:rFonts w:ascii="Garamond" w:eastAsia="Times New Roman" w:hAnsi="Garamond" w:cs="Times New Roman"/>
                <w:color w:val="000000"/>
                <w:sz w:val="10"/>
                <w:szCs w:val="10"/>
                <w:lang w:eastAsia="sq-AL"/>
              </w:rPr>
              <w:t xml:space="preserve">):Përqindja e individëve që kanë porositur </w:t>
            </w:r>
            <w:r w:rsidRPr="004F2AC3">
              <w:rPr>
                <w:rFonts w:ascii="Garamond" w:eastAsia="Times New Roman" w:hAnsi="Garamond" w:cs="Times New Roman"/>
                <w:i/>
                <w:color w:val="000000"/>
                <w:sz w:val="10"/>
                <w:szCs w:val="10"/>
                <w:lang w:eastAsia="sq-AL"/>
              </w:rPr>
              <w:t>online</w:t>
            </w:r>
            <w:r w:rsidRPr="004F2AC3">
              <w:rPr>
                <w:rFonts w:ascii="Garamond" w:eastAsia="Times New Roman" w:hAnsi="Garamond" w:cs="Times New Roman"/>
                <w:color w:val="000000"/>
                <w:sz w:val="10"/>
                <w:szCs w:val="10"/>
                <w:lang w:eastAsia="sq-AL"/>
              </w:rPr>
              <w:t xml:space="preserve"> të mira materiale ose shërbime për përdorim personal nga interneti në 12 muajt e fundit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Pajisjet kryesore të përdorura për të hyrë në internet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15. Shpërndarja e individëve për blerjet </w:t>
            </w:r>
            <w:r w:rsidRPr="004F2AC3">
              <w:rPr>
                <w:rFonts w:ascii="Garamond" w:eastAsia="Times New Roman" w:hAnsi="Garamond" w:cs="Times New Roman"/>
                <w:i/>
                <w:color w:val="000000"/>
                <w:sz w:val="10"/>
                <w:szCs w:val="10"/>
                <w:lang w:eastAsia="sq-AL"/>
              </w:rPr>
              <w:t>online</w:t>
            </w:r>
            <w:r w:rsidRPr="004F2AC3">
              <w:rPr>
                <w:rFonts w:ascii="Garamond" w:eastAsia="Times New Roman" w:hAnsi="Garamond" w:cs="Times New Roman"/>
                <w:color w:val="000000"/>
                <w:sz w:val="10"/>
                <w:szCs w:val="10"/>
                <w:lang w:eastAsia="sq-AL"/>
              </w:rPr>
              <w:t xml:space="preserve"> sipas produkteve/shërbimeve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Shpërndarja e individëve sipas aftësive të TIK</w:t>
            </w:r>
            <w:r w:rsidR="00520D08" w:rsidRPr="004F2AC3">
              <w:rPr>
                <w:rFonts w:ascii="Garamond" w:eastAsia="Times New Roman" w:hAnsi="Garamond" w:cs="Times New Roman"/>
                <w:color w:val="000000"/>
                <w:sz w:val="10"/>
                <w:szCs w:val="10"/>
                <w:lang w:eastAsia="sq-AL"/>
              </w:rPr>
              <w:t>-ut;</w:t>
            </w:r>
            <w:r w:rsidRPr="004F2AC3">
              <w:rPr>
                <w:rFonts w:ascii="Garamond" w:eastAsia="Times New Roman" w:hAnsi="Garamond" w:cs="Times New Roman"/>
                <w:color w:val="000000"/>
                <w:sz w:val="10"/>
                <w:szCs w:val="10"/>
                <w:lang w:eastAsia="sq-AL"/>
              </w:rPr>
              <w:br/>
              <w:t>17. Shpërndarja e përdorimit të TIK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moshës</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 18.Shpërndarja e shpeshtësisë së përdorimit të TIK</w:t>
            </w:r>
            <w:r w:rsidR="00520D08" w:rsidRPr="004F2AC3">
              <w:rPr>
                <w:rFonts w:ascii="Garamond" w:eastAsia="Times New Roman" w:hAnsi="Garamond" w:cs="Times New Roman"/>
                <w:color w:val="000000"/>
                <w:sz w:val="10"/>
                <w:szCs w:val="10"/>
                <w:lang w:eastAsia="sq-AL"/>
              </w:rPr>
              <w:t>-ut</w:t>
            </w:r>
            <w:r w:rsidRPr="004F2AC3">
              <w:rPr>
                <w:rFonts w:ascii="Garamond" w:eastAsia="Times New Roman" w:hAnsi="Garamond" w:cs="Times New Roman"/>
                <w:color w:val="000000"/>
                <w:sz w:val="10"/>
                <w:szCs w:val="10"/>
                <w:lang w:eastAsia="sq-AL"/>
              </w:rPr>
              <w:t xml:space="preserve">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moshave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 19.Shpërndarja e individëve që kryejnë thirrje/video thirrje, sipas grup</w:t>
            </w:r>
            <w:r w:rsidR="00D449AF"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moshave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20. Shpërndarja e përdorimit të TIK</w:t>
            </w:r>
            <w:r w:rsidR="00520D08" w:rsidRPr="004F2AC3">
              <w:rPr>
                <w:rFonts w:ascii="Garamond" w:eastAsia="Times New Roman" w:hAnsi="Garamond" w:cs="Times New Roman"/>
                <w:color w:val="000000"/>
                <w:sz w:val="10"/>
                <w:szCs w:val="10"/>
                <w:lang w:eastAsia="sq-AL"/>
              </w:rPr>
              <w:t>-ut</w:t>
            </w:r>
            <w:r w:rsidRPr="004F2AC3">
              <w:rPr>
                <w:rFonts w:ascii="Garamond" w:eastAsia="Times New Roman" w:hAnsi="Garamond" w:cs="Times New Roman"/>
                <w:color w:val="000000"/>
                <w:sz w:val="10"/>
                <w:szCs w:val="10"/>
                <w:lang w:eastAsia="sq-AL"/>
              </w:rPr>
              <w:t xml:space="preserve"> sipas gjinisë</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21. Shpërndarja e shpeshtësisë</w:t>
            </w:r>
            <w:r w:rsidR="00612841"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së</w:t>
            </w:r>
            <w:r w:rsidR="00612841"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përdorimit të TIK sipas gjinisë</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 22. Llojet e blerjeve </w:t>
            </w:r>
            <w:r w:rsidRPr="004F2AC3">
              <w:rPr>
                <w:rFonts w:ascii="Garamond" w:eastAsia="Times New Roman" w:hAnsi="Garamond" w:cs="Times New Roman"/>
                <w:i/>
                <w:color w:val="000000"/>
                <w:sz w:val="10"/>
                <w:szCs w:val="10"/>
                <w:lang w:eastAsia="sq-AL"/>
              </w:rPr>
              <w:t>online</w:t>
            </w:r>
            <w:r w:rsidRPr="004F2AC3">
              <w:rPr>
                <w:rFonts w:ascii="Garamond" w:eastAsia="Times New Roman" w:hAnsi="Garamond" w:cs="Times New Roman"/>
                <w:color w:val="000000"/>
                <w:sz w:val="10"/>
                <w:szCs w:val="10"/>
                <w:lang w:eastAsia="sq-AL"/>
              </w:rPr>
              <w:t xml:space="preserve"> sipas gjinisë</w:t>
            </w:r>
            <w:r w:rsidR="00520D08" w:rsidRPr="004F2AC3">
              <w:rPr>
                <w:rFonts w:ascii="Garamond" w:eastAsia="Times New Roman" w:hAnsi="Garamond" w:cs="Times New Roman"/>
                <w:color w:val="000000"/>
                <w:sz w:val="10"/>
                <w:szCs w:val="10"/>
                <w:lang w:eastAsia="sq-AL"/>
              </w:rPr>
              <w:t>.</w:t>
            </w:r>
          </w:p>
        </w:tc>
        <w:tc>
          <w:tcPr>
            <w:tcW w:w="554" w:type="dxa"/>
            <w:vMerge/>
            <w:tcBorders>
              <w:top w:val="nil"/>
              <w:left w:val="single" w:sz="4" w:space="0" w:color="auto"/>
              <w:bottom w:val="single" w:sz="4" w:space="0" w:color="000000"/>
              <w:right w:val="single" w:sz="4" w:space="0" w:color="auto"/>
            </w:tcBorders>
            <w:vAlign w:val="center"/>
            <w:hideMark/>
          </w:tcPr>
          <w:p w14:paraId="1684A08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13" w:type="dxa"/>
            <w:vMerge/>
            <w:tcBorders>
              <w:top w:val="nil"/>
              <w:left w:val="single" w:sz="4" w:space="0" w:color="auto"/>
              <w:bottom w:val="single" w:sz="4" w:space="0" w:color="000000"/>
              <w:right w:val="single" w:sz="4" w:space="0" w:color="auto"/>
            </w:tcBorders>
            <w:vAlign w:val="center"/>
            <w:hideMark/>
          </w:tcPr>
          <w:p w14:paraId="790F82C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466" w:type="dxa"/>
            <w:vMerge/>
            <w:tcBorders>
              <w:top w:val="nil"/>
              <w:left w:val="single" w:sz="4" w:space="0" w:color="auto"/>
              <w:bottom w:val="single" w:sz="4" w:space="0" w:color="000000"/>
              <w:right w:val="single" w:sz="4" w:space="0" w:color="auto"/>
            </w:tcBorders>
            <w:vAlign w:val="center"/>
            <w:hideMark/>
          </w:tcPr>
          <w:p w14:paraId="631A0D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85" w:type="dxa"/>
            <w:vMerge/>
            <w:tcBorders>
              <w:top w:val="nil"/>
              <w:left w:val="single" w:sz="4" w:space="0" w:color="auto"/>
              <w:bottom w:val="single" w:sz="4" w:space="0" w:color="000000"/>
              <w:right w:val="single" w:sz="4" w:space="0" w:color="auto"/>
            </w:tcBorders>
            <w:vAlign w:val="center"/>
            <w:hideMark/>
          </w:tcPr>
          <w:p w14:paraId="797C1AC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361" w:type="dxa"/>
            <w:vMerge/>
            <w:tcBorders>
              <w:top w:val="nil"/>
              <w:left w:val="single" w:sz="4" w:space="0" w:color="auto"/>
              <w:bottom w:val="single" w:sz="4" w:space="0" w:color="000000"/>
              <w:right w:val="single" w:sz="4" w:space="0" w:color="auto"/>
            </w:tcBorders>
            <w:vAlign w:val="center"/>
            <w:hideMark/>
          </w:tcPr>
          <w:p w14:paraId="291B66A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732" w:type="dxa"/>
            <w:vMerge/>
            <w:tcBorders>
              <w:top w:val="nil"/>
              <w:left w:val="single" w:sz="4" w:space="0" w:color="auto"/>
              <w:bottom w:val="single" w:sz="4" w:space="0" w:color="000000"/>
              <w:right w:val="single" w:sz="4" w:space="0" w:color="auto"/>
            </w:tcBorders>
            <w:vAlign w:val="center"/>
            <w:hideMark/>
          </w:tcPr>
          <w:p w14:paraId="1B3D2C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c>
          <w:tcPr>
            <w:tcW w:w="551" w:type="dxa"/>
            <w:vMerge/>
            <w:tcBorders>
              <w:top w:val="nil"/>
              <w:left w:val="single" w:sz="4" w:space="0" w:color="auto"/>
              <w:bottom w:val="single" w:sz="4" w:space="0" w:color="000000"/>
              <w:right w:val="single" w:sz="4" w:space="0" w:color="auto"/>
            </w:tcBorders>
            <w:vAlign w:val="center"/>
            <w:hideMark/>
          </w:tcPr>
          <w:p w14:paraId="14F0111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p>
        </w:tc>
      </w:tr>
      <w:tr w:rsidR="0021321C" w:rsidRPr="004F2AC3" w14:paraId="6701E51C" w14:textId="77777777" w:rsidTr="0021321C">
        <w:trPr>
          <w:trHeight w:val="180"/>
          <w:jc w:val="center"/>
        </w:trPr>
        <w:tc>
          <w:tcPr>
            <w:tcW w:w="388" w:type="dxa"/>
            <w:tcBorders>
              <w:top w:val="single" w:sz="4" w:space="0" w:color="000000"/>
              <w:left w:val="single" w:sz="4" w:space="0" w:color="000000"/>
              <w:bottom w:val="single" w:sz="4" w:space="0" w:color="000000"/>
              <w:right w:val="nil"/>
            </w:tcBorders>
            <w:shd w:val="clear" w:color="000000" w:fill="F0F0F0"/>
            <w:vAlign w:val="center"/>
            <w:hideMark/>
          </w:tcPr>
          <w:p w14:paraId="2394E83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w:t>
            </w:r>
          </w:p>
        </w:tc>
        <w:tc>
          <w:tcPr>
            <w:tcW w:w="8962" w:type="dxa"/>
            <w:gridSpan w:val="20"/>
            <w:tcBorders>
              <w:top w:val="single" w:sz="4" w:space="0" w:color="auto"/>
              <w:left w:val="single" w:sz="4" w:space="0" w:color="auto"/>
              <w:bottom w:val="single" w:sz="4" w:space="0" w:color="auto"/>
              <w:right w:val="single" w:sz="4" w:space="0" w:color="auto"/>
            </w:tcBorders>
            <w:shd w:val="clear" w:color="000000" w:fill="F0F0F0"/>
            <w:vAlign w:val="center"/>
            <w:hideMark/>
          </w:tcPr>
          <w:p w14:paraId="229C735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Mjedisit dhe Multidomain</w:t>
            </w:r>
          </w:p>
        </w:tc>
      </w:tr>
      <w:tr w:rsidR="0021321C" w:rsidRPr="004F2AC3" w14:paraId="2F551C4A" w14:textId="77777777" w:rsidTr="0021321C">
        <w:trPr>
          <w:trHeight w:val="180"/>
          <w:jc w:val="center"/>
        </w:trPr>
        <w:tc>
          <w:tcPr>
            <w:tcW w:w="388" w:type="dxa"/>
            <w:tcBorders>
              <w:top w:val="nil"/>
              <w:left w:val="nil"/>
              <w:bottom w:val="nil"/>
              <w:right w:val="nil"/>
            </w:tcBorders>
            <w:shd w:val="clear" w:color="000000" w:fill="FFFFFF"/>
            <w:vAlign w:val="bottom"/>
            <w:hideMark/>
          </w:tcPr>
          <w:p w14:paraId="4EBF63D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F656AC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single" w:sz="4" w:space="0" w:color="auto"/>
              <w:bottom w:val="single" w:sz="4" w:space="0" w:color="auto"/>
              <w:right w:val="single" w:sz="4" w:space="0" w:color="auto"/>
            </w:tcBorders>
            <w:shd w:val="clear" w:color="000000" w:fill="F0F0F0"/>
            <w:vAlign w:val="center"/>
            <w:hideMark/>
          </w:tcPr>
          <w:p w14:paraId="10BDEE9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w:t>
            </w:r>
          </w:p>
        </w:tc>
        <w:tc>
          <w:tcPr>
            <w:tcW w:w="8341" w:type="dxa"/>
            <w:gridSpan w:val="18"/>
            <w:tcBorders>
              <w:top w:val="single" w:sz="4" w:space="0" w:color="auto"/>
              <w:left w:val="nil"/>
              <w:bottom w:val="single" w:sz="4" w:space="0" w:color="auto"/>
              <w:right w:val="single" w:sz="4" w:space="0" w:color="auto"/>
            </w:tcBorders>
            <w:shd w:val="clear" w:color="000000" w:fill="F0F0F0"/>
            <w:vAlign w:val="center"/>
            <w:hideMark/>
          </w:tcPr>
          <w:p w14:paraId="61770D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Mjedisi</w:t>
            </w:r>
          </w:p>
        </w:tc>
      </w:tr>
      <w:tr w:rsidR="0021321C" w:rsidRPr="004F2AC3" w14:paraId="2BE08F80" w14:textId="77777777" w:rsidTr="0021321C">
        <w:trPr>
          <w:trHeight w:val="180"/>
          <w:jc w:val="center"/>
        </w:trPr>
        <w:tc>
          <w:tcPr>
            <w:tcW w:w="388" w:type="dxa"/>
            <w:tcBorders>
              <w:top w:val="nil"/>
              <w:left w:val="nil"/>
              <w:bottom w:val="nil"/>
              <w:right w:val="nil"/>
            </w:tcBorders>
            <w:shd w:val="clear" w:color="000000" w:fill="FFFFFF"/>
            <w:vAlign w:val="bottom"/>
            <w:hideMark/>
          </w:tcPr>
          <w:p w14:paraId="6F2B065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09E3D8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1AC01E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ED1867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auto"/>
              <w:bottom w:val="single" w:sz="4" w:space="0" w:color="auto"/>
              <w:right w:val="single" w:sz="4" w:space="0" w:color="auto"/>
            </w:tcBorders>
            <w:shd w:val="clear" w:color="000000" w:fill="F0F0F0"/>
            <w:vAlign w:val="center"/>
            <w:hideMark/>
          </w:tcPr>
          <w:p w14:paraId="37200F4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4.1.1</w:t>
            </w:r>
          </w:p>
        </w:tc>
        <w:tc>
          <w:tcPr>
            <w:tcW w:w="7813" w:type="dxa"/>
            <w:gridSpan w:val="16"/>
            <w:tcBorders>
              <w:top w:val="single" w:sz="4" w:space="0" w:color="auto"/>
              <w:left w:val="nil"/>
              <w:bottom w:val="single" w:sz="4" w:space="0" w:color="auto"/>
              <w:right w:val="single" w:sz="4" w:space="0" w:color="auto"/>
            </w:tcBorders>
            <w:shd w:val="clear" w:color="000000" w:fill="F0F0F0"/>
            <w:vAlign w:val="center"/>
            <w:hideMark/>
          </w:tcPr>
          <w:p w14:paraId="63F7937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Monetare Mjedisore</w:t>
            </w:r>
          </w:p>
        </w:tc>
      </w:tr>
      <w:tr w:rsidR="00C73163" w:rsidRPr="004F2AC3" w14:paraId="78870B12" w14:textId="77777777" w:rsidTr="0021321C">
        <w:trPr>
          <w:trHeight w:val="180"/>
          <w:jc w:val="center"/>
        </w:trPr>
        <w:tc>
          <w:tcPr>
            <w:tcW w:w="388" w:type="dxa"/>
            <w:tcBorders>
              <w:top w:val="nil"/>
              <w:left w:val="nil"/>
              <w:bottom w:val="nil"/>
              <w:right w:val="nil"/>
            </w:tcBorders>
            <w:shd w:val="clear" w:color="000000" w:fill="FFFFFF"/>
            <w:vAlign w:val="bottom"/>
            <w:hideMark/>
          </w:tcPr>
          <w:p w14:paraId="60EDEA7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249476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0440DC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DD19E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DC137C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8859A8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2886AAD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4.1.1.1</w:t>
            </w:r>
          </w:p>
        </w:tc>
        <w:tc>
          <w:tcPr>
            <w:tcW w:w="563" w:type="dxa"/>
            <w:tcBorders>
              <w:top w:val="nil"/>
              <w:left w:val="nil"/>
              <w:bottom w:val="single" w:sz="4" w:space="0" w:color="auto"/>
              <w:right w:val="single" w:sz="4" w:space="0" w:color="auto"/>
            </w:tcBorders>
            <w:shd w:val="clear" w:color="auto" w:fill="auto"/>
            <w:vAlign w:val="center"/>
            <w:hideMark/>
          </w:tcPr>
          <w:p w14:paraId="515442C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mbi Taksat Mjedisore sipas industrive</w:t>
            </w:r>
          </w:p>
        </w:tc>
        <w:tc>
          <w:tcPr>
            <w:tcW w:w="446" w:type="dxa"/>
            <w:tcBorders>
              <w:top w:val="nil"/>
              <w:left w:val="nil"/>
              <w:bottom w:val="single" w:sz="4" w:space="0" w:color="auto"/>
              <w:right w:val="single" w:sz="4" w:space="0" w:color="auto"/>
            </w:tcBorders>
            <w:shd w:val="clear" w:color="auto" w:fill="auto"/>
            <w:vAlign w:val="center"/>
            <w:hideMark/>
          </w:tcPr>
          <w:p w14:paraId="2893D7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noWrap/>
            <w:vAlign w:val="center"/>
            <w:hideMark/>
          </w:tcPr>
          <w:p w14:paraId="4AAF69A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4675969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281E238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2745A64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36086FB2" w14:textId="35DC9A7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Taksat Mjedisore të ndara sipas kategorive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Taksat Mjedisore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ndara sipas industrive (Nace 64)</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Taksat e mjedisit (t</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ardhurat sipas llojit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taks</w:t>
            </w:r>
            <w:r w:rsidR="00520D08" w:rsidRPr="004F2AC3">
              <w:rPr>
                <w:rFonts w:ascii="Garamond" w:eastAsia="Times New Roman" w:hAnsi="Garamond" w:cs="Times New Roman"/>
                <w:color w:val="000000"/>
                <w:sz w:val="10"/>
                <w:szCs w:val="10"/>
                <w:lang w:eastAsia="sq-AL"/>
              </w:rPr>
              <w:t>ave q</w:t>
            </w:r>
            <w:r w:rsidR="007E7186" w:rsidRPr="004F2AC3">
              <w:rPr>
                <w:rFonts w:ascii="Garamond" w:eastAsia="Times New Roman" w:hAnsi="Garamond" w:cs="Times New Roman"/>
                <w:sz w:val="10"/>
                <w:szCs w:val="10"/>
                <w:lang w:eastAsia="sq-AL"/>
              </w:rPr>
              <w:t>ë</w:t>
            </w:r>
            <w:r w:rsidR="00520D08" w:rsidRPr="004F2AC3">
              <w:rPr>
                <w:rFonts w:ascii="Garamond" w:eastAsia="Times New Roman" w:hAnsi="Garamond" w:cs="Times New Roman"/>
                <w:color w:val="000000"/>
                <w:sz w:val="10"/>
                <w:szCs w:val="10"/>
                <w:lang w:eastAsia="sq-AL"/>
              </w:rPr>
              <w:t xml:space="preserve"> kan</w:t>
            </w:r>
            <w:r w:rsidR="007E7186" w:rsidRPr="004F2AC3">
              <w:rPr>
                <w:rFonts w:ascii="Garamond" w:eastAsia="Times New Roman" w:hAnsi="Garamond" w:cs="Times New Roman"/>
                <w:sz w:val="10"/>
                <w:szCs w:val="10"/>
                <w:lang w:eastAsia="sq-AL"/>
              </w:rPr>
              <w:t>ë</w:t>
            </w:r>
            <w:r w:rsidR="00520D08" w:rsidRPr="004F2AC3">
              <w:rPr>
                <w:rFonts w:ascii="Garamond" w:eastAsia="Times New Roman" w:hAnsi="Garamond" w:cs="Times New Roman"/>
                <w:color w:val="000000"/>
                <w:sz w:val="10"/>
                <w:szCs w:val="10"/>
                <w:lang w:eastAsia="sq-AL"/>
              </w:rPr>
              <w:t xml:space="preserve"> ndikim mbi mjedisin;</w:t>
            </w:r>
            <w:r w:rsidRPr="004F2AC3">
              <w:rPr>
                <w:rFonts w:ascii="Garamond" w:eastAsia="Times New Roman" w:hAnsi="Garamond" w:cs="Times New Roman"/>
                <w:color w:val="000000"/>
                <w:sz w:val="10"/>
                <w:szCs w:val="10"/>
                <w:lang w:eastAsia="sq-AL"/>
              </w:rPr>
              <w:br/>
              <w:t>4. Klasifikimi sipas ESA 2010, shpenzimet totale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qeverise, PBB me çmime kor</w:t>
            </w:r>
            <w:r w:rsidR="0070619F" w:rsidRPr="004F2AC3">
              <w:rPr>
                <w:rFonts w:ascii="Garamond" w:eastAsia="Times New Roman" w:hAnsi="Garamond" w:cs="Times New Roman"/>
                <w:color w:val="000000"/>
                <w:sz w:val="10"/>
                <w:szCs w:val="10"/>
                <w:lang w:eastAsia="sq-AL"/>
              </w:rPr>
              <w:t>r</w:t>
            </w:r>
            <w:r w:rsidRPr="004F2AC3">
              <w:rPr>
                <w:rFonts w:ascii="Garamond" w:eastAsia="Times New Roman" w:hAnsi="Garamond" w:cs="Times New Roman"/>
                <w:color w:val="000000"/>
                <w:sz w:val="10"/>
                <w:szCs w:val="10"/>
                <w:lang w:eastAsia="sq-AL"/>
              </w:rPr>
              <w:t>ente)</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7CB1D634" w14:textId="5069010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4D73813A" w14:textId="228DB76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63315D1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+ 423D</w:t>
            </w:r>
          </w:p>
        </w:tc>
        <w:tc>
          <w:tcPr>
            <w:tcW w:w="385" w:type="dxa"/>
            <w:tcBorders>
              <w:top w:val="nil"/>
              <w:left w:val="nil"/>
              <w:bottom w:val="single" w:sz="4" w:space="0" w:color="auto"/>
              <w:right w:val="single" w:sz="4" w:space="0" w:color="auto"/>
            </w:tcBorders>
            <w:shd w:val="clear" w:color="auto" w:fill="auto"/>
            <w:vAlign w:val="center"/>
            <w:hideMark/>
          </w:tcPr>
          <w:p w14:paraId="77CE39F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+ 454D</w:t>
            </w:r>
          </w:p>
        </w:tc>
        <w:tc>
          <w:tcPr>
            <w:tcW w:w="361" w:type="dxa"/>
            <w:tcBorders>
              <w:top w:val="nil"/>
              <w:left w:val="nil"/>
              <w:bottom w:val="single" w:sz="4" w:space="0" w:color="auto"/>
              <w:right w:val="single" w:sz="4" w:space="0" w:color="auto"/>
            </w:tcBorders>
            <w:shd w:val="clear" w:color="auto" w:fill="auto"/>
            <w:vAlign w:val="center"/>
            <w:hideMark/>
          </w:tcPr>
          <w:p w14:paraId="3D91978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+ 478D</w:t>
            </w:r>
          </w:p>
        </w:tc>
        <w:tc>
          <w:tcPr>
            <w:tcW w:w="732" w:type="dxa"/>
            <w:tcBorders>
              <w:top w:val="nil"/>
              <w:left w:val="nil"/>
              <w:bottom w:val="single" w:sz="4" w:space="0" w:color="auto"/>
              <w:right w:val="single" w:sz="4" w:space="0" w:color="auto"/>
            </w:tcBorders>
            <w:shd w:val="clear" w:color="auto" w:fill="auto"/>
            <w:vAlign w:val="center"/>
            <w:hideMark/>
          </w:tcPr>
          <w:p w14:paraId="15702E08" w14:textId="62210104"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Pezullimi ose vonesa e mbledhjes, prodhimit dhe shpërndarjes të statistikave zyrtare si pasojë e Fatkeqësive -|- 5</w:t>
            </w:r>
            <w:r w:rsidRPr="004F2AC3">
              <w:rPr>
                <w:rFonts w:ascii="Garamond" w:eastAsia="Times New Roman" w:hAnsi="Garamond" w:cs="Times New Roman"/>
                <w:color w:val="000000"/>
                <w:sz w:val="10"/>
                <w:szCs w:val="10"/>
                <w:lang w:eastAsia="sq-AL"/>
              </w:rPr>
              <w:br/>
              <w:t>2. Mbledhja me vonesë dhe jocilësore së të dhënave administrative për llogaritë monetare dhe fizike në mjedis, çka mund të sjellë vonesa në llogaritjen dhe shpërndarjen e statistikave të llogarive mjedisore -|- 5</w:t>
            </w:r>
            <w:r w:rsidRPr="004F2AC3">
              <w:rPr>
                <w:rFonts w:ascii="Garamond" w:eastAsia="Times New Roman" w:hAnsi="Garamond" w:cs="Times New Roman"/>
                <w:color w:val="000000"/>
                <w:sz w:val="10"/>
                <w:szCs w:val="10"/>
                <w:lang w:eastAsia="sq-AL"/>
              </w:rPr>
              <w:br/>
              <w:t>3. Gabimet e bëra nga stafi ekspert gjatë përpunimit dhe nxjerrjes së rezultateve duke sjellë ndikim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cilësinë e produktit statistikor -|- 5</w:t>
            </w:r>
          </w:p>
        </w:tc>
        <w:tc>
          <w:tcPr>
            <w:tcW w:w="551" w:type="dxa"/>
            <w:tcBorders>
              <w:top w:val="nil"/>
              <w:left w:val="nil"/>
              <w:bottom w:val="single" w:sz="4" w:space="0" w:color="auto"/>
              <w:right w:val="single" w:sz="4" w:space="0" w:color="auto"/>
            </w:tcBorders>
            <w:shd w:val="clear" w:color="auto" w:fill="auto"/>
            <w:vAlign w:val="center"/>
            <w:hideMark/>
          </w:tcPr>
          <w:p w14:paraId="0BA29DA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41794195" w14:textId="77777777" w:rsidTr="0021321C">
        <w:trPr>
          <w:trHeight w:val="180"/>
          <w:jc w:val="center"/>
        </w:trPr>
        <w:tc>
          <w:tcPr>
            <w:tcW w:w="388" w:type="dxa"/>
            <w:tcBorders>
              <w:top w:val="nil"/>
              <w:left w:val="nil"/>
              <w:bottom w:val="nil"/>
              <w:right w:val="nil"/>
            </w:tcBorders>
            <w:shd w:val="clear" w:color="000000" w:fill="FFFFFF"/>
            <w:vAlign w:val="bottom"/>
            <w:hideMark/>
          </w:tcPr>
          <w:p w14:paraId="6FC0B7F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F5E2D1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AF575C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5B4D8C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65EDBAE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4.1.2</w:t>
            </w:r>
          </w:p>
        </w:tc>
        <w:tc>
          <w:tcPr>
            <w:tcW w:w="7813" w:type="dxa"/>
            <w:gridSpan w:val="16"/>
            <w:tcBorders>
              <w:top w:val="single" w:sz="4" w:space="0" w:color="auto"/>
              <w:left w:val="single" w:sz="4" w:space="0" w:color="auto"/>
              <w:bottom w:val="single" w:sz="4" w:space="0" w:color="auto"/>
              <w:right w:val="single" w:sz="4" w:space="0" w:color="000000"/>
            </w:tcBorders>
            <w:shd w:val="clear" w:color="000000" w:fill="F0F0F0"/>
            <w:vAlign w:val="center"/>
            <w:hideMark/>
          </w:tcPr>
          <w:p w14:paraId="6C2779D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Llogarite Fizike Mjedisore</w:t>
            </w:r>
          </w:p>
        </w:tc>
      </w:tr>
      <w:tr w:rsidR="00C73163" w:rsidRPr="004F2AC3" w14:paraId="18681FA9" w14:textId="77777777" w:rsidTr="0021321C">
        <w:trPr>
          <w:trHeight w:val="180"/>
          <w:jc w:val="center"/>
        </w:trPr>
        <w:tc>
          <w:tcPr>
            <w:tcW w:w="388" w:type="dxa"/>
            <w:tcBorders>
              <w:top w:val="nil"/>
              <w:left w:val="nil"/>
              <w:bottom w:val="nil"/>
              <w:right w:val="nil"/>
            </w:tcBorders>
            <w:shd w:val="clear" w:color="000000" w:fill="FFFFFF"/>
            <w:vAlign w:val="bottom"/>
            <w:hideMark/>
          </w:tcPr>
          <w:p w14:paraId="63D5D84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DD806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387A22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563B68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D5E8AD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F0181F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47E2F5F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4.1.2.1</w:t>
            </w:r>
          </w:p>
        </w:tc>
        <w:tc>
          <w:tcPr>
            <w:tcW w:w="563" w:type="dxa"/>
            <w:tcBorders>
              <w:top w:val="nil"/>
              <w:left w:val="nil"/>
              <w:bottom w:val="single" w:sz="4" w:space="0" w:color="auto"/>
              <w:right w:val="single" w:sz="4" w:space="0" w:color="auto"/>
            </w:tcBorders>
            <w:shd w:val="clear" w:color="auto" w:fill="auto"/>
            <w:vAlign w:val="center"/>
            <w:hideMark/>
          </w:tcPr>
          <w:p w14:paraId="6902980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Llogaritë e Flukseve të Materialeve Mjedisore</w:t>
            </w:r>
          </w:p>
        </w:tc>
        <w:tc>
          <w:tcPr>
            <w:tcW w:w="446" w:type="dxa"/>
            <w:tcBorders>
              <w:top w:val="nil"/>
              <w:left w:val="nil"/>
              <w:bottom w:val="single" w:sz="4" w:space="0" w:color="auto"/>
              <w:right w:val="single" w:sz="4" w:space="0" w:color="auto"/>
            </w:tcBorders>
            <w:shd w:val="clear" w:color="auto" w:fill="auto"/>
            <w:vAlign w:val="center"/>
            <w:hideMark/>
          </w:tcPr>
          <w:p w14:paraId="2390726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noWrap/>
            <w:vAlign w:val="center"/>
            <w:hideMark/>
          </w:tcPr>
          <w:p w14:paraId="7781DC64"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4BF0D5A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71411BB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69D22B1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auto" w:fill="auto"/>
            <w:vAlign w:val="center"/>
            <w:hideMark/>
          </w:tcPr>
          <w:p w14:paraId="3ECB7D33" w14:textId="7D43907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612841" w:rsidRPr="004F2AC3">
              <w:rPr>
                <w:rFonts w:ascii="Garamond" w:eastAsia="Times New Roman" w:hAnsi="Garamond" w:cs="Times New Roman"/>
                <w:color w:val="000000"/>
                <w:sz w:val="10"/>
                <w:szCs w:val="10"/>
                <w:lang w:eastAsia="sq-AL"/>
              </w:rPr>
              <w:t>Përdorimi</w:t>
            </w:r>
            <w:r w:rsidRPr="004F2AC3">
              <w:rPr>
                <w:rFonts w:ascii="Garamond" w:eastAsia="Times New Roman" w:hAnsi="Garamond" w:cs="Times New Roman"/>
                <w:color w:val="000000"/>
                <w:sz w:val="10"/>
                <w:szCs w:val="10"/>
                <w:lang w:eastAsia="sq-AL"/>
              </w:rPr>
              <w:t xml:space="preserve"> i </w:t>
            </w:r>
            <w:r w:rsidR="00612841" w:rsidRPr="004F2AC3">
              <w:rPr>
                <w:rFonts w:ascii="Garamond" w:eastAsia="Times New Roman" w:hAnsi="Garamond" w:cs="Times New Roman"/>
                <w:color w:val="000000"/>
                <w:sz w:val="10"/>
                <w:szCs w:val="10"/>
                <w:lang w:eastAsia="sq-AL"/>
              </w:rPr>
              <w:t>brendshëm</w:t>
            </w:r>
            <w:r w:rsidRPr="004F2AC3">
              <w:rPr>
                <w:rFonts w:ascii="Garamond" w:eastAsia="Times New Roman" w:hAnsi="Garamond" w:cs="Times New Roman"/>
                <w:color w:val="000000"/>
                <w:sz w:val="10"/>
                <w:szCs w:val="10"/>
                <w:lang w:eastAsia="sq-AL"/>
              </w:rPr>
              <w:t xml:space="preserve"> i materialeve mjedisore n</w:t>
            </w:r>
            <w:r w:rsidR="00612841"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raport me </w:t>
            </w:r>
            <w:r w:rsidR="00612841" w:rsidRPr="004F2AC3">
              <w:rPr>
                <w:rFonts w:ascii="Garamond" w:eastAsia="Times New Roman" w:hAnsi="Garamond" w:cs="Times New Roman"/>
                <w:color w:val="000000"/>
                <w:sz w:val="10"/>
                <w:szCs w:val="10"/>
                <w:lang w:eastAsia="sq-AL"/>
              </w:rPr>
              <w:t>popullsinë</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w:t>
            </w:r>
            <w:r w:rsidR="00CC2DB1" w:rsidRPr="004F2AC3">
              <w:rPr>
                <w:rFonts w:ascii="Garamond" w:eastAsia="Times New Roman" w:hAnsi="Garamond" w:cs="Times New Roman"/>
                <w:color w:val="000000"/>
                <w:sz w:val="10"/>
                <w:szCs w:val="10"/>
                <w:lang w:eastAsia="sq-AL"/>
              </w:rPr>
              <w:t>Përdorimi</w:t>
            </w:r>
            <w:r w:rsidRPr="004F2AC3">
              <w:rPr>
                <w:rFonts w:ascii="Garamond" w:eastAsia="Times New Roman" w:hAnsi="Garamond" w:cs="Times New Roman"/>
                <w:color w:val="000000"/>
                <w:sz w:val="10"/>
                <w:szCs w:val="10"/>
                <w:lang w:eastAsia="sq-AL"/>
              </w:rPr>
              <w:t xml:space="preserve"> i </w:t>
            </w:r>
            <w:r w:rsidR="00612841" w:rsidRPr="004F2AC3">
              <w:rPr>
                <w:rFonts w:ascii="Garamond" w:eastAsia="Times New Roman" w:hAnsi="Garamond" w:cs="Times New Roman"/>
                <w:color w:val="000000"/>
                <w:sz w:val="10"/>
                <w:szCs w:val="10"/>
                <w:lang w:eastAsia="sq-AL"/>
              </w:rPr>
              <w:t>brendshëm</w:t>
            </w:r>
            <w:r w:rsidRPr="004F2AC3">
              <w:rPr>
                <w:rFonts w:ascii="Garamond" w:eastAsia="Times New Roman" w:hAnsi="Garamond" w:cs="Times New Roman"/>
                <w:color w:val="000000"/>
                <w:sz w:val="10"/>
                <w:szCs w:val="10"/>
                <w:lang w:eastAsia="sq-AL"/>
              </w:rPr>
              <w:t xml:space="preserve"> i materialeve mjedisore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w:t>
            </w:r>
            <w:r w:rsidR="00612841" w:rsidRPr="004F2AC3">
              <w:rPr>
                <w:rFonts w:ascii="Garamond" w:eastAsia="Times New Roman" w:hAnsi="Garamond" w:cs="Times New Roman"/>
                <w:color w:val="000000"/>
                <w:sz w:val="10"/>
                <w:szCs w:val="10"/>
                <w:lang w:eastAsia="sq-AL"/>
              </w:rPr>
              <w:t>Varësia</w:t>
            </w:r>
            <w:r w:rsidRPr="004F2AC3">
              <w:rPr>
                <w:rFonts w:ascii="Garamond" w:eastAsia="Times New Roman" w:hAnsi="Garamond" w:cs="Times New Roman"/>
                <w:color w:val="000000"/>
                <w:sz w:val="10"/>
                <w:szCs w:val="10"/>
                <w:lang w:eastAsia="sq-AL"/>
              </w:rPr>
              <w:t xml:space="preserve"> nga importi i</w:t>
            </w:r>
            <w:r w:rsidR="00612841"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materialeve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Bilanci fizik tregtar</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Eksportet e materialeve mjedisore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Importet e materialeve mjedisore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Burimet e brendshme natyrore</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1F8EECB0" w14:textId="480230F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491AE9A3" w14:textId="283EC24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2881F9E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+ 454D</w:t>
            </w:r>
          </w:p>
        </w:tc>
        <w:tc>
          <w:tcPr>
            <w:tcW w:w="385" w:type="dxa"/>
            <w:tcBorders>
              <w:top w:val="nil"/>
              <w:left w:val="nil"/>
              <w:bottom w:val="single" w:sz="4" w:space="0" w:color="auto"/>
              <w:right w:val="single" w:sz="4" w:space="0" w:color="auto"/>
            </w:tcBorders>
            <w:shd w:val="clear" w:color="auto" w:fill="auto"/>
            <w:vAlign w:val="center"/>
            <w:hideMark/>
          </w:tcPr>
          <w:p w14:paraId="1D5D6ED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+ 475D</w:t>
            </w:r>
          </w:p>
        </w:tc>
        <w:tc>
          <w:tcPr>
            <w:tcW w:w="361" w:type="dxa"/>
            <w:tcBorders>
              <w:top w:val="nil"/>
              <w:left w:val="nil"/>
              <w:bottom w:val="single" w:sz="4" w:space="0" w:color="auto"/>
              <w:right w:val="single" w:sz="4" w:space="0" w:color="auto"/>
            </w:tcBorders>
            <w:shd w:val="clear" w:color="auto" w:fill="auto"/>
            <w:vAlign w:val="center"/>
            <w:hideMark/>
          </w:tcPr>
          <w:p w14:paraId="2471BFA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+ 478D</w:t>
            </w:r>
          </w:p>
        </w:tc>
        <w:tc>
          <w:tcPr>
            <w:tcW w:w="732" w:type="dxa"/>
            <w:tcBorders>
              <w:top w:val="nil"/>
              <w:left w:val="nil"/>
              <w:bottom w:val="single" w:sz="4" w:space="0" w:color="auto"/>
              <w:right w:val="single" w:sz="4" w:space="0" w:color="auto"/>
            </w:tcBorders>
            <w:shd w:val="clear" w:color="auto" w:fill="auto"/>
            <w:vAlign w:val="center"/>
            <w:hideMark/>
          </w:tcPr>
          <w:p w14:paraId="3AD1BD63" w14:textId="76BEC0A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Pezullimi/vonesa e mbledhjes, prodhimit dhe shpërndarjes të statistikave zyrtare si pasojë e Fatkeqësive -|- 5</w:t>
            </w:r>
            <w:r w:rsidRPr="004F2AC3">
              <w:rPr>
                <w:rFonts w:ascii="Garamond" w:eastAsia="Times New Roman" w:hAnsi="Garamond" w:cs="Times New Roman"/>
                <w:color w:val="000000"/>
                <w:sz w:val="10"/>
                <w:szCs w:val="10"/>
                <w:lang w:eastAsia="sq-AL"/>
              </w:rPr>
              <w:br/>
              <w:t>2. Gabimet e bëra nga stafi ekspert gjatë përpunimit dhe nxjerrjes së rezultateve duke sjellë ndikim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cilësinë e produktit statistiko -|- 5</w:t>
            </w:r>
            <w:r w:rsidRPr="004F2AC3">
              <w:rPr>
                <w:rFonts w:ascii="Garamond" w:eastAsia="Times New Roman" w:hAnsi="Garamond" w:cs="Times New Roman"/>
                <w:color w:val="000000"/>
                <w:sz w:val="10"/>
                <w:szCs w:val="10"/>
                <w:lang w:eastAsia="sq-AL"/>
              </w:rPr>
              <w:br/>
              <w:t>3. Mbledhja me vonesë dhe jocilësore së të dhënave administrative për llogaritë monetare dhe fizike në mjedis, çka mund të sjellë vonesa në llogaritjen dhe shpërndarjen e statistikave të llogarive mjedisore -|- 5</w:t>
            </w:r>
          </w:p>
        </w:tc>
        <w:tc>
          <w:tcPr>
            <w:tcW w:w="551" w:type="dxa"/>
            <w:tcBorders>
              <w:top w:val="nil"/>
              <w:left w:val="nil"/>
              <w:bottom w:val="single" w:sz="4" w:space="0" w:color="auto"/>
              <w:right w:val="single" w:sz="4" w:space="0" w:color="auto"/>
            </w:tcBorders>
            <w:shd w:val="clear" w:color="auto" w:fill="auto"/>
            <w:vAlign w:val="center"/>
            <w:hideMark/>
          </w:tcPr>
          <w:p w14:paraId="1B5B4B6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7373FF52" w14:textId="77777777" w:rsidTr="0021321C">
        <w:trPr>
          <w:trHeight w:val="180"/>
          <w:jc w:val="center"/>
        </w:trPr>
        <w:tc>
          <w:tcPr>
            <w:tcW w:w="388" w:type="dxa"/>
            <w:tcBorders>
              <w:top w:val="nil"/>
              <w:left w:val="nil"/>
              <w:bottom w:val="nil"/>
              <w:right w:val="nil"/>
            </w:tcBorders>
            <w:shd w:val="clear" w:color="000000" w:fill="FFFFFF"/>
            <w:vAlign w:val="bottom"/>
            <w:hideMark/>
          </w:tcPr>
          <w:p w14:paraId="6D93522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7C4D35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4EC19E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0AA8B5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9B0229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352C6F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04B5978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4.1.2.2</w:t>
            </w:r>
          </w:p>
        </w:tc>
        <w:tc>
          <w:tcPr>
            <w:tcW w:w="563" w:type="dxa"/>
            <w:tcBorders>
              <w:top w:val="nil"/>
              <w:left w:val="nil"/>
              <w:bottom w:val="single" w:sz="4" w:space="0" w:color="auto"/>
              <w:right w:val="single" w:sz="4" w:space="0" w:color="auto"/>
            </w:tcBorders>
            <w:shd w:val="clear" w:color="auto" w:fill="auto"/>
            <w:vAlign w:val="center"/>
            <w:hideMark/>
          </w:tcPr>
          <w:p w14:paraId="45834B12" w14:textId="74BAE360" w:rsidR="0021321C" w:rsidRPr="004F2AC3" w:rsidRDefault="0021321C" w:rsidP="00612841">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Ndërtimi i sistemit për prodhimin e Llogarive të Emetimev</w:t>
            </w:r>
            <w:r w:rsidR="00612841" w:rsidRPr="004F2AC3">
              <w:rPr>
                <w:rFonts w:ascii="Garamond" w:eastAsia="Times New Roman" w:hAnsi="Garamond" w:cs="Times New Roman"/>
                <w:color w:val="000000"/>
                <w:sz w:val="10"/>
                <w:szCs w:val="10"/>
                <w:lang w:eastAsia="sq-AL"/>
              </w:rPr>
              <w:t>e</w:t>
            </w:r>
            <w:r w:rsidRPr="004F2AC3">
              <w:rPr>
                <w:rFonts w:ascii="Garamond" w:eastAsia="Times New Roman" w:hAnsi="Garamond" w:cs="Times New Roman"/>
                <w:color w:val="000000"/>
                <w:sz w:val="10"/>
                <w:szCs w:val="10"/>
                <w:lang w:eastAsia="sq-AL"/>
              </w:rPr>
              <w:t xml:space="preserve"> në Ajër</w:t>
            </w:r>
          </w:p>
        </w:tc>
        <w:tc>
          <w:tcPr>
            <w:tcW w:w="446" w:type="dxa"/>
            <w:tcBorders>
              <w:top w:val="nil"/>
              <w:left w:val="nil"/>
              <w:bottom w:val="single" w:sz="4" w:space="0" w:color="auto"/>
              <w:right w:val="single" w:sz="4" w:space="0" w:color="auto"/>
            </w:tcBorders>
            <w:shd w:val="clear" w:color="auto" w:fill="auto"/>
            <w:vAlign w:val="center"/>
            <w:hideMark/>
          </w:tcPr>
          <w:p w14:paraId="58E3C56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noWrap/>
            <w:vAlign w:val="center"/>
            <w:hideMark/>
          </w:tcPr>
          <w:p w14:paraId="35182442"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7A33C1C7"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2E9DEC4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7B7E125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nil"/>
              <w:right w:val="single" w:sz="4" w:space="0" w:color="auto"/>
            </w:tcBorders>
            <w:shd w:val="clear" w:color="auto" w:fill="auto"/>
            <w:vAlign w:val="center"/>
            <w:hideMark/>
          </w:tcPr>
          <w:p w14:paraId="2E93914B" w14:textId="52AC1B02" w:rsidR="0021321C" w:rsidRPr="004F2AC3" w:rsidRDefault="00520D08" w:rsidP="00520D08">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w:t>
            </w:r>
            <w:r w:rsidR="0021321C" w:rsidRPr="004F2AC3">
              <w:rPr>
                <w:rFonts w:ascii="Garamond" w:eastAsia="Times New Roman" w:hAnsi="Garamond" w:cs="Times New Roman"/>
                <w:color w:val="000000"/>
                <w:sz w:val="10"/>
                <w:szCs w:val="10"/>
                <w:lang w:eastAsia="sq-AL"/>
              </w:rPr>
              <w:t>Emetimet në Ajër sipas industrive</w:t>
            </w:r>
            <w:r w:rsidRPr="004F2AC3">
              <w:rPr>
                <w:rFonts w:ascii="Garamond" w:eastAsia="Times New Roman" w:hAnsi="Garamond" w:cs="Times New Roman"/>
                <w:color w:val="000000"/>
                <w:sz w:val="10"/>
                <w:szCs w:val="10"/>
                <w:lang w:eastAsia="sq-AL"/>
              </w:rPr>
              <w:t>;</w:t>
            </w:r>
            <w:r w:rsidR="0021321C" w:rsidRPr="004F2AC3">
              <w:rPr>
                <w:rFonts w:ascii="Garamond" w:eastAsia="Times New Roman" w:hAnsi="Garamond" w:cs="Times New Roman"/>
                <w:color w:val="000000"/>
                <w:sz w:val="10"/>
                <w:szCs w:val="10"/>
                <w:lang w:eastAsia="sq-AL"/>
              </w:rPr>
              <w:br/>
              <w:t>2.</w:t>
            </w:r>
            <w:r w:rsidRPr="004F2AC3">
              <w:rPr>
                <w:rFonts w:ascii="Garamond" w:eastAsia="Times New Roman" w:hAnsi="Garamond" w:cs="Times New Roman"/>
                <w:color w:val="000000"/>
                <w:sz w:val="10"/>
                <w:szCs w:val="10"/>
                <w:lang w:eastAsia="sq-AL"/>
              </w:rPr>
              <w:t xml:space="preserve"> </w:t>
            </w:r>
            <w:r w:rsidR="0021321C" w:rsidRPr="004F2AC3">
              <w:rPr>
                <w:rFonts w:ascii="Garamond" w:eastAsia="Times New Roman" w:hAnsi="Garamond" w:cs="Times New Roman"/>
                <w:color w:val="000000"/>
                <w:sz w:val="10"/>
                <w:szCs w:val="10"/>
                <w:lang w:eastAsia="sq-AL"/>
              </w:rPr>
              <w:t>Emetimet në Ajër sipas Njësive Ekonomike Familjar</w:t>
            </w:r>
            <w:r w:rsidRPr="004F2AC3">
              <w:rPr>
                <w:rFonts w:ascii="Garamond" w:eastAsia="Times New Roman" w:hAnsi="Garamond" w:cs="Times New Roman"/>
                <w:color w:val="000000"/>
                <w:sz w:val="10"/>
                <w:szCs w:val="10"/>
                <w:lang w:eastAsia="sq-AL"/>
              </w:rPr>
              <w:t>e.</w:t>
            </w:r>
          </w:p>
        </w:tc>
        <w:tc>
          <w:tcPr>
            <w:tcW w:w="554" w:type="dxa"/>
            <w:tcBorders>
              <w:top w:val="nil"/>
              <w:left w:val="nil"/>
              <w:bottom w:val="single" w:sz="4" w:space="0" w:color="auto"/>
              <w:right w:val="single" w:sz="4" w:space="0" w:color="auto"/>
            </w:tcBorders>
            <w:shd w:val="clear" w:color="auto" w:fill="auto"/>
            <w:vAlign w:val="center"/>
            <w:hideMark/>
          </w:tcPr>
          <w:p w14:paraId="6E39A882" w14:textId="459654D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35028142" w14:textId="1F3EBC2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3C25888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+ 609D</w:t>
            </w:r>
          </w:p>
        </w:tc>
        <w:tc>
          <w:tcPr>
            <w:tcW w:w="385" w:type="dxa"/>
            <w:tcBorders>
              <w:top w:val="nil"/>
              <w:left w:val="nil"/>
              <w:bottom w:val="single" w:sz="4" w:space="0" w:color="auto"/>
              <w:right w:val="single" w:sz="4" w:space="0" w:color="auto"/>
            </w:tcBorders>
            <w:shd w:val="clear" w:color="auto" w:fill="auto"/>
            <w:vAlign w:val="center"/>
            <w:hideMark/>
          </w:tcPr>
          <w:p w14:paraId="06F3B52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+ 637D</w:t>
            </w:r>
          </w:p>
        </w:tc>
        <w:tc>
          <w:tcPr>
            <w:tcW w:w="361" w:type="dxa"/>
            <w:tcBorders>
              <w:top w:val="nil"/>
              <w:left w:val="nil"/>
              <w:bottom w:val="single" w:sz="4" w:space="0" w:color="auto"/>
              <w:right w:val="single" w:sz="4" w:space="0" w:color="auto"/>
            </w:tcBorders>
            <w:shd w:val="clear" w:color="auto" w:fill="auto"/>
            <w:vAlign w:val="center"/>
            <w:hideMark/>
          </w:tcPr>
          <w:p w14:paraId="4E797AA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+ 639D</w:t>
            </w:r>
          </w:p>
        </w:tc>
        <w:tc>
          <w:tcPr>
            <w:tcW w:w="732" w:type="dxa"/>
            <w:tcBorders>
              <w:top w:val="nil"/>
              <w:left w:val="nil"/>
              <w:bottom w:val="single" w:sz="4" w:space="0" w:color="auto"/>
              <w:right w:val="single" w:sz="4" w:space="0" w:color="auto"/>
            </w:tcBorders>
            <w:shd w:val="clear" w:color="auto" w:fill="auto"/>
            <w:vAlign w:val="center"/>
            <w:hideMark/>
          </w:tcPr>
          <w:p w14:paraId="25631836" w14:textId="7011FCD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Pezullimi ose vonesa e mbledhjes, prodhimit dhe shpërndarjes të statistikave zyrtare si pasojë e Fatkeqësive -|- 5</w:t>
            </w:r>
            <w:r w:rsidRPr="004F2AC3">
              <w:rPr>
                <w:rFonts w:ascii="Garamond" w:eastAsia="Times New Roman" w:hAnsi="Garamond" w:cs="Times New Roman"/>
                <w:color w:val="000000"/>
                <w:sz w:val="10"/>
                <w:szCs w:val="10"/>
                <w:lang w:eastAsia="sq-AL"/>
              </w:rPr>
              <w:br/>
              <w:t>2. Mbledhja me vonesë dhe jocilësore së të dhënave administrative për llogaritë monetare dhe fizike në mjedis, çka mund të sjellë vonesa në llogaritjen dhe shpërndarjen e statistikave të llogarive mjedisore -|- 5</w:t>
            </w:r>
            <w:r w:rsidRPr="004F2AC3">
              <w:rPr>
                <w:rFonts w:ascii="Garamond" w:eastAsia="Times New Roman" w:hAnsi="Garamond" w:cs="Times New Roman"/>
                <w:color w:val="000000"/>
                <w:sz w:val="10"/>
                <w:szCs w:val="10"/>
                <w:lang w:eastAsia="sq-AL"/>
              </w:rPr>
              <w:br/>
              <w:t>3. Gabimet e bëra nga stafi ekspert gjatë përpunimit dhe nxjerrjes së rezultateve duke sjellë ndikim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cilësinë e produktit statistikor -|- 5</w:t>
            </w:r>
          </w:p>
        </w:tc>
        <w:tc>
          <w:tcPr>
            <w:tcW w:w="551" w:type="dxa"/>
            <w:tcBorders>
              <w:top w:val="nil"/>
              <w:left w:val="nil"/>
              <w:bottom w:val="single" w:sz="4" w:space="0" w:color="auto"/>
              <w:right w:val="single" w:sz="4" w:space="0" w:color="auto"/>
            </w:tcBorders>
            <w:shd w:val="clear" w:color="auto" w:fill="auto"/>
            <w:vAlign w:val="center"/>
            <w:hideMark/>
          </w:tcPr>
          <w:p w14:paraId="65A4844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784594DF" w14:textId="77777777" w:rsidTr="0021321C">
        <w:trPr>
          <w:trHeight w:val="180"/>
          <w:jc w:val="center"/>
        </w:trPr>
        <w:tc>
          <w:tcPr>
            <w:tcW w:w="388" w:type="dxa"/>
            <w:tcBorders>
              <w:top w:val="nil"/>
              <w:left w:val="nil"/>
              <w:bottom w:val="nil"/>
              <w:right w:val="nil"/>
            </w:tcBorders>
            <w:shd w:val="clear" w:color="000000" w:fill="FFFFFF"/>
            <w:vAlign w:val="bottom"/>
            <w:hideMark/>
          </w:tcPr>
          <w:p w14:paraId="4416D0F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A5B8E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57253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DE98A9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377A84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107EFCA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72AFD5E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4.1.2.3</w:t>
            </w:r>
          </w:p>
        </w:tc>
        <w:tc>
          <w:tcPr>
            <w:tcW w:w="563" w:type="dxa"/>
            <w:tcBorders>
              <w:top w:val="nil"/>
              <w:left w:val="nil"/>
              <w:bottom w:val="single" w:sz="4" w:space="0" w:color="auto"/>
              <w:right w:val="single" w:sz="4" w:space="0" w:color="auto"/>
            </w:tcBorders>
            <w:shd w:val="clear" w:color="auto" w:fill="auto"/>
            <w:vAlign w:val="center"/>
            <w:hideMark/>
          </w:tcPr>
          <w:p w14:paraId="5EAEF2E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Ndërtimi i sistemit për prodhimin e Llogarive të Flukseve Fizike të Energjisë Mjedisore</w:t>
            </w:r>
          </w:p>
        </w:tc>
        <w:tc>
          <w:tcPr>
            <w:tcW w:w="446" w:type="dxa"/>
            <w:tcBorders>
              <w:top w:val="nil"/>
              <w:left w:val="nil"/>
              <w:bottom w:val="single" w:sz="4" w:space="0" w:color="auto"/>
              <w:right w:val="single" w:sz="4" w:space="0" w:color="auto"/>
            </w:tcBorders>
            <w:shd w:val="clear" w:color="auto" w:fill="auto"/>
            <w:vAlign w:val="center"/>
            <w:hideMark/>
          </w:tcPr>
          <w:p w14:paraId="78AAB5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noWrap/>
            <w:vAlign w:val="center"/>
            <w:hideMark/>
          </w:tcPr>
          <w:p w14:paraId="47F5974D"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vAlign w:val="center"/>
            <w:hideMark/>
          </w:tcPr>
          <w:p w14:paraId="33BA4CE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0D24EAE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5C5531A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single" w:sz="4" w:space="0" w:color="auto"/>
              <w:left w:val="nil"/>
              <w:bottom w:val="nil"/>
              <w:right w:val="single" w:sz="4" w:space="0" w:color="auto"/>
            </w:tcBorders>
            <w:shd w:val="clear" w:color="auto" w:fill="auto"/>
            <w:vAlign w:val="center"/>
            <w:hideMark/>
          </w:tcPr>
          <w:p w14:paraId="4B5DDBC8" w14:textId="013B5F7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Inputet e</w:t>
            </w:r>
            <w:r w:rsidR="00520D08" w:rsidRPr="004F2AC3">
              <w:rPr>
                <w:rFonts w:ascii="Garamond" w:eastAsia="Times New Roman" w:hAnsi="Garamond" w:cs="Times New Roman"/>
                <w:color w:val="000000"/>
                <w:sz w:val="10"/>
                <w:szCs w:val="10"/>
                <w:lang w:eastAsia="sq-AL"/>
              </w:rPr>
              <w:t xml:space="preserve"> Energjisë Natyrore;</w:t>
            </w:r>
            <w:r w:rsidR="00520D08" w:rsidRPr="004F2AC3">
              <w:rPr>
                <w:rFonts w:ascii="Garamond" w:eastAsia="Times New Roman" w:hAnsi="Garamond" w:cs="Times New Roman"/>
                <w:color w:val="000000"/>
                <w:sz w:val="10"/>
                <w:szCs w:val="10"/>
                <w:lang w:eastAsia="sq-AL"/>
              </w:rPr>
              <w:br/>
              <w:t>2. Produktet e Energjisë;</w:t>
            </w:r>
            <w:r w:rsidRPr="004F2AC3">
              <w:rPr>
                <w:rFonts w:ascii="Garamond" w:eastAsia="Times New Roman" w:hAnsi="Garamond" w:cs="Times New Roman"/>
                <w:color w:val="000000"/>
                <w:sz w:val="10"/>
                <w:szCs w:val="10"/>
                <w:lang w:eastAsia="sq-AL"/>
              </w:rPr>
              <w:br/>
              <w:t>3. Mbetjet e Energjisë</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6AC56FE1" w14:textId="41AFA60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br/>
              <w:t>Agjencia Kombëtare e Burimeve Natyrore</w:t>
            </w:r>
          </w:p>
        </w:tc>
        <w:tc>
          <w:tcPr>
            <w:tcW w:w="413" w:type="dxa"/>
            <w:tcBorders>
              <w:top w:val="nil"/>
              <w:left w:val="nil"/>
              <w:bottom w:val="single" w:sz="4" w:space="0" w:color="auto"/>
              <w:right w:val="single" w:sz="4" w:space="0" w:color="auto"/>
            </w:tcBorders>
            <w:shd w:val="clear" w:color="auto" w:fill="auto"/>
            <w:vAlign w:val="center"/>
            <w:hideMark/>
          </w:tcPr>
          <w:p w14:paraId="3361FDFB" w14:textId="2124E73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auto" w:fill="auto"/>
            <w:vAlign w:val="center"/>
            <w:hideMark/>
          </w:tcPr>
          <w:p w14:paraId="515947B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+ 609D</w:t>
            </w:r>
          </w:p>
        </w:tc>
        <w:tc>
          <w:tcPr>
            <w:tcW w:w="385" w:type="dxa"/>
            <w:tcBorders>
              <w:top w:val="nil"/>
              <w:left w:val="nil"/>
              <w:bottom w:val="single" w:sz="4" w:space="0" w:color="auto"/>
              <w:right w:val="single" w:sz="4" w:space="0" w:color="auto"/>
            </w:tcBorders>
            <w:shd w:val="clear" w:color="auto" w:fill="auto"/>
            <w:vAlign w:val="center"/>
            <w:hideMark/>
          </w:tcPr>
          <w:p w14:paraId="692241C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+ 637D</w:t>
            </w:r>
          </w:p>
        </w:tc>
        <w:tc>
          <w:tcPr>
            <w:tcW w:w="361" w:type="dxa"/>
            <w:tcBorders>
              <w:top w:val="nil"/>
              <w:left w:val="nil"/>
              <w:bottom w:val="single" w:sz="4" w:space="0" w:color="auto"/>
              <w:right w:val="single" w:sz="4" w:space="0" w:color="auto"/>
            </w:tcBorders>
            <w:shd w:val="clear" w:color="auto" w:fill="auto"/>
            <w:vAlign w:val="center"/>
            <w:hideMark/>
          </w:tcPr>
          <w:p w14:paraId="62415B0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+ 639D</w:t>
            </w:r>
          </w:p>
        </w:tc>
        <w:tc>
          <w:tcPr>
            <w:tcW w:w="732" w:type="dxa"/>
            <w:tcBorders>
              <w:top w:val="nil"/>
              <w:left w:val="nil"/>
              <w:bottom w:val="single" w:sz="4" w:space="0" w:color="auto"/>
              <w:right w:val="single" w:sz="4" w:space="0" w:color="auto"/>
            </w:tcBorders>
            <w:shd w:val="clear" w:color="auto" w:fill="auto"/>
            <w:vAlign w:val="center"/>
            <w:hideMark/>
          </w:tcPr>
          <w:p w14:paraId="004D4A06" w14:textId="15AD390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Pezullimi ose vonesa e mbledhjes, prodhimit dhe shpërndarjes të statistikave zyrtare si pasojë e </w:t>
            </w:r>
            <w:r w:rsidR="00612841" w:rsidRPr="004F2AC3">
              <w:rPr>
                <w:rFonts w:ascii="Garamond" w:eastAsia="Times New Roman" w:hAnsi="Garamond" w:cs="Times New Roman"/>
                <w:color w:val="000000"/>
                <w:sz w:val="10"/>
                <w:szCs w:val="10"/>
                <w:lang w:eastAsia="sq-AL"/>
              </w:rPr>
              <w:t>Fatkeqësive</w:t>
            </w:r>
            <w:r w:rsidRPr="004F2AC3">
              <w:rPr>
                <w:rFonts w:ascii="Garamond" w:eastAsia="Times New Roman" w:hAnsi="Garamond" w:cs="Times New Roman"/>
                <w:color w:val="000000"/>
                <w:sz w:val="10"/>
                <w:szCs w:val="10"/>
                <w:lang w:eastAsia="sq-AL"/>
              </w:rPr>
              <w:t xml:space="preserve"> -|- 5</w:t>
            </w:r>
            <w:r w:rsidRPr="004F2AC3">
              <w:rPr>
                <w:rFonts w:ascii="Garamond" w:eastAsia="Times New Roman" w:hAnsi="Garamond" w:cs="Times New Roman"/>
                <w:color w:val="000000"/>
                <w:sz w:val="10"/>
                <w:szCs w:val="10"/>
                <w:lang w:eastAsia="sq-AL"/>
              </w:rPr>
              <w:br/>
              <w:t>2. Mbledhja me vonesë dhe jocilësore së të dhënave administrative për llogaritë monetare dhe fizike në mjedis, çka mund të sjellë vonesa në llogaritjen dhe shpërndarjen e statistikave të llogarive mjedisore -|- 5</w:t>
            </w:r>
            <w:r w:rsidRPr="004F2AC3">
              <w:rPr>
                <w:rFonts w:ascii="Garamond" w:eastAsia="Times New Roman" w:hAnsi="Garamond" w:cs="Times New Roman"/>
                <w:color w:val="000000"/>
                <w:sz w:val="10"/>
                <w:szCs w:val="10"/>
                <w:lang w:eastAsia="sq-AL"/>
              </w:rPr>
              <w:br/>
              <w:t>3. Gabimet e bëra nga stafi ekspert gjatë përpunimit dhe nxjerrjes së rezultateve duke sjellë ndikim n</w:t>
            </w:r>
            <w:r w:rsidR="007E7186"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cilësinë e produktit statistikor -|- 5</w:t>
            </w:r>
          </w:p>
        </w:tc>
        <w:tc>
          <w:tcPr>
            <w:tcW w:w="551" w:type="dxa"/>
            <w:tcBorders>
              <w:top w:val="nil"/>
              <w:left w:val="nil"/>
              <w:bottom w:val="single" w:sz="4" w:space="0" w:color="auto"/>
              <w:right w:val="single" w:sz="4" w:space="0" w:color="auto"/>
            </w:tcBorders>
            <w:shd w:val="clear" w:color="auto" w:fill="auto"/>
            <w:vAlign w:val="center"/>
            <w:hideMark/>
          </w:tcPr>
          <w:p w14:paraId="301D8A0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323F4C97" w14:textId="77777777" w:rsidTr="0021321C">
        <w:trPr>
          <w:trHeight w:val="180"/>
          <w:jc w:val="center"/>
        </w:trPr>
        <w:tc>
          <w:tcPr>
            <w:tcW w:w="388" w:type="dxa"/>
            <w:tcBorders>
              <w:top w:val="nil"/>
              <w:left w:val="nil"/>
              <w:bottom w:val="nil"/>
              <w:right w:val="nil"/>
            </w:tcBorders>
            <w:shd w:val="clear" w:color="000000" w:fill="FFFFFF"/>
            <w:vAlign w:val="bottom"/>
            <w:hideMark/>
          </w:tcPr>
          <w:p w14:paraId="206D252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637F40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B9AAC9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7DB8E6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3CF2906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4.1.3</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09BC0C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mbi menaxhimin e mbetjeve dhe substancave të rrezikshme</w:t>
            </w:r>
          </w:p>
        </w:tc>
      </w:tr>
      <w:tr w:rsidR="00C73163" w:rsidRPr="004F2AC3" w14:paraId="6C4DEA6D" w14:textId="77777777" w:rsidTr="0021321C">
        <w:trPr>
          <w:trHeight w:val="180"/>
          <w:jc w:val="center"/>
        </w:trPr>
        <w:tc>
          <w:tcPr>
            <w:tcW w:w="388" w:type="dxa"/>
            <w:tcBorders>
              <w:top w:val="nil"/>
              <w:left w:val="nil"/>
              <w:bottom w:val="nil"/>
              <w:right w:val="nil"/>
            </w:tcBorders>
            <w:shd w:val="clear" w:color="000000" w:fill="FFFFFF"/>
            <w:vAlign w:val="bottom"/>
            <w:hideMark/>
          </w:tcPr>
          <w:p w14:paraId="4169FC7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A07699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96B02E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95B161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066C00E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86A368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single" w:sz="4" w:space="0" w:color="000000"/>
              <w:right w:val="single" w:sz="4" w:space="0" w:color="000000"/>
            </w:tcBorders>
            <w:shd w:val="clear" w:color="auto" w:fill="auto"/>
            <w:vAlign w:val="center"/>
            <w:hideMark/>
          </w:tcPr>
          <w:p w14:paraId="1DBB299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4.1.3.1</w:t>
            </w:r>
          </w:p>
        </w:tc>
        <w:tc>
          <w:tcPr>
            <w:tcW w:w="563" w:type="dxa"/>
            <w:tcBorders>
              <w:top w:val="nil"/>
              <w:left w:val="nil"/>
              <w:bottom w:val="single" w:sz="4" w:space="0" w:color="000000"/>
              <w:right w:val="single" w:sz="4" w:space="0" w:color="000000"/>
            </w:tcBorders>
            <w:shd w:val="clear" w:color="auto" w:fill="auto"/>
            <w:vAlign w:val="center"/>
            <w:hideMark/>
          </w:tcPr>
          <w:p w14:paraId="30368CF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Statistikat mbi menaxhimin të mbetjeve të ngurta urbane </w:t>
            </w:r>
          </w:p>
        </w:tc>
        <w:tc>
          <w:tcPr>
            <w:tcW w:w="446" w:type="dxa"/>
            <w:tcBorders>
              <w:top w:val="nil"/>
              <w:left w:val="nil"/>
              <w:bottom w:val="nil"/>
              <w:right w:val="single" w:sz="4" w:space="0" w:color="000000"/>
            </w:tcBorders>
            <w:shd w:val="clear" w:color="auto" w:fill="auto"/>
            <w:vAlign w:val="center"/>
            <w:hideMark/>
          </w:tcPr>
          <w:p w14:paraId="37CBED0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noWrap/>
            <w:vAlign w:val="center"/>
            <w:hideMark/>
          </w:tcPr>
          <w:p w14:paraId="254FF51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noWrap/>
            <w:vAlign w:val="center"/>
            <w:hideMark/>
          </w:tcPr>
          <w:p w14:paraId="077A2FE7"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758C5B6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000000"/>
              <w:right w:val="nil"/>
            </w:tcBorders>
            <w:shd w:val="clear" w:color="auto" w:fill="auto"/>
            <w:vAlign w:val="center"/>
            <w:hideMark/>
          </w:tcPr>
          <w:p w14:paraId="249B57E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6874E71" w14:textId="0FDE74F1" w:rsidR="0021321C" w:rsidRPr="004F2AC3" w:rsidRDefault="0021321C" w:rsidP="00520D08">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Gjenerimi i mbetjeve sipas burimeve kryesore gjeneruese </w:t>
            </w:r>
            <w:r w:rsidR="00520D08" w:rsidRPr="004F2AC3">
              <w:rPr>
                <w:rFonts w:ascii="Garamond" w:eastAsia="Times New Roman" w:hAnsi="Garamond" w:cs="Times New Roman"/>
                <w:color w:val="000000"/>
                <w:sz w:val="10"/>
                <w:szCs w:val="10"/>
                <w:lang w:eastAsia="sq-AL"/>
              </w:rPr>
              <w:t>(</w:t>
            </w:r>
            <w:r w:rsidR="00612841" w:rsidRPr="004F2AC3">
              <w:rPr>
                <w:rFonts w:ascii="Garamond" w:eastAsia="Times New Roman" w:hAnsi="Garamond" w:cs="Times New Roman"/>
                <w:color w:val="000000"/>
                <w:sz w:val="10"/>
                <w:szCs w:val="10"/>
                <w:lang w:eastAsia="sq-AL"/>
              </w:rPr>
              <w:t>NACE)</w:t>
            </w:r>
            <w:r w:rsidR="00520D08" w:rsidRPr="004F2AC3">
              <w:rPr>
                <w:rFonts w:ascii="Garamond" w:eastAsia="Times New Roman" w:hAnsi="Garamond" w:cs="Times New Roman"/>
                <w:color w:val="000000"/>
                <w:sz w:val="10"/>
                <w:szCs w:val="10"/>
                <w:lang w:eastAsia="sq-AL"/>
              </w:rPr>
              <w:t>;</w:t>
            </w:r>
            <w:r w:rsidR="00612841" w:rsidRPr="004F2AC3">
              <w:rPr>
                <w:rFonts w:ascii="Garamond" w:eastAsia="Times New Roman" w:hAnsi="Garamond" w:cs="Times New Roman"/>
                <w:color w:val="000000"/>
                <w:sz w:val="10"/>
                <w:szCs w:val="10"/>
                <w:lang w:eastAsia="sq-AL"/>
              </w:rPr>
              <w:br/>
              <w:t xml:space="preserve">2. Trajtimi i mbetjeve </w:t>
            </w:r>
            <w:r w:rsidRPr="004F2AC3">
              <w:rPr>
                <w:rFonts w:ascii="Garamond" w:eastAsia="Times New Roman" w:hAnsi="Garamond" w:cs="Times New Roman"/>
                <w:color w:val="000000"/>
                <w:sz w:val="10"/>
                <w:szCs w:val="10"/>
                <w:lang w:eastAsia="sq-AL"/>
              </w:rPr>
              <w:t xml:space="preserve">sipas </w:t>
            </w:r>
            <w:r w:rsidR="00612841" w:rsidRPr="004F2AC3">
              <w:rPr>
                <w:rFonts w:ascii="Garamond" w:eastAsia="Times New Roman" w:hAnsi="Garamond" w:cs="Times New Roman"/>
                <w:color w:val="000000"/>
                <w:sz w:val="10"/>
                <w:szCs w:val="10"/>
                <w:lang w:eastAsia="sq-AL"/>
              </w:rPr>
              <w:t>mënyrave</w:t>
            </w:r>
            <w:r w:rsidRPr="004F2AC3">
              <w:rPr>
                <w:rFonts w:ascii="Garamond" w:eastAsia="Times New Roman" w:hAnsi="Garamond" w:cs="Times New Roman"/>
                <w:color w:val="000000"/>
                <w:sz w:val="10"/>
                <w:szCs w:val="10"/>
                <w:lang w:eastAsia="sq-AL"/>
              </w:rPr>
              <w:t xml:space="preserve"> baze t</w:t>
            </w:r>
            <w:r w:rsidR="00612841"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trajtimit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w:t>
            </w:r>
            <w:r w:rsidR="00612841" w:rsidRPr="004F2AC3">
              <w:rPr>
                <w:rFonts w:ascii="Garamond" w:eastAsia="Times New Roman" w:hAnsi="Garamond" w:cs="Times New Roman"/>
                <w:color w:val="000000"/>
                <w:sz w:val="10"/>
                <w:szCs w:val="10"/>
                <w:lang w:eastAsia="sq-AL"/>
              </w:rPr>
              <w:t>Përbërja</w:t>
            </w:r>
            <w:r w:rsidRPr="004F2AC3">
              <w:rPr>
                <w:rFonts w:ascii="Garamond" w:eastAsia="Times New Roman" w:hAnsi="Garamond" w:cs="Times New Roman"/>
                <w:color w:val="000000"/>
                <w:sz w:val="10"/>
                <w:szCs w:val="10"/>
                <w:lang w:eastAsia="sq-AL"/>
              </w:rPr>
              <w:t xml:space="preserve"> merceologjike e mbetjeve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ngurta urbane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4. Stacionet kryesore </w:t>
            </w:r>
            <w:r w:rsidR="00612841" w:rsidRPr="004F2AC3">
              <w:rPr>
                <w:rFonts w:ascii="Garamond" w:eastAsia="Times New Roman" w:hAnsi="Garamond" w:cs="Times New Roman"/>
                <w:color w:val="000000"/>
                <w:sz w:val="10"/>
                <w:szCs w:val="10"/>
                <w:lang w:eastAsia="sq-AL"/>
              </w:rPr>
              <w:t>për</w:t>
            </w:r>
            <w:r w:rsidRPr="004F2AC3">
              <w:rPr>
                <w:rFonts w:ascii="Garamond" w:eastAsia="Times New Roman" w:hAnsi="Garamond" w:cs="Times New Roman"/>
                <w:color w:val="000000"/>
                <w:sz w:val="10"/>
                <w:szCs w:val="10"/>
                <w:lang w:eastAsia="sq-AL"/>
              </w:rPr>
              <w:t xml:space="preserve"> mbledhjen dhe </w:t>
            </w:r>
            <w:r w:rsidR="00612841" w:rsidRPr="004F2AC3">
              <w:rPr>
                <w:rFonts w:ascii="Garamond" w:eastAsia="Times New Roman" w:hAnsi="Garamond" w:cs="Times New Roman"/>
                <w:color w:val="000000"/>
                <w:sz w:val="10"/>
                <w:szCs w:val="10"/>
                <w:lang w:eastAsia="sq-AL"/>
              </w:rPr>
              <w:t>përpunimin</w:t>
            </w:r>
            <w:r w:rsidRPr="004F2AC3">
              <w:rPr>
                <w:rFonts w:ascii="Garamond" w:eastAsia="Times New Roman" w:hAnsi="Garamond" w:cs="Times New Roman"/>
                <w:color w:val="000000"/>
                <w:sz w:val="10"/>
                <w:szCs w:val="10"/>
                <w:lang w:eastAsia="sq-AL"/>
              </w:rPr>
              <w:t xml:space="preserve"> e mbetjeve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ngurta urbane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 Raport </w:t>
            </w:r>
            <w:r w:rsidR="00612841" w:rsidRPr="004F2AC3">
              <w:rPr>
                <w:rFonts w:ascii="Garamond" w:eastAsia="Times New Roman" w:hAnsi="Garamond" w:cs="Times New Roman"/>
                <w:color w:val="000000"/>
                <w:sz w:val="10"/>
                <w:szCs w:val="10"/>
                <w:lang w:eastAsia="sq-AL"/>
              </w:rPr>
              <w:t>Cilësie</w:t>
            </w:r>
            <w:r w:rsidRPr="004F2AC3">
              <w:rPr>
                <w:rFonts w:ascii="Garamond" w:eastAsia="Times New Roman" w:hAnsi="Garamond" w:cs="Times New Roman"/>
                <w:color w:val="000000"/>
                <w:sz w:val="10"/>
                <w:szCs w:val="10"/>
                <w:lang w:eastAsia="sq-AL"/>
              </w:rPr>
              <w:t xml:space="preserve"> mbi menaxhimin e mbetjeve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ngurta</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urbane n</w:t>
            </w:r>
            <w:r w:rsidR="00612841"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w:t>
            </w:r>
            <w:r w:rsidR="00612841" w:rsidRPr="004F2AC3">
              <w:rPr>
                <w:rFonts w:ascii="Garamond" w:eastAsia="Times New Roman" w:hAnsi="Garamond" w:cs="Times New Roman"/>
                <w:color w:val="000000"/>
                <w:sz w:val="10"/>
                <w:szCs w:val="10"/>
                <w:lang w:eastAsia="sq-AL"/>
              </w:rPr>
              <w:t>Shqipëri</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6. Mbetjet inerte n</w:t>
            </w:r>
            <w:r w:rsidR="00612841"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w:t>
            </w:r>
            <w:r w:rsidR="00612841" w:rsidRPr="004F2AC3">
              <w:rPr>
                <w:rFonts w:ascii="Garamond" w:eastAsia="Times New Roman" w:hAnsi="Garamond" w:cs="Times New Roman"/>
                <w:color w:val="000000"/>
                <w:sz w:val="10"/>
                <w:szCs w:val="10"/>
                <w:lang w:eastAsia="sq-AL"/>
              </w:rPr>
              <w:t>përbërje</w:t>
            </w:r>
            <w:r w:rsidRPr="004F2AC3">
              <w:rPr>
                <w:rFonts w:ascii="Garamond" w:eastAsia="Times New Roman" w:hAnsi="Garamond" w:cs="Times New Roman"/>
                <w:color w:val="000000"/>
                <w:sz w:val="10"/>
                <w:szCs w:val="10"/>
                <w:lang w:eastAsia="sq-AL"/>
              </w:rPr>
              <w:t xml:space="preserve"> t</w:t>
            </w:r>
            <w:r w:rsidR="00612841"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mbetjeve urbane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7. Mbetje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rrezikshme n</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w:t>
            </w:r>
            <w:r w:rsidR="00612841" w:rsidRPr="004F2AC3">
              <w:rPr>
                <w:rFonts w:ascii="Garamond" w:eastAsia="Times New Roman" w:hAnsi="Garamond" w:cs="Times New Roman"/>
                <w:color w:val="000000"/>
                <w:sz w:val="10"/>
                <w:szCs w:val="10"/>
                <w:lang w:eastAsia="sq-AL"/>
              </w:rPr>
              <w:t>përbërje</w:t>
            </w:r>
            <w:r w:rsidRPr="004F2AC3">
              <w:rPr>
                <w:rFonts w:ascii="Garamond" w:eastAsia="Times New Roman" w:hAnsi="Garamond" w:cs="Times New Roman"/>
                <w:color w:val="000000"/>
                <w:sz w:val="10"/>
                <w:szCs w:val="10"/>
                <w:lang w:eastAsia="sq-AL"/>
              </w:rPr>
              <w:t xml:space="preser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mbetjeve urbane</w:t>
            </w:r>
            <w:r w:rsidRPr="004F2AC3">
              <w:rPr>
                <w:rFonts w:ascii="Garamond" w:eastAsia="Times New Roman" w:hAnsi="Garamond" w:cs="Times New Roman"/>
                <w:color w:val="000000"/>
                <w:sz w:val="10"/>
                <w:szCs w:val="10"/>
                <w:lang w:eastAsia="sq-AL"/>
              </w:rPr>
              <w:br/>
              <w:t xml:space="preserve">Import </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Export i mbetjeve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8. Gjenerimi </w:t>
            </w:r>
            <w:r w:rsidR="00520D08" w:rsidRPr="004F2AC3">
              <w:rPr>
                <w:rFonts w:ascii="Garamond" w:eastAsia="Times New Roman" w:hAnsi="Garamond" w:cs="Times New Roman"/>
                <w:color w:val="000000"/>
                <w:sz w:val="10"/>
                <w:szCs w:val="10"/>
                <w:lang w:eastAsia="sq-AL"/>
              </w:rPr>
              <w:t>i</w:t>
            </w:r>
            <w:r w:rsidRPr="004F2AC3">
              <w:rPr>
                <w:rFonts w:ascii="Garamond" w:eastAsia="Times New Roman" w:hAnsi="Garamond" w:cs="Times New Roman"/>
                <w:color w:val="000000"/>
                <w:sz w:val="10"/>
                <w:szCs w:val="10"/>
                <w:lang w:eastAsia="sq-AL"/>
              </w:rPr>
              <w:t xml:space="preserve"> mbetjeve urbane raportuar</w:t>
            </w:r>
            <w:r w:rsidR="00684E85" w:rsidRPr="004F2AC3">
              <w:rPr>
                <w:rFonts w:ascii="Garamond" w:eastAsia="Times New Roman" w:hAnsi="Garamond" w:cs="Times New Roman"/>
                <w:color w:val="000000"/>
                <w:sz w:val="10"/>
                <w:szCs w:val="10"/>
                <w:lang w:eastAsia="sq-AL"/>
              </w:rPr>
              <w:t xml:space="preserve"> </w:t>
            </w:r>
            <w:r w:rsidR="00612841" w:rsidRPr="004F2AC3">
              <w:rPr>
                <w:rFonts w:ascii="Garamond" w:eastAsia="Times New Roman" w:hAnsi="Garamond" w:cs="Times New Roman"/>
                <w:color w:val="000000"/>
                <w:sz w:val="10"/>
                <w:szCs w:val="10"/>
                <w:lang w:eastAsia="sq-AL"/>
              </w:rPr>
              <w:t>për</w:t>
            </w:r>
            <w:r w:rsidRPr="004F2AC3">
              <w:rPr>
                <w:rFonts w:ascii="Garamond" w:eastAsia="Times New Roman" w:hAnsi="Garamond" w:cs="Times New Roman"/>
                <w:color w:val="000000"/>
                <w:sz w:val="10"/>
                <w:szCs w:val="10"/>
                <w:lang w:eastAsia="sq-AL"/>
              </w:rPr>
              <w:t xml:space="preserve"> banor rezident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9. Mbetje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ricikluara nga mbetjet urbane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10. Mbetje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trajtuara ndar sipas </w:t>
            </w:r>
            <w:r w:rsidR="00612841" w:rsidRPr="004F2AC3">
              <w:rPr>
                <w:rFonts w:ascii="Garamond" w:eastAsia="Times New Roman" w:hAnsi="Garamond" w:cs="Times New Roman"/>
                <w:color w:val="000000"/>
                <w:sz w:val="10"/>
                <w:szCs w:val="10"/>
                <w:lang w:eastAsia="sq-AL"/>
              </w:rPr>
              <w:t>mënyrave</w:t>
            </w:r>
            <w:r w:rsidRPr="004F2AC3">
              <w:rPr>
                <w:rFonts w:ascii="Garamond" w:eastAsia="Times New Roman" w:hAnsi="Garamond" w:cs="Times New Roman"/>
                <w:color w:val="000000"/>
                <w:sz w:val="10"/>
                <w:szCs w:val="10"/>
                <w:lang w:eastAsia="sq-AL"/>
              </w:rPr>
              <w:t xml:space="preserve"> standarde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trajtimit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11. Mbetje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pa trajtuara nga mbetjet urbane totale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generuara</w:t>
            </w:r>
            <w:r w:rsidR="00612841"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w:t>
            </w:r>
            <w:r w:rsidR="00612841"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w:t>
            </w:r>
            <w:r w:rsidR="00612841" w:rsidRPr="004F2AC3">
              <w:rPr>
                <w:rFonts w:ascii="Garamond" w:eastAsia="Times New Roman" w:hAnsi="Garamond" w:cs="Times New Roman"/>
                <w:color w:val="000000"/>
                <w:sz w:val="10"/>
                <w:szCs w:val="10"/>
                <w:lang w:eastAsia="sq-AL"/>
              </w:rPr>
              <w:t>Shqipëri</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3FD940FC" w14:textId="444DEC9E"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Ministria e dhe Mjedisit </w:t>
            </w:r>
            <w:r w:rsidRPr="004F2AC3">
              <w:rPr>
                <w:rFonts w:ascii="Garamond" w:eastAsia="Times New Roman" w:hAnsi="Garamond" w:cs="Times New Roman"/>
                <w:color w:val="000000"/>
                <w:sz w:val="10"/>
                <w:szCs w:val="10"/>
                <w:lang w:eastAsia="sq-AL"/>
              </w:rPr>
              <w:br/>
              <w:t>Agjencia Kombëtare e M</w:t>
            </w:r>
            <w:r w:rsidR="00520D08" w:rsidRPr="004F2AC3">
              <w:rPr>
                <w:rFonts w:ascii="Garamond" w:eastAsia="Times New Roman" w:hAnsi="Garamond" w:cs="Times New Roman"/>
                <w:color w:val="000000"/>
                <w:sz w:val="10"/>
                <w:szCs w:val="10"/>
                <w:lang w:eastAsia="sq-AL"/>
              </w:rPr>
              <w:t>jedisit;</w:t>
            </w:r>
            <w:r w:rsidRPr="004F2AC3">
              <w:rPr>
                <w:rFonts w:ascii="Garamond" w:eastAsia="Times New Roman" w:hAnsi="Garamond" w:cs="Times New Roman"/>
                <w:color w:val="000000"/>
                <w:sz w:val="10"/>
                <w:szCs w:val="10"/>
                <w:lang w:eastAsia="sq-AL"/>
              </w:rPr>
              <w:br/>
              <w:t>Bashkitë</w:t>
            </w:r>
            <w:r w:rsidR="00520D08"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0C9EC7CF" w14:textId="02012AD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426415E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+ 155D</w:t>
            </w:r>
          </w:p>
        </w:tc>
        <w:tc>
          <w:tcPr>
            <w:tcW w:w="385" w:type="dxa"/>
            <w:tcBorders>
              <w:top w:val="nil"/>
              <w:left w:val="nil"/>
              <w:bottom w:val="single" w:sz="4" w:space="0" w:color="auto"/>
              <w:right w:val="single" w:sz="4" w:space="0" w:color="auto"/>
            </w:tcBorders>
            <w:shd w:val="clear" w:color="000000" w:fill="FFFFFF"/>
            <w:vAlign w:val="center"/>
            <w:hideMark/>
          </w:tcPr>
          <w:p w14:paraId="14A8561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+ 253D</w:t>
            </w:r>
          </w:p>
        </w:tc>
        <w:tc>
          <w:tcPr>
            <w:tcW w:w="361" w:type="dxa"/>
            <w:tcBorders>
              <w:top w:val="nil"/>
              <w:left w:val="nil"/>
              <w:bottom w:val="single" w:sz="4" w:space="0" w:color="auto"/>
              <w:right w:val="single" w:sz="4" w:space="0" w:color="auto"/>
            </w:tcBorders>
            <w:shd w:val="clear" w:color="000000" w:fill="FFFFFF"/>
            <w:vAlign w:val="center"/>
            <w:hideMark/>
          </w:tcPr>
          <w:p w14:paraId="18FBAC2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+ 267D</w:t>
            </w:r>
          </w:p>
        </w:tc>
        <w:tc>
          <w:tcPr>
            <w:tcW w:w="732" w:type="dxa"/>
            <w:tcBorders>
              <w:top w:val="nil"/>
              <w:left w:val="nil"/>
              <w:bottom w:val="single" w:sz="4" w:space="0" w:color="auto"/>
              <w:right w:val="single" w:sz="4" w:space="0" w:color="auto"/>
            </w:tcBorders>
            <w:shd w:val="clear" w:color="auto" w:fill="auto"/>
            <w:vAlign w:val="center"/>
            <w:hideMark/>
          </w:tcPr>
          <w:p w14:paraId="0A07974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Mosrealizimi i vrojtimit Vjetor i Mbetjeve Urbane sipas objektivave duke sjellë mospublikimin e statistikave mbi menaxhimin e mbetjeve dhe moshartimin e raporteve periodike të kërkuara nga Eurostat -|- 4</w:t>
            </w:r>
          </w:p>
        </w:tc>
        <w:tc>
          <w:tcPr>
            <w:tcW w:w="551" w:type="dxa"/>
            <w:tcBorders>
              <w:top w:val="nil"/>
              <w:left w:val="nil"/>
              <w:bottom w:val="single" w:sz="4" w:space="0" w:color="auto"/>
              <w:right w:val="single" w:sz="4" w:space="0" w:color="auto"/>
            </w:tcBorders>
            <w:shd w:val="clear" w:color="auto" w:fill="auto"/>
            <w:vAlign w:val="center"/>
            <w:hideMark/>
          </w:tcPr>
          <w:p w14:paraId="6042589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62A507ED" w14:textId="77777777" w:rsidTr="0021321C">
        <w:trPr>
          <w:trHeight w:val="180"/>
          <w:jc w:val="center"/>
        </w:trPr>
        <w:tc>
          <w:tcPr>
            <w:tcW w:w="388" w:type="dxa"/>
            <w:tcBorders>
              <w:top w:val="nil"/>
              <w:left w:val="nil"/>
              <w:bottom w:val="nil"/>
              <w:right w:val="nil"/>
            </w:tcBorders>
            <w:shd w:val="clear" w:color="000000" w:fill="FFFFFF"/>
            <w:vAlign w:val="bottom"/>
            <w:hideMark/>
          </w:tcPr>
          <w:p w14:paraId="042759A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4A801E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C5E2D1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3F4EFD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16A1401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325062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single" w:sz="4" w:space="0" w:color="000000"/>
              <w:right w:val="single" w:sz="4" w:space="0" w:color="000000"/>
            </w:tcBorders>
            <w:shd w:val="clear" w:color="auto" w:fill="auto"/>
            <w:vAlign w:val="center"/>
            <w:hideMark/>
          </w:tcPr>
          <w:p w14:paraId="7E6AD94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4.1.3.1</w:t>
            </w:r>
          </w:p>
        </w:tc>
        <w:tc>
          <w:tcPr>
            <w:tcW w:w="563" w:type="dxa"/>
            <w:tcBorders>
              <w:top w:val="nil"/>
              <w:left w:val="nil"/>
              <w:bottom w:val="nil"/>
              <w:right w:val="nil"/>
            </w:tcBorders>
            <w:shd w:val="clear" w:color="auto" w:fill="auto"/>
            <w:vAlign w:val="center"/>
            <w:hideMark/>
          </w:tcPr>
          <w:p w14:paraId="641EF021"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Vrojtimi i mbetjeve industriale</w:t>
            </w:r>
          </w:p>
        </w:tc>
        <w:tc>
          <w:tcPr>
            <w:tcW w:w="4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F12C2"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Vrojtim</w:t>
            </w:r>
          </w:p>
        </w:tc>
        <w:tc>
          <w:tcPr>
            <w:tcW w:w="450" w:type="dxa"/>
            <w:tcBorders>
              <w:top w:val="nil"/>
              <w:left w:val="nil"/>
              <w:bottom w:val="single" w:sz="4" w:space="0" w:color="auto"/>
              <w:right w:val="single" w:sz="4" w:space="0" w:color="auto"/>
            </w:tcBorders>
            <w:shd w:val="clear" w:color="auto" w:fill="auto"/>
            <w:noWrap/>
            <w:vAlign w:val="center"/>
            <w:hideMark/>
          </w:tcPr>
          <w:p w14:paraId="1BAF5E1E"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4" w:space="0" w:color="auto"/>
            </w:tcBorders>
            <w:shd w:val="clear" w:color="auto" w:fill="auto"/>
            <w:noWrap/>
            <w:vAlign w:val="center"/>
            <w:hideMark/>
          </w:tcPr>
          <w:p w14:paraId="31BA5CDF"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426" w:type="dxa"/>
            <w:tcBorders>
              <w:top w:val="nil"/>
              <w:left w:val="nil"/>
              <w:bottom w:val="single" w:sz="4" w:space="0" w:color="auto"/>
              <w:right w:val="single" w:sz="4" w:space="0" w:color="auto"/>
            </w:tcBorders>
            <w:shd w:val="clear" w:color="auto" w:fill="auto"/>
            <w:vAlign w:val="center"/>
            <w:hideMark/>
          </w:tcPr>
          <w:p w14:paraId="5589A4C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nil"/>
            </w:tcBorders>
            <w:shd w:val="clear" w:color="auto" w:fill="auto"/>
            <w:vAlign w:val="center"/>
            <w:hideMark/>
          </w:tcPr>
          <w:p w14:paraId="1C83A1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herë në dy vite</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0DEC1A5" w14:textId="13B266D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Gjenerimi dhe trajtimi i mbetjeve në industri</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7CB78F36" w14:textId="1A21E61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13" w:type="dxa"/>
            <w:tcBorders>
              <w:top w:val="nil"/>
              <w:left w:val="nil"/>
              <w:bottom w:val="single" w:sz="4" w:space="0" w:color="auto"/>
              <w:right w:val="single" w:sz="4" w:space="0" w:color="auto"/>
            </w:tcBorders>
            <w:shd w:val="clear" w:color="auto" w:fill="auto"/>
            <w:vAlign w:val="center"/>
            <w:hideMark/>
          </w:tcPr>
          <w:p w14:paraId="28FDF445" w14:textId="34C0461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3190BE6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V+180D</w:t>
            </w:r>
          </w:p>
        </w:tc>
        <w:tc>
          <w:tcPr>
            <w:tcW w:w="385" w:type="dxa"/>
            <w:tcBorders>
              <w:top w:val="nil"/>
              <w:left w:val="nil"/>
              <w:bottom w:val="single" w:sz="4" w:space="0" w:color="auto"/>
              <w:right w:val="single" w:sz="4" w:space="0" w:color="auto"/>
            </w:tcBorders>
            <w:shd w:val="clear" w:color="000000" w:fill="FFFFFF"/>
            <w:vAlign w:val="center"/>
            <w:hideMark/>
          </w:tcPr>
          <w:p w14:paraId="18E640C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V+365D</w:t>
            </w:r>
          </w:p>
        </w:tc>
        <w:tc>
          <w:tcPr>
            <w:tcW w:w="361" w:type="dxa"/>
            <w:tcBorders>
              <w:top w:val="nil"/>
              <w:left w:val="nil"/>
              <w:bottom w:val="single" w:sz="4" w:space="0" w:color="auto"/>
              <w:right w:val="single" w:sz="4" w:space="0" w:color="auto"/>
            </w:tcBorders>
            <w:shd w:val="clear" w:color="000000" w:fill="FFFFFF"/>
            <w:vAlign w:val="center"/>
            <w:hideMark/>
          </w:tcPr>
          <w:p w14:paraId="544EE7D5"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732" w:type="dxa"/>
            <w:tcBorders>
              <w:top w:val="nil"/>
              <w:left w:val="nil"/>
              <w:bottom w:val="single" w:sz="4" w:space="0" w:color="auto"/>
              <w:right w:val="single" w:sz="4" w:space="0" w:color="auto"/>
            </w:tcBorders>
            <w:shd w:val="clear" w:color="auto" w:fill="auto"/>
            <w:vAlign w:val="center"/>
            <w:hideMark/>
          </w:tcPr>
          <w:p w14:paraId="7220A74C" w14:textId="0ADCE4B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Mungesa e cilësisë së dhënave të marra nga vrojtimi</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-|- 2</w:t>
            </w:r>
          </w:p>
        </w:tc>
        <w:tc>
          <w:tcPr>
            <w:tcW w:w="551" w:type="dxa"/>
            <w:tcBorders>
              <w:top w:val="nil"/>
              <w:left w:val="nil"/>
              <w:bottom w:val="single" w:sz="4" w:space="0" w:color="auto"/>
              <w:right w:val="single" w:sz="4" w:space="0" w:color="auto"/>
            </w:tcBorders>
            <w:shd w:val="clear" w:color="auto" w:fill="auto"/>
            <w:vAlign w:val="center"/>
            <w:hideMark/>
          </w:tcPr>
          <w:p w14:paraId="69BF15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2BA217BD" w14:textId="77777777" w:rsidTr="0021321C">
        <w:trPr>
          <w:trHeight w:val="180"/>
          <w:jc w:val="center"/>
        </w:trPr>
        <w:tc>
          <w:tcPr>
            <w:tcW w:w="388" w:type="dxa"/>
            <w:tcBorders>
              <w:top w:val="nil"/>
              <w:left w:val="nil"/>
              <w:bottom w:val="nil"/>
              <w:right w:val="nil"/>
            </w:tcBorders>
            <w:shd w:val="clear" w:color="000000" w:fill="FFFFFF"/>
            <w:vAlign w:val="bottom"/>
            <w:hideMark/>
          </w:tcPr>
          <w:p w14:paraId="702E046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06D016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0DB6F4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D48229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336334F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4.1.4</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7FF3160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ujit</w:t>
            </w:r>
          </w:p>
        </w:tc>
      </w:tr>
      <w:tr w:rsidR="00C73163" w:rsidRPr="004F2AC3" w14:paraId="7ED61349" w14:textId="77777777" w:rsidTr="0021321C">
        <w:trPr>
          <w:trHeight w:val="180"/>
          <w:jc w:val="center"/>
        </w:trPr>
        <w:tc>
          <w:tcPr>
            <w:tcW w:w="388" w:type="dxa"/>
            <w:tcBorders>
              <w:top w:val="nil"/>
              <w:left w:val="nil"/>
              <w:bottom w:val="nil"/>
              <w:right w:val="nil"/>
            </w:tcBorders>
            <w:shd w:val="clear" w:color="000000" w:fill="FFFFFF"/>
            <w:vAlign w:val="bottom"/>
            <w:hideMark/>
          </w:tcPr>
          <w:p w14:paraId="047582D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B29D33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E97CB2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2059748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22D8457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5DEDF20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nil"/>
              <w:right w:val="single" w:sz="4" w:space="0" w:color="000000"/>
            </w:tcBorders>
            <w:shd w:val="clear" w:color="auto" w:fill="auto"/>
            <w:vAlign w:val="center"/>
            <w:hideMark/>
          </w:tcPr>
          <w:p w14:paraId="0C6B8DF4"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4.1.4.1</w:t>
            </w:r>
          </w:p>
        </w:tc>
        <w:tc>
          <w:tcPr>
            <w:tcW w:w="563" w:type="dxa"/>
            <w:tcBorders>
              <w:top w:val="nil"/>
              <w:left w:val="nil"/>
              <w:bottom w:val="nil"/>
              <w:right w:val="single" w:sz="4" w:space="0" w:color="000000"/>
            </w:tcBorders>
            <w:shd w:val="clear" w:color="auto" w:fill="auto"/>
            <w:vAlign w:val="center"/>
            <w:hideMark/>
          </w:tcPr>
          <w:p w14:paraId="15318A1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ujit-administrative</w:t>
            </w:r>
          </w:p>
        </w:tc>
        <w:tc>
          <w:tcPr>
            <w:tcW w:w="446" w:type="dxa"/>
            <w:tcBorders>
              <w:top w:val="nil"/>
              <w:left w:val="nil"/>
              <w:bottom w:val="nil"/>
              <w:right w:val="single" w:sz="4" w:space="0" w:color="000000"/>
            </w:tcBorders>
            <w:shd w:val="clear" w:color="auto" w:fill="auto"/>
            <w:vAlign w:val="center"/>
            <w:hideMark/>
          </w:tcPr>
          <w:p w14:paraId="288B033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nil"/>
              <w:right w:val="single" w:sz="4" w:space="0" w:color="auto"/>
            </w:tcBorders>
            <w:shd w:val="clear" w:color="auto" w:fill="auto"/>
            <w:noWrap/>
            <w:vAlign w:val="center"/>
            <w:hideMark/>
          </w:tcPr>
          <w:p w14:paraId="78067E8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nil"/>
              <w:right w:val="single" w:sz="4" w:space="0" w:color="auto"/>
            </w:tcBorders>
            <w:shd w:val="clear" w:color="auto" w:fill="auto"/>
            <w:noWrap/>
            <w:vAlign w:val="center"/>
            <w:hideMark/>
          </w:tcPr>
          <w:p w14:paraId="2C305044"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nil"/>
              <w:right w:val="single" w:sz="4" w:space="0" w:color="auto"/>
            </w:tcBorders>
            <w:shd w:val="clear" w:color="auto" w:fill="auto"/>
            <w:vAlign w:val="center"/>
            <w:hideMark/>
          </w:tcPr>
          <w:p w14:paraId="5484111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single" w:sz="4" w:space="0" w:color="000000"/>
            </w:tcBorders>
            <w:shd w:val="clear" w:color="auto" w:fill="auto"/>
            <w:vAlign w:val="center"/>
            <w:hideMark/>
          </w:tcPr>
          <w:p w14:paraId="6990E87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nil"/>
              <w:right w:val="single" w:sz="4" w:space="0" w:color="auto"/>
            </w:tcBorders>
            <w:shd w:val="clear" w:color="auto" w:fill="auto"/>
            <w:vAlign w:val="center"/>
            <w:hideMark/>
          </w:tcPr>
          <w:p w14:paraId="7732E4C9" w14:textId="4083DB66" w:rsidR="0021321C" w:rsidRPr="004F2AC3" w:rsidRDefault="0021321C" w:rsidP="0021321C">
            <w:pPr>
              <w:spacing w:after="24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Cilësia e ujërave larës në plazhet detare të Shqipërisë</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Statistikat mbi furnizimin e popullsisë me ujë dhe menaxhimi i </w:t>
            </w:r>
            <w:r w:rsidR="00612841" w:rsidRPr="004F2AC3">
              <w:rPr>
                <w:rFonts w:ascii="Garamond" w:eastAsia="Times New Roman" w:hAnsi="Garamond" w:cs="Times New Roman"/>
                <w:color w:val="000000"/>
                <w:sz w:val="10"/>
                <w:szCs w:val="10"/>
                <w:lang w:eastAsia="sq-AL"/>
              </w:rPr>
              <w:t>ujërave</w:t>
            </w:r>
            <w:r w:rsidRPr="004F2AC3">
              <w:rPr>
                <w:rFonts w:ascii="Garamond" w:eastAsia="Times New Roman" w:hAnsi="Garamond" w:cs="Times New Roman"/>
                <w:color w:val="000000"/>
                <w:sz w:val="10"/>
                <w:szCs w:val="10"/>
                <w:lang w:eastAsia="sq-AL"/>
              </w:rPr>
              <w:t xml:space="preserve"> të ndotura</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Statistikat mbi cilësitë fiziko kimike të </w:t>
            </w:r>
            <w:r w:rsidR="00612841" w:rsidRPr="004F2AC3">
              <w:rPr>
                <w:rFonts w:ascii="Garamond" w:eastAsia="Times New Roman" w:hAnsi="Garamond" w:cs="Times New Roman"/>
                <w:color w:val="000000"/>
                <w:sz w:val="10"/>
                <w:szCs w:val="10"/>
                <w:lang w:eastAsia="sq-AL"/>
              </w:rPr>
              <w:t>ujërave</w:t>
            </w:r>
            <w:r w:rsidRPr="004F2AC3">
              <w:rPr>
                <w:rFonts w:ascii="Garamond" w:eastAsia="Times New Roman" w:hAnsi="Garamond" w:cs="Times New Roman"/>
                <w:color w:val="000000"/>
                <w:sz w:val="10"/>
                <w:szCs w:val="10"/>
                <w:lang w:eastAsia="sq-AL"/>
              </w:rPr>
              <w:t xml:space="preserve"> në lumenj dhe liqene natyrale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Portata e ujërave të brendshëm sipas burimeve natyrore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5. Statistikat të pjesshme nga bilanci i përgjithshëm i </w:t>
            </w:r>
            <w:r w:rsidR="00612841" w:rsidRPr="004F2AC3">
              <w:rPr>
                <w:rFonts w:ascii="Garamond" w:eastAsia="Times New Roman" w:hAnsi="Garamond" w:cs="Times New Roman"/>
                <w:color w:val="000000"/>
                <w:sz w:val="10"/>
                <w:szCs w:val="10"/>
                <w:lang w:eastAsia="sq-AL"/>
              </w:rPr>
              <w:t>ujërave</w:t>
            </w:r>
            <w:r w:rsidRPr="004F2AC3">
              <w:rPr>
                <w:rFonts w:ascii="Garamond" w:eastAsia="Times New Roman" w:hAnsi="Garamond" w:cs="Times New Roman"/>
                <w:color w:val="000000"/>
                <w:sz w:val="10"/>
                <w:szCs w:val="10"/>
                <w:lang w:eastAsia="sq-AL"/>
              </w:rPr>
              <w:t xml:space="preserve"> në </w:t>
            </w:r>
            <w:r w:rsidR="00612841" w:rsidRPr="004F2AC3">
              <w:rPr>
                <w:rFonts w:ascii="Garamond" w:eastAsia="Times New Roman" w:hAnsi="Garamond" w:cs="Times New Roman"/>
                <w:color w:val="000000"/>
                <w:sz w:val="10"/>
                <w:szCs w:val="10"/>
                <w:lang w:eastAsia="sq-AL"/>
              </w:rPr>
              <w:t>Republikën</w:t>
            </w:r>
            <w:r w:rsidRPr="004F2AC3">
              <w:rPr>
                <w:rFonts w:ascii="Garamond" w:eastAsia="Times New Roman" w:hAnsi="Garamond" w:cs="Times New Roman"/>
                <w:color w:val="000000"/>
                <w:sz w:val="10"/>
                <w:szCs w:val="10"/>
                <w:lang w:eastAsia="sq-AL"/>
              </w:rPr>
              <w:t xml:space="preserve"> e Shqipërisë</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6. Statistika mbi Rajonet e </w:t>
            </w:r>
            <w:r w:rsidR="00612841" w:rsidRPr="004F2AC3">
              <w:rPr>
                <w:rFonts w:ascii="Garamond" w:eastAsia="Times New Roman" w:hAnsi="Garamond" w:cs="Times New Roman"/>
                <w:color w:val="000000"/>
                <w:sz w:val="10"/>
                <w:szCs w:val="10"/>
                <w:lang w:eastAsia="sq-AL"/>
              </w:rPr>
              <w:t>baseneve</w:t>
            </w:r>
            <w:r w:rsidRPr="004F2AC3">
              <w:rPr>
                <w:rFonts w:ascii="Garamond" w:eastAsia="Times New Roman" w:hAnsi="Garamond" w:cs="Times New Roman"/>
                <w:color w:val="000000"/>
                <w:sz w:val="10"/>
                <w:szCs w:val="10"/>
                <w:lang w:eastAsia="sq-AL"/>
              </w:rPr>
              <w:t xml:space="preserve"> të </w:t>
            </w:r>
            <w:r w:rsidR="00612841" w:rsidRPr="004F2AC3">
              <w:rPr>
                <w:rFonts w:ascii="Garamond" w:eastAsia="Times New Roman" w:hAnsi="Garamond" w:cs="Times New Roman"/>
                <w:color w:val="000000"/>
                <w:sz w:val="10"/>
                <w:szCs w:val="10"/>
                <w:lang w:eastAsia="sq-AL"/>
              </w:rPr>
              <w:t>lumenjve</w:t>
            </w:r>
            <w:r w:rsidRPr="004F2AC3">
              <w:rPr>
                <w:rFonts w:ascii="Garamond" w:eastAsia="Times New Roman" w:hAnsi="Garamond" w:cs="Times New Roman"/>
                <w:color w:val="000000"/>
                <w:sz w:val="10"/>
                <w:szCs w:val="10"/>
                <w:lang w:eastAsia="sq-AL"/>
              </w:rPr>
              <w:t>, RBD</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7. </w:t>
            </w:r>
            <w:r w:rsidR="00612841" w:rsidRPr="004F2AC3">
              <w:rPr>
                <w:rFonts w:ascii="Garamond" w:eastAsia="Times New Roman" w:hAnsi="Garamond" w:cs="Times New Roman"/>
                <w:color w:val="000000"/>
                <w:sz w:val="10"/>
                <w:szCs w:val="10"/>
                <w:lang w:eastAsia="sq-AL"/>
              </w:rPr>
              <w:t>Reshjet</w:t>
            </w:r>
            <w:r w:rsidRPr="004F2AC3">
              <w:rPr>
                <w:rFonts w:ascii="Garamond" w:eastAsia="Times New Roman" w:hAnsi="Garamond" w:cs="Times New Roman"/>
                <w:color w:val="000000"/>
                <w:sz w:val="10"/>
                <w:szCs w:val="10"/>
                <w:lang w:eastAsia="sq-AL"/>
              </w:rPr>
              <w:t xml:space="preserve"> mesatare vjetore në Shqipëri</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8. Përdorimi i ujërave nga burimet sipërfaqësore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9. Përdorimi i ujërave nga rezervat </w:t>
            </w:r>
            <w:r w:rsidR="00612841" w:rsidRPr="004F2AC3">
              <w:rPr>
                <w:rFonts w:ascii="Garamond" w:eastAsia="Times New Roman" w:hAnsi="Garamond" w:cs="Times New Roman"/>
                <w:color w:val="000000"/>
                <w:sz w:val="10"/>
                <w:szCs w:val="10"/>
                <w:lang w:eastAsia="sq-AL"/>
              </w:rPr>
              <w:t>nëntokësore</w:t>
            </w:r>
            <w:r w:rsidRPr="004F2AC3">
              <w:rPr>
                <w:rFonts w:ascii="Garamond" w:eastAsia="Times New Roman" w:hAnsi="Garamond" w:cs="Times New Roman"/>
                <w:color w:val="000000"/>
                <w:sz w:val="10"/>
                <w:szCs w:val="10"/>
                <w:lang w:eastAsia="sq-AL"/>
              </w:rPr>
              <w:t>, aquiferet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10. Hyrje dalja e ujërave </w:t>
            </w:r>
            <w:r w:rsidR="00612841" w:rsidRPr="004F2AC3">
              <w:rPr>
                <w:rFonts w:ascii="Garamond" w:eastAsia="Times New Roman" w:hAnsi="Garamond" w:cs="Times New Roman"/>
                <w:color w:val="000000"/>
                <w:sz w:val="10"/>
                <w:szCs w:val="10"/>
                <w:lang w:eastAsia="sq-AL"/>
              </w:rPr>
              <w:t>sipërfaqësore</w:t>
            </w:r>
            <w:r w:rsidRPr="004F2AC3">
              <w:rPr>
                <w:rFonts w:ascii="Garamond" w:eastAsia="Times New Roman" w:hAnsi="Garamond" w:cs="Times New Roman"/>
                <w:color w:val="000000"/>
                <w:sz w:val="10"/>
                <w:szCs w:val="10"/>
                <w:lang w:eastAsia="sq-AL"/>
              </w:rPr>
              <w:t xml:space="preserve"> me vendet ndërkufitare me Shqipërinë</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11. </w:t>
            </w:r>
            <w:r w:rsidR="00612841" w:rsidRPr="004F2AC3">
              <w:rPr>
                <w:rFonts w:ascii="Garamond" w:eastAsia="Times New Roman" w:hAnsi="Garamond" w:cs="Times New Roman"/>
                <w:color w:val="000000"/>
                <w:sz w:val="10"/>
                <w:szCs w:val="10"/>
                <w:lang w:eastAsia="sq-AL"/>
              </w:rPr>
              <w:t>Përdorimi</w:t>
            </w:r>
            <w:r w:rsidRPr="004F2AC3">
              <w:rPr>
                <w:rFonts w:ascii="Garamond" w:eastAsia="Times New Roman" w:hAnsi="Garamond" w:cs="Times New Roman"/>
                <w:color w:val="000000"/>
                <w:sz w:val="10"/>
                <w:szCs w:val="10"/>
                <w:lang w:eastAsia="sq-AL"/>
              </w:rPr>
              <w:t xml:space="preserve"> i ujerave sipas </w:t>
            </w:r>
            <w:r w:rsidR="00612841" w:rsidRPr="004F2AC3">
              <w:rPr>
                <w:rFonts w:ascii="Garamond" w:eastAsia="Times New Roman" w:hAnsi="Garamond" w:cs="Times New Roman"/>
                <w:color w:val="000000"/>
                <w:sz w:val="10"/>
                <w:szCs w:val="10"/>
                <w:lang w:eastAsia="sq-AL"/>
              </w:rPr>
              <w:t>degëve</w:t>
            </w:r>
            <w:r w:rsidRPr="004F2AC3">
              <w:rPr>
                <w:rFonts w:ascii="Garamond" w:eastAsia="Times New Roman" w:hAnsi="Garamond" w:cs="Times New Roman"/>
                <w:color w:val="000000"/>
                <w:sz w:val="10"/>
                <w:szCs w:val="10"/>
                <w:lang w:eastAsia="sq-AL"/>
              </w:rPr>
              <w:t xml:space="preserve"> kryesore t</w:t>
            </w:r>
            <w:r w:rsidR="00612841"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w:t>
            </w:r>
            <w:r w:rsidR="00612841" w:rsidRPr="004F2AC3">
              <w:rPr>
                <w:rFonts w:ascii="Garamond" w:eastAsia="Times New Roman" w:hAnsi="Garamond" w:cs="Times New Roman"/>
                <w:color w:val="000000"/>
                <w:sz w:val="10"/>
                <w:szCs w:val="10"/>
                <w:lang w:eastAsia="sq-AL"/>
              </w:rPr>
              <w:t>ekonomisë</w:t>
            </w:r>
            <w:r w:rsidRPr="004F2AC3">
              <w:rPr>
                <w:rFonts w:ascii="Garamond" w:eastAsia="Times New Roman" w:hAnsi="Garamond" w:cs="Times New Roman"/>
                <w:color w:val="000000"/>
                <w:sz w:val="10"/>
                <w:szCs w:val="10"/>
                <w:lang w:eastAsia="sq-AL"/>
              </w:rPr>
              <w:t>,</w:t>
            </w:r>
            <w:r w:rsidR="00520D08"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Nace - Rev2</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12. Trajtimi i ujërave të </w:t>
            </w:r>
            <w:r w:rsidR="00612841" w:rsidRPr="004F2AC3">
              <w:rPr>
                <w:rFonts w:ascii="Garamond" w:eastAsia="Times New Roman" w:hAnsi="Garamond" w:cs="Times New Roman"/>
                <w:color w:val="000000"/>
                <w:sz w:val="10"/>
                <w:szCs w:val="10"/>
                <w:lang w:eastAsia="sq-AL"/>
              </w:rPr>
              <w:t>përdorura</w:t>
            </w:r>
            <w:r w:rsidRPr="004F2AC3">
              <w:rPr>
                <w:rFonts w:ascii="Garamond" w:eastAsia="Times New Roman" w:hAnsi="Garamond" w:cs="Times New Roman"/>
                <w:color w:val="000000"/>
                <w:sz w:val="10"/>
                <w:szCs w:val="10"/>
                <w:lang w:eastAsia="sq-AL"/>
              </w:rPr>
              <w:t xml:space="preserve"> dhe shkarkimi i tyre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13. Mbetjet nga trajtimi i ujërave të ndotura dhe trajtimi i </w:t>
            </w:r>
            <w:r w:rsidR="00612841" w:rsidRPr="004F2AC3">
              <w:rPr>
                <w:rFonts w:ascii="Garamond" w:eastAsia="Times New Roman" w:hAnsi="Garamond" w:cs="Times New Roman"/>
                <w:color w:val="000000"/>
                <w:sz w:val="10"/>
                <w:szCs w:val="10"/>
                <w:lang w:eastAsia="sq-AL"/>
              </w:rPr>
              <w:t>llumrave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14. Prurjet mesatare vjetore të ujit sipas baseneve lumore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15. Sipërfaqet efektive dhe reale të baseneve kryesore ujëmbledhëse të brendshme dhe ndërkufitare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16. Shkarkimet e ujërave në dete sipas baseneve lumore</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767FDEC3" w14:textId="3669111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Mjedisit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Agjencia Kombëtare e Burimeve Natyrore</w:t>
            </w:r>
            <w:r w:rsidR="00520D08" w:rsidRPr="004F2AC3">
              <w:rPr>
                <w:rFonts w:ascii="Garamond" w:eastAsia="Times New Roman" w:hAnsi="Garamond" w:cs="Times New Roman"/>
                <w:color w:val="000000"/>
                <w:sz w:val="10"/>
                <w:szCs w:val="10"/>
                <w:lang w:eastAsia="sq-AL"/>
              </w:rPr>
              <w:t>;</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Sh</w:t>
            </w:r>
            <w:r w:rsidR="00520D08" w:rsidRPr="004F2AC3">
              <w:rPr>
                <w:rFonts w:ascii="Garamond" w:eastAsia="Times New Roman" w:hAnsi="Garamond" w:cs="Times New Roman"/>
                <w:color w:val="000000"/>
                <w:sz w:val="10"/>
                <w:szCs w:val="10"/>
                <w:lang w:eastAsia="sq-AL"/>
              </w:rPr>
              <w:t>ërbimi Gjeologjik Shqiptar;</w:t>
            </w:r>
            <w:r w:rsidR="00520D08" w:rsidRPr="004F2AC3">
              <w:rPr>
                <w:rFonts w:ascii="Garamond" w:eastAsia="Times New Roman" w:hAnsi="Garamond" w:cs="Times New Roman"/>
                <w:color w:val="000000"/>
                <w:sz w:val="10"/>
                <w:szCs w:val="10"/>
                <w:lang w:eastAsia="sq-AL"/>
              </w:rPr>
              <w:br/>
              <w:t>Agjencia Kombëtare e Mjedisit;</w:t>
            </w:r>
            <w:r w:rsidR="00520D08" w:rsidRPr="004F2AC3">
              <w:rPr>
                <w:rFonts w:ascii="Garamond" w:eastAsia="Times New Roman" w:hAnsi="Garamond" w:cs="Times New Roman"/>
                <w:color w:val="000000"/>
                <w:sz w:val="10"/>
                <w:szCs w:val="10"/>
                <w:lang w:eastAsia="sq-AL"/>
              </w:rPr>
              <w:br/>
              <w:t>Instituti i Gjeoshkencave;</w:t>
            </w:r>
            <w:r w:rsidR="00520D08" w:rsidRPr="004F2AC3">
              <w:rPr>
                <w:rFonts w:ascii="Garamond" w:eastAsia="Times New Roman" w:hAnsi="Garamond" w:cs="Times New Roman"/>
                <w:color w:val="000000"/>
                <w:sz w:val="10"/>
                <w:szCs w:val="10"/>
                <w:lang w:eastAsia="sq-AL"/>
              </w:rPr>
              <w:br/>
              <w:t>Ujësjellës-</w:t>
            </w:r>
            <w:r w:rsidRPr="004F2AC3">
              <w:rPr>
                <w:rFonts w:ascii="Garamond" w:eastAsia="Times New Roman" w:hAnsi="Garamond" w:cs="Times New Roman"/>
                <w:color w:val="000000"/>
                <w:sz w:val="10"/>
                <w:szCs w:val="10"/>
                <w:lang w:eastAsia="sq-AL"/>
              </w:rPr>
              <w:t>Kanalizime Tiranë</w:t>
            </w:r>
            <w:r w:rsidR="00520D08" w:rsidRPr="004F2AC3">
              <w:rPr>
                <w:rFonts w:ascii="Garamond" w:eastAsia="Times New Roman" w:hAnsi="Garamond" w:cs="Times New Roman"/>
                <w:color w:val="000000"/>
                <w:sz w:val="10"/>
                <w:szCs w:val="10"/>
                <w:lang w:eastAsia="sq-AL"/>
              </w:rPr>
              <w:t>.</w:t>
            </w:r>
          </w:p>
        </w:tc>
        <w:tc>
          <w:tcPr>
            <w:tcW w:w="413" w:type="dxa"/>
            <w:tcBorders>
              <w:top w:val="nil"/>
              <w:left w:val="nil"/>
              <w:bottom w:val="nil"/>
              <w:right w:val="single" w:sz="4" w:space="0" w:color="auto"/>
            </w:tcBorders>
            <w:shd w:val="clear" w:color="auto" w:fill="auto"/>
            <w:vAlign w:val="center"/>
            <w:hideMark/>
          </w:tcPr>
          <w:p w14:paraId="2291E6D6" w14:textId="353403D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nil"/>
              <w:right w:val="single" w:sz="4" w:space="0" w:color="auto"/>
            </w:tcBorders>
            <w:shd w:val="clear" w:color="000000" w:fill="FFFFFF"/>
            <w:vAlign w:val="center"/>
            <w:hideMark/>
          </w:tcPr>
          <w:p w14:paraId="52516D4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+ 125D</w:t>
            </w:r>
          </w:p>
        </w:tc>
        <w:tc>
          <w:tcPr>
            <w:tcW w:w="385" w:type="dxa"/>
            <w:tcBorders>
              <w:top w:val="nil"/>
              <w:left w:val="nil"/>
              <w:bottom w:val="nil"/>
              <w:right w:val="single" w:sz="4" w:space="0" w:color="auto"/>
            </w:tcBorders>
            <w:shd w:val="clear" w:color="000000" w:fill="FFFFFF"/>
            <w:vAlign w:val="center"/>
            <w:hideMark/>
          </w:tcPr>
          <w:p w14:paraId="18DAB00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+ 291D</w:t>
            </w:r>
          </w:p>
        </w:tc>
        <w:tc>
          <w:tcPr>
            <w:tcW w:w="361" w:type="dxa"/>
            <w:tcBorders>
              <w:top w:val="nil"/>
              <w:left w:val="nil"/>
              <w:bottom w:val="nil"/>
              <w:right w:val="single" w:sz="4" w:space="0" w:color="auto"/>
            </w:tcBorders>
            <w:shd w:val="clear" w:color="000000" w:fill="FFFFFF"/>
            <w:vAlign w:val="center"/>
            <w:hideMark/>
          </w:tcPr>
          <w:p w14:paraId="189F2DC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+ 300D</w:t>
            </w:r>
          </w:p>
        </w:tc>
        <w:tc>
          <w:tcPr>
            <w:tcW w:w="732" w:type="dxa"/>
            <w:tcBorders>
              <w:top w:val="nil"/>
              <w:left w:val="nil"/>
              <w:bottom w:val="nil"/>
              <w:right w:val="single" w:sz="4" w:space="0" w:color="auto"/>
            </w:tcBorders>
            <w:shd w:val="clear" w:color="auto" w:fill="auto"/>
            <w:vAlign w:val="center"/>
            <w:hideMark/>
          </w:tcPr>
          <w:p w14:paraId="2DACA242" w14:textId="342064C0"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Mosarritja e realizimit të aktivitetit të Statistikave të ujit, dhe e rritjes së indikatorëve sipas objektivave </w:t>
            </w:r>
            <w:r w:rsidR="00612841" w:rsidRPr="004F2AC3">
              <w:rPr>
                <w:rFonts w:ascii="Garamond" w:eastAsia="Times New Roman" w:hAnsi="Garamond" w:cs="Times New Roman"/>
                <w:color w:val="000000"/>
                <w:sz w:val="10"/>
                <w:szCs w:val="10"/>
                <w:lang w:eastAsia="sq-AL"/>
              </w:rPr>
              <w:t>për</w:t>
            </w:r>
            <w:r w:rsidRPr="004F2AC3">
              <w:rPr>
                <w:rFonts w:ascii="Garamond" w:eastAsia="Times New Roman" w:hAnsi="Garamond" w:cs="Times New Roman"/>
                <w:color w:val="000000"/>
                <w:sz w:val="10"/>
                <w:szCs w:val="10"/>
                <w:lang w:eastAsia="sq-AL"/>
              </w:rPr>
              <w:t xml:space="preserve"> pasoje, duke sjellë pamundësinë e hartohimit të bilancit të përgjithshëm vjetor mbi ujërat në territorin e </w:t>
            </w:r>
            <w:r w:rsidR="00612841" w:rsidRPr="004F2AC3">
              <w:rPr>
                <w:rFonts w:ascii="Garamond" w:eastAsia="Times New Roman" w:hAnsi="Garamond" w:cs="Times New Roman"/>
                <w:color w:val="000000"/>
                <w:sz w:val="10"/>
                <w:szCs w:val="10"/>
                <w:lang w:eastAsia="sq-AL"/>
              </w:rPr>
              <w:t>Shqipërisë</w:t>
            </w:r>
            <w:r w:rsidRPr="004F2AC3">
              <w:rPr>
                <w:rFonts w:ascii="Garamond" w:eastAsia="Times New Roman" w:hAnsi="Garamond" w:cs="Times New Roman"/>
                <w:color w:val="000000"/>
                <w:sz w:val="10"/>
                <w:szCs w:val="10"/>
                <w:lang w:eastAsia="sq-AL"/>
              </w:rPr>
              <w:t xml:space="preserve">, si dhe për rrjedhojë </w:t>
            </w:r>
            <w:r w:rsidR="00612841" w:rsidRPr="004F2AC3">
              <w:rPr>
                <w:rFonts w:ascii="Garamond" w:eastAsia="Times New Roman" w:hAnsi="Garamond" w:cs="Times New Roman"/>
                <w:color w:val="000000"/>
                <w:sz w:val="10"/>
                <w:szCs w:val="10"/>
                <w:lang w:eastAsia="sq-AL"/>
              </w:rPr>
              <w:t>mungesën</w:t>
            </w:r>
            <w:r w:rsidRPr="004F2AC3">
              <w:rPr>
                <w:rFonts w:ascii="Garamond" w:eastAsia="Times New Roman" w:hAnsi="Garamond" w:cs="Times New Roman"/>
                <w:color w:val="000000"/>
                <w:sz w:val="10"/>
                <w:szCs w:val="10"/>
                <w:lang w:eastAsia="sq-AL"/>
              </w:rPr>
              <w:t xml:space="preserve"> e kontributit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w:t>
            </w:r>
            <w:r w:rsidR="00612841" w:rsidRPr="004F2AC3">
              <w:rPr>
                <w:rFonts w:ascii="Garamond" w:eastAsia="Times New Roman" w:hAnsi="Garamond" w:cs="Times New Roman"/>
                <w:color w:val="000000"/>
                <w:sz w:val="10"/>
                <w:szCs w:val="10"/>
                <w:lang w:eastAsia="sq-AL"/>
              </w:rPr>
              <w:t>Shqipërisë</w:t>
            </w:r>
            <w:r w:rsidRPr="004F2AC3">
              <w:rPr>
                <w:rFonts w:ascii="Garamond" w:eastAsia="Times New Roman" w:hAnsi="Garamond" w:cs="Times New Roman"/>
                <w:color w:val="000000"/>
                <w:sz w:val="10"/>
                <w:szCs w:val="10"/>
                <w:lang w:eastAsia="sq-AL"/>
              </w:rPr>
              <w:t xml:space="preserve"> në hartimin e bilancit global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ujërave nga Eurostat -|- 4</w:t>
            </w:r>
            <w:r w:rsidRPr="004F2AC3">
              <w:rPr>
                <w:rFonts w:ascii="Garamond" w:eastAsia="Times New Roman" w:hAnsi="Garamond" w:cs="Times New Roman"/>
                <w:color w:val="000000"/>
                <w:sz w:val="10"/>
                <w:szCs w:val="10"/>
                <w:lang w:eastAsia="sq-AL"/>
              </w:rPr>
              <w:br/>
              <w:t>2. Avar</w:t>
            </w:r>
            <w:r w:rsidR="005B3A9C" w:rsidRPr="004F2AC3">
              <w:rPr>
                <w:rFonts w:ascii="Garamond" w:eastAsia="Times New Roman" w:hAnsi="Garamond" w:cs="Times New Roman"/>
                <w:color w:val="000000"/>
                <w:sz w:val="10"/>
                <w:szCs w:val="10"/>
                <w:lang w:eastAsia="sq-AL"/>
              </w:rPr>
              <w:t>i/dëmtime</w:t>
            </w:r>
            <w:r w:rsidRPr="004F2AC3">
              <w:rPr>
                <w:rFonts w:ascii="Garamond" w:eastAsia="Times New Roman" w:hAnsi="Garamond" w:cs="Times New Roman"/>
                <w:color w:val="000000"/>
                <w:sz w:val="10"/>
                <w:szCs w:val="10"/>
                <w:lang w:eastAsia="sq-AL"/>
              </w:rPr>
              <w:t xml:space="preserve">/shkëputje në </w:t>
            </w:r>
            <w:r w:rsidR="00612841" w:rsidRPr="004F2AC3">
              <w:rPr>
                <w:rFonts w:ascii="Garamond" w:eastAsia="Times New Roman" w:hAnsi="Garamond" w:cs="Times New Roman"/>
                <w:color w:val="000000"/>
                <w:sz w:val="10"/>
                <w:szCs w:val="10"/>
                <w:lang w:eastAsia="sq-AL"/>
              </w:rPr>
              <w:t>infrastrukturën</w:t>
            </w:r>
            <w:r w:rsidRPr="004F2AC3">
              <w:rPr>
                <w:rFonts w:ascii="Garamond" w:eastAsia="Times New Roman" w:hAnsi="Garamond" w:cs="Times New Roman"/>
                <w:color w:val="000000"/>
                <w:sz w:val="10"/>
                <w:szCs w:val="10"/>
                <w:lang w:eastAsia="sq-AL"/>
              </w:rPr>
              <w:t xml:space="preserve"> e IT servera duke sjellë pezullim/vonesa të mbledhjes prodhimit dhe shpërndarjes të statistikave zyrtare -|- 4</w:t>
            </w:r>
          </w:p>
        </w:tc>
        <w:tc>
          <w:tcPr>
            <w:tcW w:w="551" w:type="dxa"/>
            <w:tcBorders>
              <w:top w:val="nil"/>
              <w:left w:val="nil"/>
              <w:bottom w:val="nil"/>
              <w:right w:val="single" w:sz="4" w:space="0" w:color="auto"/>
            </w:tcBorders>
            <w:shd w:val="clear" w:color="auto" w:fill="auto"/>
            <w:vAlign w:val="center"/>
            <w:hideMark/>
          </w:tcPr>
          <w:p w14:paraId="52D98BD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4C9C11A3" w14:textId="77777777" w:rsidTr="0021321C">
        <w:trPr>
          <w:trHeight w:val="180"/>
          <w:jc w:val="center"/>
        </w:trPr>
        <w:tc>
          <w:tcPr>
            <w:tcW w:w="388" w:type="dxa"/>
            <w:tcBorders>
              <w:top w:val="nil"/>
              <w:left w:val="nil"/>
              <w:bottom w:val="nil"/>
              <w:right w:val="nil"/>
            </w:tcBorders>
            <w:shd w:val="clear" w:color="000000" w:fill="FFFFFF"/>
            <w:vAlign w:val="bottom"/>
            <w:hideMark/>
          </w:tcPr>
          <w:p w14:paraId="75AEDE7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50995A5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62A9C3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BB8763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7E9C4D0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4.1.5</w:t>
            </w:r>
          </w:p>
        </w:tc>
        <w:tc>
          <w:tcPr>
            <w:tcW w:w="7813" w:type="dxa"/>
            <w:gridSpan w:val="16"/>
            <w:tcBorders>
              <w:top w:val="single" w:sz="4" w:space="0" w:color="auto"/>
              <w:left w:val="single" w:sz="4" w:space="0" w:color="auto"/>
              <w:bottom w:val="single" w:sz="4" w:space="0" w:color="auto"/>
              <w:right w:val="single" w:sz="4" w:space="0" w:color="000000"/>
            </w:tcBorders>
            <w:shd w:val="clear" w:color="000000" w:fill="F0F0F0"/>
            <w:vAlign w:val="center"/>
            <w:hideMark/>
          </w:tcPr>
          <w:p w14:paraId="4D44346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Qytetit</w:t>
            </w:r>
          </w:p>
        </w:tc>
      </w:tr>
      <w:tr w:rsidR="00C73163" w:rsidRPr="004F2AC3" w14:paraId="14B72F0F" w14:textId="77777777" w:rsidTr="0021321C">
        <w:trPr>
          <w:trHeight w:val="180"/>
          <w:jc w:val="center"/>
        </w:trPr>
        <w:tc>
          <w:tcPr>
            <w:tcW w:w="388" w:type="dxa"/>
            <w:tcBorders>
              <w:top w:val="nil"/>
              <w:left w:val="nil"/>
              <w:bottom w:val="nil"/>
              <w:right w:val="nil"/>
            </w:tcBorders>
            <w:shd w:val="clear" w:color="000000" w:fill="FFFFFF"/>
            <w:vAlign w:val="bottom"/>
            <w:hideMark/>
          </w:tcPr>
          <w:p w14:paraId="1A5D847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10AF927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3A9197E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E7E0C4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44A9EDF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4619EAA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nil"/>
              <w:right w:val="single" w:sz="4" w:space="0" w:color="000000"/>
            </w:tcBorders>
            <w:shd w:val="clear" w:color="auto" w:fill="auto"/>
            <w:vAlign w:val="center"/>
            <w:hideMark/>
          </w:tcPr>
          <w:p w14:paraId="6B4ADF2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4.1.5.1</w:t>
            </w:r>
          </w:p>
        </w:tc>
        <w:tc>
          <w:tcPr>
            <w:tcW w:w="563" w:type="dxa"/>
            <w:tcBorders>
              <w:top w:val="nil"/>
              <w:left w:val="nil"/>
              <w:bottom w:val="nil"/>
              <w:right w:val="single" w:sz="4" w:space="0" w:color="000000"/>
            </w:tcBorders>
            <w:shd w:val="clear" w:color="auto" w:fill="auto"/>
            <w:vAlign w:val="center"/>
            <w:hideMark/>
          </w:tcPr>
          <w:p w14:paraId="3260C67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mbi cilësinë e ajrit, zhurmat dhe mbi automjetet sipas vjetërsisë në përdorim</w:t>
            </w:r>
          </w:p>
        </w:tc>
        <w:tc>
          <w:tcPr>
            <w:tcW w:w="446" w:type="dxa"/>
            <w:tcBorders>
              <w:top w:val="nil"/>
              <w:left w:val="nil"/>
              <w:bottom w:val="nil"/>
              <w:right w:val="single" w:sz="4" w:space="0" w:color="000000"/>
            </w:tcBorders>
            <w:shd w:val="clear" w:color="auto" w:fill="auto"/>
            <w:vAlign w:val="center"/>
            <w:hideMark/>
          </w:tcPr>
          <w:p w14:paraId="45ABC76F"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noWrap/>
            <w:vAlign w:val="center"/>
            <w:hideMark/>
          </w:tcPr>
          <w:p w14:paraId="6A0ECA3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noWrap/>
            <w:vAlign w:val="center"/>
            <w:hideMark/>
          </w:tcPr>
          <w:p w14:paraId="547142A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1815E45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nil"/>
              <w:right w:val="nil"/>
            </w:tcBorders>
            <w:shd w:val="clear" w:color="auto" w:fill="auto"/>
            <w:vAlign w:val="center"/>
            <w:hideMark/>
          </w:tcPr>
          <w:p w14:paraId="1AE6C7B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single" w:sz="4" w:space="0" w:color="auto"/>
              <w:bottom w:val="nil"/>
              <w:right w:val="single" w:sz="4" w:space="0" w:color="auto"/>
            </w:tcBorders>
            <w:shd w:val="clear" w:color="auto" w:fill="auto"/>
            <w:vAlign w:val="center"/>
            <w:hideMark/>
          </w:tcPr>
          <w:p w14:paraId="22894C1E" w14:textId="30FCFC7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Cilësia e ajrit në qytetet kryesore të Shqipërisë</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2. Niveli i ndotjes akustike në </w:t>
            </w:r>
            <w:r w:rsidR="00612841" w:rsidRPr="004F2AC3">
              <w:rPr>
                <w:rFonts w:ascii="Garamond" w:eastAsia="Times New Roman" w:hAnsi="Garamond" w:cs="Times New Roman"/>
                <w:color w:val="000000"/>
                <w:sz w:val="10"/>
                <w:szCs w:val="10"/>
                <w:lang w:eastAsia="sq-AL"/>
              </w:rPr>
              <w:t>ambientet</w:t>
            </w:r>
            <w:r w:rsidRPr="004F2AC3">
              <w:rPr>
                <w:rFonts w:ascii="Garamond" w:eastAsia="Times New Roman" w:hAnsi="Garamond" w:cs="Times New Roman"/>
                <w:color w:val="000000"/>
                <w:sz w:val="10"/>
                <w:szCs w:val="10"/>
                <w:lang w:eastAsia="sq-AL"/>
              </w:rPr>
              <w:t xml:space="preserve"> publike sipas kohës dhe intensitetit të zhurmave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Statistikat mbi mjetet e transportit rrugor sipas vjetërsisë në përdorim</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Automjetet rrugore në përdorim sipas burimeve energjetike që përdorin</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nil"/>
              <w:right w:val="single" w:sz="4" w:space="0" w:color="auto"/>
            </w:tcBorders>
            <w:shd w:val="clear" w:color="auto" w:fill="auto"/>
            <w:vAlign w:val="center"/>
            <w:hideMark/>
          </w:tcPr>
          <w:p w14:paraId="0839E60E" w14:textId="1B653C2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Infrastrukturës dhe Energjisë</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Ministria 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Mjedisit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br/>
              <w:t>Agjencia Kombëtare e Mjedisit</w:t>
            </w:r>
            <w:r w:rsidR="00520D08" w:rsidRPr="004F2AC3">
              <w:rPr>
                <w:rFonts w:ascii="Garamond" w:eastAsia="Times New Roman" w:hAnsi="Garamond" w:cs="Times New Roman"/>
                <w:color w:val="000000"/>
                <w:sz w:val="10"/>
                <w:szCs w:val="10"/>
                <w:lang w:eastAsia="sq-AL"/>
              </w:rPr>
              <w:t>.</w:t>
            </w:r>
          </w:p>
        </w:tc>
        <w:tc>
          <w:tcPr>
            <w:tcW w:w="413" w:type="dxa"/>
            <w:tcBorders>
              <w:top w:val="nil"/>
              <w:left w:val="nil"/>
              <w:bottom w:val="nil"/>
              <w:right w:val="single" w:sz="4" w:space="0" w:color="auto"/>
            </w:tcBorders>
            <w:shd w:val="clear" w:color="auto" w:fill="auto"/>
            <w:vAlign w:val="center"/>
            <w:hideMark/>
          </w:tcPr>
          <w:p w14:paraId="303B61AE" w14:textId="02A88C1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711F2BB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+ 152D</w:t>
            </w:r>
          </w:p>
        </w:tc>
        <w:tc>
          <w:tcPr>
            <w:tcW w:w="385" w:type="dxa"/>
            <w:tcBorders>
              <w:top w:val="nil"/>
              <w:left w:val="nil"/>
              <w:bottom w:val="single" w:sz="4" w:space="0" w:color="auto"/>
              <w:right w:val="single" w:sz="4" w:space="0" w:color="auto"/>
            </w:tcBorders>
            <w:shd w:val="clear" w:color="000000" w:fill="FFFFFF"/>
            <w:vAlign w:val="center"/>
            <w:hideMark/>
          </w:tcPr>
          <w:p w14:paraId="53DC438C"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+ 292D</w:t>
            </w:r>
          </w:p>
        </w:tc>
        <w:tc>
          <w:tcPr>
            <w:tcW w:w="361" w:type="dxa"/>
            <w:tcBorders>
              <w:top w:val="nil"/>
              <w:left w:val="nil"/>
              <w:bottom w:val="single" w:sz="4" w:space="0" w:color="auto"/>
              <w:right w:val="single" w:sz="4" w:space="0" w:color="auto"/>
            </w:tcBorders>
            <w:shd w:val="clear" w:color="000000" w:fill="FFFFFF"/>
            <w:vAlign w:val="center"/>
            <w:hideMark/>
          </w:tcPr>
          <w:p w14:paraId="441843A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+ 302D</w:t>
            </w:r>
          </w:p>
        </w:tc>
        <w:tc>
          <w:tcPr>
            <w:tcW w:w="732" w:type="dxa"/>
            <w:tcBorders>
              <w:top w:val="nil"/>
              <w:left w:val="nil"/>
              <w:bottom w:val="nil"/>
              <w:right w:val="single" w:sz="4" w:space="0" w:color="auto"/>
            </w:tcBorders>
            <w:shd w:val="clear" w:color="auto" w:fill="auto"/>
            <w:vAlign w:val="center"/>
            <w:hideMark/>
          </w:tcPr>
          <w:p w14:paraId="71E91A50" w14:textId="365880E2"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Mosmbledhja e të dhënave administrative </w:t>
            </w:r>
            <w:r w:rsidR="00612841" w:rsidRPr="004F2AC3">
              <w:rPr>
                <w:rFonts w:ascii="Garamond" w:eastAsia="Times New Roman" w:hAnsi="Garamond" w:cs="Times New Roman"/>
                <w:color w:val="000000"/>
                <w:sz w:val="10"/>
                <w:szCs w:val="10"/>
                <w:lang w:eastAsia="sq-AL"/>
              </w:rPr>
              <w:t>për</w:t>
            </w:r>
            <w:r w:rsidRPr="004F2AC3">
              <w:rPr>
                <w:rFonts w:ascii="Garamond" w:eastAsia="Times New Roman" w:hAnsi="Garamond" w:cs="Times New Roman"/>
                <w:color w:val="000000"/>
                <w:sz w:val="10"/>
                <w:szCs w:val="10"/>
                <w:lang w:eastAsia="sq-AL"/>
              </w:rPr>
              <w:t xml:space="preserve"> mjedisin nga Ministria e Turizmit dhe Mjedisit dhe </w:t>
            </w:r>
            <w:r w:rsidR="00612841" w:rsidRPr="004F2AC3">
              <w:rPr>
                <w:rFonts w:ascii="Garamond" w:eastAsia="Times New Roman" w:hAnsi="Garamond" w:cs="Times New Roman"/>
                <w:color w:val="000000"/>
                <w:sz w:val="10"/>
                <w:szCs w:val="10"/>
                <w:lang w:eastAsia="sq-AL"/>
              </w:rPr>
              <w:t>agjencive</w:t>
            </w:r>
            <w:r w:rsidRPr="004F2AC3">
              <w:rPr>
                <w:rFonts w:ascii="Garamond" w:eastAsia="Times New Roman" w:hAnsi="Garamond" w:cs="Times New Roman"/>
                <w:color w:val="000000"/>
                <w:sz w:val="10"/>
                <w:szCs w:val="10"/>
                <w:lang w:eastAsia="sq-AL"/>
              </w:rPr>
              <w:t xml:space="preserve">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tyre, mund të sjellë vonesa dhe pasaktësi në publikimin e disa treguesve administrativ lidhur me cilësinë e ajrit dhe klimën kryesisht -|- 4</w:t>
            </w:r>
          </w:p>
        </w:tc>
        <w:tc>
          <w:tcPr>
            <w:tcW w:w="551" w:type="dxa"/>
            <w:tcBorders>
              <w:top w:val="nil"/>
              <w:left w:val="nil"/>
              <w:bottom w:val="nil"/>
              <w:right w:val="single" w:sz="4" w:space="0" w:color="auto"/>
            </w:tcBorders>
            <w:shd w:val="clear" w:color="auto" w:fill="auto"/>
            <w:vAlign w:val="center"/>
            <w:hideMark/>
          </w:tcPr>
          <w:p w14:paraId="16A3606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6E8F0F24" w14:textId="77777777" w:rsidTr="0021321C">
        <w:trPr>
          <w:trHeight w:val="180"/>
          <w:jc w:val="center"/>
        </w:trPr>
        <w:tc>
          <w:tcPr>
            <w:tcW w:w="388" w:type="dxa"/>
            <w:tcBorders>
              <w:top w:val="nil"/>
              <w:left w:val="nil"/>
              <w:bottom w:val="nil"/>
              <w:right w:val="nil"/>
            </w:tcBorders>
            <w:shd w:val="clear" w:color="000000" w:fill="FFFFFF"/>
            <w:vAlign w:val="bottom"/>
            <w:hideMark/>
          </w:tcPr>
          <w:p w14:paraId="529516C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C97E9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2AEC3E5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4420FED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nil"/>
            </w:tcBorders>
            <w:shd w:val="clear" w:color="000000" w:fill="F0F0F0"/>
            <w:vAlign w:val="center"/>
            <w:hideMark/>
          </w:tcPr>
          <w:p w14:paraId="40DDCA3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4.1.6</w:t>
            </w:r>
          </w:p>
        </w:tc>
        <w:tc>
          <w:tcPr>
            <w:tcW w:w="781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7A34B5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Statistikat e Biodiversitetit</w:t>
            </w:r>
          </w:p>
        </w:tc>
      </w:tr>
      <w:tr w:rsidR="00C73163" w:rsidRPr="004F2AC3" w14:paraId="5A80DC94" w14:textId="77777777" w:rsidTr="0021321C">
        <w:trPr>
          <w:trHeight w:val="180"/>
          <w:jc w:val="center"/>
        </w:trPr>
        <w:tc>
          <w:tcPr>
            <w:tcW w:w="388" w:type="dxa"/>
            <w:tcBorders>
              <w:top w:val="nil"/>
              <w:left w:val="nil"/>
              <w:bottom w:val="nil"/>
              <w:right w:val="nil"/>
            </w:tcBorders>
            <w:shd w:val="clear" w:color="000000" w:fill="FFFFFF"/>
            <w:vAlign w:val="bottom"/>
            <w:hideMark/>
          </w:tcPr>
          <w:p w14:paraId="0144C88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6CE6F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887883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02825FC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5EA14A6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CB04DF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auto"/>
              <w:bottom w:val="single" w:sz="4" w:space="0" w:color="auto"/>
              <w:right w:val="single" w:sz="4" w:space="0" w:color="auto"/>
            </w:tcBorders>
            <w:shd w:val="clear" w:color="auto" w:fill="auto"/>
            <w:vAlign w:val="center"/>
            <w:hideMark/>
          </w:tcPr>
          <w:p w14:paraId="42AB4FC6"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4.1.6.1</w:t>
            </w:r>
          </w:p>
        </w:tc>
        <w:tc>
          <w:tcPr>
            <w:tcW w:w="563" w:type="dxa"/>
            <w:tcBorders>
              <w:top w:val="nil"/>
              <w:left w:val="nil"/>
              <w:bottom w:val="single" w:sz="4" w:space="0" w:color="auto"/>
              <w:right w:val="single" w:sz="4" w:space="0" w:color="auto"/>
            </w:tcBorders>
            <w:shd w:val="clear" w:color="auto" w:fill="auto"/>
            <w:vAlign w:val="center"/>
            <w:hideMark/>
          </w:tcPr>
          <w:p w14:paraId="4120395E"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Statistikat e Biodiversitetit</w:t>
            </w:r>
          </w:p>
        </w:tc>
        <w:tc>
          <w:tcPr>
            <w:tcW w:w="446" w:type="dxa"/>
            <w:tcBorders>
              <w:top w:val="nil"/>
              <w:left w:val="nil"/>
              <w:bottom w:val="single" w:sz="4" w:space="0" w:color="auto"/>
              <w:right w:val="single" w:sz="4" w:space="0" w:color="auto"/>
            </w:tcBorders>
            <w:shd w:val="clear" w:color="auto" w:fill="auto"/>
            <w:vAlign w:val="center"/>
            <w:hideMark/>
          </w:tcPr>
          <w:p w14:paraId="0C45AE35"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Burim administrativ</w:t>
            </w:r>
          </w:p>
        </w:tc>
        <w:tc>
          <w:tcPr>
            <w:tcW w:w="450" w:type="dxa"/>
            <w:tcBorders>
              <w:top w:val="nil"/>
              <w:left w:val="nil"/>
              <w:bottom w:val="single" w:sz="4" w:space="0" w:color="auto"/>
              <w:right w:val="single" w:sz="4" w:space="0" w:color="auto"/>
            </w:tcBorders>
            <w:shd w:val="clear" w:color="auto" w:fill="auto"/>
            <w:noWrap/>
            <w:vAlign w:val="center"/>
            <w:hideMark/>
          </w:tcPr>
          <w:p w14:paraId="6838DFA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100%</w:t>
            </w:r>
          </w:p>
        </w:tc>
        <w:tc>
          <w:tcPr>
            <w:tcW w:w="301" w:type="dxa"/>
            <w:tcBorders>
              <w:top w:val="nil"/>
              <w:left w:val="nil"/>
              <w:bottom w:val="single" w:sz="4" w:space="0" w:color="auto"/>
              <w:right w:val="single" w:sz="4" w:space="0" w:color="auto"/>
            </w:tcBorders>
            <w:shd w:val="clear" w:color="auto" w:fill="auto"/>
            <w:noWrap/>
            <w:vAlign w:val="center"/>
            <w:hideMark/>
          </w:tcPr>
          <w:p w14:paraId="68E9C11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nil"/>
              <w:bottom w:val="single" w:sz="4" w:space="0" w:color="auto"/>
              <w:right w:val="single" w:sz="4" w:space="0" w:color="auto"/>
            </w:tcBorders>
            <w:shd w:val="clear" w:color="auto" w:fill="auto"/>
            <w:vAlign w:val="center"/>
            <w:hideMark/>
          </w:tcPr>
          <w:p w14:paraId="6AA0A57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nil"/>
              <w:left w:val="nil"/>
              <w:bottom w:val="single" w:sz="4" w:space="0" w:color="auto"/>
              <w:right w:val="single" w:sz="4" w:space="0" w:color="auto"/>
            </w:tcBorders>
            <w:shd w:val="clear" w:color="auto" w:fill="auto"/>
            <w:vAlign w:val="center"/>
            <w:hideMark/>
          </w:tcPr>
          <w:p w14:paraId="2FF946A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Vjetor</w:t>
            </w:r>
          </w:p>
        </w:tc>
        <w:tc>
          <w:tcPr>
            <w:tcW w:w="1098" w:type="dxa"/>
            <w:tcBorders>
              <w:top w:val="nil"/>
              <w:left w:val="nil"/>
              <w:bottom w:val="single" w:sz="4" w:space="0" w:color="auto"/>
              <w:right w:val="single" w:sz="4" w:space="0" w:color="auto"/>
            </w:tcBorders>
            <w:shd w:val="clear" w:color="auto" w:fill="auto"/>
            <w:vAlign w:val="center"/>
            <w:hideMark/>
          </w:tcPr>
          <w:p w14:paraId="0917A4B9" w14:textId="36BA19C6"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Rrjeti i zonave të mbrojtura n</w:t>
            </w:r>
            <w:r w:rsidR="00612841"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 xml:space="preserve"> </w:t>
            </w:r>
            <w:r w:rsidR="00612841" w:rsidRPr="004F2AC3">
              <w:rPr>
                <w:rFonts w:ascii="Garamond" w:eastAsia="Times New Roman" w:hAnsi="Garamond" w:cs="Times New Roman"/>
                <w:color w:val="000000"/>
                <w:sz w:val="10"/>
                <w:szCs w:val="10"/>
                <w:lang w:eastAsia="sq-AL"/>
              </w:rPr>
              <w:t>Shqipëri</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Llojet e faunës së egër në Shqipëri</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Statusi k</w:t>
            </w:r>
            <w:r w:rsidR="00520D08" w:rsidRPr="004F2AC3">
              <w:rPr>
                <w:rFonts w:ascii="Garamond" w:eastAsia="Times New Roman" w:hAnsi="Garamond" w:cs="Times New Roman"/>
                <w:color w:val="000000"/>
                <w:sz w:val="10"/>
                <w:szCs w:val="10"/>
                <w:lang w:eastAsia="sq-AL"/>
              </w:rPr>
              <w:t>ombëtar i ruajtjes së shpendëve;</w:t>
            </w:r>
            <w:r w:rsidRPr="004F2AC3">
              <w:rPr>
                <w:rFonts w:ascii="Garamond" w:eastAsia="Times New Roman" w:hAnsi="Garamond" w:cs="Times New Roman"/>
                <w:color w:val="000000"/>
                <w:sz w:val="10"/>
                <w:szCs w:val="10"/>
                <w:lang w:eastAsia="sq-AL"/>
              </w:rPr>
              <w:br/>
              <w:t xml:space="preserve">4. Lista e florës dhe faunës së egër sipas statusit të </w:t>
            </w:r>
            <w:r w:rsidR="00612841" w:rsidRPr="004F2AC3">
              <w:rPr>
                <w:rFonts w:ascii="Garamond" w:eastAsia="Times New Roman" w:hAnsi="Garamond" w:cs="Times New Roman"/>
                <w:color w:val="000000"/>
                <w:sz w:val="10"/>
                <w:szCs w:val="10"/>
                <w:lang w:eastAsia="sq-AL"/>
              </w:rPr>
              <w:t>kërcënimit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5. Llojet e faunës së egër objekt gjuetie në Shqipëri</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auto" w:fill="auto"/>
            <w:vAlign w:val="center"/>
            <w:hideMark/>
          </w:tcPr>
          <w:p w14:paraId="6B1707F3" w14:textId="2FF1E3C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Ministria e Mjedisit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Agjencia</w:t>
            </w:r>
            <w:r w:rsidR="00520D08" w:rsidRPr="004F2AC3">
              <w:rPr>
                <w:rFonts w:ascii="Garamond" w:eastAsia="Times New Roman" w:hAnsi="Garamond" w:cs="Times New Roman"/>
                <w:color w:val="000000"/>
                <w:sz w:val="10"/>
                <w:szCs w:val="10"/>
                <w:lang w:eastAsia="sq-AL"/>
              </w:rPr>
              <w:t xml:space="preserve"> Kombëtare e Mjedisit;</w:t>
            </w:r>
            <w:r w:rsidRPr="004F2AC3">
              <w:rPr>
                <w:rFonts w:ascii="Garamond" w:eastAsia="Times New Roman" w:hAnsi="Garamond" w:cs="Times New Roman"/>
                <w:color w:val="000000"/>
                <w:sz w:val="10"/>
                <w:szCs w:val="10"/>
                <w:lang w:eastAsia="sq-AL"/>
              </w:rPr>
              <w:br/>
              <w:t>Agjencia Kombëtare e Zonave të Mbrojtura</w:t>
            </w:r>
            <w:r w:rsidR="00520D08"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auto" w:fill="auto"/>
            <w:vAlign w:val="center"/>
            <w:hideMark/>
          </w:tcPr>
          <w:p w14:paraId="6D98DEB3" w14:textId="1E00117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1CA468B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+ 151D</w:t>
            </w:r>
          </w:p>
        </w:tc>
        <w:tc>
          <w:tcPr>
            <w:tcW w:w="385" w:type="dxa"/>
            <w:tcBorders>
              <w:top w:val="nil"/>
              <w:left w:val="nil"/>
              <w:bottom w:val="single" w:sz="4" w:space="0" w:color="auto"/>
              <w:right w:val="single" w:sz="4" w:space="0" w:color="auto"/>
            </w:tcBorders>
            <w:shd w:val="clear" w:color="000000" w:fill="FFFFFF"/>
            <w:vAlign w:val="center"/>
            <w:hideMark/>
          </w:tcPr>
          <w:p w14:paraId="6A533AA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+ 244D</w:t>
            </w:r>
          </w:p>
        </w:tc>
        <w:tc>
          <w:tcPr>
            <w:tcW w:w="361" w:type="dxa"/>
            <w:tcBorders>
              <w:top w:val="nil"/>
              <w:left w:val="nil"/>
              <w:bottom w:val="single" w:sz="4" w:space="0" w:color="auto"/>
              <w:right w:val="single" w:sz="4" w:space="0" w:color="auto"/>
            </w:tcBorders>
            <w:shd w:val="clear" w:color="000000" w:fill="FFFFFF"/>
            <w:vAlign w:val="center"/>
            <w:hideMark/>
          </w:tcPr>
          <w:p w14:paraId="15FD2B2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+ 251D</w:t>
            </w:r>
          </w:p>
        </w:tc>
        <w:tc>
          <w:tcPr>
            <w:tcW w:w="732" w:type="dxa"/>
            <w:tcBorders>
              <w:top w:val="nil"/>
              <w:left w:val="nil"/>
              <w:bottom w:val="single" w:sz="4" w:space="0" w:color="auto"/>
              <w:right w:val="single" w:sz="4" w:space="0" w:color="auto"/>
            </w:tcBorders>
            <w:shd w:val="clear" w:color="auto" w:fill="auto"/>
            <w:vAlign w:val="center"/>
            <w:hideMark/>
          </w:tcPr>
          <w:p w14:paraId="2C6C2F09" w14:textId="4172D76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1. Mosmarrja e të dhënave administrative nga Agjencia Kombëtare e Pyjeve dhe Ministria e </w:t>
            </w:r>
            <w:r w:rsidR="005B3A9C" w:rsidRPr="004F2AC3">
              <w:rPr>
                <w:rFonts w:ascii="Garamond" w:eastAsia="Times New Roman" w:hAnsi="Garamond" w:cs="Times New Roman"/>
                <w:color w:val="000000"/>
                <w:sz w:val="10"/>
                <w:szCs w:val="10"/>
                <w:lang w:eastAsia="sq-AL"/>
              </w:rPr>
              <w:t>Turizmit dhe Mjedisit për pyjet</w:t>
            </w:r>
            <w:r w:rsidRPr="004F2AC3">
              <w:rPr>
                <w:rFonts w:ascii="Garamond" w:eastAsia="Times New Roman" w:hAnsi="Garamond" w:cs="Times New Roman"/>
                <w:color w:val="000000"/>
                <w:sz w:val="10"/>
                <w:szCs w:val="10"/>
                <w:lang w:eastAsia="sq-AL"/>
              </w:rPr>
              <w:t>, kullotat dhe biodiversitetin, si pasojë e riorganizimit të sistemit administrativ që mbulon fushën përkatëse duke sjell pamundësi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realizimit t</w:t>
            </w:r>
            <w:r w:rsidR="00520D08" w:rsidRPr="004F2AC3">
              <w:rPr>
                <w:rFonts w:ascii="Garamond" w:eastAsia="Times New Roman" w:hAnsi="Garamond" w:cs="Times New Roman"/>
                <w:sz w:val="10"/>
                <w:szCs w:val="10"/>
                <w:lang w:eastAsia="sq-AL"/>
              </w:rPr>
              <w:t>ë</w:t>
            </w:r>
            <w:r w:rsidRPr="004F2AC3">
              <w:rPr>
                <w:rFonts w:ascii="Garamond" w:eastAsia="Times New Roman" w:hAnsi="Garamond" w:cs="Times New Roman"/>
                <w:color w:val="000000"/>
                <w:sz w:val="10"/>
                <w:szCs w:val="10"/>
                <w:lang w:eastAsia="sq-AL"/>
              </w:rPr>
              <w:t xml:space="preserve"> treguesve që lidhen kryesisht me kadastrën pyjore -|- 4</w:t>
            </w:r>
          </w:p>
        </w:tc>
        <w:tc>
          <w:tcPr>
            <w:tcW w:w="551" w:type="dxa"/>
            <w:tcBorders>
              <w:top w:val="nil"/>
              <w:left w:val="nil"/>
              <w:bottom w:val="single" w:sz="4" w:space="0" w:color="auto"/>
              <w:right w:val="single" w:sz="4" w:space="0" w:color="auto"/>
            </w:tcBorders>
            <w:shd w:val="clear" w:color="auto" w:fill="auto"/>
            <w:vAlign w:val="center"/>
            <w:hideMark/>
          </w:tcPr>
          <w:p w14:paraId="4D553FE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367C8116" w14:textId="77777777" w:rsidTr="0021321C">
        <w:trPr>
          <w:trHeight w:val="180"/>
          <w:jc w:val="center"/>
        </w:trPr>
        <w:tc>
          <w:tcPr>
            <w:tcW w:w="388" w:type="dxa"/>
            <w:tcBorders>
              <w:top w:val="nil"/>
              <w:left w:val="nil"/>
              <w:bottom w:val="nil"/>
              <w:right w:val="nil"/>
            </w:tcBorders>
            <w:shd w:val="clear" w:color="000000" w:fill="FFFFFF"/>
            <w:vAlign w:val="bottom"/>
            <w:hideMark/>
          </w:tcPr>
          <w:p w14:paraId="1C9AEFF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7EF3795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single" w:sz="4" w:space="0" w:color="000000"/>
              <w:left w:val="single" w:sz="4" w:space="0" w:color="000000"/>
              <w:bottom w:val="single" w:sz="4" w:space="0" w:color="000000"/>
              <w:right w:val="nil"/>
            </w:tcBorders>
            <w:shd w:val="clear" w:color="000000" w:fill="FFFFFF"/>
            <w:vAlign w:val="center"/>
            <w:hideMark/>
          </w:tcPr>
          <w:p w14:paraId="5D81FBE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4.2</w:t>
            </w:r>
          </w:p>
        </w:tc>
        <w:tc>
          <w:tcPr>
            <w:tcW w:w="7058" w:type="dxa"/>
            <w:gridSpan w:val="16"/>
            <w:tcBorders>
              <w:top w:val="single" w:sz="4" w:space="0" w:color="auto"/>
              <w:left w:val="single" w:sz="4" w:space="0" w:color="auto"/>
              <w:bottom w:val="single" w:sz="4" w:space="0" w:color="auto"/>
              <w:right w:val="single" w:sz="4" w:space="0" w:color="auto"/>
            </w:tcBorders>
            <w:shd w:val="clear" w:color="000000" w:fill="FFFFFF"/>
            <w:vAlign w:val="center"/>
            <w:hideMark/>
          </w:tcPr>
          <w:p w14:paraId="5EAABB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Informacioni statistikor rajonal dhe gjeohapësinor</w:t>
            </w:r>
          </w:p>
        </w:tc>
        <w:tc>
          <w:tcPr>
            <w:tcW w:w="1283" w:type="dxa"/>
            <w:gridSpan w:val="2"/>
            <w:tcBorders>
              <w:top w:val="single" w:sz="4" w:space="0" w:color="auto"/>
              <w:left w:val="nil"/>
              <w:bottom w:val="single" w:sz="4" w:space="0" w:color="auto"/>
              <w:right w:val="single" w:sz="4" w:space="0" w:color="auto"/>
            </w:tcBorders>
            <w:shd w:val="clear" w:color="000000" w:fill="FFFFFF"/>
            <w:vAlign w:val="center"/>
            <w:hideMark/>
          </w:tcPr>
          <w:p w14:paraId="56EF542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21321C" w:rsidRPr="004F2AC3" w14:paraId="336F5848" w14:textId="77777777" w:rsidTr="0021321C">
        <w:trPr>
          <w:trHeight w:val="180"/>
          <w:jc w:val="center"/>
        </w:trPr>
        <w:tc>
          <w:tcPr>
            <w:tcW w:w="388" w:type="dxa"/>
            <w:tcBorders>
              <w:top w:val="nil"/>
              <w:left w:val="nil"/>
              <w:bottom w:val="nil"/>
              <w:right w:val="nil"/>
            </w:tcBorders>
            <w:shd w:val="clear" w:color="000000" w:fill="FFFFFF"/>
            <w:vAlign w:val="bottom"/>
            <w:hideMark/>
          </w:tcPr>
          <w:p w14:paraId="6170FAD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4652E4E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7523C4C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78422C1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single" w:sz="4" w:space="0" w:color="auto"/>
              <w:bottom w:val="single" w:sz="4" w:space="0" w:color="auto"/>
              <w:right w:val="single" w:sz="4" w:space="0" w:color="auto"/>
            </w:tcBorders>
            <w:shd w:val="clear" w:color="000000" w:fill="FFFFFF"/>
            <w:vAlign w:val="center"/>
            <w:hideMark/>
          </w:tcPr>
          <w:p w14:paraId="1DA14D3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4.2.1</w:t>
            </w:r>
          </w:p>
        </w:tc>
        <w:tc>
          <w:tcPr>
            <w:tcW w:w="7813" w:type="dxa"/>
            <w:gridSpan w:val="16"/>
            <w:tcBorders>
              <w:top w:val="single" w:sz="4" w:space="0" w:color="auto"/>
              <w:left w:val="nil"/>
              <w:bottom w:val="single" w:sz="4" w:space="0" w:color="auto"/>
              <w:right w:val="single" w:sz="4" w:space="0" w:color="auto"/>
            </w:tcBorders>
            <w:shd w:val="clear" w:color="000000" w:fill="FFFFFF"/>
            <w:vAlign w:val="center"/>
            <w:hideMark/>
          </w:tcPr>
          <w:p w14:paraId="501AE92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Sistemi i Informacionit Gjeografik (GIS) për qëllime Statistikore</w:t>
            </w:r>
          </w:p>
        </w:tc>
      </w:tr>
      <w:tr w:rsidR="00C73163" w:rsidRPr="004F2AC3" w14:paraId="4FBD614E" w14:textId="77777777" w:rsidTr="0021321C">
        <w:trPr>
          <w:trHeight w:val="180"/>
          <w:jc w:val="center"/>
        </w:trPr>
        <w:tc>
          <w:tcPr>
            <w:tcW w:w="388" w:type="dxa"/>
            <w:tcBorders>
              <w:top w:val="nil"/>
              <w:left w:val="nil"/>
              <w:bottom w:val="nil"/>
              <w:right w:val="nil"/>
            </w:tcBorders>
            <w:shd w:val="clear" w:color="000000" w:fill="FFFFFF"/>
            <w:vAlign w:val="bottom"/>
            <w:hideMark/>
          </w:tcPr>
          <w:p w14:paraId="519A9733"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32A75F9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A0AD21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C2A729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337B6B4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20CEEA2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single" w:sz="4" w:space="0" w:color="000000"/>
              <w:right w:val="single" w:sz="4" w:space="0" w:color="000000"/>
            </w:tcBorders>
            <w:shd w:val="clear" w:color="000000" w:fill="FFFFFF"/>
            <w:vAlign w:val="center"/>
            <w:hideMark/>
          </w:tcPr>
          <w:p w14:paraId="3CF94A22"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4.2.1.1</w:t>
            </w:r>
          </w:p>
        </w:tc>
        <w:tc>
          <w:tcPr>
            <w:tcW w:w="563" w:type="dxa"/>
            <w:tcBorders>
              <w:top w:val="nil"/>
              <w:left w:val="nil"/>
              <w:bottom w:val="single" w:sz="4" w:space="0" w:color="000000"/>
              <w:right w:val="single" w:sz="4" w:space="0" w:color="000000"/>
            </w:tcBorders>
            <w:shd w:val="clear" w:color="000000" w:fill="FFFFFF"/>
            <w:vAlign w:val="center"/>
            <w:hideMark/>
          </w:tcPr>
          <w:p w14:paraId="429DD923"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Sistemi i Informacionit Gjeografik (GIS) për qëllime Statistikore</w:t>
            </w:r>
          </w:p>
        </w:tc>
        <w:tc>
          <w:tcPr>
            <w:tcW w:w="446" w:type="dxa"/>
            <w:tcBorders>
              <w:top w:val="nil"/>
              <w:left w:val="nil"/>
              <w:bottom w:val="single" w:sz="4" w:space="0" w:color="000000"/>
              <w:right w:val="single" w:sz="4" w:space="0" w:color="000000"/>
            </w:tcBorders>
            <w:shd w:val="clear" w:color="000000" w:fill="FFFFFF"/>
            <w:vAlign w:val="center"/>
            <w:hideMark/>
          </w:tcPr>
          <w:p w14:paraId="3C9FE4F0"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Tjetër</w:t>
            </w:r>
          </w:p>
        </w:tc>
        <w:tc>
          <w:tcPr>
            <w:tcW w:w="450" w:type="dxa"/>
            <w:tcBorders>
              <w:top w:val="nil"/>
              <w:left w:val="nil"/>
              <w:bottom w:val="single" w:sz="4" w:space="0" w:color="auto"/>
              <w:right w:val="single" w:sz="4" w:space="0" w:color="auto"/>
            </w:tcBorders>
            <w:shd w:val="clear" w:color="000000" w:fill="FFFFFF"/>
            <w:vAlign w:val="center"/>
            <w:hideMark/>
          </w:tcPr>
          <w:p w14:paraId="5D1EA12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8" w:space="0" w:color="auto"/>
            </w:tcBorders>
            <w:shd w:val="clear" w:color="000000" w:fill="FFFFFF"/>
            <w:vAlign w:val="center"/>
            <w:hideMark/>
          </w:tcPr>
          <w:p w14:paraId="7B1855F0"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single" w:sz="4" w:space="0" w:color="auto"/>
              <w:bottom w:val="single" w:sz="4" w:space="0" w:color="auto"/>
              <w:right w:val="single" w:sz="4" w:space="0" w:color="auto"/>
            </w:tcBorders>
            <w:shd w:val="clear" w:color="000000" w:fill="FFFFFF"/>
            <w:vAlign w:val="center"/>
            <w:hideMark/>
          </w:tcPr>
          <w:p w14:paraId="6FA5C80E"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 vazhdueshëm</w:t>
            </w:r>
          </w:p>
        </w:tc>
        <w:tc>
          <w:tcPr>
            <w:tcW w:w="409" w:type="dxa"/>
            <w:tcBorders>
              <w:top w:val="nil"/>
              <w:left w:val="nil"/>
              <w:bottom w:val="single" w:sz="4" w:space="0" w:color="000000"/>
              <w:right w:val="nil"/>
            </w:tcBorders>
            <w:shd w:val="clear" w:color="000000" w:fill="FFFFFF"/>
            <w:vAlign w:val="center"/>
            <w:hideMark/>
          </w:tcPr>
          <w:p w14:paraId="45F8A24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Tjetër</w:t>
            </w:r>
          </w:p>
        </w:tc>
        <w:tc>
          <w:tcPr>
            <w:tcW w:w="1098" w:type="dxa"/>
            <w:tcBorders>
              <w:top w:val="nil"/>
              <w:left w:val="single" w:sz="4" w:space="0" w:color="auto"/>
              <w:bottom w:val="single" w:sz="4" w:space="0" w:color="auto"/>
              <w:right w:val="single" w:sz="4" w:space="0" w:color="auto"/>
            </w:tcBorders>
            <w:shd w:val="clear" w:color="000000" w:fill="FFFFFF"/>
            <w:vAlign w:val="center"/>
            <w:hideMark/>
          </w:tcPr>
          <w:p w14:paraId="6E75FB2B" w14:textId="52E06F9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Përditësimi dhe mirëmbajtja e të dhënave gjeohapësinore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Integrimi i të dhënave gjeohapësinore me të dhënat statistikore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Mirëmbajtja e platformave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Geodata Hub</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dhe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WebGIS</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të INSTAT</w:t>
            </w:r>
            <w:r w:rsidR="00520D08" w:rsidRPr="004F2AC3">
              <w:rPr>
                <w:rFonts w:ascii="Garamond" w:eastAsia="Times New Roman" w:hAnsi="Garamond" w:cs="Times New Roman"/>
                <w:color w:val="000000"/>
                <w:sz w:val="10"/>
                <w:szCs w:val="10"/>
                <w:lang w:eastAsia="sq-AL"/>
              </w:rPr>
              <w:t>-it</w:t>
            </w:r>
            <w:r w:rsidRPr="004F2AC3">
              <w:rPr>
                <w:rFonts w:ascii="Garamond" w:eastAsia="Times New Roman" w:hAnsi="Garamond" w:cs="Times New Roman"/>
                <w:color w:val="000000"/>
                <w:sz w:val="10"/>
                <w:szCs w:val="10"/>
                <w:lang w:eastAsia="sq-AL"/>
              </w:rPr>
              <w:t xml:space="preserve"> dhe pasurimi me tregues rajonalë</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4. Paraqitja e disa treguesve të popullsisë nga Cens 2023 në nivel grid 1km²</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3F31931D"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Instituti i Statistikave</w:t>
            </w:r>
          </w:p>
        </w:tc>
        <w:tc>
          <w:tcPr>
            <w:tcW w:w="413" w:type="dxa"/>
            <w:tcBorders>
              <w:top w:val="nil"/>
              <w:left w:val="nil"/>
              <w:bottom w:val="single" w:sz="4" w:space="0" w:color="auto"/>
              <w:right w:val="single" w:sz="4" w:space="0" w:color="auto"/>
            </w:tcBorders>
            <w:shd w:val="clear" w:color="000000" w:fill="FFFFFF"/>
            <w:vAlign w:val="center"/>
            <w:hideMark/>
          </w:tcPr>
          <w:p w14:paraId="6BE587FD" w14:textId="00D8484F"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5F9EE78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V+ 364D</w:t>
            </w:r>
          </w:p>
        </w:tc>
        <w:tc>
          <w:tcPr>
            <w:tcW w:w="385" w:type="dxa"/>
            <w:tcBorders>
              <w:top w:val="nil"/>
              <w:left w:val="nil"/>
              <w:bottom w:val="single" w:sz="4" w:space="0" w:color="auto"/>
              <w:right w:val="single" w:sz="4" w:space="0" w:color="auto"/>
            </w:tcBorders>
            <w:shd w:val="clear" w:color="000000" w:fill="FFFFFF"/>
            <w:vAlign w:val="center"/>
            <w:hideMark/>
          </w:tcPr>
          <w:p w14:paraId="6E25E2C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V+ 546D</w:t>
            </w:r>
          </w:p>
        </w:tc>
        <w:tc>
          <w:tcPr>
            <w:tcW w:w="361" w:type="dxa"/>
            <w:tcBorders>
              <w:top w:val="nil"/>
              <w:left w:val="nil"/>
              <w:bottom w:val="single" w:sz="4" w:space="0" w:color="auto"/>
              <w:right w:val="single" w:sz="4" w:space="0" w:color="auto"/>
            </w:tcBorders>
            <w:shd w:val="clear" w:color="000000" w:fill="FFFFFF"/>
            <w:vAlign w:val="center"/>
            <w:hideMark/>
          </w:tcPr>
          <w:p w14:paraId="3E794B2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V+ 548D</w:t>
            </w:r>
          </w:p>
        </w:tc>
        <w:tc>
          <w:tcPr>
            <w:tcW w:w="732" w:type="dxa"/>
            <w:tcBorders>
              <w:top w:val="nil"/>
              <w:left w:val="nil"/>
              <w:bottom w:val="single" w:sz="4" w:space="0" w:color="auto"/>
              <w:right w:val="single" w:sz="4" w:space="0" w:color="auto"/>
            </w:tcBorders>
            <w:shd w:val="clear" w:color="000000" w:fill="FFFFFF"/>
            <w:vAlign w:val="center"/>
            <w:hideMark/>
          </w:tcPr>
          <w:p w14:paraId="4E45CC6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Mungesa e burimeve financiare dhe asistencës teknike në kohë. -|- 4</w:t>
            </w:r>
            <w:r w:rsidRPr="004F2AC3">
              <w:rPr>
                <w:rFonts w:ascii="Garamond" w:eastAsia="Times New Roman" w:hAnsi="Garamond" w:cs="Times New Roman"/>
                <w:color w:val="000000"/>
                <w:sz w:val="10"/>
                <w:szCs w:val="10"/>
                <w:lang w:eastAsia="sq-AL"/>
              </w:rPr>
              <w:br/>
              <w:t>2. Cilësia e të dhënave të mbledhura në terren. -|- 4</w:t>
            </w:r>
          </w:p>
        </w:tc>
        <w:tc>
          <w:tcPr>
            <w:tcW w:w="551" w:type="dxa"/>
            <w:tcBorders>
              <w:top w:val="nil"/>
              <w:left w:val="nil"/>
              <w:bottom w:val="single" w:sz="4" w:space="0" w:color="auto"/>
              <w:right w:val="single" w:sz="4" w:space="0" w:color="auto"/>
            </w:tcBorders>
            <w:shd w:val="clear" w:color="000000" w:fill="FFFFFF"/>
            <w:vAlign w:val="center"/>
            <w:hideMark/>
          </w:tcPr>
          <w:p w14:paraId="66BF30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C73163" w:rsidRPr="004F2AC3" w14:paraId="64EF924E" w14:textId="77777777" w:rsidTr="0021321C">
        <w:trPr>
          <w:trHeight w:val="180"/>
          <w:jc w:val="center"/>
        </w:trPr>
        <w:tc>
          <w:tcPr>
            <w:tcW w:w="388" w:type="dxa"/>
            <w:tcBorders>
              <w:top w:val="nil"/>
              <w:left w:val="nil"/>
              <w:bottom w:val="nil"/>
              <w:right w:val="nil"/>
            </w:tcBorders>
            <w:shd w:val="clear" w:color="000000" w:fill="FFFFFF"/>
            <w:vAlign w:val="bottom"/>
            <w:hideMark/>
          </w:tcPr>
          <w:p w14:paraId="2F4AD25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647427B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725C9E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5FBFF5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2415F6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00F656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single" w:sz="4" w:space="0" w:color="000000"/>
              <w:right w:val="single" w:sz="4" w:space="0" w:color="000000"/>
            </w:tcBorders>
            <w:shd w:val="clear" w:color="000000" w:fill="FFFFFF"/>
            <w:vAlign w:val="center"/>
            <w:hideMark/>
          </w:tcPr>
          <w:p w14:paraId="0569E2A8"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4.2.1.2</w:t>
            </w:r>
          </w:p>
        </w:tc>
        <w:tc>
          <w:tcPr>
            <w:tcW w:w="563" w:type="dxa"/>
            <w:tcBorders>
              <w:top w:val="nil"/>
              <w:left w:val="nil"/>
              <w:bottom w:val="single" w:sz="4" w:space="0" w:color="000000"/>
              <w:right w:val="single" w:sz="4" w:space="0" w:color="000000"/>
            </w:tcBorders>
            <w:shd w:val="clear" w:color="000000" w:fill="FFFFFF"/>
            <w:vAlign w:val="center"/>
            <w:hideMark/>
          </w:tcPr>
          <w:p w14:paraId="4A290CA4"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Ndërtimi i Regjistrit Statistikor të Ndërtesave dhe Banesave</w:t>
            </w:r>
          </w:p>
        </w:tc>
        <w:tc>
          <w:tcPr>
            <w:tcW w:w="446" w:type="dxa"/>
            <w:tcBorders>
              <w:top w:val="nil"/>
              <w:left w:val="nil"/>
              <w:bottom w:val="single" w:sz="4" w:space="0" w:color="000000"/>
              <w:right w:val="single" w:sz="4" w:space="0" w:color="000000"/>
            </w:tcBorders>
            <w:shd w:val="clear" w:color="000000" w:fill="FFFFFF"/>
            <w:vAlign w:val="center"/>
            <w:hideMark/>
          </w:tcPr>
          <w:p w14:paraId="23D6CB1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Tjetër</w:t>
            </w:r>
          </w:p>
        </w:tc>
        <w:tc>
          <w:tcPr>
            <w:tcW w:w="450" w:type="dxa"/>
            <w:tcBorders>
              <w:top w:val="nil"/>
              <w:left w:val="nil"/>
              <w:bottom w:val="single" w:sz="4" w:space="0" w:color="auto"/>
              <w:right w:val="single" w:sz="4" w:space="0" w:color="auto"/>
            </w:tcBorders>
            <w:shd w:val="clear" w:color="000000" w:fill="FFFFFF"/>
            <w:vAlign w:val="center"/>
            <w:hideMark/>
          </w:tcPr>
          <w:p w14:paraId="023A5EAB"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8" w:space="0" w:color="auto"/>
            </w:tcBorders>
            <w:shd w:val="clear" w:color="000000" w:fill="FFFFFF"/>
            <w:vAlign w:val="center"/>
            <w:hideMark/>
          </w:tcPr>
          <w:p w14:paraId="144E7EC5"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single" w:sz="4" w:space="0" w:color="auto"/>
              <w:bottom w:val="single" w:sz="4" w:space="0" w:color="auto"/>
              <w:right w:val="single" w:sz="4" w:space="0" w:color="auto"/>
            </w:tcBorders>
            <w:shd w:val="clear" w:color="000000" w:fill="FFFFFF"/>
            <w:vAlign w:val="center"/>
            <w:hideMark/>
          </w:tcPr>
          <w:p w14:paraId="22620B56"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 vazhdueshëm</w:t>
            </w:r>
          </w:p>
        </w:tc>
        <w:tc>
          <w:tcPr>
            <w:tcW w:w="409" w:type="dxa"/>
            <w:tcBorders>
              <w:top w:val="nil"/>
              <w:left w:val="nil"/>
              <w:bottom w:val="single" w:sz="4" w:space="0" w:color="000000"/>
              <w:right w:val="nil"/>
            </w:tcBorders>
            <w:shd w:val="clear" w:color="000000" w:fill="FFFFFF"/>
            <w:vAlign w:val="center"/>
            <w:hideMark/>
          </w:tcPr>
          <w:p w14:paraId="26599C7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Tjetër</w:t>
            </w:r>
          </w:p>
        </w:tc>
        <w:tc>
          <w:tcPr>
            <w:tcW w:w="1098" w:type="dxa"/>
            <w:tcBorders>
              <w:top w:val="nil"/>
              <w:left w:val="single" w:sz="4" w:space="0" w:color="auto"/>
              <w:bottom w:val="single" w:sz="4" w:space="0" w:color="auto"/>
              <w:right w:val="single" w:sz="4" w:space="0" w:color="auto"/>
            </w:tcBorders>
            <w:shd w:val="clear" w:color="000000" w:fill="FFFFFF"/>
            <w:vAlign w:val="center"/>
            <w:hideMark/>
          </w:tcPr>
          <w:p w14:paraId="56D439E0" w14:textId="7721A65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Ndërtimi i infrastrukturës TI/GIS të Regjistrit Statistikor të Ndërtesave dhe Banesave</w:t>
            </w:r>
            <w:r w:rsidR="00684E85"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2. Formalizimi i bashkëpunimit me institucionet që do të kontribuojnë në përditësimin e RSNB</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3. Përditësimi i Regjistrit Statistikor të Ndërtesave dhe Banesave me të dhëna administrative dhe Anketa e Mirëmbajtjes së Regjistrit SNB</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26BD2C81" w14:textId="2E3D10C9"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Instituti i Statistikave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Ministria e Punëve të Brendshme (Sistemi i Adresave)</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Agjencia e Zhvillimit të Territorit (</w:t>
            </w:r>
            <w:r w:rsidRPr="004F2AC3">
              <w:rPr>
                <w:rFonts w:ascii="Garamond" w:eastAsia="Times New Roman" w:hAnsi="Garamond" w:cs="Times New Roman"/>
                <w:i/>
                <w:color w:val="000000"/>
                <w:sz w:val="10"/>
                <w:szCs w:val="10"/>
                <w:lang w:eastAsia="sq-AL"/>
              </w:rPr>
              <w:t>e-leje</w:t>
            </w:r>
            <w:r w:rsidRPr="004F2AC3">
              <w:rPr>
                <w:rFonts w:ascii="Garamond" w:eastAsia="Times New Roman" w:hAnsi="Garamond" w:cs="Times New Roman"/>
                <w:color w:val="000000"/>
                <w:sz w:val="10"/>
                <w:szCs w:val="10"/>
                <w:lang w:eastAsia="sq-AL"/>
              </w:rPr>
              <w: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Agjencia Shtetërore e Kadastrës</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Bashkitë</w:t>
            </w:r>
            <w:r w:rsidR="00520D08" w:rsidRPr="004F2AC3">
              <w:rPr>
                <w:rFonts w:ascii="Garamond" w:eastAsia="Times New Roman" w:hAnsi="Garamond" w:cs="Times New Roman"/>
                <w:color w:val="000000"/>
                <w:sz w:val="10"/>
                <w:szCs w:val="10"/>
                <w:lang w:eastAsia="sq-AL"/>
              </w:rPr>
              <w:t>.</w:t>
            </w:r>
          </w:p>
        </w:tc>
        <w:tc>
          <w:tcPr>
            <w:tcW w:w="413" w:type="dxa"/>
            <w:tcBorders>
              <w:top w:val="nil"/>
              <w:left w:val="nil"/>
              <w:bottom w:val="single" w:sz="4" w:space="0" w:color="auto"/>
              <w:right w:val="single" w:sz="4" w:space="0" w:color="auto"/>
            </w:tcBorders>
            <w:shd w:val="clear" w:color="000000" w:fill="FFFFFF"/>
            <w:vAlign w:val="center"/>
            <w:hideMark/>
          </w:tcPr>
          <w:p w14:paraId="42611A71" w14:textId="42B6AB4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2240492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V+ 364D</w:t>
            </w:r>
          </w:p>
        </w:tc>
        <w:tc>
          <w:tcPr>
            <w:tcW w:w="385" w:type="dxa"/>
            <w:tcBorders>
              <w:top w:val="nil"/>
              <w:left w:val="nil"/>
              <w:bottom w:val="single" w:sz="4" w:space="0" w:color="auto"/>
              <w:right w:val="single" w:sz="4" w:space="0" w:color="auto"/>
            </w:tcBorders>
            <w:shd w:val="clear" w:color="000000" w:fill="FFFFFF"/>
            <w:vAlign w:val="center"/>
            <w:hideMark/>
          </w:tcPr>
          <w:p w14:paraId="174235E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V+ 364D</w:t>
            </w:r>
          </w:p>
        </w:tc>
        <w:tc>
          <w:tcPr>
            <w:tcW w:w="361" w:type="dxa"/>
            <w:tcBorders>
              <w:top w:val="nil"/>
              <w:left w:val="nil"/>
              <w:bottom w:val="single" w:sz="4" w:space="0" w:color="auto"/>
              <w:right w:val="single" w:sz="4" w:space="0" w:color="auto"/>
            </w:tcBorders>
            <w:shd w:val="clear" w:color="000000" w:fill="FFFFFF"/>
            <w:vAlign w:val="center"/>
            <w:hideMark/>
          </w:tcPr>
          <w:p w14:paraId="621BB51D"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V + 1462D</w:t>
            </w:r>
          </w:p>
        </w:tc>
        <w:tc>
          <w:tcPr>
            <w:tcW w:w="732" w:type="dxa"/>
            <w:tcBorders>
              <w:top w:val="nil"/>
              <w:left w:val="nil"/>
              <w:bottom w:val="single" w:sz="4" w:space="0" w:color="auto"/>
              <w:right w:val="single" w:sz="4" w:space="0" w:color="auto"/>
            </w:tcBorders>
            <w:shd w:val="clear" w:color="000000" w:fill="FFFFFF"/>
            <w:vAlign w:val="center"/>
            <w:hideMark/>
          </w:tcPr>
          <w:p w14:paraId="5C000894" w14:textId="3B351F5A"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Mosmarrja e të dhënave administrative për krahasueshm</w:t>
            </w:r>
            <w:r w:rsidR="00612841"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rinë me të dhënat statistikore -|- 4</w:t>
            </w:r>
            <w:r w:rsidRPr="004F2AC3">
              <w:rPr>
                <w:rFonts w:ascii="Garamond" w:eastAsia="Times New Roman" w:hAnsi="Garamond" w:cs="Times New Roman"/>
                <w:color w:val="000000"/>
                <w:sz w:val="10"/>
                <w:szCs w:val="10"/>
                <w:lang w:eastAsia="sq-AL"/>
              </w:rPr>
              <w:br/>
              <w:t>2. Moslidhja e të dhënave administrative me të dhënat e INSTAT -|- 4</w:t>
            </w:r>
            <w:r w:rsidRPr="004F2AC3">
              <w:rPr>
                <w:rFonts w:ascii="Garamond" w:eastAsia="Times New Roman" w:hAnsi="Garamond" w:cs="Times New Roman"/>
                <w:color w:val="000000"/>
                <w:sz w:val="10"/>
                <w:szCs w:val="10"/>
                <w:lang w:eastAsia="sq-AL"/>
              </w:rPr>
              <w:br/>
              <w:t>3. Cilësia e të dhënave të mbledhura në terren. -|- 4</w:t>
            </w:r>
            <w:r w:rsidRPr="004F2AC3">
              <w:rPr>
                <w:rFonts w:ascii="Garamond" w:eastAsia="Times New Roman" w:hAnsi="Garamond" w:cs="Times New Roman"/>
                <w:color w:val="000000"/>
                <w:sz w:val="10"/>
                <w:szCs w:val="10"/>
                <w:lang w:eastAsia="sq-AL"/>
              </w:rPr>
              <w:br/>
              <w:t>4. Problematika në lidhje me funksionimin e aplikacioneve të mbledhjes së të dhënave</w:t>
            </w:r>
          </w:p>
        </w:tc>
        <w:tc>
          <w:tcPr>
            <w:tcW w:w="551" w:type="dxa"/>
            <w:tcBorders>
              <w:top w:val="nil"/>
              <w:left w:val="nil"/>
              <w:bottom w:val="single" w:sz="4" w:space="0" w:color="auto"/>
              <w:right w:val="single" w:sz="4" w:space="0" w:color="auto"/>
            </w:tcBorders>
            <w:shd w:val="clear" w:color="000000" w:fill="FFFFFF"/>
            <w:vAlign w:val="center"/>
            <w:hideMark/>
          </w:tcPr>
          <w:p w14:paraId="0855F6F4" w14:textId="1F80ED59" w:rsidR="0021321C" w:rsidRPr="004F2AC3" w:rsidRDefault="0021321C" w:rsidP="00612841">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Kombinuar (Buxhet shteti+</w:t>
            </w:r>
            <w:r w:rsidR="00612841" w:rsidRPr="004F2AC3">
              <w:rPr>
                <w:rFonts w:ascii="Garamond" w:eastAsia="Times New Roman" w:hAnsi="Garamond" w:cs="Times New Roman"/>
                <w:color w:val="000000"/>
                <w:sz w:val="10"/>
                <w:szCs w:val="10"/>
                <w:lang w:eastAsia="sq-AL"/>
              </w:rPr>
              <w:t>d</w:t>
            </w:r>
            <w:r w:rsidRPr="004F2AC3">
              <w:rPr>
                <w:rFonts w:ascii="Garamond" w:eastAsia="Times New Roman" w:hAnsi="Garamond" w:cs="Times New Roman"/>
                <w:color w:val="000000"/>
                <w:sz w:val="10"/>
                <w:szCs w:val="10"/>
                <w:lang w:eastAsia="sq-AL"/>
              </w:rPr>
              <w:t>onatorët)</w:t>
            </w:r>
          </w:p>
        </w:tc>
      </w:tr>
      <w:tr w:rsidR="00C73163" w:rsidRPr="004F2AC3" w14:paraId="781C9B47" w14:textId="77777777" w:rsidTr="0021321C">
        <w:trPr>
          <w:trHeight w:val="180"/>
          <w:jc w:val="center"/>
        </w:trPr>
        <w:tc>
          <w:tcPr>
            <w:tcW w:w="388" w:type="dxa"/>
            <w:tcBorders>
              <w:top w:val="nil"/>
              <w:left w:val="nil"/>
              <w:bottom w:val="nil"/>
              <w:right w:val="nil"/>
            </w:tcBorders>
            <w:shd w:val="clear" w:color="000000" w:fill="FFFFFF"/>
            <w:vAlign w:val="bottom"/>
            <w:hideMark/>
          </w:tcPr>
          <w:p w14:paraId="55CCA5D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2703B580"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5456BB67"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1E60385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C5DED8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6A6DDC9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nil"/>
              <w:left w:val="single" w:sz="4" w:space="0" w:color="000000"/>
              <w:bottom w:val="single" w:sz="4" w:space="0" w:color="000000"/>
              <w:right w:val="single" w:sz="4" w:space="0" w:color="000000"/>
            </w:tcBorders>
            <w:shd w:val="clear" w:color="000000" w:fill="FFFFFF"/>
            <w:vAlign w:val="center"/>
            <w:hideMark/>
          </w:tcPr>
          <w:p w14:paraId="13B4353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4.2.1.3</w:t>
            </w:r>
          </w:p>
        </w:tc>
        <w:tc>
          <w:tcPr>
            <w:tcW w:w="563" w:type="dxa"/>
            <w:tcBorders>
              <w:top w:val="nil"/>
              <w:left w:val="nil"/>
              <w:bottom w:val="single" w:sz="4" w:space="0" w:color="000000"/>
              <w:right w:val="single" w:sz="4" w:space="0" w:color="000000"/>
            </w:tcBorders>
            <w:shd w:val="clear" w:color="000000" w:fill="FFFFFF"/>
            <w:vAlign w:val="center"/>
            <w:hideMark/>
          </w:tcPr>
          <w:p w14:paraId="036B61B2"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Klasifikimi statistikor i njësive territoriale</w:t>
            </w:r>
          </w:p>
        </w:tc>
        <w:tc>
          <w:tcPr>
            <w:tcW w:w="446" w:type="dxa"/>
            <w:tcBorders>
              <w:top w:val="nil"/>
              <w:left w:val="nil"/>
              <w:bottom w:val="single" w:sz="4" w:space="0" w:color="000000"/>
              <w:right w:val="single" w:sz="4" w:space="0" w:color="000000"/>
            </w:tcBorders>
            <w:shd w:val="clear" w:color="000000" w:fill="FFFFFF"/>
            <w:vAlign w:val="center"/>
            <w:hideMark/>
          </w:tcPr>
          <w:p w14:paraId="498F98CB"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Tjetër</w:t>
            </w:r>
          </w:p>
        </w:tc>
        <w:tc>
          <w:tcPr>
            <w:tcW w:w="450" w:type="dxa"/>
            <w:tcBorders>
              <w:top w:val="nil"/>
              <w:left w:val="nil"/>
              <w:bottom w:val="single" w:sz="4" w:space="0" w:color="auto"/>
              <w:right w:val="single" w:sz="4" w:space="0" w:color="auto"/>
            </w:tcBorders>
            <w:shd w:val="clear" w:color="000000" w:fill="FFFFFF"/>
            <w:vAlign w:val="center"/>
            <w:hideMark/>
          </w:tcPr>
          <w:p w14:paraId="24E58741"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nil"/>
              <w:left w:val="nil"/>
              <w:bottom w:val="single" w:sz="4" w:space="0" w:color="auto"/>
              <w:right w:val="single" w:sz="8" w:space="0" w:color="auto"/>
            </w:tcBorders>
            <w:shd w:val="clear" w:color="000000" w:fill="FFFFFF"/>
            <w:vAlign w:val="center"/>
            <w:hideMark/>
          </w:tcPr>
          <w:p w14:paraId="1482847C"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nil"/>
              <w:left w:val="single" w:sz="4" w:space="0" w:color="auto"/>
              <w:bottom w:val="single" w:sz="4" w:space="0" w:color="auto"/>
              <w:right w:val="single" w:sz="4" w:space="0" w:color="auto"/>
            </w:tcBorders>
            <w:shd w:val="clear" w:color="000000" w:fill="FFFFFF"/>
            <w:vAlign w:val="center"/>
            <w:hideMark/>
          </w:tcPr>
          <w:p w14:paraId="6E21418A"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I vazhdueshëm</w:t>
            </w:r>
          </w:p>
        </w:tc>
        <w:tc>
          <w:tcPr>
            <w:tcW w:w="409" w:type="dxa"/>
            <w:tcBorders>
              <w:top w:val="nil"/>
              <w:left w:val="nil"/>
              <w:bottom w:val="single" w:sz="4" w:space="0" w:color="000000"/>
              <w:right w:val="nil"/>
            </w:tcBorders>
            <w:shd w:val="clear" w:color="000000" w:fill="FFFFFF"/>
            <w:vAlign w:val="center"/>
            <w:hideMark/>
          </w:tcPr>
          <w:p w14:paraId="0CDC49B1"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Tjetër</w:t>
            </w:r>
          </w:p>
        </w:tc>
        <w:tc>
          <w:tcPr>
            <w:tcW w:w="1098" w:type="dxa"/>
            <w:tcBorders>
              <w:top w:val="nil"/>
              <w:left w:val="single" w:sz="4" w:space="0" w:color="auto"/>
              <w:bottom w:val="single" w:sz="4" w:space="0" w:color="auto"/>
              <w:right w:val="single" w:sz="4" w:space="0" w:color="auto"/>
            </w:tcBorders>
            <w:shd w:val="clear" w:color="000000" w:fill="FFFFFF"/>
            <w:vAlign w:val="center"/>
            <w:hideMark/>
          </w:tcPr>
          <w:p w14:paraId="7A03B6D5" w14:textId="43C83ADC"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Transmetimi i listës së njësive territoriale lokale (LAU) në EUROSTAT</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2. Harmonizimi i klasifikimit të nomenklaturave statistikore NUTS në përputhje me Rregulloret e KE-së</w:t>
            </w:r>
            <w:r w:rsidR="00520D08"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br/>
              <w:t xml:space="preserve">3. Implementimi i tipologjive territoriale (TERCET) në përputhje me Rregulloret e Komisionit </w:t>
            </w:r>
            <w:r w:rsidR="00612841" w:rsidRPr="004F2AC3">
              <w:rPr>
                <w:rFonts w:ascii="Garamond" w:eastAsia="Times New Roman" w:hAnsi="Garamond" w:cs="Times New Roman"/>
                <w:color w:val="000000"/>
                <w:sz w:val="10"/>
                <w:szCs w:val="10"/>
                <w:lang w:eastAsia="sq-AL"/>
              </w:rPr>
              <w:t>Evropian</w:t>
            </w:r>
            <w:r w:rsidR="00520D08" w:rsidRPr="004F2AC3">
              <w:rPr>
                <w:rFonts w:ascii="Garamond" w:eastAsia="Times New Roman" w:hAnsi="Garamond" w:cs="Times New Roman"/>
                <w:color w:val="000000"/>
                <w:sz w:val="10"/>
                <w:szCs w:val="10"/>
                <w:lang w:eastAsia="sq-AL"/>
              </w:rPr>
              <w:t>.</w:t>
            </w:r>
          </w:p>
        </w:tc>
        <w:tc>
          <w:tcPr>
            <w:tcW w:w="554" w:type="dxa"/>
            <w:tcBorders>
              <w:top w:val="nil"/>
              <w:left w:val="nil"/>
              <w:bottom w:val="single" w:sz="4" w:space="0" w:color="auto"/>
              <w:right w:val="single" w:sz="4" w:space="0" w:color="auto"/>
            </w:tcBorders>
            <w:shd w:val="clear" w:color="000000" w:fill="FFFFFF"/>
            <w:vAlign w:val="center"/>
            <w:hideMark/>
          </w:tcPr>
          <w:p w14:paraId="7B89F7AC"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Instituti i Statistikave</w:t>
            </w:r>
          </w:p>
        </w:tc>
        <w:tc>
          <w:tcPr>
            <w:tcW w:w="413" w:type="dxa"/>
            <w:tcBorders>
              <w:top w:val="nil"/>
              <w:left w:val="nil"/>
              <w:bottom w:val="single" w:sz="4" w:space="0" w:color="auto"/>
              <w:right w:val="single" w:sz="4" w:space="0" w:color="auto"/>
            </w:tcBorders>
            <w:shd w:val="clear" w:color="000000" w:fill="FFFFFF"/>
            <w:vAlign w:val="center"/>
            <w:hideMark/>
          </w:tcPr>
          <w:p w14:paraId="76EF69B5" w14:textId="14C3F7F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59B73811"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V+ 364D</w:t>
            </w:r>
          </w:p>
        </w:tc>
        <w:tc>
          <w:tcPr>
            <w:tcW w:w="385" w:type="dxa"/>
            <w:tcBorders>
              <w:top w:val="nil"/>
              <w:left w:val="nil"/>
              <w:bottom w:val="single" w:sz="4" w:space="0" w:color="auto"/>
              <w:right w:val="single" w:sz="4" w:space="0" w:color="auto"/>
            </w:tcBorders>
            <w:shd w:val="clear" w:color="000000" w:fill="FFFFFF"/>
            <w:vAlign w:val="center"/>
            <w:hideMark/>
          </w:tcPr>
          <w:p w14:paraId="64EED2FE"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V+ 732D</w:t>
            </w:r>
          </w:p>
        </w:tc>
        <w:tc>
          <w:tcPr>
            <w:tcW w:w="361" w:type="dxa"/>
            <w:tcBorders>
              <w:top w:val="nil"/>
              <w:left w:val="nil"/>
              <w:bottom w:val="single" w:sz="4" w:space="0" w:color="auto"/>
              <w:right w:val="single" w:sz="4" w:space="0" w:color="auto"/>
            </w:tcBorders>
            <w:shd w:val="clear" w:color="000000" w:fill="FFFFFF"/>
            <w:vAlign w:val="center"/>
            <w:hideMark/>
          </w:tcPr>
          <w:p w14:paraId="39214CEA"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+ 732D</w:t>
            </w:r>
          </w:p>
        </w:tc>
        <w:tc>
          <w:tcPr>
            <w:tcW w:w="732" w:type="dxa"/>
            <w:tcBorders>
              <w:top w:val="nil"/>
              <w:left w:val="nil"/>
              <w:bottom w:val="single" w:sz="4" w:space="0" w:color="auto"/>
              <w:right w:val="single" w:sz="4" w:space="0" w:color="auto"/>
            </w:tcBorders>
            <w:shd w:val="clear" w:color="000000" w:fill="FFFFFF"/>
            <w:vAlign w:val="center"/>
            <w:hideMark/>
          </w:tcPr>
          <w:p w14:paraId="4D90836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Mungesa e mundshme e të dhënave të detajuara për përllogaritjen e klasifikimeve territoriale -|- 4</w:t>
            </w:r>
          </w:p>
        </w:tc>
        <w:tc>
          <w:tcPr>
            <w:tcW w:w="551" w:type="dxa"/>
            <w:tcBorders>
              <w:top w:val="nil"/>
              <w:left w:val="nil"/>
              <w:bottom w:val="single" w:sz="4" w:space="0" w:color="auto"/>
              <w:right w:val="single" w:sz="4" w:space="0" w:color="auto"/>
            </w:tcBorders>
            <w:shd w:val="clear" w:color="000000" w:fill="FFFFFF"/>
            <w:vAlign w:val="center"/>
            <w:hideMark/>
          </w:tcPr>
          <w:p w14:paraId="3C0DCA74"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shteti</w:t>
            </w:r>
          </w:p>
        </w:tc>
      </w:tr>
      <w:tr w:rsidR="0021321C" w:rsidRPr="004F2AC3" w14:paraId="0138E6FC" w14:textId="77777777" w:rsidTr="0021321C">
        <w:trPr>
          <w:trHeight w:val="180"/>
          <w:jc w:val="center"/>
        </w:trPr>
        <w:tc>
          <w:tcPr>
            <w:tcW w:w="388" w:type="dxa"/>
            <w:tcBorders>
              <w:top w:val="nil"/>
              <w:left w:val="nil"/>
              <w:bottom w:val="nil"/>
              <w:right w:val="nil"/>
            </w:tcBorders>
            <w:shd w:val="clear" w:color="000000" w:fill="FFFFFF"/>
            <w:vAlign w:val="bottom"/>
            <w:hideMark/>
          </w:tcPr>
          <w:p w14:paraId="7C7DFC8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84D020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0D53E20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612AFF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5F62C09"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4.2.2</w:t>
            </w:r>
          </w:p>
        </w:tc>
        <w:tc>
          <w:tcPr>
            <w:tcW w:w="4905" w:type="dxa"/>
            <w:gridSpan w:val="10"/>
            <w:tcBorders>
              <w:top w:val="single" w:sz="4" w:space="0" w:color="000000"/>
              <w:left w:val="nil"/>
              <w:bottom w:val="single" w:sz="4" w:space="0" w:color="000000"/>
              <w:right w:val="nil"/>
            </w:tcBorders>
            <w:shd w:val="clear" w:color="000000" w:fill="FFFFFF"/>
            <w:vAlign w:val="center"/>
            <w:hideMark/>
          </w:tcPr>
          <w:p w14:paraId="00045F24" w14:textId="0E0C1438"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Harmonizimi i temave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Demografia</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dhe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Njësitë Statistikore</w:t>
            </w:r>
            <w:r w:rsidR="00D32864" w:rsidRPr="004F2AC3">
              <w:rPr>
                <w:rFonts w:ascii="Garamond" w:eastAsia="Times New Roman" w:hAnsi="Garamond" w:cs="Times New Roman"/>
                <w:color w:val="000000"/>
                <w:sz w:val="10"/>
                <w:szCs w:val="10"/>
                <w:lang w:eastAsia="sq-AL"/>
              </w:rPr>
              <w:t>”</w:t>
            </w:r>
            <w:r w:rsidR="00612841" w:rsidRPr="004F2AC3">
              <w:rPr>
                <w:rFonts w:ascii="Garamond" w:eastAsia="Times New Roman" w:hAnsi="Garamond" w:cs="Times New Roman"/>
                <w:color w:val="000000"/>
                <w:sz w:val="10"/>
                <w:szCs w:val="10"/>
                <w:lang w:eastAsia="sq-AL"/>
              </w:rPr>
              <w:t xml:space="preserve"> </w:t>
            </w:r>
            <w:r w:rsidRPr="004F2AC3">
              <w:rPr>
                <w:rFonts w:ascii="Garamond" w:eastAsia="Times New Roman" w:hAnsi="Garamond" w:cs="Times New Roman"/>
                <w:color w:val="000000"/>
                <w:sz w:val="10"/>
                <w:szCs w:val="10"/>
                <w:lang w:eastAsia="sq-AL"/>
              </w:rPr>
              <w:t xml:space="preserve">sipas direktivës INSPIRE </w:t>
            </w:r>
          </w:p>
        </w:tc>
        <w:tc>
          <w:tcPr>
            <w:tcW w:w="2357"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42C2A3F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551" w:type="dxa"/>
            <w:tcBorders>
              <w:top w:val="nil"/>
              <w:left w:val="nil"/>
              <w:bottom w:val="single" w:sz="4" w:space="0" w:color="auto"/>
              <w:right w:val="single" w:sz="4" w:space="0" w:color="auto"/>
            </w:tcBorders>
            <w:shd w:val="clear" w:color="000000" w:fill="FFFFFF"/>
            <w:vAlign w:val="center"/>
            <w:hideMark/>
          </w:tcPr>
          <w:p w14:paraId="401859C6"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r>
      <w:tr w:rsidR="00C73163" w:rsidRPr="004F2AC3" w14:paraId="4E9A6822" w14:textId="77777777" w:rsidTr="0021321C">
        <w:trPr>
          <w:trHeight w:val="180"/>
          <w:jc w:val="center"/>
        </w:trPr>
        <w:tc>
          <w:tcPr>
            <w:tcW w:w="388" w:type="dxa"/>
            <w:tcBorders>
              <w:top w:val="nil"/>
              <w:left w:val="nil"/>
              <w:bottom w:val="nil"/>
              <w:right w:val="nil"/>
            </w:tcBorders>
            <w:shd w:val="clear" w:color="000000" w:fill="FFFFFF"/>
            <w:vAlign w:val="bottom"/>
            <w:hideMark/>
          </w:tcPr>
          <w:p w14:paraId="7F021428"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89" w:type="dxa"/>
            <w:tcBorders>
              <w:top w:val="nil"/>
              <w:left w:val="nil"/>
              <w:bottom w:val="nil"/>
              <w:right w:val="nil"/>
            </w:tcBorders>
            <w:shd w:val="clear" w:color="000000" w:fill="FFFFFF"/>
            <w:vAlign w:val="bottom"/>
            <w:hideMark/>
          </w:tcPr>
          <w:p w14:paraId="0DCC2EB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32" w:type="dxa"/>
            <w:tcBorders>
              <w:top w:val="nil"/>
              <w:left w:val="nil"/>
              <w:bottom w:val="nil"/>
              <w:right w:val="nil"/>
            </w:tcBorders>
            <w:shd w:val="clear" w:color="000000" w:fill="FFFFFF"/>
            <w:vAlign w:val="bottom"/>
            <w:hideMark/>
          </w:tcPr>
          <w:p w14:paraId="6D298609"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208" w:type="dxa"/>
            <w:tcBorders>
              <w:top w:val="nil"/>
              <w:left w:val="nil"/>
              <w:bottom w:val="nil"/>
              <w:right w:val="nil"/>
            </w:tcBorders>
            <w:shd w:val="clear" w:color="000000" w:fill="FFFFFF"/>
            <w:vAlign w:val="bottom"/>
            <w:hideMark/>
          </w:tcPr>
          <w:p w14:paraId="6D07F9C2"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20" w:type="dxa"/>
            <w:tcBorders>
              <w:top w:val="nil"/>
              <w:left w:val="nil"/>
              <w:bottom w:val="nil"/>
              <w:right w:val="nil"/>
            </w:tcBorders>
            <w:shd w:val="clear" w:color="000000" w:fill="FFFFFF"/>
            <w:vAlign w:val="bottom"/>
            <w:hideMark/>
          </w:tcPr>
          <w:p w14:paraId="6605764B"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09" w:type="dxa"/>
            <w:tcBorders>
              <w:top w:val="nil"/>
              <w:left w:val="nil"/>
              <w:bottom w:val="nil"/>
              <w:right w:val="nil"/>
            </w:tcBorders>
            <w:shd w:val="clear" w:color="000000" w:fill="FFFFFF"/>
            <w:vAlign w:val="bottom"/>
            <w:hideMark/>
          </w:tcPr>
          <w:p w14:paraId="7A980DF5"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w:t>
            </w:r>
          </w:p>
        </w:tc>
        <w:tc>
          <w:tcPr>
            <w:tcW w:w="349"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65C73BB"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4.2.2.1</w:t>
            </w:r>
          </w:p>
        </w:tc>
        <w:tc>
          <w:tcPr>
            <w:tcW w:w="563" w:type="dxa"/>
            <w:tcBorders>
              <w:top w:val="single" w:sz="4" w:space="0" w:color="000000"/>
              <w:left w:val="nil"/>
              <w:bottom w:val="single" w:sz="4" w:space="0" w:color="000000"/>
              <w:right w:val="single" w:sz="4" w:space="0" w:color="000000"/>
            </w:tcBorders>
            <w:shd w:val="clear" w:color="000000" w:fill="FFFFFF"/>
            <w:vAlign w:val="center"/>
            <w:hideMark/>
          </w:tcPr>
          <w:p w14:paraId="13D08D00" w14:textId="4B3175BA"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xml:space="preserve">Harmonizimi i temave </w:t>
            </w:r>
            <w:r w:rsidR="00D3286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Demografia</w:t>
            </w:r>
            <w:r w:rsidR="00D3286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dhe </w:t>
            </w:r>
            <w:r w:rsidR="00D3286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Njësitë Statistikore</w:t>
            </w:r>
            <w:r w:rsidR="00D32864" w:rsidRPr="004F2AC3">
              <w:rPr>
                <w:rFonts w:ascii="Garamond" w:eastAsia="Times New Roman" w:hAnsi="Garamond" w:cs="Times New Roman"/>
                <w:sz w:val="10"/>
                <w:szCs w:val="10"/>
                <w:lang w:eastAsia="sq-AL"/>
              </w:rPr>
              <w:t>”</w:t>
            </w:r>
            <w:r w:rsidRPr="004F2AC3">
              <w:rPr>
                <w:rFonts w:ascii="Garamond" w:eastAsia="Times New Roman" w:hAnsi="Garamond" w:cs="Times New Roman"/>
                <w:sz w:val="10"/>
                <w:szCs w:val="10"/>
                <w:lang w:eastAsia="sq-AL"/>
              </w:rPr>
              <w:t xml:space="preserve"> sipas direktivës INSPIRE</w:t>
            </w:r>
          </w:p>
        </w:tc>
        <w:tc>
          <w:tcPr>
            <w:tcW w:w="446" w:type="dxa"/>
            <w:tcBorders>
              <w:top w:val="single" w:sz="4" w:space="0" w:color="000000"/>
              <w:left w:val="nil"/>
              <w:bottom w:val="single" w:sz="4" w:space="0" w:color="000000"/>
              <w:right w:val="single" w:sz="4" w:space="0" w:color="000000"/>
            </w:tcBorders>
            <w:shd w:val="clear" w:color="000000" w:fill="FFFFFF"/>
            <w:vAlign w:val="center"/>
            <w:hideMark/>
          </w:tcPr>
          <w:p w14:paraId="42BDF817" w14:textId="77777777" w:rsidR="0021321C" w:rsidRPr="004F2AC3" w:rsidRDefault="0021321C" w:rsidP="0021321C">
            <w:pPr>
              <w:spacing w:after="0" w:line="240" w:lineRule="auto"/>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Tjetër</w:t>
            </w:r>
          </w:p>
        </w:tc>
        <w:tc>
          <w:tcPr>
            <w:tcW w:w="450" w:type="dxa"/>
            <w:tcBorders>
              <w:top w:val="single" w:sz="4" w:space="0" w:color="000000"/>
              <w:left w:val="nil"/>
              <w:bottom w:val="single" w:sz="4" w:space="0" w:color="000000"/>
              <w:right w:val="single" w:sz="4" w:space="0" w:color="000000"/>
            </w:tcBorders>
            <w:shd w:val="clear" w:color="000000" w:fill="FFFFFF"/>
            <w:vAlign w:val="center"/>
            <w:hideMark/>
          </w:tcPr>
          <w:p w14:paraId="0CE361F3"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301" w:type="dxa"/>
            <w:tcBorders>
              <w:top w:val="single" w:sz="4" w:space="0" w:color="000000"/>
              <w:left w:val="nil"/>
              <w:bottom w:val="single" w:sz="4" w:space="0" w:color="000000"/>
              <w:right w:val="single" w:sz="4" w:space="0" w:color="000000"/>
            </w:tcBorders>
            <w:shd w:val="clear" w:color="000000" w:fill="FFFFFF"/>
            <w:vAlign w:val="center"/>
            <w:hideMark/>
          </w:tcPr>
          <w:p w14:paraId="0A3167B8" w14:textId="77777777" w:rsidR="0021321C" w:rsidRPr="004F2AC3" w:rsidRDefault="0021321C" w:rsidP="0021321C">
            <w:pPr>
              <w:spacing w:after="0" w:line="240" w:lineRule="auto"/>
              <w:jc w:val="center"/>
              <w:rPr>
                <w:rFonts w:ascii="Garamond" w:eastAsia="Times New Roman" w:hAnsi="Garamond" w:cs="Times New Roman"/>
                <w:sz w:val="10"/>
                <w:szCs w:val="10"/>
                <w:lang w:eastAsia="sq-AL"/>
              </w:rPr>
            </w:pPr>
            <w:r w:rsidRPr="004F2AC3">
              <w:rPr>
                <w:rFonts w:ascii="Garamond" w:eastAsia="Times New Roman" w:hAnsi="Garamond" w:cs="Times New Roman"/>
                <w:sz w:val="10"/>
                <w:szCs w:val="10"/>
                <w:lang w:eastAsia="sq-AL"/>
              </w:rPr>
              <w:t> </w:t>
            </w:r>
          </w:p>
        </w:tc>
        <w:tc>
          <w:tcPr>
            <w:tcW w:w="426" w:type="dxa"/>
            <w:tcBorders>
              <w:top w:val="single" w:sz="4" w:space="0" w:color="auto"/>
              <w:left w:val="nil"/>
              <w:bottom w:val="single" w:sz="4" w:space="0" w:color="auto"/>
              <w:right w:val="single" w:sz="4" w:space="0" w:color="auto"/>
            </w:tcBorders>
            <w:shd w:val="clear" w:color="000000" w:fill="FFFFFF"/>
            <w:vAlign w:val="center"/>
            <w:hideMark/>
          </w:tcPr>
          <w:p w14:paraId="2464B96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 vazhdueshëm</w:t>
            </w:r>
          </w:p>
        </w:tc>
        <w:tc>
          <w:tcPr>
            <w:tcW w:w="409" w:type="dxa"/>
            <w:tcBorders>
              <w:top w:val="single" w:sz="4" w:space="0" w:color="auto"/>
              <w:left w:val="nil"/>
              <w:bottom w:val="single" w:sz="4" w:space="0" w:color="auto"/>
              <w:right w:val="single" w:sz="4" w:space="0" w:color="auto"/>
            </w:tcBorders>
            <w:shd w:val="clear" w:color="000000" w:fill="FFFFFF"/>
            <w:vAlign w:val="center"/>
            <w:hideMark/>
          </w:tcPr>
          <w:p w14:paraId="4729DA7E"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Tjetër</w:t>
            </w:r>
          </w:p>
        </w:tc>
        <w:tc>
          <w:tcPr>
            <w:tcW w:w="1098" w:type="dxa"/>
            <w:tcBorders>
              <w:top w:val="single" w:sz="4" w:space="0" w:color="000000"/>
              <w:left w:val="nil"/>
              <w:bottom w:val="single" w:sz="4" w:space="0" w:color="000000"/>
              <w:right w:val="nil"/>
            </w:tcBorders>
            <w:shd w:val="clear" w:color="000000" w:fill="FFFFFF"/>
            <w:vAlign w:val="center"/>
            <w:hideMark/>
          </w:tcPr>
          <w:p w14:paraId="2BAFFC73" w14:textId="0834E97D"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Transformimi i të dhënave gjeografike të INSTAT bazuar në Infrastrukturën Kombëtare të të Dhënave Hapësinore në Shqipëri duke ndjekur rekomandimet e Direktivës INSPIRE për dy tema: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Shpërndarja e popullsisë</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 xml:space="preserve"> dhe </w:t>
            </w:r>
            <w:r w:rsidR="00D32864" w:rsidRPr="004F2AC3">
              <w:rPr>
                <w:rFonts w:ascii="Garamond" w:eastAsia="Times New Roman" w:hAnsi="Garamond" w:cs="Times New Roman"/>
                <w:color w:val="000000"/>
                <w:sz w:val="10"/>
                <w:szCs w:val="10"/>
                <w:lang w:eastAsia="sq-AL"/>
              </w:rPr>
              <w:t>“</w:t>
            </w:r>
            <w:r w:rsidRPr="004F2AC3">
              <w:rPr>
                <w:rFonts w:ascii="Garamond" w:eastAsia="Times New Roman" w:hAnsi="Garamond" w:cs="Times New Roman"/>
                <w:color w:val="000000"/>
                <w:sz w:val="10"/>
                <w:szCs w:val="10"/>
                <w:lang w:eastAsia="sq-AL"/>
              </w:rPr>
              <w:t>Njësitë Statistikore</w:t>
            </w:r>
            <w:r w:rsidR="00D32864" w:rsidRPr="004F2AC3">
              <w:rPr>
                <w:rFonts w:ascii="Garamond" w:eastAsia="Times New Roman" w:hAnsi="Garamond" w:cs="Times New Roman"/>
                <w:color w:val="000000"/>
                <w:sz w:val="10"/>
                <w:szCs w:val="10"/>
                <w:lang w:eastAsia="sq-AL"/>
              </w:rPr>
              <w:t>”</w:t>
            </w:r>
          </w:p>
        </w:tc>
        <w:tc>
          <w:tcPr>
            <w:tcW w:w="55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74981A"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Instituti i Statistikave</w:t>
            </w:r>
          </w:p>
        </w:tc>
        <w:tc>
          <w:tcPr>
            <w:tcW w:w="413" w:type="dxa"/>
            <w:tcBorders>
              <w:top w:val="nil"/>
              <w:left w:val="nil"/>
              <w:bottom w:val="single" w:sz="4" w:space="0" w:color="auto"/>
              <w:right w:val="single" w:sz="4" w:space="0" w:color="auto"/>
            </w:tcBorders>
            <w:shd w:val="clear" w:color="000000" w:fill="FFFFFF"/>
            <w:vAlign w:val="center"/>
            <w:hideMark/>
          </w:tcPr>
          <w:p w14:paraId="28FBEC7F" w14:textId="45B26243"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INSTAT</w:t>
            </w:r>
            <w:r w:rsidR="00520D08" w:rsidRPr="004F2AC3">
              <w:rPr>
                <w:rFonts w:ascii="Garamond" w:eastAsia="Times New Roman" w:hAnsi="Garamond" w:cs="Times New Roman"/>
                <w:color w:val="000000"/>
                <w:sz w:val="10"/>
                <w:szCs w:val="10"/>
                <w:lang w:eastAsia="sq-AL"/>
              </w:rPr>
              <w:t>-i</w:t>
            </w:r>
          </w:p>
        </w:tc>
        <w:tc>
          <w:tcPr>
            <w:tcW w:w="466" w:type="dxa"/>
            <w:tcBorders>
              <w:top w:val="nil"/>
              <w:left w:val="nil"/>
              <w:bottom w:val="single" w:sz="4" w:space="0" w:color="auto"/>
              <w:right w:val="single" w:sz="4" w:space="0" w:color="auto"/>
            </w:tcBorders>
            <w:shd w:val="clear" w:color="000000" w:fill="FFFFFF"/>
            <w:vAlign w:val="center"/>
            <w:hideMark/>
          </w:tcPr>
          <w:p w14:paraId="63AC8FD0"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+ 364D</w:t>
            </w:r>
          </w:p>
        </w:tc>
        <w:tc>
          <w:tcPr>
            <w:tcW w:w="385" w:type="dxa"/>
            <w:tcBorders>
              <w:top w:val="nil"/>
              <w:left w:val="nil"/>
              <w:bottom w:val="single" w:sz="4" w:space="0" w:color="auto"/>
              <w:right w:val="single" w:sz="4" w:space="0" w:color="auto"/>
            </w:tcBorders>
            <w:shd w:val="clear" w:color="000000" w:fill="FFFFFF"/>
            <w:vAlign w:val="center"/>
            <w:hideMark/>
          </w:tcPr>
          <w:p w14:paraId="6E1609EF"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+ 732D</w:t>
            </w:r>
          </w:p>
        </w:tc>
        <w:tc>
          <w:tcPr>
            <w:tcW w:w="361" w:type="dxa"/>
            <w:tcBorders>
              <w:top w:val="nil"/>
              <w:left w:val="nil"/>
              <w:bottom w:val="single" w:sz="4" w:space="0" w:color="auto"/>
              <w:right w:val="single" w:sz="4" w:space="0" w:color="auto"/>
            </w:tcBorders>
            <w:shd w:val="clear" w:color="000000" w:fill="FFFFFF"/>
            <w:vAlign w:val="center"/>
            <w:hideMark/>
          </w:tcPr>
          <w:p w14:paraId="5E87FAD3" w14:textId="77777777" w:rsidR="0021321C" w:rsidRPr="004F2AC3" w:rsidRDefault="0021321C" w:rsidP="0021321C">
            <w:pPr>
              <w:spacing w:after="0" w:line="240" w:lineRule="auto"/>
              <w:jc w:val="center"/>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 xml:space="preserve"> V + 1462D</w:t>
            </w:r>
          </w:p>
        </w:tc>
        <w:tc>
          <w:tcPr>
            <w:tcW w:w="732" w:type="dxa"/>
            <w:tcBorders>
              <w:top w:val="nil"/>
              <w:left w:val="nil"/>
              <w:bottom w:val="single" w:sz="4" w:space="0" w:color="auto"/>
              <w:right w:val="single" w:sz="4" w:space="0" w:color="auto"/>
            </w:tcBorders>
            <w:shd w:val="clear" w:color="000000" w:fill="FFFFFF"/>
            <w:vAlign w:val="center"/>
            <w:hideMark/>
          </w:tcPr>
          <w:p w14:paraId="21AE6B2A" w14:textId="7C6E4DD5"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1. Ndryshime, shtyrje afatesh të mundshme (Autoriteti Shtetëror për Informacionin Gjeohap</w:t>
            </w:r>
            <w:r w:rsidR="00612841" w:rsidRPr="004F2AC3">
              <w:rPr>
                <w:rFonts w:ascii="Garamond" w:eastAsia="Times New Roman" w:hAnsi="Garamond" w:cs="Times New Roman"/>
                <w:color w:val="000000"/>
                <w:sz w:val="10"/>
                <w:szCs w:val="10"/>
                <w:lang w:eastAsia="sq-AL"/>
              </w:rPr>
              <w:t>ë</w:t>
            </w:r>
            <w:r w:rsidRPr="004F2AC3">
              <w:rPr>
                <w:rFonts w:ascii="Garamond" w:eastAsia="Times New Roman" w:hAnsi="Garamond" w:cs="Times New Roman"/>
                <w:color w:val="000000"/>
                <w:sz w:val="10"/>
                <w:szCs w:val="10"/>
                <w:lang w:eastAsia="sq-AL"/>
              </w:rPr>
              <w:t>sinor) -|- 4</w:t>
            </w:r>
          </w:p>
        </w:tc>
        <w:tc>
          <w:tcPr>
            <w:tcW w:w="551" w:type="dxa"/>
            <w:tcBorders>
              <w:top w:val="nil"/>
              <w:left w:val="nil"/>
              <w:bottom w:val="single" w:sz="4" w:space="0" w:color="auto"/>
              <w:right w:val="single" w:sz="4" w:space="0" w:color="auto"/>
            </w:tcBorders>
            <w:shd w:val="clear" w:color="000000" w:fill="FFFFFF"/>
            <w:noWrap/>
            <w:vAlign w:val="center"/>
            <w:hideMark/>
          </w:tcPr>
          <w:p w14:paraId="3B51DD0F" w14:textId="77777777" w:rsidR="0021321C" w:rsidRPr="004F2AC3" w:rsidRDefault="0021321C" w:rsidP="0021321C">
            <w:pPr>
              <w:spacing w:after="0" w:line="240" w:lineRule="auto"/>
              <w:rPr>
                <w:rFonts w:ascii="Garamond" w:eastAsia="Times New Roman" w:hAnsi="Garamond" w:cs="Times New Roman"/>
                <w:color w:val="000000"/>
                <w:sz w:val="10"/>
                <w:szCs w:val="10"/>
                <w:lang w:eastAsia="sq-AL"/>
              </w:rPr>
            </w:pPr>
            <w:r w:rsidRPr="004F2AC3">
              <w:rPr>
                <w:rFonts w:ascii="Garamond" w:eastAsia="Times New Roman" w:hAnsi="Garamond" w:cs="Times New Roman"/>
                <w:color w:val="000000"/>
                <w:sz w:val="10"/>
                <w:szCs w:val="10"/>
                <w:lang w:eastAsia="sq-AL"/>
              </w:rPr>
              <w:t>Buxhet i shtetit</w:t>
            </w:r>
          </w:p>
        </w:tc>
      </w:tr>
    </w:tbl>
    <w:p w14:paraId="551D085F" w14:textId="3FA943D9" w:rsidR="0021321C" w:rsidRPr="004F2AC3" w:rsidRDefault="0021321C" w:rsidP="00A8176B">
      <w:pPr>
        <w:pStyle w:val="TEKSTIIIII"/>
      </w:pPr>
    </w:p>
    <w:sectPr w:rsidR="0021321C" w:rsidRPr="004F2AC3" w:rsidSect="0021321C">
      <w:pgSz w:w="16838" w:h="11906" w:orient="landscape" w:code="9"/>
      <w:pgMar w:top="1151" w:right="1077" w:bottom="1151" w:left="11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4DFEDD" w14:textId="77777777" w:rsidR="00A73002" w:rsidRDefault="00A73002" w:rsidP="00420682">
      <w:pPr>
        <w:spacing w:after="0" w:line="240" w:lineRule="auto"/>
      </w:pPr>
      <w:r>
        <w:separator/>
      </w:r>
    </w:p>
  </w:endnote>
  <w:endnote w:type="continuationSeparator" w:id="0">
    <w:p w14:paraId="150C0FA4" w14:textId="77777777" w:rsidR="00A73002" w:rsidRDefault="00A73002" w:rsidP="00420682">
      <w:pPr>
        <w:spacing w:after="0" w:line="240" w:lineRule="auto"/>
      </w:pPr>
      <w:r>
        <w:continuationSeparator/>
      </w:r>
    </w:p>
  </w:endnote>
  <w:endnote w:type="continuationNotice" w:id="1">
    <w:p w14:paraId="227A110C" w14:textId="77777777" w:rsidR="00A73002" w:rsidRDefault="00A730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ExtB">
    <w:panose1 w:val="02020500000000000000"/>
    <w:charset w:val="88"/>
    <w:family w:val="roman"/>
    <w:pitch w:val="variable"/>
    <w:sig w:usb0="8000002F" w:usb1="0A080008" w:usb2="00000010" w:usb3="00000000" w:csb0="00100001" w:csb1="00000000"/>
  </w:font>
  <w:font w:name="Meiryo">
    <w:panose1 w:val="020B0604030504040204"/>
    <w:charset w:val="80"/>
    <w:family w:val="swiss"/>
    <w:pitch w:val="variable"/>
    <w:sig w:usb0="E10102FF" w:usb1="EAC7FFFF" w:usb2="00010012" w:usb3="00000000" w:csb0="000200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23A88C84" w14:textId="5CCFEFB7" w:rsidR="00A73002" w:rsidRDefault="00A73002">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484960">
          <w:rPr>
            <w:rFonts w:ascii="Times New Roman" w:hAnsi="Times New Roman" w:cs="Times New Roman"/>
            <w:noProof/>
            <w:sz w:val="24"/>
            <w:szCs w:val="24"/>
          </w:rPr>
          <w:t>50</w:t>
        </w:r>
        <w:r w:rsidRPr="0096575A">
          <w:rPr>
            <w:rFonts w:ascii="Times New Roman" w:hAnsi="Times New Roman" w:cs="Times New Roman"/>
            <w:noProof/>
            <w:sz w:val="24"/>
            <w:szCs w:val="24"/>
          </w:rPr>
          <w:fldChar w:fldCharType="end"/>
        </w:r>
      </w:p>
    </w:sdtContent>
  </w:sdt>
  <w:p w14:paraId="23A88C85" w14:textId="77777777" w:rsidR="00A73002" w:rsidRDefault="00A730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14325A" w14:textId="77777777" w:rsidR="00A73002" w:rsidRDefault="00A73002" w:rsidP="00420682">
      <w:pPr>
        <w:spacing w:after="0" w:line="240" w:lineRule="auto"/>
      </w:pPr>
      <w:r>
        <w:separator/>
      </w:r>
    </w:p>
  </w:footnote>
  <w:footnote w:type="continuationSeparator" w:id="0">
    <w:p w14:paraId="3130B0FB" w14:textId="77777777" w:rsidR="00A73002" w:rsidRDefault="00A73002" w:rsidP="00420682">
      <w:pPr>
        <w:spacing w:after="0" w:line="240" w:lineRule="auto"/>
      </w:pPr>
      <w:r>
        <w:continuationSeparator/>
      </w:r>
    </w:p>
  </w:footnote>
  <w:footnote w:type="continuationNotice" w:id="1">
    <w:p w14:paraId="5890C15F" w14:textId="77777777" w:rsidR="00A73002" w:rsidRDefault="00A73002">
      <w:pPr>
        <w:spacing w:after="0" w:line="240" w:lineRule="auto"/>
      </w:pPr>
    </w:p>
  </w:footnote>
  <w:footnote w:id="2">
    <w:p w14:paraId="666E7723" w14:textId="6B06E49B" w:rsidR="00A73002" w:rsidRPr="00994235" w:rsidRDefault="00A73002" w:rsidP="00994235">
      <w:pPr>
        <w:pStyle w:val="FootnoteText"/>
        <w:tabs>
          <w:tab w:val="left" w:pos="2268"/>
        </w:tabs>
        <w:rPr>
          <w:rFonts w:ascii="Garamond" w:hAnsi="Garamond"/>
        </w:rPr>
      </w:pPr>
      <w:r w:rsidRPr="00994235">
        <w:rPr>
          <w:rStyle w:val="FootnoteReference"/>
          <w:rFonts w:ascii="Garamond" w:hAnsi="Garamond"/>
        </w:rPr>
        <w:footnoteRef/>
      </w:r>
      <w:r w:rsidRPr="00994235">
        <w:rPr>
          <w:rFonts w:ascii="Garamond" w:hAnsi="Garamond"/>
        </w:rPr>
        <w:t xml:space="preserve"> Aplikacione CAWI</w:t>
      </w:r>
      <w:r>
        <w:rPr>
          <w:rFonts w:ascii="Garamond" w:hAnsi="Garamond"/>
        </w:rPr>
        <w:t>,</w:t>
      </w:r>
      <w:r w:rsidRPr="00994235">
        <w:rPr>
          <w:rFonts w:ascii="Garamond" w:hAnsi="Garamond"/>
        </w:rPr>
        <w:t xml:space="preserve"> të përditësuar</w:t>
      </w:r>
      <w:r>
        <w:rPr>
          <w:rFonts w:ascii="Garamond" w:hAnsi="Garamond"/>
        </w:rPr>
        <w:t>.</w:t>
      </w:r>
    </w:p>
  </w:footnote>
  <w:footnote w:id="3">
    <w:p w14:paraId="36DD762C" w14:textId="7362A30B" w:rsidR="00A73002" w:rsidRPr="00BC1C6A" w:rsidRDefault="00A73002" w:rsidP="00994235">
      <w:pPr>
        <w:pStyle w:val="FootnoteText"/>
        <w:tabs>
          <w:tab w:val="left" w:pos="2268"/>
        </w:tabs>
      </w:pPr>
      <w:r w:rsidRPr="00994235">
        <w:rPr>
          <w:rStyle w:val="FootnoteReference"/>
          <w:rFonts w:ascii="Garamond" w:hAnsi="Garamond"/>
        </w:rPr>
        <w:footnoteRef/>
      </w:r>
      <w:r w:rsidRPr="00994235">
        <w:rPr>
          <w:rFonts w:ascii="Garamond" w:hAnsi="Garamond"/>
        </w:rPr>
        <w:t xml:space="preserve"> 3 Aplikacione CAPI do të ndërtohen dhe 24 aplikacione ekzistuese CAPI do të përditësohen</w:t>
      </w:r>
      <w:r>
        <w:rPr>
          <w:rFonts w:ascii="Garamond" w:hAnsi="Garamond"/>
        </w:rPr>
        <w:t>.</w:t>
      </w:r>
    </w:p>
  </w:footnote>
  <w:footnote w:id="4">
    <w:p w14:paraId="690B4482" w14:textId="6D23B176" w:rsidR="00A73002" w:rsidRPr="00D32864" w:rsidRDefault="00A73002" w:rsidP="000F566F">
      <w:pPr>
        <w:pStyle w:val="FootnoteText"/>
        <w:rPr>
          <w:rFonts w:ascii="Garamond" w:hAnsi="Garamond"/>
        </w:rPr>
      </w:pPr>
      <w:r w:rsidRPr="00D32864">
        <w:rPr>
          <w:rStyle w:val="FootnoteReference"/>
          <w:rFonts w:ascii="Garamond" w:hAnsi="Garamond"/>
        </w:rPr>
        <w:footnoteRef/>
      </w:r>
      <w:r w:rsidRPr="00D32864">
        <w:rPr>
          <w:rFonts w:ascii="Garamond" w:hAnsi="Garamond"/>
        </w:rPr>
        <w:t xml:space="preserve"> Bilanci i pagesave është tregues financiar</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7C9B5B" w14:textId="77777777" w:rsidR="00A73002" w:rsidRDefault="00A730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037490"/>
    <w:multiLevelType w:val="hybridMultilevel"/>
    <w:tmpl w:val="642A077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46C40AA2"/>
    <w:multiLevelType w:val="hybridMultilevel"/>
    <w:tmpl w:val="44C0CE6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7A056D68"/>
    <w:multiLevelType w:val="hybridMultilevel"/>
    <w:tmpl w:val="CD72027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7EFC61BE"/>
    <w:multiLevelType w:val="hybridMultilevel"/>
    <w:tmpl w:val="8534A1B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1558"/>
    <w:rsid w:val="000115A2"/>
    <w:rsid w:val="000141A5"/>
    <w:rsid w:val="00024790"/>
    <w:rsid w:val="00030D25"/>
    <w:rsid w:val="00040D8C"/>
    <w:rsid w:val="00043C57"/>
    <w:rsid w:val="00044BC3"/>
    <w:rsid w:val="000514F1"/>
    <w:rsid w:val="000518D6"/>
    <w:rsid w:val="00054966"/>
    <w:rsid w:val="00055AB5"/>
    <w:rsid w:val="00060376"/>
    <w:rsid w:val="00072080"/>
    <w:rsid w:val="000765C2"/>
    <w:rsid w:val="00082266"/>
    <w:rsid w:val="00091A46"/>
    <w:rsid w:val="0009415D"/>
    <w:rsid w:val="00096985"/>
    <w:rsid w:val="00096F02"/>
    <w:rsid w:val="00097617"/>
    <w:rsid w:val="000A041F"/>
    <w:rsid w:val="000A1E47"/>
    <w:rsid w:val="000A3B4D"/>
    <w:rsid w:val="000A6B3D"/>
    <w:rsid w:val="000B3F8E"/>
    <w:rsid w:val="000B5AFE"/>
    <w:rsid w:val="000C629F"/>
    <w:rsid w:val="000C66E1"/>
    <w:rsid w:val="000D199E"/>
    <w:rsid w:val="000E268C"/>
    <w:rsid w:val="000E32F6"/>
    <w:rsid w:val="000E4CA8"/>
    <w:rsid w:val="000E5BA6"/>
    <w:rsid w:val="000F1931"/>
    <w:rsid w:val="000F482E"/>
    <w:rsid w:val="000F566F"/>
    <w:rsid w:val="00106F6D"/>
    <w:rsid w:val="0011415C"/>
    <w:rsid w:val="00117D28"/>
    <w:rsid w:val="00120F54"/>
    <w:rsid w:val="00121E29"/>
    <w:rsid w:val="00122D1F"/>
    <w:rsid w:val="0012550D"/>
    <w:rsid w:val="001268E9"/>
    <w:rsid w:val="00130958"/>
    <w:rsid w:val="00132CEC"/>
    <w:rsid w:val="00135A36"/>
    <w:rsid w:val="00136EC9"/>
    <w:rsid w:val="00146D52"/>
    <w:rsid w:val="00153CC5"/>
    <w:rsid w:val="00154CFD"/>
    <w:rsid w:val="00155BCF"/>
    <w:rsid w:val="00155EBC"/>
    <w:rsid w:val="00161726"/>
    <w:rsid w:val="00161C3D"/>
    <w:rsid w:val="00163579"/>
    <w:rsid w:val="00166272"/>
    <w:rsid w:val="00166898"/>
    <w:rsid w:val="00167D1D"/>
    <w:rsid w:val="00172A68"/>
    <w:rsid w:val="00174A6C"/>
    <w:rsid w:val="00176471"/>
    <w:rsid w:val="001816AF"/>
    <w:rsid w:val="00182ABA"/>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55"/>
    <w:rsid w:val="002101FE"/>
    <w:rsid w:val="00212E52"/>
    <w:rsid w:val="0021321C"/>
    <w:rsid w:val="00213234"/>
    <w:rsid w:val="00214854"/>
    <w:rsid w:val="0021715D"/>
    <w:rsid w:val="00217173"/>
    <w:rsid w:val="00217DA0"/>
    <w:rsid w:val="00221AAC"/>
    <w:rsid w:val="00223BC9"/>
    <w:rsid w:val="00223F53"/>
    <w:rsid w:val="00224329"/>
    <w:rsid w:val="00225DD1"/>
    <w:rsid w:val="00233280"/>
    <w:rsid w:val="00234BD8"/>
    <w:rsid w:val="0024206A"/>
    <w:rsid w:val="00243B60"/>
    <w:rsid w:val="00247DF1"/>
    <w:rsid w:val="00250F7F"/>
    <w:rsid w:val="00254646"/>
    <w:rsid w:val="00260E70"/>
    <w:rsid w:val="00264FD5"/>
    <w:rsid w:val="00266C06"/>
    <w:rsid w:val="00267E57"/>
    <w:rsid w:val="0027350F"/>
    <w:rsid w:val="00274D4C"/>
    <w:rsid w:val="002753F6"/>
    <w:rsid w:val="00277C89"/>
    <w:rsid w:val="00280456"/>
    <w:rsid w:val="00282145"/>
    <w:rsid w:val="00283A9E"/>
    <w:rsid w:val="00284AC7"/>
    <w:rsid w:val="00294FCA"/>
    <w:rsid w:val="00296ECC"/>
    <w:rsid w:val="002A47D7"/>
    <w:rsid w:val="002B5575"/>
    <w:rsid w:val="002C7626"/>
    <w:rsid w:val="002C7D02"/>
    <w:rsid w:val="002D3DB1"/>
    <w:rsid w:val="002D4309"/>
    <w:rsid w:val="002D5897"/>
    <w:rsid w:val="002D5F14"/>
    <w:rsid w:val="002E0FFB"/>
    <w:rsid w:val="002E1AAC"/>
    <w:rsid w:val="002E2079"/>
    <w:rsid w:val="002E5221"/>
    <w:rsid w:val="002E5B82"/>
    <w:rsid w:val="002F000B"/>
    <w:rsid w:val="002F5953"/>
    <w:rsid w:val="002F5F81"/>
    <w:rsid w:val="00300CDA"/>
    <w:rsid w:val="00301305"/>
    <w:rsid w:val="0030276C"/>
    <w:rsid w:val="0031187E"/>
    <w:rsid w:val="0031427F"/>
    <w:rsid w:val="003168B3"/>
    <w:rsid w:val="00323264"/>
    <w:rsid w:val="003248D9"/>
    <w:rsid w:val="00325554"/>
    <w:rsid w:val="003305E1"/>
    <w:rsid w:val="003333CC"/>
    <w:rsid w:val="003338A8"/>
    <w:rsid w:val="00336EED"/>
    <w:rsid w:val="003403C8"/>
    <w:rsid w:val="003547D6"/>
    <w:rsid w:val="00355498"/>
    <w:rsid w:val="00363075"/>
    <w:rsid w:val="00365BF7"/>
    <w:rsid w:val="003706C5"/>
    <w:rsid w:val="003745EF"/>
    <w:rsid w:val="00375597"/>
    <w:rsid w:val="00376756"/>
    <w:rsid w:val="0038331D"/>
    <w:rsid w:val="00395396"/>
    <w:rsid w:val="003953EE"/>
    <w:rsid w:val="00397541"/>
    <w:rsid w:val="003A135F"/>
    <w:rsid w:val="003A2351"/>
    <w:rsid w:val="003A38DC"/>
    <w:rsid w:val="003A63A5"/>
    <w:rsid w:val="003C118D"/>
    <w:rsid w:val="003C1B35"/>
    <w:rsid w:val="003C400C"/>
    <w:rsid w:val="003C48FF"/>
    <w:rsid w:val="003D0E7F"/>
    <w:rsid w:val="003D42BD"/>
    <w:rsid w:val="003D5049"/>
    <w:rsid w:val="003D59B2"/>
    <w:rsid w:val="003D5ED0"/>
    <w:rsid w:val="003E72F7"/>
    <w:rsid w:val="003F29A8"/>
    <w:rsid w:val="003F398D"/>
    <w:rsid w:val="003F4F23"/>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4345"/>
    <w:rsid w:val="004771A5"/>
    <w:rsid w:val="00477804"/>
    <w:rsid w:val="0048341A"/>
    <w:rsid w:val="0048393F"/>
    <w:rsid w:val="00484922"/>
    <w:rsid w:val="00484960"/>
    <w:rsid w:val="004866A8"/>
    <w:rsid w:val="00486954"/>
    <w:rsid w:val="00492BFD"/>
    <w:rsid w:val="00496497"/>
    <w:rsid w:val="004A5884"/>
    <w:rsid w:val="004A5DE6"/>
    <w:rsid w:val="004B12D2"/>
    <w:rsid w:val="004B40CE"/>
    <w:rsid w:val="004B57D5"/>
    <w:rsid w:val="004B6ED9"/>
    <w:rsid w:val="004C20B0"/>
    <w:rsid w:val="004C2DFD"/>
    <w:rsid w:val="004C67EE"/>
    <w:rsid w:val="004D3CFC"/>
    <w:rsid w:val="004D6DAE"/>
    <w:rsid w:val="004D74A9"/>
    <w:rsid w:val="004E0701"/>
    <w:rsid w:val="004E0CFF"/>
    <w:rsid w:val="004E1C0F"/>
    <w:rsid w:val="004E48D1"/>
    <w:rsid w:val="004E62D6"/>
    <w:rsid w:val="004E7290"/>
    <w:rsid w:val="004E7E53"/>
    <w:rsid w:val="004F2AC3"/>
    <w:rsid w:val="004F446C"/>
    <w:rsid w:val="004F447A"/>
    <w:rsid w:val="004F7030"/>
    <w:rsid w:val="00513E1E"/>
    <w:rsid w:val="00513F13"/>
    <w:rsid w:val="005201B5"/>
    <w:rsid w:val="00520D08"/>
    <w:rsid w:val="0052203F"/>
    <w:rsid w:val="00522FFB"/>
    <w:rsid w:val="00531970"/>
    <w:rsid w:val="00531A97"/>
    <w:rsid w:val="00532B37"/>
    <w:rsid w:val="00533AC7"/>
    <w:rsid w:val="00536F06"/>
    <w:rsid w:val="00542102"/>
    <w:rsid w:val="00550D3C"/>
    <w:rsid w:val="00550FA3"/>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3A9C"/>
    <w:rsid w:val="005B5423"/>
    <w:rsid w:val="005B6E3F"/>
    <w:rsid w:val="005C1F7E"/>
    <w:rsid w:val="005D05F3"/>
    <w:rsid w:val="005D15D9"/>
    <w:rsid w:val="005D681C"/>
    <w:rsid w:val="005D7EA9"/>
    <w:rsid w:val="005F00A8"/>
    <w:rsid w:val="005F010E"/>
    <w:rsid w:val="00602362"/>
    <w:rsid w:val="0060535D"/>
    <w:rsid w:val="006066FA"/>
    <w:rsid w:val="0061141E"/>
    <w:rsid w:val="00612841"/>
    <w:rsid w:val="00614273"/>
    <w:rsid w:val="00617779"/>
    <w:rsid w:val="0062077A"/>
    <w:rsid w:val="00621A17"/>
    <w:rsid w:val="00623F4C"/>
    <w:rsid w:val="006400E2"/>
    <w:rsid w:val="006465EF"/>
    <w:rsid w:val="00646924"/>
    <w:rsid w:val="00647466"/>
    <w:rsid w:val="006513F8"/>
    <w:rsid w:val="00651D0E"/>
    <w:rsid w:val="00654305"/>
    <w:rsid w:val="00663243"/>
    <w:rsid w:val="00670AA2"/>
    <w:rsid w:val="0067406E"/>
    <w:rsid w:val="00677E6C"/>
    <w:rsid w:val="00683C22"/>
    <w:rsid w:val="0068478A"/>
    <w:rsid w:val="00684E85"/>
    <w:rsid w:val="00685F92"/>
    <w:rsid w:val="00694869"/>
    <w:rsid w:val="00696D19"/>
    <w:rsid w:val="006A2688"/>
    <w:rsid w:val="006B02FE"/>
    <w:rsid w:val="006B3074"/>
    <w:rsid w:val="006B3952"/>
    <w:rsid w:val="006C07F7"/>
    <w:rsid w:val="006C14FD"/>
    <w:rsid w:val="006C2C78"/>
    <w:rsid w:val="006C2D42"/>
    <w:rsid w:val="006C3818"/>
    <w:rsid w:val="006C54E5"/>
    <w:rsid w:val="006C6D22"/>
    <w:rsid w:val="006C7476"/>
    <w:rsid w:val="006F4D55"/>
    <w:rsid w:val="006F5C30"/>
    <w:rsid w:val="007031E5"/>
    <w:rsid w:val="00703E15"/>
    <w:rsid w:val="0070619F"/>
    <w:rsid w:val="00706985"/>
    <w:rsid w:val="00707B70"/>
    <w:rsid w:val="0071247D"/>
    <w:rsid w:val="00712644"/>
    <w:rsid w:val="007140D9"/>
    <w:rsid w:val="007217C2"/>
    <w:rsid w:val="007243F1"/>
    <w:rsid w:val="00726525"/>
    <w:rsid w:val="0073064D"/>
    <w:rsid w:val="00732D70"/>
    <w:rsid w:val="00736DC8"/>
    <w:rsid w:val="007403CF"/>
    <w:rsid w:val="00740D48"/>
    <w:rsid w:val="00742442"/>
    <w:rsid w:val="00750246"/>
    <w:rsid w:val="00750AED"/>
    <w:rsid w:val="00760420"/>
    <w:rsid w:val="007649A8"/>
    <w:rsid w:val="007654B3"/>
    <w:rsid w:val="00766048"/>
    <w:rsid w:val="00770CEF"/>
    <w:rsid w:val="00770FAD"/>
    <w:rsid w:val="00772C10"/>
    <w:rsid w:val="00774741"/>
    <w:rsid w:val="007748A2"/>
    <w:rsid w:val="007749AC"/>
    <w:rsid w:val="00775308"/>
    <w:rsid w:val="00781CCC"/>
    <w:rsid w:val="0078321A"/>
    <w:rsid w:val="00783B0B"/>
    <w:rsid w:val="0078794C"/>
    <w:rsid w:val="007910E6"/>
    <w:rsid w:val="00795E6B"/>
    <w:rsid w:val="007A1622"/>
    <w:rsid w:val="007A2A36"/>
    <w:rsid w:val="007A2E0E"/>
    <w:rsid w:val="007A460E"/>
    <w:rsid w:val="007B15A6"/>
    <w:rsid w:val="007B27C0"/>
    <w:rsid w:val="007B4156"/>
    <w:rsid w:val="007B48B1"/>
    <w:rsid w:val="007B55C4"/>
    <w:rsid w:val="007C083E"/>
    <w:rsid w:val="007D6440"/>
    <w:rsid w:val="007D742E"/>
    <w:rsid w:val="007D76F7"/>
    <w:rsid w:val="007E0959"/>
    <w:rsid w:val="007E2515"/>
    <w:rsid w:val="007E6D9E"/>
    <w:rsid w:val="007E7186"/>
    <w:rsid w:val="007F1176"/>
    <w:rsid w:val="007F2AAA"/>
    <w:rsid w:val="007F3B8B"/>
    <w:rsid w:val="007F46B2"/>
    <w:rsid w:val="007F5841"/>
    <w:rsid w:val="00801790"/>
    <w:rsid w:val="008030D2"/>
    <w:rsid w:val="00804061"/>
    <w:rsid w:val="00811138"/>
    <w:rsid w:val="008115C9"/>
    <w:rsid w:val="0081405B"/>
    <w:rsid w:val="00817643"/>
    <w:rsid w:val="00820E26"/>
    <w:rsid w:val="0083307B"/>
    <w:rsid w:val="00835DB2"/>
    <w:rsid w:val="008372DF"/>
    <w:rsid w:val="00840462"/>
    <w:rsid w:val="00841B9C"/>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3DCB"/>
    <w:rsid w:val="008A48E5"/>
    <w:rsid w:val="008B2E33"/>
    <w:rsid w:val="008B3FAE"/>
    <w:rsid w:val="008C15C7"/>
    <w:rsid w:val="008C1C92"/>
    <w:rsid w:val="008C3427"/>
    <w:rsid w:val="008D12D7"/>
    <w:rsid w:val="008D3FB7"/>
    <w:rsid w:val="008D4F14"/>
    <w:rsid w:val="008D6DE3"/>
    <w:rsid w:val="008E125A"/>
    <w:rsid w:val="008E6071"/>
    <w:rsid w:val="008F4963"/>
    <w:rsid w:val="00900D7B"/>
    <w:rsid w:val="00901752"/>
    <w:rsid w:val="00903DE7"/>
    <w:rsid w:val="00904604"/>
    <w:rsid w:val="0090530D"/>
    <w:rsid w:val="0090583C"/>
    <w:rsid w:val="0091014E"/>
    <w:rsid w:val="009104DF"/>
    <w:rsid w:val="00925F09"/>
    <w:rsid w:val="00931105"/>
    <w:rsid w:val="00942EB6"/>
    <w:rsid w:val="009438AE"/>
    <w:rsid w:val="00944D6B"/>
    <w:rsid w:val="00954FD3"/>
    <w:rsid w:val="00957A39"/>
    <w:rsid w:val="00957B5F"/>
    <w:rsid w:val="0096096B"/>
    <w:rsid w:val="00964128"/>
    <w:rsid w:val="0096575A"/>
    <w:rsid w:val="00970D95"/>
    <w:rsid w:val="00974717"/>
    <w:rsid w:val="00976A3C"/>
    <w:rsid w:val="00976B1C"/>
    <w:rsid w:val="00983F4A"/>
    <w:rsid w:val="009852B0"/>
    <w:rsid w:val="009874B3"/>
    <w:rsid w:val="00991D86"/>
    <w:rsid w:val="00993777"/>
    <w:rsid w:val="00994235"/>
    <w:rsid w:val="009944EF"/>
    <w:rsid w:val="0099741A"/>
    <w:rsid w:val="009A0388"/>
    <w:rsid w:val="009A0CE0"/>
    <w:rsid w:val="009A2331"/>
    <w:rsid w:val="009A3C16"/>
    <w:rsid w:val="009A4870"/>
    <w:rsid w:val="009A601D"/>
    <w:rsid w:val="009A6F98"/>
    <w:rsid w:val="009A789B"/>
    <w:rsid w:val="009B1183"/>
    <w:rsid w:val="009B61B1"/>
    <w:rsid w:val="009C0ABA"/>
    <w:rsid w:val="009C12D6"/>
    <w:rsid w:val="009C1641"/>
    <w:rsid w:val="009C52A4"/>
    <w:rsid w:val="009D36E7"/>
    <w:rsid w:val="009E259E"/>
    <w:rsid w:val="009E4AB2"/>
    <w:rsid w:val="009F455E"/>
    <w:rsid w:val="00A01F1A"/>
    <w:rsid w:val="00A03626"/>
    <w:rsid w:val="00A06D12"/>
    <w:rsid w:val="00A10B5D"/>
    <w:rsid w:val="00A159CC"/>
    <w:rsid w:val="00A15DE9"/>
    <w:rsid w:val="00A163D9"/>
    <w:rsid w:val="00A26622"/>
    <w:rsid w:val="00A27C1F"/>
    <w:rsid w:val="00A30113"/>
    <w:rsid w:val="00A34D9D"/>
    <w:rsid w:val="00A35A3F"/>
    <w:rsid w:val="00A36786"/>
    <w:rsid w:val="00A40685"/>
    <w:rsid w:val="00A431DD"/>
    <w:rsid w:val="00A510CF"/>
    <w:rsid w:val="00A5415E"/>
    <w:rsid w:val="00A645A6"/>
    <w:rsid w:val="00A73002"/>
    <w:rsid w:val="00A7382D"/>
    <w:rsid w:val="00A75385"/>
    <w:rsid w:val="00A7761C"/>
    <w:rsid w:val="00A8176B"/>
    <w:rsid w:val="00A97B73"/>
    <w:rsid w:val="00AA32E0"/>
    <w:rsid w:val="00AA5367"/>
    <w:rsid w:val="00AA545E"/>
    <w:rsid w:val="00AA7032"/>
    <w:rsid w:val="00AA7433"/>
    <w:rsid w:val="00AB132E"/>
    <w:rsid w:val="00AB18EF"/>
    <w:rsid w:val="00AC2686"/>
    <w:rsid w:val="00AD1072"/>
    <w:rsid w:val="00AD2AD0"/>
    <w:rsid w:val="00AD4C52"/>
    <w:rsid w:val="00AE5B81"/>
    <w:rsid w:val="00AE5CA3"/>
    <w:rsid w:val="00AE7B10"/>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34BD8"/>
    <w:rsid w:val="00B46B49"/>
    <w:rsid w:val="00B51F9D"/>
    <w:rsid w:val="00B54D96"/>
    <w:rsid w:val="00B606A7"/>
    <w:rsid w:val="00B6099E"/>
    <w:rsid w:val="00B61804"/>
    <w:rsid w:val="00B61C97"/>
    <w:rsid w:val="00B6427E"/>
    <w:rsid w:val="00B66BF4"/>
    <w:rsid w:val="00B67778"/>
    <w:rsid w:val="00B67E49"/>
    <w:rsid w:val="00B75182"/>
    <w:rsid w:val="00B8668D"/>
    <w:rsid w:val="00B9328D"/>
    <w:rsid w:val="00B9783F"/>
    <w:rsid w:val="00BA1706"/>
    <w:rsid w:val="00BA1CAD"/>
    <w:rsid w:val="00BA5571"/>
    <w:rsid w:val="00BA7E1D"/>
    <w:rsid w:val="00BB15C8"/>
    <w:rsid w:val="00BB1755"/>
    <w:rsid w:val="00BB6F57"/>
    <w:rsid w:val="00BC0B3B"/>
    <w:rsid w:val="00BC374C"/>
    <w:rsid w:val="00BD4611"/>
    <w:rsid w:val="00BD625D"/>
    <w:rsid w:val="00BE1041"/>
    <w:rsid w:val="00BE2D48"/>
    <w:rsid w:val="00BE4BA2"/>
    <w:rsid w:val="00BE5023"/>
    <w:rsid w:val="00BF2791"/>
    <w:rsid w:val="00C02B3E"/>
    <w:rsid w:val="00C1023D"/>
    <w:rsid w:val="00C10624"/>
    <w:rsid w:val="00C17A6D"/>
    <w:rsid w:val="00C20924"/>
    <w:rsid w:val="00C221AA"/>
    <w:rsid w:val="00C238A5"/>
    <w:rsid w:val="00C23E2C"/>
    <w:rsid w:val="00C31328"/>
    <w:rsid w:val="00C33585"/>
    <w:rsid w:val="00C40B28"/>
    <w:rsid w:val="00C4191B"/>
    <w:rsid w:val="00C446ED"/>
    <w:rsid w:val="00C5239D"/>
    <w:rsid w:val="00C53EBB"/>
    <w:rsid w:val="00C60CAD"/>
    <w:rsid w:val="00C61C99"/>
    <w:rsid w:val="00C64341"/>
    <w:rsid w:val="00C6446D"/>
    <w:rsid w:val="00C65071"/>
    <w:rsid w:val="00C6573D"/>
    <w:rsid w:val="00C70D94"/>
    <w:rsid w:val="00C71734"/>
    <w:rsid w:val="00C73163"/>
    <w:rsid w:val="00C74B4C"/>
    <w:rsid w:val="00C751AA"/>
    <w:rsid w:val="00C83E60"/>
    <w:rsid w:val="00C85BBF"/>
    <w:rsid w:val="00C86843"/>
    <w:rsid w:val="00C86CD9"/>
    <w:rsid w:val="00C90FD7"/>
    <w:rsid w:val="00C91C16"/>
    <w:rsid w:val="00C925DC"/>
    <w:rsid w:val="00C92C5B"/>
    <w:rsid w:val="00C97389"/>
    <w:rsid w:val="00CA0828"/>
    <w:rsid w:val="00CB0B77"/>
    <w:rsid w:val="00CB13A2"/>
    <w:rsid w:val="00CB1B8E"/>
    <w:rsid w:val="00CC15A1"/>
    <w:rsid w:val="00CC2DB1"/>
    <w:rsid w:val="00CC7027"/>
    <w:rsid w:val="00CC7CA2"/>
    <w:rsid w:val="00CD5705"/>
    <w:rsid w:val="00CE2478"/>
    <w:rsid w:val="00CE42A7"/>
    <w:rsid w:val="00CE4E9C"/>
    <w:rsid w:val="00CE5517"/>
    <w:rsid w:val="00CE594E"/>
    <w:rsid w:val="00CF4B3F"/>
    <w:rsid w:val="00CF5B26"/>
    <w:rsid w:val="00CF6302"/>
    <w:rsid w:val="00CF6D0A"/>
    <w:rsid w:val="00D01EE8"/>
    <w:rsid w:val="00D127E2"/>
    <w:rsid w:val="00D23C4B"/>
    <w:rsid w:val="00D24B56"/>
    <w:rsid w:val="00D32864"/>
    <w:rsid w:val="00D3649D"/>
    <w:rsid w:val="00D41916"/>
    <w:rsid w:val="00D449AF"/>
    <w:rsid w:val="00D45AC2"/>
    <w:rsid w:val="00D45BE4"/>
    <w:rsid w:val="00D45F60"/>
    <w:rsid w:val="00D50CA0"/>
    <w:rsid w:val="00D51772"/>
    <w:rsid w:val="00D52992"/>
    <w:rsid w:val="00D5660B"/>
    <w:rsid w:val="00D56C48"/>
    <w:rsid w:val="00D60C6B"/>
    <w:rsid w:val="00D61A72"/>
    <w:rsid w:val="00D630B4"/>
    <w:rsid w:val="00D77F1A"/>
    <w:rsid w:val="00D8054E"/>
    <w:rsid w:val="00D80B69"/>
    <w:rsid w:val="00D87B52"/>
    <w:rsid w:val="00D96C4B"/>
    <w:rsid w:val="00DA2B84"/>
    <w:rsid w:val="00DA56D4"/>
    <w:rsid w:val="00DB4BE5"/>
    <w:rsid w:val="00DB5847"/>
    <w:rsid w:val="00DC03DB"/>
    <w:rsid w:val="00DC0AAE"/>
    <w:rsid w:val="00DC0BDC"/>
    <w:rsid w:val="00DC1137"/>
    <w:rsid w:val="00DC34E0"/>
    <w:rsid w:val="00DD492E"/>
    <w:rsid w:val="00DD596F"/>
    <w:rsid w:val="00DD7DEF"/>
    <w:rsid w:val="00DE163B"/>
    <w:rsid w:val="00DE793A"/>
    <w:rsid w:val="00DF2019"/>
    <w:rsid w:val="00DF295D"/>
    <w:rsid w:val="00DF2B53"/>
    <w:rsid w:val="00DF729A"/>
    <w:rsid w:val="00DF7D66"/>
    <w:rsid w:val="00E02F28"/>
    <w:rsid w:val="00E04303"/>
    <w:rsid w:val="00E04761"/>
    <w:rsid w:val="00E07E8C"/>
    <w:rsid w:val="00E170CB"/>
    <w:rsid w:val="00E20095"/>
    <w:rsid w:val="00E208F9"/>
    <w:rsid w:val="00E31171"/>
    <w:rsid w:val="00E32B8C"/>
    <w:rsid w:val="00E33812"/>
    <w:rsid w:val="00E370B3"/>
    <w:rsid w:val="00E452DA"/>
    <w:rsid w:val="00E47C1A"/>
    <w:rsid w:val="00E5279C"/>
    <w:rsid w:val="00E60B3E"/>
    <w:rsid w:val="00E611BD"/>
    <w:rsid w:val="00E6234F"/>
    <w:rsid w:val="00E64795"/>
    <w:rsid w:val="00E676AB"/>
    <w:rsid w:val="00E72BC5"/>
    <w:rsid w:val="00E76B9D"/>
    <w:rsid w:val="00E7782A"/>
    <w:rsid w:val="00E80646"/>
    <w:rsid w:val="00E82905"/>
    <w:rsid w:val="00E82CEB"/>
    <w:rsid w:val="00E9471E"/>
    <w:rsid w:val="00E96E49"/>
    <w:rsid w:val="00EA1400"/>
    <w:rsid w:val="00EB262A"/>
    <w:rsid w:val="00EC47A4"/>
    <w:rsid w:val="00EC55E7"/>
    <w:rsid w:val="00EC5732"/>
    <w:rsid w:val="00EC57E8"/>
    <w:rsid w:val="00EC5AA5"/>
    <w:rsid w:val="00EC5B31"/>
    <w:rsid w:val="00ED2418"/>
    <w:rsid w:val="00ED3463"/>
    <w:rsid w:val="00ED7107"/>
    <w:rsid w:val="00EE5C98"/>
    <w:rsid w:val="00EE7E5D"/>
    <w:rsid w:val="00EF4CCD"/>
    <w:rsid w:val="00EF7E55"/>
    <w:rsid w:val="00F03AA2"/>
    <w:rsid w:val="00F03F03"/>
    <w:rsid w:val="00F07F7F"/>
    <w:rsid w:val="00F12EB3"/>
    <w:rsid w:val="00F234B6"/>
    <w:rsid w:val="00F30C68"/>
    <w:rsid w:val="00F312F4"/>
    <w:rsid w:val="00F320F6"/>
    <w:rsid w:val="00F321FF"/>
    <w:rsid w:val="00F32C43"/>
    <w:rsid w:val="00F40AE3"/>
    <w:rsid w:val="00F50416"/>
    <w:rsid w:val="00F52125"/>
    <w:rsid w:val="00F537D2"/>
    <w:rsid w:val="00F60A58"/>
    <w:rsid w:val="00F62A46"/>
    <w:rsid w:val="00F630AC"/>
    <w:rsid w:val="00F6672B"/>
    <w:rsid w:val="00F734DA"/>
    <w:rsid w:val="00F814BA"/>
    <w:rsid w:val="00F8279D"/>
    <w:rsid w:val="00F84F9C"/>
    <w:rsid w:val="00F86F45"/>
    <w:rsid w:val="00F90923"/>
    <w:rsid w:val="00F92EFE"/>
    <w:rsid w:val="00F960EE"/>
    <w:rsid w:val="00FA02A3"/>
    <w:rsid w:val="00FA0571"/>
    <w:rsid w:val="00FA065B"/>
    <w:rsid w:val="00FA3199"/>
    <w:rsid w:val="00FA3C0E"/>
    <w:rsid w:val="00FB4F69"/>
    <w:rsid w:val="00FB5CED"/>
    <w:rsid w:val="00FB742A"/>
    <w:rsid w:val="00FB752F"/>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88C56"/>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56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B57D5"/>
    <w:pPr>
      <w:keepNext/>
      <w:keepLines/>
      <w:spacing w:before="200" w:after="0" w:line="276" w:lineRule="auto"/>
      <w:outlineLvl w:val="1"/>
    </w:pPr>
    <w:rPr>
      <w:rFonts w:ascii="Times New Roman" w:eastAsiaTheme="majorEastAsia" w:hAnsi="Times New Roman" w:cstheme="majorBidi"/>
      <w:b/>
      <w:bCs/>
      <w:noProof/>
      <w:color w:val="5B9BD5" w:themeColor="accent1"/>
      <w:sz w:val="28"/>
      <w:szCs w:val="26"/>
    </w:rPr>
  </w:style>
  <w:style w:type="paragraph" w:styleId="Heading3">
    <w:name w:val="heading 3"/>
    <w:basedOn w:val="Normal"/>
    <w:next w:val="Normal"/>
    <w:link w:val="Heading3Char"/>
    <w:uiPriority w:val="9"/>
    <w:unhideWhenUsed/>
    <w:qFormat/>
    <w:rsid w:val="000F566F"/>
    <w:pPr>
      <w:keepNext/>
      <w:keepLines/>
      <w:spacing w:before="200" w:after="0" w:line="276" w:lineRule="auto"/>
      <w:outlineLvl w:val="2"/>
    </w:pPr>
    <w:rPr>
      <w:rFonts w:ascii="Times New Roman" w:eastAsiaTheme="majorEastAsia" w:hAnsi="Times New Roman" w:cstheme="majorBidi"/>
      <w:b/>
      <w:bCs/>
      <w:noProof/>
      <w:color w:val="5B9BD5" w:themeColor="accent1"/>
      <w:sz w:val="24"/>
    </w:rPr>
  </w:style>
  <w:style w:type="paragraph" w:styleId="Heading4">
    <w:name w:val="heading 4"/>
    <w:basedOn w:val="Normal"/>
    <w:next w:val="Normal"/>
    <w:link w:val="Heading4Char"/>
    <w:uiPriority w:val="9"/>
    <w:unhideWhenUsed/>
    <w:qFormat/>
    <w:rsid w:val="000F566F"/>
    <w:pPr>
      <w:keepNext/>
      <w:keepLines/>
      <w:spacing w:before="200" w:after="0" w:line="276" w:lineRule="auto"/>
      <w:outlineLvl w:val="3"/>
    </w:pPr>
    <w:rPr>
      <w:rFonts w:ascii="Times New Roman" w:eastAsiaTheme="majorEastAsia" w:hAnsi="Times New Roman" w:cstheme="majorBidi"/>
      <w:b/>
      <w:bCs/>
      <w:i/>
      <w:iCs/>
      <w:noProof/>
      <w:color w:val="5B9BD5" w:themeColor="accent1"/>
      <w:sz w:val="28"/>
    </w:rPr>
  </w:style>
  <w:style w:type="paragraph" w:styleId="Heading5">
    <w:name w:val="heading 5"/>
    <w:basedOn w:val="Normal"/>
    <w:next w:val="Normal"/>
    <w:link w:val="Heading5Char"/>
    <w:uiPriority w:val="9"/>
    <w:unhideWhenUsed/>
    <w:qFormat/>
    <w:rsid w:val="000F566F"/>
    <w:pPr>
      <w:keepNext/>
      <w:keepLines/>
      <w:spacing w:before="200" w:after="0" w:line="276" w:lineRule="auto"/>
      <w:outlineLvl w:val="4"/>
    </w:pPr>
    <w:rPr>
      <w:rFonts w:ascii="Times New Roman" w:eastAsiaTheme="majorEastAsia" w:hAnsi="Times New Roman" w:cstheme="majorBidi"/>
      <w:b/>
      <w:i/>
      <w:noProof/>
      <w:color w:val="8496B0" w:themeColor="text2" w:themeTint="99"/>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link w:val="NoSpacingChar"/>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1"/>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customStyle="1" w:styleId="TEKSTIIIII">
    <w:name w:val="TEKSTIIIII"/>
    <w:basedOn w:val="Normal"/>
    <w:qFormat/>
    <w:rsid w:val="00835DB2"/>
    <w:pPr>
      <w:spacing w:after="0" w:line="240" w:lineRule="auto"/>
      <w:ind w:firstLine="284"/>
      <w:jc w:val="both"/>
    </w:pPr>
    <w:rPr>
      <w:rFonts w:ascii="Garamond" w:hAnsi="Garamond" w:cs="Times New Roman"/>
      <w:sz w:val="24"/>
      <w:szCs w:val="24"/>
    </w:rPr>
  </w:style>
  <w:style w:type="character" w:customStyle="1" w:styleId="Heading2Char">
    <w:name w:val="Heading 2 Char"/>
    <w:basedOn w:val="DefaultParagraphFont"/>
    <w:link w:val="Heading2"/>
    <w:uiPriority w:val="9"/>
    <w:rsid w:val="004B57D5"/>
    <w:rPr>
      <w:rFonts w:ascii="Times New Roman" w:eastAsiaTheme="majorEastAsia" w:hAnsi="Times New Roman" w:cstheme="majorBidi"/>
      <w:b/>
      <w:bCs/>
      <w:noProof/>
      <w:color w:val="5B9BD5" w:themeColor="accent1"/>
      <w:sz w:val="28"/>
      <w:szCs w:val="26"/>
    </w:rPr>
  </w:style>
  <w:style w:type="table" w:customStyle="1" w:styleId="TableGrid3">
    <w:name w:val="Table Grid3"/>
    <w:basedOn w:val="TableNormal"/>
    <w:next w:val="TableGrid"/>
    <w:uiPriority w:val="59"/>
    <w:rsid w:val="004B57D5"/>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B57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F566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0F566F"/>
    <w:rPr>
      <w:rFonts w:ascii="Times New Roman" w:eastAsiaTheme="majorEastAsia" w:hAnsi="Times New Roman" w:cstheme="majorBidi"/>
      <w:b/>
      <w:bCs/>
      <w:noProof/>
      <w:color w:val="5B9BD5" w:themeColor="accent1"/>
      <w:sz w:val="24"/>
    </w:rPr>
  </w:style>
  <w:style w:type="character" w:customStyle="1" w:styleId="Heading4Char">
    <w:name w:val="Heading 4 Char"/>
    <w:basedOn w:val="DefaultParagraphFont"/>
    <w:link w:val="Heading4"/>
    <w:uiPriority w:val="9"/>
    <w:rsid w:val="000F566F"/>
    <w:rPr>
      <w:rFonts w:ascii="Times New Roman" w:eastAsiaTheme="majorEastAsia" w:hAnsi="Times New Roman" w:cstheme="majorBidi"/>
      <w:b/>
      <w:bCs/>
      <w:i/>
      <w:iCs/>
      <w:noProof/>
      <w:color w:val="5B9BD5" w:themeColor="accent1"/>
      <w:sz w:val="28"/>
    </w:rPr>
  </w:style>
  <w:style w:type="character" w:customStyle="1" w:styleId="Heading5Char">
    <w:name w:val="Heading 5 Char"/>
    <w:basedOn w:val="DefaultParagraphFont"/>
    <w:link w:val="Heading5"/>
    <w:uiPriority w:val="9"/>
    <w:rsid w:val="000F566F"/>
    <w:rPr>
      <w:rFonts w:ascii="Times New Roman" w:eastAsiaTheme="majorEastAsia" w:hAnsi="Times New Roman" w:cstheme="majorBidi"/>
      <w:b/>
      <w:i/>
      <w:noProof/>
      <w:color w:val="8496B0" w:themeColor="text2" w:themeTint="99"/>
      <w:sz w:val="24"/>
    </w:rPr>
  </w:style>
  <w:style w:type="character" w:customStyle="1" w:styleId="NoSpacingChar">
    <w:name w:val="No Spacing Char"/>
    <w:basedOn w:val="DefaultParagraphFont"/>
    <w:link w:val="NoSpacing"/>
    <w:uiPriority w:val="1"/>
    <w:rsid w:val="000F566F"/>
  </w:style>
  <w:style w:type="paragraph" w:styleId="TOCHeading">
    <w:name w:val="TOC Heading"/>
    <w:basedOn w:val="Heading1"/>
    <w:next w:val="Normal"/>
    <w:uiPriority w:val="39"/>
    <w:semiHidden/>
    <w:unhideWhenUsed/>
    <w:qFormat/>
    <w:rsid w:val="000F566F"/>
    <w:pPr>
      <w:spacing w:before="480" w:line="276" w:lineRule="auto"/>
      <w:outlineLvl w:val="9"/>
    </w:pPr>
    <w:rPr>
      <w:b/>
      <w:bCs/>
      <w:sz w:val="28"/>
      <w:szCs w:val="28"/>
      <w:lang w:val="en-US" w:eastAsia="ja-JP"/>
    </w:rPr>
  </w:style>
  <w:style w:type="paragraph" w:styleId="TOC2">
    <w:name w:val="toc 2"/>
    <w:basedOn w:val="Normal"/>
    <w:next w:val="Normal"/>
    <w:autoRedefine/>
    <w:uiPriority w:val="39"/>
    <w:unhideWhenUsed/>
    <w:qFormat/>
    <w:rsid w:val="000F566F"/>
    <w:pPr>
      <w:tabs>
        <w:tab w:val="right" w:leader="dot" w:pos="9016"/>
      </w:tabs>
      <w:spacing w:after="100" w:line="276" w:lineRule="auto"/>
      <w:ind w:left="220"/>
    </w:pPr>
    <w:rPr>
      <w:rFonts w:ascii="Times New Roman" w:eastAsiaTheme="majorEastAsia" w:hAnsi="Times New Roman" w:cstheme="majorBidi"/>
      <w:bCs/>
      <w:noProof/>
    </w:rPr>
  </w:style>
  <w:style w:type="paragraph" w:styleId="TOC3">
    <w:name w:val="toc 3"/>
    <w:basedOn w:val="Normal"/>
    <w:next w:val="Normal"/>
    <w:autoRedefine/>
    <w:uiPriority w:val="39"/>
    <w:unhideWhenUsed/>
    <w:qFormat/>
    <w:rsid w:val="000F566F"/>
    <w:pPr>
      <w:spacing w:after="100" w:line="276" w:lineRule="auto"/>
      <w:ind w:left="440"/>
    </w:pPr>
    <w:rPr>
      <w:rFonts w:eastAsia="MS Mincho"/>
      <w:noProof/>
    </w:rPr>
  </w:style>
  <w:style w:type="character" w:styleId="Hyperlink">
    <w:name w:val="Hyperlink"/>
    <w:basedOn w:val="DefaultParagraphFont"/>
    <w:uiPriority w:val="99"/>
    <w:unhideWhenUsed/>
    <w:rsid w:val="000F566F"/>
    <w:rPr>
      <w:color w:val="0563C1" w:themeColor="hyperlink"/>
      <w:u w:val="single"/>
    </w:rPr>
  </w:style>
  <w:style w:type="paragraph" w:styleId="TOC1">
    <w:name w:val="toc 1"/>
    <w:basedOn w:val="Normal"/>
    <w:next w:val="Normal"/>
    <w:autoRedefine/>
    <w:uiPriority w:val="39"/>
    <w:unhideWhenUsed/>
    <w:qFormat/>
    <w:rsid w:val="000F566F"/>
    <w:pPr>
      <w:tabs>
        <w:tab w:val="right" w:leader="dot" w:pos="9016"/>
      </w:tabs>
      <w:spacing w:after="100" w:line="276" w:lineRule="auto"/>
    </w:pPr>
    <w:rPr>
      <w:rFonts w:eastAsiaTheme="minorEastAsia"/>
      <w:lang w:val="en-US" w:eastAsia="ja-JP"/>
    </w:rPr>
  </w:style>
  <w:style w:type="character" w:styleId="CommentReference">
    <w:name w:val="annotation reference"/>
    <w:basedOn w:val="DefaultParagraphFont"/>
    <w:uiPriority w:val="99"/>
    <w:semiHidden/>
    <w:unhideWhenUsed/>
    <w:qFormat/>
    <w:rsid w:val="000F566F"/>
    <w:rPr>
      <w:sz w:val="16"/>
      <w:szCs w:val="16"/>
    </w:rPr>
  </w:style>
  <w:style w:type="paragraph" w:styleId="CommentText">
    <w:name w:val="annotation text"/>
    <w:basedOn w:val="Normal"/>
    <w:link w:val="CommentTextChar"/>
    <w:uiPriority w:val="99"/>
    <w:unhideWhenUsed/>
    <w:rsid w:val="000F566F"/>
    <w:pPr>
      <w:spacing w:after="200" w:line="240" w:lineRule="auto"/>
    </w:pPr>
    <w:rPr>
      <w:rFonts w:eastAsia="MS Mincho"/>
      <w:noProof/>
      <w:sz w:val="20"/>
      <w:szCs w:val="20"/>
    </w:rPr>
  </w:style>
  <w:style w:type="character" w:customStyle="1" w:styleId="CommentTextChar">
    <w:name w:val="Comment Text Char"/>
    <w:basedOn w:val="DefaultParagraphFont"/>
    <w:link w:val="CommentText"/>
    <w:uiPriority w:val="99"/>
    <w:rsid w:val="000F566F"/>
    <w:rPr>
      <w:rFonts w:eastAsia="MS Mincho"/>
      <w:noProof/>
      <w:sz w:val="20"/>
      <w:szCs w:val="20"/>
    </w:rPr>
  </w:style>
  <w:style w:type="paragraph" w:styleId="CommentSubject">
    <w:name w:val="annotation subject"/>
    <w:basedOn w:val="CommentText"/>
    <w:next w:val="CommentText"/>
    <w:link w:val="CommentSubjectChar"/>
    <w:uiPriority w:val="99"/>
    <w:semiHidden/>
    <w:unhideWhenUsed/>
    <w:rsid w:val="000F566F"/>
    <w:rPr>
      <w:b/>
      <w:bCs/>
    </w:rPr>
  </w:style>
  <w:style w:type="character" w:customStyle="1" w:styleId="CommentSubjectChar">
    <w:name w:val="Comment Subject Char"/>
    <w:basedOn w:val="CommentTextChar"/>
    <w:link w:val="CommentSubject"/>
    <w:uiPriority w:val="99"/>
    <w:semiHidden/>
    <w:rsid w:val="000F566F"/>
    <w:rPr>
      <w:rFonts w:eastAsia="MS Mincho"/>
      <w:b/>
      <w:bCs/>
      <w:noProof/>
      <w:sz w:val="20"/>
      <w:szCs w:val="20"/>
    </w:rPr>
  </w:style>
  <w:style w:type="paragraph" w:styleId="Revision">
    <w:name w:val="Revision"/>
    <w:hidden/>
    <w:uiPriority w:val="99"/>
    <w:semiHidden/>
    <w:rsid w:val="000F566F"/>
    <w:pPr>
      <w:spacing w:after="0" w:line="240" w:lineRule="auto"/>
    </w:pPr>
    <w:rPr>
      <w:rFonts w:eastAsia="MS Mincho"/>
      <w:noProof/>
    </w:rPr>
  </w:style>
  <w:style w:type="table" w:styleId="LightShading-Accent4">
    <w:name w:val="Light Shading Accent 4"/>
    <w:basedOn w:val="TableNormal"/>
    <w:uiPriority w:val="60"/>
    <w:rsid w:val="000F566F"/>
    <w:pPr>
      <w:spacing w:after="0" w:line="240" w:lineRule="auto"/>
    </w:pPr>
    <w:rPr>
      <w:rFonts w:ascii="Calibri" w:eastAsia="MS Mincho" w:hAnsi="Calibri" w:cs="Times New Roman"/>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Lines="0" w:beforeAutospacing="0" w:afterLines="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customStyle="1" w:styleId="InfoHeading">
    <w:name w:val="Info Heading"/>
    <w:basedOn w:val="Normal"/>
    <w:uiPriority w:val="2"/>
    <w:qFormat/>
    <w:rsid w:val="000F566F"/>
    <w:pPr>
      <w:spacing w:after="60" w:line="240" w:lineRule="auto"/>
      <w:ind w:left="29" w:right="29"/>
      <w:jc w:val="right"/>
    </w:pPr>
    <w:rPr>
      <w:rFonts w:ascii="Arial" w:eastAsia="MS Mincho" w:hAnsi="Arial" w:cs="Times New Roman"/>
      <w:b/>
      <w:bCs/>
      <w:color w:val="EF4623"/>
      <w:sz w:val="36"/>
      <w:szCs w:val="20"/>
      <w:lang w:val="en-US" w:eastAsia="ja-JP"/>
    </w:rPr>
  </w:style>
  <w:style w:type="paragraph" w:customStyle="1" w:styleId="Page">
    <w:name w:val="Page"/>
    <w:basedOn w:val="Normal"/>
    <w:next w:val="Normal"/>
    <w:uiPriority w:val="99"/>
    <w:unhideWhenUsed/>
    <w:qFormat/>
    <w:rsid w:val="000F566F"/>
    <w:pPr>
      <w:spacing w:after="40" w:line="240" w:lineRule="auto"/>
    </w:pPr>
    <w:rPr>
      <w:rFonts w:ascii="Arial" w:eastAsia="MS Mincho" w:hAnsi="Arial" w:cs="Times New Roman"/>
      <w:noProof/>
      <w:color w:val="000000"/>
      <w:sz w:val="36"/>
      <w:szCs w:val="20"/>
      <w:lang w:val="en-US" w:eastAsia="ja-JP"/>
    </w:rPr>
  </w:style>
  <w:style w:type="table" w:customStyle="1" w:styleId="LightList-Accent11">
    <w:name w:val="Light List - Accent 11"/>
    <w:basedOn w:val="TableNormal"/>
    <w:uiPriority w:val="61"/>
    <w:rsid w:val="000F566F"/>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Default">
    <w:name w:val="Default"/>
    <w:rsid w:val="000F566F"/>
    <w:pPr>
      <w:autoSpaceDE w:val="0"/>
      <w:autoSpaceDN w:val="0"/>
      <w:adjustRightInd w:val="0"/>
      <w:spacing w:after="0" w:line="240" w:lineRule="auto"/>
    </w:pPr>
    <w:rPr>
      <w:rFonts w:ascii="Arial" w:eastAsia="MS Mincho" w:hAnsi="Arial" w:cs="Arial"/>
      <w:color w:val="000000"/>
      <w:sz w:val="24"/>
      <w:szCs w:val="24"/>
      <w:lang w:val="en-GB" w:eastAsia="en-GB"/>
    </w:rPr>
  </w:style>
  <w:style w:type="table" w:customStyle="1" w:styleId="LightList-Accent12">
    <w:name w:val="Light List - Accent 12"/>
    <w:basedOn w:val="TableNormal"/>
    <w:next w:val="LightList-Accent1"/>
    <w:uiPriority w:val="61"/>
    <w:rsid w:val="000F566F"/>
    <w:pPr>
      <w:spacing w:after="0" w:line="240" w:lineRule="auto"/>
    </w:pPr>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rsid w:val="000F566F"/>
    <w:pPr>
      <w:spacing w:after="0" w:line="240" w:lineRule="auto"/>
    </w:pPr>
    <w:rPr>
      <w:rFonts w:eastAsia="MS Mincho"/>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List-Accent13">
    <w:name w:val="Light List - Accent 13"/>
    <w:basedOn w:val="TableNormal"/>
    <w:uiPriority w:val="61"/>
    <w:rsid w:val="000F566F"/>
    <w:pPr>
      <w:spacing w:after="0" w:line="240" w:lineRule="auto"/>
    </w:pPr>
    <w:rPr>
      <w:rFonts w:eastAsia="MS Mincho"/>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List-Accent121">
    <w:name w:val="Light List - Accent 121"/>
    <w:basedOn w:val="TableNormal"/>
    <w:next w:val="LightList-Accent1"/>
    <w:uiPriority w:val="61"/>
    <w:rsid w:val="000F566F"/>
    <w:pPr>
      <w:spacing w:after="0" w:line="240" w:lineRule="auto"/>
    </w:pPr>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ztplmc">
    <w:name w:val="ztplmc"/>
    <w:basedOn w:val="DefaultParagraphFont"/>
    <w:rsid w:val="000F566F"/>
  </w:style>
  <w:style w:type="character" w:customStyle="1" w:styleId="material-icons-extended">
    <w:name w:val="material-icons-extended"/>
    <w:basedOn w:val="DefaultParagraphFont"/>
    <w:rsid w:val="000F566F"/>
  </w:style>
  <w:style w:type="character" w:customStyle="1" w:styleId="q4iawc">
    <w:name w:val="q4iawc"/>
    <w:basedOn w:val="DefaultParagraphFont"/>
    <w:rsid w:val="000F566F"/>
  </w:style>
  <w:style w:type="paragraph" w:customStyle="1" w:styleId="elementtoproof">
    <w:name w:val="elementtoproof"/>
    <w:basedOn w:val="Normal"/>
    <w:rsid w:val="000F566F"/>
    <w:pPr>
      <w:spacing w:after="0" w:line="240" w:lineRule="auto"/>
    </w:pPr>
    <w:rPr>
      <w:rFonts w:ascii="Calibri" w:hAnsi="Calibri" w:cs="Calibri"/>
      <w:lang w:val="en-GB" w:eastAsia="en-GB"/>
    </w:rPr>
  </w:style>
  <w:style w:type="table" w:customStyle="1" w:styleId="ListTable3-Accent11">
    <w:name w:val="List Table 3 - Accent 11"/>
    <w:basedOn w:val="TableNormal"/>
    <w:uiPriority w:val="48"/>
    <w:rsid w:val="000F566F"/>
    <w:pPr>
      <w:spacing w:after="0" w:line="240" w:lineRule="auto"/>
    </w:pPr>
    <w:rPr>
      <w:lang w:val="en-GB"/>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xmsonormal">
    <w:name w:val="x_msonormal"/>
    <w:basedOn w:val="Normal"/>
    <w:rsid w:val="000F566F"/>
    <w:pPr>
      <w:spacing w:after="0" w:line="240" w:lineRule="auto"/>
    </w:pPr>
    <w:rPr>
      <w:rFonts w:ascii="Calibri" w:hAnsi="Calibri" w:cs="Calibri"/>
      <w:lang w:val="en-GB" w:eastAsia="en-GB"/>
    </w:rPr>
  </w:style>
  <w:style w:type="table" w:customStyle="1" w:styleId="LightList-Accent1211">
    <w:name w:val="Light List - Accent 1211"/>
    <w:basedOn w:val="TableNormal"/>
    <w:next w:val="LightList-Accent1"/>
    <w:uiPriority w:val="61"/>
    <w:rsid w:val="000F566F"/>
    <w:pPr>
      <w:spacing w:after="0" w:line="240" w:lineRule="auto"/>
    </w:pPr>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EndnoteText">
    <w:name w:val="endnote text"/>
    <w:basedOn w:val="Normal"/>
    <w:link w:val="EndnoteTextChar"/>
    <w:uiPriority w:val="99"/>
    <w:semiHidden/>
    <w:unhideWhenUsed/>
    <w:rsid w:val="000F566F"/>
    <w:pPr>
      <w:spacing w:after="0" w:line="240" w:lineRule="auto"/>
    </w:pPr>
    <w:rPr>
      <w:rFonts w:eastAsia="MS Mincho"/>
      <w:noProof/>
      <w:sz w:val="20"/>
      <w:szCs w:val="20"/>
    </w:rPr>
  </w:style>
  <w:style w:type="character" w:customStyle="1" w:styleId="EndnoteTextChar">
    <w:name w:val="Endnote Text Char"/>
    <w:basedOn w:val="DefaultParagraphFont"/>
    <w:link w:val="EndnoteText"/>
    <w:uiPriority w:val="99"/>
    <w:semiHidden/>
    <w:rsid w:val="000F566F"/>
    <w:rPr>
      <w:rFonts w:eastAsia="MS Mincho"/>
      <w:noProof/>
      <w:sz w:val="20"/>
      <w:szCs w:val="20"/>
    </w:rPr>
  </w:style>
  <w:style w:type="character" w:styleId="EndnoteReference">
    <w:name w:val="endnote reference"/>
    <w:basedOn w:val="DefaultParagraphFont"/>
    <w:uiPriority w:val="99"/>
    <w:semiHidden/>
    <w:unhideWhenUsed/>
    <w:rsid w:val="000F566F"/>
    <w:rPr>
      <w:vertAlign w:val="superscript"/>
    </w:rPr>
  </w:style>
  <w:style w:type="table" w:customStyle="1" w:styleId="LightList-Accent111">
    <w:name w:val="Light List - Accent 111"/>
    <w:basedOn w:val="TableNormal"/>
    <w:uiPriority w:val="61"/>
    <w:rsid w:val="000F566F"/>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2">
    <w:name w:val="Light List - Accent 112"/>
    <w:basedOn w:val="TableNormal"/>
    <w:uiPriority w:val="61"/>
    <w:rsid w:val="000F566F"/>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rmalWeb">
    <w:name w:val="Normal (Web)"/>
    <w:basedOn w:val="Normal"/>
    <w:uiPriority w:val="99"/>
    <w:unhideWhenUsed/>
    <w:rsid w:val="000F566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numbering" w:customStyle="1" w:styleId="NoList1">
    <w:name w:val="No List1"/>
    <w:next w:val="NoList"/>
    <w:uiPriority w:val="99"/>
    <w:semiHidden/>
    <w:unhideWhenUsed/>
    <w:rsid w:val="000F566F"/>
  </w:style>
  <w:style w:type="paragraph" w:customStyle="1" w:styleId="Heading11">
    <w:name w:val="Heading 11"/>
    <w:basedOn w:val="Normal"/>
    <w:next w:val="Normal"/>
    <w:uiPriority w:val="9"/>
    <w:qFormat/>
    <w:rsid w:val="000F566F"/>
    <w:pPr>
      <w:keepNext/>
      <w:keepLines/>
      <w:spacing w:before="480" w:after="0" w:line="276" w:lineRule="auto"/>
      <w:outlineLvl w:val="0"/>
    </w:pPr>
    <w:rPr>
      <w:rFonts w:ascii="Cambria" w:eastAsia="Times New Roman" w:hAnsi="Cambria" w:cs="Times New Roman"/>
      <w:b/>
      <w:bCs/>
      <w:noProof/>
      <w:color w:val="365F91"/>
      <w:sz w:val="28"/>
      <w:szCs w:val="28"/>
    </w:rPr>
  </w:style>
  <w:style w:type="paragraph" w:customStyle="1" w:styleId="Heading21">
    <w:name w:val="Heading 21"/>
    <w:basedOn w:val="Normal"/>
    <w:next w:val="Normal"/>
    <w:uiPriority w:val="9"/>
    <w:unhideWhenUsed/>
    <w:qFormat/>
    <w:rsid w:val="000F566F"/>
    <w:pPr>
      <w:keepNext/>
      <w:keepLines/>
      <w:spacing w:before="200" w:after="0" w:line="276" w:lineRule="auto"/>
      <w:outlineLvl w:val="1"/>
    </w:pPr>
    <w:rPr>
      <w:rFonts w:ascii="Times New Roman" w:eastAsia="Times New Roman" w:hAnsi="Times New Roman" w:cs="Times New Roman"/>
      <w:b/>
      <w:bCs/>
      <w:color w:val="4F81BD"/>
      <w:sz w:val="28"/>
      <w:szCs w:val="26"/>
    </w:rPr>
  </w:style>
  <w:style w:type="paragraph" w:customStyle="1" w:styleId="Heading31">
    <w:name w:val="Heading 31"/>
    <w:basedOn w:val="Normal"/>
    <w:next w:val="Normal"/>
    <w:uiPriority w:val="9"/>
    <w:unhideWhenUsed/>
    <w:qFormat/>
    <w:rsid w:val="000F566F"/>
    <w:pPr>
      <w:keepNext/>
      <w:keepLines/>
      <w:spacing w:before="200" w:after="0" w:line="276" w:lineRule="auto"/>
      <w:outlineLvl w:val="2"/>
    </w:pPr>
    <w:rPr>
      <w:rFonts w:ascii="Times New Roman" w:eastAsia="Times New Roman" w:hAnsi="Times New Roman" w:cs="Times New Roman"/>
      <w:b/>
      <w:bCs/>
      <w:color w:val="4F81BD"/>
      <w:sz w:val="24"/>
    </w:rPr>
  </w:style>
  <w:style w:type="paragraph" w:customStyle="1" w:styleId="Heading41">
    <w:name w:val="Heading 41"/>
    <w:basedOn w:val="Normal"/>
    <w:next w:val="Normal"/>
    <w:uiPriority w:val="9"/>
    <w:unhideWhenUsed/>
    <w:rsid w:val="000F566F"/>
    <w:pPr>
      <w:keepNext/>
      <w:keepLines/>
      <w:spacing w:before="200" w:after="0" w:line="276" w:lineRule="auto"/>
      <w:outlineLvl w:val="3"/>
    </w:pPr>
    <w:rPr>
      <w:rFonts w:ascii="Times New Roman" w:eastAsia="Times New Roman" w:hAnsi="Times New Roman" w:cs="Times New Roman"/>
      <w:b/>
      <w:bCs/>
      <w:i/>
      <w:iCs/>
      <w:color w:val="4F81BD"/>
      <w:sz w:val="28"/>
    </w:rPr>
  </w:style>
  <w:style w:type="paragraph" w:customStyle="1" w:styleId="Heading51">
    <w:name w:val="Heading 51"/>
    <w:basedOn w:val="Normal"/>
    <w:next w:val="Normal"/>
    <w:uiPriority w:val="9"/>
    <w:unhideWhenUsed/>
    <w:qFormat/>
    <w:rsid w:val="000F566F"/>
    <w:pPr>
      <w:keepNext/>
      <w:keepLines/>
      <w:spacing w:before="200" w:after="0" w:line="276" w:lineRule="auto"/>
      <w:outlineLvl w:val="4"/>
    </w:pPr>
    <w:rPr>
      <w:rFonts w:ascii="Times New Roman" w:eastAsia="Times New Roman" w:hAnsi="Times New Roman" w:cs="Times New Roman"/>
      <w:b/>
      <w:i/>
      <w:color w:val="548DD4"/>
      <w:sz w:val="24"/>
    </w:rPr>
  </w:style>
  <w:style w:type="numbering" w:customStyle="1" w:styleId="NoList11">
    <w:name w:val="No List11"/>
    <w:next w:val="NoList"/>
    <w:uiPriority w:val="99"/>
    <w:semiHidden/>
    <w:unhideWhenUsed/>
    <w:rsid w:val="000F566F"/>
  </w:style>
  <w:style w:type="character" w:customStyle="1" w:styleId="Heading1Char1">
    <w:name w:val="Heading 1 Char1"/>
    <w:basedOn w:val="DefaultParagraphFont"/>
    <w:uiPriority w:val="9"/>
    <w:rsid w:val="000F566F"/>
    <w:rPr>
      <w:rFonts w:ascii="Calibri Light" w:eastAsia="Times New Roman" w:hAnsi="Calibri Light" w:cs="Times New Roman"/>
      <w:color w:val="2F5496"/>
      <w:sz w:val="32"/>
      <w:szCs w:val="32"/>
    </w:rPr>
  </w:style>
  <w:style w:type="paragraph" w:customStyle="1" w:styleId="TOC21">
    <w:name w:val="TOC 21"/>
    <w:basedOn w:val="Normal"/>
    <w:next w:val="Normal"/>
    <w:autoRedefine/>
    <w:uiPriority w:val="39"/>
    <w:unhideWhenUsed/>
    <w:qFormat/>
    <w:rsid w:val="000F566F"/>
    <w:pPr>
      <w:tabs>
        <w:tab w:val="right" w:leader="dot" w:pos="9016"/>
      </w:tabs>
      <w:spacing w:after="100" w:line="276" w:lineRule="auto"/>
      <w:ind w:left="220"/>
    </w:pPr>
    <w:rPr>
      <w:rFonts w:ascii="Times New Roman" w:eastAsia="Times New Roman" w:hAnsi="Times New Roman" w:cs="Times New Roman"/>
      <w:bCs/>
    </w:rPr>
  </w:style>
  <w:style w:type="character" w:customStyle="1" w:styleId="Hyperlink1">
    <w:name w:val="Hyperlink1"/>
    <w:basedOn w:val="DefaultParagraphFont"/>
    <w:uiPriority w:val="99"/>
    <w:unhideWhenUsed/>
    <w:rsid w:val="000F566F"/>
    <w:rPr>
      <w:color w:val="0000FF"/>
      <w:u w:val="single"/>
    </w:rPr>
  </w:style>
  <w:style w:type="paragraph" w:customStyle="1" w:styleId="TOC11">
    <w:name w:val="TOC 11"/>
    <w:basedOn w:val="Normal"/>
    <w:next w:val="Normal"/>
    <w:autoRedefine/>
    <w:uiPriority w:val="39"/>
    <w:unhideWhenUsed/>
    <w:qFormat/>
    <w:rsid w:val="000F566F"/>
    <w:pPr>
      <w:spacing w:after="100" w:line="276" w:lineRule="auto"/>
    </w:pPr>
    <w:rPr>
      <w:rFonts w:eastAsia="Times New Roman"/>
      <w:lang w:val="en-US" w:eastAsia="ja-JP"/>
    </w:rPr>
  </w:style>
  <w:style w:type="table" w:customStyle="1" w:styleId="LightShading-Accent41">
    <w:name w:val="Light Shading - Accent 41"/>
    <w:basedOn w:val="TableNormal"/>
    <w:next w:val="LightShading-Accent4"/>
    <w:uiPriority w:val="60"/>
    <w:rsid w:val="000F566F"/>
    <w:pPr>
      <w:spacing w:after="0" w:line="240" w:lineRule="auto"/>
    </w:pPr>
    <w:rPr>
      <w:rFonts w:ascii="Calibri" w:eastAsia="MS Mincho" w:hAnsi="Calibri" w:cs="Times New Roman"/>
      <w:color w:val="5F497A"/>
      <w:lang w:val="en-US"/>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3">
    <w:name w:val="Light List - Accent 113"/>
    <w:basedOn w:val="TableNormal"/>
    <w:uiPriority w:val="61"/>
    <w:rsid w:val="000F566F"/>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31">
    <w:name w:val="Light List - Accent 131"/>
    <w:basedOn w:val="TableNormal"/>
    <w:next w:val="LightList-Accent1"/>
    <w:uiPriority w:val="61"/>
    <w:rsid w:val="000F566F"/>
    <w:pPr>
      <w:spacing w:after="0" w:line="240" w:lineRule="auto"/>
    </w:pPr>
    <w:rPr>
      <w:rFonts w:eastAsia="MS Mincho"/>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Table3-Accent111">
    <w:name w:val="List Table 3 - Accent 111"/>
    <w:basedOn w:val="TableNormal"/>
    <w:uiPriority w:val="48"/>
    <w:rsid w:val="000F566F"/>
    <w:pPr>
      <w:spacing w:after="0" w:line="240" w:lineRule="auto"/>
    </w:pPr>
    <w:rPr>
      <w:rFonts w:eastAsia="Calibri"/>
      <w:lang w:val="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customStyle="1" w:styleId="Heading2Char1">
    <w:name w:val="Heading 2 Char1"/>
    <w:basedOn w:val="DefaultParagraphFont"/>
    <w:uiPriority w:val="9"/>
    <w:semiHidden/>
    <w:rsid w:val="000F566F"/>
    <w:rPr>
      <w:rFonts w:ascii="Calibri Light" w:eastAsia="Times New Roman" w:hAnsi="Calibri Light" w:cs="Times New Roman"/>
      <w:color w:val="2F5496"/>
      <w:sz w:val="26"/>
      <w:szCs w:val="26"/>
    </w:rPr>
  </w:style>
  <w:style w:type="character" w:customStyle="1" w:styleId="Heading3Char1">
    <w:name w:val="Heading 3 Char1"/>
    <w:basedOn w:val="DefaultParagraphFont"/>
    <w:uiPriority w:val="9"/>
    <w:semiHidden/>
    <w:rsid w:val="000F566F"/>
    <w:rPr>
      <w:rFonts w:ascii="Calibri Light" w:eastAsia="Times New Roman" w:hAnsi="Calibri Light" w:cs="Times New Roman"/>
      <w:color w:val="1F3763"/>
      <w:sz w:val="24"/>
      <w:szCs w:val="24"/>
    </w:rPr>
  </w:style>
  <w:style w:type="character" w:customStyle="1" w:styleId="Heading4Char1">
    <w:name w:val="Heading 4 Char1"/>
    <w:basedOn w:val="DefaultParagraphFont"/>
    <w:uiPriority w:val="9"/>
    <w:semiHidden/>
    <w:rsid w:val="000F566F"/>
    <w:rPr>
      <w:rFonts w:ascii="Calibri Light" w:eastAsia="Times New Roman" w:hAnsi="Calibri Light" w:cs="Times New Roman"/>
      <w:i/>
      <w:iCs/>
      <w:color w:val="2F5496"/>
    </w:rPr>
  </w:style>
  <w:style w:type="character" w:customStyle="1" w:styleId="Heading5Char1">
    <w:name w:val="Heading 5 Char1"/>
    <w:basedOn w:val="DefaultParagraphFont"/>
    <w:uiPriority w:val="9"/>
    <w:semiHidden/>
    <w:rsid w:val="000F566F"/>
    <w:rPr>
      <w:rFonts w:ascii="Calibri Light" w:eastAsia="Times New Roman" w:hAnsi="Calibri Light" w:cs="Times New Roman"/>
      <w:color w:val="2F5496"/>
    </w:rPr>
  </w:style>
  <w:style w:type="table" w:customStyle="1" w:styleId="LightShading-Accent42">
    <w:name w:val="Light Shading - Accent 42"/>
    <w:basedOn w:val="TableNormal"/>
    <w:next w:val="LightShading-Accent4"/>
    <w:uiPriority w:val="60"/>
    <w:semiHidden/>
    <w:unhideWhenUsed/>
    <w:rsid w:val="000F566F"/>
    <w:pPr>
      <w:spacing w:after="0" w:line="240" w:lineRule="auto"/>
    </w:pPr>
    <w:rPr>
      <w:rFonts w:eastAsia="Calibri"/>
      <w:color w:val="BF8F00"/>
      <w:lang w:val="en-GB"/>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List-Accent14">
    <w:name w:val="Light List - Accent 14"/>
    <w:basedOn w:val="TableNormal"/>
    <w:next w:val="LightList-Accent1"/>
    <w:uiPriority w:val="61"/>
    <w:semiHidden/>
    <w:unhideWhenUsed/>
    <w:rsid w:val="000F566F"/>
    <w:pPr>
      <w:spacing w:after="0" w:line="240" w:lineRule="auto"/>
    </w:pPr>
    <w:rPr>
      <w:rFonts w:eastAsia="Calibri"/>
      <w:lang w:val="en-GB"/>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Table3-Accent112">
    <w:name w:val="List Table 3 - Accent 112"/>
    <w:basedOn w:val="TableNormal"/>
    <w:uiPriority w:val="48"/>
    <w:rsid w:val="000F566F"/>
    <w:pPr>
      <w:spacing w:after="0" w:line="240" w:lineRule="auto"/>
    </w:pPr>
    <w:rPr>
      <w:rFonts w:eastAsia="Calibri"/>
      <w:lang w:val="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TableGrid1">
    <w:name w:val="Table Grid1"/>
    <w:basedOn w:val="TableNormal"/>
    <w:next w:val="TableGrid"/>
    <w:uiPriority w:val="39"/>
    <w:rsid w:val="000F566F"/>
    <w:pPr>
      <w:spacing w:after="0" w:line="240" w:lineRule="auto"/>
    </w:pPr>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F566F"/>
    <w:pPr>
      <w:spacing w:after="0" w:line="240" w:lineRule="auto"/>
    </w:pPr>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1111">
    <w:name w:val="List Table 3 - Accent 1111"/>
    <w:basedOn w:val="TableNormal"/>
    <w:uiPriority w:val="48"/>
    <w:rsid w:val="000F566F"/>
    <w:pPr>
      <w:spacing w:after="0" w:line="240" w:lineRule="auto"/>
    </w:pPr>
    <w:rPr>
      <w:rFonts w:eastAsia="Calibri"/>
      <w:lang w:val="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1112">
    <w:name w:val="List Table 3 - Accent 1112"/>
    <w:basedOn w:val="TableNormal"/>
    <w:uiPriority w:val="48"/>
    <w:rsid w:val="000F566F"/>
    <w:pPr>
      <w:spacing w:after="0" w:line="240" w:lineRule="auto"/>
    </w:pPr>
    <w:rPr>
      <w:rFonts w:eastAsia="Calibri"/>
      <w:lang w:val="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styleId="FollowedHyperlink">
    <w:name w:val="FollowedHyperlink"/>
    <w:basedOn w:val="DefaultParagraphFont"/>
    <w:uiPriority w:val="99"/>
    <w:semiHidden/>
    <w:unhideWhenUsed/>
    <w:rsid w:val="0021321C"/>
    <w:rPr>
      <w:color w:val="800080"/>
      <w:u w:val="single"/>
    </w:rPr>
  </w:style>
  <w:style w:type="paragraph" w:customStyle="1" w:styleId="msonormal0">
    <w:name w:val="msonormal"/>
    <w:basedOn w:val="Normal"/>
    <w:rsid w:val="0021321C"/>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font5">
    <w:name w:val="font5"/>
    <w:basedOn w:val="Normal"/>
    <w:rsid w:val="0021321C"/>
    <w:pPr>
      <w:spacing w:before="100" w:beforeAutospacing="1" w:after="100" w:afterAutospacing="1" w:line="240" w:lineRule="auto"/>
    </w:pPr>
    <w:rPr>
      <w:rFonts w:ascii="Times New Roman" w:eastAsia="Times New Roman" w:hAnsi="Times New Roman" w:cs="Times New Roman"/>
      <w:i/>
      <w:iCs/>
      <w:color w:val="000000"/>
      <w:lang w:eastAsia="sq-AL"/>
    </w:rPr>
  </w:style>
  <w:style w:type="paragraph" w:customStyle="1" w:styleId="font6">
    <w:name w:val="font6"/>
    <w:basedOn w:val="Normal"/>
    <w:rsid w:val="0021321C"/>
    <w:pPr>
      <w:spacing w:before="100" w:beforeAutospacing="1" w:after="100" w:afterAutospacing="1" w:line="240" w:lineRule="auto"/>
    </w:pPr>
    <w:rPr>
      <w:rFonts w:ascii="Times New Roman" w:eastAsia="Times New Roman" w:hAnsi="Times New Roman" w:cs="Times New Roman"/>
      <w:color w:val="000000"/>
      <w:sz w:val="10"/>
      <w:szCs w:val="10"/>
      <w:lang w:eastAsia="sq-AL"/>
    </w:rPr>
  </w:style>
  <w:style w:type="paragraph" w:customStyle="1" w:styleId="font7">
    <w:name w:val="font7"/>
    <w:basedOn w:val="Normal"/>
    <w:rsid w:val="0021321C"/>
    <w:pPr>
      <w:spacing w:before="100" w:beforeAutospacing="1" w:after="100" w:afterAutospacing="1" w:line="240" w:lineRule="auto"/>
    </w:pPr>
    <w:rPr>
      <w:rFonts w:ascii="Times New Roman" w:eastAsia="Times New Roman" w:hAnsi="Times New Roman" w:cs="Times New Roman"/>
      <w:sz w:val="10"/>
      <w:szCs w:val="10"/>
      <w:lang w:eastAsia="sq-AL"/>
    </w:rPr>
  </w:style>
  <w:style w:type="paragraph" w:customStyle="1" w:styleId="font8">
    <w:name w:val="font8"/>
    <w:basedOn w:val="Normal"/>
    <w:rsid w:val="0021321C"/>
    <w:pPr>
      <w:spacing w:before="100" w:beforeAutospacing="1" w:after="100" w:afterAutospacing="1" w:line="240" w:lineRule="auto"/>
    </w:pPr>
    <w:rPr>
      <w:rFonts w:ascii="Times New Roman" w:eastAsia="Times New Roman" w:hAnsi="Times New Roman" w:cs="Times New Roman"/>
      <w:i/>
      <w:iCs/>
      <w:sz w:val="10"/>
      <w:szCs w:val="10"/>
      <w:lang w:eastAsia="sq-AL"/>
    </w:rPr>
  </w:style>
  <w:style w:type="paragraph" w:customStyle="1" w:styleId="font9">
    <w:name w:val="font9"/>
    <w:basedOn w:val="Normal"/>
    <w:rsid w:val="0021321C"/>
    <w:pPr>
      <w:spacing w:before="100" w:beforeAutospacing="1" w:after="100" w:afterAutospacing="1" w:line="240" w:lineRule="auto"/>
    </w:pPr>
    <w:rPr>
      <w:rFonts w:ascii="Times New Roman" w:eastAsia="Times New Roman" w:hAnsi="Times New Roman" w:cs="Times New Roman"/>
      <w:color w:val="000000"/>
      <w:sz w:val="10"/>
      <w:szCs w:val="10"/>
      <w:lang w:eastAsia="sq-AL"/>
    </w:rPr>
  </w:style>
  <w:style w:type="paragraph" w:customStyle="1" w:styleId="font10">
    <w:name w:val="font10"/>
    <w:basedOn w:val="Normal"/>
    <w:rsid w:val="0021321C"/>
    <w:pPr>
      <w:spacing w:before="100" w:beforeAutospacing="1" w:after="100" w:afterAutospacing="1" w:line="240" w:lineRule="auto"/>
    </w:pPr>
    <w:rPr>
      <w:rFonts w:ascii="Times New Roman" w:eastAsia="Times New Roman" w:hAnsi="Times New Roman" w:cs="Times New Roman"/>
      <w:i/>
      <w:iCs/>
      <w:color w:val="000000"/>
      <w:sz w:val="10"/>
      <w:szCs w:val="10"/>
      <w:lang w:eastAsia="sq-AL"/>
    </w:rPr>
  </w:style>
  <w:style w:type="paragraph" w:customStyle="1" w:styleId="font11">
    <w:name w:val="font11"/>
    <w:basedOn w:val="Normal"/>
    <w:rsid w:val="0021321C"/>
    <w:pPr>
      <w:spacing w:before="100" w:beforeAutospacing="1" w:after="100" w:afterAutospacing="1" w:line="240" w:lineRule="auto"/>
    </w:pPr>
    <w:rPr>
      <w:rFonts w:ascii="Times New Roman" w:eastAsia="Times New Roman" w:hAnsi="Times New Roman" w:cs="Times New Roman"/>
      <w:color w:val="F79646"/>
      <w:sz w:val="10"/>
      <w:szCs w:val="10"/>
      <w:lang w:eastAsia="sq-AL"/>
    </w:rPr>
  </w:style>
  <w:style w:type="paragraph" w:customStyle="1" w:styleId="xl65">
    <w:name w:val="xl65"/>
    <w:basedOn w:val="Normal"/>
    <w:rsid w:val="0021321C"/>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66">
    <w:name w:val="xl66"/>
    <w:basedOn w:val="Normal"/>
    <w:rsid w:val="0021321C"/>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67">
    <w:name w:val="xl67"/>
    <w:basedOn w:val="Normal"/>
    <w:rsid w:val="0021321C"/>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68">
    <w:name w:val="xl68"/>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q-AL"/>
    </w:rPr>
  </w:style>
  <w:style w:type="paragraph" w:customStyle="1" w:styleId="xl69">
    <w:name w:val="xl69"/>
    <w:basedOn w:val="Normal"/>
    <w:rsid w:val="0021321C"/>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70">
    <w:name w:val="xl70"/>
    <w:basedOn w:val="Normal"/>
    <w:rsid w:val="0021321C"/>
    <w:pPr>
      <w:shd w:val="clear" w:color="000000" w:fill="FFC000"/>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71">
    <w:name w:val="xl71"/>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72">
    <w:name w:val="xl72"/>
    <w:basedOn w:val="Normal"/>
    <w:rsid w:val="0021321C"/>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73">
    <w:name w:val="xl73"/>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4">
    <w:name w:val="xl74"/>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q-AL"/>
    </w:rPr>
  </w:style>
  <w:style w:type="paragraph" w:customStyle="1" w:styleId="xl75">
    <w:name w:val="xl75"/>
    <w:basedOn w:val="Normal"/>
    <w:rsid w:val="0021321C"/>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76">
    <w:name w:val="xl76"/>
    <w:basedOn w:val="Normal"/>
    <w:rsid w:val="0021321C"/>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77">
    <w:name w:val="xl77"/>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q-AL"/>
    </w:rPr>
  </w:style>
  <w:style w:type="paragraph" w:customStyle="1" w:styleId="xl78">
    <w:name w:val="xl78"/>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79">
    <w:name w:val="xl79"/>
    <w:basedOn w:val="Normal"/>
    <w:rsid w:val="0021321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sz w:val="10"/>
      <w:szCs w:val="10"/>
      <w:lang w:eastAsia="sq-AL"/>
    </w:rPr>
  </w:style>
  <w:style w:type="paragraph" w:customStyle="1" w:styleId="xl80">
    <w:name w:val="xl80"/>
    <w:basedOn w:val="Normal"/>
    <w:rsid w:val="0021321C"/>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sz w:val="10"/>
      <w:szCs w:val="10"/>
      <w:lang w:eastAsia="sq-AL"/>
    </w:rPr>
  </w:style>
  <w:style w:type="paragraph" w:customStyle="1" w:styleId="xl81">
    <w:name w:val="xl81"/>
    <w:basedOn w:val="Normal"/>
    <w:rsid w:val="0021321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eastAsia="sq-AL"/>
    </w:rPr>
  </w:style>
  <w:style w:type="paragraph" w:customStyle="1" w:styleId="xl82">
    <w:name w:val="xl82"/>
    <w:basedOn w:val="Normal"/>
    <w:rsid w:val="0021321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sz w:val="10"/>
      <w:szCs w:val="10"/>
      <w:lang w:eastAsia="sq-AL"/>
    </w:rPr>
  </w:style>
  <w:style w:type="paragraph" w:customStyle="1" w:styleId="xl83">
    <w:name w:val="xl83"/>
    <w:basedOn w:val="Normal"/>
    <w:rsid w:val="0021321C"/>
    <w:pPr>
      <w:pBdr>
        <w:top w:val="single" w:sz="4" w:space="0" w:color="000000"/>
        <w:left w:val="single" w:sz="4" w:space="0" w:color="000000"/>
        <w:bottom w:val="single" w:sz="4" w:space="0" w:color="000000"/>
      </w:pBdr>
      <w:shd w:val="clear" w:color="000000" w:fill="F0F0F0"/>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84">
    <w:name w:val="xl84"/>
    <w:basedOn w:val="Normal"/>
    <w:rsid w:val="0021321C"/>
    <w:pPr>
      <w:pBdr>
        <w:top w:val="single" w:sz="4" w:space="0" w:color="auto"/>
        <w:left w:val="single" w:sz="4" w:space="0" w:color="auto"/>
        <w:bottom w:val="single" w:sz="4" w:space="0" w:color="auto"/>
        <w:right w:val="single" w:sz="4" w:space="0" w:color="auto"/>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85">
    <w:name w:val="xl85"/>
    <w:basedOn w:val="Normal"/>
    <w:rsid w:val="0021321C"/>
    <w:pPr>
      <w:shd w:val="clear" w:color="000000" w:fill="FFFFFF"/>
      <w:spacing w:before="100" w:beforeAutospacing="1" w:after="100" w:afterAutospacing="1" w:line="240" w:lineRule="auto"/>
    </w:pPr>
    <w:rPr>
      <w:rFonts w:ascii="Times New Roman" w:eastAsia="Times New Roman" w:hAnsi="Times New Roman" w:cs="Times New Roman"/>
      <w:sz w:val="10"/>
      <w:szCs w:val="10"/>
      <w:lang w:eastAsia="sq-AL"/>
    </w:rPr>
  </w:style>
  <w:style w:type="paragraph" w:customStyle="1" w:styleId="xl86">
    <w:name w:val="xl86"/>
    <w:basedOn w:val="Normal"/>
    <w:rsid w:val="0021321C"/>
    <w:pPr>
      <w:pBdr>
        <w:left w:val="single" w:sz="4" w:space="0" w:color="000000"/>
        <w:bottom w:val="single" w:sz="4" w:space="0" w:color="000000"/>
      </w:pBdr>
      <w:shd w:val="clear" w:color="000000" w:fill="F0F0F0"/>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87">
    <w:name w:val="xl87"/>
    <w:basedOn w:val="Normal"/>
    <w:rsid w:val="002132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88">
    <w:name w:val="xl88"/>
    <w:basedOn w:val="Normal"/>
    <w:rsid w:val="0021321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89">
    <w:name w:val="xl89"/>
    <w:basedOn w:val="Normal"/>
    <w:rsid w:val="0021321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90">
    <w:name w:val="xl90"/>
    <w:basedOn w:val="Normal"/>
    <w:rsid w:val="002132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91">
    <w:name w:val="xl91"/>
    <w:basedOn w:val="Normal"/>
    <w:rsid w:val="0021321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92">
    <w:name w:val="xl92"/>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93">
    <w:name w:val="xl93"/>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94">
    <w:name w:val="xl94"/>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95">
    <w:name w:val="xl95"/>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96">
    <w:name w:val="xl96"/>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97">
    <w:name w:val="xl97"/>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98">
    <w:name w:val="xl98"/>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99">
    <w:name w:val="xl99"/>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00">
    <w:name w:val="xl100"/>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01">
    <w:name w:val="xl101"/>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02">
    <w:name w:val="xl102"/>
    <w:basedOn w:val="Normal"/>
    <w:rsid w:val="00213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03">
    <w:name w:val="xl103"/>
    <w:basedOn w:val="Normal"/>
    <w:rsid w:val="0021321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04">
    <w:name w:val="xl104"/>
    <w:basedOn w:val="Normal"/>
    <w:rsid w:val="0021321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05">
    <w:name w:val="xl105"/>
    <w:basedOn w:val="Normal"/>
    <w:rsid w:val="00213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06">
    <w:name w:val="xl106"/>
    <w:basedOn w:val="Normal"/>
    <w:rsid w:val="0021321C"/>
    <w:pPr>
      <w:pBdr>
        <w:top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107">
    <w:name w:val="xl107"/>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08">
    <w:name w:val="xl108"/>
    <w:basedOn w:val="Normal"/>
    <w:rsid w:val="00213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09">
    <w:name w:val="xl109"/>
    <w:basedOn w:val="Normal"/>
    <w:rsid w:val="0021321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10">
    <w:name w:val="xl110"/>
    <w:basedOn w:val="Normal"/>
    <w:rsid w:val="0021321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11">
    <w:name w:val="xl111"/>
    <w:basedOn w:val="Normal"/>
    <w:rsid w:val="00213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12">
    <w:name w:val="xl112"/>
    <w:basedOn w:val="Normal"/>
    <w:rsid w:val="0021321C"/>
    <w:pP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113">
    <w:name w:val="xl113"/>
    <w:basedOn w:val="Normal"/>
    <w:rsid w:val="0021321C"/>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14">
    <w:name w:val="xl114"/>
    <w:basedOn w:val="Normal"/>
    <w:rsid w:val="002132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15">
    <w:name w:val="xl115"/>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16">
    <w:name w:val="xl116"/>
    <w:basedOn w:val="Normal"/>
    <w:rsid w:val="0021321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17">
    <w:name w:val="xl117"/>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18">
    <w:name w:val="xl118"/>
    <w:basedOn w:val="Normal"/>
    <w:rsid w:val="0021321C"/>
    <w:pPr>
      <w:shd w:val="clear" w:color="000000" w:fill="FFFFFF"/>
      <w:spacing w:before="100" w:beforeAutospacing="1" w:after="100" w:afterAutospacing="1" w:line="240" w:lineRule="auto"/>
    </w:pPr>
    <w:rPr>
      <w:rFonts w:ascii="Times New Roman" w:eastAsia="Times New Roman" w:hAnsi="Times New Roman" w:cs="Times New Roman"/>
      <w:sz w:val="10"/>
      <w:szCs w:val="10"/>
      <w:lang w:eastAsia="sq-AL"/>
    </w:rPr>
  </w:style>
  <w:style w:type="paragraph" w:customStyle="1" w:styleId="xl119">
    <w:name w:val="xl119"/>
    <w:basedOn w:val="Normal"/>
    <w:rsid w:val="0021321C"/>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20">
    <w:name w:val="xl120"/>
    <w:basedOn w:val="Normal"/>
    <w:rsid w:val="0021321C"/>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21">
    <w:name w:val="xl121"/>
    <w:basedOn w:val="Normal"/>
    <w:rsid w:val="0021321C"/>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22">
    <w:name w:val="xl122"/>
    <w:basedOn w:val="Normal"/>
    <w:rsid w:val="0021321C"/>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23">
    <w:name w:val="xl123"/>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24">
    <w:name w:val="xl124"/>
    <w:basedOn w:val="Normal"/>
    <w:rsid w:val="0021321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25">
    <w:name w:val="xl125"/>
    <w:basedOn w:val="Normal"/>
    <w:rsid w:val="0021321C"/>
    <w:pP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26">
    <w:name w:val="xl126"/>
    <w:basedOn w:val="Normal"/>
    <w:rsid w:val="0021321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27">
    <w:name w:val="xl127"/>
    <w:basedOn w:val="Normal"/>
    <w:rsid w:val="0021321C"/>
    <w:pP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28">
    <w:name w:val="xl128"/>
    <w:basedOn w:val="Normal"/>
    <w:rsid w:val="0021321C"/>
    <w:pP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29">
    <w:name w:val="xl129"/>
    <w:basedOn w:val="Normal"/>
    <w:rsid w:val="0021321C"/>
    <w:pP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30">
    <w:name w:val="xl130"/>
    <w:basedOn w:val="Normal"/>
    <w:rsid w:val="0021321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31">
    <w:name w:val="xl131"/>
    <w:basedOn w:val="Normal"/>
    <w:rsid w:val="0021321C"/>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32">
    <w:name w:val="xl132"/>
    <w:basedOn w:val="Normal"/>
    <w:rsid w:val="0021321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33">
    <w:name w:val="xl133"/>
    <w:basedOn w:val="Normal"/>
    <w:rsid w:val="0021321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34">
    <w:name w:val="xl134"/>
    <w:basedOn w:val="Normal"/>
    <w:rsid w:val="002132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35">
    <w:name w:val="xl135"/>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36">
    <w:name w:val="xl136"/>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37">
    <w:name w:val="xl137"/>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38">
    <w:name w:val="xl138"/>
    <w:basedOn w:val="Normal"/>
    <w:rsid w:val="0021321C"/>
    <w:pP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39">
    <w:name w:val="xl139"/>
    <w:basedOn w:val="Normal"/>
    <w:rsid w:val="0021321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40">
    <w:name w:val="xl140"/>
    <w:basedOn w:val="Normal"/>
    <w:rsid w:val="0021321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41">
    <w:name w:val="xl141"/>
    <w:basedOn w:val="Normal"/>
    <w:rsid w:val="00213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42">
    <w:name w:val="xl142"/>
    <w:basedOn w:val="Normal"/>
    <w:rsid w:val="0021321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43">
    <w:name w:val="xl143"/>
    <w:basedOn w:val="Normal"/>
    <w:rsid w:val="0021321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44">
    <w:name w:val="xl144"/>
    <w:basedOn w:val="Normal"/>
    <w:rsid w:val="002132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45">
    <w:name w:val="xl145"/>
    <w:basedOn w:val="Normal"/>
    <w:rsid w:val="0021321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146">
    <w:name w:val="xl146"/>
    <w:basedOn w:val="Normal"/>
    <w:rsid w:val="002132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47">
    <w:name w:val="xl147"/>
    <w:basedOn w:val="Normal"/>
    <w:rsid w:val="00213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48">
    <w:name w:val="xl148"/>
    <w:basedOn w:val="Normal"/>
    <w:rsid w:val="0021321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49">
    <w:name w:val="xl149"/>
    <w:basedOn w:val="Normal"/>
    <w:rsid w:val="0021321C"/>
    <w:pPr>
      <w:pBdr>
        <w:left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50">
    <w:name w:val="xl150"/>
    <w:basedOn w:val="Normal"/>
    <w:rsid w:val="0021321C"/>
    <w:pPr>
      <w:pBdr>
        <w:left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51">
    <w:name w:val="xl151"/>
    <w:basedOn w:val="Normal"/>
    <w:rsid w:val="0021321C"/>
    <w:pPr>
      <w:pBdr>
        <w:left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52">
    <w:name w:val="xl152"/>
    <w:basedOn w:val="Normal"/>
    <w:rsid w:val="0021321C"/>
    <w:pPr>
      <w:pBdr>
        <w:left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53">
    <w:name w:val="xl153"/>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54">
    <w:name w:val="xl154"/>
    <w:basedOn w:val="Normal"/>
    <w:rsid w:val="0021321C"/>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55">
    <w:name w:val="xl155"/>
    <w:basedOn w:val="Normal"/>
    <w:rsid w:val="0021321C"/>
    <w:pPr>
      <w:pBdr>
        <w:left w:val="single" w:sz="4" w:space="0" w:color="000000"/>
        <w:bottom w:val="single" w:sz="4"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56">
    <w:name w:val="xl156"/>
    <w:basedOn w:val="Normal"/>
    <w:rsid w:val="0021321C"/>
    <w:pPr>
      <w:pBdr>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57">
    <w:name w:val="xl157"/>
    <w:basedOn w:val="Normal"/>
    <w:rsid w:val="0021321C"/>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58">
    <w:name w:val="xl158"/>
    <w:basedOn w:val="Normal"/>
    <w:rsid w:val="0021321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59">
    <w:name w:val="xl159"/>
    <w:basedOn w:val="Normal"/>
    <w:rsid w:val="0021321C"/>
    <w:pPr>
      <w:pBdr>
        <w:top w:val="single" w:sz="4" w:space="0" w:color="auto"/>
        <w:left w:val="single" w:sz="4" w:space="0" w:color="auto"/>
        <w:bottom w:val="single" w:sz="4" w:space="0" w:color="auto"/>
        <w:right w:val="single" w:sz="4" w:space="0" w:color="auto"/>
      </w:pBdr>
      <w:shd w:val="clear" w:color="000000" w:fill="F0F0F0"/>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60">
    <w:name w:val="xl160"/>
    <w:basedOn w:val="Normal"/>
    <w:rsid w:val="002132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61">
    <w:name w:val="xl161"/>
    <w:basedOn w:val="Normal"/>
    <w:rsid w:val="002132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62">
    <w:name w:val="xl162"/>
    <w:basedOn w:val="Normal"/>
    <w:rsid w:val="002132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63">
    <w:name w:val="xl163"/>
    <w:basedOn w:val="Normal"/>
    <w:rsid w:val="002132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64">
    <w:name w:val="xl164"/>
    <w:basedOn w:val="Normal"/>
    <w:rsid w:val="002132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65">
    <w:name w:val="xl165"/>
    <w:basedOn w:val="Normal"/>
    <w:rsid w:val="002132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66">
    <w:name w:val="xl166"/>
    <w:basedOn w:val="Normal"/>
    <w:rsid w:val="002132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67">
    <w:name w:val="xl167"/>
    <w:basedOn w:val="Normal"/>
    <w:rsid w:val="002132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68">
    <w:name w:val="xl168"/>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69">
    <w:name w:val="xl169"/>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70">
    <w:name w:val="xl170"/>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71">
    <w:name w:val="xl171"/>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72">
    <w:name w:val="xl172"/>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73">
    <w:name w:val="xl173"/>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174">
    <w:name w:val="xl174"/>
    <w:basedOn w:val="Normal"/>
    <w:rsid w:val="0021321C"/>
    <w:pPr>
      <w:shd w:val="clear" w:color="000000" w:fill="FFFFFF"/>
      <w:spacing w:before="100" w:beforeAutospacing="1" w:after="100" w:afterAutospacing="1" w:line="240" w:lineRule="auto"/>
    </w:pPr>
    <w:rPr>
      <w:rFonts w:ascii="Times New Roman" w:eastAsia="Times New Roman" w:hAnsi="Times New Roman" w:cs="Times New Roman"/>
      <w:sz w:val="10"/>
      <w:szCs w:val="10"/>
      <w:lang w:eastAsia="sq-AL"/>
    </w:rPr>
  </w:style>
  <w:style w:type="paragraph" w:customStyle="1" w:styleId="xl175">
    <w:name w:val="xl175"/>
    <w:basedOn w:val="Normal"/>
    <w:rsid w:val="00213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76">
    <w:name w:val="xl176"/>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77">
    <w:name w:val="xl177"/>
    <w:basedOn w:val="Normal"/>
    <w:rsid w:val="0021321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78">
    <w:name w:val="xl178"/>
    <w:basedOn w:val="Normal"/>
    <w:rsid w:val="0021321C"/>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79">
    <w:name w:val="xl179"/>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80">
    <w:name w:val="xl180"/>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81">
    <w:name w:val="xl181"/>
    <w:basedOn w:val="Normal"/>
    <w:rsid w:val="002132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10"/>
      <w:szCs w:val="10"/>
      <w:lang w:eastAsia="sq-AL"/>
    </w:rPr>
  </w:style>
  <w:style w:type="paragraph" w:customStyle="1" w:styleId="xl182">
    <w:name w:val="xl182"/>
    <w:basedOn w:val="Normal"/>
    <w:rsid w:val="002132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10"/>
      <w:szCs w:val="10"/>
      <w:lang w:eastAsia="sq-AL"/>
    </w:rPr>
  </w:style>
  <w:style w:type="paragraph" w:customStyle="1" w:styleId="xl183">
    <w:name w:val="xl183"/>
    <w:basedOn w:val="Normal"/>
    <w:rsid w:val="0021321C"/>
    <w:pPr>
      <w:pBdr>
        <w:left w:val="single" w:sz="4" w:space="0" w:color="auto"/>
        <w:bottom w:val="single" w:sz="4" w:space="0" w:color="auto"/>
        <w:right w:val="single" w:sz="4" w:space="0" w:color="auto"/>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84">
    <w:name w:val="xl184"/>
    <w:basedOn w:val="Normal"/>
    <w:rsid w:val="0021321C"/>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85">
    <w:name w:val="xl185"/>
    <w:basedOn w:val="Normal"/>
    <w:rsid w:val="00213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86">
    <w:name w:val="xl186"/>
    <w:basedOn w:val="Normal"/>
    <w:rsid w:val="0021321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87">
    <w:name w:val="xl187"/>
    <w:basedOn w:val="Normal"/>
    <w:rsid w:val="0021321C"/>
    <w:pPr>
      <w:pBdr>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88">
    <w:name w:val="xl188"/>
    <w:basedOn w:val="Normal"/>
    <w:rsid w:val="0021321C"/>
    <w:pPr>
      <w:pBdr>
        <w:top w:val="single" w:sz="4" w:space="0" w:color="auto"/>
        <w:left w:val="single" w:sz="4" w:space="0" w:color="auto"/>
        <w:bottom w:val="single" w:sz="4" w:space="0" w:color="auto"/>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89">
    <w:name w:val="xl189"/>
    <w:basedOn w:val="Normal"/>
    <w:rsid w:val="0021321C"/>
    <w:pPr>
      <w:pBdr>
        <w:top w:val="single" w:sz="4" w:space="0" w:color="auto"/>
        <w:bottom w:val="single" w:sz="4" w:space="0" w:color="auto"/>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90">
    <w:name w:val="xl190"/>
    <w:basedOn w:val="Normal"/>
    <w:rsid w:val="0021321C"/>
    <w:pPr>
      <w:pBdr>
        <w:top w:val="single" w:sz="4" w:space="0" w:color="auto"/>
        <w:bottom w:val="single" w:sz="4" w:space="0" w:color="auto"/>
        <w:right w:val="single" w:sz="4" w:space="0" w:color="auto"/>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91">
    <w:name w:val="xl191"/>
    <w:basedOn w:val="Normal"/>
    <w:rsid w:val="0021321C"/>
    <w:pPr>
      <w:shd w:val="clear" w:color="000000" w:fill="FFFFFF"/>
      <w:spacing w:before="100" w:beforeAutospacing="1" w:after="100" w:afterAutospacing="1" w:line="240" w:lineRule="auto"/>
    </w:pPr>
    <w:rPr>
      <w:rFonts w:ascii="Times New Roman" w:eastAsia="Times New Roman" w:hAnsi="Times New Roman" w:cs="Times New Roman"/>
      <w:sz w:val="10"/>
      <w:szCs w:val="10"/>
      <w:lang w:eastAsia="sq-AL"/>
    </w:rPr>
  </w:style>
  <w:style w:type="paragraph" w:customStyle="1" w:styleId="xl192">
    <w:name w:val="xl192"/>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93">
    <w:name w:val="xl193"/>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94">
    <w:name w:val="xl194"/>
    <w:basedOn w:val="Normal"/>
    <w:rsid w:val="0021321C"/>
    <w:pPr>
      <w:pBdr>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195">
    <w:name w:val="xl195"/>
    <w:basedOn w:val="Normal"/>
    <w:rsid w:val="002132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96">
    <w:name w:val="xl196"/>
    <w:basedOn w:val="Normal"/>
    <w:rsid w:val="0021321C"/>
    <w:pP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197">
    <w:name w:val="xl197"/>
    <w:basedOn w:val="Normal"/>
    <w:rsid w:val="0021321C"/>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198">
    <w:name w:val="xl198"/>
    <w:basedOn w:val="Normal"/>
    <w:rsid w:val="0021321C"/>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199">
    <w:name w:val="xl199"/>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00">
    <w:name w:val="xl200"/>
    <w:basedOn w:val="Normal"/>
    <w:rsid w:val="00213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01">
    <w:name w:val="xl201"/>
    <w:basedOn w:val="Normal"/>
    <w:rsid w:val="0021321C"/>
    <w:pP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202">
    <w:name w:val="xl202"/>
    <w:basedOn w:val="Normal"/>
    <w:rsid w:val="002132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03">
    <w:name w:val="xl203"/>
    <w:basedOn w:val="Normal"/>
    <w:rsid w:val="00213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04">
    <w:name w:val="xl204"/>
    <w:basedOn w:val="Normal"/>
    <w:rsid w:val="0021321C"/>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05">
    <w:name w:val="xl205"/>
    <w:basedOn w:val="Normal"/>
    <w:rsid w:val="0021321C"/>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06">
    <w:name w:val="xl206"/>
    <w:basedOn w:val="Normal"/>
    <w:rsid w:val="0021321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07">
    <w:name w:val="xl207"/>
    <w:basedOn w:val="Normal"/>
    <w:rsid w:val="0021321C"/>
    <w:pPr>
      <w:pBdr>
        <w:top w:val="single" w:sz="4" w:space="0" w:color="000000"/>
        <w:lef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08">
    <w:name w:val="xl208"/>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09">
    <w:name w:val="xl209"/>
    <w:basedOn w:val="Normal"/>
    <w:rsid w:val="0021321C"/>
    <w:pPr>
      <w:pBdr>
        <w:left w:val="single" w:sz="4" w:space="0" w:color="000000"/>
        <w:bottom w:val="single" w:sz="4" w:space="0" w:color="000000"/>
        <w:right w:val="single" w:sz="4" w:space="0" w:color="000000"/>
      </w:pBdr>
      <w:shd w:val="clear" w:color="000000" w:fill="F0F0F0"/>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10">
    <w:name w:val="xl210"/>
    <w:basedOn w:val="Normal"/>
    <w:rsid w:val="0021321C"/>
    <w:pPr>
      <w:pBdr>
        <w:top w:val="single" w:sz="4" w:space="0" w:color="auto"/>
        <w:left w:val="single" w:sz="4" w:space="0" w:color="000000"/>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11">
    <w:name w:val="xl211"/>
    <w:basedOn w:val="Normal"/>
    <w:rsid w:val="0021321C"/>
    <w:pPr>
      <w:pBdr>
        <w:top w:val="single" w:sz="4" w:space="0" w:color="auto"/>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12">
    <w:name w:val="xl212"/>
    <w:basedOn w:val="Normal"/>
    <w:rsid w:val="0021321C"/>
    <w:pPr>
      <w:pBdr>
        <w:top w:val="single" w:sz="4" w:space="0" w:color="auto"/>
        <w:right w:val="single" w:sz="4" w:space="0" w:color="auto"/>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13">
    <w:name w:val="xl213"/>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14">
    <w:name w:val="xl214"/>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15">
    <w:name w:val="xl215"/>
    <w:basedOn w:val="Normal"/>
    <w:rsid w:val="0021321C"/>
    <w:pPr>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216">
    <w:name w:val="xl216"/>
    <w:basedOn w:val="Normal"/>
    <w:rsid w:val="002132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17">
    <w:name w:val="xl217"/>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eastAsia="sq-AL"/>
    </w:rPr>
  </w:style>
  <w:style w:type="paragraph" w:customStyle="1" w:styleId="xl218">
    <w:name w:val="xl218"/>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0"/>
      <w:szCs w:val="10"/>
      <w:lang w:eastAsia="sq-AL"/>
    </w:rPr>
  </w:style>
  <w:style w:type="paragraph" w:customStyle="1" w:styleId="xl219">
    <w:name w:val="xl219"/>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20">
    <w:name w:val="xl220"/>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21">
    <w:name w:val="xl221"/>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22">
    <w:name w:val="xl222"/>
    <w:basedOn w:val="Normal"/>
    <w:rsid w:val="0021321C"/>
    <w:pPr>
      <w:pBdr>
        <w:top w:val="single" w:sz="4" w:space="0" w:color="000000"/>
        <w:left w:val="single" w:sz="4" w:space="0" w:color="000000"/>
        <w:bottom w:val="single" w:sz="4" w:space="0" w:color="000000"/>
        <w:right w:val="single" w:sz="4" w:space="0" w:color="000000"/>
      </w:pBdr>
      <w:shd w:val="clear" w:color="000000" w:fill="F0F0F0"/>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23">
    <w:name w:val="xl223"/>
    <w:basedOn w:val="Normal"/>
    <w:rsid w:val="0021321C"/>
    <w:pPr>
      <w:pBdr>
        <w:top w:val="single" w:sz="4" w:space="0" w:color="000000"/>
        <w:left w:val="single" w:sz="4" w:space="0" w:color="000000"/>
        <w:bottom w:val="single" w:sz="4" w:space="0" w:color="000000"/>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24">
    <w:name w:val="xl224"/>
    <w:basedOn w:val="Normal"/>
    <w:rsid w:val="0021321C"/>
    <w:pPr>
      <w:pBdr>
        <w:top w:val="single" w:sz="4" w:space="0" w:color="000000"/>
        <w:bottom w:val="single" w:sz="4" w:space="0" w:color="000000"/>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25">
    <w:name w:val="xl225"/>
    <w:basedOn w:val="Normal"/>
    <w:rsid w:val="0021321C"/>
    <w:pPr>
      <w:pBdr>
        <w:top w:val="single" w:sz="4" w:space="0" w:color="auto"/>
        <w:left w:val="single" w:sz="4" w:space="0" w:color="auto"/>
        <w:bottom w:val="single" w:sz="4" w:space="0" w:color="auto"/>
        <w:right w:val="single" w:sz="4" w:space="0" w:color="auto"/>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26">
    <w:name w:val="xl226"/>
    <w:basedOn w:val="Normal"/>
    <w:rsid w:val="0021321C"/>
    <w:pPr>
      <w:pBdr>
        <w:top w:val="single" w:sz="4" w:space="0" w:color="auto"/>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27">
    <w:name w:val="xl227"/>
    <w:basedOn w:val="Normal"/>
    <w:rsid w:val="0021321C"/>
    <w:pPr>
      <w:pBdr>
        <w:top w:val="single" w:sz="4" w:space="0" w:color="auto"/>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28">
    <w:name w:val="xl228"/>
    <w:basedOn w:val="Normal"/>
    <w:rsid w:val="0021321C"/>
    <w:pPr>
      <w:pBdr>
        <w:top w:val="single" w:sz="4" w:space="0" w:color="auto"/>
        <w:left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29">
    <w:name w:val="xl229"/>
    <w:basedOn w:val="Normal"/>
    <w:rsid w:val="00213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30">
    <w:name w:val="xl230"/>
    <w:basedOn w:val="Normal"/>
    <w:rsid w:val="0021321C"/>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231">
    <w:name w:val="xl231"/>
    <w:basedOn w:val="Normal"/>
    <w:rsid w:val="0021321C"/>
    <w:pPr>
      <w:pBdr>
        <w:top w:val="single" w:sz="4" w:space="0" w:color="auto"/>
        <w:left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32">
    <w:name w:val="xl232"/>
    <w:basedOn w:val="Normal"/>
    <w:rsid w:val="0021321C"/>
    <w:pPr>
      <w:pBdr>
        <w:top w:val="single" w:sz="4" w:space="0" w:color="auto"/>
        <w:left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33">
    <w:name w:val="xl233"/>
    <w:basedOn w:val="Normal"/>
    <w:rsid w:val="0021321C"/>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34">
    <w:name w:val="xl234"/>
    <w:basedOn w:val="Normal"/>
    <w:rsid w:val="0021321C"/>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35">
    <w:name w:val="xl235"/>
    <w:basedOn w:val="Normal"/>
    <w:rsid w:val="0021321C"/>
    <w:pPr>
      <w:pBdr>
        <w:left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36">
    <w:name w:val="xl236"/>
    <w:basedOn w:val="Normal"/>
    <w:rsid w:val="002132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37">
    <w:name w:val="xl237"/>
    <w:basedOn w:val="Normal"/>
    <w:rsid w:val="0021321C"/>
    <w:pPr>
      <w:pBdr>
        <w:left w:val="single" w:sz="4"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38">
    <w:name w:val="xl238"/>
    <w:basedOn w:val="Normal"/>
    <w:rsid w:val="0021321C"/>
    <w:pPr>
      <w:pBdr>
        <w:left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39">
    <w:name w:val="xl239"/>
    <w:basedOn w:val="Normal"/>
    <w:rsid w:val="0021321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40">
    <w:name w:val="xl240"/>
    <w:basedOn w:val="Normal"/>
    <w:rsid w:val="0021321C"/>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41">
    <w:name w:val="xl241"/>
    <w:basedOn w:val="Normal"/>
    <w:rsid w:val="0021321C"/>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42">
    <w:name w:val="xl242"/>
    <w:basedOn w:val="Normal"/>
    <w:rsid w:val="0021321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43">
    <w:name w:val="xl243"/>
    <w:basedOn w:val="Normal"/>
    <w:rsid w:val="0021321C"/>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44">
    <w:name w:val="xl244"/>
    <w:basedOn w:val="Normal"/>
    <w:rsid w:val="0021321C"/>
    <w:pPr>
      <w:pBdr>
        <w:top w:val="single" w:sz="4" w:space="0" w:color="000000"/>
        <w:lef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45">
    <w:name w:val="xl245"/>
    <w:basedOn w:val="Normal"/>
    <w:rsid w:val="0021321C"/>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46">
    <w:name w:val="xl246"/>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0"/>
      <w:szCs w:val="10"/>
      <w:lang w:eastAsia="sq-AL"/>
    </w:rPr>
  </w:style>
  <w:style w:type="paragraph" w:customStyle="1" w:styleId="xl247">
    <w:name w:val="xl247"/>
    <w:basedOn w:val="Normal"/>
    <w:rsid w:val="0021321C"/>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48">
    <w:name w:val="xl248"/>
    <w:basedOn w:val="Normal"/>
    <w:rsid w:val="0021321C"/>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249">
    <w:name w:val="xl249"/>
    <w:basedOn w:val="Normal"/>
    <w:rsid w:val="0021321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eastAsia="sq-AL"/>
    </w:rPr>
  </w:style>
  <w:style w:type="paragraph" w:customStyle="1" w:styleId="xl250">
    <w:name w:val="xl250"/>
    <w:basedOn w:val="Normal"/>
    <w:rsid w:val="0021321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51">
    <w:name w:val="xl251"/>
    <w:basedOn w:val="Normal"/>
    <w:rsid w:val="0021321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52">
    <w:name w:val="xl252"/>
    <w:basedOn w:val="Normal"/>
    <w:rsid w:val="00213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53">
    <w:name w:val="xl253"/>
    <w:basedOn w:val="Normal"/>
    <w:rsid w:val="0021321C"/>
    <w:pPr>
      <w:pBdr>
        <w:left w:val="single" w:sz="4" w:space="0" w:color="000000"/>
        <w:bottom w:val="single" w:sz="4" w:space="0" w:color="000000"/>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54">
    <w:name w:val="xl254"/>
    <w:basedOn w:val="Normal"/>
    <w:rsid w:val="0021321C"/>
    <w:pPr>
      <w:pBdr>
        <w:bottom w:val="single" w:sz="4" w:space="0" w:color="000000"/>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55">
    <w:name w:val="xl255"/>
    <w:basedOn w:val="Normal"/>
    <w:rsid w:val="0021321C"/>
    <w:pPr>
      <w:pBdr>
        <w:bottom w:val="single" w:sz="4" w:space="0" w:color="000000"/>
        <w:right w:val="single" w:sz="4" w:space="0" w:color="000000"/>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56">
    <w:name w:val="xl256"/>
    <w:basedOn w:val="Normal"/>
    <w:rsid w:val="0021321C"/>
    <w:pPr>
      <w:pBdr>
        <w:top w:val="single" w:sz="4" w:space="0" w:color="auto"/>
        <w:left w:val="single" w:sz="4" w:space="0" w:color="000000"/>
        <w:bottom w:val="single" w:sz="4" w:space="0" w:color="auto"/>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57">
    <w:name w:val="xl257"/>
    <w:basedOn w:val="Normal"/>
    <w:rsid w:val="0021321C"/>
    <w:pPr>
      <w:pBdr>
        <w:top w:val="single" w:sz="4" w:space="0" w:color="auto"/>
        <w:bottom w:val="single" w:sz="4" w:space="0" w:color="auto"/>
        <w:right w:val="single" w:sz="4" w:space="0" w:color="000000"/>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58">
    <w:name w:val="xl258"/>
    <w:basedOn w:val="Normal"/>
    <w:rsid w:val="0021321C"/>
    <w:pPr>
      <w:pBdr>
        <w:left w:val="single" w:sz="4" w:space="0" w:color="000000"/>
      </w:pBdr>
      <w:shd w:val="clear" w:color="000000" w:fill="F0F0F0"/>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59">
    <w:name w:val="xl259"/>
    <w:basedOn w:val="Normal"/>
    <w:rsid w:val="0021321C"/>
    <w:pPr>
      <w:pBdr>
        <w:left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60">
    <w:name w:val="xl260"/>
    <w:basedOn w:val="Normal"/>
    <w:rsid w:val="0021321C"/>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61">
    <w:name w:val="xl261"/>
    <w:basedOn w:val="Normal"/>
    <w:rsid w:val="0021321C"/>
    <w:pPr>
      <w:pBdr>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62">
    <w:name w:val="xl262"/>
    <w:basedOn w:val="Normal"/>
    <w:rsid w:val="0021321C"/>
    <w:pP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63">
    <w:name w:val="xl263"/>
    <w:basedOn w:val="Normal"/>
    <w:rsid w:val="0021321C"/>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64">
    <w:name w:val="xl264"/>
    <w:basedOn w:val="Normal"/>
    <w:rsid w:val="0021321C"/>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65">
    <w:name w:val="xl265"/>
    <w:basedOn w:val="Normal"/>
    <w:rsid w:val="0021321C"/>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66">
    <w:name w:val="xl266"/>
    <w:basedOn w:val="Normal"/>
    <w:rsid w:val="0021321C"/>
    <w:pPr>
      <w:pBdr>
        <w:left w:val="single" w:sz="4" w:space="0" w:color="000000"/>
      </w:pBdr>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67">
    <w:name w:val="xl267"/>
    <w:basedOn w:val="Normal"/>
    <w:rsid w:val="0021321C"/>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68">
    <w:name w:val="xl268"/>
    <w:basedOn w:val="Normal"/>
    <w:rsid w:val="0021321C"/>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69">
    <w:name w:val="xl269"/>
    <w:basedOn w:val="Normal"/>
    <w:rsid w:val="0021321C"/>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70">
    <w:name w:val="xl270"/>
    <w:basedOn w:val="Normal"/>
    <w:rsid w:val="002132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71">
    <w:name w:val="xl271"/>
    <w:basedOn w:val="Normal"/>
    <w:rsid w:val="0021321C"/>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72">
    <w:name w:val="xl272"/>
    <w:basedOn w:val="Normal"/>
    <w:rsid w:val="0021321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73">
    <w:name w:val="xl273"/>
    <w:basedOn w:val="Normal"/>
    <w:rsid w:val="0021321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74">
    <w:name w:val="xl274"/>
    <w:basedOn w:val="Normal"/>
    <w:rsid w:val="0021321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75">
    <w:name w:val="xl275"/>
    <w:basedOn w:val="Normal"/>
    <w:rsid w:val="0021321C"/>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76">
    <w:name w:val="xl276"/>
    <w:basedOn w:val="Normal"/>
    <w:rsid w:val="0021321C"/>
    <w:pPr>
      <w:pBdr>
        <w:top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77">
    <w:name w:val="xl277"/>
    <w:basedOn w:val="Normal"/>
    <w:rsid w:val="0021321C"/>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78">
    <w:name w:val="xl278"/>
    <w:basedOn w:val="Normal"/>
    <w:rsid w:val="0021321C"/>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79">
    <w:name w:val="xl279"/>
    <w:basedOn w:val="Normal"/>
    <w:rsid w:val="0021321C"/>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80">
    <w:name w:val="xl280"/>
    <w:basedOn w:val="Normal"/>
    <w:rsid w:val="0021321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eastAsia="sq-AL"/>
    </w:rPr>
  </w:style>
  <w:style w:type="paragraph" w:customStyle="1" w:styleId="xl281">
    <w:name w:val="xl281"/>
    <w:basedOn w:val="Normal"/>
    <w:rsid w:val="0021321C"/>
    <w:pPr>
      <w:pBdr>
        <w:top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 w:type="paragraph" w:customStyle="1" w:styleId="xl282">
    <w:name w:val="xl282"/>
    <w:basedOn w:val="Normal"/>
    <w:rsid w:val="002132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57904846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ec.europa.eu/eurostat/statistics-explained/index.php?title=Glossary:European_system_of_national_and_regional_accounts_(ESA_2010)" TargetMode="External"/><Relationship Id="rId18" Type="http://schemas.microsoft.com/office/2007/relationships/diagramDrawing" Target="diagrams/drawing1.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diagramColors" Target="diagrams/colors1.xml"/><Relationship Id="rId25"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chart" Target="charts/chart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hart" Target="charts/chart5.xml"/><Relationship Id="rId5" Type="http://schemas.openxmlformats.org/officeDocument/2006/relationships/customXml" Target="../customXml/item5.xml"/><Relationship Id="rId15" Type="http://schemas.openxmlformats.org/officeDocument/2006/relationships/diagramLayout" Target="diagrams/layout1.xml"/><Relationship Id="rId23" Type="http://schemas.openxmlformats.org/officeDocument/2006/relationships/hyperlink" Target="http://eur-lex.europa.eu/LexUriServ/LexUriServ.do?uri=CELEX:32011R0193:EN:NO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diagramData" Target="diagrams/data1.xml"/><Relationship Id="rId22" Type="http://schemas.openxmlformats.org/officeDocument/2006/relationships/chart" Target="charts/chart4.xml"/><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Sheet1!$A$2</c:f>
              <c:strCache>
                <c:ptCount val="1"/>
                <c:pt idx="0">
                  <c:v>2025</c:v>
                </c:pt>
              </c:strCache>
            </c:strRef>
          </c:tx>
          <c:spPr>
            <a:solidFill>
              <a:schemeClr val="accent1"/>
            </a:solidFill>
            <a:ln>
              <a:noFill/>
            </a:ln>
            <a:effectLst/>
          </c:spPr>
          <c:invertIfNegative val="0"/>
          <c:dLbls>
            <c:dLbl>
              <c:idx val="1"/>
              <c:layout>
                <c:manualLayout>
                  <c:x val="-8.8632838466651889E-3"/>
                  <c:y val="-4.044489383215369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831-416E-829A-B7770D087AE0}"/>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Aktivitete Statistikore</c:v>
                </c:pt>
                <c:pt idx="1">
                  <c:v>Tregues Statistikorë</c:v>
                </c:pt>
                <c:pt idx="2">
                  <c:v>Klasifikime stat. te reja</c:v>
                </c:pt>
                <c:pt idx="3">
                  <c:v>Audite statistikore</c:v>
                </c:pt>
                <c:pt idx="4">
                  <c:v>Pyetësorë vetëvlerësimi</c:v>
                </c:pt>
                <c:pt idx="5">
                  <c:v>Raporte cilësie</c:v>
                </c:pt>
              </c:strCache>
            </c:strRef>
          </c:cat>
          <c:val>
            <c:numRef>
              <c:f>Sheet1!$B$2:$G$2</c:f>
              <c:numCache>
                <c:formatCode>General</c:formatCode>
                <c:ptCount val="6"/>
                <c:pt idx="0">
                  <c:v>113</c:v>
                </c:pt>
                <c:pt idx="1">
                  <c:v>1154</c:v>
                </c:pt>
                <c:pt idx="2">
                  <c:v>1</c:v>
                </c:pt>
                <c:pt idx="3">
                  <c:v>2</c:v>
                </c:pt>
                <c:pt idx="4">
                  <c:v>2</c:v>
                </c:pt>
                <c:pt idx="5">
                  <c:v>63</c:v>
                </c:pt>
              </c:numCache>
            </c:numRef>
          </c:val>
          <c:extLst xmlns:c16r2="http://schemas.microsoft.com/office/drawing/2015/06/chart">
            <c:ext xmlns:c16="http://schemas.microsoft.com/office/drawing/2014/chart" uri="{C3380CC4-5D6E-409C-BE32-E72D297353CC}">
              <c16:uniqueId val="{00000001-A831-416E-829A-B7770D087AE0}"/>
            </c:ext>
          </c:extLst>
        </c:ser>
        <c:ser>
          <c:idx val="1"/>
          <c:order val="1"/>
          <c:tx>
            <c:strRef>
              <c:f>Sheet1!$A$3</c:f>
              <c:strCache>
                <c:ptCount val="1"/>
                <c:pt idx="0">
                  <c:v>2026</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Aktivitete Statistikore</c:v>
                </c:pt>
                <c:pt idx="1">
                  <c:v>Tregues Statistikorë</c:v>
                </c:pt>
                <c:pt idx="2">
                  <c:v>Klasifikime stat. te reja</c:v>
                </c:pt>
                <c:pt idx="3">
                  <c:v>Audite statistikore</c:v>
                </c:pt>
                <c:pt idx="4">
                  <c:v>Pyetësorë vetëvlerësimi</c:v>
                </c:pt>
                <c:pt idx="5">
                  <c:v>Raporte cilësie</c:v>
                </c:pt>
              </c:strCache>
            </c:strRef>
          </c:cat>
          <c:val>
            <c:numRef>
              <c:f>Sheet1!$B$3:$G$3</c:f>
              <c:numCache>
                <c:formatCode>General</c:formatCode>
                <c:ptCount val="6"/>
                <c:pt idx="0">
                  <c:v>119</c:v>
                </c:pt>
                <c:pt idx="1">
                  <c:v>1266</c:v>
                </c:pt>
                <c:pt idx="2">
                  <c:v>1</c:v>
                </c:pt>
                <c:pt idx="3">
                  <c:v>2</c:v>
                </c:pt>
                <c:pt idx="4">
                  <c:v>2</c:v>
                </c:pt>
                <c:pt idx="5">
                  <c:v>64</c:v>
                </c:pt>
              </c:numCache>
            </c:numRef>
          </c:val>
          <c:extLst xmlns:c16r2="http://schemas.microsoft.com/office/drawing/2015/06/chart">
            <c:ext xmlns:c16="http://schemas.microsoft.com/office/drawing/2014/chart" uri="{C3380CC4-5D6E-409C-BE32-E72D297353CC}">
              <c16:uniqueId val="{00000002-A831-416E-829A-B7770D087AE0}"/>
            </c:ext>
          </c:extLst>
        </c:ser>
        <c:dLbls>
          <c:showLegendKey val="0"/>
          <c:showVal val="0"/>
          <c:showCatName val="0"/>
          <c:showSerName val="0"/>
          <c:showPercent val="0"/>
          <c:showBubbleSize val="0"/>
        </c:dLbls>
        <c:gapWidth val="150"/>
        <c:axId val="-2085763600"/>
        <c:axId val="-2085767408"/>
      </c:barChart>
      <c:catAx>
        <c:axId val="-20857636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085767408"/>
        <c:crosses val="autoZero"/>
        <c:auto val="1"/>
        <c:lblAlgn val="ctr"/>
        <c:lblOffset val="100"/>
        <c:noMultiLvlLbl val="0"/>
      </c:catAx>
      <c:valAx>
        <c:axId val="-2085767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20857636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q-A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Sheet2!$A$3</c:f>
              <c:strCache>
                <c:ptCount val="1"/>
                <c:pt idx="0">
                  <c:v>2025</c:v>
                </c:pt>
              </c:strCache>
            </c:strRef>
          </c:tx>
          <c:spPr>
            <a:solidFill>
              <a:schemeClr val="accent1"/>
            </a:solidFill>
            <a:ln>
              <a:noFill/>
            </a:ln>
            <a:effectLst/>
          </c:spPr>
          <c:invertIfNegative val="0"/>
          <c:dLbls>
            <c:dLbl>
              <c:idx val="0"/>
              <c:layout>
                <c:manualLayout>
                  <c:x val="1.3888888888888888E-2"/>
                  <c:y val="-2.11304842341630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E11-47DB-B0BB-8D2081214E71}"/>
                </c:ext>
                <c:ext xmlns:c15="http://schemas.microsoft.com/office/drawing/2012/chart" uri="{CE6537A1-D6FC-4f65-9D91-7224C49458BB}">
                  <c15:layout/>
                </c:ext>
              </c:extLst>
            </c:dLbl>
            <c:dLbl>
              <c:idx val="2"/>
              <c:layout>
                <c:manualLayout>
                  <c:x val="1.6666666666666666E-2"/>
                  <c:y val="-1.69043873873304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E11-47DB-B0BB-8D2081214E71}"/>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Sheet2!$B$2:$D$2</c:f>
              <c:strCache>
                <c:ptCount val="3"/>
                <c:pt idx="0">
                  <c:v>Aktivitete Statistikore</c:v>
                </c:pt>
                <c:pt idx="1">
                  <c:v>Aktivtete të reja</c:v>
                </c:pt>
                <c:pt idx="2">
                  <c:v>Tregues Statistikorë</c:v>
                </c:pt>
              </c:strCache>
            </c:strRef>
          </c:cat>
          <c:val>
            <c:numRef>
              <c:f>Sheet2!$B$3:$D$3</c:f>
              <c:numCache>
                <c:formatCode>General</c:formatCode>
                <c:ptCount val="3"/>
                <c:pt idx="0">
                  <c:v>33</c:v>
                </c:pt>
                <c:pt idx="1">
                  <c:v>0</c:v>
                </c:pt>
                <c:pt idx="2">
                  <c:v>496</c:v>
                </c:pt>
              </c:numCache>
            </c:numRef>
          </c:val>
          <c:extLst xmlns:c16r2="http://schemas.microsoft.com/office/drawing/2015/06/chart">
            <c:ext xmlns:c16="http://schemas.microsoft.com/office/drawing/2014/chart" uri="{C3380CC4-5D6E-409C-BE32-E72D297353CC}">
              <c16:uniqueId val="{00000002-8E11-47DB-B0BB-8D2081214E71}"/>
            </c:ext>
          </c:extLst>
        </c:ser>
        <c:ser>
          <c:idx val="1"/>
          <c:order val="1"/>
          <c:tx>
            <c:strRef>
              <c:f>Sheet2!$A$4</c:f>
              <c:strCache>
                <c:ptCount val="1"/>
                <c:pt idx="0">
                  <c:v>2026</c:v>
                </c:pt>
              </c:strCache>
            </c:strRef>
          </c:tx>
          <c:spPr>
            <a:solidFill>
              <a:schemeClr val="accent2"/>
            </a:solidFill>
            <a:ln>
              <a:noFill/>
            </a:ln>
            <a:effectLst/>
          </c:spPr>
          <c:invertIfNegative val="0"/>
          <c:dLbls>
            <c:dLbl>
              <c:idx val="0"/>
              <c:layout>
                <c:manualLayout>
                  <c:x val="8.3333333333333332E-3"/>
                  <c:y val="-1.69043873873303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E11-47DB-B0BB-8D2081214E71}"/>
                </c:ext>
                <c:ext xmlns:c15="http://schemas.microsoft.com/office/drawing/2012/chart" uri="{CE6537A1-D6FC-4f65-9D91-7224C49458BB}">
                  <c15:layout/>
                </c:ext>
              </c:extLst>
            </c:dLbl>
            <c:dLbl>
              <c:idx val="2"/>
              <c:layout>
                <c:manualLayout>
                  <c:x val="1.6666666666666566E-2"/>
                  <c:y val="-1.69043873873304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E11-47DB-B0BB-8D2081214E71}"/>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Sheet2!$B$2:$D$2</c:f>
              <c:strCache>
                <c:ptCount val="3"/>
                <c:pt idx="0">
                  <c:v>Aktivitete Statistikore</c:v>
                </c:pt>
                <c:pt idx="1">
                  <c:v>Aktivtete të reja</c:v>
                </c:pt>
                <c:pt idx="2">
                  <c:v>Tregues Statistikorë</c:v>
                </c:pt>
              </c:strCache>
            </c:strRef>
          </c:cat>
          <c:val>
            <c:numRef>
              <c:f>Sheet2!$B$4:$D$4</c:f>
              <c:numCache>
                <c:formatCode>General</c:formatCode>
                <c:ptCount val="3"/>
                <c:pt idx="0">
                  <c:v>32</c:v>
                </c:pt>
                <c:pt idx="1">
                  <c:v>1</c:v>
                </c:pt>
                <c:pt idx="2">
                  <c:v>491</c:v>
                </c:pt>
              </c:numCache>
            </c:numRef>
          </c:val>
          <c:extLst xmlns:c16r2="http://schemas.microsoft.com/office/drawing/2015/06/chart">
            <c:ext xmlns:c16="http://schemas.microsoft.com/office/drawing/2014/chart" uri="{C3380CC4-5D6E-409C-BE32-E72D297353CC}">
              <c16:uniqueId val="{00000005-8E11-47DB-B0BB-8D2081214E71}"/>
            </c:ext>
          </c:extLst>
        </c:ser>
        <c:dLbls>
          <c:showLegendKey val="0"/>
          <c:showVal val="0"/>
          <c:showCatName val="0"/>
          <c:showSerName val="0"/>
          <c:showPercent val="0"/>
          <c:showBubbleSize val="0"/>
        </c:dLbls>
        <c:gapWidth val="150"/>
        <c:axId val="-2085770128"/>
        <c:axId val="-2085776112"/>
      </c:barChart>
      <c:catAx>
        <c:axId val="-20857701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085776112"/>
        <c:crosses val="autoZero"/>
        <c:auto val="1"/>
        <c:lblAlgn val="ctr"/>
        <c:lblOffset val="100"/>
        <c:noMultiLvlLbl val="0"/>
      </c:catAx>
      <c:valAx>
        <c:axId val="-2085776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0857701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sq-A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Sheet3!$B$4</c:f>
              <c:strCache>
                <c:ptCount val="1"/>
                <c:pt idx="0">
                  <c:v>2025</c:v>
                </c:pt>
              </c:strCache>
            </c:strRef>
          </c:tx>
          <c:spPr>
            <a:solidFill>
              <a:schemeClr val="accent1"/>
            </a:solidFill>
            <a:ln>
              <a:noFill/>
            </a:ln>
            <a:effectLst/>
          </c:spPr>
          <c:invertIfNegative val="0"/>
          <c:dLbls>
            <c:dLbl>
              <c:idx val="0"/>
              <c:layout>
                <c:manualLayout>
                  <c:x val="2.6402640264026403E-2"/>
                  <c:y val="-1.50659133709981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62A-4BC2-A633-9E9D0FAD680E}"/>
                </c:ext>
                <c:ext xmlns:c15="http://schemas.microsoft.com/office/drawing/2012/chart" uri="{CE6537A1-D6FC-4f65-9D91-7224C49458BB}">
                  <c15:layout/>
                </c:ext>
              </c:extLst>
            </c:dLbl>
            <c:dLbl>
              <c:idx val="2"/>
              <c:layout>
                <c:manualLayout>
                  <c:x val="2.4197052469443633E-2"/>
                  <c:y val="-7.944247705668696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62A-4BC2-A633-9E9D0FAD680E}"/>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Sheet3!$C$3:$E$3</c:f>
              <c:strCache>
                <c:ptCount val="3"/>
                <c:pt idx="0">
                  <c:v>Aktivitete Statistikore</c:v>
                </c:pt>
                <c:pt idx="1">
                  <c:v>Aktivitete të reja</c:v>
                </c:pt>
                <c:pt idx="2">
                  <c:v>Tregues Statistikorë</c:v>
                </c:pt>
              </c:strCache>
            </c:strRef>
          </c:cat>
          <c:val>
            <c:numRef>
              <c:f>Sheet3!$C$4:$E$4</c:f>
              <c:numCache>
                <c:formatCode>General</c:formatCode>
                <c:ptCount val="3"/>
                <c:pt idx="0">
                  <c:v>20</c:v>
                </c:pt>
                <c:pt idx="1">
                  <c:v>0</c:v>
                </c:pt>
                <c:pt idx="2">
                  <c:v>241</c:v>
                </c:pt>
              </c:numCache>
            </c:numRef>
          </c:val>
          <c:extLst xmlns:c16r2="http://schemas.microsoft.com/office/drawing/2015/06/chart">
            <c:ext xmlns:c16="http://schemas.microsoft.com/office/drawing/2014/chart" uri="{C3380CC4-5D6E-409C-BE32-E72D297353CC}">
              <c16:uniqueId val="{00000002-162A-4BC2-A633-9E9D0FAD680E}"/>
            </c:ext>
          </c:extLst>
        </c:ser>
        <c:ser>
          <c:idx val="1"/>
          <c:order val="1"/>
          <c:tx>
            <c:strRef>
              <c:f>Sheet3!$B$5</c:f>
              <c:strCache>
                <c:ptCount val="1"/>
                <c:pt idx="0">
                  <c:v>2026</c:v>
                </c:pt>
              </c:strCache>
            </c:strRef>
          </c:tx>
          <c:spPr>
            <a:solidFill>
              <a:schemeClr val="accent2"/>
            </a:solidFill>
            <a:ln>
              <a:noFill/>
            </a:ln>
            <a:effectLst/>
          </c:spPr>
          <c:invertIfNegative val="0"/>
          <c:dLbls>
            <c:dLbl>
              <c:idx val="0"/>
              <c:layout>
                <c:manualLayout>
                  <c:x val="2.4202420242024202E-2"/>
                  <c:y val="-7.532956685499058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62A-4BC2-A633-9E9D0FAD680E}"/>
                </c:ext>
                <c:ext xmlns:c15="http://schemas.microsoft.com/office/drawing/2012/chart" uri="{CE6537A1-D6FC-4f65-9D91-7224C49458BB}">
                  <c15:layout/>
                </c:ext>
              </c:extLst>
            </c:dLbl>
            <c:dLbl>
              <c:idx val="2"/>
              <c:layout>
                <c:manualLayout>
                  <c:x val="1.1183721541360754E-2"/>
                  <c:y val="-7.944247705668717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62A-4BC2-A633-9E9D0FAD680E}"/>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Sheet3!$C$3:$E$3</c:f>
              <c:strCache>
                <c:ptCount val="3"/>
                <c:pt idx="0">
                  <c:v>Aktivitete Statistikore</c:v>
                </c:pt>
                <c:pt idx="1">
                  <c:v>Aktivitete të reja</c:v>
                </c:pt>
                <c:pt idx="2">
                  <c:v>Tregues Statistikorë</c:v>
                </c:pt>
              </c:strCache>
            </c:strRef>
          </c:cat>
          <c:val>
            <c:numRef>
              <c:f>Sheet3!$C$5:$E$5</c:f>
              <c:numCache>
                <c:formatCode>General</c:formatCode>
                <c:ptCount val="3"/>
                <c:pt idx="0">
                  <c:v>20</c:v>
                </c:pt>
                <c:pt idx="1">
                  <c:v>0</c:v>
                </c:pt>
                <c:pt idx="2">
                  <c:v>216</c:v>
                </c:pt>
              </c:numCache>
            </c:numRef>
          </c:val>
          <c:extLst xmlns:c16r2="http://schemas.microsoft.com/office/drawing/2015/06/chart">
            <c:ext xmlns:c16="http://schemas.microsoft.com/office/drawing/2014/chart" uri="{C3380CC4-5D6E-409C-BE32-E72D297353CC}">
              <c16:uniqueId val="{00000005-162A-4BC2-A633-9E9D0FAD680E}"/>
            </c:ext>
          </c:extLst>
        </c:ser>
        <c:dLbls>
          <c:showLegendKey val="0"/>
          <c:showVal val="0"/>
          <c:showCatName val="0"/>
          <c:showSerName val="0"/>
          <c:showPercent val="0"/>
          <c:showBubbleSize val="0"/>
        </c:dLbls>
        <c:gapWidth val="150"/>
        <c:axId val="-2085775568"/>
        <c:axId val="-2085774480"/>
      </c:barChart>
      <c:catAx>
        <c:axId val="-20857755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085774480"/>
        <c:crosses val="autoZero"/>
        <c:auto val="1"/>
        <c:lblAlgn val="ctr"/>
        <c:lblOffset val="100"/>
        <c:noMultiLvlLbl val="0"/>
      </c:catAx>
      <c:valAx>
        <c:axId val="-2085774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0857755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sq-A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Sheet4!$A$3</c:f>
              <c:strCache>
                <c:ptCount val="1"/>
                <c:pt idx="0">
                  <c:v>2025</c:v>
                </c:pt>
              </c:strCache>
            </c:strRef>
          </c:tx>
          <c:spPr>
            <a:solidFill>
              <a:schemeClr val="accent1"/>
            </a:solidFill>
            <a:ln>
              <a:noFill/>
            </a:ln>
            <a:effectLst/>
          </c:spPr>
          <c:invertIfNegative val="0"/>
          <c:dLbls>
            <c:dLbl>
              <c:idx val="0"/>
              <c:layout>
                <c:manualLayout>
                  <c:x val="8.7001502906660297E-3"/>
                  <c:y val="-3.060791952392574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08F-4354-AE52-E451C0D62958}"/>
                </c:ext>
                <c:ext xmlns:c15="http://schemas.microsoft.com/office/drawing/2012/chart" uri="{CE6537A1-D6FC-4f65-9D91-7224C49458BB}">
                  <c15:layout/>
                </c:ext>
              </c:extLst>
            </c:dLbl>
            <c:dLbl>
              <c:idx val="1"/>
              <c:layout>
                <c:manualLayout>
                  <c:x val="1.2986936272875869E-2"/>
                  <c:y val="-3.9551744449562928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08F-4354-AE52-E451C0D62958}"/>
                </c:ext>
                <c:ext xmlns:c15="http://schemas.microsoft.com/office/drawing/2012/chart" uri="{CE6537A1-D6FC-4f65-9D91-7224C49458BB}">
                  <c15:layout/>
                </c:ext>
              </c:extLst>
            </c:dLbl>
            <c:dLbl>
              <c:idx val="2"/>
              <c:layout>
                <c:manualLayout>
                  <c:x val="6.4934681364379344E-3"/>
                  <c:y val="1.002758015770047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08F-4354-AE52-E451C0D62958}"/>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Sheet4!$B$2:$D$2</c:f>
              <c:strCache>
                <c:ptCount val="3"/>
                <c:pt idx="0">
                  <c:v>Aktivitete Statistikore</c:v>
                </c:pt>
                <c:pt idx="1">
                  <c:v>Aktivitete të reja</c:v>
                </c:pt>
                <c:pt idx="2">
                  <c:v>Tregues Statistikorë</c:v>
                </c:pt>
              </c:strCache>
            </c:strRef>
          </c:cat>
          <c:val>
            <c:numRef>
              <c:f>Sheet4!$B$3:$D$3</c:f>
              <c:numCache>
                <c:formatCode>General</c:formatCode>
                <c:ptCount val="3"/>
                <c:pt idx="0">
                  <c:v>47</c:v>
                </c:pt>
                <c:pt idx="1">
                  <c:v>0</c:v>
                </c:pt>
                <c:pt idx="2">
                  <c:v>361</c:v>
                </c:pt>
              </c:numCache>
            </c:numRef>
          </c:val>
          <c:extLst xmlns:c16r2="http://schemas.microsoft.com/office/drawing/2015/06/chart">
            <c:ext xmlns:c16="http://schemas.microsoft.com/office/drawing/2014/chart" uri="{C3380CC4-5D6E-409C-BE32-E72D297353CC}">
              <c16:uniqueId val="{00000003-708F-4354-AE52-E451C0D62958}"/>
            </c:ext>
          </c:extLst>
        </c:ser>
        <c:ser>
          <c:idx val="1"/>
          <c:order val="1"/>
          <c:tx>
            <c:strRef>
              <c:f>Sheet4!$A$4</c:f>
              <c:strCache>
                <c:ptCount val="1"/>
                <c:pt idx="0">
                  <c:v>2026</c:v>
                </c:pt>
              </c:strCache>
            </c:strRef>
          </c:tx>
          <c:spPr>
            <a:solidFill>
              <a:schemeClr val="accent2"/>
            </a:solidFill>
            <a:ln>
              <a:noFill/>
            </a:ln>
            <a:effectLst/>
          </c:spPr>
          <c:invertIfNegative val="0"/>
          <c:dLbls>
            <c:dLbl>
              <c:idx val="0"/>
              <c:layout>
                <c:manualLayout>
                  <c:x val="1.9501669568123148E-2"/>
                  <c:y val="3.38889123362018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08F-4354-AE52-E451C0D62958}"/>
                </c:ext>
                <c:ext xmlns:c15="http://schemas.microsoft.com/office/drawing/2012/chart" uri="{CE6537A1-D6FC-4f65-9D91-7224C49458BB}">
                  <c15:layout/>
                </c:ext>
              </c:extLst>
            </c:dLbl>
            <c:dLbl>
              <c:idx val="1"/>
              <c:layout>
                <c:manualLayout>
                  <c:x val="1.9480573180415385E-2"/>
                  <c:y val="-5.932945168150881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08F-4354-AE52-E451C0D62958}"/>
                </c:ext>
                <c:ext xmlns:c15="http://schemas.microsoft.com/office/drawing/2012/chart" uri="{CE6537A1-D6FC-4f65-9D91-7224C49458BB}">
                  <c15:layout/>
                </c:ext>
              </c:extLst>
            </c:dLbl>
            <c:dLbl>
              <c:idx val="2"/>
              <c:layout>
                <c:manualLayout>
                  <c:x val="1.7463758515556899E-2"/>
                  <c:y val="3.388891233620267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08F-4354-AE52-E451C0D62958}"/>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Sheet4!$B$2:$D$2</c:f>
              <c:strCache>
                <c:ptCount val="3"/>
                <c:pt idx="0">
                  <c:v>Aktivitete Statistikore</c:v>
                </c:pt>
                <c:pt idx="1">
                  <c:v>Aktivitete të reja</c:v>
                </c:pt>
                <c:pt idx="2">
                  <c:v>Tregues Statistikorë</c:v>
                </c:pt>
              </c:strCache>
            </c:strRef>
          </c:cat>
          <c:val>
            <c:numRef>
              <c:f>Sheet4!$B$4:$D$4</c:f>
              <c:numCache>
                <c:formatCode>General</c:formatCode>
                <c:ptCount val="3"/>
                <c:pt idx="0">
                  <c:v>54</c:v>
                </c:pt>
                <c:pt idx="1">
                  <c:v>4</c:v>
                </c:pt>
                <c:pt idx="2">
                  <c:v>506</c:v>
                </c:pt>
              </c:numCache>
            </c:numRef>
          </c:val>
          <c:extLst xmlns:c16r2="http://schemas.microsoft.com/office/drawing/2015/06/chart">
            <c:ext xmlns:c16="http://schemas.microsoft.com/office/drawing/2014/chart" uri="{C3380CC4-5D6E-409C-BE32-E72D297353CC}">
              <c16:uniqueId val="{00000007-708F-4354-AE52-E451C0D62958}"/>
            </c:ext>
          </c:extLst>
        </c:ser>
        <c:dLbls>
          <c:showLegendKey val="0"/>
          <c:showVal val="0"/>
          <c:showCatName val="0"/>
          <c:showSerName val="0"/>
          <c:showPercent val="0"/>
          <c:showBubbleSize val="0"/>
        </c:dLbls>
        <c:gapWidth val="150"/>
        <c:axId val="-2085773936"/>
        <c:axId val="-2085764688"/>
      </c:barChart>
      <c:catAx>
        <c:axId val="-20857739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085764688"/>
        <c:crosses val="autoZero"/>
        <c:auto val="1"/>
        <c:lblAlgn val="ctr"/>
        <c:lblOffset val="100"/>
        <c:noMultiLvlLbl val="0"/>
      </c:catAx>
      <c:valAx>
        <c:axId val="-2085764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0857739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sq-A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Sheet5!$A$2</c:f>
              <c:strCache>
                <c:ptCount val="1"/>
                <c:pt idx="0">
                  <c:v>2025</c:v>
                </c:pt>
              </c:strCache>
            </c:strRef>
          </c:tx>
          <c:spPr>
            <a:solidFill>
              <a:schemeClr val="accent1"/>
            </a:solidFill>
            <a:ln>
              <a:noFill/>
            </a:ln>
            <a:effectLst/>
          </c:spPr>
          <c:invertIfNegative val="0"/>
          <c:dLbls>
            <c:dLbl>
              <c:idx val="0"/>
              <c:layout>
                <c:manualLayout>
                  <c:x val="8.9686579900748083E-3"/>
                  <c:y val="3.425591376934241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EAD-4192-A4E5-84E47AB613AB}"/>
                </c:ext>
                <c:ext xmlns:c15="http://schemas.microsoft.com/office/drawing/2012/chart" uri="{CE6537A1-D6FC-4f65-9D91-7224C49458BB}">
                  <c15:layout/>
                </c:ext>
              </c:extLst>
            </c:dLbl>
            <c:dLbl>
              <c:idx val="2"/>
              <c:layout>
                <c:manualLayout>
                  <c:x val="1.3400366611680684E-2"/>
                  <c:y val="1.712795688467163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EAD-4192-A4E5-84E47AB613AB}"/>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Sheet5!$B$1:$D$1</c:f>
              <c:strCache>
                <c:ptCount val="3"/>
                <c:pt idx="0">
                  <c:v>Aktivitete Statistikore</c:v>
                </c:pt>
                <c:pt idx="1">
                  <c:v>Aktivitete të reja</c:v>
                </c:pt>
                <c:pt idx="2">
                  <c:v>Tregues Statistikorë</c:v>
                </c:pt>
              </c:strCache>
            </c:strRef>
          </c:cat>
          <c:val>
            <c:numRef>
              <c:f>Sheet5!$B$2:$D$2</c:f>
              <c:numCache>
                <c:formatCode>General</c:formatCode>
                <c:ptCount val="3"/>
                <c:pt idx="0">
                  <c:v>13</c:v>
                </c:pt>
                <c:pt idx="1">
                  <c:v>0</c:v>
                </c:pt>
                <c:pt idx="2">
                  <c:v>56</c:v>
                </c:pt>
              </c:numCache>
            </c:numRef>
          </c:val>
          <c:extLst xmlns:c16r2="http://schemas.microsoft.com/office/drawing/2015/06/chart">
            <c:ext xmlns:c16="http://schemas.microsoft.com/office/drawing/2014/chart" uri="{C3380CC4-5D6E-409C-BE32-E72D297353CC}">
              <c16:uniqueId val="{00000002-1EAD-4192-A4E5-84E47AB613AB}"/>
            </c:ext>
          </c:extLst>
        </c:ser>
        <c:ser>
          <c:idx val="1"/>
          <c:order val="1"/>
          <c:tx>
            <c:strRef>
              <c:f>Sheet5!$A$3</c:f>
              <c:strCache>
                <c:ptCount val="1"/>
                <c:pt idx="0">
                  <c:v>2026</c:v>
                </c:pt>
              </c:strCache>
            </c:strRef>
          </c:tx>
          <c:spPr>
            <a:solidFill>
              <a:schemeClr val="accent2"/>
            </a:solidFill>
            <a:ln>
              <a:noFill/>
            </a:ln>
            <a:effectLst/>
          </c:spPr>
          <c:invertIfNegative val="0"/>
          <c:dLbls>
            <c:dLbl>
              <c:idx val="0"/>
              <c:layout>
                <c:manualLayout>
                  <c:x val="8.9335200433425712E-3"/>
                  <c:y val="-1.806381053918015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EAD-4192-A4E5-84E47AB613AB}"/>
                </c:ext>
                <c:ext xmlns:c15="http://schemas.microsoft.com/office/drawing/2012/chart" uri="{CE6537A1-D6FC-4f65-9D91-7224C49458BB}">
                  <c15:layout/>
                </c:ext>
              </c:extLst>
            </c:dLbl>
            <c:dLbl>
              <c:idx val="2"/>
              <c:layout>
                <c:manualLayout>
                  <c:x val="2.0100463370854197E-2"/>
                  <c:y val="1.712795688467158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EAD-4192-A4E5-84E47AB613AB}"/>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Sheet5!$B$1:$D$1</c:f>
              <c:strCache>
                <c:ptCount val="3"/>
                <c:pt idx="0">
                  <c:v>Aktivitete Statistikore</c:v>
                </c:pt>
                <c:pt idx="1">
                  <c:v>Aktivitete të reja</c:v>
                </c:pt>
                <c:pt idx="2">
                  <c:v>Tregues Statistikorë</c:v>
                </c:pt>
              </c:strCache>
            </c:strRef>
          </c:cat>
          <c:val>
            <c:numRef>
              <c:f>Sheet5!$B$3:$D$3</c:f>
              <c:numCache>
                <c:formatCode>General</c:formatCode>
                <c:ptCount val="3"/>
                <c:pt idx="0">
                  <c:v>13</c:v>
                </c:pt>
                <c:pt idx="1">
                  <c:v>0</c:v>
                </c:pt>
                <c:pt idx="2">
                  <c:v>53</c:v>
                </c:pt>
              </c:numCache>
            </c:numRef>
          </c:val>
          <c:extLst xmlns:c16r2="http://schemas.microsoft.com/office/drawing/2015/06/chart">
            <c:ext xmlns:c16="http://schemas.microsoft.com/office/drawing/2014/chart" uri="{C3380CC4-5D6E-409C-BE32-E72D297353CC}">
              <c16:uniqueId val="{00000005-1EAD-4192-A4E5-84E47AB613AB}"/>
            </c:ext>
          </c:extLst>
        </c:ser>
        <c:dLbls>
          <c:showLegendKey val="0"/>
          <c:showVal val="0"/>
          <c:showCatName val="0"/>
          <c:showSerName val="0"/>
          <c:showPercent val="0"/>
          <c:showBubbleSize val="0"/>
        </c:dLbls>
        <c:gapWidth val="150"/>
        <c:axId val="-2085769584"/>
        <c:axId val="-2085769040"/>
      </c:barChart>
      <c:catAx>
        <c:axId val="-20857695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085769040"/>
        <c:crosses val="autoZero"/>
        <c:auto val="1"/>
        <c:lblAlgn val="ctr"/>
        <c:lblOffset val="100"/>
        <c:noMultiLvlLbl val="0"/>
      </c:catAx>
      <c:valAx>
        <c:axId val="-2085769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0857695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sq-A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GRAFIK!$J$3:$M$3</c:f>
              <c:strCache>
                <c:ptCount val="4"/>
                <c:pt idx="0">
                  <c:v>Njësi statistikore të vrojtuara</c:v>
                </c:pt>
                <c:pt idx="1">
                  <c:v>Personel  i trajnuar</c:v>
                </c:pt>
                <c:pt idx="2">
                  <c:v>Blerje pajisje,sisteme, makineri të ndryshme</c:v>
                </c:pt>
                <c:pt idx="3">
                  <c:v>Financim i huaj</c:v>
                </c:pt>
              </c:strCache>
            </c:strRef>
          </c:cat>
          <c:val>
            <c:numRef>
              <c:f>GRAFIK!$J$4:$M$4</c:f>
              <c:numCache>
                <c:formatCode>0%</c:formatCode>
                <c:ptCount val="4"/>
                <c:pt idx="0">
                  <c:v>0.39164499546416687</c:v>
                </c:pt>
                <c:pt idx="1">
                  <c:v>0.49989819574639655</c:v>
                </c:pt>
                <c:pt idx="2">
                  <c:v>7.6605180929341802E-3</c:v>
                </c:pt>
                <c:pt idx="3">
                  <c:v>0.10079629069650237</c:v>
                </c:pt>
              </c:numCache>
            </c:numRef>
          </c:val>
          <c:extLst xmlns:c16r2="http://schemas.microsoft.com/office/drawing/2015/06/chart">
            <c:ext xmlns:c16="http://schemas.microsoft.com/office/drawing/2014/chart" uri="{C3380CC4-5D6E-409C-BE32-E72D297353CC}">
              <c16:uniqueId val="{00000000-C083-4BB2-8FC7-1F035BE9F69D}"/>
            </c:ext>
          </c:extLst>
        </c:ser>
        <c:dLbls>
          <c:showLegendKey val="0"/>
          <c:showVal val="0"/>
          <c:showCatName val="0"/>
          <c:showSerName val="0"/>
          <c:showPercent val="0"/>
          <c:showBubbleSize val="0"/>
        </c:dLbls>
        <c:gapWidth val="219"/>
        <c:overlap val="-27"/>
        <c:axId val="-2085771760"/>
        <c:axId val="-2085768496"/>
      </c:barChart>
      <c:catAx>
        <c:axId val="-208577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085768496"/>
        <c:crosses val="autoZero"/>
        <c:auto val="1"/>
        <c:lblAlgn val="ctr"/>
        <c:lblOffset val="100"/>
        <c:noMultiLvlLbl val="0"/>
      </c:catAx>
      <c:valAx>
        <c:axId val="-2085768496"/>
        <c:scaling>
          <c:orientation val="minMax"/>
        </c:scaling>
        <c:delete val="1"/>
        <c:axPos val="l"/>
        <c:numFmt formatCode="0%" sourceLinked="1"/>
        <c:majorTickMark val="none"/>
        <c:minorTickMark val="none"/>
        <c:tickLblPos val="nextTo"/>
        <c:crossAx val="-208577176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sq-A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136323-BBCE-4CBC-B8AF-74470F442811}"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US"/>
        </a:p>
      </dgm:t>
    </dgm:pt>
    <dgm:pt modelId="{CF8441C5-7732-4EEF-811E-2FB888A4E2F3}">
      <dgm:prSet phldrT="[Text]" custT="1"/>
      <dgm:spPr>
        <a:xfrm>
          <a:off x="0" y="1225729"/>
          <a:ext cx="2174007"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q-AL" sz="700" b="1" i="1">
              <a:solidFill>
                <a:sysClr val="window" lastClr="FFFFFF"/>
              </a:solidFill>
              <a:latin typeface="Garamond" panose="02020404030301010803" pitchFamily="18" charset="0"/>
              <a:ea typeface="+mn-ea"/>
              <a:cs typeface="Times New Roman" pitchFamily="18" charset="0"/>
            </a:rPr>
            <a:t>Plotësimi i kërkesave të përdoruesit për statistika zyrtare</a:t>
          </a:r>
          <a:r>
            <a:rPr lang="en-US" sz="700" b="1" i="1">
              <a:solidFill>
                <a:sysClr val="window" lastClr="FFFFFF"/>
              </a:solidFill>
              <a:latin typeface="Garamond" panose="02020404030301010803" pitchFamily="18" charset="0"/>
              <a:ea typeface="+mn-ea"/>
              <a:cs typeface="Times New Roman" pitchFamily="18" charset="0"/>
            </a:rPr>
            <a:t>:</a:t>
          </a:r>
          <a:endParaRPr lang="en-US" sz="700" b="1">
            <a:solidFill>
              <a:sysClr val="window" lastClr="FFFFFF"/>
            </a:solidFill>
            <a:latin typeface="Garamond" panose="02020404030301010803" pitchFamily="18" charset="0"/>
            <a:ea typeface="+mn-ea"/>
            <a:cs typeface="Times New Roman" pitchFamily="18" charset="0"/>
          </a:endParaRPr>
        </a:p>
      </dgm:t>
    </dgm:pt>
    <dgm:pt modelId="{6109F1EA-21EB-4614-8F89-C494CF90E584}" type="parTrans" cxnId="{DEFD055B-1C6E-4937-AB80-E83C0941482C}">
      <dgm:prSet/>
      <dgm:spPr/>
      <dgm:t>
        <a:bodyPr/>
        <a:lstStyle/>
        <a:p>
          <a:endParaRPr lang="en-US" sz="700">
            <a:latin typeface="Garamond" panose="02020404030301010803" pitchFamily="18" charset="0"/>
            <a:cs typeface="Times New Roman" pitchFamily="18" charset="0"/>
          </a:endParaRPr>
        </a:p>
      </dgm:t>
    </dgm:pt>
    <dgm:pt modelId="{69544113-A717-4C04-91F1-1DE8320785FF}" type="sibTrans" cxnId="{DEFD055B-1C6E-4937-AB80-E83C0941482C}">
      <dgm:prSet/>
      <dgm:spPr/>
      <dgm:t>
        <a:bodyPr/>
        <a:lstStyle/>
        <a:p>
          <a:endParaRPr lang="en-US" sz="700">
            <a:latin typeface="Garamond" panose="02020404030301010803" pitchFamily="18" charset="0"/>
            <a:cs typeface="Times New Roman" pitchFamily="18" charset="0"/>
          </a:endParaRPr>
        </a:p>
      </dgm:t>
    </dgm:pt>
    <dgm:pt modelId="{37F9B076-FBF7-4ABD-A825-F105E443DBC3}">
      <dgm:prSet phldrT="[Text]" custT="1"/>
      <dgm:spPr>
        <a:xfrm rot="5400000">
          <a:off x="3420349" y="-87364"/>
          <a:ext cx="1384023"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Rritja e përdorimit të të dhënave dhe rekordeve administrative për qëllime statistikore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216379C6-12ED-42F0-9C23-8BC714A0F3CE}" type="parTrans" cxnId="{3682E78C-EFF4-4FC5-BCE0-CA3BD171162C}">
      <dgm:prSet/>
      <dgm:spPr/>
      <dgm:t>
        <a:bodyPr/>
        <a:lstStyle/>
        <a:p>
          <a:endParaRPr lang="en-US" sz="700">
            <a:latin typeface="Garamond" panose="02020404030301010803" pitchFamily="18" charset="0"/>
            <a:cs typeface="Times New Roman" pitchFamily="18" charset="0"/>
          </a:endParaRPr>
        </a:p>
      </dgm:t>
    </dgm:pt>
    <dgm:pt modelId="{FF97339D-3297-4E13-BF61-42437398F416}" type="sibTrans" cxnId="{3682E78C-EFF4-4FC5-BCE0-CA3BD171162C}">
      <dgm:prSet/>
      <dgm:spPr/>
      <dgm:t>
        <a:bodyPr/>
        <a:lstStyle/>
        <a:p>
          <a:endParaRPr lang="en-US" sz="700">
            <a:latin typeface="Garamond" panose="02020404030301010803" pitchFamily="18" charset="0"/>
            <a:cs typeface="Times New Roman" pitchFamily="18" charset="0"/>
          </a:endParaRPr>
        </a:p>
      </dgm:t>
    </dgm:pt>
    <dgm:pt modelId="{23483D98-2176-4EDD-92EE-A5AFA8E39ADE}">
      <dgm:prSet phldrT="[Text]" custT="1"/>
      <dgm:spPr>
        <a:xfrm>
          <a:off x="0" y="2504057"/>
          <a:ext cx="2176132"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q-AL" sz="700" b="1" i="1">
              <a:solidFill>
                <a:sysClr val="window" lastClr="FFFFFF"/>
              </a:solidFill>
              <a:latin typeface="Garamond" panose="02020404030301010803" pitchFamily="18" charset="0"/>
              <a:ea typeface="+mn-ea"/>
              <a:cs typeface="Times New Roman" pitchFamily="18" charset="0"/>
            </a:rPr>
            <a:t>Prodhimi i statistikave zyrtare të një niveli të lartë cilësie, që të përputhen me standardet e pranuara Evropiane dhe ndërkombëtare</a:t>
          </a:r>
          <a:r>
            <a:rPr lang="en-US" sz="700" b="1" i="1">
              <a:solidFill>
                <a:sysClr val="window" lastClr="FFFFFF"/>
              </a:solidFill>
              <a:latin typeface="Garamond" panose="02020404030301010803" pitchFamily="18" charset="0"/>
              <a:ea typeface="+mn-ea"/>
              <a:cs typeface="Times New Roman" pitchFamily="18" charset="0"/>
            </a:rPr>
            <a:t>:</a:t>
          </a:r>
          <a:endParaRPr lang="en-US" sz="700" b="1">
            <a:solidFill>
              <a:sysClr val="window" lastClr="FFFFFF"/>
            </a:solidFill>
            <a:latin typeface="Garamond" panose="02020404030301010803" pitchFamily="18" charset="0"/>
            <a:ea typeface="+mn-ea"/>
            <a:cs typeface="Times New Roman" pitchFamily="18" charset="0"/>
          </a:endParaRPr>
        </a:p>
      </dgm:t>
    </dgm:pt>
    <dgm:pt modelId="{08CCCF93-3814-4B21-B7DE-686EAD0A7B4D}" type="parTrans" cxnId="{4A14D52B-CCE4-4BC5-9B76-42BFC1FF3A51}">
      <dgm:prSet/>
      <dgm:spPr/>
      <dgm:t>
        <a:bodyPr/>
        <a:lstStyle/>
        <a:p>
          <a:endParaRPr lang="en-US" sz="700">
            <a:latin typeface="Garamond" panose="02020404030301010803" pitchFamily="18" charset="0"/>
            <a:cs typeface="Times New Roman" pitchFamily="18" charset="0"/>
          </a:endParaRPr>
        </a:p>
      </dgm:t>
    </dgm:pt>
    <dgm:pt modelId="{23B4FA7C-EDC0-4869-BFB9-87398F67EE2B}" type="sibTrans" cxnId="{4A14D52B-CCE4-4BC5-9B76-42BFC1FF3A51}">
      <dgm:prSet/>
      <dgm:spPr/>
      <dgm:t>
        <a:bodyPr/>
        <a:lstStyle/>
        <a:p>
          <a:endParaRPr lang="en-US" sz="700">
            <a:latin typeface="Garamond" panose="02020404030301010803" pitchFamily="18" charset="0"/>
            <a:cs typeface="Times New Roman" pitchFamily="18" charset="0"/>
          </a:endParaRPr>
        </a:p>
      </dgm:t>
    </dgm:pt>
    <dgm:pt modelId="{127EBB68-5DB5-4549-8EDE-ABC3FFF9BA5B}">
      <dgm:prSet phldrT="[Text]" custT="1"/>
      <dgm:spPr>
        <a:xfrm rot="5400000">
          <a:off x="3704464" y="1077226"/>
          <a:ext cx="812015"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Përmirësimi i cilësisë së të dhënave dhe rekordeve administrative të siguruara nga institucionet përkatëse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CFEDA9D6-C7B8-48EC-8085-E69C0D1C04C0}" type="parTrans" cxnId="{705B4C8B-C3EC-467A-909B-D1B0A754B976}">
      <dgm:prSet/>
      <dgm:spPr/>
      <dgm:t>
        <a:bodyPr/>
        <a:lstStyle/>
        <a:p>
          <a:endParaRPr lang="en-US" sz="700">
            <a:latin typeface="Garamond" panose="02020404030301010803" pitchFamily="18" charset="0"/>
            <a:cs typeface="Times New Roman" pitchFamily="18" charset="0"/>
          </a:endParaRPr>
        </a:p>
      </dgm:t>
    </dgm:pt>
    <dgm:pt modelId="{27DEAB07-10A8-4E66-8ECB-FBD5C5E52077}" type="sibTrans" cxnId="{705B4C8B-C3EC-467A-909B-D1B0A754B976}">
      <dgm:prSet/>
      <dgm:spPr/>
      <dgm:t>
        <a:bodyPr/>
        <a:lstStyle/>
        <a:p>
          <a:endParaRPr lang="en-US" sz="700">
            <a:latin typeface="Garamond" panose="02020404030301010803" pitchFamily="18" charset="0"/>
            <a:cs typeface="Times New Roman" pitchFamily="18" charset="0"/>
          </a:endParaRPr>
        </a:p>
      </dgm:t>
    </dgm:pt>
    <dgm:pt modelId="{812D6E09-E1DA-4633-98B3-05EDC84F5324}">
      <dgm:prSet custT="1"/>
      <dgm:spPr>
        <a:xfrm>
          <a:off x="0" y="3859883"/>
          <a:ext cx="2174007"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q-AL" sz="700" b="1" i="1">
              <a:solidFill>
                <a:sysClr val="window" lastClr="FFFFFF"/>
              </a:solidFill>
              <a:latin typeface="Garamond" panose="02020404030301010803" pitchFamily="18" charset="0"/>
              <a:ea typeface="+mn-ea"/>
              <a:cs typeface="Times New Roman" pitchFamily="18" charset="0"/>
            </a:rPr>
            <a:t>Rritja e numrit të institucioneve pjesë e Sistemit Kombëtar Statistikor</a:t>
          </a:r>
          <a:r>
            <a:rPr lang="en-US" sz="700" b="1" i="1">
              <a:solidFill>
                <a:sysClr val="window" lastClr="FFFFFF"/>
              </a:solidFill>
              <a:latin typeface="Garamond" panose="02020404030301010803" pitchFamily="18" charset="0"/>
              <a:ea typeface="+mn-ea"/>
              <a:cs typeface="Times New Roman" pitchFamily="18" charset="0"/>
            </a:rPr>
            <a:t>:</a:t>
          </a:r>
          <a:endParaRPr lang="en-US" sz="700" b="1">
            <a:solidFill>
              <a:sysClr val="window" lastClr="FFFFFF"/>
            </a:solidFill>
            <a:latin typeface="Garamond" panose="02020404030301010803" pitchFamily="18" charset="0"/>
            <a:ea typeface="+mn-ea"/>
            <a:cs typeface="Times New Roman" pitchFamily="18" charset="0"/>
          </a:endParaRPr>
        </a:p>
      </dgm:t>
    </dgm:pt>
    <dgm:pt modelId="{530312FB-BB3C-425D-A6DE-C1F36A5EEAFC}" type="parTrans" cxnId="{97C4CE7C-4A3C-490B-9632-7838F12754AC}">
      <dgm:prSet/>
      <dgm:spPr/>
      <dgm:t>
        <a:bodyPr/>
        <a:lstStyle/>
        <a:p>
          <a:endParaRPr lang="en-US" sz="700">
            <a:latin typeface="Garamond" panose="02020404030301010803" pitchFamily="18" charset="0"/>
            <a:cs typeface="Times New Roman" pitchFamily="18" charset="0"/>
          </a:endParaRPr>
        </a:p>
      </dgm:t>
    </dgm:pt>
    <dgm:pt modelId="{3506C81C-67E8-4CEE-8BD5-3C3A4120E4D8}" type="sibTrans" cxnId="{97C4CE7C-4A3C-490B-9632-7838F12754AC}">
      <dgm:prSet/>
      <dgm:spPr/>
      <dgm:t>
        <a:bodyPr/>
        <a:lstStyle/>
        <a:p>
          <a:endParaRPr lang="en-US" sz="700">
            <a:latin typeface="Garamond" panose="02020404030301010803" pitchFamily="18" charset="0"/>
            <a:cs typeface="Times New Roman" pitchFamily="18" charset="0"/>
          </a:endParaRPr>
        </a:p>
      </dgm:t>
    </dgm:pt>
    <dgm:pt modelId="{079A99EF-3182-4F3A-9E70-463CCDC9537B}">
      <dgm:prSet custT="1"/>
      <dgm:spPr>
        <a:xfrm rot="5400000">
          <a:off x="3350183" y="2393651"/>
          <a:ext cx="1512549"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Rritja e ndërgjegjësimit të institucioneve për përfitimet si rezultat i funksionimit brenda PSZ</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A46DED95-2335-4695-BAC6-320B385A1CEC}" type="parTrans" cxnId="{12A09CE0-0AD5-472D-9962-3F24722BBC11}">
      <dgm:prSet/>
      <dgm:spPr/>
      <dgm:t>
        <a:bodyPr/>
        <a:lstStyle/>
        <a:p>
          <a:endParaRPr lang="en-US" sz="700">
            <a:latin typeface="Garamond" panose="02020404030301010803" pitchFamily="18" charset="0"/>
            <a:cs typeface="Times New Roman" pitchFamily="18" charset="0"/>
          </a:endParaRPr>
        </a:p>
      </dgm:t>
    </dgm:pt>
    <dgm:pt modelId="{2E6E0132-EED4-4E6C-9210-BF38B1459023}" type="sibTrans" cxnId="{12A09CE0-0AD5-472D-9962-3F24722BBC11}">
      <dgm:prSet/>
      <dgm:spPr/>
      <dgm:t>
        <a:bodyPr/>
        <a:lstStyle/>
        <a:p>
          <a:endParaRPr lang="en-US" sz="700">
            <a:latin typeface="Garamond" panose="02020404030301010803" pitchFamily="18" charset="0"/>
            <a:cs typeface="Times New Roman" pitchFamily="18" charset="0"/>
          </a:endParaRPr>
        </a:p>
      </dgm:t>
    </dgm:pt>
    <dgm:pt modelId="{ABC30CE3-0FC3-4CAC-8A9C-9414DCB63440}">
      <dgm:prSet custT="1"/>
      <dgm:spPr>
        <a:xfrm>
          <a:off x="0" y="5355363"/>
          <a:ext cx="2174007"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q-AL" sz="700" b="1" i="1">
              <a:solidFill>
                <a:sysClr val="window" lastClr="FFFFFF"/>
              </a:solidFill>
              <a:latin typeface="Garamond" panose="02020404030301010803" pitchFamily="18" charset="0"/>
              <a:ea typeface="+mn-ea"/>
              <a:cs typeface="Times New Roman" pitchFamily="18" charset="0"/>
            </a:rPr>
            <a:t>Modernizimi i proceseve, metodave, produkteve dhe shërbimeve statistikore për të përmirësuar cilësinë, dorëzimin në kohë dhe efi</a:t>
          </a:r>
          <a:r>
            <a:rPr lang="en-US" sz="700" b="1" i="1">
              <a:solidFill>
                <a:sysClr val="window" lastClr="FFFFFF"/>
              </a:solidFill>
              <a:latin typeface="Garamond" panose="02020404030301010803" pitchFamily="18" charset="0"/>
              <a:ea typeface="+mn-ea"/>
              <a:cs typeface="Times New Roman" pitchFamily="18" charset="0"/>
            </a:rPr>
            <a:t>ci</a:t>
          </a:r>
          <a:r>
            <a:rPr lang="sq-AL" sz="700" b="1" i="1">
              <a:solidFill>
                <a:sysClr val="window" lastClr="FFFFFF"/>
              </a:solidFill>
              <a:latin typeface="Garamond" panose="02020404030301010803" pitchFamily="18" charset="0"/>
              <a:ea typeface="+mn-ea"/>
              <a:cs typeface="Times New Roman" pitchFamily="18" charset="0"/>
            </a:rPr>
            <a:t>encën në kosto të statistikave zyrtare</a:t>
          </a:r>
          <a:r>
            <a:rPr lang="en-US" sz="700" b="1" i="1">
              <a:solidFill>
                <a:sysClr val="window" lastClr="FFFFFF"/>
              </a:solidFill>
              <a:latin typeface="Garamond" panose="02020404030301010803" pitchFamily="18" charset="0"/>
              <a:ea typeface="+mn-ea"/>
              <a:cs typeface="Times New Roman" pitchFamily="18" charset="0"/>
            </a:rPr>
            <a:t>:</a:t>
          </a:r>
          <a:endParaRPr lang="en-US" sz="700" b="1">
            <a:solidFill>
              <a:sysClr val="window" lastClr="FFFFFF"/>
            </a:solidFill>
            <a:latin typeface="Garamond" panose="02020404030301010803" pitchFamily="18" charset="0"/>
            <a:ea typeface="+mn-ea"/>
            <a:cs typeface="Times New Roman" pitchFamily="18" charset="0"/>
          </a:endParaRPr>
        </a:p>
      </dgm:t>
    </dgm:pt>
    <dgm:pt modelId="{50A86C44-09B5-489E-9B23-B0828D45A27A}" type="parTrans" cxnId="{DE7545C4-68CD-4DEC-A83C-B5F2035C1AAD}">
      <dgm:prSet/>
      <dgm:spPr/>
      <dgm:t>
        <a:bodyPr/>
        <a:lstStyle/>
        <a:p>
          <a:endParaRPr lang="en-US" sz="700">
            <a:latin typeface="Garamond" panose="02020404030301010803" pitchFamily="18" charset="0"/>
            <a:cs typeface="Times New Roman" pitchFamily="18" charset="0"/>
          </a:endParaRPr>
        </a:p>
      </dgm:t>
    </dgm:pt>
    <dgm:pt modelId="{6B2C8854-A7F9-44A6-9D9F-065412616D11}" type="sibTrans" cxnId="{DE7545C4-68CD-4DEC-A83C-B5F2035C1AAD}">
      <dgm:prSet/>
      <dgm:spPr/>
      <dgm:t>
        <a:bodyPr/>
        <a:lstStyle/>
        <a:p>
          <a:endParaRPr lang="en-US" sz="700">
            <a:latin typeface="Garamond" panose="02020404030301010803" pitchFamily="18" charset="0"/>
            <a:cs typeface="Times New Roman" pitchFamily="18" charset="0"/>
          </a:endParaRPr>
        </a:p>
      </dgm:t>
    </dgm:pt>
    <dgm:pt modelId="{F49D2CDE-EE59-4851-A005-E5D904130488}">
      <dgm:prSet custT="1"/>
      <dgm:spPr>
        <a:xfrm rot="5400000">
          <a:off x="3404913" y="3967883"/>
          <a:ext cx="1459492" cy="382030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Modernizimi i mëtejshëm i sistemeve për grumbullimin e të dhënave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CA3D857F-9F1D-4AF4-B138-132718C42D43}" type="parTrans" cxnId="{0EE08C78-854A-41C6-99FE-50E1CD7DB8A8}">
      <dgm:prSet/>
      <dgm:spPr/>
      <dgm:t>
        <a:bodyPr/>
        <a:lstStyle/>
        <a:p>
          <a:endParaRPr lang="en-US" sz="700">
            <a:latin typeface="Garamond" panose="02020404030301010803" pitchFamily="18" charset="0"/>
            <a:cs typeface="Times New Roman" pitchFamily="18" charset="0"/>
          </a:endParaRPr>
        </a:p>
      </dgm:t>
    </dgm:pt>
    <dgm:pt modelId="{2DC84D30-D308-498A-BF5B-A495813C756F}" type="sibTrans" cxnId="{0EE08C78-854A-41C6-99FE-50E1CD7DB8A8}">
      <dgm:prSet/>
      <dgm:spPr/>
      <dgm:t>
        <a:bodyPr/>
        <a:lstStyle/>
        <a:p>
          <a:endParaRPr lang="en-US" sz="700">
            <a:latin typeface="Garamond" panose="02020404030301010803" pitchFamily="18" charset="0"/>
            <a:cs typeface="Times New Roman" pitchFamily="18" charset="0"/>
          </a:endParaRPr>
        </a:p>
      </dgm:t>
    </dgm:pt>
    <dgm:pt modelId="{EA55487D-0A83-40B3-861E-93F8DE0F469B}">
      <dgm:prSet custT="1"/>
      <dgm:spPr>
        <a:xfrm>
          <a:off x="0" y="6661973"/>
          <a:ext cx="2174007"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q-AL" sz="700" b="1" i="1">
              <a:solidFill>
                <a:sysClr val="window" lastClr="FFFFFF"/>
              </a:solidFill>
              <a:latin typeface="Garamond" panose="02020404030301010803" pitchFamily="18" charset="0"/>
              <a:ea typeface="+mn-ea"/>
              <a:cs typeface="Times New Roman" pitchFamily="18" charset="0"/>
            </a:rPr>
            <a:t>Rritja e besimit të publikut në Sistemin Kombëtar Statistikor dhe njohja e tij si strukturë institucionesh me performancë të duhur dhe profesionalisht të pavarur</a:t>
          </a:r>
          <a:r>
            <a:rPr lang="en-US" sz="700" b="1" i="1">
              <a:solidFill>
                <a:sysClr val="window" lastClr="FFFFFF"/>
              </a:solidFill>
              <a:latin typeface="Garamond" panose="02020404030301010803" pitchFamily="18" charset="0"/>
              <a:ea typeface="+mn-ea"/>
              <a:cs typeface="Times New Roman" pitchFamily="18" charset="0"/>
            </a:rPr>
            <a:t>:</a:t>
          </a:r>
          <a:endParaRPr lang="en-US" sz="700" b="1">
            <a:solidFill>
              <a:sysClr val="window" lastClr="FFFFFF"/>
            </a:solidFill>
            <a:latin typeface="Garamond" panose="02020404030301010803" pitchFamily="18" charset="0"/>
            <a:ea typeface="+mn-ea"/>
            <a:cs typeface="Times New Roman" pitchFamily="18" charset="0"/>
          </a:endParaRPr>
        </a:p>
      </dgm:t>
    </dgm:pt>
    <dgm:pt modelId="{E0467CFF-996F-45BF-9071-5D4BA4A6D146}" type="parTrans" cxnId="{A602E3D5-B2B5-4D97-B9BE-E257D050A147}">
      <dgm:prSet/>
      <dgm:spPr/>
      <dgm:t>
        <a:bodyPr/>
        <a:lstStyle/>
        <a:p>
          <a:endParaRPr lang="en-US" sz="700">
            <a:latin typeface="Garamond" panose="02020404030301010803" pitchFamily="18" charset="0"/>
            <a:cs typeface="Times New Roman" pitchFamily="18" charset="0"/>
          </a:endParaRPr>
        </a:p>
      </dgm:t>
    </dgm:pt>
    <dgm:pt modelId="{B850588A-ED28-47DF-8A97-6467077B11E9}" type="sibTrans" cxnId="{A602E3D5-B2B5-4D97-B9BE-E257D050A147}">
      <dgm:prSet/>
      <dgm:spPr/>
      <dgm:t>
        <a:bodyPr/>
        <a:lstStyle/>
        <a:p>
          <a:endParaRPr lang="en-US" sz="700">
            <a:latin typeface="Garamond" panose="02020404030301010803" pitchFamily="18" charset="0"/>
            <a:cs typeface="Times New Roman" pitchFamily="18" charset="0"/>
          </a:endParaRPr>
        </a:p>
      </dgm:t>
    </dgm:pt>
    <dgm:pt modelId="{A74B507B-E413-4DF2-BFB9-7D5F04B1FDBB}">
      <dgm:prSet custT="1"/>
      <dgm:spPr>
        <a:xfrm rot="5400000">
          <a:off x="3586248" y="5240545"/>
          <a:ext cx="1052225"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Të përftohet një rritje e përdorimit dhe njohurive të</a:t>
          </a:r>
          <a:r>
            <a:rPr lang="en-GB" sz="700">
              <a:solidFill>
                <a:sysClr val="windowText" lastClr="000000">
                  <a:hueOff val="0"/>
                  <a:satOff val="0"/>
                  <a:lumOff val="0"/>
                  <a:alphaOff val="0"/>
                </a:sysClr>
              </a:solidFill>
              <a:latin typeface="Garamond" panose="02020404030301010803" pitchFamily="18" charset="0"/>
              <a:ea typeface="+mn-ea"/>
              <a:cs typeface="Times New Roman" pitchFamily="18" charset="0"/>
            </a:rPr>
            <a:t> </a:t>
          </a:r>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produkteve statisikore të SKS-së</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 </a:t>
          </a:r>
          <a:endPar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4520CD3C-77E0-464D-A4D9-1B76428CD0DF}" type="parTrans" cxnId="{2E773A58-0286-447D-8A0A-AE6AD121AF5B}">
      <dgm:prSet/>
      <dgm:spPr/>
      <dgm:t>
        <a:bodyPr/>
        <a:lstStyle/>
        <a:p>
          <a:endParaRPr lang="en-US" sz="700">
            <a:latin typeface="Garamond" panose="02020404030301010803" pitchFamily="18" charset="0"/>
            <a:cs typeface="Times New Roman" pitchFamily="18" charset="0"/>
          </a:endParaRPr>
        </a:p>
      </dgm:t>
    </dgm:pt>
    <dgm:pt modelId="{2D767847-6B1F-4EC8-9F64-D12451CC484E}" type="sibTrans" cxnId="{2E773A58-0286-447D-8A0A-AE6AD121AF5B}">
      <dgm:prSet/>
      <dgm:spPr/>
      <dgm:t>
        <a:bodyPr/>
        <a:lstStyle/>
        <a:p>
          <a:endParaRPr lang="en-US" sz="700">
            <a:latin typeface="Garamond" panose="02020404030301010803" pitchFamily="18" charset="0"/>
            <a:cs typeface="Times New Roman" pitchFamily="18" charset="0"/>
          </a:endParaRPr>
        </a:p>
      </dgm:t>
    </dgm:pt>
    <dgm:pt modelId="{06D57BB6-DD30-4A69-BF30-8C00CBF05ED9}">
      <dgm:prSet phldrT="[Text]" custT="1"/>
      <dgm:spPr>
        <a:xfrm rot="5400000">
          <a:off x="3610023" y="-1423317"/>
          <a:ext cx="1000898"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Të përcaktojë kërkesat prioritare që do të mundësojnë progresin drejt </a:t>
          </a:r>
          <a:r>
            <a:rPr lang="sq-AL" sz="700" i="1">
              <a:solidFill>
                <a:sysClr val="windowText" lastClr="000000">
                  <a:hueOff val="0"/>
                  <a:satOff val="0"/>
                  <a:lumOff val="0"/>
                  <a:alphaOff val="0"/>
                </a:sysClr>
              </a:solidFill>
              <a:latin typeface="Garamond" panose="02020404030301010803" pitchFamily="18" charset="0"/>
              <a:ea typeface="+mn-ea"/>
              <a:cs typeface="Times New Roman" pitchFamily="18" charset="0"/>
            </a:rPr>
            <a:t>acquis</a:t>
          </a:r>
          <a:r>
            <a:rPr lang="en-US" sz="700" i="1">
              <a:solidFill>
                <a:sysClr val="windowText" lastClr="000000">
                  <a:hueOff val="0"/>
                  <a:satOff val="0"/>
                  <a:lumOff val="0"/>
                  <a:alphaOff val="0"/>
                </a:sysClr>
              </a:solidFill>
              <a:latin typeface="Garamond" panose="02020404030301010803" pitchFamily="18" charset="0"/>
              <a:ea typeface="+mn-ea"/>
              <a:cs typeface="Times New Roman" pitchFamily="18" charset="0"/>
            </a:rPr>
            <a:t>;</a:t>
          </a:r>
          <a:endPar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0BF77FCE-1297-4C33-A644-C3BFD0448C48}" type="parTrans" cxnId="{1EBE4E82-386E-4EB3-BC00-E0BCCA7B2ADC}">
      <dgm:prSet/>
      <dgm:spPr/>
      <dgm:t>
        <a:bodyPr/>
        <a:lstStyle/>
        <a:p>
          <a:endParaRPr lang="en-US" sz="700">
            <a:latin typeface="Garamond" panose="02020404030301010803" pitchFamily="18" charset="0"/>
            <a:cs typeface="Times New Roman" pitchFamily="18" charset="0"/>
          </a:endParaRPr>
        </a:p>
      </dgm:t>
    </dgm:pt>
    <dgm:pt modelId="{E9889386-1042-47D1-A628-7329CAF390FD}" type="sibTrans" cxnId="{1EBE4E82-386E-4EB3-BC00-E0BCCA7B2ADC}">
      <dgm:prSet/>
      <dgm:spPr/>
      <dgm:t>
        <a:bodyPr/>
        <a:lstStyle/>
        <a:p>
          <a:endParaRPr lang="en-US" sz="700">
            <a:latin typeface="Garamond" panose="02020404030301010803" pitchFamily="18" charset="0"/>
            <a:cs typeface="Times New Roman" pitchFamily="18" charset="0"/>
          </a:endParaRPr>
        </a:p>
      </dgm:t>
    </dgm:pt>
    <dgm:pt modelId="{DA06FA1A-65AD-4274-9E22-A761FC2F53CE}">
      <dgm:prSet phldrT="[Text]" custT="1"/>
      <dgm:spPr>
        <a:xfrm>
          <a:off x="0" y="3512"/>
          <a:ext cx="2176132"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q-AL" sz="700" b="1" i="1">
              <a:solidFill>
                <a:sysClr val="window" lastClr="FFFFFF"/>
              </a:solidFill>
              <a:latin typeface="Garamond" panose="02020404030301010803" pitchFamily="18" charset="0"/>
              <a:ea typeface="+mn-ea"/>
              <a:cs typeface="Times New Roman" pitchFamily="18" charset="0"/>
            </a:rPr>
            <a:t>Zhvillimi i SKS</a:t>
          </a:r>
          <a:r>
            <a:rPr lang="en-US" sz="700" b="1" i="1">
              <a:solidFill>
                <a:sysClr val="window" lastClr="FFFFFF"/>
              </a:solidFill>
              <a:latin typeface="Garamond" panose="02020404030301010803" pitchFamily="18" charset="0"/>
              <a:ea typeface="+mn-ea"/>
              <a:cs typeface="Times New Roman" pitchFamily="18" charset="0"/>
            </a:rPr>
            <a:t>-së</a:t>
          </a:r>
          <a:r>
            <a:rPr lang="sq-AL" sz="700" b="1" i="1">
              <a:solidFill>
                <a:sysClr val="window" lastClr="FFFFFF"/>
              </a:solidFill>
              <a:latin typeface="Garamond" panose="02020404030301010803" pitchFamily="18" charset="0"/>
              <a:ea typeface="+mn-ea"/>
              <a:cs typeface="Times New Roman" pitchFamily="18" charset="0"/>
            </a:rPr>
            <a:t> për të përmbushur plotësisht acquis communautaire</a:t>
          </a:r>
          <a:r>
            <a:rPr lang="en-US" sz="700" b="1" i="1">
              <a:solidFill>
                <a:sysClr val="window" lastClr="FFFFFF"/>
              </a:solidFill>
              <a:latin typeface="Garamond" panose="02020404030301010803" pitchFamily="18" charset="0"/>
              <a:ea typeface="+mn-ea"/>
              <a:cs typeface="Times New Roman" pitchFamily="18" charset="0"/>
            </a:rPr>
            <a:t>.</a:t>
          </a:r>
          <a:r>
            <a:rPr lang="sq-AL" sz="700" b="1" i="1">
              <a:solidFill>
                <a:sysClr val="window" lastClr="FFFFFF"/>
              </a:solidFill>
              <a:latin typeface="Garamond" panose="02020404030301010803" pitchFamily="18" charset="0"/>
              <a:ea typeface="+mn-ea"/>
              <a:cs typeface="Times New Roman" pitchFamily="18" charset="0"/>
            </a:rPr>
            <a:t> lidhur me statistikat dhe të mbështesë plotësisht procesin e integrimit Evropian</a:t>
          </a:r>
          <a:r>
            <a:rPr lang="en-US" sz="700" b="1" i="1">
              <a:solidFill>
                <a:sysClr val="window" lastClr="FFFFFF"/>
              </a:solidFill>
              <a:latin typeface="Garamond" panose="02020404030301010803" pitchFamily="18" charset="0"/>
              <a:ea typeface="+mn-ea"/>
              <a:cs typeface="Times New Roman" pitchFamily="18" charset="0"/>
            </a:rPr>
            <a:t>:</a:t>
          </a:r>
          <a:endParaRPr lang="en-US" sz="700" b="1">
            <a:solidFill>
              <a:sysClr val="window" lastClr="FFFFFF"/>
            </a:solidFill>
            <a:latin typeface="Garamond" panose="02020404030301010803" pitchFamily="18" charset="0"/>
            <a:ea typeface="+mn-ea"/>
            <a:cs typeface="Times New Roman" pitchFamily="18" charset="0"/>
          </a:endParaRPr>
        </a:p>
      </dgm:t>
    </dgm:pt>
    <dgm:pt modelId="{83283F22-A604-4602-9291-09400A7C72C3}" type="sibTrans" cxnId="{7248C576-A9CA-469A-9C8F-A99908AFFD98}">
      <dgm:prSet/>
      <dgm:spPr/>
      <dgm:t>
        <a:bodyPr/>
        <a:lstStyle/>
        <a:p>
          <a:endParaRPr lang="en-US" sz="700">
            <a:latin typeface="Garamond" panose="02020404030301010803" pitchFamily="18" charset="0"/>
            <a:cs typeface="Times New Roman" pitchFamily="18" charset="0"/>
          </a:endParaRPr>
        </a:p>
      </dgm:t>
    </dgm:pt>
    <dgm:pt modelId="{359D58A4-7C14-4F56-A950-02E8BE6E9DA0}" type="parTrans" cxnId="{7248C576-A9CA-469A-9C8F-A99908AFFD98}">
      <dgm:prSet/>
      <dgm:spPr/>
      <dgm:t>
        <a:bodyPr/>
        <a:lstStyle/>
        <a:p>
          <a:endParaRPr lang="en-US" sz="700">
            <a:latin typeface="Garamond" panose="02020404030301010803" pitchFamily="18" charset="0"/>
            <a:cs typeface="Times New Roman" pitchFamily="18" charset="0"/>
          </a:endParaRPr>
        </a:p>
      </dgm:t>
    </dgm:pt>
    <dgm:pt modelId="{821517E6-8EC5-4AC9-BF57-428FA382266A}">
      <dgm:prSet phldrT="[Text]" custT="1"/>
      <dgm:spPr>
        <a:xfrm rot="5400000">
          <a:off x="3610023" y="-1423317"/>
          <a:ext cx="1000898"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endPar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51F3F4E7-304E-4304-AD6B-8610BCB8D0F7}" type="parTrans" cxnId="{018FA39D-2191-41B9-8061-FEDB5E44CA22}">
      <dgm:prSet/>
      <dgm:spPr/>
      <dgm:t>
        <a:bodyPr/>
        <a:lstStyle/>
        <a:p>
          <a:endParaRPr lang="en-US" sz="700">
            <a:latin typeface="Garamond" panose="02020404030301010803" pitchFamily="18" charset="0"/>
          </a:endParaRPr>
        </a:p>
      </dgm:t>
    </dgm:pt>
    <dgm:pt modelId="{C4460B5B-F6D4-4339-9CE6-81DD3BD693CE}" type="sibTrans" cxnId="{018FA39D-2191-41B9-8061-FEDB5E44CA22}">
      <dgm:prSet/>
      <dgm:spPr/>
      <dgm:t>
        <a:bodyPr/>
        <a:lstStyle/>
        <a:p>
          <a:endParaRPr lang="en-US" sz="700">
            <a:latin typeface="Garamond" panose="02020404030301010803" pitchFamily="18" charset="0"/>
          </a:endParaRPr>
        </a:p>
      </dgm:t>
    </dgm:pt>
    <dgm:pt modelId="{F49A2EF9-605B-4D1D-A10C-08A94B4069BF}">
      <dgm:prSet phldrT="[Text]" custT="1"/>
      <dgm:spPr>
        <a:xfrm rot="5400000">
          <a:off x="3610023" y="-1423317"/>
          <a:ext cx="1000898"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Të sigurojë pavarësinë profesionale të të gjithë prodhuesve të statistikave zyrtare dhe zbatimin e parimeve statistikore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FF0F8351-ECF5-4EAB-8545-110D86473321}" type="parTrans" cxnId="{C818A059-8704-47FB-9A72-09C5C2E3D475}">
      <dgm:prSet/>
      <dgm:spPr/>
      <dgm:t>
        <a:bodyPr/>
        <a:lstStyle/>
        <a:p>
          <a:endParaRPr lang="en-US" sz="700">
            <a:latin typeface="Garamond" panose="02020404030301010803" pitchFamily="18" charset="0"/>
          </a:endParaRPr>
        </a:p>
      </dgm:t>
    </dgm:pt>
    <dgm:pt modelId="{E81A53EF-8942-481D-9B98-04FD0189A763}" type="sibTrans" cxnId="{C818A059-8704-47FB-9A72-09C5C2E3D475}">
      <dgm:prSet/>
      <dgm:spPr/>
      <dgm:t>
        <a:bodyPr/>
        <a:lstStyle/>
        <a:p>
          <a:endParaRPr lang="en-US" sz="700">
            <a:latin typeface="Garamond" panose="02020404030301010803" pitchFamily="18" charset="0"/>
          </a:endParaRPr>
        </a:p>
      </dgm:t>
    </dgm:pt>
    <dgm:pt modelId="{7BCE3097-5415-4179-B99C-81FB27E6B1A5}">
      <dgm:prSet phldrT="[Text]" custT="1"/>
      <dgm:spPr>
        <a:xfrm rot="5400000">
          <a:off x="3610023" y="-1423317"/>
          <a:ext cx="1000898"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Prodhimi i </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treguesve</a:t>
          </a:r>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 përkatës sipas specifikimeve të përcaktuara nga Eurostat-i</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 </a:t>
          </a:r>
          <a:endPar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B7D0F133-93CE-4CDA-BA0C-6A46526B022E}" type="parTrans" cxnId="{CD9E96BD-EF5E-4D30-BBDB-B9172F96D3A6}">
      <dgm:prSet/>
      <dgm:spPr/>
      <dgm:t>
        <a:bodyPr/>
        <a:lstStyle/>
        <a:p>
          <a:endParaRPr lang="en-US" sz="700">
            <a:latin typeface="Garamond" panose="02020404030301010803" pitchFamily="18" charset="0"/>
          </a:endParaRPr>
        </a:p>
      </dgm:t>
    </dgm:pt>
    <dgm:pt modelId="{C36C8428-E994-4F96-8CAC-9D6D1B96AE18}" type="sibTrans" cxnId="{CD9E96BD-EF5E-4D30-BBDB-B9172F96D3A6}">
      <dgm:prSet/>
      <dgm:spPr/>
      <dgm:t>
        <a:bodyPr/>
        <a:lstStyle/>
        <a:p>
          <a:endParaRPr lang="en-US" sz="700">
            <a:latin typeface="Garamond" panose="02020404030301010803" pitchFamily="18" charset="0"/>
          </a:endParaRPr>
        </a:p>
      </dgm:t>
    </dgm:pt>
    <dgm:pt modelId="{3C76F7DC-FCB6-48C9-AA46-1AF83FDF80F8}">
      <dgm:prSet phldrT="[Text]" custT="1"/>
      <dgm:spPr>
        <a:xfrm rot="5400000">
          <a:off x="3420349" y="-87364"/>
          <a:ext cx="1384023"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endPar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B029BD9F-32E6-4C66-8BD9-A3D9C17C658D}" type="parTrans" cxnId="{80DC71EF-F49E-4FBB-8E34-B2EF8187E689}">
      <dgm:prSet/>
      <dgm:spPr/>
      <dgm:t>
        <a:bodyPr/>
        <a:lstStyle/>
        <a:p>
          <a:endParaRPr lang="en-US" sz="700">
            <a:latin typeface="Garamond" panose="02020404030301010803" pitchFamily="18" charset="0"/>
          </a:endParaRPr>
        </a:p>
      </dgm:t>
    </dgm:pt>
    <dgm:pt modelId="{C66874AD-493D-4290-9A93-58E61E23FD46}" type="sibTrans" cxnId="{80DC71EF-F49E-4FBB-8E34-B2EF8187E689}">
      <dgm:prSet/>
      <dgm:spPr/>
      <dgm:t>
        <a:bodyPr/>
        <a:lstStyle/>
        <a:p>
          <a:endParaRPr lang="en-US" sz="700">
            <a:latin typeface="Garamond" panose="02020404030301010803" pitchFamily="18" charset="0"/>
          </a:endParaRPr>
        </a:p>
      </dgm:t>
    </dgm:pt>
    <dgm:pt modelId="{5A9908D8-32F9-42E6-A882-5590A6DEE2B3}">
      <dgm:prSet phldrT="[Text]" custT="1"/>
      <dgm:spPr>
        <a:xfrm rot="5400000">
          <a:off x="3420349" y="-87364"/>
          <a:ext cx="1384023"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 Prodhimi i treguesve që të përputhen me nevojat e përdoruesve të statistikave brenda vendit</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9314E75A-1612-453B-B254-6365D2A0A860}" type="parTrans" cxnId="{4468B5F9-C4D6-40B6-8E0C-1DEB9F2C7265}">
      <dgm:prSet/>
      <dgm:spPr/>
      <dgm:t>
        <a:bodyPr/>
        <a:lstStyle/>
        <a:p>
          <a:endParaRPr lang="en-US" sz="700">
            <a:latin typeface="Garamond" panose="02020404030301010803" pitchFamily="18" charset="0"/>
          </a:endParaRPr>
        </a:p>
      </dgm:t>
    </dgm:pt>
    <dgm:pt modelId="{6511B0B5-FC00-4099-862C-38617C8E2955}" type="sibTrans" cxnId="{4468B5F9-C4D6-40B6-8E0C-1DEB9F2C7265}">
      <dgm:prSet/>
      <dgm:spPr/>
      <dgm:t>
        <a:bodyPr/>
        <a:lstStyle/>
        <a:p>
          <a:endParaRPr lang="en-US" sz="700">
            <a:latin typeface="Garamond" panose="02020404030301010803" pitchFamily="18" charset="0"/>
          </a:endParaRPr>
        </a:p>
      </dgm:t>
    </dgm:pt>
    <dgm:pt modelId="{57D5FD10-3BAE-4A28-8FD4-11054968A95F}">
      <dgm:prSet phldrT="[Text]" custT="1"/>
      <dgm:spPr>
        <a:xfrm rot="5400000">
          <a:off x="3420349" y="-87364"/>
          <a:ext cx="1384023"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Prodhimi i treguesve që të përputhen me nevojat e përdoruesve ndërkombëtarë të statistikave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338180DF-B068-4965-A43D-CA68BBDB03E0}" type="parTrans" cxnId="{B1DD027F-4B7B-4E47-B630-E801F3ADB9F9}">
      <dgm:prSet/>
      <dgm:spPr/>
      <dgm:t>
        <a:bodyPr/>
        <a:lstStyle/>
        <a:p>
          <a:endParaRPr lang="en-US" sz="700">
            <a:latin typeface="Garamond" panose="02020404030301010803" pitchFamily="18" charset="0"/>
          </a:endParaRPr>
        </a:p>
      </dgm:t>
    </dgm:pt>
    <dgm:pt modelId="{6867651B-67DC-42BA-8739-082BF4298381}" type="sibTrans" cxnId="{B1DD027F-4B7B-4E47-B630-E801F3ADB9F9}">
      <dgm:prSet/>
      <dgm:spPr/>
      <dgm:t>
        <a:bodyPr/>
        <a:lstStyle/>
        <a:p>
          <a:endParaRPr lang="en-US" sz="700">
            <a:latin typeface="Garamond" panose="02020404030301010803" pitchFamily="18" charset="0"/>
          </a:endParaRPr>
        </a:p>
      </dgm:t>
    </dgm:pt>
    <dgm:pt modelId="{0A3B23FA-EDC1-47B4-9049-DF6D04C53B7E}">
      <dgm:prSet phldrT="[Text]" custT="1"/>
      <dgm:spPr>
        <a:xfrm rot="5400000">
          <a:off x="3420349" y="-87364"/>
          <a:ext cx="1384023"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Të ofrohet qasje e lehtësuar në statistikat zyrtare për të gjithë përdoruesit në një gamë të përshtatshme formatesh dhe sipas praktikave ndërkombëtare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6483959F-CC3A-4EA3-9382-0198E03B5506}" type="parTrans" cxnId="{77863C86-7A56-4C72-B293-2B27C8C33113}">
      <dgm:prSet/>
      <dgm:spPr/>
      <dgm:t>
        <a:bodyPr/>
        <a:lstStyle/>
        <a:p>
          <a:endParaRPr lang="en-US" sz="700">
            <a:latin typeface="Garamond" panose="02020404030301010803" pitchFamily="18" charset="0"/>
          </a:endParaRPr>
        </a:p>
      </dgm:t>
    </dgm:pt>
    <dgm:pt modelId="{7C7071FA-8552-4270-9906-B84946E2FEA3}" type="sibTrans" cxnId="{77863C86-7A56-4C72-B293-2B27C8C33113}">
      <dgm:prSet/>
      <dgm:spPr/>
      <dgm:t>
        <a:bodyPr/>
        <a:lstStyle/>
        <a:p>
          <a:endParaRPr lang="en-US" sz="700">
            <a:latin typeface="Garamond" panose="02020404030301010803" pitchFamily="18" charset="0"/>
          </a:endParaRPr>
        </a:p>
      </dgm:t>
    </dgm:pt>
    <dgm:pt modelId="{8367DFBE-41EC-4D4A-A4AC-D45F2A14FE61}">
      <dgm:prSet phldrT="[Text]" custT="1"/>
      <dgm:spPr>
        <a:xfrm rot="5400000">
          <a:off x="3704464" y="1077226"/>
          <a:ext cx="812015"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Të ndërtohet, mirëmbahet dhe promovohet menaxhimi i cilësisë dhe sistemi i kontrollit të cilësisë për SKS-në</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59868477-8C7C-4149-A10D-DE67DC0DA2CA}" type="parTrans" cxnId="{FDDA9250-24DB-481F-A8C1-DC1E822F49DF}">
      <dgm:prSet/>
      <dgm:spPr/>
      <dgm:t>
        <a:bodyPr/>
        <a:lstStyle/>
        <a:p>
          <a:endParaRPr lang="en-US" sz="700">
            <a:latin typeface="Garamond" panose="02020404030301010803" pitchFamily="18" charset="0"/>
          </a:endParaRPr>
        </a:p>
      </dgm:t>
    </dgm:pt>
    <dgm:pt modelId="{E7A94FD2-879E-4B8F-A1F1-7153F6D6F778}" type="sibTrans" cxnId="{FDDA9250-24DB-481F-A8C1-DC1E822F49DF}">
      <dgm:prSet/>
      <dgm:spPr/>
      <dgm:t>
        <a:bodyPr/>
        <a:lstStyle/>
        <a:p>
          <a:endParaRPr lang="en-US" sz="700">
            <a:latin typeface="Garamond" panose="02020404030301010803" pitchFamily="18" charset="0"/>
          </a:endParaRPr>
        </a:p>
      </dgm:t>
    </dgm:pt>
    <dgm:pt modelId="{47E41E48-FC47-4202-8FD2-D740894BEC0A}">
      <dgm:prSet custT="1"/>
      <dgm:spPr>
        <a:xfrm rot="5400000">
          <a:off x="3350183" y="2393651"/>
          <a:ext cx="1512549"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Vendosja dhe përmirësimi i bashkëpunimit dhe partneritetit mes institucioneve prodhuese të statistikave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BC57F8FC-CB1C-4A98-A233-968E082F3C8C}" type="parTrans" cxnId="{8AC017F3-ED92-4402-A32F-3C656443A61F}">
      <dgm:prSet/>
      <dgm:spPr/>
      <dgm:t>
        <a:bodyPr/>
        <a:lstStyle/>
        <a:p>
          <a:endParaRPr lang="en-US" sz="700">
            <a:latin typeface="Garamond" panose="02020404030301010803" pitchFamily="18" charset="0"/>
          </a:endParaRPr>
        </a:p>
      </dgm:t>
    </dgm:pt>
    <dgm:pt modelId="{34C9F3E8-4666-43D4-969F-3698048D4A33}" type="sibTrans" cxnId="{8AC017F3-ED92-4402-A32F-3C656443A61F}">
      <dgm:prSet/>
      <dgm:spPr/>
      <dgm:t>
        <a:bodyPr/>
        <a:lstStyle/>
        <a:p>
          <a:endParaRPr lang="en-US" sz="700">
            <a:latin typeface="Garamond" panose="02020404030301010803" pitchFamily="18" charset="0"/>
          </a:endParaRPr>
        </a:p>
      </dgm:t>
    </dgm:pt>
    <dgm:pt modelId="{A3FC85ED-9096-460E-99F0-262892104572}">
      <dgm:prSet custT="1"/>
      <dgm:spPr>
        <a:xfrm rot="5400000">
          <a:off x="3350183" y="2393651"/>
          <a:ext cx="1512549"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Miratimi i akteve rregullatore nga ana e institucioneve të tjera prodhuese statistikore që të jenë në mbështetje të funksioneve statistikore zyrtare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2415E188-6930-4100-9E88-CD0047CF0AD3}" type="parTrans" cxnId="{D77F03BF-1107-424F-8C49-851ADA09FEA6}">
      <dgm:prSet/>
      <dgm:spPr/>
      <dgm:t>
        <a:bodyPr/>
        <a:lstStyle/>
        <a:p>
          <a:endParaRPr lang="en-US" sz="700">
            <a:latin typeface="Garamond" panose="02020404030301010803" pitchFamily="18" charset="0"/>
          </a:endParaRPr>
        </a:p>
      </dgm:t>
    </dgm:pt>
    <dgm:pt modelId="{B53573C0-9F05-4B04-8477-A530C6CD03BA}" type="sibTrans" cxnId="{D77F03BF-1107-424F-8C49-851ADA09FEA6}">
      <dgm:prSet/>
      <dgm:spPr/>
      <dgm:t>
        <a:bodyPr/>
        <a:lstStyle/>
        <a:p>
          <a:endParaRPr lang="en-US" sz="700">
            <a:latin typeface="Garamond" panose="02020404030301010803" pitchFamily="18" charset="0"/>
          </a:endParaRPr>
        </a:p>
      </dgm:t>
    </dgm:pt>
    <dgm:pt modelId="{FB2B6119-89F6-45F4-9687-04402E520093}">
      <dgm:prSet custT="1"/>
      <dgm:spPr>
        <a:xfrm rot="5400000">
          <a:off x="3350183" y="2393651"/>
          <a:ext cx="1512549"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endPar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09D959B3-92D6-4B72-A9D6-DA04B964BAA8}" type="parTrans" cxnId="{03E7293E-EBFD-42D7-A459-A5D4F9DA210C}">
      <dgm:prSet/>
      <dgm:spPr/>
      <dgm:t>
        <a:bodyPr/>
        <a:lstStyle/>
        <a:p>
          <a:endParaRPr lang="en-US" sz="700">
            <a:latin typeface="Garamond" panose="02020404030301010803" pitchFamily="18" charset="0"/>
          </a:endParaRPr>
        </a:p>
      </dgm:t>
    </dgm:pt>
    <dgm:pt modelId="{A437B835-B23E-4C15-8080-564F72187038}" type="sibTrans" cxnId="{03E7293E-EBFD-42D7-A459-A5D4F9DA210C}">
      <dgm:prSet/>
      <dgm:spPr/>
      <dgm:t>
        <a:bodyPr/>
        <a:lstStyle/>
        <a:p>
          <a:endParaRPr lang="en-US" sz="700">
            <a:latin typeface="Garamond" panose="02020404030301010803" pitchFamily="18" charset="0"/>
          </a:endParaRPr>
        </a:p>
      </dgm:t>
    </dgm:pt>
    <dgm:pt modelId="{373E791C-CD4F-4096-B19A-D75E43C0F18A}">
      <dgm:prSet custT="1"/>
      <dgm:spPr>
        <a:xfrm rot="5400000">
          <a:off x="3350183" y="2393651"/>
          <a:ext cx="1512549"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Përafrimi dhe zbatimi i mekanizmave që nxisin ndarjen efikase dhe transparente të fondeve publike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6AEF20AA-7BC1-4117-965A-08F2C94A6CF1}" type="parTrans" cxnId="{7519ABA8-7146-43C0-BEB2-A21E9B0211AF}">
      <dgm:prSet/>
      <dgm:spPr/>
      <dgm:t>
        <a:bodyPr/>
        <a:lstStyle/>
        <a:p>
          <a:endParaRPr lang="en-US" sz="700">
            <a:latin typeface="Garamond" panose="02020404030301010803" pitchFamily="18" charset="0"/>
          </a:endParaRPr>
        </a:p>
      </dgm:t>
    </dgm:pt>
    <dgm:pt modelId="{60FEA90D-C962-49AC-BBF8-7F853363FF45}" type="sibTrans" cxnId="{7519ABA8-7146-43C0-BEB2-A21E9B0211AF}">
      <dgm:prSet/>
      <dgm:spPr/>
      <dgm:t>
        <a:bodyPr/>
        <a:lstStyle/>
        <a:p>
          <a:endParaRPr lang="en-US" sz="700">
            <a:latin typeface="Garamond" panose="02020404030301010803" pitchFamily="18" charset="0"/>
          </a:endParaRPr>
        </a:p>
      </dgm:t>
    </dgm:pt>
    <dgm:pt modelId="{A82E70DC-E7BB-458D-AC01-79CA36BB9342}">
      <dgm:prSet custT="1"/>
      <dgm:spPr>
        <a:xfrm rot="5400000">
          <a:off x="3404913" y="3967883"/>
          <a:ext cx="1459492" cy="382030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Zgjerimi i përdorimit të burimeve jotradicionale të të dhënave të papërpunuara</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6A3C96E3-E038-414C-B83F-343D4EFA97F7}" type="parTrans" cxnId="{FEAEB545-65C3-4BEA-86E6-9DA110C34117}">
      <dgm:prSet/>
      <dgm:spPr/>
      <dgm:t>
        <a:bodyPr/>
        <a:lstStyle/>
        <a:p>
          <a:endParaRPr lang="en-US" sz="700">
            <a:latin typeface="Garamond" panose="02020404030301010803" pitchFamily="18" charset="0"/>
          </a:endParaRPr>
        </a:p>
      </dgm:t>
    </dgm:pt>
    <dgm:pt modelId="{37F3DBB8-42D4-4640-8570-102923A780A6}" type="sibTrans" cxnId="{FEAEB545-65C3-4BEA-86E6-9DA110C34117}">
      <dgm:prSet/>
      <dgm:spPr/>
      <dgm:t>
        <a:bodyPr/>
        <a:lstStyle/>
        <a:p>
          <a:endParaRPr lang="en-US" sz="700">
            <a:latin typeface="Garamond" panose="02020404030301010803" pitchFamily="18" charset="0"/>
          </a:endParaRPr>
        </a:p>
      </dgm:t>
    </dgm:pt>
    <dgm:pt modelId="{393881EF-2444-4251-B617-9DC044C9D1C0}">
      <dgm:prSet custT="1"/>
      <dgm:spPr>
        <a:xfrm rot="5400000">
          <a:off x="3404913" y="3967883"/>
          <a:ext cx="1459492" cy="382030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Modernizimi i mëtejshëm i sistemeve për përpunimin statistikor dhe ruajtjen dhe shpërndarjen</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4406C3A4-590E-4129-8CA0-ACAF0C28597F}" type="parTrans" cxnId="{178B48BC-8D6A-4638-B55C-17C1135CAFE8}">
      <dgm:prSet/>
      <dgm:spPr/>
      <dgm:t>
        <a:bodyPr/>
        <a:lstStyle/>
        <a:p>
          <a:endParaRPr lang="en-US" sz="700">
            <a:latin typeface="Garamond" panose="02020404030301010803" pitchFamily="18" charset="0"/>
          </a:endParaRPr>
        </a:p>
      </dgm:t>
    </dgm:pt>
    <dgm:pt modelId="{E6FB842E-C51F-42F3-89D0-2300554E7476}" type="sibTrans" cxnId="{178B48BC-8D6A-4638-B55C-17C1135CAFE8}">
      <dgm:prSet/>
      <dgm:spPr/>
      <dgm:t>
        <a:bodyPr/>
        <a:lstStyle/>
        <a:p>
          <a:endParaRPr lang="en-US" sz="700">
            <a:latin typeface="Garamond" panose="02020404030301010803" pitchFamily="18" charset="0"/>
          </a:endParaRPr>
        </a:p>
      </dgm:t>
    </dgm:pt>
    <dgm:pt modelId="{A2682AC6-B937-4C83-B3DE-E9A8D98FC261}">
      <dgm:prSet custT="1"/>
      <dgm:spPr>
        <a:xfrm rot="5400000">
          <a:off x="3404913" y="3967883"/>
          <a:ext cx="1459492" cy="382030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Fuqizimi i bashkëpunimit me botën akademike për zhvillimin e metodave të reja, produkteve dhe shërbimeve statistikore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9F85D79A-1133-4258-B18E-5AA0622D1971}" type="parTrans" cxnId="{7CE23789-BF77-474D-8907-18FA159AAE67}">
      <dgm:prSet/>
      <dgm:spPr/>
      <dgm:t>
        <a:bodyPr/>
        <a:lstStyle/>
        <a:p>
          <a:endParaRPr lang="en-US" sz="700">
            <a:latin typeface="Garamond" panose="02020404030301010803" pitchFamily="18" charset="0"/>
          </a:endParaRPr>
        </a:p>
      </dgm:t>
    </dgm:pt>
    <dgm:pt modelId="{FBA4A821-0B07-4031-9C91-1ADE44EA3624}" type="sibTrans" cxnId="{7CE23789-BF77-474D-8907-18FA159AAE67}">
      <dgm:prSet/>
      <dgm:spPr/>
      <dgm:t>
        <a:bodyPr/>
        <a:lstStyle/>
        <a:p>
          <a:endParaRPr lang="en-US" sz="700">
            <a:latin typeface="Garamond" panose="02020404030301010803" pitchFamily="18" charset="0"/>
          </a:endParaRPr>
        </a:p>
      </dgm:t>
    </dgm:pt>
    <dgm:pt modelId="{B512EF32-F5CA-431C-B69D-84FE81325EAC}">
      <dgm:prSet custT="1"/>
      <dgm:spPr>
        <a:xfrm rot="5400000">
          <a:off x="3404913" y="3967883"/>
          <a:ext cx="1459492" cy="382030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Zhvillimi i sistemeve të  informacionit për të reduktuar ngarkesën e komunikimit dhe për të rritur cilësinë statistikore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4ACFE987-9755-4560-99B9-F6354A1B2A47}" type="parTrans" cxnId="{3677FA53-6281-458B-B0BE-1813D18D00AA}">
      <dgm:prSet/>
      <dgm:spPr/>
      <dgm:t>
        <a:bodyPr/>
        <a:lstStyle/>
        <a:p>
          <a:endParaRPr lang="en-US" sz="700">
            <a:latin typeface="Garamond" panose="02020404030301010803" pitchFamily="18" charset="0"/>
          </a:endParaRPr>
        </a:p>
      </dgm:t>
    </dgm:pt>
    <dgm:pt modelId="{0BAC2DD0-2CC0-4AC0-9EA4-0D9936DD082B}" type="sibTrans" cxnId="{3677FA53-6281-458B-B0BE-1813D18D00AA}">
      <dgm:prSet/>
      <dgm:spPr/>
      <dgm:t>
        <a:bodyPr/>
        <a:lstStyle/>
        <a:p>
          <a:endParaRPr lang="en-US" sz="700">
            <a:latin typeface="Garamond" panose="02020404030301010803" pitchFamily="18" charset="0"/>
          </a:endParaRPr>
        </a:p>
      </dgm:t>
    </dgm:pt>
    <dgm:pt modelId="{5818F411-E1CF-4159-85A7-BDBB917AFC5D}">
      <dgm:prSet custT="1"/>
      <dgm:spPr>
        <a:xfrm rot="5400000">
          <a:off x="3586248" y="5240545"/>
          <a:ext cx="1052225"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endPar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73118D61-D4CD-419B-93D8-1F82794A2908}" type="parTrans" cxnId="{28CA6E14-055F-49D2-B201-2DB66C3AF5CD}">
      <dgm:prSet/>
      <dgm:spPr/>
      <dgm:t>
        <a:bodyPr/>
        <a:lstStyle/>
        <a:p>
          <a:endParaRPr lang="en-US" sz="700">
            <a:latin typeface="Garamond" panose="02020404030301010803" pitchFamily="18" charset="0"/>
          </a:endParaRPr>
        </a:p>
      </dgm:t>
    </dgm:pt>
    <dgm:pt modelId="{397C0BB8-C142-4CDB-A100-737A20508E96}" type="sibTrans" cxnId="{28CA6E14-055F-49D2-B201-2DB66C3AF5CD}">
      <dgm:prSet/>
      <dgm:spPr/>
      <dgm:t>
        <a:bodyPr/>
        <a:lstStyle/>
        <a:p>
          <a:endParaRPr lang="en-US" sz="700">
            <a:latin typeface="Garamond" panose="02020404030301010803" pitchFamily="18" charset="0"/>
          </a:endParaRPr>
        </a:p>
      </dgm:t>
    </dgm:pt>
    <dgm:pt modelId="{DBF7C46C-227B-4658-B90A-315FD34ABC08}">
      <dgm:prSet custT="1"/>
      <dgm:spPr>
        <a:xfrm rot="5400000">
          <a:off x="3586248" y="5240545"/>
          <a:ext cx="1052225"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Fuqizimi dhe promovimi i rolit të INSTAT-it në SKS, në rajon dhe arenën ndërkombëtare</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2B0AEAAF-B0FD-41F6-AB63-DAF3892FE67D}" type="parTrans" cxnId="{3548299E-1DD8-48F4-9F12-FB998FE3F3E9}">
      <dgm:prSet/>
      <dgm:spPr/>
      <dgm:t>
        <a:bodyPr/>
        <a:lstStyle/>
        <a:p>
          <a:endParaRPr lang="en-US" sz="700">
            <a:latin typeface="Garamond" panose="02020404030301010803" pitchFamily="18" charset="0"/>
          </a:endParaRPr>
        </a:p>
      </dgm:t>
    </dgm:pt>
    <dgm:pt modelId="{5CF919E0-9A7C-40C4-BB81-33972F41D24F}" type="sibTrans" cxnId="{3548299E-1DD8-48F4-9F12-FB998FE3F3E9}">
      <dgm:prSet/>
      <dgm:spPr/>
      <dgm:t>
        <a:bodyPr/>
        <a:lstStyle/>
        <a:p>
          <a:endParaRPr lang="en-US" sz="700">
            <a:latin typeface="Garamond" panose="02020404030301010803" pitchFamily="18" charset="0"/>
          </a:endParaRPr>
        </a:p>
      </dgm:t>
    </dgm:pt>
    <dgm:pt modelId="{261DD448-CEE0-4E6C-B7D6-E02AF70E840C}">
      <dgm:prSet custT="1"/>
      <dgm:spPr>
        <a:xfrm rot="5400000">
          <a:off x="3586248" y="5240545"/>
          <a:ext cx="1052225"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endPar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552D2B02-C3C3-481C-B893-33861C12B6F8}" type="parTrans" cxnId="{F00CA8C8-FC23-4FC0-BF3F-F9987758B8D4}">
      <dgm:prSet/>
      <dgm:spPr/>
      <dgm:t>
        <a:bodyPr/>
        <a:lstStyle/>
        <a:p>
          <a:endParaRPr lang="en-US" sz="700">
            <a:latin typeface="Garamond" panose="02020404030301010803" pitchFamily="18" charset="0"/>
          </a:endParaRPr>
        </a:p>
      </dgm:t>
    </dgm:pt>
    <dgm:pt modelId="{283AD65A-E61D-45C6-9367-8EBB1FD6EF09}" type="sibTrans" cxnId="{F00CA8C8-FC23-4FC0-BF3F-F9987758B8D4}">
      <dgm:prSet/>
      <dgm:spPr/>
      <dgm:t>
        <a:bodyPr/>
        <a:lstStyle/>
        <a:p>
          <a:endParaRPr lang="en-US" sz="700">
            <a:latin typeface="Garamond" panose="02020404030301010803" pitchFamily="18" charset="0"/>
          </a:endParaRPr>
        </a:p>
      </dgm:t>
    </dgm:pt>
    <dgm:pt modelId="{7892774C-3620-47FF-8AA8-9BC4E7152CA1}">
      <dgm:prSet custT="1"/>
      <dgm:spPr>
        <a:xfrm rot="5400000">
          <a:off x="3586248" y="5240545"/>
          <a:ext cx="1052225"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sq-AL" sz="700">
              <a:solidFill>
                <a:sysClr val="windowText" lastClr="000000">
                  <a:hueOff val="0"/>
                  <a:satOff val="0"/>
                  <a:lumOff val="0"/>
                  <a:alphaOff val="0"/>
                </a:sysClr>
              </a:solidFill>
              <a:latin typeface="Garamond" panose="02020404030301010803" pitchFamily="18" charset="0"/>
              <a:ea typeface="+mn-ea"/>
              <a:cs typeface="Times New Roman" pitchFamily="18" charset="0"/>
            </a:rPr>
            <a:t>Zbatimi i plotë i dispozitave ligjore dhe praktike për të mbrojtur konfidencialitetin statistikor</a:t>
          </a:r>
          <a:r>
            <a:rPr lang="en-US" sz="7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gm:t>
    </dgm:pt>
    <dgm:pt modelId="{4FC36907-FF33-4249-8A1E-1DCB0D4E5456}" type="parTrans" cxnId="{E74A130E-D975-4D6C-9EAB-AA4B2D6D5685}">
      <dgm:prSet/>
      <dgm:spPr/>
      <dgm:t>
        <a:bodyPr/>
        <a:lstStyle/>
        <a:p>
          <a:endParaRPr lang="en-US" sz="700">
            <a:latin typeface="Garamond" panose="02020404030301010803" pitchFamily="18" charset="0"/>
          </a:endParaRPr>
        </a:p>
      </dgm:t>
    </dgm:pt>
    <dgm:pt modelId="{A8CE54F9-3464-4253-8DC1-954BCBD32657}" type="sibTrans" cxnId="{E74A130E-D975-4D6C-9EAB-AA4B2D6D5685}">
      <dgm:prSet/>
      <dgm:spPr/>
      <dgm:t>
        <a:bodyPr/>
        <a:lstStyle/>
        <a:p>
          <a:endParaRPr lang="en-US" sz="700">
            <a:latin typeface="Garamond" panose="02020404030301010803" pitchFamily="18" charset="0"/>
          </a:endParaRPr>
        </a:p>
      </dgm:t>
    </dgm:pt>
    <dgm:pt modelId="{E07D38D1-DBB6-40E7-9E8C-A6CC18C7924F}" type="pres">
      <dgm:prSet presAssocID="{A8136323-BBCE-4CBC-B8AF-74470F442811}" presName="Name0" presStyleCnt="0">
        <dgm:presLayoutVars>
          <dgm:dir/>
          <dgm:animLvl val="lvl"/>
          <dgm:resizeHandles val="exact"/>
        </dgm:presLayoutVars>
      </dgm:prSet>
      <dgm:spPr/>
      <dgm:t>
        <a:bodyPr/>
        <a:lstStyle/>
        <a:p>
          <a:endParaRPr lang="en-US"/>
        </a:p>
      </dgm:t>
    </dgm:pt>
    <dgm:pt modelId="{4D60552A-C12C-4283-963B-31FDEE7E7A64}" type="pres">
      <dgm:prSet presAssocID="{DA06FA1A-65AD-4274-9E22-A761FC2F53CE}" presName="linNode" presStyleCnt="0"/>
      <dgm:spPr/>
    </dgm:pt>
    <dgm:pt modelId="{164565DB-4D8B-4109-AB70-0B0741167469}" type="pres">
      <dgm:prSet presAssocID="{DA06FA1A-65AD-4274-9E22-A761FC2F53CE}" presName="parentText" presStyleLbl="node1" presStyleIdx="0" presStyleCnt="6">
        <dgm:presLayoutVars>
          <dgm:chMax val="1"/>
          <dgm:bulletEnabled val="1"/>
        </dgm:presLayoutVars>
      </dgm:prSet>
      <dgm:spPr>
        <a:prstGeom prst="roundRect">
          <a:avLst/>
        </a:prstGeom>
      </dgm:spPr>
      <dgm:t>
        <a:bodyPr/>
        <a:lstStyle/>
        <a:p>
          <a:endParaRPr lang="en-US"/>
        </a:p>
      </dgm:t>
    </dgm:pt>
    <dgm:pt modelId="{8AB8E08D-8C18-4C13-AF4C-F6A326D330D3}" type="pres">
      <dgm:prSet presAssocID="{DA06FA1A-65AD-4274-9E22-A761FC2F53CE}" presName="descendantText" presStyleLbl="alignAccFollowNode1" presStyleIdx="0" presStyleCnt="6" custScaleY="123261">
        <dgm:presLayoutVars>
          <dgm:bulletEnabled val="1"/>
        </dgm:presLayoutVars>
      </dgm:prSet>
      <dgm:spPr>
        <a:prstGeom prst="round2SameRect">
          <a:avLst/>
        </a:prstGeom>
      </dgm:spPr>
      <dgm:t>
        <a:bodyPr/>
        <a:lstStyle/>
        <a:p>
          <a:endParaRPr lang="en-US"/>
        </a:p>
      </dgm:t>
    </dgm:pt>
    <dgm:pt modelId="{C3DFA5F4-9CB2-4A9F-A4A3-6A62BC86A607}" type="pres">
      <dgm:prSet presAssocID="{83283F22-A604-4602-9291-09400A7C72C3}" presName="sp" presStyleCnt="0"/>
      <dgm:spPr/>
    </dgm:pt>
    <dgm:pt modelId="{6060BC0D-B325-4E56-B868-07FDB657F4E4}" type="pres">
      <dgm:prSet presAssocID="{CF8441C5-7732-4EEF-811E-2FB888A4E2F3}" presName="linNode" presStyleCnt="0"/>
      <dgm:spPr/>
    </dgm:pt>
    <dgm:pt modelId="{917C0BE7-D26B-49DA-8D92-846BCD4B0A10}" type="pres">
      <dgm:prSet presAssocID="{CF8441C5-7732-4EEF-811E-2FB888A4E2F3}" presName="parentText" presStyleLbl="node1" presStyleIdx="1" presStyleCnt="6" custLinFactNeighborY="-2764">
        <dgm:presLayoutVars>
          <dgm:chMax val="1"/>
          <dgm:bulletEnabled val="1"/>
        </dgm:presLayoutVars>
      </dgm:prSet>
      <dgm:spPr>
        <a:prstGeom prst="roundRect">
          <a:avLst/>
        </a:prstGeom>
      </dgm:spPr>
      <dgm:t>
        <a:bodyPr/>
        <a:lstStyle/>
        <a:p>
          <a:endParaRPr lang="en-US"/>
        </a:p>
      </dgm:t>
    </dgm:pt>
    <dgm:pt modelId="{A811E8D9-074D-409E-8ECF-A29F7EF21F9D}" type="pres">
      <dgm:prSet presAssocID="{CF8441C5-7732-4EEF-811E-2FB888A4E2F3}" presName="descendantText" presStyleLbl="alignAccFollowNode1" presStyleIdx="1" presStyleCnt="6" custScaleY="170443" custLinFactNeighborX="543" custLinFactNeighborY="10319">
        <dgm:presLayoutVars>
          <dgm:bulletEnabled val="1"/>
        </dgm:presLayoutVars>
      </dgm:prSet>
      <dgm:spPr>
        <a:prstGeom prst="round2SameRect">
          <a:avLst/>
        </a:prstGeom>
      </dgm:spPr>
      <dgm:t>
        <a:bodyPr/>
        <a:lstStyle/>
        <a:p>
          <a:endParaRPr lang="en-US"/>
        </a:p>
      </dgm:t>
    </dgm:pt>
    <dgm:pt modelId="{B1C4EA2A-DDC7-4778-A089-F1991452867C}" type="pres">
      <dgm:prSet presAssocID="{69544113-A717-4C04-91F1-1DE8320785FF}" presName="sp" presStyleCnt="0"/>
      <dgm:spPr/>
    </dgm:pt>
    <dgm:pt modelId="{9935BF68-8A12-4027-9EC0-B50790EEE4BF}" type="pres">
      <dgm:prSet presAssocID="{23483D98-2176-4EDD-92EE-A5AFA8E39ADE}" presName="linNode" presStyleCnt="0"/>
      <dgm:spPr/>
    </dgm:pt>
    <dgm:pt modelId="{241DDABC-677E-4EDB-A4E4-A3BAEB52C89B}" type="pres">
      <dgm:prSet presAssocID="{23483D98-2176-4EDD-92EE-A5AFA8E39ADE}" presName="parentText" presStyleLbl="node1" presStyleIdx="2" presStyleCnt="6">
        <dgm:presLayoutVars>
          <dgm:chMax val="1"/>
          <dgm:bulletEnabled val="1"/>
        </dgm:presLayoutVars>
      </dgm:prSet>
      <dgm:spPr>
        <a:prstGeom prst="roundRect">
          <a:avLst/>
        </a:prstGeom>
      </dgm:spPr>
      <dgm:t>
        <a:bodyPr/>
        <a:lstStyle/>
        <a:p>
          <a:endParaRPr lang="en-US"/>
        </a:p>
      </dgm:t>
    </dgm:pt>
    <dgm:pt modelId="{93C4E9AD-2F00-4590-8A1F-BE0A9AB1E311}" type="pres">
      <dgm:prSet presAssocID="{23483D98-2176-4EDD-92EE-A5AFA8E39ADE}" presName="descendantText" presStyleLbl="alignAccFollowNode1" presStyleIdx="2" presStyleCnt="6">
        <dgm:presLayoutVars>
          <dgm:bulletEnabled val="1"/>
        </dgm:presLayoutVars>
      </dgm:prSet>
      <dgm:spPr>
        <a:prstGeom prst="round2SameRect">
          <a:avLst/>
        </a:prstGeom>
      </dgm:spPr>
      <dgm:t>
        <a:bodyPr/>
        <a:lstStyle/>
        <a:p>
          <a:endParaRPr lang="en-US"/>
        </a:p>
      </dgm:t>
    </dgm:pt>
    <dgm:pt modelId="{F54CE47D-3FDB-463F-A7D6-F807B5F60602}" type="pres">
      <dgm:prSet presAssocID="{23B4FA7C-EDC0-4869-BFB9-87398F67EE2B}" presName="sp" presStyleCnt="0"/>
      <dgm:spPr/>
    </dgm:pt>
    <dgm:pt modelId="{8DC40B9F-E3A9-4FD6-8D8F-2AC7048667DB}" type="pres">
      <dgm:prSet presAssocID="{812D6E09-E1DA-4633-98B3-05EDC84F5324}" presName="linNode" presStyleCnt="0"/>
      <dgm:spPr/>
    </dgm:pt>
    <dgm:pt modelId="{CD3AC72E-5046-4F8C-BE05-4B3AA49627F7}" type="pres">
      <dgm:prSet presAssocID="{812D6E09-E1DA-4633-98B3-05EDC84F5324}" presName="parentText" presStyleLbl="node1" presStyleIdx="3" presStyleCnt="6" custLinFactNeighborY="4068">
        <dgm:presLayoutVars>
          <dgm:chMax val="1"/>
          <dgm:bulletEnabled val="1"/>
        </dgm:presLayoutVars>
      </dgm:prSet>
      <dgm:spPr>
        <a:prstGeom prst="roundRect">
          <a:avLst/>
        </a:prstGeom>
      </dgm:spPr>
      <dgm:t>
        <a:bodyPr/>
        <a:lstStyle/>
        <a:p>
          <a:endParaRPr lang="en-US"/>
        </a:p>
      </dgm:t>
    </dgm:pt>
    <dgm:pt modelId="{3339FEDA-F24C-4C41-8EFE-6B4033D99FDF}" type="pres">
      <dgm:prSet presAssocID="{812D6E09-E1DA-4633-98B3-05EDC84F5324}" presName="descendantText" presStyleLbl="alignAccFollowNode1" presStyleIdx="3" presStyleCnt="6" custScaleY="186271">
        <dgm:presLayoutVars>
          <dgm:bulletEnabled val="1"/>
        </dgm:presLayoutVars>
      </dgm:prSet>
      <dgm:spPr>
        <a:prstGeom prst="round2SameRect">
          <a:avLst/>
        </a:prstGeom>
      </dgm:spPr>
      <dgm:t>
        <a:bodyPr/>
        <a:lstStyle/>
        <a:p>
          <a:endParaRPr lang="en-US"/>
        </a:p>
      </dgm:t>
    </dgm:pt>
    <dgm:pt modelId="{6C7CD786-7B57-49CA-A4D5-CAE1DA2F830C}" type="pres">
      <dgm:prSet presAssocID="{3506C81C-67E8-4CEE-8BD5-3C3A4120E4D8}" presName="sp" presStyleCnt="0"/>
      <dgm:spPr/>
    </dgm:pt>
    <dgm:pt modelId="{6F0ACFB1-D221-48C7-97C0-F4CB785E0DE9}" type="pres">
      <dgm:prSet presAssocID="{ABC30CE3-0FC3-4CAC-8A9C-9414DCB63440}" presName="linNode" presStyleCnt="0"/>
      <dgm:spPr/>
    </dgm:pt>
    <dgm:pt modelId="{5A606FE1-FE63-4865-BCE9-260D9C153228}" type="pres">
      <dgm:prSet presAssocID="{ABC30CE3-0FC3-4CAC-8A9C-9414DCB63440}" presName="parentText" presStyleLbl="node1" presStyleIdx="4" presStyleCnt="6">
        <dgm:presLayoutVars>
          <dgm:chMax val="1"/>
          <dgm:bulletEnabled val="1"/>
        </dgm:presLayoutVars>
      </dgm:prSet>
      <dgm:spPr>
        <a:prstGeom prst="roundRect">
          <a:avLst/>
        </a:prstGeom>
      </dgm:spPr>
      <dgm:t>
        <a:bodyPr/>
        <a:lstStyle/>
        <a:p>
          <a:endParaRPr lang="en-US"/>
        </a:p>
      </dgm:t>
    </dgm:pt>
    <dgm:pt modelId="{8C0D693E-BB71-4657-B6A0-7E42640AFCC0}" type="pres">
      <dgm:prSet presAssocID="{ABC30CE3-0FC3-4CAC-8A9C-9414DCB63440}" presName="descendantText" presStyleLbl="alignAccFollowNode1" presStyleIdx="4" presStyleCnt="6" custScaleX="98846" custScaleY="179737" custLinFactNeighborX="2323" custLinFactNeighborY="1867">
        <dgm:presLayoutVars>
          <dgm:bulletEnabled val="1"/>
        </dgm:presLayoutVars>
      </dgm:prSet>
      <dgm:spPr>
        <a:prstGeom prst="round2SameRect">
          <a:avLst/>
        </a:prstGeom>
      </dgm:spPr>
      <dgm:t>
        <a:bodyPr/>
        <a:lstStyle/>
        <a:p>
          <a:endParaRPr lang="en-US"/>
        </a:p>
      </dgm:t>
    </dgm:pt>
    <dgm:pt modelId="{F2A9D049-95BE-4DB5-A401-DDFDAE997F4F}" type="pres">
      <dgm:prSet presAssocID="{6B2C8854-A7F9-44A6-9D9F-065412616D11}" presName="sp" presStyleCnt="0"/>
      <dgm:spPr/>
    </dgm:pt>
    <dgm:pt modelId="{87BCA606-4B02-47F4-81F2-3EFE701300F2}" type="pres">
      <dgm:prSet presAssocID="{EA55487D-0A83-40B3-861E-93F8DE0F469B}" presName="linNode" presStyleCnt="0"/>
      <dgm:spPr/>
    </dgm:pt>
    <dgm:pt modelId="{0A957DC3-C45F-4A58-8D69-0A97CA0DA614}" type="pres">
      <dgm:prSet presAssocID="{EA55487D-0A83-40B3-861E-93F8DE0F469B}" presName="parentText" presStyleLbl="node1" presStyleIdx="5" presStyleCnt="6">
        <dgm:presLayoutVars>
          <dgm:chMax val="1"/>
          <dgm:bulletEnabled val="1"/>
        </dgm:presLayoutVars>
      </dgm:prSet>
      <dgm:spPr>
        <a:prstGeom prst="roundRect">
          <a:avLst/>
        </a:prstGeom>
      </dgm:spPr>
      <dgm:t>
        <a:bodyPr/>
        <a:lstStyle/>
        <a:p>
          <a:endParaRPr lang="en-US"/>
        </a:p>
      </dgm:t>
    </dgm:pt>
    <dgm:pt modelId="{90002135-653F-461A-AA0B-03413F285F7D}" type="pres">
      <dgm:prSet presAssocID="{EA55487D-0A83-40B3-861E-93F8DE0F469B}" presName="descendantText" presStyleLbl="alignAccFollowNode1" presStyleIdx="5" presStyleCnt="6" custScaleY="129582" custLinFactNeighborX="272" custLinFactNeighborY="11908">
        <dgm:presLayoutVars>
          <dgm:bulletEnabled val="1"/>
        </dgm:presLayoutVars>
      </dgm:prSet>
      <dgm:spPr>
        <a:prstGeom prst="round2SameRect">
          <a:avLst/>
        </a:prstGeom>
      </dgm:spPr>
      <dgm:t>
        <a:bodyPr/>
        <a:lstStyle/>
        <a:p>
          <a:endParaRPr lang="en-US"/>
        </a:p>
      </dgm:t>
    </dgm:pt>
  </dgm:ptLst>
  <dgm:cxnLst>
    <dgm:cxn modelId="{178B48BC-8D6A-4638-B55C-17C1135CAFE8}" srcId="{ABC30CE3-0FC3-4CAC-8A9C-9414DCB63440}" destId="{393881EF-2444-4251-B617-9DC044C9D1C0}" srcOrd="2" destOrd="0" parTransId="{4406C3A4-590E-4129-8CA0-ACAF0C28597F}" sibTransId="{E6FB842E-C51F-42F3-89D0-2300554E7476}"/>
    <dgm:cxn modelId="{FDDA9250-24DB-481F-A8C1-DC1E822F49DF}" srcId="{23483D98-2176-4EDD-92EE-A5AFA8E39ADE}" destId="{8367DFBE-41EC-4D4A-A4AC-D45F2A14FE61}" srcOrd="1" destOrd="0" parTransId="{59868477-8C7C-4149-A10D-DE67DC0DA2CA}" sibTransId="{E7A94FD2-879E-4B8F-A1F1-7153F6D6F778}"/>
    <dgm:cxn modelId="{DEFD055B-1C6E-4937-AB80-E83C0941482C}" srcId="{A8136323-BBCE-4CBC-B8AF-74470F442811}" destId="{CF8441C5-7732-4EEF-811E-2FB888A4E2F3}" srcOrd="1" destOrd="0" parTransId="{6109F1EA-21EB-4614-8F89-C494CF90E584}" sibTransId="{69544113-A717-4C04-91F1-1DE8320785FF}"/>
    <dgm:cxn modelId="{DE7545C4-68CD-4DEC-A83C-B5F2035C1AAD}" srcId="{A8136323-BBCE-4CBC-B8AF-74470F442811}" destId="{ABC30CE3-0FC3-4CAC-8A9C-9414DCB63440}" srcOrd="4" destOrd="0" parTransId="{50A86C44-09B5-489E-9B23-B0828D45A27A}" sibTransId="{6B2C8854-A7F9-44A6-9D9F-065412616D11}"/>
    <dgm:cxn modelId="{F5148CB1-0639-40CD-BFE0-28BC22DD142B}" type="presOf" srcId="{812D6E09-E1DA-4633-98B3-05EDC84F5324}" destId="{CD3AC72E-5046-4F8C-BE05-4B3AA49627F7}" srcOrd="0" destOrd="0" presId="urn:microsoft.com/office/officeart/2005/8/layout/vList5"/>
    <dgm:cxn modelId="{4C0EDD8A-3FAC-4E86-AA6C-7461BD04BCBA}" type="presOf" srcId="{5A9908D8-32F9-42E6-A882-5590A6DEE2B3}" destId="{A811E8D9-074D-409E-8ECF-A29F7EF21F9D}" srcOrd="0" destOrd="1" presId="urn:microsoft.com/office/officeart/2005/8/layout/vList5"/>
    <dgm:cxn modelId="{D77F03BF-1107-424F-8C49-851ADA09FEA6}" srcId="{812D6E09-E1DA-4633-98B3-05EDC84F5324}" destId="{A3FC85ED-9096-460E-99F0-262892104572}" srcOrd="2" destOrd="0" parTransId="{2415E188-6930-4100-9E88-CD0047CF0AD3}" sibTransId="{B53573C0-9F05-4B04-8477-A530C6CD03BA}"/>
    <dgm:cxn modelId="{6109C4D0-B7DA-4834-BC51-E855326DC919}" type="presOf" srcId="{0A3B23FA-EDC1-47B4-9049-DF6D04C53B7E}" destId="{A811E8D9-074D-409E-8ECF-A29F7EF21F9D}" srcOrd="0" destOrd="3" presId="urn:microsoft.com/office/officeart/2005/8/layout/vList5"/>
    <dgm:cxn modelId="{80DC71EF-F49E-4FBB-8E34-B2EF8187E689}" srcId="{CF8441C5-7732-4EEF-811E-2FB888A4E2F3}" destId="{3C76F7DC-FCB6-48C9-AA46-1AF83FDF80F8}" srcOrd="4" destOrd="0" parTransId="{B029BD9F-32E6-4C66-8BD9-A3D9C17C658D}" sibTransId="{C66874AD-493D-4290-9A93-58E61E23FD46}"/>
    <dgm:cxn modelId="{30C7E194-697A-4223-B7AF-A93F920CEB26}" type="presOf" srcId="{7BCE3097-5415-4179-B99C-81FB27E6B1A5}" destId="{8AB8E08D-8C18-4C13-AF4C-F6A326D330D3}" srcOrd="0" destOrd="3" presId="urn:microsoft.com/office/officeart/2005/8/layout/vList5"/>
    <dgm:cxn modelId="{7BC484A1-15FF-4260-A0AD-E4E88974386E}" type="presOf" srcId="{373E791C-CD4F-4096-B19A-D75E43C0F18A}" destId="{3339FEDA-F24C-4C41-8EFE-6B4033D99FDF}" srcOrd="0" destOrd="3" presId="urn:microsoft.com/office/officeart/2005/8/layout/vList5"/>
    <dgm:cxn modelId="{4A14D52B-CCE4-4BC5-9B76-42BFC1FF3A51}" srcId="{A8136323-BBCE-4CBC-B8AF-74470F442811}" destId="{23483D98-2176-4EDD-92EE-A5AFA8E39ADE}" srcOrd="2" destOrd="0" parTransId="{08CCCF93-3814-4B21-B7DE-686EAD0A7B4D}" sibTransId="{23B4FA7C-EDC0-4869-BFB9-87398F67EE2B}"/>
    <dgm:cxn modelId="{B1DD027F-4B7B-4E47-B630-E801F3ADB9F9}" srcId="{CF8441C5-7732-4EEF-811E-2FB888A4E2F3}" destId="{57D5FD10-3BAE-4A28-8FD4-11054968A95F}" srcOrd="2" destOrd="0" parTransId="{338180DF-B068-4965-A43D-CA68BBDB03E0}" sibTransId="{6867651B-67DC-42BA-8739-082BF4298381}"/>
    <dgm:cxn modelId="{018C6C8E-69A7-47E6-A7FD-1C7E5A215A48}" type="presOf" srcId="{7892774C-3620-47FF-8AA8-9BC4E7152CA1}" destId="{90002135-653F-461A-AA0B-03413F285F7D}" srcOrd="0" destOrd="2" presId="urn:microsoft.com/office/officeart/2005/8/layout/vList5"/>
    <dgm:cxn modelId="{03E7293E-EBFD-42D7-A459-A5D4F9DA210C}" srcId="{812D6E09-E1DA-4633-98B3-05EDC84F5324}" destId="{FB2B6119-89F6-45F4-9687-04402E520093}" srcOrd="4" destOrd="0" parTransId="{09D959B3-92D6-4B72-A9D6-DA04B964BAA8}" sibTransId="{A437B835-B23E-4C15-8080-564F72187038}"/>
    <dgm:cxn modelId="{4F529F30-7D4B-4D6E-814A-5652D433669C}" type="presOf" srcId="{8367DFBE-41EC-4D4A-A4AC-D45F2A14FE61}" destId="{93C4E9AD-2F00-4590-8A1F-BE0A9AB1E311}" srcOrd="0" destOrd="1" presId="urn:microsoft.com/office/officeart/2005/8/layout/vList5"/>
    <dgm:cxn modelId="{7248C576-A9CA-469A-9C8F-A99908AFFD98}" srcId="{A8136323-BBCE-4CBC-B8AF-74470F442811}" destId="{DA06FA1A-65AD-4274-9E22-A761FC2F53CE}" srcOrd="0" destOrd="0" parTransId="{359D58A4-7C14-4F56-A950-02E8BE6E9DA0}" sibTransId="{83283F22-A604-4602-9291-09400A7C72C3}"/>
    <dgm:cxn modelId="{6020AD28-0D43-40EF-8435-3F96459BA123}" type="presOf" srcId="{23483D98-2176-4EDD-92EE-A5AFA8E39ADE}" destId="{241DDABC-677E-4EDB-A4E4-A3BAEB52C89B}" srcOrd="0" destOrd="0" presId="urn:microsoft.com/office/officeart/2005/8/layout/vList5"/>
    <dgm:cxn modelId="{77642874-93A0-4B2A-9870-AF04A5925521}" type="presOf" srcId="{EA55487D-0A83-40B3-861E-93F8DE0F469B}" destId="{0A957DC3-C45F-4A58-8D69-0A97CA0DA614}" srcOrd="0" destOrd="0" presId="urn:microsoft.com/office/officeart/2005/8/layout/vList5"/>
    <dgm:cxn modelId="{A602E3D5-B2B5-4D97-B9BE-E257D050A147}" srcId="{A8136323-BBCE-4CBC-B8AF-74470F442811}" destId="{EA55487D-0A83-40B3-861E-93F8DE0F469B}" srcOrd="5" destOrd="0" parTransId="{E0467CFF-996F-45BF-9071-5D4BA4A6D146}" sibTransId="{B850588A-ED28-47DF-8A97-6467077B11E9}"/>
    <dgm:cxn modelId="{F00CA8C8-FC23-4FC0-BF3F-F9987758B8D4}" srcId="{EA55487D-0A83-40B3-861E-93F8DE0F469B}" destId="{261DD448-CEE0-4E6C-B7D6-E02AF70E840C}" srcOrd="3" destOrd="0" parTransId="{552D2B02-C3C3-481C-B893-33861C12B6F8}" sibTransId="{283AD65A-E61D-45C6-9367-8EBB1FD6EF09}"/>
    <dgm:cxn modelId="{2E773A58-0286-447D-8A0A-AE6AD121AF5B}" srcId="{EA55487D-0A83-40B3-861E-93F8DE0F469B}" destId="{A74B507B-E413-4DF2-BFB9-7D5F04B1FDBB}" srcOrd="0" destOrd="0" parTransId="{4520CD3C-77E0-464D-A4D9-1B76428CD0DF}" sibTransId="{2D767847-6B1F-4EC8-9F64-D12451CC484E}"/>
    <dgm:cxn modelId="{73A47FA2-313D-48A2-9024-967D78352570}" type="presOf" srcId="{FB2B6119-89F6-45F4-9687-04402E520093}" destId="{3339FEDA-F24C-4C41-8EFE-6B4033D99FDF}" srcOrd="0" destOrd="4" presId="urn:microsoft.com/office/officeart/2005/8/layout/vList5"/>
    <dgm:cxn modelId="{018FA39D-2191-41B9-8061-FEDB5E44CA22}" srcId="{DA06FA1A-65AD-4274-9E22-A761FC2F53CE}" destId="{821517E6-8EC5-4AC9-BF57-428FA382266A}" srcOrd="0" destOrd="0" parTransId="{51F3F4E7-304E-4304-AD6B-8610BCB8D0F7}" sibTransId="{C4460B5B-F6D4-4339-9CE6-81DD3BD693CE}"/>
    <dgm:cxn modelId="{3548299E-1DD8-48F4-9F12-FB998FE3F3E9}" srcId="{EA55487D-0A83-40B3-861E-93F8DE0F469B}" destId="{DBF7C46C-227B-4658-B90A-315FD34ABC08}" srcOrd="1" destOrd="0" parTransId="{2B0AEAAF-B0FD-41F6-AB63-DAF3892FE67D}" sibTransId="{5CF919E0-9A7C-40C4-BB81-33972F41D24F}"/>
    <dgm:cxn modelId="{8AC017F3-ED92-4402-A32F-3C656443A61F}" srcId="{812D6E09-E1DA-4633-98B3-05EDC84F5324}" destId="{47E41E48-FC47-4202-8FD2-D740894BEC0A}" srcOrd="1" destOrd="0" parTransId="{BC57F8FC-CB1C-4A98-A233-968E082F3C8C}" sibTransId="{34C9F3E8-4666-43D4-969F-3698048D4A33}"/>
    <dgm:cxn modelId="{97C4CE7C-4A3C-490B-9632-7838F12754AC}" srcId="{A8136323-BBCE-4CBC-B8AF-74470F442811}" destId="{812D6E09-E1DA-4633-98B3-05EDC84F5324}" srcOrd="3" destOrd="0" parTransId="{530312FB-BB3C-425D-A6DE-C1F36A5EEAFC}" sibTransId="{3506C81C-67E8-4CEE-8BD5-3C3A4120E4D8}"/>
    <dgm:cxn modelId="{3682E78C-EFF4-4FC5-BCE0-CA3BD171162C}" srcId="{CF8441C5-7732-4EEF-811E-2FB888A4E2F3}" destId="{37F9B076-FBF7-4ABD-A825-F105E443DBC3}" srcOrd="0" destOrd="0" parTransId="{216379C6-12ED-42F0-9C23-8BC714A0F3CE}" sibTransId="{FF97339D-3297-4E13-BF61-42437398F416}"/>
    <dgm:cxn modelId="{42B6614C-BBF7-4A9C-B74C-83CC2705036F}" type="presOf" srcId="{A3FC85ED-9096-460E-99F0-262892104572}" destId="{3339FEDA-F24C-4C41-8EFE-6B4033D99FDF}" srcOrd="0" destOrd="2" presId="urn:microsoft.com/office/officeart/2005/8/layout/vList5"/>
    <dgm:cxn modelId="{D15AB184-5D79-4860-8E7C-8975F2662CF2}" type="presOf" srcId="{B512EF32-F5CA-431C-B69D-84FE81325EAC}" destId="{8C0D693E-BB71-4657-B6A0-7E42640AFCC0}" srcOrd="0" destOrd="4" presId="urn:microsoft.com/office/officeart/2005/8/layout/vList5"/>
    <dgm:cxn modelId="{705B4C8B-C3EC-467A-909B-D1B0A754B976}" srcId="{23483D98-2176-4EDD-92EE-A5AFA8E39ADE}" destId="{127EBB68-5DB5-4549-8EDE-ABC3FFF9BA5B}" srcOrd="0" destOrd="0" parTransId="{CFEDA9D6-C7B8-48EC-8085-E69C0D1C04C0}" sibTransId="{27DEAB07-10A8-4E66-8ECB-FBD5C5E52077}"/>
    <dgm:cxn modelId="{20871D8E-031E-4E07-AE0C-391C5A33D13B}" type="presOf" srcId="{06D57BB6-DD30-4A69-BF30-8C00CBF05ED9}" destId="{8AB8E08D-8C18-4C13-AF4C-F6A326D330D3}" srcOrd="0" destOrd="1" presId="urn:microsoft.com/office/officeart/2005/8/layout/vList5"/>
    <dgm:cxn modelId="{86DF0B49-EE86-4E17-AEDB-1579CDCB50D4}" type="presOf" srcId="{A2682AC6-B937-4C83-B3DE-E9A8D98FC261}" destId="{8C0D693E-BB71-4657-B6A0-7E42640AFCC0}" srcOrd="0" destOrd="3" presId="urn:microsoft.com/office/officeart/2005/8/layout/vList5"/>
    <dgm:cxn modelId="{12A09CE0-0AD5-472D-9962-3F24722BBC11}" srcId="{812D6E09-E1DA-4633-98B3-05EDC84F5324}" destId="{079A99EF-3182-4F3A-9E70-463CCDC9537B}" srcOrd="0" destOrd="0" parTransId="{A46DED95-2335-4695-BAC6-320B385A1CEC}" sibTransId="{2E6E0132-EED4-4E6C-9210-BF38B1459023}"/>
    <dgm:cxn modelId="{CC615289-3A0A-4B46-9FC4-BE062F9BE867}" type="presOf" srcId="{A82E70DC-E7BB-458D-AC01-79CA36BB9342}" destId="{8C0D693E-BB71-4657-B6A0-7E42640AFCC0}" srcOrd="0" destOrd="1" presId="urn:microsoft.com/office/officeart/2005/8/layout/vList5"/>
    <dgm:cxn modelId="{1EBE4E82-386E-4EB3-BC00-E0BCCA7B2ADC}" srcId="{DA06FA1A-65AD-4274-9E22-A761FC2F53CE}" destId="{06D57BB6-DD30-4A69-BF30-8C00CBF05ED9}" srcOrd="1" destOrd="0" parTransId="{0BF77FCE-1297-4C33-A644-C3BFD0448C48}" sibTransId="{E9889386-1042-47D1-A628-7329CAF390FD}"/>
    <dgm:cxn modelId="{13415768-725C-46C1-AA9B-701DE47645C9}" type="presOf" srcId="{ABC30CE3-0FC3-4CAC-8A9C-9414DCB63440}" destId="{5A606FE1-FE63-4865-BCE9-260D9C153228}" srcOrd="0" destOrd="0" presId="urn:microsoft.com/office/officeart/2005/8/layout/vList5"/>
    <dgm:cxn modelId="{E74A130E-D975-4D6C-9EAB-AA4B2D6D5685}" srcId="{EA55487D-0A83-40B3-861E-93F8DE0F469B}" destId="{7892774C-3620-47FF-8AA8-9BC4E7152CA1}" srcOrd="2" destOrd="0" parTransId="{4FC36907-FF33-4249-8A1E-1DCB0D4E5456}" sibTransId="{A8CE54F9-3464-4253-8DC1-954BCBD32657}"/>
    <dgm:cxn modelId="{C818A059-8704-47FB-9A72-09C5C2E3D475}" srcId="{DA06FA1A-65AD-4274-9E22-A761FC2F53CE}" destId="{F49A2EF9-605B-4D1D-A10C-08A94B4069BF}" srcOrd="2" destOrd="0" parTransId="{FF0F8351-ECF5-4EAB-8545-110D86473321}" sibTransId="{E81A53EF-8942-481D-9B98-04FD0189A763}"/>
    <dgm:cxn modelId="{28ED2E5E-B7AC-47FB-80C7-E77451EB7FCA}" type="presOf" srcId="{821517E6-8EC5-4AC9-BF57-428FA382266A}" destId="{8AB8E08D-8C18-4C13-AF4C-F6A326D330D3}" srcOrd="0" destOrd="0" presId="urn:microsoft.com/office/officeart/2005/8/layout/vList5"/>
    <dgm:cxn modelId="{519FF130-0966-4D4D-B73B-BE635A3E2975}" type="presOf" srcId="{DBF7C46C-227B-4658-B90A-315FD34ABC08}" destId="{90002135-653F-461A-AA0B-03413F285F7D}" srcOrd="0" destOrd="1" presId="urn:microsoft.com/office/officeart/2005/8/layout/vList5"/>
    <dgm:cxn modelId="{60F7A2A7-BAE9-46A7-902A-E168DBD9580C}" type="presOf" srcId="{57D5FD10-3BAE-4A28-8FD4-11054968A95F}" destId="{A811E8D9-074D-409E-8ECF-A29F7EF21F9D}" srcOrd="0" destOrd="2" presId="urn:microsoft.com/office/officeart/2005/8/layout/vList5"/>
    <dgm:cxn modelId="{26270A12-DDD5-4E09-8C31-4161A77745FF}" type="presOf" srcId="{127EBB68-5DB5-4549-8EDE-ABC3FFF9BA5B}" destId="{93C4E9AD-2F00-4590-8A1F-BE0A9AB1E311}" srcOrd="0" destOrd="0" presId="urn:microsoft.com/office/officeart/2005/8/layout/vList5"/>
    <dgm:cxn modelId="{D476AF32-3833-47ED-A9B6-1BBD2BC6E7AA}" type="presOf" srcId="{3C76F7DC-FCB6-48C9-AA46-1AF83FDF80F8}" destId="{A811E8D9-074D-409E-8ECF-A29F7EF21F9D}" srcOrd="0" destOrd="4" presId="urn:microsoft.com/office/officeart/2005/8/layout/vList5"/>
    <dgm:cxn modelId="{7CE23789-BF77-474D-8907-18FA159AAE67}" srcId="{ABC30CE3-0FC3-4CAC-8A9C-9414DCB63440}" destId="{A2682AC6-B937-4C83-B3DE-E9A8D98FC261}" srcOrd="3" destOrd="0" parTransId="{9F85D79A-1133-4258-B18E-5AA0622D1971}" sibTransId="{FBA4A821-0B07-4031-9C91-1ADE44EA3624}"/>
    <dgm:cxn modelId="{2616DC6D-C9FC-434B-84C5-4600340F682B}" type="presOf" srcId="{F49D2CDE-EE59-4851-A005-E5D904130488}" destId="{8C0D693E-BB71-4657-B6A0-7E42640AFCC0}" srcOrd="0" destOrd="0" presId="urn:microsoft.com/office/officeart/2005/8/layout/vList5"/>
    <dgm:cxn modelId="{0EE08C78-854A-41C6-99FE-50E1CD7DB8A8}" srcId="{ABC30CE3-0FC3-4CAC-8A9C-9414DCB63440}" destId="{F49D2CDE-EE59-4851-A005-E5D904130488}" srcOrd="0" destOrd="0" parTransId="{CA3D857F-9F1D-4AF4-B138-132718C42D43}" sibTransId="{2DC84D30-D308-498A-BF5B-A495813C756F}"/>
    <dgm:cxn modelId="{FEAEB545-65C3-4BEA-86E6-9DA110C34117}" srcId="{ABC30CE3-0FC3-4CAC-8A9C-9414DCB63440}" destId="{A82E70DC-E7BB-458D-AC01-79CA36BB9342}" srcOrd="1" destOrd="0" parTransId="{6A3C96E3-E038-414C-B83F-343D4EFA97F7}" sibTransId="{37F3DBB8-42D4-4640-8570-102923A780A6}"/>
    <dgm:cxn modelId="{C121611B-79AE-4D5E-8542-5BFFBEC72C23}" type="presOf" srcId="{A74B507B-E413-4DF2-BFB9-7D5F04B1FDBB}" destId="{90002135-653F-461A-AA0B-03413F285F7D}" srcOrd="0" destOrd="0" presId="urn:microsoft.com/office/officeart/2005/8/layout/vList5"/>
    <dgm:cxn modelId="{CD9E96BD-EF5E-4D30-BBDB-B9172F96D3A6}" srcId="{DA06FA1A-65AD-4274-9E22-A761FC2F53CE}" destId="{7BCE3097-5415-4179-B99C-81FB27E6B1A5}" srcOrd="3" destOrd="0" parTransId="{B7D0F133-93CE-4CDA-BA0C-6A46526B022E}" sibTransId="{C36C8428-E994-4F96-8CAC-9D6D1B96AE18}"/>
    <dgm:cxn modelId="{71746EBB-8646-4C5A-9466-E49D263E98F7}" type="presOf" srcId="{393881EF-2444-4251-B617-9DC044C9D1C0}" destId="{8C0D693E-BB71-4657-B6A0-7E42640AFCC0}" srcOrd="0" destOrd="2" presId="urn:microsoft.com/office/officeart/2005/8/layout/vList5"/>
    <dgm:cxn modelId="{2E2C0E6A-FD00-4AB0-94C4-ABD99500DD32}" type="presOf" srcId="{F49A2EF9-605B-4D1D-A10C-08A94B4069BF}" destId="{8AB8E08D-8C18-4C13-AF4C-F6A326D330D3}" srcOrd="0" destOrd="2" presId="urn:microsoft.com/office/officeart/2005/8/layout/vList5"/>
    <dgm:cxn modelId="{6B30DE92-5EA5-4671-8876-D85294079CB4}" type="presOf" srcId="{DA06FA1A-65AD-4274-9E22-A761FC2F53CE}" destId="{164565DB-4D8B-4109-AB70-0B0741167469}" srcOrd="0" destOrd="0" presId="urn:microsoft.com/office/officeart/2005/8/layout/vList5"/>
    <dgm:cxn modelId="{77863C86-7A56-4C72-B293-2B27C8C33113}" srcId="{CF8441C5-7732-4EEF-811E-2FB888A4E2F3}" destId="{0A3B23FA-EDC1-47B4-9049-DF6D04C53B7E}" srcOrd="3" destOrd="0" parTransId="{6483959F-CC3A-4EA3-9382-0198E03B5506}" sibTransId="{7C7071FA-8552-4270-9906-B84946E2FEA3}"/>
    <dgm:cxn modelId="{625180D2-D4F9-4F6A-99E4-2C8F4E56603F}" type="presOf" srcId="{47E41E48-FC47-4202-8FD2-D740894BEC0A}" destId="{3339FEDA-F24C-4C41-8EFE-6B4033D99FDF}" srcOrd="0" destOrd="1" presId="urn:microsoft.com/office/officeart/2005/8/layout/vList5"/>
    <dgm:cxn modelId="{4468B5F9-C4D6-40B6-8E0C-1DEB9F2C7265}" srcId="{CF8441C5-7732-4EEF-811E-2FB888A4E2F3}" destId="{5A9908D8-32F9-42E6-A882-5590A6DEE2B3}" srcOrd="1" destOrd="0" parTransId="{9314E75A-1612-453B-B254-6365D2A0A860}" sibTransId="{6511B0B5-FC00-4099-862C-38617C8E2955}"/>
    <dgm:cxn modelId="{F2D2639B-EE34-41D1-BECC-6F236CE3DA7F}" type="presOf" srcId="{261DD448-CEE0-4E6C-B7D6-E02AF70E840C}" destId="{90002135-653F-461A-AA0B-03413F285F7D}" srcOrd="0" destOrd="3" presId="urn:microsoft.com/office/officeart/2005/8/layout/vList5"/>
    <dgm:cxn modelId="{C222BB13-CB57-4622-80C3-1A616B15000A}" type="presOf" srcId="{37F9B076-FBF7-4ABD-A825-F105E443DBC3}" destId="{A811E8D9-074D-409E-8ECF-A29F7EF21F9D}" srcOrd="0" destOrd="0" presId="urn:microsoft.com/office/officeart/2005/8/layout/vList5"/>
    <dgm:cxn modelId="{A0C38DD5-F487-4D01-9BCE-E2017C282B48}" type="presOf" srcId="{CF8441C5-7732-4EEF-811E-2FB888A4E2F3}" destId="{917C0BE7-D26B-49DA-8D92-846BCD4B0A10}" srcOrd="0" destOrd="0" presId="urn:microsoft.com/office/officeart/2005/8/layout/vList5"/>
    <dgm:cxn modelId="{899094A2-1707-4DCA-876C-B0C9BC668AF1}" type="presOf" srcId="{079A99EF-3182-4F3A-9E70-463CCDC9537B}" destId="{3339FEDA-F24C-4C41-8EFE-6B4033D99FDF}" srcOrd="0" destOrd="0" presId="urn:microsoft.com/office/officeart/2005/8/layout/vList5"/>
    <dgm:cxn modelId="{3677FA53-6281-458B-B0BE-1813D18D00AA}" srcId="{ABC30CE3-0FC3-4CAC-8A9C-9414DCB63440}" destId="{B512EF32-F5CA-431C-B69D-84FE81325EAC}" srcOrd="4" destOrd="0" parTransId="{4ACFE987-9755-4560-99B9-F6354A1B2A47}" sibTransId="{0BAC2DD0-2CC0-4AC0-9EA4-0D9936DD082B}"/>
    <dgm:cxn modelId="{7519ABA8-7146-43C0-BEB2-A21E9B0211AF}" srcId="{812D6E09-E1DA-4633-98B3-05EDC84F5324}" destId="{373E791C-CD4F-4096-B19A-D75E43C0F18A}" srcOrd="3" destOrd="0" parTransId="{6AEF20AA-7BC1-4117-965A-08F2C94A6CF1}" sibTransId="{60FEA90D-C962-49AC-BBF8-7F853363FF45}"/>
    <dgm:cxn modelId="{28CA6E14-055F-49D2-B201-2DB66C3AF5CD}" srcId="{EA55487D-0A83-40B3-861E-93F8DE0F469B}" destId="{5818F411-E1CF-4159-85A7-BDBB917AFC5D}" srcOrd="4" destOrd="0" parTransId="{73118D61-D4CD-419B-93D8-1F82794A2908}" sibTransId="{397C0BB8-C142-4CDB-A100-737A20508E96}"/>
    <dgm:cxn modelId="{0E7203B0-C549-4E10-9564-BDE4EC5B69CC}" type="presOf" srcId="{5818F411-E1CF-4159-85A7-BDBB917AFC5D}" destId="{90002135-653F-461A-AA0B-03413F285F7D}" srcOrd="0" destOrd="4" presId="urn:microsoft.com/office/officeart/2005/8/layout/vList5"/>
    <dgm:cxn modelId="{E93DD70E-F48C-436A-8C44-E7CA71724FC7}" type="presOf" srcId="{A8136323-BBCE-4CBC-B8AF-74470F442811}" destId="{E07D38D1-DBB6-40E7-9E8C-A6CC18C7924F}" srcOrd="0" destOrd="0" presId="urn:microsoft.com/office/officeart/2005/8/layout/vList5"/>
    <dgm:cxn modelId="{0C2C846A-0453-42D8-B0F7-62DCE73C2375}" type="presParOf" srcId="{E07D38D1-DBB6-40E7-9E8C-A6CC18C7924F}" destId="{4D60552A-C12C-4283-963B-31FDEE7E7A64}" srcOrd="0" destOrd="0" presId="urn:microsoft.com/office/officeart/2005/8/layout/vList5"/>
    <dgm:cxn modelId="{543C02E0-D546-4B93-B7ED-016F036F972D}" type="presParOf" srcId="{4D60552A-C12C-4283-963B-31FDEE7E7A64}" destId="{164565DB-4D8B-4109-AB70-0B0741167469}" srcOrd="0" destOrd="0" presId="urn:microsoft.com/office/officeart/2005/8/layout/vList5"/>
    <dgm:cxn modelId="{0F7A565D-08A3-43BC-8F49-0E6FE5E9735E}" type="presParOf" srcId="{4D60552A-C12C-4283-963B-31FDEE7E7A64}" destId="{8AB8E08D-8C18-4C13-AF4C-F6A326D330D3}" srcOrd="1" destOrd="0" presId="urn:microsoft.com/office/officeart/2005/8/layout/vList5"/>
    <dgm:cxn modelId="{AB1D828E-6AF7-4FE2-9277-FDA52ED1A140}" type="presParOf" srcId="{E07D38D1-DBB6-40E7-9E8C-A6CC18C7924F}" destId="{C3DFA5F4-9CB2-4A9F-A4A3-6A62BC86A607}" srcOrd="1" destOrd="0" presId="urn:microsoft.com/office/officeart/2005/8/layout/vList5"/>
    <dgm:cxn modelId="{04BB046E-FA9A-49DF-88DE-44D6D9E09A67}" type="presParOf" srcId="{E07D38D1-DBB6-40E7-9E8C-A6CC18C7924F}" destId="{6060BC0D-B325-4E56-B868-07FDB657F4E4}" srcOrd="2" destOrd="0" presId="urn:microsoft.com/office/officeart/2005/8/layout/vList5"/>
    <dgm:cxn modelId="{35C92F42-F868-41FD-B935-38F9F8ACC5DE}" type="presParOf" srcId="{6060BC0D-B325-4E56-B868-07FDB657F4E4}" destId="{917C0BE7-D26B-49DA-8D92-846BCD4B0A10}" srcOrd="0" destOrd="0" presId="urn:microsoft.com/office/officeart/2005/8/layout/vList5"/>
    <dgm:cxn modelId="{392368B5-E83E-4FED-B19E-2A8F31FC8AF2}" type="presParOf" srcId="{6060BC0D-B325-4E56-B868-07FDB657F4E4}" destId="{A811E8D9-074D-409E-8ECF-A29F7EF21F9D}" srcOrd="1" destOrd="0" presId="urn:microsoft.com/office/officeart/2005/8/layout/vList5"/>
    <dgm:cxn modelId="{EF513F14-4B40-451B-90E6-1072917E1351}" type="presParOf" srcId="{E07D38D1-DBB6-40E7-9E8C-A6CC18C7924F}" destId="{B1C4EA2A-DDC7-4778-A089-F1991452867C}" srcOrd="3" destOrd="0" presId="urn:microsoft.com/office/officeart/2005/8/layout/vList5"/>
    <dgm:cxn modelId="{CD6864A6-C7B7-49FD-A5C4-05F97B2B8C3C}" type="presParOf" srcId="{E07D38D1-DBB6-40E7-9E8C-A6CC18C7924F}" destId="{9935BF68-8A12-4027-9EC0-B50790EEE4BF}" srcOrd="4" destOrd="0" presId="urn:microsoft.com/office/officeart/2005/8/layout/vList5"/>
    <dgm:cxn modelId="{C1540DE2-BBB9-44B9-ADEB-A5B10FD7873D}" type="presParOf" srcId="{9935BF68-8A12-4027-9EC0-B50790EEE4BF}" destId="{241DDABC-677E-4EDB-A4E4-A3BAEB52C89B}" srcOrd="0" destOrd="0" presId="urn:microsoft.com/office/officeart/2005/8/layout/vList5"/>
    <dgm:cxn modelId="{DCF50304-DB68-4295-B7E1-0154BA9BD0EF}" type="presParOf" srcId="{9935BF68-8A12-4027-9EC0-B50790EEE4BF}" destId="{93C4E9AD-2F00-4590-8A1F-BE0A9AB1E311}" srcOrd="1" destOrd="0" presId="urn:microsoft.com/office/officeart/2005/8/layout/vList5"/>
    <dgm:cxn modelId="{8F741F5B-63B7-41D5-A9F2-8C0D2611651E}" type="presParOf" srcId="{E07D38D1-DBB6-40E7-9E8C-A6CC18C7924F}" destId="{F54CE47D-3FDB-463F-A7D6-F807B5F60602}" srcOrd="5" destOrd="0" presId="urn:microsoft.com/office/officeart/2005/8/layout/vList5"/>
    <dgm:cxn modelId="{038AF30B-8EB6-456C-9175-DA2135D4B570}" type="presParOf" srcId="{E07D38D1-DBB6-40E7-9E8C-A6CC18C7924F}" destId="{8DC40B9F-E3A9-4FD6-8D8F-2AC7048667DB}" srcOrd="6" destOrd="0" presId="urn:microsoft.com/office/officeart/2005/8/layout/vList5"/>
    <dgm:cxn modelId="{F77F806B-38D0-4F03-A006-81E47715246D}" type="presParOf" srcId="{8DC40B9F-E3A9-4FD6-8D8F-2AC7048667DB}" destId="{CD3AC72E-5046-4F8C-BE05-4B3AA49627F7}" srcOrd="0" destOrd="0" presId="urn:microsoft.com/office/officeart/2005/8/layout/vList5"/>
    <dgm:cxn modelId="{919DE86B-120F-4FBE-90A3-38AE1C620016}" type="presParOf" srcId="{8DC40B9F-E3A9-4FD6-8D8F-2AC7048667DB}" destId="{3339FEDA-F24C-4C41-8EFE-6B4033D99FDF}" srcOrd="1" destOrd="0" presId="urn:microsoft.com/office/officeart/2005/8/layout/vList5"/>
    <dgm:cxn modelId="{E8DF8AD4-82C2-46EA-8562-FFC624C2797A}" type="presParOf" srcId="{E07D38D1-DBB6-40E7-9E8C-A6CC18C7924F}" destId="{6C7CD786-7B57-49CA-A4D5-CAE1DA2F830C}" srcOrd="7" destOrd="0" presId="urn:microsoft.com/office/officeart/2005/8/layout/vList5"/>
    <dgm:cxn modelId="{B208C9E9-9925-465C-8BC9-635A23EF42ED}" type="presParOf" srcId="{E07D38D1-DBB6-40E7-9E8C-A6CC18C7924F}" destId="{6F0ACFB1-D221-48C7-97C0-F4CB785E0DE9}" srcOrd="8" destOrd="0" presId="urn:microsoft.com/office/officeart/2005/8/layout/vList5"/>
    <dgm:cxn modelId="{FFCA7450-95CA-40AF-BABD-AA7BBB3AA905}" type="presParOf" srcId="{6F0ACFB1-D221-48C7-97C0-F4CB785E0DE9}" destId="{5A606FE1-FE63-4865-BCE9-260D9C153228}" srcOrd="0" destOrd="0" presId="urn:microsoft.com/office/officeart/2005/8/layout/vList5"/>
    <dgm:cxn modelId="{AEE22D24-D385-43FE-9991-A60C3DD66289}" type="presParOf" srcId="{6F0ACFB1-D221-48C7-97C0-F4CB785E0DE9}" destId="{8C0D693E-BB71-4657-B6A0-7E42640AFCC0}" srcOrd="1" destOrd="0" presId="urn:microsoft.com/office/officeart/2005/8/layout/vList5"/>
    <dgm:cxn modelId="{4FC149C6-5C2B-4821-A836-C108D2218ED6}" type="presParOf" srcId="{E07D38D1-DBB6-40E7-9E8C-A6CC18C7924F}" destId="{F2A9D049-95BE-4DB5-A401-DDFDAE997F4F}" srcOrd="9" destOrd="0" presId="urn:microsoft.com/office/officeart/2005/8/layout/vList5"/>
    <dgm:cxn modelId="{C714E6DA-35F1-4C2C-A712-F22D6BD4C365}" type="presParOf" srcId="{E07D38D1-DBB6-40E7-9E8C-A6CC18C7924F}" destId="{87BCA606-4B02-47F4-81F2-3EFE701300F2}" srcOrd="10" destOrd="0" presId="urn:microsoft.com/office/officeart/2005/8/layout/vList5"/>
    <dgm:cxn modelId="{1CBE6D20-D279-4B85-851C-9DB9FD1E30EF}" type="presParOf" srcId="{87BCA606-4B02-47F4-81F2-3EFE701300F2}" destId="{0A957DC3-C45F-4A58-8D69-0A97CA0DA614}" srcOrd="0" destOrd="0" presId="urn:microsoft.com/office/officeart/2005/8/layout/vList5"/>
    <dgm:cxn modelId="{05E379FC-B167-4B7C-BC3E-EA8FB4D957FD}" type="presParOf" srcId="{87BCA606-4B02-47F4-81F2-3EFE701300F2}" destId="{90002135-653F-461A-AA0B-03413F285F7D}" srcOrd="1" destOrd="0" presId="urn:microsoft.com/office/officeart/2005/8/layout/vList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B8E08D-8C18-4C13-AF4C-F6A326D330D3}">
      <dsp:nvSpPr>
        <dsp:cNvPr id="0" name=""/>
        <dsp:cNvSpPr/>
      </dsp:nvSpPr>
      <dsp:spPr>
        <a:xfrm rot="5400000">
          <a:off x="3226817" y="-1316424"/>
          <a:ext cx="734108" cy="3382467"/>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11150">
            <a:lnSpc>
              <a:spcPct val="90000"/>
            </a:lnSpc>
            <a:spcBef>
              <a:spcPct val="0"/>
            </a:spcBef>
            <a:spcAft>
              <a:spcPct val="15000"/>
            </a:spcAft>
            <a:buChar char="••"/>
          </a:pPr>
          <a:endPar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Të përcaktojë kërkesat prioritare që do të mundësojnë progresin drejt </a:t>
          </a:r>
          <a:r>
            <a:rPr lang="sq-AL" sz="700" i="1"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acquis</a:t>
          </a:r>
          <a:r>
            <a:rPr lang="en-US" sz="700" i="1"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endPar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Të sigurojë pavarësinë profesionale të të gjithë prodhuesve të statistikave zyrtare dhe zbatimin e parimeve statistikore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Prodhimi i </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treguesve</a:t>
          </a: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 përkatës sipas specifikimeve të përcaktuara nga Eurostat-i</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 </a:t>
          </a:r>
          <a:endPar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sp:txBody>
      <dsp:txXfrm rot="-5400000">
        <a:off x="1902638" y="43591"/>
        <a:ext cx="3346631" cy="662436"/>
      </dsp:txXfrm>
    </dsp:sp>
    <dsp:sp modelId="{164565DB-4D8B-4109-AB70-0B0741167469}">
      <dsp:nvSpPr>
        <dsp:cNvPr id="0" name=""/>
        <dsp:cNvSpPr/>
      </dsp:nvSpPr>
      <dsp:spPr>
        <a:xfrm>
          <a:off x="0" y="2576"/>
          <a:ext cx="1902637" cy="74446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26670" bIns="13335" numCol="1" spcCol="1270" anchor="ctr" anchorCtr="0">
          <a:noAutofit/>
        </a:bodyPr>
        <a:lstStyle/>
        <a:p>
          <a:pPr lvl="0" algn="l" defTabSz="311150">
            <a:lnSpc>
              <a:spcPct val="90000"/>
            </a:lnSpc>
            <a:spcBef>
              <a:spcPct val="0"/>
            </a:spcBef>
            <a:spcAft>
              <a:spcPct val="35000"/>
            </a:spcAft>
          </a:pPr>
          <a:r>
            <a:rPr lang="sq-AL" sz="700" b="1" i="1" kern="1200">
              <a:solidFill>
                <a:sysClr val="window" lastClr="FFFFFF"/>
              </a:solidFill>
              <a:latin typeface="Garamond" panose="02020404030301010803" pitchFamily="18" charset="0"/>
              <a:ea typeface="+mn-ea"/>
              <a:cs typeface="Times New Roman" pitchFamily="18" charset="0"/>
            </a:rPr>
            <a:t>Zhvillimi i SKS</a:t>
          </a:r>
          <a:r>
            <a:rPr lang="en-US" sz="700" b="1" i="1" kern="1200">
              <a:solidFill>
                <a:sysClr val="window" lastClr="FFFFFF"/>
              </a:solidFill>
              <a:latin typeface="Garamond" panose="02020404030301010803" pitchFamily="18" charset="0"/>
              <a:ea typeface="+mn-ea"/>
              <a:cs typeface="Times New Roman" pitchFamily="18" charset="0"/>
            </a:rPr>
            <a:t>-së</a:t>
          </a:r>
          <a:r>
            <a:rPr lang="sq-AL" sz="700" b="1" i="1" kern="1200">
              <a:solidFill>
                <a:sysClr val="window" lastClr="FFFFFF"/>
              </a:solidFill>
              <a:latin typeface="Garamond" panose="02020404030301010803" pitchFamily="18" charset="0"/>
              <a:ea typeface="+mn-ea"/>
              <a:cs typeface="Times New Roman" pitchFamily="18" charset="0"/>
            </a:rPr>
            <a:t> për të përmbushur plotësisht acquis communautaire</a:t>
          </a:r>
          <a:r>
            <a:rPr lang="en-US" sz="700" b="1" i="1" kern="1200">
              <a:solidFill>
                <a:sysClr val="window" lastClr="FFFFFF"/>
              </a:solidFill>
              <a:latin typeface="Garamond" panose="02020404030301010803" pitchFamily="18" charset="0"/>
              <a:ea typeface="+mn-ea"/>
              <a:cs typeface="Times New Roman" pitchFamily="18" charset="0"/>
            </a:rPr>
            <a:t>.</a:t>
          </a:r>
          <a:r>
            <a:rPr lang="sq-AL" sz="700" b="1" i="1" kern="1200">
              <a:solidFill>
                <a:sysClr val="window" lastClr="FFFFFF"/>
              </a:solidFill>
              <a:latin typeface="Garamond" panose="02020404030301010803" pitchFamily="18" charset="0"/>
              <a:ea typeface="+mn-ea"/>
              <a:cs typeface="Times New Roman" pitchFamily="18" charset="0"/>
            </a:rPr>
            <a:t> lidhur me statistikat dhe të mbështesë plotësisht procesin e integrimit Evropian</a:t>
          </a:r>
          <a:r>
            <a:rPr lang="en-US" sz="700" b="1" i="1" kern="1200">
              <a:solidFill>
                <a:sysClr val="window" lastClr="FFFFFF"/>
              </a:solidFill>
              <a:latin typeface="Garamond" panose="02020404030301010803" pitchFamily="18" charset="0"/>
              <a:ea typeface="+mn-ea"/>
              <a:cs typeface="Times New Roman" pitchFamily="18" charset="0"/>
            </a:rPr>
            <a:t>:</a:t>
          </a:r>
          <a:endParaRPr lang="en-US" sz="700" b="1" kern="1200">
            <a:solidFill>
              <a:sysClr val="window" lastClr="FFFFFF"/>
            </a:solidFill>
            <a:latin typeface="Garamond" panose="02020404030301010803" pitchFamily="18" charset="0"/>
            <a:ea typeface="+mn-ea"/>
            <a:cs typeface="Times New Roman" pitchFamily="18" charset="0"/>
          </a:endParaRPr>
        </a:p>
      </dsp:txBody>
      <dsp:txXfrm>
        <a:off x="36342" y="38918"/>
        <a:ext cx="1829953" cy="671781"/>
      </dsp:txXfrm>
    </dsp:sp>
    <dsp:sp modelId="{A811E8D9-074D-409E-8ECF-A29F7EF21F9D}">
      <dsp:nvSpPr>
        <dsp:cNvPr id="0" name=""/>
        <dsp:cNvSpPr/>
      </dsp:nvSpPr>
      <dsp:spPr>
        <a:xfrm rot="5400000">
          <a:off x="3087967" y="-336304"/>
          <a:ext cx="1015110" cy="3379164"/>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Rritja e përdorimit të të dhënave dhe rekordeve administrative për qëllime statistikore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 Prodhimi i treguesve që të përputhen me nevojat e përdoruesve të statistikave brenda vendit</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Prodhimi i treguesve që të përputhen me nevojat e përdoruesve ndërkombëtarë të statistikave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Të ofrohet qasje e lehtësuar në statistikat zyrtare për të gjithë përdoruesit në një gamë të përshtatshme formatesh dhe sipas praktikave ndërkombëtare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endPar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sp:txBody>
      <dsp:txXfrm rot="-5400000">
        <a:off x="1905940" y="895277"/>
        <a:ext cx="3329610" cy="916002"/>
      </dsp:txXfrm>
    </dsp:sp>
    <dsp:sp modelId="{917C0BE7-D26B-49DA-8D92-846BCD4B0A10}">
      <dsp:nvSpPr>
        <dsp:cNvPr id="0" name=""/>
        <dsp:cNvSpPr/>
      </dsp:nvSpPr>
      <dsp:spPr>
        <a:xfrm>
          <a:off x="0" y="899010"/>
          <a:ext cx="1900779" cy="74446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26670" bIns="13335" numCol="1" spcCol="1270" anchor="ctr" anchorCtr="0">
          <a:noAutofit/>
        </a:bodyPr>
        <a:lstStyle/>
        <a:p>
          <a:pPr lvl="0" algn="l" defTabSz="311150">
            <a:lnSpc>
              <a:spcPct val="90000"/>
            </a:lnSpc>
            <a:spcBef>
              <a:spcPct val="0"/>
            </a:spcBef>
            <a:spcAft>
              <a:spcPct val="35000"/>
            </a:spcAft>
          </a:pPr>
          <a:r>
            <a:rPr lang="sq-AL" sz="700" b="1" i="1" kern="1200">
              <a:solidFill>
                <a:sysClr val="window" lastClr="FFFFFF"/>
              </a:solidFill>
              <a:latin typeface="Garamond" panose="02020404030301010803" pitchFamily="18" charset="0"/>
              <a:ea typeface="+mn-ea"/>
              <a:cs typeface="Times New Roman" pitchFamily="18" charset="0"/>
            </a:rPr>
            <a:t>Plotësimi i kërkesave të përdoruesit për statistika zyrtare</a:t>
          </a:r>
          <a:r>
            <a:rPr lang="en-US" sz="700" b="1" i="1" kern="1200">
              <a:solidFill>
                <a:sysClr val="window" lastClr="FFFFFF"/>
              </a:solidFill>
              <a:latin typeface="Garamond" panose="02020404030301010803" pitchFamily="18" charset="0"/>
              <a:ea typeface="+mn-ea"/>
              <a:cs typeface="Times New Roman" pitchFamily="18" charset="0"/>
            </a:rPr>
            <a:t>:</a:t>
          </a:r>
          <a:endParaRPr lang="en-US" sz="700" b="1" kern="1200">
            <a:solidFill>
              <a:sysClr val="window" lastClr="FFFFFF"/>
            </a:solidFill>
            <a:latin typeface="Garamond" panose="02020404030301010803" pitchFamily="18" charset="0"/>
            <a:ea typeface="+mn-ea"/>
            <a:cs typeface="Times New Roman" pitchFamily="18" charset="0"/>
          </a:endParaRPr>
        </a:p>
      </dsp:txBody>
      <dsp:txXfrm>
        <a:off x="36342" y="935352"/>
        <a:ext cx="1828095" cy="671781"/>
      </dsp:txXfrm>
    </dsp:sp>
    <dsp:sp modelId="{93C4E9AD-2F00-4590-8A1F-BE0A9AB1E311}">
      <dsp:nvSpPr>
        <dsp:cNvPr id="0" name=""/>
        <dsp:cNvSpPr/>
      </dsp:nvSpPr>
      <dsp:spPr>
        <a:xfrm rot="5400000">
          <a:off x="3296085" y="517597"/>
          <a:ext cx="595572" cy="3382467"/>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Përmirësimi i cilësisë së të dhënave dhe rekordeve administrative të siguruara nga institucionet përkatëse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Të ndërtohet, mirëmbahet dhe promovohet menaxhimi i cilësisë dhe sistemi i kontrollit të cilësisë për SKS-në</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sp:txBody>
      <dsp:txXfrm rot="-5400000">
        <a:off x="1902638" y="1940118"/>
        <a:ext cx="3353394" cy="537426"/>
      </dsp:txXfrm>
    </dsp:sp>
    <dsp:sp modelId="{241DDABC-677E-4EDB-A4E4-A3BAEB52C89B}">
      <dsp:nvSpPr>
        <dsp:cNvPr id="0" name=""/>
        <dsp:cNvSpPr/>
      </dsp:nvSpPr>
      <dsp:spPr>
        <a:xfrm>
          <a:off x="0" y="1836598"/>
          <a:ext cx="1902637" cy="74446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26670" bIns="13335" numCol="1" spcCol="1270" anchor="ctr" anchorCtr="0">
          <a:noAutofit/>
        </a:bodyPr>
        <a:lstStyle/>
        <a:p>
          <a:pPr lvl="0" algn="l" defTabSz="311150">
            <a:lnSpc>
              <a:spcPct val="90000"/>
            </a:lnSpc>
            <a:spcBef>
              <a:spcPct val="0"/>
            </a:spcBef>
            <a:spcAft>
              <a:spcPct val="35000"/>
            </a:spcAft>
          </a:pPr>
          <a:r>
            <a:rPr lang="sq-AL" sz="700" b="1" i="1" kern="1200">
              <a:solidFill>
                <a:sysClr val="window" lastClr="FFFFFF"/>
              </a:solidFill>
              <a:latin typeface="Garamond" panose="02020404030301010803" pitchFamily="18" charset="0"/>
              <a:ea typeface="+mn-ea"/>
              <a:cs typeface="Times New Roman" pitchFamily="18" charset="0"/>
            </a:rPr>
            <a:t>Prodhimi i statistikave zyrtare të një niveli të lartë cilësie, që të përputhen me standardet e pranuara Evropiane dhe ndërkombëtare</a:t>
          </a:r>
          <a:r>
            <a:rPr lang="en-US" sz="700" b="1" i="1" kern="1200">
              <a:solidFill>
                <a:sysClr val="window" lastClr="FFFFFF"/>
              </a:solidFill>
              <a:latin typeface="Garamond" panose="02020404030301010803" pitchFamily="18" charset="0"/>
              <a:ea typeface="+mn-ea"/>
              <a:cs typeface="Times New Roman" pitchFamily="18" charset="0"/>
            </a:rPr>
            <a:t>:</a:t>
          </a:r>
          <a:endParaRPr lang="en-US" sz="700" b="1" kern="1200">
            <a:solidFill>
              <a:sysClr val="window" lastClr="FFFFFF"/>
            </a:solidFill>
            <a:latin typeface="Garamond" panose="02020404030301010803" pitchFamily="18" charset="0"/>
            <a:ea typeface="+mn-ea"/>
            <a:cs typeface="Times New Roman" pitchFamily="18" charset="0"/>
          </a:endParaRPr>
        </a:p>
      </dsp:txBody>
      <dsp:txXfrm>
        <a:off x="36342" y="1872940"/>
        <a:ext cx="1829953" cy="671781"/>
      </dsp:txXfrm>
    </dsp:sp>
    <dsp:sp modelId="{3339FEDA-F24C-4C41-8EFE-6B4033D99FDF}">
      <dsp:nvSpPr>
        <dsp:cNvPr id="0" name=""/>
        <dsp:cNvSpPr/>
      </dsp:nvSpPr>
      <dsp:spPr>
        <a:xfrm rot="5400000">
          <a:off x="3035672" y="1483394"/>
          <a:ext cx="1109378" cy="3379164"/>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Rritja e ndërgjegjësimit të institucioneve për përfitimet si rezultat i funksionimit brenda PSZ</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Vendosja dhe përmirësimi i bashkëpunimit dhe partneritetit mes institucioneve prodhuese të statistikave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Miratimi i akteve rregullatore nga ana e institucioneve të tjera prodhuese statistikore që të jenë në mbështetje të funksioneve statistikore zyrtare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Përafrimi dhe zbatimi i mekanizmave që nxisin ndarjen efikase dhe transparente të fondeve publike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endPar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sp:txBody>
      <dsp:txXfrm rot="-5400000">
        <a:off x="1900780" y="2672442"/>
        <a:ext cx="3325009" cy="1001068"/>
      </dsp:txXfrm>
    </dsp:sp>
    <dsp:sp modelId="{CD3AC72E-5046-4F8C-BE05-4B3AA49627F7}">
      <dsp:nvSpPr>
        <dsp:cNvPr id="0" name=""/>
        <dsp:cNvSpPr/>
      </dsp:nvSpPr>
      <dsp:spPr>
        <a:xfrm>
          <a:off x="0" y="2831028"/>
          <a:ext cx="1900779" cy="74446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26670" bIns="13335" numCol="1" spcCol="1270" anchor="ctr" anchorCtr="0">
          <a:noAutofit/>
        </a:bodyPr>
        <a:lstStyle/>
        <a:p>
          <a:pPr lvl="0" algn="l" defTabSz="311150">
            <a:lnSpc>
              <a:spcPct val="90000"/>
            </a:lnSpc>
            <a:spcBef>
              <a:spcPct val="0"/>
            </a:spcBef>
            <a:spcAft>
              <a:spcPct val="35000"/>
            </a:spcAft>
          </a:pPr>
          <a:r>
            <a:rPr lang="sq-AL" sz="700" b="1" i="1" kern="1200">
              <a:solidFill>
                <a:sysClr val="window" lastClr="FFFFFF"/>
              </a:solidFill>
              <a:latin typeface="Garamond" panose="02020404030301010803" pitchFamily="18" charset="0"/>
              <a:ea typeface="+mn-ea"/>
              <a:cs typeface="Times New Roman" pitchFamily="18" charset="0"/>
            </a:rPr>
            <a:t>Rritja e numrit të institucioneve pjesë e Sistemit Kombëtar Statistikor</a:t>
          </a:r>
          <a:r>
            <a:rPr lang="en-US" sz="700" b="1" i="1" kern="1200">
              <a:solidFill>
                <a:sysClr val="window" lastClr="FFFFFF"/>
              </a:solidFill>
              <a:latin typeface="Garamond" panose="02020404030301010803" pitchFamily="18" charset="0"/>
              <a:ea typeface="+mn-ea"/>
              <a:cs typeface="Times New Roman" pitchFamily="18" charset="0"/>
            </a:rPr>
            <a:t>:</a:t>
          </a:r>
          <a:endParaRPr lang="en-US" sz="700" b="1" kern="1200">
            <a:solidFill>
              <a:sysClr val="window" lastClr="FFFFFF"/>
            </a:solidFill>
            <a:latin typeface="Garamond" panose="02020404030301010803" pitchFamily="18" charset="0"/>
            <a:ea typeface="+mn-ea"/>
            <a:cs typeface="Times New Roman" pitchFamily="18" charset="0"/>
          </a:endParaRPr>
        </a:p>
      </dsp:txBody>
      <dsp:txXfrm>
        <a:off x="36342" y="2867370"/>
        <a:ext cx="1828095" cy="671781"/>
      </dsp:txXfrm>
    </dsp:sp>
    <dsp:sp modelId="{8C0D693E-BB71-4657-B6A0-7E42640AFCC0}">
      <dsp:nvSpPr>
        <dsp:cNvPr id="0" name=""/>
        <dsp:cNvSpPr/>
      </dsp:nvSpPr>
      <dsp:spPr>
        <a:xfrm rot="5400000">
          <a:off x="3079787" y="2641155"/>
          <a:ext cx="1070463" cy="3340168"/>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Modernizimi i mëtejshëm i sistemeve për grumbullimin e të dhënave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Zgjerimi i përdorimit të burimeve jotradicionale të të dhënave të papërpunuara</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Modernizimi i mëtejshëm i sistemeve për përpunimin statistikor dhe ruajtjen dhe shpërndarjen</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Fuqizimi i bashkëpunimit me botën akademike për zhvillimin e metodave të reja, produkteve dhe shërbimeve statistikore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Zhvillimi i sistemeve të  informacionit për të reduktuar ngarkesën e komunikimit dhe për të rritur cilësinë statistikore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dsp:txBody>
      <dsp:txXfrm rot="-5400000">
        <a:off x="1944935" y="3828263"/>
        <a:ext cx="3287912" cy="965951"/>
      </dsp:txXfrm>
    </dsp:sp>
    <dsp:sp modelId="{5A606FE1-FE63-4865-BCE9-260D9C153228}">
      <dsp:nvSpPr>
        <dsp:cNvPr id="0" name=""/>
        <dsp:cNvSpPr/>
      </dsp:nvSpPr>
      <dsp:spPr>
        <a:xfrm>
          <a:off x="0" y="3927887"/>
          <a:ext cx="1900779" cy="74446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26670" bIns="13335" numCol="1" spcCol="1270" anchor="ctr" anchorCtr="0">
          <a:noAutofit/>
        </a:bodyPr>
        <a:lstStyle/>
        <a:p>
          <a:pPr lvl="0" algn="l" defTabSz="311150">
            <a:lnSpc>
              <a:spcPct val="90000"/>
            </a:lnSpc>
            <a:spcBef>
              <a:spcPct val="0"/>
            </a:spcBef>
            <a:spcAft>
              <a:spcPct val="35000"/>
            </a:spcAft>
          </a:pPr>
          <a:r>
            <a:rPr lang="sq-AL" sz="700" b="1" i="1" kern="1200">
              <a:solidFill>
                <a:sysClr val="window" lastClr="FFFFFF"/>
              </a:solidFill>
              <a:latin typeface="Garamond" panose="02020404030301010803" pitchFamily="18" charset="0"/>
              <a:ea typeface="+mn-ea"/>
              <a:cs typeface="Times New Roman" pitchFamily="18" charset="0"/>
            </a:rPr>
            <a:t>Modernizimi i proceseve, metodave, produkteve dhe shërbimeve statistikore për të përmirësuar cilësinë, dorëzimin në kohë dhe efi</a:t>
          </a:r>
          <a:r>
            <a:rPr lang="en-US" sz="700" b="1" i="1" kern="1200">
              <a:solidFill>
                <a:sysClr val="window" lastClr="FFFFFF"/>
              </a:solidFill>
              <a:latin typeface="Garamond" panose="02020404030301010803" pitchFamily="18" charset="0"/>
              <a:ea typeface="+mn-ea"/>
              <a:cs typeface="Times New Roman" pitchFamily="18" charset="0"/>
            </a:rPr>
            <a:t>ci</a:t>
          </a:r>
          <a:r>
            <a:rPr lang="sq-AL" sz="700" b="1" i="1" kern="1200">
              <a:solidFill>
                <a:sysClr val="window" lastClr="FFFFFF"/>
              </a:solidFill>
              <a:latin typeface="Garamond" panose="02020404030301010803" pitchFamily="18" charset="0"/>
              <a:ea typeface="+mn-ea"/>
              <a:cs typeface="Times New Roman" pitchFamily="18" charset="0"/>
            </a:rPr>
            <a:t>encën në kosto të statistikave zyrtare</a:t>
          </a:r>
          <a:r>
            <a:rPr lang="en-US" sz="700" b="1" i="1" kern="1200">
              <a:solidFill>
                <a:sysClr val="window" lastClr="FFFFFF"/>
              </a:solidFill>
              <a:latin typeface="Garamond" panose="02020404030301010803" pitchFamily="18" charset="0"/>
              <a:ea typeface="+mn-ea"/>
              <a:cs typeface="Times New Roman" pitchFamily="18" charset="0"/>
            </a:rPr>
            <a:t>:</a:t>
          </a:r>
          <a:endParaRPr lang="en-US" sz="700" b="1" kern="1200">
            <a:solidFill>
              <a:sysClr val="window" lastClr="FFFFFF"/>
            </a:solidFill>
            <a:latin typeface="Garamond" panose="02020404030301010803" pitchFamily="18" charset="0"/>
            <a:ea typeface="+mn-ea"/>
            <a:cs typeface="Times New Roman" pitchFamily="18" charset="0"/>
          </a:endParaRPr>
        </a:p>
      </dsp:txBody>
      <dsp:txXfrm>
        <a:off x="36342" y="3964229"/>
        <a:ext cx="1828095" cy="671781"/>
      </dsp:txXfrm>
    </dsp:sp>
    <dsp:sp modelId="{90002135-653F-461A-AA0B-03413F285F7D}">
      <dsp:nvSpPr>
        <dsp:cNvPr id="0" name=""/>
        <dsp:cNvSpPr/>
      </dsp:nvSpPr>
      <dsp:spPr>
        <a:xfrm rot="5400000">
          <a:off x="3209645" y="3571446"/>
          <a:ext cx="771754" cy="3379164"/>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Të përftohet një rritje e përdorimit dhe njohurive të</a:t>
          </a:r>
          <a:r>
            <a:rPr lang="en-GB"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 </a:t>
          </a: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produkteve statisikore të SKS-së</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 </a:t>
          </a:r>
          <a:endPar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Fuqizimi dhe promovimi i rolit të INSTAT-it në SKS, në rajon dhe arenën ndërkombëtare</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r>
            <a:rPr lang="sq-AL"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Zbatimi i plotë i dispozitave ligjore dhe praktike për të mbrojtur konfidencialitetin statistikor</a:t>
          </a:r>
          <a:r>
            <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t>
          </a:r>
        </a:p>
        <a:p>
          <a:pPr marL="57150" lvl="1" indent="-57150" algn="l" defTabSz="311150">
            <a:lnSpc>
              <a:spcPct val="90000"/>
            </a:lnSpc>
            <a:spcBef>
              <a:spcPct val="0"/>
            </a:spcBef>
            <a:spcAft>
              <a:spcPct val="15000"/>
            </a:spcAft>
            <a:buChar char="••"/>
          </a:pPr>
          <a:endPar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l" defTabSz="311150">
            <a:lnSpc>
              <a:spcPct val="90000"/>
            </a:lnSpc>
            <a:spcBef>
              <a:spcPct val="0"/>
            </a:spcBef>
            <a:spcAft>
              <a:spcPct val="15000"/>
            </a:spcAft>
            <a:buChar char="••"/>
          </a:pPr>
          <a:endParaRPr lang="en-US" sz="7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sp:txBody>
      <dsp:txXfrm rot="-5400000">
        <a:off x="1905940" y="4912825"/>
        <a:ext cx="3341490" cy="696406"/>
      </dsp:txXfrm>
    </dsp:sp>
    <dsp:sp modelId="{0A957DC3-C45F-4A58-8D69-0A97CA0DA614}">
      <dsp:nvSpPr>
        <dsp:cNvPr id="0" name=""/>
        <dsp:cNvSpPr/>
      </dsp:nvSpPr>
      <dsp:spPr>
        <a:xfrm>
          <a:off x="0" y="4886220"/>
          <a:ext cx="1900779" cy="74446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26670" bIns="13335" numCol="1" spcCol="1270" anchor="ctr" anchorCtr="0">
          <a:noAutofit/>
        </a:bodyPr>
        <a:lstStyle/>
        <a:p>
          <a:pPr lvl="0" algn="l" defTabSz="311150">
            <a:lnSpc>
              <a:spcPct val="90000"/>
            </a:lnSpc>
            <a:spcBef>
              <a:spcPct val="0"/>
            </a:spcBef>
            <a:spcAft>
              <a:spcPct val="35000"/>
            </a:spcAft>
          </a:pPr>
          <a:r>
            <a:rPr lang="sq-AL" sz="700" b="1" i="1" kern="1200">
              <a:solidFill>
                <a:sysClr val="window" lastClr="FFFFFF"/>
              </a:solidFill>
              <a:latin typeface="Garamond" panose="02020404030301010803" pitchFamily="18" charset="0"/>
              <a:ea typeface="+mn-ea"/>
              <a:cs typeface="Times New Roman" pitchFamily="18" charset="0"/>
            </a:rPr>
            <a:t>Rritja e besimit të publikut në Sistemin Kombëtar Statistikor dhe njohja e tij si strukturë institucionesh me performancë të duhur dhe profesionalisht të pavarur</a:t>
          </a:r>
          <a:r>
            <a:rPr lang="en-US" sz="700" b="1" i="1" kern="1200">
              <a:solidFill>
                <a:sysClr val="window" lastClr="FFFFFF"/>
              </a:solidFill>
              <a:latin typeface="Garamond" panose="02020404030301010803" pitchFamily="18" charset="0"/>
              <a:ea typeface="+mn-ea"/>
              <a:cs typeface="Times New Roman" pitchFamily="18" charset="0"/>
            </a:rPr>
            <a:t>:</a:t>
          </a:r>
          <a:endParaRPr lang="en-US" sz="700" b="1" kern="1200">
            <a:solidFill>
              <a:sysClr val="window" lastClr="FFFFFF"/>
            </a:solidFill>
            <a:latin typeface="Garamond" panose="02020404030301010803" pitchFamily="18" charset="0"/>
            <a:ea typeface="+mn-ea"/>
            <a:cs typeface="Times New Roman" pitchFamily="18" charset="0"/>
          </a:endParaRPr>
        </a:p>
      </dsp:txBody>
      <dsp:txXfrm>
        <a:off x="36342" y="4922562"/>
        <a:ext cx="1828095" cy="671781"/>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C12411CC791406B82B37D9A117C9F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2026-03-03T13:12:50Z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miratimin e planit vjetor 2026 “Për zbatimin e Programit të Statistikave Zyrtare 2022-2026"</Titulli>
    <Modifikuesi xmlns="0e656187-b300-4fb0-8bf4-3a50f872073c">Fjora.Cahani</Modifikuesi>
    <Nr_x002e__x0020_prot_x0020_QBZ xmlns="0e656187-b300-4fb0-8bf4-3a50f872073c">443/12</Nr_x002e__x0020_prot_x0020_QBZ>
    <Data_x0020_e_x0020_Modifikimit xmlns="0e656187-b300-4fb0-8bf4-3a50f872073c">2026-03-05T14:50:09Z</Data_x0020_e_x0020_Modifikimit>
    <Dekretuar xmlns="0e656187-b300-4fb0-8bf4-3a50f872073c">false</Dekretuar>
    <Data xmlns="0e656187-b300-4fb0-8bf4-3a50f872073c">2026-02-20T00:00:00Z</Data>
    <Nr_x002e__x0020_protokolli_x0020_i_x0020_aktit xmlns="0e656187-b300-4fb0-8bf4-3a50f872073c">920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C12411CC791406B82B37D9A117C9F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48D84-962A-4B08-97EB-3D43FE438530}">
  <ds:schemaRefs>
    <ds:schemaRef ds:uri="http://schemas.microsoft.com/sharepoint/v3/contenttype/forms"/>
  </ds:schemaRefs>
</ds:datastoreItem>
</file>

<file path=customXml/itemProps2.xml><?xml version="1.0" encoding="utf-8"?>
<ds:datastoreItem xmlns:ds="http://schemas.openxmlformats.org/officeDocument/2006/customXml" ds:itemID="{B65CD210-1380-401C-9026-D830C034E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EA15D77-3BAF-4D0B-912A-31592FBE696D}">
  <ds:schemaRefs>
    <ds:schemaRef ds:uri="http://www.w3.org/XML/1998/namespace"/>
    <ds:schemaRef ds:uri="http://schemas.openxmlformats.org/package/2006/metadata/core-properties"/>
    <ds:schemaRef ds:uri="http://purl.org/dc/elements/1.1/"/>
    <ds:schemaRef ds:uri="http://purl.org/dc/dcmitype/"/>
    <ds:schemaRef ds:uri="http://schemas.microsoft.com/office/2006/metadata/properties"/>
    <ds:schemaRef ds:uri="http://schemas.microsoft.com/office/2006/documentManagement/types"/>
    <ds:schemaRef ds:uri="http://purl.org/dc/terms/"/>
    <ds:schemaRef ds:uri="0e656187-b300-4fb0-8bf4-3a50f872073c"/>
  </ds:schemaRefs>
</ds:datastoreItem>
</file>

<file path=customXml/itemProps4.xml><?xml version="1.0" encoding="utf-8"?>
<ds:datastoreItem xmlns:ds="http://schemas.openxmlformats.org/officeDocument/2006/customXml" ds:itemID="{6566D061-C577-4237-B7EC-D646A318B285}">
  <ds:schemaRefs>
    <ds:schemaRef ds:uri="http://schemas.microsoft.com/sharepoint/v3/contenttype/forms"/>
  </ds:schemaRefs>
</ds:datastoreItem>
</file>

<file path=customXml/itemProps5.xml><?xml version="1.0" encoding="utf-8"?>
<ds:datastoreItem xmlns:ds="http://schemas.openxmlformats.org/officeDocument/2006/customXml" ds:itemID="{93C0CF2D-3218-404C-AEA7-9E68DFD8E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726D1AA-9C18-4C04-B412-4F18AD290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110</Pages>
  <Words>53903</Words>
  <Characters>307252</Characters>
  <Application>Microsoft Office Word</Application>
  <DocSecurity>0</DocSecurity>
  <Lines>2560</Lines>
  <Paragraphs>720</Paragraphs>
  <ScaleCrop>false</ScaleCrop>
  <HeadingPairs>
    <vt:vector size="2" baseType="variant">
      <vt:variant>
        <vt:lpstr>Title</vt:lpstr>
      </vt:variant>
      <vt:variant>
        <vt:i4>1</vt:i4>
      </vt:variant>
    </vt:vector>
  </HeadingPairs>
  <TitlesOfParts>
    <vt:vector size="1" baseType="lpstr">
      <vt:lpstr>Për miratimin e planit vjetor 2026 “Për zbatimin e Programit të Statistikave Zyrtare 2022-2026"</vt:lpstr>
    </vt:vector>
  </TitlesOfParts>
  <Company/>
  <LinksUpToDate>false</LinksUpToDate>
  <CharactersWithSpaces>360435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vjetor 2026 “Për zbatimin e Programit të Statistikave Zyrtare 2022-2026"</dc:title>
  <dc:creator>gazmend.hanku</dc:creator>
  <cp:lastModifiedBy>Entela Suli</cp:lastModifiedBy>
  <cp:revision>86</cp:revision>
  <cp:lastPrinted>2026-02-24T08:48:00Z</cp:lastPrinted>
  <dcterms:created xsi:type="dcterms:W3CDTF">2026-03-02T12:34:00Z</dcterms:created>
  <dcterms:modified xsi:type="dcterms:W3CDTF">2026-03-06T09:19:00Z</dcterms:modified>
</cp:coreProperties>
</file>