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466" w:rsidRPr="00F84EFF" w:rsidRDefault="001B2466" w:rsidP="001B2466">
      <w:pPr>
        <w:pStyle w:val="Akti"/>
        <w:rPr>
          <w:sz w:val="21"/>
          <w:szCs w:val="21"/>
        </w:rPr>
      </w:pPr>
      <w:bookmarkStart w:id="0" w:name="_GoBack"/>
      <w:bookmarkEnd w:id="0"/>
      <w:r w:rsidRPr="00F84EFF">
        <w:rPr>
          <w:sz w:val="21"/>
          <w:szCs w:val="21"/>
        </w:rPr>
        <w:t>Vendim</w:t>
      </w:r>
    </w:p>
    <w:p w:rsidR="001B2466" w:rsidRPr="00F84EFF" w:rsidRDefault="001B2466" w:rsidP="001B2466">
      <w:pPr>
        <w:pStyle w:val="NumriData"/>
        <w:rPr>
          <w:sz w:val="21"/>
          <w:szCs w:val="21"/>
        </w:rPr>
      </w:pPr>
      <w:r w:rsidRPr="00F84EFF">
        <w:rPr>
          <w:sz w:val="21"/>
          <w:szCs w:val="21"/>
        </w:rPr>
        <w:t>Nr.56, datë 19.1.2011</w:t>
      </w:r>
    </w:p>
    <w:p w:rsidR="001B2466" w:rsidRPr="00B41665" w:rsidRDefault="001B2466" w:rsidP="001B2466">
      <w:pPr>
        <w:pStyle w:val="Paragrafi"/>
        <w:rPr>
          <w:sz w:val="20"/>
          <w:szCs w:val="21"/>
        </w:rPr>
      </w:pPr>
    </w:p>
    <w:p w:rsidR="001B2466" w:rsidRPr="00F84EFF" w:rsidRDefault="001B2466" w:rsidP="001B2466">
      <w:pPr>
        <w:pStyle w:val="Titulli"/>
        <w:rPr>
          <w:sz w:val="21"/>
          <w:szCs w:val="21"/>
        </w:rPr>
      </w:pPr>
      <w:r w:rsidRPr="00F84EFF">
        <w:rPr>
          <w:sz w:val="21"/>
          <w:szCs w:val="21"/>
        </w:rPr>
        <w:t>Për përcaktimin e tarifës dhe të rregullave për pagimin e saj në një procedurë ankimi ndaj procedurave të ankandit publik apo vendimeve për përjashtim nga to, pranë komisionit të prokurimit publik</w:t>
      </w:r>
    </w:p>
    <w:p w:rsidR="001B2466" w:rsidRPr="00B41665" w:rsidRDefault="001B2466" w:rsidP="001B2466">
      <w:pPr>
        <w:pStyle w:val="Paragrafi"/>
        <w:rPr>
          <w:sz w:val="18"/>
          <w:szCs w:val="21"/>
        </w:rPr>
      </w:pPr>
    </w:p>
    <w:p w:rsidR="001B2466" w:rsidRPr="00F84EFF" w:rsidRDefault="001B2466" w:rsidP="001B2466">
      <w:pPr>
        <w:pStyle w:val="Paragrafi"/>
        <w:rPr>
          <w:sz w:val="21"/>
          <w:szCs w:val="21"/>
        </w:rPr>
      </w:pPr>
      <w:r w:rsidRPr="00F84EFF">
        <w:rPr>
          <w:sz w:val="21"/>
          <w:szCs w:val="21"/>
        </w:rPr>
        <w:t>Në mbështetje të nenit 100 të Kushtetutës dhe të nenit 42, pika 9</w:t>
      </w:r>
      <w:r>
        <w:rPr>
          <w:sz w:val="21"/>
          <w:szCs w:val="21"/>
        </w:rPr>
        <w:t>,</w:t>
      </w:r>
      <w:r w:rsidRPr="00F84EFF">
        <w:rPr>
          <w:sz w:val="21"/>
          <w:szCs w:val="21"/>
        </w:rPr>
        <w:t xml:space="preserve"> të ligjit nr.9874, datë 14.2.2008 “Për ankandin publik”, të ndryshuar, me propozimin e Ministrit të Drejtësisë, Këshilli i Ministrave</w:t>
      </w:r>
    </w:p>
    <w:p w:rsidR="001B2466" w:rsidRPr="005A2033" w:rsidRDefault="001B2466" w:rsidP="001B2466">
      <w:pPr>
        <w:pStyle w:val="Paragrafi"/>
        <w:rPr>
          <w:sz w:val="6"/>
          <w:szCs w:val="21"/>
        </w:rPr>
      </w:pPr>
    </w:p>
    <w:p w:rsidR="001B2466" w:rsidRPr="00F84EFF" w:rsidRDefault="001B2466" w:rsidP="001B2466">
      <w:pPr>
        <w:pStyle w:val="VENDOSI"/>
        <w:rPr>
          <w:sz w:val="21"/>
          <w:szCs w:val="21"/>
        </w:rPr>
      </w:pPr>
      <w:r w:rsidRPr="00F84EFF">
        <w:rPr>
          <w:sz w:val="21"/>
          <w:szCs w:val="21"/>
        </w:rPr>
        <w:t>Vendosi:</w:t>
      </w:r>
    </w:p>
    <w:p w:rsidR="001B2466" w:rsidRPr="00B41665" w:rsidRDefault="001B2466" w:rsidP="001B2466">
      <w:pPr>
        <w:pStyle w:val="Paragrafi"/>
        <w:rPr>
          <w:sz w:val="16"/>
          <w:szCs w:val="21"/>
        </w:rPr>
      </w:pPr>
    </w:p>
    <w:p w:rsidR="001B2466" w:rsidRPr="00F84EFF" w:rsidRDefault="001B2466" w:rsidP="001B2466">
      <w:pPr>
        <w:pStyle w:val="Paragrafi"/>
        <w:rPr>
          <w:sz w:val="21"/>
          <w:szCs w:val="21"/>
        </w:rPr>
      </w:pPr>
      <w:r w:rsidRPr="00F84EFF">
        <w:rPr>
          <w:sz w:val="21"/>
          <w:szCs w:val="21"/>
        </w:rPr>
        <w:t>1. Ankesa e paraqitur në rrugë elektronike, pranë Komisionit të Prokurimit Publik (KKP), nga çdo person që ka ose ka pasur një interes të ligjshëm në një procedurë ankandi, në përputhje me kërkesat e përcaktuara në ligjin nr.9874, datë 14.2.2008 “Për ankandin publik”, të ndryshuar, duhet të përmbajë dokumentin bankar që vërteton pagesën paraprake të tarifës përkatëse.</w:t>
      </w:r>
    </w:p>
    <w:p w:rsidR="001B2466" w:rsidRPr="00F84EFF" w:rsidRDefault="001B2466" w:rsidP="001B2466">
      <w:pPr>
        <w:pStyle w:val="Paragrafi"/>
        <w:rPr>
          <w:sz w:val="21"/>
          <w:szCs w:val="21"/>
        </w:rPr>
      </w:pPr>
      <w:r w:rsidRPr="00F84EFF">
        <w:rPr>
          <w:sz w:val="21"/>
          <w:szCs w:val="21"/>
        </w:rPr>
        <w:t>2. Përjashtimisht, kur legjislacioni në fuqi parashikon një mjet tjetër komunikimi, ankesa e paraqitur pranë Komisionit shoqërohet me dokumentin bankar, që vërteton pagesën paraprake të tarifës përkatëse, në numrin e llogarisë së KPP-së.</w:t>
      </w:r>
    </w:p>
    <w:p w:rsidR="001B2466" w:rsidRPr="00F84EFF" w:rsidRDefault="001B2466" w:rsidP="001B2466">
      <w:pPr>
        <w:pStyle w:val="Paragrafi"/>
        <w:rPr>
          <w:sz w:val="21"/>
          <w:szCs w:val="21"/>
        </w:rPr>
      </w:pPr>
      <w:r w:rsidRPr="00F84EFF">
        <w:rPr>
          <w:sz w:val="21"/>
          <w:szCs w:val="21"/>
        </w:rPr>
        <w:t>3. Tarifa për shqyrtimin e ankesës nga KPP-ja është 0.5% e vlerës fillestare të ankandit publik që ankimohet.</w:t>
      </w:r>
    </w:p>
    <w:p w:rsidR="001B2466" w:rsidRPr="00F84EFF" w:rsidRDefault="001B2466" w:rsidP="001B2466">
      <w:pPr>
        <w:pStyle w:val="Paragrafi"/>
        <w:rPr>
          <w:sz w:val="21"/>
          <w:szCs w:val="21"/>
        </w:rPr>
      </w:pPr>
      <w:r w:rsidRPr="00F84EFF">
        <w:rPr>
          <w:sz w:val="21"/>
          <w:szCs w:val="21"/>
        </w:rPr>
        <w:t>4. Parapagimi i tarifës nga ankuesi përbën element të domosdoshëm për paraqitjen e ankesës, ndërsa moskryerja e saj përbën shkak për mospranimin e ankesës nga KKP-ja.</w:t>
      </w:r>
    </w:p>
    <w:p w:rsidR="001B2466" w:rsidRPr="00F84EFF" w:rsidRDefault="001B2466" w:rsidP="001B2466">
      <w:pPr>
        <w:pStyle w:val="Paragrafi"/>
        <w:rPr>
          <w:sz w:val="21"/>
          <w:szCs w:val="21"/>
        </w:rPr>
      </w:pPr>
      <w:r w:rsidRPr="00F84EFF">
        <w:rPr>
          <w:sz w:val="21"/>
          <w:szCs w:val="21"/>
        </w:rPr>
        <w:t>5. Pagesa e tarifës i kthehet ankimuesit kur, në fund të procesit të</w:t>
      </w:r>
      <w:r>
        <w:rPr>
          <w:sz w:val="21"/>
          <w:szCs w:val="21"/>
        </w:rPr>
        <w:t xml:space="preserve"> ankimit, </w:t>
      </w:r>
      <w:r w:rsidRPr="00F84EFF">
        <w:rPr>
          <w:sz w:val="21"/>
          <w:szCs w:val="21"/>
        </w:rPr>
        <w:t>ankesa e tij pranohet.</w:t>
      </w:r>
    </w:p>
    <w:p w:rsidR="001B2466" w:rsidRPr="00F84EFF" w:rsidRDefault="001B2466" w:rsidP="001B2466">
      <w:pPr>
        <w:pStyle w:val="Paragrafi"/>
        <w:rPr>
          <w:sz w:val="21"/>
          <w:szCs w:val="21"/>
        </w:rPr>
      </w:pPr>
      <w:r w:rsidRPr="00F84EFF">
        <w:rPr>
          <w:sz w:val="21"/>
          <w:szCs w:val="21"/>
        </w:rPr>
        <w:t>6. Kur ankesa nuk pranohet, të ardhurat e arkëtuara nga tarifa e ankimimit derdhen 100% në Buxhetin e Shtetit.</w:t>
      </w:r>
    </w:p>
    <w:p w:rsidR="001B2466" w:rsidRDefault="001B2466" w:rsidP="001B2466">
      <w:pPr>
        <w:pStyle w:val="Paragrafi"/>
        <w:rPr>
          <w:sz w:val="21"/>
          <w:szCs w:val="21"/>
        </w:rPr>
      </w:pPr>
      <w:r w:rsidRPr="00F84EFF">
        <w:rPr>
          <w:sz w:val="21"/>
          <w:szCs w:val="21"/>
        </w:rPr>
        <w:t>7. Ngarkohen Ministria e Financave dhe Komisioni i Prokurimit Publik për zbatimin e këtij vendimi.</w:t>
      </w:r>
    </w:p>
    <w:p w:rsidR="001B2466" w:rsidRDefault="001B2466" w:rsidP="001B2466">
      <w:pPr>
        <w:pStyle w:val="Paragrafi"/>
        <w:rPr>
          <w:sz w:val="21"/>
          <w:szCs w:val="21"/>
        </w:rPr>
      </w:pPr>
      <w:r w:rsidRPr="00F84EFF">
        <w:rPr>
          <w:sz w:val="21"/>
          <w:szCs w:val="21"/>
        </w:rPr>
        <w:t>Ky vendim hyn në fuqi pas botimit në Fletoren Zyrtare.</w:t>
      </w:r>
    </w:p>
    <w:p w:rsidR="001B2466" w:rsidRPr="000E0FB1" w:rsidRDefault="001B2466" w:rsidP="001B2466">
      <w:pPr>
        <w:pStyle w:val="Paragrafi"/>
        <w:rPr>
          <w:sz w:val="20"/>
          <w:szCs w:val="21"/>
        </w:rPr>
      </w:pPr>
    </w:p>
    <w:p w:rsidR="001B2466" w:rsidRPr="00F84EFF" w:rsidRDefault="001B2466" w:rsidP="001B2466">
      <w:pPr>
        <w:pStyle w:val="Autoriteti"/>
        <w:rPr>
          <w:sz w:val="21"/>
          <w:szCs w:val="21"/>
        </w:rPr>
      </w:pPr>
      <w:r w:rsidRPr="00F84EFF">
        <w:rPr>
          <w:sz w:val="21"/>
          <w:szCs w:val="21"/>
        </w:rPr>
        <w:t>Kryeministri</w:t>
      </w:r>
    </w:p>
    <w:p w:rsidR="001B2466" w:rsidRPr="00F84EFF" w:rsidRDefault="001B2466" w:rsidP="001B2466">
      <w:pPr>
        <w:pStyle w:val="AutoritetiEmer"/>
        <w:rPr>
          <w:sz w:val="21"/>
          <w:szCs w:val="21"/>
        </w:rPr>
      </w:pPr>
      <w:r w:rsidRPr="00F84EFF">
        <w:rPr>
          <w:sz w:val="21"/>
          <w:szCs w:val="21"/>
        </w:rPr>
        <w:t>Sali Berisha</w:t>
      </w:r>
    </w:p>
    <w:sectPr w:rsidR="001B2466" w:rsidRPr="00F84EFF" w:rsidSect="00C02F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B2466"/>
    <w:rsid w:val="001B2466"/>
    <w:rsid w:val="001B34A9"/>
    <w:rsid w:val="00280E90"/>
    <w:rsid w:val="003430B4"/>
    <w:rsid w:val="004C31D9"/>
    <w:rsid w:val="004F6270"/>
    <w:rsid w:val="007510A3"/>
    <w:rsid w:val="00A434B8"/>
    <w:rsid w:val="00C02F03"/>
    <w:rsid w:val="00ED430B"/>
    <w:rsid w:val="00F9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E1911B0-31E7-4E4E-9557-9BF1FA322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0E90"/>
    <w:pPr>
      <w:spacing w:after="200" w:line="276" w:lineRule="auto"/>
    </w:pPr>
    <w:rPr>
      <w:rFonts w:ascii="Calibri" w:hAnsi="Calibri"/>
      <w:sz w:val="22"/>
      <w:szCs w:val="22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0E9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280E90"/>
    <w:pPr>
      <w:spacing w:after="160" w:line="240" w:lineRule="exact"/>
    </w:pPr>
    <w:rPr>
      <w:rFonts w:ascii="Tahoma" w:eastAsia="MS Mincho" w:hAnsi="Tahoma"/>
      <w:lang w:val="en-GB"/>
    </w:rPr>
  </w:style>
  <w:style w:type="paragraph" w:customStyle="1" w:styleId="Akti">
    <w:name w:val="Akti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280E90"/>
    <w:rPr>
      <w:rFonts w:ascii="CG Times" w:eastAsia="Times New Roman" w:hAnsi="CG Times"/>
      <w:sz w:val="22"/>
      <w:lang w:val="en-GB"/>
    </w:rPr>
  </w:style>
  <w:style w:type="paragraph" w:customStyle="1" w:styleId="AneksiNr">
    <w:name w:val="Aneks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280E90"/>
    <w:pPr>
      <w:jc w:val="center"/>
    </w:pPr>
    <w:rPr>
      <w:rFonts w:ascii="CG Times" w:eastAsia="Times New Roman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280E90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280E90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280E90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/>
    </w:rPr>
  </w:style>
  <w:style w:type="paragraph" w:customStyle="1" w:styleId="Paragrafi">
    <w:name w:val="Paragrafi"/>
    <w:rsid w:val="00280E90"/>
    <w:pPr>
      <w:widowControl w:val="0"/>
      <w:ind w:firstLine="720"/>
      <w:jc w:val="both"/>
    </w:pPr>
    <w:rPr>
      <w:rFonts w:ascii="CG Times" w:eastAsia="Times New Roman" w:hAnsi="CG Times"/>
      <w:sz w:val="22"/>
    </w:rPr>
  </w:style>
  <w:style w:type="paragraph" w:customStyle="1" w:styleId="Institucioni">
    <w:name w:val="Institucion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280E90"/>
    <w:pPr>
      <w:pageBreakBefore/>
    </w:pPr>
    <w:rPr>
      <w:rFonts w:ascii="CG Times" w:eastAsia="Times New Roman" w:hAnsi="CG Times"/>
      <w:b/>
      <w:sz w:val="22"/>
      <w:szCs w:val="22"/>
    </w:rPr>
  </w:style>
  <w:style w:type="paragraph" w:customStyle="1" w:styleId="KapitulliNr">
    <w:name w:val="Kap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reuNr">
    <w:name w:val="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NeniNr">
    <w:name w:val="Nen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sz w:val="22"/>
      <w:lang w:val="en-GB"/>
    </w:rPr>
  </w:style>
  <w:style w:type="paragraph" w:customStyle="1" w:styleId="NeniTitull">
    <w:name w:val="Neni_Titull"/>
    <w:next w:val="Normal"/>
    <w:rsid w:val="00280E90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/>
    </w:rPr>
  </w:style>
  <w:style w:type="paragraph" w:customStyle="1" w:styleId="NenkreuNr">
    <w:name w:val="Nen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280E90"/>
    <w:pPr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/>
    </w:rPr>
  </w:style>
  <w:style w:type="paragraph" w:customStyle="1" w:styleId="Pika">
    <w:name w:val="Pika"/>
    <w:next w:val="Normal"/>
    <w:autoRedefine/>
    <w:rsid w:val="00280E90"/>
    <w:pPr>
      <w:ind w:firstLine="720"/>
    </w:pPr>
    <w:rPr>
      <w:rFonts w:ascii="CG Times" w:eastAsia="Times New Roman" w:hAnsi="CG Times"/>
      <w:sz w:val="22"/>
    </w:rPr>
  </w:style>
  <w:style w:type="paragraph" w:customStyle="1" w:styleId="PikeKreu">
    <w:name w:val="Pike_Kreu"/>
    <w:basedOn w:val="Heading1"/>
    <w:rsid w:val="00280E90"/>
    <w:pPr>
      <w:keepLines w:val="0"/>
      <w:widowControl w:val="0"/>
      <w:spacing w:before="0"/>
      <w:jc w:val="center"/>
    </w:pPr>
    <w:rPr>
      <w:rFonts w:ascii="CG Times" w:eastAsia="MS Mincho" w:hAnsi="CG Times"/>
      <w:b w:val="0"/>
      <w:bCs w:val="0"/>
      <w:caps/>
      <w:color w:val="auto"/>
      <w:sz w:val="22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280E90"/>
    <w:rPr>
      <w:rFonts w:ascii="Cambria" w:eastAsia="Times New Roman" w:hAnsi="Cambria" w:cs="Times New Roman"/>
      <w:b/>
      <w:bCs/>
      <w:color w:val="365F91"/>
      <w:sz w:val="28"/>
      <w:szCs w:val="28"/>
      <w:lang w:val="fr-FR"/>
    </w:rPr>
  </w:style>
  <w:style w:type="paragraph" w:customStyle="1" w:styleId="PjesaNr">
    <w:name w:val="Pjesa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PjesaTitull">
    <w:name w:val="Pjesa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Shpallja">
    <w:name w:val="Shpallja"/>
    <w:rsid w:val="00280E90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280E90"/>
    <w:rPr>
      <w:rFonts w:ascii="CG Times" w:eastAsia="Times New Roman" w:hAnsi="CG Times"/>
      <w:sz w:val="22"/>
      <w:lang w:val="en-GB"/>
    </w:rPr>
  </w:style>
  <w:style w:type="paragraph" w:customStyle="1" w:styleId="Table">
    <w:name w:val="Table"/>
    <w:basedOn w:val="Normal"/>
    <w:next w:val="Normal"/>
    <w:autoRedefine/>
    <w:rsid w:val="00280E90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val="sq-AL" w:eastAsia="en-GB"/>
    </w:rPr>
  </w:style>
  <w:style w:type="paragraph" w:customStyle="1" w:styleId="Titulli">
    <w:name w:val="Titulli"/>
    <w:next w:val="Normal"/>
    <w:rsid w:val="00280E90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Adrenaline</Company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dc:description/>
  <cp:lastModifiedBy>QBZ Admin</cp:lastModifiedBy>
  <cp:revision>2</cp:revision>
  <dcterms:created xsi:type="dcterms:W3CDTF">2019-03-19T14:02:00Z</dcterms:created>
  <dcterms:modified xsi:type="dcterms:W3CDTF">2019-03-19T14:02:00Z</dcterms:modified>
</cp:coreProperties>
</file>