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322" w:rsidRPr="005D5FE8" w:rsidRDefault="00D27322" w:rsidP="00D27322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Vendim</w:t>
      </w:r>
    </w:p>
    <w:p w:rsidR="00D27322" w:rsidRPr="005D5FE8" w:rsidRDefault="00D27322" w:rsidP="00D27322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Nr.4, datë 25.6.2011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Mbi përcaktimin e masës së shpërblimit të avokatëve që do të ofrojnë ndihmë juridike parësore dhe dytësore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10 shkronja “dh” të ligjit nr.10 039, datë 22.12.2008 “Për ndihmën juridike”, me propozim të Kryetarit të Komisionit,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Komisioni Shtetëror për Ndihmën juridike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NeniNr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Neni 1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akt rregullon metodën e vlerësimit dhe të përcaktimit të masës së shpërblimit të avokatëve që do të ofrojnë ndihmë juridike parësore dhe dytësore në fushën civile dhe administrative.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NeniNr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Neni 2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Masa e shpërblimit për avokatët që japin ndihmë juridike parësore dhe dytësore në çështjet civile dhe administrative do të përcaktohet me pikë.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NeniNr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Neni 3</w:t>
      </w:r>
    </w:p>
    <w:p w:rsidR="00D27322" w:rsidRPr="005D5FE8" w:rsidRDefault="00D27322" w:rsidP="00D27322">
      <w:pPr>
        <w:pStyle w:val="NeniTitull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Vlera e pikëve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Vlera e një pike është 1000 lekë.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NeniNr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Neni 4</w:t>
      </w:r>
    </w:p>
    <w:p w:rsidR="00D27322" w:rsidRPr="005D5FE8" w:rsidRDefault="00D27322" w:rsidP="00D27322">
      <w:pPr>
        <w:pStyle w:val="NeniTitull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Dokumentet e nevojshme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Me përfundimin e procedurave të dhënies së ndihmës, avokatët duhet të paraqesin formularin për shpërblimin për ndihmën e ofruar pranë organit kompetent. Bashkë me formularin avokatët duhet të paraqesin: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fatura origjinale për të gjitha shpenzimet;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kopje të vendimeve gjyqësore ose administrative;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kopje të akteve juridike të kryera ku përfshihen: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të gjitha procedurat e ndërmarra;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aktet e përpiluara;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pjesëmarrja në seancat gjyqësore;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arsyet e shtyrjes së seancave gjyqësore nëse ka;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ankimet (brenda afateve);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koha e shpenzuar për përgatitjen e mbrojtjes dhe pjesëmarrjes;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mosmarrëveshjet ndërmjet avokatit dhe klientit gjatë procesit lidhur me përfaqësimin;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mosmarrëveshjet ndërmjet avokatit dhe gjykatës;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përmbledhje të mbrojtjes dhe rezultatet përfundimtare të çështjes;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vërtetim nëse përfituesi është i përfshirë në skemën e ndihmës ekonomike;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formulari i aplikimit.</w:t>
      </w:r>
    </w:p>
    <w:p w:rsidR="00D27322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NeniNr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Neni 5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Tabela që i bashkëlidhet këtij vendimi është pjesë përbërëse e tij.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NeniNr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lastRenderedPageBreak/>
        <w:t>Neni 6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hyn në fuqi ditën e botimit në Fletoren Zyrtare.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ind w:left="72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Çështje administrative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1105"/>
      </w:tblGrid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Veprimet juridike</w:t>
            </w:r>
          </w:p>
        </w:tc>
        <w:tc>
          <w:tcPr>
            <w:tcW w:w="1105" w:type="dxa"/>
          </w:tcPr>
          <w:p w:rsidR="00D27322" w:rsidRPr="005D5FE8" w:rsidRDefault="00D27322" w:rsidP="00E91F17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Vlerësimi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1. Konsulencë dhe vlerësim i çështjes</w:t>
            </w:r>
          </w:p>
        </w:tc>
        <w:tc>
          <w:tcPr>
            <w:tcW w:w="110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1 pikë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2. Hartim dokumentesh që mundësojnë hapjen e një procesi administrativ dhe dokumente të tjera të nevojshme (strehime, asistencë sociale, aplikime në zyrat e gjendjes civile, sigurime shoqërore, paaftësi për punë)</w:t>
            </w:r>
          </w:p>
        </w:tc>
        <w:tc>
          <w:tcPr>
            <w:tcW w:w="110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2 pikë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3. Ndihma gjatë procesit nëpërmjet përgatitjes së dokumenteve gjyqësore (pa të drejtë përfaqësimi në gjykatë)</w:t>
            </w:r>
          </w:p>
        </w:tc>
        <w:tc>
          <w:tcPr>
            <w:tcW w:w="110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3 pikë</w:t>
            </w:r>
          </w:p>
        </w:tc>
      </w:tr>
    </w:tbl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ind w:left="72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Çështje civile pa palë kundërshtare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1198"/>
      </w:tblGrid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Veprimet juridike</w:t>
            </w:r>
          </w:p>
        </w:tc>
        <w:tc>
          <w:tcPr>
            <w:tcW w:w="1198" w:type="dxa"/>
          </w:tcPr>
          <w:p w:rsidR="00D27322" w:rsidRPr="005D5FE8" w:rsidRDefault="00D27322" w:rsidP="00E91F17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Vlerësimi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1. Konsulencë dhe vlerësim i çështjes</w:t>
            </w:r>
          </w:p>
        </w:tc>
        <w:tc>
          <w:tcPr>
            <w:tcW w:w="1198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1 pikë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2. Hartim dokumentesh që mundësojnë hapjen e një procesi civil pa palë kundërshtare dhe dokumente të tjera të nevojshme</w:t>
            </w:r>
          </w:p>
        </w:tc>
        <w:tc>
          <w:tcPr>
            <w:tcW w:w="1198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2 pikë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3. Ndihma gjatë procesit nëpërmjet përgatitjes së dokumenteve gjyqësore (pa të drejtë përfaqësimi në gjykatë)</w:t>
            </w:r>
          </w:p>
        </w:tc>
        <w:tc>
          <w:tcPr>
            <w:tcW w:w="1198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3 pikë</w:t>
            </w:r>
          </w:p>
        </w:tc>
      </w:tr>
    </w:tbl>
    <w:p w:rsidR="00D27322" w:rsidRPr="005D5FE8" w:rsidRDefault="00D27322" w:rsidP="00D27322">
      <w:pPr>
        <w:pStyle w:val="Paragrafi"/>
        <w:ind w:firstLine="0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ind w:left="72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Çështje civile me palë kundërshtare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1225"/>
      </w:tblGrid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Veprimet juridike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Vlerësimi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1. Konsulencë dhe vlerësim i çështjes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1 pikë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2. Hartim padie që mundëson hapjen e një procesi civil me palë kundërshtare dhe dokumente të tjera të nevojshme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3 pikë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3. Ndihma gjatë procesit nëpërmjet përgatitjes së dokumenteve gjyqësore (pa të drejtë përfaqësimi në gjykatë)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5 pikë</w:t>
            </w:r>
          </w:p>
        </w:tc>
      </w:tr>
    </w:tbl>
    <w:p w:rsidR="00D27322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ind w:left="72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Konflikte pronësie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1198"/>
      </w:tblGrid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Veprimet juridike</w:t>
            </w:r>
          </w:p>
        </w:tc>
        <w:tc>
          <w:tcPr>
            <w:tcW w:w="1198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Vlerësimi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1. Konsulencë dhe vlerësim i çështjes</w:t>
            </w:r>
          </w:p>
        </w:tc>
        <w:tc>
          <w:tcPr>
            <w:tcW w:w="1198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1 pikë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2. Hartim padie që mundëson hapjen e një procesi me objekt konflikt pronësie dhe dokumente të tjera të nevojshme</w:t>
            </w:r>
          </w:p>
        </w:tc>
        <w:tc>
          <w:tcPr>
            <w:tcW w:w="1198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3 pikë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lastRenderedPageBreak/>
              <w:t>3. Ndihma gjatë procesit nëpërmjet përgatitjes së dokumenteve gjyqësore (pa të drejtë përfaqësimi në gjykatë)</w:t>
            </w:r>
          </w:p>
        </w:tc>
        <w:tc>
          <w:tcPr>
            <w:tcW w:w="1198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5 pikë</w:t>
            </w:r>
          </w:p>
        </w:tc>
      </w:tr>
    </w:tbl>
    <w:p w:rsidR="00D27322" w:rsidRPr="005D5FE8" w:rsidRDefault="00D27322" w:rsidP="00D27322">
      <w:pPr>
        <w:pStyle w:val="Paragrafi"/>
        <w:ind w:firstLine="0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ind w:left="72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Marrëdhënie detyrimi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1225"/>
      </w:tblGrid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Veprimet juridike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Vlerësimi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1. Konsulencë dhe vlerësim i çështjes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1 pikë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2. Hartim padie që mundëson hapjen e një procesi që ka për objekt marrëdhënie detyrimi dhe dokumente të tjera të nevojshme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3 pikë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3. Ndihma gjatë procesit nëpërmjet përgatitjes së dokumenteve gjyqësore (pa të drejtë përfaqësimi në gjykatë)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5 pikë</w:t>
            </w:r>
          </w:p>
        </w:tc>
      </w:tr>
    </w:tbl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ind w:left="72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Dëm jashtëkontraktor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1225"/>
      </w:tblGrid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Veprimet juridike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Vlerësimi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1. Konsulencë dhe vlerësim i çështjes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1 pikë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2. Hartim padie që mundëson hapjen e një procesi për shpërblimin e dëmit jashtëkontraktor dhe dokumente të tjera të nevojshme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3 pikë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3. Ndihma gjatë procesit nëpërmjet përgatitjes së dokumenteve gjyqësore (pa të drejtë përfaqësimi në gjykatë)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5 pikë</w:t>
            </w:r>
          </w:p>
        </w:tc>
      </w:tr>
    </w:tbl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ind w:left="72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Marrëdhënie pune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1225"/>
      </w:tblGrid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Veprimet juridike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Vlerësimi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1. Konsulencë dhe vlerësim i çështjes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1 pikë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2. Hartim padie që mundëson hapjen e një procesi për ndërprerjen pa të drejtë të marrëdhënieve të punës dhe dokumente të tjera të nevojshme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3 pikë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3. Ndihma gjatë procesit nëpërmjet përgatitjes së dokumenteve gjyqësore (pa të drejtë përfaqësimi në gjykatë)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5 pikë</w:t>
            </w:r>
          </w:p>
        </w:tc>
      </w:tr>
    </w:tbl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Të gjitha çështjet e tjera që nuk janë të klasifikuara si çështje të veçanta, do të trajtohen si konflikte civile të përgjithshme me ose pa palë.</w:t>
      </w:r>
    </w:p>
    <w:p w:rsidR="00D27322" w:rsidRPr="005D5FE8" w:rsidRDefault="00D27322" w:rsidP="00D27322">
      <w:pPr>
        <w:pStyle w:val="Paragrafi"/>
        <w:ind w:left="72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Çështje familjare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1225"/>
      </w:tblGrid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Veprimet juridike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Vlerësimi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1. Konsulencë dhe vlerësim i çështjes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1 pikë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2. Hartim padie që mundëson hapjen e një procesi me objekt konflikti në fushën familjare dhe dokumente të tjera të nevojshme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3 pikë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3. Ndihma gjatë procesit nëpërmjet përgatitjes së dokumenteve gjyqësore (pa të drejtë përfaqësimi në gjykatë)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5 pikë</w:t>
            </w:r>
          </w:p>
        </w:tc>
      </w:tr>
    </w:tbl>
    <w:p w:rsidR="00D27322" w:rsidRPr="005D5FE8" w:rsidRDefault="00D27322" w:rsidP="00D27322">
      <w:pPr>
        <w:pStyle w:val="Paragrafi"/>
        <w:ind w:firstLine="0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ind w:left="72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Zgjidhje martese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1225"/>
      </w:tblGrid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Veprimet juridike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Vlerësimi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1. Konsulencë dhe vlerësim i çështjes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1 pikë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2. Hartim padie që mundëson hapjen e një procesi për zgjidhje martese dhe dokumente të tjera të nevojshme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3 pikë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3. Ndihma gjatë procesit nëpërmjet përgatitjes së dokumenteve gjyqësore (pa të drejtë përfaqësimi në gjykatë)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5 pikë</w:t>
            </w:r>
          </w:p>
        </w:tc>
      </w:tr>
    </w:tbl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ind w:left="72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Kujdestari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1225"/>
      </w:tblGrid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Veprimet juridike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Vlerësimi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1. Konsulencë dhe vlerësim i çështjes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1 pikë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2. Hartim padie që mundëson hapjen e një procesi për kujdestari dhe dokumente të tjera të nevojshme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3 pikë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3. Ndihma gjatë procesit nëpërmjet përgatitjes së dokumenteve gjyqësore (pa të drejtë përfaqësimi në gjykatë)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5 pikë</w:t>
            </w:r>
          </w:p>
        </w:tc>
      </w:tr>
    </w:tbl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ind w:left="72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Njohje atësie/amësie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1225"/>
      </w:tblGrid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Veprimet juridike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Vlerësimi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1. Konsulencë dhe vlerësim i çështjes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1 pikë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2. Hartim padie që mundëson hapjen e një procesi për njohje atësie/amësie dhe dokumente të tjera të nevojshme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3 pikë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3. Ndihma gjatë procesit nëpërmjet përgatitjes së dokumenteve gjyqësore (pa të drejtë përfaqësimi në gjykatë)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5 pikë</w:t>
            </w:r>
          </w:p>
        </w:tc>
      </w:tr>
    </w:tbl>
    <w:p w:rsidR="00D27322" w:rsidRPr="005D5FE8" w:rsidRDefault="00D27322" w:rsidP="00D27322">
      <w:pPr>
        <w:pStyle w:val="Paragrafi"/>
        <w:ind w:firstLine="0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Të gjitha çështjet e tjera që nuk janë të klasifikuara si çështje të veçanta, do të trajtohen si konflikte familjare të përgjithshme.</w:t>
      </w:r>
    </w:p>
    <w:p w:rsidR="00D27322" w:rsidRDefault="00D27322" w:rsidP="00D27322">
      <w:pPr>
        <w:pStyle w:val="Paragrafi"/>
        <w:ind w:firstLine="0"/>
        <w:rPr>
          <w:sz w:val="21"/>
          <w:szCs w:val="21"/>
          <w:lang w:val="sq-AL"/>
        </w:rPr>
      </w:pPr>
    </w:p>
    <w:p w:rsidR="00D27322" w:rsidRDefault="00D27322" w:rsidP="00D27322">
      <w:pPr>
        <w:pStyle w:val="Paragrafi"/>
        <w:ind w:firstLine="0"/>
        <w:rPr>
          <w:sz w:val="21"/>
          <w:szCs w:val="21"/>
          <w:lang w:val="sq-AL"/>
        </w:rPr>
      </w:pPr>
    </w:p>
    <w:p w:rsidR="00D27322" w:rsidRDefault="00D27322" w:rsidP="00D27322">
      <w:pPr>
        <w:pStyle w:val="Paragrafi"/>
        <w:ind w:firstLine="0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ind w:firstLine="0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ind w:left="72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Përfaqësimi në gjykatën e rrethit gjyqësor</w:t>
      </w:r>
    </w:p>
    <w:p w:rsidR="00D27322" w:rsidRPr="005D5FE8" w:rsidRDefault="00D27322" w:rsidP="00D27322">
      <w:pPr>
        <w:pStyle w:val="Paragrafi"/>
        <w:ind w:firstLine="0"/>
        <w:rPr>
          <w:sz w:val="21"/>
          <w:szCs w:val="21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1225"/>
      </w:tblGrid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Veprimet juridike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Vlerësimi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Përfaqësimi në gjykim për çështje civile pa palë kundërshtare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15 pikë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Përfaqësimi në gjykim për çështje civile me palë kundërshtare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40 pikë</w:t>
            </w:r>
          </w:p>
        </w:tc>
      </w:tr>
    </w:tbl>
    <w:p w:rsidR="00D27322" w:rsidRPr="005D5FE8" w:rsidRDefault="00D27322" w:rsidP="00D27322">
      <w:pPr>
        <w:pStyle w:val="Paragrafi"/>
        <w:ind w:firstLine="0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Totali i pikëve për një çështje civile pa palë kundërshtare në gjykatën e rrethit gjyqësor nuk mund t’i kalojë 21 pikë.</w:t>
      </w:r>
    </w:p>
    <w:p w:rsidR="00D27322" w:rsidRPr="005D5FE8" w:rsidRDefault="00D27322" w:rsidP="00D2732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Totali i pikëve për një çështje civile me palë kundërshtare në gjykatën e rrethit gjyqësor nuk mund t’i kalojë 49 pikë.</w:t>
      </w:r>
    </w:p>
    <w:p w:rsidR="00D27322" w:rsidRPr="005D5FE8" w:rsidRDefault="00D27322" w:rsidP="00D27322">
      <w:pPr>
        <w:pStyle w:val="Paragrafi"/>
        <w:ind w:firstLine="0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ind w:left="72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Ankimet</w:t>
      </w:r>
    </w:p>
    <w:p w:rsidR="00D27322" w:rsidRPr="005D5FE8" w:rsidRDefault="00D27322" w:rsidP="00D27322">
      <w:pPr>
        <w:pStyle w:val="Paragrafi"/>
        <w:ind w:firstLine="0"/>
        <w:rPr>
          <w:sz w:val="21"/>
          <w:szCs w:val="21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1225"/>
      </w:tblGrid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Veprimet juridike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Vlerësimi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2. Përpilimi i ankimeve ndaj një vendimi të gjykatës së rrethit gjyqësor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15 pikë</w:t>
            </w:r>
          </w:p>
        </w:tc>
      </w:tr>
    </w:tbl>
    <w:p w:rsidR="00D27322" w:rsidRPr="005D5FE8" w:rsidRDefault="00D27322" w:rsidP="00D27322">
      <w:pPr>
        <w:pStyle w:val="Paragrafi"/>
        <w:ind w:firstLine="0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ind w:left="72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Përfaqësimi në gjykatën e apelit</w:t>
      </w:r>
    </w:p>
    <w:p w:rsidR="00D27322" w:rsidRPr="005D5FE8" w:rsidRDefault="00D27322" w:rsidP="00D27322">
      <w:pPr>
        <w:pStyle w:val="Paragrafi"/>
        <w:ind w:firstLine="0"/>
        <w:rPr>
          <w:sz w:val="21"/>
          <w:szCs w:val="21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1225"/>
      </w:tblGrid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Veprimet juridike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Vlerësimi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Përfaqësimi në gjykim në Gjykatën e Apelit për çështje civile me ose pa palë kundërshtare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45 pikë</w:t>
            </w:r>
          </w:p>
        </w:tc>
      </w:tr>
    </w:tbl>
    <w:p w:rsidR="00D27322" w:rsidRPr="005D5FE8" w:rsidRDefault="00D27322" w:rsidP="00D27322">
      <w:pPr>
        <w:pStyle w:val="Paragrafi"/>
        <w:ind w:firstLine="0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ind w:left="1440" w:firstLine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Rekurset</w:t>
      </w:r>
    </w:p>
    <w:p w:rsidR="00D27322" w:rsidRPr="005D5FE8" w:rsidRDefault="00D27322" w:rsidP="00D27322">
      <w:pPr>
        <w:pStyle w:val="Paragrafi"/>
        <w:ind w:firstLine="0"/>
        <w:rPr>
          <w:sz w:val="21"/>
          <w:szCs w:val="21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1225"/>
      </w:tblGrid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Veprimet juridike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Vlerësimi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Përpilimi i kërkesës për rekurs ndaj një vendimi të gjykatës së apelit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25 pikë</w:t>
            </w:r>
          </w:p>
        </w:tc>
      </w:tr>
    </w:tbl>
    <w:p w:rsidR="00D27322" w:rsidRPr="005D5FE8" w:rsidRDefault="00D27322" w:rsidP="00D27322">
      <w:pPr>
        <w:pStyle w:val="Paragrafi"/>
        <w:ind w:firstLine="0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ind w:left="72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Përfaqësimi në Gjykatën e Lartë</w:t>
      </w:r>
    </w:p>
    <w:p w:rsidR="00D27322" w:rsidRPr="005D5FE8" w:rsidRDefault="00D27322" w:rsidP="00D27322">
      <w:pPr>
        <w:pStyle w:val="Paragrafi"/>
        <w:ind w:firstLine="0"/>
        <w:rPr>
          <w:sz w:val="21"/>
          <w:szCs w:val="21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1225"/>
      </w:tblGrid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Veprimet juridike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Vlerësimi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Përfaqësimi në gjykim në Gjykatën e Lartë për çështje civile me ose pa palë kundërshtare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60 pikë</w:t>
            </w:r>
          </w:p>
        </w:tc>
      </w:tr>
    </w:tbl>
    <w:p w:rsidR="00D27322" w:rsidRPr="005D5FE8" w:rsidRDefault="00D27322" w:rsidP="00D27322">
      <w:pPr>
        <w:pStyle w:val="Paragrafi"/>
        <w:ind w:firstLine="0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Paragrafi"/>
        <w:ind w:left="72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Gjykata Kushtetuese e Republikës së Shqipërisë</w:t>
      </w:r>
    </w:p>
    <w:p w:rsidR="00D27322" w:rsidRPr="005D5FE8" w:rsidRDefault="00D27322" w:rsidP="00D27322">
      <w:pPr>
        <w:pStyle w:val="Paragrafi"/>
        <w:ind w:firstLine="0"/>
        <w:rPr>
          <w:sz w:val="21"/>
          <w:szCs w:val="21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1225"/>
      </w:tblGrid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Veprimet juridike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5D5FE8">
              <w:rPr>
                <w:b/>
                <w:sz w:val="21"/>
                <w:szCs w:val="21"/>
                <w:lang w:val="sq-AL"/>
              </w:rPr>
              <w:t>Vlerësimi</w:t>
            </w:r>
          </w:p>
        </w:tc>
      </w:tr>
      <w:tr w:rsidR="00D27322" w:rsidRPr="005D5FE8" w:rsidTr="00E91F17">
        <w:trPr>
          <w:jc w:val="center"/>
        </w:trPr>
        <w:tc>
          <w:tcPr>
            <w:tcW w:w="4643" w:type="dxa"/>
          </w:tcPr>
          <w:p w:rsidR="00D27322" w:rsidRPr="005D5FE8" w:rsidRDefault="00D27322" w:rsidP="00E91F17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Hartimi i dokumenteve (kërkesave) që mundësojnë hapjen e një procesi gjyqësor në Gjykatën Kushtetuese të Republikës së Shqipërisë</w:t>
            </w:r>
          </w:p>
        </w:tc>
        <w:tc>
          <w:tcPr>
            <w:tcW w:w="1225" w:type="dxa"/>
          </w:tcPr>
          <w:p w:rsidR="00D27322" w:rsidRPr="005D5FE8" w:rsidRDefault="00D27322" w:rsidP="00E91F17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25 pikë</w:t>
            </w:r>
          </w:p>
        </w:tc>
      </w:tr>
    </w:tbl>
    <w:p w:rsidR="00D27322" w:rsidRPr="005D5FE8" w:rsidRDefault="00D27322" w:rsidP="00D27322">
      <w:pPr>
        <w:pStyle w:val="Autoriteti"/>
        <w:keepNext w:val="0"/>
        <w:rPr>
          <w:sz w:val="21"/>
          <w:szCs w:val="21"/>
          <w:lang w:val="sq-AL"/>
        </w:rPr>
      </w:pPr>
    </w:p>
    <w:p w:rsidR="00D27322" w:rsidRPr="005D5FE8" w:rsidRDefault="00D27322" w:rsidP="00D27322">
      <w:pPr>
        <w:pStyle w:val="Autoritet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KRYETARE </w:t>
      </w:r>
    </w:p>
    <w:p w:rsidR="00D27322" w:rsidRPr="005D5FE8" w:rsidRDefault="00D27322" w:rsidP="00D27322">
      <w:pPr>
        <w:pStyle w:val="AutoritetiEmer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Blegina Kodra</w:t>
      </w:r>
    </w:p>
    <w:sectPr w:rsidR="00D27322" w:rsidRPr="005D5FE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5FD61A58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FFFFFF7C"/>
    <w:multiLevelType w:val="singleLevel"/>
    <w:tmpl w:val="AC6C29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594E77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BF3279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4AB431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D81408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6">
    <w:nsid w:val="FFFFFF81"/>
    <w:multiLevelType w:val="singleLevel"/>
    <w:tmpl w:val="167E23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7">
    <w:nsid w:val="FFFFFF82"/>
    <w:multiLevelType w:val="singleLevel"/>
    <w:tmpl w:val="4BB23C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8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16CCCD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D220CD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1">
    <w:nsid w:val="04945529"/>
    <w:multiLevelType w:val="hybridMultilevel"/>
    <w:tmpl w:val="6F5A6772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11AF0E54"/>
    <w:multiLevelType w:val="hybridMultilevel"/>
    <w:tmpl w:val="A73EA3DA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B2E1ADA"/>
    <w:multiLevelType w:val="hybridMultilevel"/>
    <w:tmpl w:val="91B670A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44B52627"/>
    <w:multiLevelType w:val="multilevel"/>
    <w:tmpl w:val="DDD6EB4C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2"/>
      <w:numFmt w:val="decimalZero"/>
      <w:lvlText w:val="%1.%2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5">
    <w:nsid w:val="45336832"/>
    <w:multiLevelType w:val="multilevel"/>
    <w:tmpl w:val="134A7B08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cs="Times New Roman"/>
      </w:rPr>
    </w:lvl>
    <w:lvl w:ilvl="1">
      <w:start w:val="1"/>
      <w:numFmt w:val="decimalZero"/>
      <w:lvlText w:val="%1.%2."/>
      <w:lvlJc w:val="left"/>
      <w:pPr>
        <w:tabs>
          <w:tab w:val="num" w:pos="1485"/>
        </w:tabs>
        <w:ind w:left="1485" w:hanging="76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205"/>
        </w:tabs>
        <w:ind w:left="2205" w:hanging="765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925"/>
        </w:tabs>
        <w:ind w:left="2925" w:hanging="765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/>
      </w:rPr>
    </w:lvl>
  </w:abstractNum>
  <w:abstractNum w:abstractNumId="16">
    <w:nsid w:val="4AD04475"/>
    <w:multiLevelType w:val="singleLevel"/>
    <w:tmpl w:val="1436E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</w:abstractNum>
  <w:abstractNum w:abstractNumId="17">
    <w:nsid w:val="4DC67308"/>
    <w:multiLevelType w:val="hybridMultilevel"/>
    <w:tmpl w:val="3580BE52"/>
    <w:lvl w:ilvl="0" w:tplc="0AB06F1E">
      <w:start w:val="2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64240E1C"/>
    <w:multiLevelType w:val="multilevel"/>
    <w:tmpl w:val="089EE292"/>
    <w:lvl w:ilvl="0">
      <w:start w:val="3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Zero"/>
      <w:lvlText w:val="%1.%2."/>
      <w:lvlJc w:val="left"/>
      <w:pPr>
        <w:tabs>
          <w:tab w:val="num" w:pos="1320"/>
        </w:tabs>
        <w:ind w:left="132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/>
      </w:rPr>
    </w:lvl>
  </w:abstractNum>
  <w:num w:numId="1">
    <w:abstractNumId w:val="8"/>
  </w:num>
  <w:num w:numId="2">
    <w:abstractNumId w:val="8"/>
  </w:num>
  <w:num w:numId="3">
    <w:abstractNumId w:val="10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>
      <w:startOverride w:val="1"/>
    </w:lvlOverride>
  </w:num>
  <w:num w:numId="19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7322"/>
    <w:rsid w:val="000277EF"/>
    <w:rsid w:val="000C2ABA"/>
    <w:rsid w:val="00142F5D"/>
    <w:rsid w:val="001D4B57"/>
    <w:rsid w:val="00443285"/>
    <w:rsid w:val="00477590"/>
    <w:rsid w:val="004A533F"/>
    <w:rsid w:val="004E3F22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27322"/>
    <w:rsid w:val="00D5435B"/>
    <w:rsid w:val="00E91F17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95A1C8-7C1C-48F4-A01B-397B859C6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322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946BB9"/>
    <w:rPr>
      <w:rFonts w:ascii="Cambria" w:eastAsia="Times New Roman" w:hAnsi="Cambria" w:cs="Times New Roman"/>
      <w:b/>
      <w:bCs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customStyle="1" w:styleId="Char">
    <w:name w:val="Char"/>
    <w:basedOn w:val="Normal"/>
    <w:uiPriority w:val="99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uiPriority w:val="99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uiPriority w:val="99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uiPriority w:val="99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uiPriority w:val="99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uiPriority w:val="99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uiPriority w:val="99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uiPriority w:val="99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uiPriority w:val="99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uiPriority w:val="99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uiPriority w:val="99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uiPriority w:val="99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uiPriority w:val="99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uiPriority w:val="99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uiPriority w:val="99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uiPriority w:val="99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uiPriority w:val="99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uiPriority w:val="99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uiPriority w:val="99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uiPriority w:val="99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uiPriority w:val="99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uiPriority w:val="99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uiPriority w:val="99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uiPriority w:val="99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uiPriority w:val="99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paragraph" w:customStyle="1" w:styleId="hyrje">
    <w:name w:val="hyrje"/>
    <w:basedOn w:val="Heading1"/>
    <w:uiPriority w:val="99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uiPriority w:val="99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uiPriority w:val="99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uiPriority w:val="99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uiPriority w:val="99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uiPriority w:val="99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uiPriority w:val="99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uiPriority w:val="99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uiPriority w:val="99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link w:val="NeniNr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character" w:customStyle="1" w:styleId="NeniNrChar">
    <w:name w:val="Neni_Nr Char"/>
    <w:basedOn w:val="DefaultParagraphFont"/>
    <w:link w:val="NeniNr"/>
    <w:uiPriority w:val="99"/>
    <w:rsid w:val="00D27322"/>
    <w:rPr>
      <w:rFonts w:ascii="CG Times" w:eastAsia="Times New Roman" w:hAnsi="CG Times" w:cs="Times New Roman"/>
      <w:sz w:val="22"/>
      <w:lang w:val="en-GB" w:eastAsia="en-US" w:bidi="en-US"/>
    </w:rPr>
  </w:style>
  <w:style w:type="paragraph" w:customStyle="1" w:styleId="NeniTitull">
    <w:name w:val="Neni_Titull"/>
    <w:next w:val="Normal"/>
    <w:uiPriority w:val="99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uiPriority w:val="99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uiPriority w:val="99"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uiPriority w:val="99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uiPriority w:val="99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D27322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styleId="PageNumber">
    <w:name w:val="page number"/>
    <w:basedOn w:val="DefaultParagraphFont"/>
    <w:uiPriority w:val="99"/>
    <w:rsid w:val="000277EF"/>
  </w:style>
  <w:style w:type="paragraph" w:customStyle="1" w:styleId="para">
    <w:name w:val="para"/>
    <w:basedOn w:val="Normal"/>
    <w:uiPriority w:val="99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uiPriority w:val="99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D27322"/>
    <w:rPr>
      <w:rFonts w:ascii="CG Times" w:eastAsia="Times New Roman" w:hAnsi="CG Times" w:cs="Times New Roman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uiPriority w:val="99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uiPriority w:val="99"/>
    <w:rsid w:val="000277EF"/>
    <w:pPr>
      <w:ind w:left="720"/>
    </w:pPr>
  </w:style>
  <w:style w:type="paragraph" w:customStyle="1" w:styleId="Pas">
    <w:name w:val="Pas"/>
    <w:basedOn w:val="Normal"/>
    <w:uiPriority w:val="99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uiPriority w:val="99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uiPriority w:val="99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uiPriority w:val="99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uiPriority w:val="99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uiPriority w:val="99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uiPriority w:val="99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uiPriority w:val="99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uiPriority w:val="99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uiPriority w:val="99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uiPriority w:val="99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uiPriority w:val="99"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uiPriority w:val="99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uiPriority w:val="99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uiPriority w:val="99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D27322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TitulliCharChar">
    <w:name w:val="Titulli Char Char"/>
    <w:basedOn w:val="DefaultParagraphFont"/>
    <w:uiPriority w:val="99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link w:val="TitulliTitull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TitulliTitullChar">
    <w:name w:val="Titulli_Titull Char"/>
    <w:basedOn w:val="DefaultParagraphFont"/>
    <w:link w:val="TitulliTitull"/>
    <w:uiPriority w:val="99"/>
    <w:rsid w:val="00D2732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D2732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Heading2Char1">
    <w:name w:val="Heading 2 Char1"/>
    <w:basedOn w:val="DefaultParagraphFont"/>
    <w:link w:val="Heading2"/>
    <w:uiPriority w:val="99"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9"/>
    <w:rsid w:val="00946BB9"/>
    <w:rPr>
      <w:rFonts w:ascii="Cambria" w:eastAsia="Times New Roman" w:hAnsi="Cambria" w:cs="Times New Roman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99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99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99"/>
    <w:qFormat/>
    <w:rsid w:val="00946BB9"/>
    <w:rPr>
      <w:b/>
      <w:bCs/>
    </w:rPr>
  </w:style>
  <w:style w:type="character" w:styleId="Emphasis">
    <w:name w:val="Emphasis"/>
    <w:uiPriority w:val="99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mediumtext1">
    <w:name w:val="medium_text1"/>
    <w:basedOn w:val="DefaultParagraphFont"/>
    <w:uiPriority w:val="99"/>
    <w:rsid w:val="00D27322"/>
    <w:rPr>
      <w:sz w:val="17"/>
      <w:szCs w:val="17"/>
    </w:rPr>
  </w:style>
  <w:style w:type="paragraph" w:customStyle="1" w:styleId="MediumGrid1-Accent21">
    <w:name w:val="Medium Grid 1 - Accent 21"/>
    <w:basedOn w:val="Normal"/>
    <w:uiPriority w:val="99"/>
    <w:rsid w:val="00D27322"/>
    <w:pPr>
      <w:ind w:left="720"/>
    </w:pPr>
    <w:rPr>
      <w:sz w:val="20"/>
      <w:szCs w:val="20"/>
    </w:rPr>
  </w:style>
  <w:style w:type="paragraph" w:customStyle="1" w:styleId="xl22">
    <w:name w:val="xl22"/>
    <w:basedOn w:val="Normal"/>
    <w:uiPriority w:val="99"/>
    <w:rsid w:val="00D27322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D27322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D27322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D2732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D2732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D2732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D2732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D27322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D2732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D27322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D2732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D273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D273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D273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D273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D273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D273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D273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D273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D273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D2732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D2732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msolistparagraphcxsplast">
    <w:name w:val="msolistparagraphcxsplast"/>
    <w:basedOn w:val="Normal"/>
    <w:uiPriority w:val="99"/>
    <w:rsid w:val="00D27322"/>
    <w:pPr>
      <w:spacing w:before="100" w:beforeAutospacing="1" w:after="100" w:afterAutospacing="1"/>
    </w:pPr>
  </w:style>
  <w:style w:type="paragraph" w:customStyle="1" w:styleId="NoSpacing1">
    <w:name w:val="No Spacing1"/>
    <w:basedOn w:val="Normal"/>
    <w:uiPriority w:val="99"/>
    <w:rsid w:val="00D27322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D27322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D27322"/>
    <w:rPr>
      <w:rFonts w:ascii="Times New Roman" w:eastAsia="MS Mincho" w:hAnsi="Times New Roman" w:cs="Times New Roman"/>
      <w:i/>
      <w:iCs/>
      <w:sz w:val="24"/>
      <w:szCs w:val="24"/>
      <w:lang w:bidi="ar-SA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D2732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D27322"/>
    <w:rPr>
      <w:rFonts w:ascii="Times New Roman" w:eastAsia="MS Mincho" w:hAnsi="Times New Roman" w:cs="Times New Roman"/>
      <w:b/>
      <w:bCs/>
      <w:i/>
      <w:iCs/>
      <w:sz w:val="24"/>
      <w:szCs w:val="24"/>
      <w:lang w:bidi="ar-SA"/>
    </w:rPr>
  </w:style>
  <w:style w:type="character" w:customStyle="1" w:styleId="SubtleEmphasis1">
    <w:name w:val="Subtle Emphasis1"/>
    <w:uiPriority w:val="99"/>
    <w:rsid w:val="00D27322"/>
    <w:rPr>
      <w:i/>
      <w:iCs/>
    </w:rPr>
  </w:style>
  <w:style w:type="character" w:customStyle="1" w:styleId="IntenseEmphasis1">
    <w:name w:val="Intense Emphasis1"/>
    <w:uiPriority w:val="99"/>
    <w:rsid w:val="00D27322"/>
    <w:rPr>
      <w:b/>
      <w:bCs/>
    </w:rPr>
  </w:style>
  <w:style w:type="character" w:customStyle="1" w:styleId="SubtleReference1">
    <w:name w:val="Subtle Reference1"/>
    <w:uiPriority w:val="99"/>
    <w:rsid w:val="00D27322"/>
    <w:rPr>
      <w:smallCaps/>
    </w:rPr>
  </w:style>
  <w:style w:type="character" w:customStyle="1" w:styleId="IntenseReference1">
    <w:name w:val="Intense Reference1"/>
    <w:uiPriority w:val="99"/>
    <w:rsid w:val="00D27322"/>
    <w:rPr>
      <w:smallCaps/>
      <w:spacing w:val="5"/>
      <w:u w:val="single"/>
    </w:rPr>
  </w:style>
  <w:style w:type="character" w:customStyle="1" w:styleId="BookTitle1">
    <w:name w:val="Book Title1"/>
    <w:uiPriority w:val="99"/>
    <w:rsid w:val="00D27322"/>
    <w:rPr>
      <w:i/>
      <w:iCs/>
      <w:smallCaps/>
      <w:spacing w:val="5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27322"/>
    <w:rPr>
      <w:rFonts w:ascii="Times New Roman" w:eastAsia="MS Mincho" w:hAnsi="Times New Roman" w:cs="Times New Roman"/>
      <w:sz w:val="24"/>
      <w:szCs w:val="24"/>
      <w:lang w:bidi="ar-SA"/>
    </w:rPr>
  </w:style>
  <w:style w:type="paragraph" w:styleId="Header">
    <w:name w:val="header"/>
    <w:basedOn w:val="Normal"/>
    <w:link w:val="HeaderChar"/>
    <w:uiPriority w:val="99"/>
    <w:semiHidden/>
    <w:rsid w:val="00D27322"/>
    <w:pPr>
      <w:tabs>
        <w:tab w:val="center" w:pos="4680"/>
        <w:tab w:val="right" w:pos="9360"/>
      </w:tabs>
    </w:pPr>
  </w:style>
  <w:style w:type="paragraph" w:styleId="NormalWeb">
    <w:name w:val="Normal (Web)"/>
    <w:basedOn w:val="Normal"/>
    <w:uiPriority w:val="99"/>
    <w:rsid w:val="00D27322"/>
    <w:pPr>
      <w:spacing w:before="100" w:beforeAutospacing="1" w:after="100" w:afterAutospacing="1"/>
    </w:pPr>
  </w:style>
  <w:style w:type="paragraph" w:customStyle="1" w:styleId="xl65">
    <w:name w:val="xl65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uiPriority w:val="99"/>
    <w:rsid w:val="00D27322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uiPriority w:val="99"/>
    <w:rsid w:val="00D27322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uiPriority w:val="99"/>
    <w:rsid w:val="00D27322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uiPriority w:val="99"/>
    <w:rsid w:val="00D27322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uiPriority w:val="99"/>
    <w:rsid w:val="00D2732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uiPriority w:val="99"/>
    <w:rsid w:val="00D2732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uiPriority w:val="99"/>
    <w:rsid w:val="00D2732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uiPriority w:val="99"/>
    <w:rsid w:val="00D2732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uiPriority w:val="99"/>
    <w:rsid w:val="00D2732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uiPriority w:val="99"/>
    <w:rsid w:val="00D27322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uiPriority w:val="99"/>
    <w:rsid w:val="00D27322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uiPriority w:val="99"/>
    <w:rsid w:val="00D273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uiPriority w:val="99"/>
    <w:rsid w:val="00D273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basedOn w:val="DefaultParagraphFont"/>
    <w:uiPriority w:val="99"/>
    <w:rsid w:val="00D27322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D27322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D27322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uiPriority w:val="99"/>
    <w:rsid w:val="00D27322"/>
  </w:style>
  <w:style w:type="character" w:customStyle="1" w:styleId="longtext">
    <w:name w:val="long_text"/>
    <w:basedOn w:val="DefaultParagraphFont"/>
    <w:uiPriority w:val="99"/>
    <w:rsid w:val="00D27322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7322"/>
    <w:rPr>
      <w:rFonts w:ascii="Times New Roman" w:eastAsia="MS Mincho" w:hAnsi="Times New Roman" w:cs="Times New Roman"/>
      <w:sz w:val="20"/>
      <w:szCs w:val="20"/>
      <w:lang w:val="sq-AL" w:bidi="ar-SA"/>
    </w:rPr>
  </w:style>
  <w:style w:type="paragraph" w:styleId="FootnoteText">
    <w:name w:val="footnote text"/>
    <w:basedOn w:val="Normal"/>
    <w:link w:val="FootnoteTextChar"/>
    <w:uiPriority w:val="99"/>
    <w:semiHidden/>
    <w:rsid w:val="00D27322"/>
    <w:rPr>
      <w:sz w:val="20"/>
      <w:szCs w:val="20"/>
      <w:lang w:val="sq-AL"/>
    </w:rPr>
  </w:style>
  <w:style w:type="character" w:customStyle="1" w:styleId="apple-style-span">
    <w:name w:val="apple-style-span"/>
    <w:basedOn w:val="DefaultParagraphFont"/>
    <w:uiPriority w:val="99"/>
    <w:rsid w:val="00D27322"/>
  </w:style>
  <w:style w:type="character" w:customStyle="1" w:styleId="apple-converted-space">
    <w:name w:val="apple-converted-space"/>
    <w:basedOn w:val="DefaultParagraphFont"/>
    <w:uiPriority w:val="99"/>
    <w:rsid w:val="00D27322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322"/>
    <w:rPr>
      <w:rFonts w:ascii="Lucida Grande" w:eastAsia="MS Mincho" w:hAnsi="Lucida Grande" w:cs="Lucida Grande"/>
      <w:sz w:val="18"/>
      <w:szCs w:val="18"/>
      <w:lang w:bidi="ar-SA"/>
    </w:rPr>
  </w:style>
  <w:style w:type="paragraph" w:styleId="BalloonText">
    <w:name w:val="Balloon Text"/>
    <w:basedOn w:val="Normal"/>
    <w:link w:val="BalloonTextChar"/>
    <w:uiPriority w:val="99"/>
    <w:semiHidden/>
    <w:rsid w:val="00D27322"/>
    <w:rPr>
      <w:rFonts w:ascii="Lucida Grande" w:hAnsi="Lucida Grande" w:cs="Lucida Grande"/>
      <w:sz w:val="18"/>
      <w:szCs w:val="18"/>
    </w:rPr>
  </w:style>
  <w:style w:type="character" w:customStyle="1" w:styleId="f11">
    <w:name w:val="f11"/>
    <w:basedOn w:val="DefaultParagraphFont"/>
    <w:rsid w:val="00D27322"/>
    <w:rPr>
      <w:rFonts w:ascii="Bookman Old Style" w:hAnsi="Bookman Old Style" w:hint="default"/>
      <w:color w:val="000000"/>
      <w:sz w:val="22"/>
      <w:szCs w:val="22"/>
    </w:rPr>
  </w:style>
  <w:style w:type="paragraph" w:customStyle="1" w:styleId="ModelNrmlDouble">
    <w:name w:val="ModelNrmlDouble"/>
    <w:basedOn w:val="Normal"/>
    <w:rsid w:val="00D27322"/>
    <w:pPr>
      <w:spacing w:after="360" w:line="480" w:lineRule="auto"/>
      <w:ind w:firstLine="720"/>
      <w:jc w:val="both"/>
    </w:pPr>
    <w:rPr>
      <w:rFonts w:eastAsia="Times New Roman"/>
      <w:sz w:val="22"/>
      <w:szCs w:val="20"/>
    </w:rPr>
  </w:style>
  <w:style w:type="paragraph" w:customStyle="1" w:styleId="ModelDoubleNoIndent">
    <w:name w:val="ModelDoubleNoIndent"/>
    <w:basedOn w:val="ModelNrmlDouble"/>
    <w:rsid w:val="00D27322"/>
    <w:pPr>
      <w:ind w:firstLine="0"/>
    </w:pPr>
    <w:rPr>
      <w:u w:val="single"/>
    </w:rPr>
  </w:style>
  <w:style w:type="paragraph" w:customStyle="1" w:styleId="ModelNrmlSingle">
    <w:name w:val="ModelNrmlSingle"/>
    <w:basedOn w:val="Normal"/>
    <w:rsid w:val="00D27322"/>
    <w:pPr>
      <w:spacing w:after="240"/>
      <w:ind w:firstLine="720"/>
      <w:jc w:val="both"/>
    </w:pPr>
    <w:rPr>
      <w:rFonts w:eastAsia="Times New Roman"/>
      <w:sz w:val="22"/>
      <w:szCs w:val="20"/>
    </w:rPr>
  </w:style>
  <w:style w:type="character" w:styleId="Hyperlink">
    <w:name w:val="Hyperlink"/>
    <w:basedOn w:val="DefaultParagraphFont"/>
    <w:unhideWhenUsed/>
    <w:rsid w:val="00D273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1082</Words>
  <Characters>6169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2019-03-19T15:04:00Z</dcterms:created>
  <dcterms:modified xsi:type="dcterms:W3CDTF">2019-03-19T15:04:00Z</dcterms:modified>
</cp:coreProperties>
</file>