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9EBFF" w14:textId="419F56A7" w:rsidR="00387FD4" w:rsidRPr="00132162" w:rsidRDefault="00D0662D" w:rsidP="00E92B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GJYKATA E</w:t>
      </w:r>
      <w:r w:rsidR="00B25B68" w:rsidRPr="00132162">
        <w:rPr>
          <w:rFonts w:ascii="Garamond" w:hAnsi="Garamond"/>
          <w:sz w:val="24"/>
          <w:szCs w:val="24"/>
          <w:lang w:val="sq-AL"/>
        </w:rPr>
        <w:t>V</w:t>
      </w:r>
      <w:r w:rsidRPr="00132162">
        <w:rPr>
          <w:rFonts w:ascii="Garamond" w:hAnsi="Garamond"/>
          <w:sz w:val="24"/>
          <w:szCs w:val="24"/>
          <w:lang w:val="sq-AL"/>
        </w:rPr>
        <w:t>ROPIANE E TË DREJTAVE TË NJERIUT</w:t>
      </w:r>
    </w:p>
    <w:p w14:paraId="65F9FB30" w14:textId="7777777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SEKSIONI I TRETË</w:t>
      </w:r>
    </w:p>
    <w:p w14:paraId="395685C7" w14:textId="7777777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26600A" w14:textId="20191B8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2162">
        <w:rPr>
          <w:rFonts w:ascii="Garamond" w:hAnsi="Garamond"/>
          <w:b/>
          <w:sz w:val="24"/>
          <w:szCs w:val="24"/>
          <w:lang w:val="sq-AL"/>
        </w:rPr>
        <w:t xml:space="preserve">ÇËSHTJA ILIA </w:t>
      </w:r>
      <w:r w:rsidR="00327F91" w:rsidRPr="00132162">
        <w:rPr>
          <w:rFonts w:ascii="Garamond" w:hAnsi="Garamond"/>
          <w:b/>
          <w:sz w:val="24"/>
          <w:szCs w:val="24"/>
          <w:lang w:val="sq-AL"/>
        </w:rPr>
        <w:t xml:space="preserve">KUNDËR </w:t>
      </w:r>
      <w:r w:rsidRPr="00132162">
        <w:rPr>
          <w:rFonts w:ascii="Garamond" w:hAnsi="Garamond"/>
          <w:b/>
          <w:sz w:val="24"/>
          <w:szCs w:val="24"/>
          <w:lang w:val="sq-AL"/>
        </w:rPr>
        <w:t>SHQIPËRISË</w:t>
      </w:r>
    </w:p>
    <w:p w14:paraId="553F4649" w14:textId="7777777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32162">
        <w:rPr>
          <w:rFonts w:ascii="Garamond" w:hAnsi="Garamond"/>
          <w:i/>
          <w:sz w:val="24"/>
          <w:szCs w:val="24"/>
          <w:lang w:val="sq-AL"/>
        </w:rPr>
        <w:t>(Kërkesa nr. 22824/20)</w:t>
      </w:r>
    </w:p>
    <w:p w14:paraId="77783283" w14:textId="7777777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BD4BD2F" w14:textId="77777777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21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E1D20D" w14:textId="77777777" w:rsidR="00E92B6D" w:rsidRPr="00382290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2290">
        <w:rPr>
          <w:rFonts w:ascii="Garamond" w:hAnsi="Garamond"/>
          <w:sz w:val="24"/>
          <w:szCs w:val="24"/>
          <w:lang w:val="sq-AL"/>
        </w:rPr>
        <w:t>STRASBURG</w:t>
      </w:r>
    </w:p>
    <w:p w14:paraId="25442C85" w14:textId="77777777" w:rsidR="00E92B6D" w:rsidRPr="00382290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2290">
        <w:rPr>
          <w:rFonts w:ascii="Garamond" w:hAnsi="Garamond"/>
          <w:sz w:val="24"/>
          <w:szCs w:val="24"/>
          <w:lang w:val="sq-AL"/>
        </w:rPr>
        <w:t>15 korrik 2025</w:t>
      </w:r>
    </w:p>
    <w:p w14:paraId="436C9E18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9C5E7" w14:textId="3B61C12A" w:rsidR="00E92B6D" w:rsidRPr="00132162" w:rsidRDefault="00E92B6D" w:rsidP="00E92B6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32162">
        <w:rPr>
          <w:rFonts w:ascii="Garamond" w:hAnsi="Garamond"/>
          <w:i/>
          <w:sz w:val="24"/>
          <w:szCs w:val="24"/>
          <w:lang w:val="sq-AL"/>
        </w:rPr>
        <w:t>Ky është vendim përfundimtar, por mund t</w:t>
      </w:r>
      <w:r w:rsidR="007C4DE8">
        <w:rPr>
          <w:rFonts w:ascii="Garamond" w:hAnsi="Garamond"/>
          <w:i/>
          <w:sz w:val="24"/>
          <w:szCs w:val="24"/>
          <w:lang w:val="sq-AL"/>
        </w:rPr>
        <w:t>’</w:t>
      </w:r>
      <w:r w:rsidRPr="00132162">
        <w:rPr>
          <w:rFonts w:ascii="Garamond" w:hAnsi="Garamond"/>
          <w:i/>
          <w:sz w:val="24"/>
          <w:szCs w:val="24"/>
          <w:lang w:val="sq-AL"/>
        </w:rPr>
        <w:t>i nënshtrohet rishikimit redaktorial.</w:t>
      </w:r>
    </w:p>
    <w:p w14:paraId="6129F7D2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 </w:t>
      </w:r>
    </w:p>
    <w:p w14:paraId="20E12BE8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Në çështjen Ilia kundër Shqipërisë,</w:t>
      </w:r>
    </w:p>
    <w:p w14:paraId="795E2990" w14:textId="44CE1D5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Gjykata E</w:t>
      </w:r>
      <w:r w:rsidR="00131014">
        <w:rPr>
          <w:rFonts w:ascii="Garamond" w:hAnsi="Garamond"/>
          <w:sz w:val="24"/>
          <w:szCs w:val="24"/>
          <w:lang w:val="sq-AL"/>
        </w:rPr>
        <w:t>v</w:t>
      </w:r>
      <w:r w:rsidRPr="00132162">
        <w:rPr>
          <w:rFonts w:ascii="Garamond" w:hAnsi="Garamond"/>
          <w:sz w:val="24"/>
          <w:szCs w:val="24"/>
          <w:lang w:val="sq-AL"/>
        </w:rPr>
        <w:t>ropiane e të Drejtave të Njeriut (Seksioni i Tretë), e mbledhur si Komitet i përbërë nga:</w:t>
      </w:r>
    </w:p>
    <w:p w14:paraId="2C6D61B0" w14:textId="4756FC88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Úna Ní Raifeartaigh, </w:t>
      </w:r>
      <w:r w:rsidRPr="00132162">
        <w:rPr>
          <w:rFonts w:ascii="Garamond" w:hAnsi="Garamond"/>
          <w:i/>
          <w:sz w:val="24"/>
          <w:szCs w:val="24"/>
          <w:lang w:val="sq-AL"/>
        </w:rPr>
        <w:t>President,</w:t>
      </w:r>
    </w:p>
    <w:p w14:paraId="7B4977D2" w14:textId="6F22D40E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Darian Pavli,</w:t>
      </w:r>
    </w:p>
    <w:p w14:paraId="4C86C027" w14:textId="262E1772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Mateja Đurović, </w:t>
      </w:r>
      <w:r w:rsidRPr="00132162">
        <w:rPr>
          <w:rFonts w:ascii="Garamond" w:hAnsi="Garamond"/>
          <w:i/>
          <w:sz w:val="24"/>
          <w:szCs w:val="24"/>
          <w:lang w:val="sq-AL"/>
        </w:rPr>
        <w:t>gjyqtarë,</w:t>
      </w:r>
    </w:p>
    <w:p w14:paraId="68868496" w14:textId="2139C10A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dhe Olga Chernishova, </w:t>
      </w:r>
      <w:r w:rsidR="00382290" w:rsidRPr="00132162">
        <w:rPr>
          <w:rFonts w:ascii="Garamond" w:hAnsi="Garamond"/>
          <w:i/>
          <w:sz w:val="24"/>
          <w:szCs w:val="24"/>
          <w:lang w:val="sq-AL"/>
        </w:rPr>
        <w:t xml:space="preserve">zëvendëskancelar </w:t>
      </w:r>
      <w:r w:rsidRPr="00132162">
        <w:rPr>
          <w:rFonts w:ascii="Garamond" w:hAnsi="Garamond"/>
          <w:i/>
          <w:sz w:val="24"/>
          <w:szCs w:val="24"/>
          <w:lang w:val="sq-AL"/>
        </w:rPr>
        <w:t>i Seksioni</w:t>
      </w:r>
      <w:r w:rsidR="00960EC2">
        <w:rPr>
          <w:rFonts w:ascii="Garamond" w:hAnsi="Garamond"/>
          <w:sz w:val="24"/>
          <w:szCs w:val="24"/>
          <w:lang w:val="sq-AL"/>
        </w:rPr>
        <w:t>t,</w:t>
      </w:r>
      <w:bookmarkStart w:id="0" w:name="_GoBack"/>
      <w:bookmarkEnd w:id="0"/>
    </w:p>
    <w:p w14:paraId="0B996854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Duke pasur parasysh:</w:t>
      </w:r>
    </w:p>
    <w:p w14:paraId="17441F55" w14:textId="3C8492E4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kërkesën (nr. 22824/20) kundër Republikës së Shqipërisë të depozituar në Gjykatë sipas nenit 34 të Konventës për Mbrojtjen e të Drejtave dhe Lirive Themelore të Njeriut (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Konventa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 xml:space="preserve">) më 7 maj 2020 nga shtetasi shqiptar </w:t>
      </w:r>
      <w:r w:rsidR="00415633">
        <w:rPr>
          <w:rFonts w:ascii="Garamond" w:hAnsi="Garamond"/>
          <w:sz w:val="24"/>
          <w:szCs w:val="24"/>
          <w:lang w:val="sq-AL"/>
        </w:rPr>
        <w:t>z</w:t>
      </w:r>
      <w:r w:rsidRPr="00132162">
        <w:rPr>
          <w:rFonts w:ascii="Garamond" w:hAnsi="Garamond"/>
          <w:sz w:val="24"/>
          <w:szCs w:val="24"/>
          <w:lang w:val="sq-AL"/>
        </w:rPr>
        <w:t>. Bledar Ilia (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kërkuesi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 xml:space="preserve">), i lindur në vitin 1979, me banim në Tiranë dhe i përfaqësuar nga </w:t>
      </w:r>
      <w:r w:rsidR="00415633">
        <w:rPr>
          <w:rFonts w:ascii="Garamond" w:hAnsi="Garamond"/>
          <w:sz w:val="24"/>
          <w:szCs w:val="24"/>
          <w:lang w:val="sq-AL"/>
        </w:rPr>
        <w:t>z</w:t>
      </w:r>
      <w:r w:rsidRPr="00132162">
        <w:rPr>
          <w:rFonts w:ascii="Garamond" w:hAnsi="Garamond"/>
          <w:sz w:val="24"/>
          <w:szCs w:val="24"/>
          <w:lang w:val="sq-AL"/>
        </w:rPr>
        <w:t>. A.</w:t>
      </w:r>
      <w:r w:rsidR="00415633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Kasapi, avokat i licencuar në Tiranë;</w:t>
      </w:r>
    </w:p>
    <w:p w14:paraId="2B72B7ED" w14:textId="2233C08A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vendimin për të njoftuar Qeverinë e Shqipërisë (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Qeveria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>) të përfaqësuar nga agjenti z. O.</w:t>
      </w:r>
      <w:r w:rsidR="00415633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Moçka, Avokat i Përgjithshëm i Shtetit, për ankimin në lidhje me mungesën e aksesit të kërkuesit në Gjykatën Kushtetuese dhe për të shpallur të papranueshme pjesën tjetër të kërkesës;</w:t>
      </w:r>
    </w:p>
    <w:p w14:paraId="6B06D3D7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parashtrimet e palëve;</w:t>
      </w:r>
    </w:p>
    <w:p w14:paraId="7FF9C9A6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Pas diskutimit me dyer të mbyllura më 24 qershor 2025,</w:t>
      </w:r>
    </w:p>
    <w:p w14:paraId="2CB9F0E6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mori vendimin e mëposhtëm, i cili u miratua po në këtë datë:</w:t>
      </w:r>
    </w:p>
    <w:p w14:paraId="745B6A50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OBJEKTI I ÇËSHTJES</w:t>
      </w:r>
    </w:p>
    <w:p w14:paraId="720A7931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1. Kërkesa ka të bëjë me një mosmarrëveshje punësimi ku kërkuesi kundërshtoi ndërprerjen e kontratës së tij me Këshillin e Lartë të Drejtësisë. Kërkuesi u ankua për mungesën e aksesit të tij në Gjykatën Kushtetuese.</w:t>
      </w:r>
    </w:p>
    <w:p w14:paraId="16D85001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2. Pas rrëzimit të kërkesës së kërkuesit në shkallë të parë dhe të dytë, ai depozitoi ankimin në Gjykatën e Lartë në korrik 2014.</w:t>
      </w:r>
    </w:p>
    <w:p w14:paraId="0381EBF1" w14:textId="114B2016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3. Më 8 nëntor 2016, në </w:t>
      </w:r>
      <w:r w:rsidR="00424C68" w:rsidRPr="00132162">
        <w:rPr>
          <w:rFonts w:ascii="Garamond" w:hAnsi="Garamond"/>
          <w:sz w:val="24"/>
          <w:szCs w:val="24"/>
          <w:lang w:val="sq-AL"/>
        </w:rPr>
        <w:t xml:space="preserve">Fletoren Zyrtare </w:t>
      </w:r>
      <w:r w:rsidRPr="00132162">
        <w:rPr>
          <w:rFonts w:ascii="Garamond" w:hAnsi="Garamond"/>
          <w:sz w:val="24"/>
          <w:szCs w:val="24"/>
          <w:lang w:val="sq-AL"/>
        </w:rPr>
        <w:t xml:space="preserve">u publikua ligji nr. 99/2016 i 6 nëntorit 2016. Ligji shkurtoi afatin kohor për depozitimin e një ankimi kushtetues nga dy vjet në katër muaj 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nga momenti i marrjes dijeni për ndërhyrjen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 xml:space="preserve"> [në një të drejtë ose liri kushtetuese] (</w:t>
      </w:r>
      <w:r w:rsidRPr="00132162">
        <w:rPr>
          <w:rFonts w:ascii="Garamond" w:hAnsi="Garamond"/>
          <w:i/>
          <w:sz w:val="24"/>
          <w:szCs w:val="24"/>
          <w:lang w:val="sq-AL"/>
        </w:rPr>
        <w:t>konstatimi i c</w:t>
      </w:r>
      <w:r w:rsidR="00691885">
        <w:rPr>
          <w:rFonts w:ascii="Garamond" w:hAnsi="Garamond"/>
          <w:i/>
          <w:sz w:val="24"/>
          <w:szCs w:val="24"/>
          <w:lang w:val="sq-AL"/>
        </w:rPr>
        <w:t>e</w:t>
      </w:r>
      <w:r w:rsidRPr="00132162">
        <w:rPr>
          <w:rFonts w:ascii="Garamond" w:hAnsi="Garamond"/>
          <w:i/>
          <w:sz w:val="24"/>
          <w:szCs w:val="24"/>
          <w:lang w:val="sq-AL"/>
        </w:rPr>
        <w:t>nimit</w:t>
      </w:r>
      <w:r w:rsidRPr="00132162">
        <w:rPr>
          <w:rFonts w:ascii="Garamond" w:hAnsi="Garamond"/>
          <w:sz w:val="24"/>
          <w:szCs w:val="24"/>
          <w:lang w:val="sq-AL"/>
        </w:rPr>
        <w:t>)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>. Ai parashikoi edhe që afati i ri kohor duhet të hyjë në fuqi më 1 mars 2017.</w:t>
      </w:r>
    </w:p>
    <w:p w14:paraId="2A452B28" w14:textId="50C1FFB0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4. Më 19 dhjetor 2017</w:t>
      </w:r>
      <w:r w:rsidR="0052321F">
        <w:rPr>
          <w:rFonts w:ascii="Garamond" w:hAnsi="Garamond"/>
          <w:sz w:val="24"/>
          <w:szCs w:val="24"/>
          <w:lang w:val="sq-AL"/>
        </w:rPr>
        <w:t>,</w:t>
      </w:r>
      <w:r w:rsidRPr="00132162">
        <w:rPr>
          <w:rFonts w:ascii="Garamond" w:hAnsi="Garamond"/>
          <w:sz w:val="24"/>
          <w:szCs w:val="24"/>
          <w:lang w:val="sq-AL"/>
        </w:rPr>
        <w:t xml:space="preserve"> Gjykata e Lartë rrëzoi rekursin e kërkuesit. Vendimi i Gjykatës së Lartë u miratua me dyer të mbyllura. Kërkuesi paraqiti një kopje të vendimit të Gjykatës së Lartë, që kishte një vulë e cila tregonte se ishte 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marrë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 xml:space="preserve"> nga kërkuesi më 9 maj 2018. </w:t>
      </w:r>
    </w:p>
    <w:p w14:paraId="3A95769F" w14:textId="7C73B8D5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5. Më 6 shtator 2018, kërkuesi depozitoi një ankim kushtetues. Gjykata Kushtetuese e rrëzoi ankimin më 14 janar 2020</w:t>
      </w:r>
      <w:r w:rsidR="002E58A5">
        <w:rPr>
          <w:rFonts w:ascii="Garamond" w:hAnsi="Garamond"/>
          <w:sz w:val="24"/>
          <w:szCs w:val="24"/>
          <w:lang w:val="sq-AL"/>
        </w:rPr>
        <w:t>,</w:t>
      </w:r>
      <w:r w:rsidRPr="00132162">
        <w:rPr>
          <w:rFonts w:ascii="Garamond" w:hAnsi="Garamond"/>
          <w:sz w:val="24"/>
          <w:szCs w:val="24"/>
          <w:lang w:val="sq-AL"/>
        </w:rPr>
        <w:t xml:space="preserve"> sepse ishte depozituar jashtë afatit kohor katërmujor, duke filluar nga data e miratimit të vendimit të kontestuar të Gjykatës së Lartë. Gjykata Kushtetuese u shpreh që vula në vendimin e Gjykatës së Lartë që tregonte se kërkuesi e kishte </w:t>
      </w:r>
      <w:r w:rsidR="00415633">
        <w:rPr>
          <w:rFonts w:ascii="Garamond" w:hAnsi="Garamond"/>
          <w:sz w:val="24"/>
          <w:szCs w:val="24"/>
          <w:lang w:val="sq-AL"/>
        </w:rPr>
        <w:t>“</w:t>
      </w:r>
      <w:r w:rsidRPr="00132162">
        <w:rPr>
          <w:rFonts w:ascii="Garamond" w:hAnsi="Garamond"/>
          <w:sz w:val="24"/>
          <w:szCs w:val="24"/>
          <w:lang w:val="sq-AL"/>
        </w:rPr>
        <w:t>marrë</w:t>
      </w:r>
      <w:r w:rsidR="00415633">
        <w:rPr>
          <w:rFonts w:ascii="Garamond" w:hAnsi="Garamond"/>
          <w:sz w:val="24"/>
          <w:szCs w:val="24"/>
          <w:lang w:val="sq-AL"/>
        </w:rPr>
        <w:t>”</w:t>
      </w:r>
      <w:r w:rsidRPr="00132162">
        <w:rPr>
          <w:rFonts w:ascii="Garamond" w:hAnsi="Garamond"/>
          <w:sz w:val="24"/>
          <w:szCs w:val="24"/>
          <w:lang w:val="sq-AL"/>
        </w:rPr>
        <w:t xml:space="preserve"> në atë datë nuk mund të konsiderohej si provë që ai vendim i ishte njoftuar kërkuesit po në atë datë sepse sa herë që një palë </w:t>
      </w:r>
      <w:r w:rsidRPr="00132162">
        <w:rPr>
          <w:rFonts w:ascii="Garamond" w:hAnsi="Garamond"/>
          <w:sz w:val="24"/>
          <w:szCs w:val="24"/>
          <w:lang w:val="sq-AL"/>
        </w:rPr>
        <w:lastRenderedPageBreak/>
        <w:t>kërkonte të merrte vendimin e Gjykatës së Lartë në atë vendim vendosej vula me datën e dhënies së vendimit.</w:t>
      </w:r>
    </w:p>
    <w:p w14:paraId="12F48A7B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VLERËSIMI I GJYKATËS</w:t>
      </w:r>
    </w:p>
    <w:p w14:paraId="4A71468F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SHKELJA E PRETENDUAR E PARAGRAFIT 1 TË NENIT 6 TË KONVENTËS</w:t>
      </w:r>
    </w:p>
    <w:p w14:paraId="76ACA66D" w14:textId="23EC0C16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6. Gjykata vëren se kjo kërkesë nuk është haptazi e pabazuar sipas kuptimit të nenit 35§3 (a) të Konventës ose e papranueshme bazuar në ndonjë shkak tjetër. Prandaj, ai duhet të shpallet i pranueshëm.</w:t>
      </w:r>
    </w:p>
    <w:p w14:paraId="58799291" w14:textId="7E86C168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7. Parimet e përgjithshme në lidhje me të drejtën për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="0099617C">
        <w:rPr>
          <w:rFonts w:ascii="Garamond" w:hAnsi="Garamond"/>
          <w:sz w:val="24"/>
          <w:szCs w:val="24"/>
          <w:lang w:val="sq-AL"/>
        </w:rPr>
        <w:t>i</w:t>
      </w:r>
      <w:r w:rsidRPr="00132162">
        <w:rPr>
          <w:rFonts w:ascii="Garamond" w:hAnsi="Garamond"/>
          <w:sz w:val="24"/>
          <w:szCs w:val="24"/>
          <w:lang w:val="sq-AL"/>
        </w:rPr>
        <w:t xml:space="preserve">u drejtuar Gjykatës Kushtetuese të Shqipërisë në lidhje me afatin e ri katërmujor të prezantuar rishtazi për depozitimin e një ankimi kushtetues janë përmbledhur në </w:t>
      </w:r>
      <w:r w:rsidRPr="00132162">
        <w:rPr>
          <w:rFonts w:ascii="Garamond" w:hAnsi="Garamond"/>
          <w:i/>
          <w:sz w:val="24"/>
          <w:szCs w:val="24"/>
          <w:lang w:val="sq-AL"/>
        </w:rPr>
        <w:t>Supergrav</w:t>
      </w:r>
      <w:r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i/>
          <w:sz w:val="24"/>
          <w:szCs w:val="24"/>
          <w:lang w:val="sq-AL"/>
        </w:rPr>
        <w:t xml:space="preserve">Albania </w:t>
      </w:r>
      <w:r w:rsidR="00131014">
        <w:rPr>
          <w:rFonts w:ascii="Garamond" w:hAnsi="Garamond"/>
          <w:i/>
          <w:sz w:val="24"/>
          <w:szCs w:val="24"/>
          <w:lang w:val="sq-AL"/>
        </w:rPr>
        <w:t>s</w:t>
      </w:r>
      <w:r w:rsidRPr="00132162">
        <w:rPr>
          <w:rFonts w:ascii="Garamond" w:hAnsi="Garamond"/>
          <w:i/>
          <w:sz w:val="24"/>
          <w:szCs w:val="24"/>
          <w:lang w:val="sq-AL"/>
        </w:rPr>
        <w:t>h</w:t>
      </w:r>
      <w:r w:rsidR="00131014">
        <w:rPr>
          <w:rFonts w:ascii="Garamond" w:hAnsi="Garamond"/>
          <w:i/>
          <w:sz w:val="24"/>
          <w:szCs w:val="24"/>
          <w:lang w:val="sq-AL"/>
        </w:rPr>
        <w:t>.</w:t>
      </w:r>
      <w:r w:rsidRPr="00132162">
        <w:rPr>
          <w:rFonts w:ascii="Garamond" w:hAnsi="Garamond"/>
          <w:i/>
          <w:sz w:val="24"/>
          <w:szCs w:val="24"/>
          <w:lang w:val="sq-AL"/>
        </w:rPr>
        <w:t>p</w:t>
      </w:r>
      <w:r w:rsidR="00131014">
        <w:rPr>
          <w:rFonts w:ascii="Garamond" w:hAnsi="Garamond"/>
          <w:i/>
          <w:sz w:val="24"/>
          <w:szCs w:val="24"/>
          <w:lang w:val="sq-AL"/>
        </w:rPr>
        <w:t>.</w:t>
      </w:r>
      <w:r w:rsidRPr="00132162">
        <w:rPr>
          <w:rFonts w:ascii="Garamond" w:hAnsi="Garamond"/>
          <w:i/>
          <w:sz w:val="24"/>
          <w:szCs w:val="24"/>
          <w:lang w:val="sq-AL"/>
        </w:rPr>
        <w:t>k</w:t>
      </w:r>
      <w:r w:rsidR="00131014">
        <w:rPr>
          <w:rFonts w:ascii="Garamond" w:hAnsi="Garamond"/>
          <w:i/>
          <w:sz w:val="24"/>
          <w:szCs w:val="24"/>
          <w:lang w:val="sq-AL"/>
        </w:rPr>
        <w:t>.</w:t>
      </w:r>
      <w:r w:rsidRPr="00132162">
        <w:rPr>
          <w:rFonts w:ascii="Garamond" w:hAnsi="Garamond"/>
          <w:i/>
          <w:sz w:val="24"/>
          <w:szCs w:val="24"/>
          <w:lang w:val="sq-AL"/>
        </w:rPr>
        <w:t xml:space="preserve"> kundër Shqipërisë</w:t>
      </w:r>
      <w:r w:rsidRPr="00132162">
        <w:rPr>
          <w:rFonts w:ascii="Garamond" w:hAnsi="Garamond"/>
          <w:sz w:val="24"/>
          <w:szCs w:val="24"/>
          <w:lang w:val="sq-AL"/>
        </w:rPr>
        <w:t xml:space="preserve"> (nr. 20702/18, §§16 dhe 22, 9 maj 2023). Në atë çështje Gjykata gjeti shkelje të paragrafit 1 të nenit 6 të Konventës ku afati kohor për depozitimin e një ankimi kushtetues ishte llogaritur nga data e miratimit të vendimit të kontestuar të Gjykatës së Lartë dhe jo nga data që i ishte dhënë kërkuesit (ibid., §§17</w:t>
      </w:r>
      <w:r w:rsidR="0099617C">
        <w:rPr>
          <w:rFonts w:ascii="Garamond" w:hAnsi="Garamond"/>
          <w:sz w:val="24"/>
          <w:szCs w:val="24"/>
          <w:lang w:val="sq-AL"/>
        </w:rPr>
        <w:t>–</w:t>
      </w:r>
      <w:r w:rsidRPr="00132162">
        <w:rPr>
          <w:rFonts w:ascii="Garamond" w:hAnsi="Garamond"/>
          <w:sz w:val="24"/>
          <w:szCs w:val="24"/>
          <w:lang w:val="sq-AL"/>
        </w:rPr>
        <w:t>31).</w:t>
      </w:r>
    </w:p>
    <w:p w14:paraId="3EF73ED9" w14:textId="12B6A0B4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8. Në këtë çështje kërkuesi mësoi për vendimin e Gjykatës së Lartë më 9 maj 2018 dhe depozitoi ankimin e tij kushtetues më 6 shtator 2018, brenda afatit kohor katërmujor.</w:t>
      </w:r>
    </w:p>
    <w:p w14:paraId="2E32F1DC" w14:textId="5D03CC16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 xml:space="preserve">9. Gjithashtu Gjykata vëren që Gjykata Kushtetuese ishte shprehur që sa herë që një palë kërkonte të merrte vendimin e Gjykatës së Lartë, në atë vendim vendosej data e dhënies së vendimit. Sipas Gjykatës Kushtetuese kjo nuk provonte që palës nuk i ishte dhënë vendimi më herët. Megjithatë, Gjykata Kushtetuese nuk sqaroi në çfarë mënyre një palë mund të jepte një provë pozitive të datës së njoftimit të parë (krahasoni </w:t>
      </w:r>
      <w:r w:rsidRPr="00132162">
        <w:rPr>
          <w:rFonts w:ascii="Garamond" w:hAnsi="Garamond"/>
          <w:i/>
          <w:sz w:val="24"/>
          <w:szCs w:val="24"/>
          <w:lang w:val="sq-AL"/>
        </w:rPr>
        <w:t>Aždajić kundër Sllovenisë</w:t>
      </w:r>
      <w:r w:rsidRPr="00132162">
        <w:rPr>
          <w:rFonts w:ascii="Garamond" w:hAnsi="Garamond"/>
          <w:sz w:val="24"/>
          <w:szCs w:val="24"/>
          <w:lang w:val="sq-AL"/>
        </w:rPr>
        <w:t xml:space="preserve">, nr. 71872/12, §69, 8 tetor 2015) ose arsyen pse barrën e provës në këtë drejtim duhej ta kishte vetëm njëra palë. Gjykata vlerëson se fillimisht i takon Gjykatës së Lartë të sigurohet që në dosjen e saj të çështjes të ketë prova për datën e dhënies së vendimit të saj te palët (shihni </w:t>
      </w:r>
      <w:r w:rsidRPr="00132162">
        <w:rPr>
          <w:rFonts w:ascii="Garamond" w:hAnsi="Garamond"/>
          <w:i/>
          <w:sz w:val="24"/>
          <w:szCs w:val="24"/>
          <w:lang w:val="sq-AL"/>
        </w:rPr>
        <w:t>mutatis mutandis, Zela kundër Shqipërisë</w:t>
      </w:r>
      <w:r w:rsidRPr="00132162">
        <w:rPr>
          <w:rFonts w:ascii="Garamond" w:hAnsi="Garamond"/>
          <w:sz w:val="24"/>
          <w:szCs w:val="24"/>
          <w:lang w:val="sq-AL"/>
        </w:rPr>
        <w:t>, nr. 33164/11, §38, 11 qershor 2024)</w:t>
      </w:r>
      <w:r w:rsidR="0099617C">
        <w:rPr>
          <w:rFonts w:ascii="Garamond" w:hAnsi="Garamond"/>
          <w:sz w:val="24"/>
          <w:szCs w:val="24"/>
          <w:lang w:val="sq-AL"/>
        </w:rPr>
        <w:t>.</w:t>
      </w:r>
    </w:p>
    <w:p w14:paraId="73755564" w14:textId="3D2E0404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10. Nisur nga rrethanat më sipër, Gjykata del në përfundimin që gjen shkelje të paragrafit 1 të nenit 6 të Konventës në lidhje me të drejtën e kërkuesit për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="0099617C">
        <w:rPr>
          <w:rFonts w:ascii="Garamond" w:hAnsi="Garamond"/>
          <w:sz w:val="24"/>
          <w:szCs w:val="24"/>
          <w:lang w:val="sq-AL"/>
        </w:rPr>
        <w:t>i</w:t>
      </w:r>
      <w:r w:rsidRPr="00132162">
        <w:rPr>
          <w:rFonts w:ascii="Garamond" w:hAnsi="Garamond"/>
          <w:sz w:val="24"/>
          <w:szCs w:val="24"/>
          <w:lang w:val="sq-AL"/>
        </w:rPr>
        <w:t>u drejtuar Gjykatës Kushtetuese.</w:t>
      </w:r>
    </w:p>
    <w:p w14:paraId="7759E0AD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ZBATIMI I NENIT 41 TË KONVENTËS</w:t>
      </w:r>
    </w:p>
    <w:p w14:paraId="4E0D36B9" w14:textId="3AD31092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11. Kërkuesi kërkoi 5600 euro (EUR) për dëmin pasuror dhe jopasuror, dhe 5300 euro (EUR) për kosto dhe shpenzime të kryera pranë Gjykatës.</w:t>
      </w:r>
    </w:p>
    <w:p w14:paraId="6BF92402" w14:textId="7777777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12. Qeveria i kundërshtoi këto pretendime.</w:t>
      </w:r>
    </w:p>
    <w:p w14:paraId="4FE74189" w14:textId="4E2F892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13. Gjykata nuk dallon ndonjë lidhje shkakësore ndërmjet shkeljes së gjetur dhe dëmit pasuror të pretenduar; prandaj e refuzon këtë kërkesë. Megjithatë, i cakton kërkuesit 3600 EUR për dëmin jopasuror, plus çdo taksë që mund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>i ngarkohet kërkuesit.</w:t>
      </w:r>
    </w:p>
    <w:p w14:paraId="75C9F251" w14:textId="1FB20389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14. Duke pasur parasysh dokumentet përpara saj, Gjykata e vlerëson të arsyeshme që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>i caktojë 2000 EUR për kosto dhe shpenzime për proceset përpara Gjykatës, plus çdo taksë që mund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>i ngarkohet kërkuesit.</w:t>
      </w:r>
    </w:p>
    <w:p w14:paraId="220A95B3" w14:textId="77777777" w:rsidR="00C10BE8" w:rsidRDefault="00C10BE8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620D8D" w14:textId="30E37BA1" w:rsidR="00E92B6D" w:rsidRPr="00132162" w:rsidRDefault="00E92B6D" w:rsidP="00C10B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PËR KËTO ARSYE, GJYKATA, UNANIMISHT,</w:t>
      </w:r>
    </w:p>
    <w:p w14:paraId="5C8D397E" w14:textId="77777777" w:rsidR="00C10BE8" w:rsidRDefault="00C10BE8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AECB70" w14:textId="6326A4CD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1.</w:t>
      </w:r>
      <w:r w:rsidR="000F5D3C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="007C4DE8" w:rsidRPr="00132162">
        <w:rPr>
          <w:rFonts w:ascii="Garamond" w:hAnsi="Garamond"/>
          <w:i/>
          <w:sz w:val="24"/>
          <w:szCs w:val="24"/>
          <w:lang w:val="sq-AL"/>
        </w:rPr>
        <w:t>Shpall</w:t>
      </w:r>
      <w:r w:rsidR="007C4DE8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kërkesën të pranueshme;</w:t>
      </w:r>
    </w:p>
    <w:p w14:paraId="7FBF7322" w14:textId="433E4A9B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2.</w:t>
      </w:r>
      <w:r w:rsidR="000F5D3C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="007C4DE8" w:rsidRPr="00132162">
        <w:rPr>
          <w:rFonts w:ascii="Garamond" w:hAnsi="Garamond"/>
          <w:i/>
          <w:sz w:val="24"/>
          <w:szCs w:val="24"/>
          <w:lang w:val="sq-AL"/>
        </w:rPr>
        <w:t>Shprehet</w:t>
      </w:r>
      <w:r w:rsidR="007C4DE8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që konstaton shkelje të nenit 6§1 të Konventës;</w:t>
      </w:r>
    </w:p>
    <w:p w14:paraId="6EB0CB52" w14:textId="0B1DAF13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3.</w:t>
      </w:r>
      <w:r w:rsidR="007C4DE8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i/>
          <w:sz w:val="24"/>
          <w:szCs w:val="24"/>
          <w:lang w:val="sq-AL"/>
        </w:rPr>
        <w:t>Vendos</w:t>
      </w:r>
      <w:r w:rsidR="00C10BE8">
        <w:rPr>
          <w:rFonts w:ascii="Garamond" w:hAnsi="Garamond"/>
          <w:i/>
          <w:sz w:val="24"/>
          <w:szCs w:val="24"/>
          <w:lang w:val="sq-AL"/>
        </w:rPr>
        <w:t>:</w:t>
      </w:r>
    </w:p>
    <w:p w14:paraId="0F74FF41" w14:textId="205B18BE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a)</w:t>
      </w:r>
      <w:r w:rsidR="000F5D3C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që Shteti i paditur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 xml:space="preserve">i paguajë kërkuesit, brenda tre muajve, shumat e mëposhtme, që do të konvertohen në monedhën e </w:t>
      </w:r>
      <w:r w:rsidR="00131014">
        <w:rPr>
          <w:rFonts w:ascii="Garamond" w:hAnsi="Garamond"/>
          <w:sz w:val="24"/>
          <w:szCs w:val="24"/>
          <w:lang w:val="sq-AL"/>
        </w:rPr>
        <w:t>s</w:t>
      </w:r>
      <w:r w:rsidRPr="00132162">
        <w:rPr>
          <w:rFonts w:ascii="Garamond" w:hAnsi="Garamond"/>
          <w:sz w:val="24"/>
          <w:szCs w:val="24"/>
          <w:lang w:val="sq-AL"/>
        </w:rPr>
        <w:t>htetit të paditur me kursin e këmbimit në fuqi në datën e shlyerjes:</w:t>
      </w:r>
    </w:p>
    <w:p w14:paraId="16711AD6" w14:textId="38BCD50C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i</w:t>
      </w:r>
      <w:r w:rsidR="007C4DE8">
        <w:rPr>
          <w:rFonts w:ascii="Garamond" w:hAnsi="Garamond"/>
          <w:sz w:val="24"/>
          <w:szCs w:val="24"/>
          <w:lang w:val="sq-AL"/>
        </w:rPr>
        <w:t>.</w:t>
      </w:r>
      <w:r w:rsidRPr="00132162">
        <w:rPr>
          <w:rFonts w:ascii="Garamond" w:hAnsi="Garamond"/>
          <w:sz w:val="24"/>
          <w:szCs w:val="24"/>
          <w:lang w:val="sq-AL"/>
        </w:rPr>
        <w:t xml:space="preserve"> 3600 (tre</w:t>
      </w:r>
      <w:r w:rsidR="00877903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mijë e gjashtë qind euro) për dëmin jopasuror, plus çdo taksë që mund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>i ngarkohet;</w:t>
      </w:r>
    </w:p>
    <w:p w14:paraId="0C1F3C64" w14:textId="3F4602DA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ii</w:t>
      </w:r>
      <w:r w:rsidR="007C4DE8">
        <w:rPr>
          <w:rFonts w:ascii="Garamond" w:hAnsi="Garamond"/>
          <w:sz w:val="24"/>
          <w:szCs w:val="24"/>
          <w:lang w:val="sq-AL"/>
        </w:rPr>
        <w:t>.</w:t>
      </w:r>
      <w:r w:rsidRPr="00132162">
        <w:rPr>
          <w:rFonts w:ascii="Garamond" w:hAnsi="Garamond"/>
          <w:sz w:val="24"/>
          <w:szCs w:val="24"/>
          <w:lang w:val="sq-AL"/>
        </w:rPr>
        <w:t xml:space="preserve"> 2000 euro (dy</w:t>
      </w:r>
      <w:r w:rsidR="00877903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mijë euro) për kostot dhe shpenzimet, plus çdo taksë që mund t</w:t>
      </w:r>
      <w:r w:rsidR="007C4DE8">
        <w:rPr>
          <w:rFonts w:ascii="Garamond" w:hAnsi="Garamond"/>
          <w:sz w:val="24"/>
          <w:szCs w:val="24"/>
          <w:lang w:val="sq-AL"/>
        </w:rPr>
        <w:t>’</w:t>
      </w:r>
      <w:r w:rsidRPr="00132162">
        <w:rPr>
          <w:rFonts w:ascii="Garamond" w:hAnsi="Garamond"/>
          <w:sz w:val="24"/>
          <w:szCs w:val="24"/>
          <w:lang w:val="sq-AL"/>
        </w:rPr>
        <w:t>i ngarkohet kërkuesit;</w:t>
      </w:r>
    </w:p>
    <w:p w14:paraId="255C8818" w14:textId="419AF378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lastRenderedPageBreak/>
        <w:t>b)</w:t>
      </w:r>
      <w:r w:rsidR="000F5D3C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 xml:space="preserve">nga mbarimi i afatit tremujor të sipërpërmendur deri në shlyerje, interes i thjeshtë të paguhet për shumat e mësipërme sipas normës </w:t>
      </w:r>
      <w:r w:rsidR="00E93CD7">
        <w:rPr>
          <w:rFonts w:ascii="Garamond" w:hAnsi="Garamond"/>
          <w:sz w:val="24"/>
          <w:szCs w:val="24"/>
          <w:lang w:val="sq-AL"/>
        </w:rPr>
        <w:t>s</w:t>
      </w:r>
      <w:r w:rsidRPr="00132162">
        <w:rPr>
          <w:rFonts w:ascii="Garamond" w:hAnsi="Garamond"/>
          <w:sz w:val="24"/>
          <w:szCs w:val="24"/>
          <w:lang w:val="sq-AL"/>
        </w:rPr>
        <w:t>ë njëjtë me normën marxhinale të kreditimit të Bankës Qendrore E</w:t>
      </w:r>
      <w:r w:rsidR="00037518">
        <w:rPr>
          <w:rFonts w:ascii="Garamond" w:hAnsi="Garamond"/>
          <w:sz w:val="24"/>
          <w:szCs w:val="24"/>
          <w:lang w:val="sq-AL"/>
        </w:rPr>
        <w:t>v</w:t>
      </w:r>
      <w:r w:rsidRPr="00132162">
        <w:rPr>
          <w:rFonts w:ascii="Garamond" w:hAnsi="Garamond"/>
          <w:sz w:val="24"/>
          <w:szCs w:val="24"/>
          <w:lang w:val="sq-AL"/>
        </w:rPr>
        <w:t>ropiane gjatë periudhës së mospagimit plus tr</w:t>
      </w:r>
      <w:r w:rsidR="0001074D">
        <w:rPr>
          <w:rFonts w:ascii="Garamond" w:hAnsi="Garamond"/>
          <w:sz w:val="24"/>
          <w:szCs w:val="24"/>
          <w:lang w:val="sq-AL"/>
        </w:rPr>
        <w:t>i</w:t>
      </w:r>
      <w:r w:rsidRPr="00132162">
        <w:rPr>
          <w:rFonts w:ascii="Garamond" w:hAnsi="Garamond"/>
          <w:sz w:val="24"/>
          <w:szCs w:val="24"/>
          <w:lang w:val="sq-AL"/>
        </w:rPr>
        <w:t xml:space="preserve"> pikë përqindje;</w:t>
      </w:r>
    </w:p>
    <w:p w14:paraId="69DDCA4C" w14:textId="02D44987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4.</w:t>
      </w:r>
      <w:r w:rsidR="000F5D3C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="007C4DE8" w:rsidRPr="00132162">
        <w:rPr>
          <w:rFonts w:ascii="Garamond" w:hAnsi="Garamond"/>
          <w:i/>
          <w:sz w:val="24"/>
          <w:szCs w:val="24"/>
          <w:lang w:val="sq-AL"/>
        </w:rPr>
        <w:t>Rrëzon</w:t>
      </w:r>
      <w:r w:rsidR="007C4DE8" w:rsidRPr="00132162">
        <w:rPr>
          <w:rFonts w:ascii="Garamond" w:hAnsi="Garamond"/>
          <w:sz w:val="24"/>
          <w:szCs w:val="24"/>
          <w:lang w:val="sq-AL"/>
        </w:rPr>
        <w:t xml:space="preserve"> </w:t>
      </w:r>
      <w:r w:rsidRPr="00132162">
        <w:rPr>
          <w:rFonts w:ascii="Garamond" w:hAnsi="Garamond"/>
          <w:sz w:val="24"/>
          <w:szCs w:val="24"/>
          <w:lang w:val="sq-AL"/>
        </w:rPr>
        <w:t>pjesën tjetër të pretendimit të kërkuesit për kompensim të drejtë.</w:t>
      </w:r>
    </w:p>
    <w:p w14:paraId="7CA6ADAE" w14:textId="294C6D56" w:rsidR="00E92B6D" w:rsidRPr="00132162" w:rsidRDefault="00E92B6D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2162">
        <w:rPr>
          <w:rFonts w:ascii="Garamond" w:hAnsi="Garamond"/>
          <w:sz w:val="24"/>
          <w:szCs w:val="24"/>
          <w:lang w:val="sq-AL"/>
        </w:rPr>
        <w:t>Bërë në gjuhën angleze dhe njoftuar me shkrim më 15 korrik 2025 sipas Rregullit 77§§2 dhe 3 të Rregullores së Gjykatës.</w:t>
      </w:r>
    </w:p>
    <w:p w14:paraId="37719486" w14:textId="7BAA5495" w:rsidR="000F5D3C" w:rsidRPr="00132162" w:rsidRDefault="000F5D3C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</w:tblGrid>
      <w:tr w:rsidR="000F5D3C" w:rsidRPr="00132162" w14:paraId="2A4E1D3A" w14:textId="77777777" w:rsidTr="000F5D3C">
        <w:tc>
          <w:tcPr>
            <w:tcW w:w="3256" w:type="dxa"/>
          </w:tcPr>
          <w:p w14:paraId="16C3ACDF" w14:textId="0BEBF1C0" w:rsidR="000F5D3C" w:rsidRPr="00132162" w:rsidRDefault="000F5D3C" w:rsidP="000F5D3C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2162">
              <w:rPr>
                <w:rFonts w:ascii="Garamond" w:hAnsi="Garamond"/>
                <w:b/>
                <w:sz w:val="24"/>
                <w:szCs w:val="24"/>
                <w:lang w:val="sq-AL"/>
              </w:rPr>
              <w:t>Olga Chernishova</w:t>
            </w:r>
          </w:p>
          <w:p w14:paraId="749E9F9C" w14:textId="6A5E8573" w:rsidR="000F5D3C" w:rsidRPr="00132162" w:rsidRDefault="000F5D3C" w:rsidP="000F5D3C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2162">
              <w:rPr>
                <w:rFonts w:ascii="Garamond" w:hAnsi="Garamond"/>
                <w:sz w:val="24"/>
                <w:szCs w:val="24"/>
                <w:lang w:val="sq-AL"/>
              </w:rPr>
              <w:t>Zëvendës</w:t>
            </w:r>
            <w:r w:rsidR="007C4DE8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Pr="00132162">
              <w:rPr>
                <w:rFonts w:ascii="Garamond" w:hAnsi="Garamond"/>
                <w:sz w:val="24"/>
                <w:szCs w:val="24"/>
                <w:lang w:val="sq-AL"/>
              </w:rPr>
              <w:t>ancelar në detyrë</w:t>
            </w:r>
          </w:p>
        </w:tc>
        <w:tc>
          <w:tcPr>
            <w:tcW w:w="2551" w:type="dxa"/>
          </w:tcPr>
          <w:p w14:paraId="0B15F6C0" w14:textId="75A60852" w:rsidR="000F5D3C" w:rsidRPr="00132162" w:rsidRDefault="000F5D3C" w:rsidP="000F5D3C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2162">
              <w:rPr>
                <w:rFonts w:ascii="Garamond" w:hAnsi="Garamond"/>
                <w:b/>
                <w:sz w:val="24"/>
                <w:szCs w:val="24"/>
                <w:lang w:val="sq-AL"/>
              </w:rPr>
              <w:t>Úna Ní Raifeartaigh</w:t>
            </w:r>
          </w:p>
          <w:p w14:paraId="045E2214" w14:textId="15DAEF2B" w:rsidR="000F5D3C" w:rsidRPr="00132162" w:rsidRDefault="000F5D3C" w:rsidP="000F5D3C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2162">
              <w:rPr>
                <w:rFonts w:ascii="Garamond" w:hAnsi="Garamond"/>
                <w:sz w:val="24"/>
                <w:szCs w:val="24"/>
                <w:lang w:val="sq-AL"/>
              </w:rPr>
              <w:t>President</w:t>
            </w:r>
          </w:p>
        </w:tc>
      </w:tr>
    </w:tbl>
    <w:p w14:paraId="507BD808" w14:textId="77777777" w:rsidR="000F5D3C" w:rsidRPr="00132162" w:rsidRDefault="000F5D3C" w:rsidP="00E92B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F5D3C" w:rsidRPr="00132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9C7"/>
    <w:rsid w:val="0001074D"/>
    <w:rsid w:val="00037518"/>
    <w:rsid w:val="000C0803"/>
    <w:rsid w:val="000E4918"/>
    <w:rsid w:val="000F5D3C"/>
    <w:rsid w:val="000F74B6"/>
    <w:rsid w:val="001006E8"/>
    <w:rsid w:val="00131014"/>
    <w:rsid w:val="00131132"/>
    <w:rsid w:val="00132162"/>
    <w:rsid w:val="001873B5"/>
    <w:rsid w:val="002E58A5"/>
    <w:rsid w:val="0032269C"/>
    <w:rsid w:val="003258EA"/>
    <w:rsid w:val="00327F91"/>
    <w:rsid w:val="00382290"/>
    <w:rsid w:val="00387FD4"/>
    <w:rsid w:val="003B2BEF"/>
    <w:rsid w:val="00415633"/>
    <w:rsid w:val="00420FCC"/>
    <w:rsid w:val="00424C68"/>
    <w:rsid w:val="00495544"/>
    <w:rsid w:val="004C1480"/>
    <w:rsid w:val="00521B30"/>
    <w:rsid w:val="0052321F"/>
    <w:rsid w:val="005B5F43"/>
    <w:rsid w:val="005E1501"/>
    <w:rsid w:val="0061636A"/>
    <w:rsid w:val="00624E4C"/>
    <w:rsid w:val="00691885"/>
    <w:rsid w:val="006E4F2F"/>
    <w:rsid w:val="00762FBD"/>
    <w:rsid w:val="007869C7"/>
    <w:rsid w:val="007A461B"/>
    <w:rsid w:val="007B02C3"/>
    <w:rsid w:val="007C4DE8"/>
    <w:rsid w:val="00877903"/>
    <w:rsid w:val="008C464C"/>
    <w:rsid w:val="008C7EE7"/>
    <w:rsid w:val="008F093D"/>
    <w:rsid w:val="00960EC2"/>
    <w:rsid w:val="0099617C"/>
    <w:rsid w:val="00A52BC3"/>
    <w:rsid w:val="00AD6F91"/>
    <w:rsid w:val="00AF2C34"/>
    <w:rsid w:val="00B15BB6"/>
    <w:rsid w:val="00B25B68"/>
    <w:rsid w:val="00B51BBA"/>
    <w:rsid w:val="00BB29D5"/>
    <w:rsid w:val="00C10BE8"/>
    <w:rsid w:val="00C5619F"/>
    <w:rsid w:val="00D018E2"/>
    <w:rsid w:val="00D0662D"/>
    <w:rsid w:val="00E55DEF"/>
    <w:rsid w:val="00E629FA"/>
    <w:rsid w:val="00E92B6D"/>
    <w:rsid w:val="00E93CD7"/>
    <w:rsid w:val="00F23FBB"/>
    <w:rsid w:val="00F9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9EBFF"/>
  <w15:chartTrackingRefBased/>
  <w15:docId w15:val="{55A7A087-6CB4-4A86-BC41-254A97D4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98B42C63C14D558A5CFB81DF1726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22824-20</Nr_x002e__x0020_akti>
    <Data_x0020_e_x0020_Krijimit xmlns="0e656187-b300-4fb0-8bf4-3a50f872073c">2025-07-30T08:52:08Z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2025-07-29T00:00:00Z</Date_x0020_protokolli>
    <Titulli xmlns="0e656187-b300-4fb0-8bf4-3a50f872073c">Çështja Ilia kundër Shqipërisë (Kërkesa nr. 22824/20)</Titulli>
    <Modifikuesi xmlns="0e656187-b300-4fb0-8bf4-3a50f872073c">jorina.kryeziu</Modifikuesi>
    <Nr_x002e__x0020_prot_x0020_QBZ xmlns="0e656187-b300-4fb0-8bf4-3a50f872073c">1257/1</Nr_x002e__x0020_prot_x0020_QBZ>
    <Data_x0020_e_x0020_Modifikimit xmlns="0e656187-b300-4fb0-8bf4-3a50f872073c">2025-07-30T13:32:53Z</Data_x0020_e_x0020_Modifikimit>
    <Dekretuar xmlns="0e656187-b300-4fb0-8bf4-3a50f872073c">false</Dekretuar>
    <Data xmlns="0e656187-b300-4fb0-8bf4-3a50f872073c">2025-07-15T00:00:00Z</Data>
    <Nr_x002e__x0020_protokolli_x0020_i_x0020_aktit xmlns="0e656187-b300-4fb0-8bf4-3a50f872073c">3838/1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98B42C63C14D558A5CFB81DF1726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452796-C44A-4EE5-B77E-D60C23BD1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1F53B18-EE92-4345-B1F1-22EAB6DF3342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0592E1B-40CD-4C6D-8656-535020170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A5A0A-AD07-41C2-AEAC-F2C6AC0FA8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FE593A-044A-4992-BAEC-DB38359C8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Ilia kundër Shqipërisë (Kërkesa nr. 22824/20)</vt:lpstr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Ilia kundër Shqipërisë (Kërkesa nr. 22824/20)</dc:title>
  <dc:creator>Entela Suli</dc:creator>
  <cp:lastModifiedBy>Valeta Kaftalli</cp:lastModifiedBy>
  <cp:revision>34</cp:revision>
  <dcterms:created xsi:type="dcterms:W3CDTF">2025-07-30T07:58:00Z</dcterms:created>
  <dcterms:modified xsi:type="dcterms:W3CDTF">2025-07-30T12:49:00Z</dcterms:modified>
</cp:coreProperties>
</file>