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CCA" w:rsidRDefault="00272CCA" w:rsidP="00272CCA">
      <w:pPr>
        <w:pStyle w:val="Akti"/>
        <w:keepNext w:val="0"/>
      </w:pPr>
      <w:bookmarkStart w:id="0" w:name="_GoBack"/>
      <w:bookmarkEnd w:id="0"/>
      <w:r>
        <w:t>Udhëzim</w:t>
      </w:r>
    </w:p>
    <w:p w:rsidR="00272CCA" w:rsidRDefault="00272CCA" w:rsidP="00272CCA">
      <w:pPr>
        <w:pStyle w:val="NumriData"/>
        <w:keepNext w:val="0"/>
      </w:pPr>
      <w:r>
        <w:t>Nr.52, datë 28.12.2009</w:t>
      </w:r>
    </w:p>
    <w:p w:rsidR="00272CCA" w:rsidRDefault="00272CCA" w:rsidP="00272CCA">
      <w:pPr>
        <w:pStyle w:val="Paragrafi0"/>
      </w:pPr>
    </w:p>
    <w:p w:rsidR="00272CCA" w:rsidRDefault="00272CCA" w:rsidP="00272CCA">
      <w:pPr>
        <w:pStyle w:val="Titulli0"/>
        <w:keepNext w:val="0"/>
      </w:pPr>
      <w:r>
        <w:t>Për përcaktimin e procedurave dhe afateve për shtypjen dhe shpërndarjen e dokumentacionit tatimor</w:t>
      </w:r>
    </w:p>
    <w:p w:rsidR="00272CCA" w:rsidRDefault="00272CCA" w:rsidP="00272CCA">
      <w:pPr>
        <w:pStyle w:val="Paragrafi0"/>
      </w:pPr>
    </w:p>
    <w:p w:rsidR="00272CCA" w:rsidRDefault="00272CCA" w:rsidP="00272CCA">
      <w:pPr>
        <w:pStyle w:val="Paragrafi0"/>
      </w:pPr>
      <w:r>
        <w:t>Në mbështetje të nenit 102 pika 4 të Kushtetutës, të nenit 135 pika 2 të ligjit nr.9920, datë 19.5.2008 “Për procedurat tatimore në Republikën e Shqipërisë“, të ndryshuar, si dhe pikës 7 të vendimit të Këshillit të Ministrave nr.1149, datë 25.11.2009 “Për shtypjen dhe shpërndarjen e dokumentacionit tatimor” Ministri i Financave</w:t>
      </w:r>
    </w:p>
    <w:p w:rsidR="00272CCA" w:rsidRDefault="00272CCA" w:rsidP="00272CCA">
      <w:pPr>
        <w:pStyle w:val="Paragrafi0"/>
      </w:pPr>
    </w:p>
    <w:p w:rsidR="00272CCA" w:rsidRDefault="00272CCA" w:rsidP="00272CCA">
      <w:pPr>
        <w:pStyle w:val="VENDOSI0"/>
        <w:keepNext w:val="0"/>
      </w:pPr>
      <w:r>
        <w:t>Udhëzon:</w:t>
      </w:r>
    </w:p>
    <w:p w:rsidR="00272CCA" w:rsidRDefault="00272CCA" w:rsidP="00272CCA">
      <w:pPr>
        <w:pStyle w:val="Paragrafi0"/>
      </w:pPr>
    </w:p>
    <w:p w:rsidR="00272CCA" w:rsidRDefault="00272CCA" w:rsidP="00272CCA">
      <w:pPr>
        <w:pStyle w:val="Paragrafi0"/>
      </w:pPr>
      <w:r>
        <w:t>1. “Shtypshkronja e letrave me vlerë“, sh.a. me kapital tërësisht shtetëror në varësi të Ministrisë së Financave do të mundësojë shtypjen e dokumentacionit tatimor sipas porosisë së Drejtorisë së Përgjithshme të Tatimeve dhe kushteve të parashikuara në vendimin e Këshillit të Ministrave nr.1149, datë 25.11.2009 “Për shtypjen dhe shpërndarjen e dokumentacionit tatimor”.</w:t>
      </w:r>
    </w:p>
    <w:p w:rsidR="00272CCA" w:rsidRDefault="00272CCA" w:rsidP="00272CCA">
      <w:pPr>
        <w:pStyle w:val="Paragrafi0"/>
      </w:pPr>
      <w:r>
        <w:t>2.Shtypshkronja pranon porosi vetëm nga Drejtoria e Përgjithshme e Tatimeve dhe dorëzon dokumentacionin e kërkuar vetëm te porositësi.</w:t>
      </w:r>
    </w:p>
    <w:p w:rsidR="00272CCA" w:rsidRDefault="00272CCA" w:rsidP="00272CCA">
      <w:pPr>
        <w:pStyle w:val="Paragrafi0"/>
      </w:pPr>
      <w:r>
        <w:t>Shtypshkronja e letrave me vlerë” sh.a.nuk pranon asnjë porosi që nuk vjen nga Drejtoria e Përgjithshme e Tatimeve. Të drejtën e shpërndarjes së dokumentacionit tatimor e ka vetëm administrata tatimore qendrore.</w:t>
      </w:r>
    </w:p>
    <w:p w:rsidR="00272CCA" w:rsidRDefault="00272CCA" w:rsidP="00272CCA">
      <w:pPr>
        <w:pStyle w:val="Paragrafi0"/>
      </w:pPr>
      <w:r>
        <w:t>3.Procedura për fillimin e shtypjes së dokumentacionit tatimor fillon me nënshkrimin e kontratës midis Drejtorisë së Përgjithshme të Tatimeve dhe “Shtypshkronjës së letrave me vlerë” sh.a., e cila duhet të garantojë prodhimin e dokumentacionit sipas specifikimeve teknike, formateve, modeleve, kushteve. Sasia, cilësia dhe garancia e mallit të kërkuar do të përcaktohen në kontratën e lidhur midis dy palëve.</w:t>
      </w:r>
    </w:p>
    <w:p w:rsidR="00272CCA" w:rsidRDefault="00272CCA" w:rsidP="00272CCA">
      <w:pPr>
        <w:pStyle w:val="Paragrafi0"/>
      </w:pPr>
      <w:r>
        <w:t>4.Formati, informacioni apo standardet e sigurisë të çdo dokumenti tatimor që do të prodhohet do të jenë të miratuara nga Ministri i Financave apo Drejtori i Përgjithshëm i Tatimeve. Në momentin që Ministria e Financave apo Drejtori i Përgjithshëm i Tatimeve vendosin të ndryshojnë një nga dokumentet tatimore, të miratojnë një dokument të ri ose të heqin nga qarkullimi një dokument tatimor, brenda 5 ditëve pas marrjes së vendimit duhet të njoftohet edhe shtypshkronja e letrave me vlerë sh.a.</w:t>
      </w:r>
    </w:p>
    <w:p w:rsidR="00272CCA" w:rsidRDefault="00272CCA" w:rsidP="00272CCA">
      <w:pPr>
        <w:pStyle w:val="Paragrafi0"/>
      </w:pPr>
      <w:r>
        <w:t>5. “Shtypshkronja e letrave me vlerë“ sh.a. para lidhjes së kontratës, përgatit analizën e kostos për çdo dokument tatimor që do të prodhohet.</w:t>
      </w:r>
    </w:p>
    <w:p w:rsidR="00272CCA" w:rsidRDefault="00272CCA" w:rsidP="00272CCA">
      <w:pPr>
        <w:pStyle w:val="Paragrafi0"/>
      </w:pPr>
      <w:r>
        <w:t>Drejtori i Përgjithshëm i Tatimeve ngre një komision të posaçëm, i cili shqyrton dhe vendos lidhur me koston e paraqitur nga shtypshkronja e letrave me vlerë sh.a., si dhe harton specifikimet teknike për çdo dokument tatimor.</w:t>
      </w:r>
    </w:p>
    <w:p w:rsidR="00272CCA" w:rsidRDefault="00272CCA" w:rsidP="00272CCA">
      <w:pPr>
        <w:pStyle w:val="Paragrafi0"/>
      </w:pPr>
      <w:r>
        <w:t>6.Ky udhëzim hyn në fuqi pas botimit në Fletoren Zyrtare.</w:t>
      </w:r>
    </w:p>
    <w:p w:rsidR="00272CCA" w:rsidRDefault="00272CCA" w:rsidP="00272CCA">
      <w:pPr>
        <w:pStyle w:val="Paragrafi0"/>
      </w:pPr>
    </w:p>
    <w:p w:rsidR="00272CCA" w:rsidRDefault="00272CCA" w:rsidP="00272CCA">
      <w:pPr>
        <w:pStyle w:val="Autoriteti"/>
        <w:keepNext w:val="0"/>
      </w:pPr>
      <w:r>
        <w:t>Ministri i Financave</w:t>
      </w:r>
    </w:p>
    <w:p w:rsidR="00272CCA" w:rsidRDefault="00272CCA" w:rsidP="00272CCA">
      <w:pPr>
        <w:pStyle w:val="AutoritetiEmer"/>
      </w:pPr>
      <w:r>
        <w:t xml:space="preserve">Ridvan Bode </w:t>
      </w:r>
    </w:p>
    <w:sectPr w:rsidR="00272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2CC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2CCA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7E2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280D03-4033-4F83-85F6-9116C66E0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