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854" w:rsidRDefault="00427854" w:rsidP="00427854">
      <w:pPr>
        <w:pStyle w:val="Akti"/>
      </w:pPr>
      <w:bookmarkStart w:id="0" w:name="_GoBack"/>
      <w:bookmarkEnd w:id="0"/>
      <w:r>
        <w:t>V E N D i M</w:t>
      </w:r>
    </w:p>
    <w:p w:rsidR="00427854" w:rsidRPr="00FF38FB" w:rsidRDefault="00427854" w:rsidP="00427854">
      <w:pPr>
        <w:pStyle w:val="NumriData"/>
      </w:pPr>
      <w:r w:rsidRPr="00FF38FB">
        <w:t>Nr.307, datë 12.5.2001</w:t>
      </w:r>
    </w:p>
    <w:p w:rsidR="00427854" w:rsidRPr="00FF38FB" w:rsidRDefault="00427854" w:rsidP="00427854">
      <w:pPr>
        <w:pStyle w:val="Paragrafi"/>
      </w:pPr>
    </w:p>
    <w:p w:rsidR="00427854" w:rsidRPr="00FF38FB" w:rsidRDefault="00427854" w:rsidP="00427854">
      <w:pPr>
        <w:pStyle w:val="Titulli"/>
      </w:pPr>
      <w:r w:rsidRPr="00FF38FB">
        <w:t xml:space="preserve">Për miratimin e “Listës së barnave që rimbursohen nga Instituti i Sigurimeve të kujdesit shëndetësor dhe masës së mbulimit të çmimit të </w:t>
      </w:r>
      <w:smartTag w:uri="urn:schemas-microsoft-com:office:smarttags" w:element="City">
        <w:smartTag w:uri="urn:schemas-microsoft-com:office:smarttags" w:element="place">
          <w:r w:rsidRPr="00FF38FB">
            <w:t>tyre</w:t>
          </w:r>
        </w:smartTag>
      </w:smartTag>
      <w:r w:rsidRPr="00FF38FB">
        <w:t>”</w:t>
      </w:r>
    </w:p>
    <w:p w:rsidR="00427854" w:rsidRPr="00FF38FB" w:rsidRDefault="00427854" w:rsidP="00427854">
      <w:pPr>
        <w:pStyle w:val="Paragrafi"/>
      </w:pPr>
    </w:p>
    <w:p w:rsidR="00427854" w:rsidRPr="00FF38FB" w:rsidRDefault="00427854" w:rsidP="00427854">
      <w:pPr>
        <w:pStyle w:val="BazLigjPropozues"/>
      </w:pPr>
      <w:r w:rsidRPr="00FF38FB">
        <w:t>Në mbështetje të nenit 100 të Kushtetutës, të neneve 4 e 15 nr.7870, datë 13.4.1994 “Për Sigurimet Shëndetësore në Republikën e Shqipërisë”, me propozimin e Ministrit të Shëndetësisë, Këshilli i Ministrave</w:t>
      </w:r>
    </w:p>
    <w:p w:rsidR="00427854" w:rsidRPr="00FF38FB" w:rsidRDefault="00427854" w:rsidP="00427854">
      <w:pPr>
        <w:pStyle w:val="Paragrafi"/>
      </w:pPr>
    </w:p>
    <w:p w:rsidR="00427854" w:rsidRPr="00FF38FB" w:rsidRDefault="00427854" w:rsidP="00427854">
      <w:pPr>
        <w:pStyle w:val="VENDOSI"/>
      </w:pPr>
      <w:r w:rsidRPr="00FF38FB">
        <w:t>V E N D O S i:</w:t>
      </w:r>
    </w:p>
    <w:p w:rsidR="00427854" w:rsidRPr="00FF38FB" w:rsidRDefault="00427854" w:rsidP="00427854">
      <w:pPr>
        <w:pStyle w:val="Paragrafi"/>
      </w:pPr>
    </w:p>
    <w:p w:rsidR="00427854" w:rsidRPr="00FF38FB" w:rsidRDefault="00427854" w:rsidP="00427854">
      <w:pPr>
        <w:pStyle w:val="Paragrafi"/>
      </w:pPr>
      <w:r w:rsidRPr="00FF38FB">
        <w:t>1. Miratimin e listës së barnave që rimbursohen, e cila i bashkëlidhet këtij vendimi.</w:t>
      </w:r>
    </w:p>
    <w:p w:rsidR="00427854" w:rsidRPr="00FF38FB" w:rsidRDefault="00427854" w:rsidP="00427854">
      <w:pPr>
        <w:pStyle w:val="Paragrafi"/>
      </w:pPr>
      <w:r w:rsidRPr="00FF38FB">
        <w:t>2. Masa e mbulimit  të çmimeve të listës së barnave që rimbursohen sipas grupeve është si më poshtë:</w:t>
      </w:r>
    </w:p>
    <w:p w:rsidR="00427854" w:rsidRPr="00FF38FB" w:rsidRDefault="00427854" w:rsidP="00427854">
      <w:pPr>
        <w:pStyle w:val="Paragrafi"/>
      </w:pPr>
      <w:r w:rsidRPr="00FF38FB">
        <w:t>3. Masa e mbulimit të çmimeve të listës së barnave që rimbursohen, sipas klasifikimit ATC e grupuar, është në masën 50 për qind - 100 për qind.</w:t>
      </w:r>
    </w:p>
    <w:p w:rsidR="00427854" w:rsidRPr="00FF38FB" w:rsidRDefault="00427854" w:rsidP="00427854">
      <w:pPr>
        <w:pStyle w:val="Paragrafi"/>
      </w:pPr>
      <w:r w:rsidRPr="00FF38FB">
        <w:t>Grupi i – 100 për qind</w:t>
      </w:r>
    </w:p>
    <w:p w:rsidR="00427854" w:rsidRPr="00FF38FB" w:rsidRDefault="00427854" w:rsidP="00427854">
      <w:pPr>
        <w:pStyle w:val="Paragrafi"/>
      </w:pPr>
      <w:r w:rsidRPr="00FF38FB">
        <w:t>Në këtë grup përfshihen barnat  sipas klasifikimit ATC, të cilat kanë nivel më të lartë rimbursimi: 5 L01, L02, L04, J04, V03, përkatësisht:</w:t>
      </w:r>
    </w:p>
    <w:p w:rsidR="00427854" w:rsidRPr="00FF38FB" w:rsidRDefault="00427854" w:rsidP="00427854">
      <w:pPr>
        <w:pStyle w:val="Paragrafi"/>
      </w:pPr>
      <w:r w:rsidRPr="00FF38FB">
        <w:t>Barnat antineoplazike dhe imunosupresore;</w:t>
      </w:r>
    </w:p>
    <w:p w:rsidR="00427854" w:rsidRPr="00FF38FB" w:rsidRDefault="00427854" w:rsidP="00427854">
      <w:pPr>
        <w:pStyle w:val="Paragrafi"/>
      </w:pPr>
      <w:r w:rsidRPr="00FF38FB">
        <w:t>Barna në terapinë endokrine;</w:t>
      </w:r>
    </w:p>
    <w:p w:rsidR="00427854" w:rsidRPr="00FF38FB" w:rsidRDefault="00427854" w:rsidP="00427854">
      <w:pPr>
        <w:pStyle w:val="Paragrafi"/>
      </w:pPr>
      <w:r w:rsidRPr="00FF38FB">
        <w:t>Imunosupersivet;</w:t>
      </w:r>
    </w:p>
    <w:p w:rsidR="00427854" w:rsidRPr="00FF38FB" w:rsidRDefault="00427854" w:rsidP="00427854">
      <w:pPr>
        <w:pStyle w:val="Paragrafi"/>
      </w:pPr>
      <w:r w:rsidRPr="00FF38FB">
        <w:t>Antimykobakteriale;</w:t>
      </w:r>
    </w:p>
    <w:p w:rsidR="00427854" w:rsidRPr="00FF38FB" w:rsidRDefault="00427854" w:rsidP="00427854">
      <w:pPr>
        <w:pStyle w:val="Paragrafi"/>
      </w:pPr>
      <w:r w:rsidRPr="00FF38FB">
        <w:t>Të gjitha produktet e tjera terapeutike.</w:t>
      </w:r>
    </w:p>
    <w:p w:rsidR="00427854" w:rsidRPr="00FF38FB" w:rsidRDefault="00427854" w:rsidP="00427854">
      <w:pPr>
        <w:pStyle w:val="Paragrafi"/>
      </w:pPr>
      <w:r w:rsidRPr="00FF38FB">
        <w:t>Grupi II – 85 për qind – 95 për qind</w:t>
      </w:r>
    </w:p>
    <w:p w:rsidR="00427854" w:rsidRPr="00FF38FB" w:rsidRDefault="00427854" w:rsidP="00427854">
      <w:pPr>
        <w:pStyle w:val="Paragrafi"/>
      </w:pPr>
      <w:r w:rsidRPr="00FF38FB">
        <w:t>Në këtë grup përfshihen barnat sipas  klasifikimit ATC: 7 A09, B01, M04, A10, H01, N04, N07, përkatësisht:</w:t>
      </w:r>
    </w:p>
    <w:p w:rsidR="00427854" w:rsidRPr="00FF38FB" w:rsidRDefault="00427854" w:rsidP="00427854">
      <w:pPr>
        <w:pStyle w:val="Paragrafi"/>
      </w:pPr>
      <w:r w:rsidRPr="00FF38FB">
        <w:t>Digjestivet, përfshi enzimat;</w:t>
      </w:r>
    </w:p>
    <w:p w:rsidR="00427854" w:rsidRPr="00FF38FB" w:rsidRDefault="00427854" w:rsidP="00427854">
      <w:pPr>
        <w:pStyle w:val="Paragrafi"/>
      </w:pPr>
      <w:r w:rsidRPr="00FF38FB">
        <w:t>Antikoagulantet;</w:t>
      </w:r>
    </w:p>
    <w:p w:rsidR="00427854" w:rsidRPr="00FF38FB" w:rsidRDefault="00427854" w:rsidP="00427854">
      <w:pPr>
        <w:pStyle w:val="Paragrafi"/>
      </w:pPr>
      <w:r w:rsidRPr="00FF38FB">
        <w:t>Preparatet antigutoze;</w:t>
      </w:r>
    </w:p>
    <w:p w:rsidR="00427854" w:rsidRPr="00FF38FB" w:rsidRDefault="00427854" w:rsidP="00427854">
      <w:pPr>
        <w:pStyle w:val="Paragrafi"/>
      </w:pPr>
      <w:r w:rsidRPr="00FF38FB">
        <w:t>Antidiabetikët;</w:t>
      </w:r>
    </w:p>
    <w:p w:rsidR="00427854" w:rsidRPr="00FF38FB" w:rsidRDefault="00427854" w:rsidP="00427854">
      <w:pPr>
        <w:pStyle w:val="Paragrafi"/>
      </w:pPr>
      <w:r w:rsidRPr="00FF38FB">
        <w:t>Hormonet e hipofizës dhe hipotalamiket;</w:t>
      </w:r>
    </w:p>
    <w:p w:rsidR="00427854" w:rsidRPr="00FF38FB" w:rsidRDefault="00427854" w:rsidP="00427854">
      <w:pPr>
        <w:pStyle w:val="Paragrafi"/>
      </w:pPr>
      <w:r w:rsidRPr="00FF38FB">
        <w:t>Antiparkinsonikët;</w:t>
      </w:r>
    </w:p>
    <w:p w:rsidR="00427854" w:rsidRPr="00FF38FB" w:rsidRDefault="00427854" w:rsidP="00427854">
      <w:pPr>
        <w:pStyle w:val="Paragrafi"/>
      </w:pPr>
      <w:r w:rsidRPr="00FF38FB">
        <w:t>Barna të tjera të sistemit nervor.</w:t>
      </w:r>
    </w:p>
    <w:p w:rsidR="00427854" w:rsidRPr="00FF38FB" w:rsidRDefault="00427854" w:rsidP="00427854">
      <w:pPr>
        <w:pStyle w:val="Paragrafi"/>
      </w:pPr>
      <w:r w:rsidRPr="00FF38FB">
        <w:t>Grupi III – 75 për qind – 85 për qind</w:t>
      </w:r>
    </w:p>
    <w:p w:rsidR="00427854" w:rsidRPr="00FF38FB" w:rsidRDefault="00427854" w:rsidP="00427854">
      <w:pPr>
        <w:pStyle w:val="Paragrafi"/>
      </w:pPr>
      <w:r w:rsidRPr="00FF38FB">
        <w:t>Në këtë grup përfshihen barnat sipas klasifikimit ATC: 9 C02, C08, N03, N05, C01, C04, H03, J02, R03, përkatësisht:</w:t>
      </w:r>
    </w:p>
    <w:p w:rsidR="00427854" w:rsidRPr="00FF38FB" w:rsidRDefault="00427854" w:rsidP="00427854">
      <w:pPr>
        <w:pStyle w:val="Paragrafi"/>
      </w:pPr>
      <w:r w:rsidRPr="00FF38FB">
        <w:t>Antihipertensivët;</w:t>
      </w:r>
    </w:p>
    <w:p w:rsidR="00427854" w:rsidRPr="00FF38FB" w:rsidRDefault="00427854" w:rsidP="00427854">
      <w:pPr>
        <w:pStyle w:val="Paragrafi"/>
      </w:pPr>
      <w:r w:rsidRPr="00FF38FB">
        <w:t>Kalcibllokuesit;</w:t>
      </w:r>
    </w:p>
    <w:p w:rsidR="00427854" w:rsidRPr="00FF38FB" w:rsidRDefault="00427854" w:rsidP="00427854">
      <w:pPr>
        <w:pStyle w:val="Paragrafi"/>
      </w:pPr>
      <w:r w:rsidRPr="00FF38FB">
        <w:t>Antiepileptikët;</w:t>
      </w:r>
    </w:p>
    <w:p w:rsidR="00427854" w:rsidRPr="00FF38FB" w:rsidRDefault="00427854" w:rsidP="00427854">
      <w:pPr>
        <w:pStyle w:val="Paragrafi"/>
      </w:pPr>
      <w:r w:rsidRPr="00FF38FB">
        <w:t>Psikoleptikët;</w:t>
      </w:r>
    </w:p>
    <w:p w:rsidR="00427854" w:rsidRPr="00FF38FB" w:rsidRDefault="00427854" w:rsidP="00427854">
      <w:pPr>
        <w:pStyle w:val="Paragrafi"/>
      </w:pPr>
      <w:r w:rsidRPr="00FF38FB">
        <w:t>Barnat e terapisë kardiake;</w:t>
      </w:r>
    </w:p>
    <w:p w:rsidR="00427854" w:rsidRPr="00FF38FB" w:rsidRDefault="00427854" w:rsidP="00427854">
      <w:pPr>
        <w:pStyle w:val="Paragrafi"/>
      </w:pPr>
      <w:r w:rsidRPr="00FF38FB">
        <w:t>Vazodilitatorët periferikë;</w:t>
      </w:r>
    </w:p>
    <w:p w:rsidR="00427854" w:rsidRPr="00FF38FB" w:rsidRDefault="00427854" w:rsidP="00427854">
      <w:pPr>
        <w:pStyle w:val="Paragrafi"/>
      </w:pPr>
      <w:r w:rsidRPr="00FF38FB">
        <w:t>Barnat e terapisë së tiroidës;</w:t>
      </w:r>
    </w:p>
    <w:p w:rsidR="00427854" w:rsidRPr="00FF38FB" w:rsidRDefault="00427854" w:rsidP="00427854">
      <w:pPr>
        <w:pStyle w:val="Paragrafi"/>
      </w:pPr>
      <w:r w:rsidRPr="00FF38FB">
        <w:t>Antimykotikët sistemikë;</w:t>
      </w:r>
    </w:p>
    <w:p w:rsidR="00427854" w:rsidRPr="00FF38FB" w:rsidRDefault="00427854" w:rsidP="00427854">
      <w:pPr>
        <w:pStyle w:val="Paragrafi"/>
      </w:pPr>
      <w:r w:rsidRPr="00FF38FB">
        <w:t>Antiastmatikët.</w:t>
      </w:r>
    </w:p>
    <w:p w:rsidR="00427854" w:rsidRPr="00FF38FB" w:rsidRDefault="00427854" w:rsidP="00427854">
      <w:pPr>
        <w:pStyle w:val="Paragrafi"/>
      </w:pPr>
      <w:r w:rsidRPr="00FF38FB">
        <w:t>Grupi IV – 65 për qind – 75 për qind</w:t>
      </w:r>
    </w:p>
    <w:p w:rsidR="00427854" w:rsidRPr="00FF38FB" w:rsidRDefault="00427854" w:rsidP="00427854">
      <w:pPr>
        <w:pStyle w:val="Paragrafi"/>
      </w:pPr>
      <w:r w:rsidRPr="00FF38FB">
        <w:t>Në këtë grup përfshihen barnat sipas klasifikimit ATC : 10 C03, G02, H02, A02, A07, C07, C09, G04, N02, B05, përkatësisht:</w:t>
      </w:r>
    </w:p>
    <w:p w:rsidR="00427854" w:rsidRPr="00FF38FB" w:rsidRDefault="00427854" w:rsidP="00427854">
      <w:pPr>
        <w:pStyle w:val="Paragrafi"/>
      </w:pPr>
      <w:r w:rsidRPr="00FF38FB">
        <w:t>Diuretikët;</w:t>
      </w:r>
    </w:p>
    <w:p w:rsidR="00427854" w:rsidRPr="00FF38FB" w:rsidRDefault="00427854" w:rsidP="00427854">
      <w:pPr>
        <w:pStyle w:val="Paragrafi"/>
      </w:pPr>
      <w:r w:rsidRPr="00FF38FB">
        <w:t>Barna të tjera gjinekologjike;</w:t>
      </w:r>
    </w:p>
    <w:p w:rsidR="00427854" w:rsidRPr="00FF38FB" w:rsidRDefault="00427854" w:rsidP="00427854">
      <w:pPr>
        <w:pStyle w:val="Paragrafi"/>
      </w:pPr>
      <w:r w:rsidRPr="00FF38FB">
        <w:t>Kortikosteroidët sistemikë;</w:t>
      </w:r>
    </w:p>
    <w:p w:rsidR="00427854" w:rsidRPr="00FF38FB" w:rsidRDefault="00427854" w:rsidP="00427854">
      <w:pPr>
        <w:pStyle w:val="Paragrafi"/>
      </w:pPr>
      <w:r w:rsidRPr="00FF38FB">
        <w:t>Antiacidet, barnat për mjekimin e ulçerës peptike dhe të flatulencës;</w:t>
      </w:r>
    </w:p>
    <w:p w:rsidR="00427854" w:rsidRPr="00FF38FB" w:rsidRDefault="00427854" w:rsidP="00427854">
      <w:pPr>
        <w:pStyle w:val="Paragrafi"/>
      </w:pPr>
      <w:r w:rsidRPr="00FF38FB">
        <w:lastRenderedPageBreak/>
        <w:t>Antidiaretikët, antiinflamatorët dhe antiseptikët intestinalë;</w:t>
      </w:r>
    </w:p>
    <w:p w:rsidR="00427854" w:rsidRPr="00FF38FB" w:rsidRDefault="00427854" w:rsidP="00427854">
      <w:pPr>
        <w:pStyle w:val="Paragrafi"/>
      </w:pPr>
      <w:r w:rsidRPr="00FF38FB">
        <w:t>Betabllokuesit;</w:t>
      </w:r>
    </w:p>
    <w:p w:rsidR="00427854" w:rsidRPr="00FF38FB" w:rsidRDefault="00427854" w:rsidP="00427854">
      <w:pPr>
        <w:pStyle w:val="Paragrafi"/>
      </w:pPr>
      <w:r w:rsidRPr="00FF38FB">
        <w:t>Barnat vepruese në sistemin renin –angiotensin;</w:t>
      </w:r>
    </w:p>
    <w:p w:rsidR="00427854" w:rsidRPr="00FF38FB" w:rsidRDefault="00427854" w:rsidP="00427854">
      <w:pPr>
        <w:pStyle w:val="Paragrafi"/>
      </w:pPr>
      <w:r w:rsidRPr="00FF38FB">
        <w:t>Urologjikët;</w:t>
      </w:r>
    </w:p>
    <w:p w:rsidR="00427854" w:rsidRPr="00FF38FB" w:rsidRDefault="00427854" w:rsidP="00427854">
      <w:pPr>
        <w:pStyle w:val="Paragrafi"/>
      </w:pPr>
      <w:r w:rsidRPr="00FF38FB">
        <w:t>Analgjezikët;</w:t>
      </w:r>
    </w:p>
    <w:p w:rsidR="00427854" w:rsidRPr="00FF38FB" w:rsidRDefault="00427854" w:rsidP="00427854">
      <w:pPr>
        <w:pStyle w:val="Paragrafi"/>
      </w:pPr>
      <w:r w:rsidRPr="00FF38FB">
        <w:t>Zëvendësuesit e plazmës dhe perfuzionet.</w:t>
      </w:r>
    </w:p>
    <w:p w:rsidR="00427854" w:rsidRPr="00FF38FB" w:rsidRDefault="00427854" w:rsidP="00427854">
      <w:pPr>
        <w:pStyle w:val="Paragrafi"/>
      </w:pPr>
      <w:r w:rsidRPr="00FF38FB">
        <w:t>Grupi V – 55 për qind – 65 për qind</w:t>
      </w:r>
    </w:p>
    <w:p w:rsidR="00427854" w:rsidRPr="00FF38FB" w:rsidRDefault="00427854" w:rsidP="00427854">
      <w:pPr>
        <w:pStyle w:val="Paragrafi"/>
      </w:pPr>
      <w:r w:rsidRPr="00FF38FB">
        <w:t>Në këtë grup përfshihen barnat sipas klasifikimit ATC: 13 G01, J01, N06, R05, A03, A05, A11, B02, C05, G03, M01, P02, S01, përkatësisht:</w:t>
      </w:r>
    </w:p>
    <w:p w:rsidR="00427854" w:rsidRPr="00FF38FB" w:rsidRDefault="00427854" w:rsidP="00427854">
      <w:pPr>
        <w:pStyle w:val="Paragrafi"/>
      </w:pPr>
      <w:r w:rsidRPr="00FF38FB">
        <w:t>Antiinfektivët dhe antiseptikët gjinekologjikë;</w:t>
      </w:r>
    </w:p>
    <w:p w:rsidR="00427854" w:rsidRPr="00FF38FB" w:rsidRDefault="00427854" w:rsidP="00427854">
      <w:pPr>
        <w:pStyle w:val="Paragrafi"/>
      </w:pPr>
      <w:r w:rsidRPr="00FF38FB">
        <w:t>Antibakterialët sistemikë;</w:t>
      </w:r>
    </w:p>
    <w:p w:rsidR="00427854" w:rsidRPr="00FF38FB" w:rsidRDefault="00427854" w:rsidP="00427854">
      <w:pPr>
        <w:pStyle w:val="Paragrafi"/>
      </w:pPr>
      <w:r w:rsidRPr="00FF38FB">
        <w:t>Psikoanaleptikët;</w:t>
      </w:r>
    </w:p>
    <w:p w:rsidR="00427854" w:rsidRPr="00FF38FB" w:rsidRDefault="00427854" w:rsidP="00427854">
      <w:pPr>
        <w:pStyle w:val="Paragrafi"/>
      </w:pPr>
      <w:r w:rsidRPr="00FF38FB">
        <w:t>Barnat kundër kollës dhe rrufës;</w:t>
      </w:r>
    </w:p>
    <w:p w:rsidR="00427854" w:rsidRPr="00FF38FB" w:rsidRDefault="00427854" w:rsidP="00427854">
      <w:pPr>
        <w:pStyle w:val="Paragrafi"/>
      </w:pPr>
      <w:r w:rsidRPr="00FF38FB">
        <w:t>Barnat antispastikë, antikolinergjikë dhe propulsivë;</w:t>
      </w:r>
    </w:p>
    <w:p w:rsidR="00427854" w:rsidRPr="00FF38FB" w:rsidRDefault="00427854" w:rsidP="00427854">
      <w:pPr>
        <w:pStyle w:val="Paragrafi"/>
      </w:pPr>
      <w:r w:rsidRPr="00FF38FB">
        <w:t>Kolagogët dhe hepatoprotektorët;</w:t>
      </w:r>
    </w:p>
    <w:p w:rsidR="00427854" w:rsidRPr="00FF38FB" w:rsidRDefault="00427854" w:rsidP="00427854">
      <w:pPr>
        <w:pStyle w:val="Paragrafi"/>
      </w:pPr>
      <w:r w:rsidRPr="00FF38FB">
        <w:t>Vitaminat;</w:t>
      </w:r>
    </w:p>
    <w:p w:rsidR="00427854" w:rsidRPr="00FF38FB" w:rsidRDefault="00427854" w:rsidP="00427854">
      <w:pPr>
        <w:pStyle w:val="Paragrafi"/>
      </w:pPr>
      <w:r w:rsidRPr="00FF38FB">
        <w:t>Antihemarragjikët;</w:t>
      </w:r>
    </w:p>
    <w:p w:rsidR="00427854" w:rsidRPr="00FF38FB" w:rsidRDefault="00427854" w:rsidP="00427854">
      <w:pPr>
        <w:pStyle w:val="Paragrafi"/>
      </w:pPr>
      <w:r w:rsidRPr="00FF38FB">
        <w:t>Vazoprotektorët;</w:t>
      </w:r>
    </w:p>
    <w:p w:rsidR="00427854" w:rsidRPr="00FF38FB" w:rsidRDefault="00427854" w:rsidP="00427854">
      <w:pPr>
        <w:pStyle w:val="Paragrafi"/>
      </w:pPr>
      <w:r w:rsidRPr="00FF38FB">
        <w:t>Hormonet seksuale dhe modulatorët e sistemit gjenital;</w:t>
      </w:r>
    </w:p>
    <w:p w:rsidR="00427854" w:rsidRPr="00FF38FB" w:rsidRDefault="00427854" w:rsidP="00427854">
      <w:pPr>
        <w:pStyle w:val="Paragrafi"/>
      </w:pPr>
      <w:r w:rsidRPr="00FF38FB">
        <w:t>Antiinflamatorët dhe antireumatikët;</w:t>
      </w:r>
    </w:p>
    <w:p w:rsidR="00427854" w:rsidRPr="00FF38FB" w:rsidRDefault="00427854" w:rsidP="00427854">
      <w:pPr>
        <w:pStyle w:val="Paragrafi"/>
      </w:pPr>
      <w:r w:rsidRPr="00FF38FB">
        <w:t>Antihelmintikët;</w:t>
      </w:r>
    </w:p>
    <w:p w:rsidR="00427854" w:rsidRPr="00FF38FB" w:rsidRDefault="00427854" w:rsidP="00427854">
      <w:pPr>
        <w:pStyle w:val="Paragrafi"/>
      </w:pPr>
      <w:r w:rsidRPr="00FF38FB">
        <w:t>Barnat ophtalmike.</w:t>
      </w:r>
    </w:p>
    <w:p w:rsidR="00427854" w:rsidRPr="00FF38FB" w:rsidRDefault="00427854" w:rsidP="00427854">
      <w:pPr>
        <w:pStyle w:val="Paragrafi"/>
      </w:pPr>
      <w:r w:rsidRPr="00FF38FB">
        <w:t>Grupi VI – 50 për qind</w:t>
      </w:r>
    </w:p>
    <w:p w:rsidR="00427854" w:rsidRPr="00FF38FB" w:rsidRDefault="00427854" w:rsidP="00427854">
      <w:pPr>
        <w:pStyle w:val="Paragrafi"/>
      </w:pPr>
      <w:r w:rsidRPr="00FF38FB">
        <w:t>Në këtë grup përfshihen barnat sipas klasifikimit ATC, të cilat kanë nivelin më të ulët të rimbursimit: 9 A06, A12, B03, D01, D06, D07, R01, R06, V, përkatësisht:</w:t>
      </w:r>
    </w:p>
    <w:p w:rsidR="00427854" w:rsidRPr="00FF38FB" w:rsidRDefault="00427854" w:rsidP="00427854">
      <w:pPr>
        <w:pStyle w:val="Paragrafi"/>
      </w:pPr>
      <w:r w:rsidRPr="00FF38FB">
        <w:t>Laksativët;</w:t>
      </w:r>
    </w:p>
    <w:p w:rsidR="00427854" w:rsidRPr="00FF38FB" w:rsidRDefault="00427854" w:rsidP="00427854">
      <w:pPr>
        <w:pStyle w:val="Paragrafi"/>
      </w:pPr>
      <w:r w:rsidRPr="00FF38FB">
        <w:t>Shtesa të kriprave minerale;</w:t>
      </w:r>
    </w:p>
    <w:p w:rsidR="00427854" w:rsidRPr="00FF38FB" w:rsidRDefault="00427854" w:rsidP="00427854">
      <w:pPr>
        <w:pStyle w:val="Paragrafi"/>
      </w:pPr>
      <w:r w:rsidRPr="00FF38FB">
        <w:t>Antianemikët;</w:t>
      </w:r>
    </w:p>
    <w:p w:rsidR="00427854" w:rsidRPr="00FF38FB" w:rsidRDefault="00427854" w:rsidP="00427854">
      <w:pPr>
        <w:pStyle w:val="Paragrafi"/>
      </w:pPr>
      <w:r w:rsidRPr="00FF38FB">
        <w:t>Antimykotikët dermatologjikë;</w:t>
      </w:r>
    </w:p>
    <w:p w:rsidR="00427854" w:rsidRPr="00FF38FB" w:rsidRDefault="00427854" w:rsidP="00427854">
      <w:pPr>
        <w:pStyle w:val="Paragrafi"/>
      </w:pPr>
      <w:r w:rsidRPr="00FF38FB">
        <w:t>Antibiotikët dhe kimioterapeutikët dermatologjikë;</w:t>
      </w:r>
    </w:p>
    <w:p w:rsidR="00427854" w:rsidRPr="00FF38FB" w:rsidRDefault="00427854" w:rsidP="00427854">
      <w:pPr>
        <w:pStyle w:val="Paragrafi"/>
      </w:pPr>
      <w:r w:rsidRPr="00FF38FB">
        <w:t>Preparatet dermatologjike të kortikosteroideve;</w:t>
      </w:r>
    </w:p>
    <w:p w:rsidR="00427854" w:rsidRPr="00FF38FB" w:rsidRDefault="00427854" w:rsidP="00427854">
      <w:pPr>
        <w:pStyle w:val="Paragrafi"/>
      </w:pPr>
      <w:r w:rsidRPr="00FF38FB">
        <w:t>Preparatet nazale;</w:t>
      </w:r>
    </w:p>
    <w:p w:rsidR="00427854" w:rsidRPr="00FF38FB" w:rsidRDefault="00427854" w:rsidP="00427854">
      <w:pPr>
        <w:pStyle w:val="Paragrafi"/>
      </w:pPr>
      <w:r w:rsidRPr="00FF38FB">
        <w:t>Antihistaminikët sistemikë;</w:t>
      </w:r>
    </w:p>
    <w:p w:rsidR="00427854" w:rsidRPr="00FF38FB" w:rsidRDefault="00427854" w:rsidP="00427854">
      <w:pPr>
        <w:pStyle w:val="Paragrafi"/>
      </w:pPr>
      <w:r w:rsidRPr="00FF38FB">
        <w:t>Të ndryshme</w:t>
      </w:r>
    </w:p>
    <w:p w:rsidR="00427854" w:rsidRPr="00FF38FB" w:rsidRDefault="00427854" w:rsidP="00427854">
      <w:pPr>
        <w:pStyle w:val="Paragrafi"/>
      </w:pPr>
      <w:r w:rsidRPr="00FF38FB">
        <w:t>3. Efekti financiar prej 150 000 000 (njëqind e pesëdhjetë milionë) lekësh, që rrjedh nga ndryshimet në listë, të përballohet nga Buxheti i vitit  2001, miratuar për Institutin e Sigurimeve të Kujdesit Shëndetësor.</w:t>
      </w:r>
    </w:p>
    <w:p w:rsidR="00427854" w:rsidRPr="00FF38FB" w:rsidRDefault="00427854" w:rsidP="00427854">
      <w:pPr>
        <w:pStyle w:val="Paragrafi"/>
      </w:pPr>
      <w:r w:rsidRPr="00FF38FB">
        <w:t>4. Ngarkohen Ministria e Shëndetësisë dhe Instituti i Sigurimeve të Kujdesit Shëndetësor, i cili përcakton kufizimet specifike në përdorimin e barnave të kësaj liste, për zbatimin e këtij vendimi.</w:t>
      </w:r>
    </w:p>
    <w:p w:rsidR="00427854" w:rsidRPr="00FF38FB" w:rsidRDefault="00427854" w:rsidP="00427854">
      <w:pPr>
        <w:pStyle w:val="Paragrafi"/>
      </w:pPr>
      <w:r w:rsidRPr="00FF38FB">
        <w:t>5. Vendimi nr.54, datë 2.2.1996 i Këshillit të Ministrave “Për listën e barnave që rimbursohen dhe masën e mbulimit të çmimit të barnave”, ndryshuar me vendimin nr.793, datë 24.12.1998, i Këshillit të Ministrave shfuqizohet.</w:t>
      </w:r>
    </w:p>
    <w:p w:rsidR="00427854" w:rsidRPr="00FF38FB" w:rsidRDefault="00427854" w:rsidP="00427854">
      <w:pPr>
        <w:pStyle w:val="Paragrafi"/>
      </w:pPr>
      <w:r w:rsidRPr="00FF38FB">
        <w:t>Ky vendim hyn në fuqi pas botimit në Fletoren Zyrtare.</w:t>
      </w:r>
    </w:p>
    <w:p w:rsidR="00427854" w:rsidRPr="00FF38FB" w:rsidRDefault="00427854" w:rsidP="00427854">
      <w:pPr>
        <w:pStyle w:val="Paragrafi"/>
      </w:pPr>
    </w:p>
    <w:p w:rsidR="00427854" w:rsidRPr="00FF38FB" w:rsidRDefault="00427854" w:rsidP="00427854">
      <w:pPr>
        <w:pStyle w:val="Autoriteti"/>
      </w:pPr>
      <w:r w:rsidRPr="00FF38FB">
        <w:t>Kryeministri</w:t>
      </w:r>
    </w:p>
    <w:p w:rsidR="00427854" w:rsidRPr="00FF38FB" w:rsidRDefault="00427854" w:rsidP="00427854">
      <w:pPr>
        <w:pStyle w:val="AutoritetiEmer"/>
      </w:pPr>
      <w:r w:rsidRPr="00FF38FB">
        <w:t>Ilir Meta</w:t>
      </w:r>
    </w:p>
    <w:p w:rsidR="00427854" w:rsidRPr="00FF38FB" w:rsidRDefault="00427854" w:rsidP="00427854">
      <w:pPr>
        <w:pStyle w:val="Paragrafi"/>
      </w:pPr>
    </w:p>
    <w:p w:rsidR="00427854" w:rsidRPr="00FF38FB" w:rsidRDefault="00427854" w:rsidP="00427854">
      <w:pPr>
        <w:pStyle w:val="Paragrafi"/>
      </w:pPr>
    </w:p>
    <w:p w:rsidR="00A0784B" w:rsidRPr="007732C8" w:rsidRDefault="00A0784B" w:rsidP="00427854">
      <w:pPr>
        <w:pStyle w:val="Paragrafi"/>
      </w:pPr>
    </w:p>
    <w:sectPr w:rsidR="00A0784B" w:rsidRPr="007732C8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005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A24721">
      <w:r>
        <w:separator/>
      </w:r>
    </w:p>
  </w:endnote>
  <w:endnote w:type="continuationSeparator" w:id="0">
    <w:p w:rsidR="00000000" w:rsidRDefault="00A24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54" w:rsidRDefault="00427854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7854" w:rsidRDefault="0042785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7854" w:rsidRDefault="00427854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</w:rPr>
    </w:pPr>
    <w:r>
      <w:rPr>
        <w:rStyle w:val="PageNumber"/>
        <w:rFonts w:ascii="CG Times" w:hAnsi="CG Times"/>
        <w:sz w:val="22"/>
      </w:rPr>
      <w:fldChar w:fldCharType="begin"/>
    </w:r>
    <w:r>
      <w:rPr>
        <w:rStyle w:val="PageNumber"/>
        <w:rFonts w:ascii="CG Times" w:hAnsi="CG Times"/>
        <w:sz w:val="22"/>
      </w:rPr>
      <w:instrText xml:space="preserve">PAGE  </w:instrText>
    </w:r>
    <w:r>
      <w:rPr>
        <w:rStyle w:val="PageNumber"/>
        <w:rFonts w:ascii="CG Times" w:hAnsi="CG Times"/>
        <w:sz w:val="22"/>
      </w:rPr>
      <w:fldChar w:fldCharType="separate"/>
    </w:r>
    <w:r w:rsidR="00A24721">
      <w:rPr>
        <w:rStyle w:val="PageNumber"/>
        <w:rFonts w:ascii="CG Times" w:hAnsi="CG Times"/>
        <w:noProof/>
        <w:sz w:val="22"/>
      </w:rPr>
      <w:t>1006</w:t>
    </w:r>
    <w:r>
      <w:rPr>
        <w:rStyle w:val="PageNumber"/>
        <w:rFonts w:ascii="CG Times" w:hAnsi="CG Times"/>
        <w:sz w:val="22"/>
      </w:rPr>
      <w:fldChar w:fldCharType="end"/>
    </w:r>
  </w:p>
  <w:p w:rsidR="00427854" w:rsidRDefault="0042785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A24721">
      <w:r>
        <w:separator/>
      </w:r>
    </w:p>
  </w:footnote>
  <w:footnote w:type="continuationSeparator" w:id="0">
    <w:p w:rsidR="00000000" w:rsidRDefault="00A247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27854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2472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02DE53E-CBAC-4C95-8E63-C6E11608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854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styleId="Footer">
    <w:name w:val="footer"/>
    <w:basedOn w:val="Normal"/>
    <w:rsid w:val="00427854"/>
    <w:pPr>
      <w:tabs>
        <w:tab w:val="center" w:pos="4320"/>
        <w:tab w:val="right" w:pos="8640"/>
      </w:tabs>
    </w:p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character" w:styleId="PageNumber">
    <w:name w:val="page number"/>
    <w:basedOn w:val="DefaultParagraphFont"/>
    <w:rsid w:val="00427854"/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2019-02-15T09:07:00Z</dcterms:created>
  <dcterms:modified xsi:type="dcterms:W3CDTF">2019-02-15T09:07:00Z</dcterms:modified>
</cp:coreProperties>
</file>