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05B7" w:rsidRPr="00F74FB1" w:rsidRDefault="00E04B03" w:rsidP="00A314F9">
      <w:pPr>
        <w:pStyle w:val="Akti"/>
        <w:keepNext w:val="0"/>
      </w:pPr>
      <w:bookmarkStart w:id="0" w:name="_GoBack"/>
      <w:bookmarkEnd w:id="0"/>
      <w:r>
        <w:t>VEN</w:t>
      </w:r>
      <w:r w:rsidR="000E05B7" w:rsidRPr="00F74FB1">
        <w:t>D</w:t>
      </w:r>
      <w:r>
        <w:t>I</w:t>
      </w:r>
      <w:r w:rsidR="000E05B7" w:rsidRPr="00F74FB1">
        <w:t>M</w:t>
      </w:r>
    </w:p>
    <w:p w:rsidR="000E05B7" w:rsidRPr="00F74FB1" w:rsidRDefault="000E05B7" w:rsidP="00A314F9">
      <w:pPr>
        <w:pStyle w:val="NumriData"/>
        <w:keepNext w:val="0"/>
        <w:rPr>
          <w:szCs w:val="22"/>
        </w:rPr>
      </w:pPr>
      <w:r w:rsidRPr="00F74FB1">
        <w:rPr>
          <w:szCs w:val="22"/>
        </w:rPr>
        <w:t>Nr.38, datë 18.5.2006</w:t>
      </w:r>
    </w:p>
    <w:p w:rsidR="000E05B7" w:rsidRPr="00723A3B" w:rsidRDefault="000E05B7" w:rsidP="00A314F9">
      <w:pPr>
        <w:pStyle w:val="Paragrafi"/>
        <w:rPr>
          <w:sz w:val="12"/>
          <w:szCs w:val="22"/>
        </w:rPr>
      </w:pPr>
    </w:p>
    <w:p w:rsidR="000E05B7" w:rsidRPr="00F74FB1" w:rsidRDefault="000E05B7" w:rsidP="00A314F9">
      <w:pPr>
        <w:pStyle w:val="Titulli"/>
        <w:keepNext w:val="0"/>
      </w:pPr>
      <w:r w:rsidRPr="00F74FB1">
        <w:t>PËR NGRITJEN E KOMISIONIT  TË POSAÇËM PARLAMENTAR</w:t>
      </w:r>
    </w:p>
    <w:p w:rsidR="000E05B7" w:rsidRPr="00F74FB1" w:rsidRDefault="000E05B7" w:rsidP="00A314F9">
      <w:pPr>
        <w:pStyle w:val="Titulli"/>
        <w:keepNext w:val="0"/>
      </w:pPr>
      <w:r w:rsidRPr="00F74FB1">
        <w:t>PËR REFORMËN ZGJEDHORE</w:t>
      </w:r>
    </w:p>
    <w:p w:rsidR="000E05B7" w:rsidRPr="00723A3B" w:rsidRDefault="000E05B7" w:rsidP="00A314F9">
      <w:pPr>
        <w:pStyle w:val="Paragrafi"/>
        <w:rPr>
          <w:sz w:val="12"/>
          <w:szCs w:val="22"/>
        </w:rPr>
      </w:pPr>
    </w:p>
    <w:p w:rsidR="000E05B7" w:rsidRPr="00F74FB1" w:rsidRDefault="000E05B7" w:rsidP="00A314F9">
      <w:pPr>
        <w:pStyle w:val="BazLigjPropozues"/>
        <w:keepNext w:val="0"/>
      </w:pPr>
      <w:r w:rsidRPr="00F74FB1">
        <w:t>Në mbështetje të nenit 77 pika 1  të Kushtetutës dhe të nenit 24 të Rregullores së Kuvendit, me propozimin e kryetarëve të grupeve parlamentare,</w:t>
      </w:r>
    </w:p>
    <w:p w:rsidR="000E05B7" w:rsidRPr="00723A3B" w:rsidRDefault="000E05B7" w:rsidP="00A314F9">
      <w:pPr>
        <w:pStyle w:val="Paragrafi"/>
        <w:rPr>
          <w:sz w:val="14"/>
          <w:szCs w:val="22"/>
        </w:rPr>
      </w:pPr>
    </w:p>
    <w:p w:rsidR="000E05B7" w:rsidRPr="00F74FB1" w:rsidRDefault="000E05B7" w:rsidP="00A314F9">
      <w:pPr>
        <w:pStyle w:val="Institucioni"/>
        <w:keepNext w:val="0"/>
      </w:pPr>
      <w:r w:rsidRPr="00F74FB1">
        <w:t>K U V E N D I</w:t>
      </w:r>
    </w:p>
    <w:p w:rsidR="000E05B7" w:rsidRPr="00F74FB1" w:rsidRDefault="000E05B7" w:rsidP="00A314F9">
      <w:pPr>
        <w:pStyle w:val="Institucioni"/>
        <w:keepNext w:val="0"/>
      </w:pPr>
      <w:r w:rsidRPr="00F74FB1">
        <w:t>I REPUBLIKËS SË SHQIPËRISË</w:t>
      </w:r>
    </w:p>
    <w:p w:rsidR="000E05B7" w:rsidRPr="00723A3B" w:rsidRDefault="000E05B7" w:rsidP="00A314F9">
      <w:pPr>
        <w:pStyle w:val="Paragrafi"/>
        <w:rPr>
          <w:sz w:val="14"/>
          <w:szCs w:val="22"/>
        </w:rPr>
      </w:pPr>
    </w:p>
    <w:p w:rsidR="000E05B7" w:rsidRPr="00F74FB1" w:rsidRDefault="00BB5035" w:rsidP="00A314F9">
      <w:pPr>
        <w:pStyle w:val="VENDOSI"/>
        <w:keepNext w:val="0"/>
      </w:pPr>
      <w:r w:rsidRPr="00F74FB1">
        <w:t xml:space="preserve">V </w:t>
      </w:r>
      <w:r w:rsidR="000E05B7" w:rsidRPr="00F74FB1">
        <w:t>E N D O S I:</w:t>
      </w:r>
    </w:p>
    <w:p w:rsidR="000E05B7" w:rsidRPr="00723A3B" w:rsidRDefault="000E05B7" w:rsidP="00A314F9">
      <w:pPr>
        <w:pStyle w:val="Paragrafi"/>
        <w:rPr>
          <w:sz w:val="12"/>
          <w:szCs w:val="22"/>
        </w:rPr>
      </w:pPr>
    </w:p>
    <w:p w:rsidR="000E05B7" w:rsidRPr="00F74FB1" w:rsidRDefault="000B3FCB" w:rsidP="00A314F9">
      <w:pPr>
        <w:pStyle w:val="Paragrafi"/>
        <w:rPr>
          <w:szCs w:val="22"/>
        </w:rPr>
      </w:pPr>
      <w:r>
        <w:rPr>
          <w:szCs w:val="22"/>
        </w:rPr>
        <w:t xml:space="preserve">I. </w:t>
      </w:r>
      <w:r w:rsidR="000E05B7" w:rsidRPr="00F74FB1">
        <w:rPr>
          <w:szCs w:val="22"/>
        </w:rPr>
        <w:t>Ngrihet Komisioni i Posaçëm Parlamentar për Reformën Zgjedhore.</w:t>
      </w:r>
    </w:p>
    <w:p w:rsidR="000E05B7" w:rsidRPr="00F74FB1" w:rsidRDefault="000E05B7" w:rsidP="00A314F9">
      <w:pPr>
        <w:pStyle w:val="Paragrafi"/>
        <w:rPr>
          <w:szCs w:val="22"/>
        </w:rPr>
      </w:pPr>
      <w:r w:rsidRPr="00F74FB1">
        <w:rPr>
          <w:szCs w:val="22"/>
        </w:rPr>
        <w:t>II. Komisioni ka për detyrë përgatitjen e amendamenteve të nevojshme të kuadrit ligjor për arritjen e standardeve në zgjedhjet, mbështetur në rekomandimet e paraqitura në raportin e Komisionit Vëzhgues të OSBE/ODIHR-it për zgjedhjet parlamentare 2005.</w:t>
      </w:r>
    </w:p>
    <w:p w:rsidR="000E05B7" w:rsidRPr="00F74FB1" w:rsidRDefault="000E05B7" w:rsidP="00A314F9">
      <w:pPr>
        <w:pStyle w:val="Paragrafi"/>
        <w:rPr>
          <w:szCs w:val="22"/>
        </w:rPr>
      </w:pPr>
      <w:r w:rsidRPr="00F74FB1">
        <w:rPr>
          <w:szCs w:val="22"/>
        </w:rPr>
        <w:t xml:space="preserve">III. Komisioni përbëhet nga 18 anëtarë (9 nga shumica dhe 9 nga opozita parlamentare). Anëtarët që i përkasin shumicës parlamentare caktohen </w:t>
      </w:r>
      <w:r w:rsidR="003616E6">
        <w:rPr>
          <w:szCs w:val="22"/>
        </w:rPr>
        <w:t xml:space="preserve">3 nga </w:t>
      </w:r>
      <w:r w:rsidRPr="00F74FB1">
        <w:rPr>
          <w:szCs w:val="22"/>
        </w:rPr>
        <w:t>Grupi Parlam</w:t>
      </w:r>
      <w:r w:rsidR="003616E6">
        <w:rPr>
          <w:szCs w:val="22"/>
        </w:rPr>
        <w:t xml:space="preserve">entar i Partisë Demokratike, 2 nga Grupi </w:t>
      </w:r>
      <w:r w:rsidRPr="00F74FB1">
        <w:rPr>
          <w:szCs w:val="22"/>
        </w:rPr>
        <w:t>Parla</w:t>
      </w:r>
      <w:r w:rsidR="003616E6">
        <w:rPr>
          <w:szCs w:val="22"/>
        </w:rPr>
        <w:t xml:space="preserve">mentar i Partisë Republikane, 2 nga </w:t>
      </w:r>
      <w:r w:rsidRPr="00F74FB1">
        <w:rPr>
          <w:szCs w:val="22"/>
        </w:rPr>
        <w:t>Grupi Parlamentar “Reformator-Demokristian”, 1 nga Grupi Parlamentar i Partisë Agrare Ambientaliste dhe 1 nga Grupi Parlamentar “Qendra Demokrate”. Anëtarët që i përkasin opozitës parlamentare caktohen 3 nga Partia Socialiste, 2 nga Partia Socialdemokrate, 2 nga Lëvizja Socialiste për Integrim, 1 nga Partia Aleanca Demokratike dhe 1 nga Partia  Demokracia Sociale.</w:t>
      </w:r>
    </w:p>
    <w:p w:rsidR="000E05B7" w:rsidRPr="00F74FB1" w:rsidRDefault="000E05B7" w:rsidP="00A314F9">
      <w:pPr>
        <w:pStyle w:val="Paragrafi"/>
        <w:rPr>
          <w:szCs w:val="22"/>
        </w:rPr>
      </w:pPr>
      <w:r w:rsidRPr="00F74FB1">
        <w:rPr>
          <w:szCs w:val="22"/>
        </w:rPr>
        <w:t>IV. Komisioni i Posaçëm Parlamentar drejtohet nga dy bashkëkryetarë, një nga Partia Demokratike dhe një nga Partia Socialiste.</w:t>
      </w:r>
    </w:p>
    <w:p w:rsidR="000E05B7" w:rsidRPr="00F74FB1" w:rsidRDefault="000E05B7" w:rsidP="00A314F9">
      <w:pPr>
        <w:pStyle w:val="Paragrafi"/>
        <w:rPr>
          <w:szCs w:val="22"/>
        </w:rPr>
      </w:pPr>
      <w:r w:rsidRPr="00F74FB1">
        <w:rPr>
          <w:szCs w:val="22"/>
        </w:rPr>
        <w:t>V. Pranë Komisionit të Posaçëm Parlamentar ngrihet grupi i ekspertëve teknikë. Përbërja dhe mënyra e funksionimit të tij përcaktohen me vendim të Komisionit të Posaçëm Parlamentar.</w:t>
      </w:r>
    </w:p>
    <w:p w:rsidR="000E05B7" w:rsidRPr="00F74FB1" w:rsidRDefault="000E05B7" w:rsidP="00A314F9">
      <w:pPr>
        <w:pStyle w:val="Paragrafi"/>
        <w:rPr>
          <w:szCs w:val="22"/>
        </w:rPr>
      </w:pPr>
      <w:r w:rsidRPr="00F74FB1">
        <w:rPr>
          <w:szCs w:val="22"/>
        </w:rPr>
        <w:t>VI. Vendimet në Komision merren me shumicën e votave (10 vota), kur pro tyre kanë votuar në unanimitet përfaqësuesit e dy partive të mëdha (3+3).</w:t>
      </w:r>
    </w:p>
    <w:p w:rsidR="000E05B7" w:rsidRPr="00F74FB1" w:rsidRDefault="000E05B7" w:rsidP="00A314F9">
      <w:pPr>
        <w:pStyle w:val="Paragrafi"/>
        <w:rPr>
          <w:szCs w:val="22"/>
        </w:rPr>
      </w:pPr>
      <w:r w:rsidRPr="00F74FB1">
        <w:rPr>
          <w:szCs w:val="22"/>
        </w:rPr>
        <w:t>VII. Komisioni e ushtron veprimtarinë për një afat prej tre muajsh nga data e vendimit.</w:t>
      </w:r>
    </w:p>
    <w:p w:rsidR="000E05B7" w:rsidRPr="00F74FB1" w:rsidRDefault="000E05B7" w:rsidP="00A314F9">
      <w:pPr>
        <w:pStyle w:val="Paragrafi"/>
        <w:rPr>
          <w:szCs w:val="22"/>
        </w:rPr>
      </w:pPr>
      <w:r w:rsidRPr="00F74FB1">
        <w:rPr>
          <w:szCs w:val="22"/>
        </w:rPr>
        <w:t>VIII. Ngarkohet Kryetarja e Kuvendit për krijimin e kushteve të punës dhe mbështetjen logjistike të veprimtarisë së Komisionit.</w:t>
      </w:r>
    </w:p>
    <w:p w:rsidR="000E05B7" w:rsidRDefault="000E05B7" w:rsidP="00A314F9">
      <w:pPr>
        <w:pStyle w:val="Paragrafi"/>
        <w:rPr>
          <w:szCs w:val="22"/>
        </w:rPr>
      </w:pPr>
      <w:r w:rsidRPr="00F74FB1">
        <w:rPr>
          <w:szCs w:val="22"/>
        </w:rPr>
        <w:t>IX. Komisioni përbëhet nga këta anëtarë:</w:t>
      </w:r>
    </w:p>
    <w:p w:rsidR="000E05B7" w:rsidRPr="00F74FB1" w:rsidRDefault="000E05B7" w:rsidP="00A314F9">
      <w:pPr>
        <w:pStyle w:val="Paragrafi"/>
        <w:rPr>
          <w:szCs w:val="22"/>
        </w:rPr>
      </w:pPr>
      <w:r w:rsidRPr="00F74FB1">
        <w:rPr>
          <w:szCs w:val="22"/>
        </w:rPr>
        <w:t>1. Ylli Pango</w:t>
      </w:r>
      <w:r w:rsidRPr="00F74FB1">
        <w:rPr>
          <w:szCs w:val="22"/>
        </w:rPr>
        <w:tab/>
      </w:r>
      <w:r w:rsidRPr="00F74FB1">
        <w:rPr>
          <w:szCs w:val="22"/>
        </w:rPr>
        <w:tab/>
        <w:t xml:space="preserve">- </w:t>
      </w:r>
      <w:r w:rsidRPr="00F74FB1">
        <w:rPr>
          <w:szCs w:val="22"/>
        </w:rPr>
        <w:tab/>
        <w:t>PD</w:t>
      </w:r>
    </w:p>
    <w:p w:rsidR="000E05B7" w:rsidRPr="00F74FB1" w:rsidRDefault="000E05B7" w:rsidP="00A314F9">
      <w:pPr>
        <w:pStyle w:val="Paragrafi"/>
        <w:rPr>
          <w:szCs w:val="22"/>
        </w:rPr>
      </w:pPr>
      <w:r w:rsidRPr="00F74FB1">
        <w:rPr>
          <w:szCs w:val="22"/>
        </w:rPr>
        <w:t xml:space="preserve">2. Bujar Nishani </w:t>
      </w:r>
      <w:r w:rsidRPr="00F74FB1">
        <w:rPr>
          <w:szCs w:val="22"/>
        </w:rPr>
        <w:tab/>
        <w:t>-</w:t>
      </w:r>
      <w:r w:rsidRPr="00F74FB1">
        <w:rPr>
          <w:szCs w:val="22"/>
        </w:rPr>
        <w:tab/>
        <w:t xml:space="preserve">PD     </w:t>
      </w:r>
    </w:p>
    <w:p w:rsidR="000E05B7" w:rsidRPr="00F74FB1" w:rsidRDefault="000E05B7" w:rsidP="00A314F9">
      <w:pPr>
        <w:pStyle w:val="Paragrafi"/>
        <w:rPr>
          <w:szCs w:val="22"/>
        </w:rPr>
      </w:pPr>
      <w:r w:rsidRPr="00F74FB1">
        <w:rPr>
          <w:szCs w:val="22"/>
        </w:rPr>
        <w:t>3. Ferdinand Xhaferri</w:t>
      </w:r>
      <w:r w:rsidRPr="00F74FB1">
        <w:rPr>
          <w:szCs w:val="22"/>
        </w:rPr>
        <w:tab/>
        <w:t>-</w:t>
      </w:r>
      <w:r w:rsidRPr="00F74FB1">
        <w:rPr>
          <w:szCs w:val="22"/>
        </w:rPr>
        <w:tab/>
        <w:t>PD</w:t>
      </w:r>
    </w:p>
    <w:p w:rsidR="000E05B7" w:rsidRPr="00F74FB1" w:rsidRDefault="000E05B7" w:rsidP="00A314F9">
      <w:pPr>
        <w:pStyle w:val="Paragrafi"/>
        <w:rPr>
          <w:szCs w:val="22"/>
        </w:rPr>
      </w:pPr>
      <w:r w:rsidRPr="00F74FB1">
        <w:rPr>
          <w:szCs w:val="22"/>
        </w:rPr>
        <w:t>4. Arjan Madhi</w:t>
      </w:r>
      <w:r w:rsidRPr="00F74FB1">
        <w:rPr>
          <w:szCs w:val="22"/>
        </w:rPr>
        <w:tab/>
      </w:r>
      <w:r w:rsidRPr="00F74FB1">
        <w:rPr>
          <w:szCs w:val="22"/>
        </w:rPr>
        <w:tab/>
        <w:t xml:space="preserve">- </w:t>
      </w:r>
      <w:r w:rsidRPr="00F74FB1">
        <w:rPr>
          <w:szCs w:val="22"/>
        </w:rPr>
        <w:tab/>
        <w:t>PR</w:t>
      </w:r>
    </w:p>
    <w:p w:rsidR="000E05B7" w:rsidRPr="00F74FB1" w:rsidRDefault="000E05B7" w:rsidP="00A314F9">
      <w:pPr>
        <w:pStyle w:val="Paragrafi"/>
        <w:rPr>
          <w:szCs w:val="22"/>
        </w:rPr>
      </w:pPr>
      <w:r w:rsidRPr="00F74FB1">
        <w:rPr>
          <w:szCs w:val="22"/>
        </w:rPr>
        <w:t>5. Hajrulla Paturi</w:t>
      </w:r>
      <w:r w:rsidRPr="00F74FB1">
        <w:rPr>
          <w:szCs w:val="22"/>
        </w:rPr>
        <w:tab/>
        <w:t xml:space="preserve">- </w:t>
      </w:r>
      <w:r w:rsidRPr="00F74FB1">
        <w:rPr>
          <w:szCs w:val="22"/>
        </w:rPr>
        <w:tab/>
        <w:t>PR</w:t>
      </w:r>
    </w:p>
    <w:p w:rsidR="000E05B7" w:rsidRPr="00F74FB1" w:rsidRDefault="000E05B7" w:rsidP="00A314F9">
      <w:pPr>
        <w:pStyle w:val="Paragrafi"/>
        <w:rPr>
          <w:szCs w:val="22"/>
        </w:rPr>
      </w:pPr>
      <w:r w:rsidRPr="00F74FB1">
        <w:rPr>
          <w:szCs w:val="22"/>
        </w:rPr>
        <w:t>6. Nard Ndoka</w:t>
      </w:r>
      <w:r w:rsidRPr="00F74FB1">
        <w:rPr>
          <w:szCs w:val="22"/>
        </w:rPr>
        <w:tab/>
      </w:r>
      <w:r w:rsidRPr="00F74FB1">
        <w:rPr>
          <w:szCs w:val="22"/>
        </w:rPr>
        <w:tab/>
        <w:t>-</w:t>
      </w:r>
      <w:r w:rsidRPr="00F74FB1">
        <w:rPr>
          <w:szCs w:val="22"/>
        </w:rPr>
        <w:tab/>
        <w:t>PDR</w:t>
      </w:r>
    </w:p>
    <w:p w:rsidR="000E05B7" w:rsidRPr="00F74FB1" w:rsidRDefault="000E05B7" w:rsidP="00A314F9">
      <w:pPr>
        <w:pStyle w:val="Paragrafi"/>
        <w:rPr>
          <w:szCs w:val="22"/>
        </w:rPr>
      </w:pPr>
      <w:r w:rsidRPr="00F74FB1">
        <w:rPr>
          <w:szCs w:val="22"/>
        </w:rPr>
        <w:t>7. Ndue Shpani</w:t>
      </w:r>
      <w:r w:rsidRPr="00F74FB1">
        <w:rPr>
          <w:szCs w:val="22"/>
        </w:rPr>
        <w:tab/>
      </w:r>
      <w:r w:rsidRPr="00F74FB1">
        <w:rPr>
          <w:szCs w:val="22"/>
        </w:rPr>
        <w:tab/>
        <w:t>-</w:t>
      </w:r>
      <w:r w:rsidRPr="00F74FB1">
        <w:rPr>
          <w:szCs w:val="22"/>
        </w:rPr>
        <w:tab/>
        <w:t>PDK</w:t>
      </w:r>
    </w:p>
    <w:p w:rsidR="000E05B7" w:rsidRPr="00F74FB1" w:rsidRDefault="000E05B7" w:rsidP="00A314F9">
      <w:pPr>
        <w:pStyle w:val="Paragrafi"/>
        <w:rPr>
          <w:szCs w:val="22"/>
        </w:rPr>
      </w:pPr>
      <w:r w:rsidRPr="00F74FB1">
        <w:rPr>
          <w:szCs w:val="22"/>
        </w:rPr>
        <w:t>8. Petrit Gjoni</w:t>
      </w:r>
      <w:r w:rsidRPr="00F74FB1">
        <w:rPr>
          <w:szCs w:val="22"/>
        </w:rPr>
        <w:tab/>
      </w:r>
      <w:r w:rsidRPr="00F74FB1">
        <w:rPr>
          <w:szCs w:val="22"/>
        </w:rPr>
        <w:tab/>
        <w:t>-</w:t>
      </w:r>
      <w:r w:rsidRPr="00F74FB1">
        <w:rPr>
          <w:szCs w:val="22"/>
        </w:rPr>
        <w:tab/>
        <w:t>PAA</w:t>
      </w:r>
    </w:p>
    <w:p w:rsidR="000E05B7" w:rsidRPr="00F74FB1" w:rsidRDefault="000E05B7" w:rsidP="00A314F9">
      <w:pPr>
        <w:pStyle w:val="Paragrafi"/>
        <w:rPr>
          <w:szCs w:val="22"/>
        </w:rPr>
      </w:pPr>
      <w:r w:rsidRPr="00F74FB1">
        <w:rPr>
          <w:szCs w:val="22"/>
        </w:rPr>
        <w:t>9. Spiro Peçi</w:t>
      </w:r>
      <w:r w:rsidRPr="00F74FB1">
        <w:rPr>
          <w:szCs w:val="22"/>
        </w:rPr>
        <w:tab/>
      </w:r>
      <w:r w:rsidRPr="00F74FB1">
        <w:rPr>
          <w:szCs w:val="22"/>
        </w:rPr>
        <w:tab/>
        <w:t>-</w:t>
      </w:r>
      <w:r w:rsidRPr="00F74FB1">
        <w:rPr>
          <w:szCs w:val="22"/>
        </w:rPr>
        <w:tab/>
        <w:t>PBDNJ</w:t>
      </w:r>
    </w:p>
    <w:p w:rsidR="000E05B7" w:rsidRPr="00F74FB1" w:rsidRDefault="000E05B7" w:rsidP="00A314F9">
      <w:pPr>
        <w:pStyle w:val="Paragrafi"/>
        <w:rPr>
          <w:szCs w:val="22"/>
        </w:rPr>
      </w:pPr>
      <w:r w:rsidRPr="00F74FB1">
        <w:rPr>
          <w:szCs w:val="22"/>
        </w:rPr>
        <w:t>10. Ben Blushi</w:t>
      </w:r>
      <w:r w:rsidRPr="00F74FB1">
        <w:rPr>
          <w:szCs w:val="22"/>
        </w:rPr>
        <w:tab/>
      </w:r>
      <w:r w:rsidRPr="00F74FB1">
        <w:rPr>
          <w:szCs w:val="22"/>
        </w:rPr>
        <w:tab/>
        <w:t xml:space="preserve">- </w:t>
      </w:r>
      <w:r w:rsidRPr="00F74FB1">
        <w:rPr>
          <w:szCs w:val="22"/>
        </w:rPr>
        <w:tab/>
        <w:t>PS</w:t>
      </w:r>
    </w:p>
    <w:p w:rsidR="000E05B7" w:rsidRPr="00F74FB1" w:rsidRDefault="000E05B7" w:rsidP="00A314F9">
      <w:pPr>
        <w:pStyle w:val="Paragrafi"/>
        <w:rPr>
          <w:szCs w:val="22"/>
        </w:rPr>
      </w:pPr>
      <w:r w:rsidRPr="00F74FB1">
        <w:rPr>
          <w:szCs w:val="22"/>
        </w:rPr>
        <w:t>11. Besnik Dervishi</w:t>
      </w:r>
      <w:r w:rsidRPr="00F74FB1">
        <w:rPr>
          <w:szCs w:val="22"/>
        </w:rPr>
        <w:tab/>
        <w:t>-</w:t>
      </w:r>
      <w:r w:rsidRPr="00F74FB1">
        <w:rPr>
          <w:szCs w:val="22"/>
        </w:rPr>
        <w:tab/>
        <w:t>PS</w:t>
      </w:r>
    </w:p>
    <w:p w:rsidR="000E05B7" w:rsidRPr="00F74FB1" w:rsidRDefault="000E05B7" w:rsidP="00A314F9">
      <w:pPr>
        <w:pStyle w:val="Paragrafi"/>
        <w:rPr>
          <w:szCs w:val="22"/>
        </w:rPr>
      </w:pPr>
      <w:r w:rsidRPr="00F74FB1">
        <w:rPr>
          <w:szCs w:val="22"/>
        </w:rPr>
        <w:t>12. Engjëll Bejtaj</w:t>
      </w:r>
      <w:r w:rsidRPr="00F74FB1">
        <w:rPr>
          <w:szCs w:val="22"/>
        </w:rPr>
        <w:tab/>
        <w:t>-</w:t>
      </w:r>
      <w:r w:rsidRPr="00F74FB1">
        <w:rPr>
          <w:szCs w:val="22"/>
        </w:rPr>
        <w:tab/>
        <w:t>PSD</w:t>
      </w:r>
    </w:p>
    <w:p w:rsidR="000E05B7" w:rsidRPr="00F74FB1" w:rsidRDefault="000E05B7" w:rsidP="00A314F9">
      <w:pPr>
        <w:pStyle w:val="Paragrafi"/>
        <w:rPr>
          <w:szCs w:val="22"/>
        </w:rPr>
      </w:pPr>
      <w:r w:rsidRPr="00F74FB1">
        <w:rPr>
          <w:szCs w:val="22"/>
        </w:rPr>
        <w:t>13. Albert Divjaka</w:t>
      </w:r>
      <w:r w:rsidRPr="00F74FB1">
        <w:rPr>
          <w:szCs w:val="22"/>
        </w:rPr>
        <w:tab/>
        <w:t>-</w:t>
      </w:r>
      <w:r w:rsidRPr="00F74FB1">
        <w:rPr>
          <w:szCs w:val="22"/>
        </w:rPr>
        <w:tab/>
        <w:t>PSD</w:t>
      </w:r>
    </w:p>
    <w:p w:rsidR="000E05B7" w:rsidRPr="00F74FB1" w:rsidRDefault="000E05B7" w:rsidP="00A314F9">
      <w:pPr>
        <w:pStyle w:val="Paragrafi"/>
        <w:rPr>
          <w:szCs w:val="22"/>
        </w:rPr>
      </w:pPr>
      <w:r w:rsidRPr="00F74FB1">
        <w:rPr>
          <w:szCs w:val="22"/>
        </w:rPr>
        <w:t>14. Ilir Meta</w:t>
      </w:r>
      <w:r w:rsidRPr="00F74FB1">
        <w:rPr>
          <w:szCs w:val="22"/>
        </w:rPr>
        <w:tab/>
      </w:r>
      <w:r w:rsidRPr="00F74FB1">
        <w:rPr>
          <w:szCs w:val="22"/>
        </w:rPr>
        <w:tab/>
        <w:t>-</w:t>
      </w:r>
      <w:r w:rsidRPr="00F74FB1">
        <w:rPr>
          <w:szCs w:val="22"/>
        </w:rPr>
        <w:tab/>
        <w:t>LSI</w:t>
      </w:r>
    </w:p>
    <w:p w:rsidR="000E05B7" w:rsidRPr="00F74FB1" w:rsidRDefault="000E05B7" w:rsidP="00A314F9">
      <w:pPr>
        <w:pStyle w:val="Paragrafi"/>
        <w:rPr>
          <w:szCs w:val="22"/>
        </w:rPr>
      </w:pPr>
      <w:r w:rsidRPr="00F74FB1">
        <w:rPr>
          <w:szCs w:val="22"/>
        </w:rPr>
        <w:t>15. Sabit Brokaj</w:t>
      </w:r>
      <w:r w:rsidRPr="00F74FB1">
        <w:rPr>
          <w:szCs w:val="22"/>
        </w:rPr>
        <w:tab/>
        <w:t>-</w:t>
      </w:r>
      <w:r w:rsidRPr="00F74FB1">
        <w:rPr>
          <w:szCs w:val="22"/>
        </w:rPr>
        <w:tab/>
        <w:t>LSI</w:t>
      </w:r>
    </w:p>
    <w:p w:rsidR="000E05B7" w:rsidRPr="00F74FB1" w:rsidRDefault="000E05B7" w:rsidP="00A314F9">
      <w:pPr>
        <w:pStyle w:val="Paragrafi"/>
        <w:rPr>
          <w:szCs w:val="22"/>
        </w:rPr>
      </w:pPr>
      <w:r w:rsidRPr="00F74FB1">
        <w:rPr>
          <w:szCs w:val="22"/>
        </w:rPr>
        <w:t>16. Neritan Ceka</w:t>
      </w:r>
      <w:r w:rsidRPr="00F74FB1">
        <w:rPr>
          <w:szCs w:val="22"/>
        </w:rPr>
        <w:tab/>
        <w:t xml:space="preserve">- </w:t>
      </w:r>
      <w:r w:rsidRPr="00F74FB1">
        <w:rPr>
          <w:szCs w:val="22"/>
        </w:rPr>
        <w:tab/>
        <w:t>PAD</w:t>
      </w:r>
    </w:p>
    <w:p w:rsidR="000E05B7" w:rsidRPr="00F74FB1" w:rsidRDefault="000E05B7" w:rsidP="00A314F9">
      <w:pPr>
        <w:pStyle w:val="Paragrafi"/>
        <w:rPr>
          <w:szCs w:val="22"/>
        </w:rPr>
      </w:pPr>
      <w:r w:rsidRPr="00F74FB1">
        <w:rPr>
          <w:szCs w:val="22"/>
        </w:rPr>
        <w:t>17. Paskal Milo</w:t>
      </w:r>
      <w:r w:rsidR="000507DF" w:rsidRPr="00F74FB1">
        <w:rPr>
          <w:szCs w:val="22"/>
        </w:rPr>
        <w:tab/>
      </w:r>
      <w:r w:rsidRPr="00F74FB1">
        <w:rPr>
          <w:szCs w:val="22"/>
        </w:rPr>
        <w:tab/>
        <w:t>-</w:t>
      </w:r>
      <w:r w:rsidRPr="00F74FB1">
        <w:rPr>
          <w:szCs w:val="22"/>
        </w:rPr>
        <w:tab/>
        <w:t>PDS</w:t>
      </w:r>
    </w:p>
    <w:p w:rsidR="000E05B7" w:rsidRPr="00F74FB1" w:rsidRDefault="000E05B7" w:rsidP="00A314F9">
      <w:pPr>
        <w:pStyle w:val="Paragrafi"/>
        <w:rPr>
          <w:szCs w:val="22"/>
        </w:rPr>
      </w:pPr>
      <w:r w:rsidRPr="00F74FB1">
        <w:rPr>
          <w:szCs w:val="22"/>
        </w:rPr>
        <w:t>X. Ky vendim hyn në fuqi menjëherë.</w:t>
      </w:r>
    </w:p>
    <w:p w:rsidR="000E05B7" w:rsidRPr="00F74FB1" w:rsidRDefault="000E05B7" w:rsidP="00A314F9">
      <w:pPr>
        <w:pStyle w:val="Autoriteti"/>
        <w:keepNext w:val="0"/>
      </w:pPr>
      <w:r w:rsidRPr="00F74FB1">
        <w:t>K R Y E T A R E</w:t>
      </w:r>
    </w:p>
    <w:p w:rsidR="000E05B7" w:rsidRPr="00F74FB1" w:rsidRDefault="000E05B7" w:rsidP="00A314F9">
      <w:pPr>
        <w:pStyle w:val="AutoritetiEmer"/>
      </w:pPr>
      <w:r w:rsidRPr="00F74FB1">
        <w:t>Jozefina Topalli (Çoba)</w:t>
      </w:r>
    </w:p>
    <w:p w:rsidR="0047234A" w:rsidRPr="00F74FB1" w:rsidRDefault="0047234A" w:rsidP="00A314F9">
      <w:pPr>
        <w:pStyle w:val="Akti"/>
        <w:keepNext w:val="0"/>
      </w:pPr>
      <w:r w:rsidRPr="00F74FB1">
        <w:t>Vendim</w:t>
      </w:r>
    </w:p>
    <w:p w:rsidR="0047234A" w:rsidRPr="00F74FB1" w:rsidRDefault="0047234A" w:rsidP="00A314F9">
      <w:pPr>
        <w:pStyle w:val="NumriData"/>
        <w:keepNext w:val="0"/>
        <w:rPr>
          <w:szCs w:val="22"/>
        </w:rPr>
      </w:pPr>
      <w:r w:rsidRPr="00F74FB1">
        <w:rPr>
          <w:szCs w:val="22"/>
        </w:rPr>
        <w:t>Nr.285, datë 17.5.2006</w:t>
      </w:r>
    </w:p>
    <w:p w:rsidR="0047234A" w:rsidRPr="00F74FB1" w:rsidRDefault="0047234A" w:rsidP="00A314F9">
      <w:pPr>
        <w:pStyle w:val="Paragrafi"/>
        <w:rPr>
          <w:szCs w:val="22"/>
        </w:rPr>
      </w:pPr>
    </w:p>
    <w:p w:rsidR="0047234A" w:rsidRPr="00F74FB1" w:rsidRDefault="0047234A" w:rsidP="00A314F9">
      <w:pPr>
        <w:pStyle w:val="Titulli"/>
        <w:keepNext w:val="0"/>
      </w:pPr>
      <w:r w:rsidRPr="00F74FB1">
        <w:t>Për miratimin e listës së inventarit të pronave të paluajtshme, shtetërore, në Bashkinë e lushnjës, të qarkut fier</w:t>
      </w:r>
    </w:p>
    <w:p w:rsidR="0047234A" w:rsidRPr="00F74FB1" w:rsidRDefault="0047234A" w:rsidP="00A314F9">
      <w:pPr>
        <w:pStyle w:val="Paragrafi"/>
        <w:rPr>
          <w:szCs w:val="22"/>
        </w:rPr>
      </w:pPr>
    </w:p>
    <w:p w:rsidR="0047234A" w:rsidRPr="00F74FB1" w:rsidRDefault="0047234A" w:rsidP="00A314F9">
      <w:pPr>
        <w:pStyle w:val="Paragrafi"/>
        <w:rPr>
          <w:szCs w:val="22"/>
        </w:rPr>
      </w:pPr>
      <w:r w:rsidRPr="00F74FB1">
        <w:rPr>
          <w:szCs w:val="22"/>
        </w:rPr>
        <w:t>Në mbështetje të nenit 10</w:t>
      </w:r>
      <w:r w:rsidR="007F0EE7">
        <w:rPr>
          <w:szCs w:val="22"/>
        </w:rPr>
        <w:t>0 të Kushtetutës dhe të pikës 3 të nenit 8 të ligjit nr.8743, datë 22.2.2001</w:t>
      </w:r>
      <w:r w:rsidRPr="00F74FB1">
        <w:rPr>
          <w:szCs w:val="22"/>
        </w:rPr>
        <w:t xml:space="preserve"> “Për pronat e paluajtshme të shtetit”, me propozimin e Ministrit të Brendshëm, Këshilli i Ministrave</w:t>
      </w:r>
    </w:p>
    <w:p w:rsidR="0047234A" w:rsidRPr="00F74FB1" w:rsidRDefault="0047234A" w:rsidP="00A314F9">
      <w:pPr>
        <w:pStyle w:val="Paragrafi"/>
        <w:rPr>
          <w:szCs w:val="22"/>
        </w:rPr>
      </w:pPr>
    </w:p>
    <w:p w:rsidR="0047234A" w:rsidRPr="00F74FB1" w:rsidRDefault="0047234A" w:rsidP="00A314F9">
      <w:pPr>
        <w:pStyle w:val="VENDOSI"/>
        <w:keepNext w:val="0"/>
      </w:pPr>
      <w:r w:rsidRPr="00F74FB1">
        <w:t>Vendosi:</w:t>
      </w:r>
    </w:p>
    <w:p w:rsidR="0047234A" w:rsidRPr="00F74FB1" w:rsidRDefault="0047234A" w:rsidP="00A314F9">
      <w:pPr>
        <w:pStyle w:val="Paragrafi"/>
        <w:rPr>
          <w:szCs w:val="22"/>
        </w:rPr>
      </w:pPr>
    </w:p>
    <w:p w:rsidR="0047234A" w:rsidRPr="00F74FB1" w:rsidRDefault="0047234A" w:rsidP="00A314F9">
      <w:pPr>
        <w:pStyle w:val="Paragrafi"/>
        <w:rPr>
          <w:szCs w:val="22"/>
        </w:rPr>
      </w:pPr>
      <w:r w:rsidRPr="00F74FB1">
        <w:rPr>
          <w:szCs w:val="22"/>
        </w:rPr>
        <w:t>1. Miratimin e listës së inventarit të pronave të paluajtshme, shtetërore, që janë në juridiksion</w:t>
      </w:r>
      <w:r w:rsidR="007F0EE7">
        <w:rPr>
          <w:szCs w:val="22"/>
        </w:rPr>
        <w:t>in</w:t>
      </w:r>
      <w:r w:rsidRPr="00F74FB1">
        <w:rPr>
          <w:szCs w:val="22"/>
        </w:rPr>
        <w:t>, territorial dhe administrativ, të bashkisë së Lushnjës, të qarkut Fier, sipas propozimit të paraqitur nga këshilli i kësaj bashkie.</w:t>
      </w:r>
    </w:p>
    <w:p w:rsidR="0047234A" w:rsidRPr="00F74FB1" w:rsidRDefault="0047234A" w:rsidP="00A314F9">
      <w:pPr>
        <w:pStyle w:val="Paragrafi"/>
        <w:rPr>
          <w:szCs w:val="22"/>
        </w:rPr>
      </w:pPr>
      <w:r w:rsidRPr="00F74FB1">
        <w:rPr>
          <w:szCs w:val="22"/>
        </w:rPr>
        <w:t>Lista me 27</w:t>
      </w:r>
      <w:r w:rsidR="00F74FB1">
        <w:rPr>
          <w:szCs w:val="22"/>
        </w:rPr>
        <w:t>0 (dyqind e shtatëdhjetë) fletë</w:t>
      </w:r>
      <w:r w:rsidRPr="00F74FB1">
        <w:rPr>
          <w:szCs w:val="22"/>
        </w:rPr>
        <w:t>, që i bashkëlidhet këtij vendi</w:t>
      </w:r>
      <w:r w:rsidR="00697493" w:rsidRPr="00F74FB1">
        <w:rPr>
          <w:szCs w:val="22"/>
        </w:rPr>
        <w:t>m</w:t>
      </w:r>
      <w:r w:rsidRPr="00F74FB1">
        <w:rPr>
          <w:szCs w:val="22"/>
        </w:rPr>
        <w:t>i, përfundon me n</w:t>
      </w:r>
      <w:r w:rsidR="00D00E2E" w:rsidRPr="00F74FB1">
        <w:rPr>
          <w:szCs w:val="22"/>
        </w:rPr>
        <w:t>umrin rendor 4 270 (katër mijë e</w:t>
      </w:r>
      <w:r w:rsidRPr="00F74FB1">
        <w:rPr>
          <w:szCs w:val="22"/>
        </w:rPr>
        <w:t xml:space="preserve"> dyqind e shtatëdhjetë).</w:t>
      </w:r>
    </w:p>
    <w:p w:rsidR="0047234A" w:rsidRPr="00F74FB1" w:rsidRDefault="0047234A" w:rsidP="00A314F9">
      <w:pPr>
        <w:pStyle w:val="Paragrafi"/>
        <w:rPr>
          <w:szCs w:val="22"/>
        </w:rPr>
      </w:pPr>
      <w:r w:rsidRPr="00F74FB1">
        <w:rPr>
          <w:szCs w:val="22"/>
        </w:rPr>
        <w:t>2. Ndryshime</w:t>
      </w:r>
      <w:r w:rsidR="007F0EE7">
        <w:rPr>
          <w:szCs w:val="22"/>
        </w:rPr>
        <w:t>t</w:t>
      </w:r>
      <w:r w:rsidRPr="00F74FB1">
        <w:rPr>
          <w:szCs w:val="22"/>
        </w:rPr>
        <w:t>, që mund t’i bëhen listës gjatë periudhës së afishimit, të pasqyrohen në listën për</w:t>
      </w:r>
      <w:r w:rsidR="00DB6A64" w:rsidRPr="00F74FB1">
        <w:rPr>
          <w:szCs w:val="22"/>
        </w:rPr>
        <w:t>fundimtare të pronave, e cila m</w:t>
      </w:r>
      <w:r w:rsidRPr="00F74FB1">
        <w:rPr>
          <w:szCs w:val="22"/>
        </w:rPr>
        <w:t>i</w:t>
      </w:r>
      <w:r w:rsidR="00DB6A64" w:rsidRPr="00F74FB1">
        <w:rPr>
          <w:szCs w:val="22"/>
        </w:rPr>
        <w:t>r</w:t>
      </w:r>
      <w:r w:rsidRPr="00F74FB1">
        <w:rPr>
          <w:szCs w:val="22"/>
        </w:rPr>
        <w:t>atohet nga Këshilli i Ministrave.</w:t>
      </w:r>
    </w:p>
    <w:p w:rsidR="0047234A" w:rsidRPr="00F74FB1" w:rsidRDefault="0047234A" w:rsidP="00A314F9">
      <w:pPr>
        <w:pStyle w:val="Paragrafi"/>
        <w:rPr>
          <w:szCs w:val="22"/>
        </w:rPr>
      </w:pPr>
      <w:r w:rsidRPr="00F74FB1">
        <w:rPr>
          <w:szCs w:val="22"/>
        </w:rPr>
        <w:t>Ky vendim hyn në fuqi pas botimit në Fletoren Zyrtare.</w:t>
      </w:r>
    </w:p>
    <w:p w:rsidR="0047234A" w:rsidRPr="00F74FB1" w:rsidRDefault="0047234A" w:rsidP="00A314F9">
      <w:pPr>
        <w:pStyle w:val="Paragrafi"/>
        <w:rPr>
          <w:szCs w:val="22"/>
        </w:rPr>
      </w:pPr>
    </w:p>
    <w:p w:rsidR="0047234A" w:rsidRPr="00F74FB1" w:rsidRDefault="0047234A" w:rsidP="00A314F9">
      <w:pPr>
        <w:pStyle w:val="Autoriteti"/>
        <w:keepNext w:val="0"/>
      </w:pPr>
      <w:r w:rsidRPr="00F74FB1">
        <w:t>Kryeministri</w:t>
      </w:r>
    </w:p>
    <w:p w:rsidR="0047234A" w:rsidRPr="00F74FB1" w:rsidRDefault="0047234A" w:rsidP="00A314F9">
      <w:pPr>
        <w:pStyle w:val="AutoritetiEmer"/>
      </w:pPr>
      <w:r w:rsidRPr="00F74FB1">
        <w:t>Sali Berisha</w:t>
      </w:r>
    </w:p>
    <w:p w:rsidR="0047234A" w:rsidRPr="00F74FB1" w:rsidRDefault="0047234A" w:rsidP="00A314F9">
      <w:pPr>
        <w:pStyle w:val="Paragrafi"/>
        <w:rPr>
          <w:szCs w:val="22"/>
        </w:rPr>
      </w:pPr>
    </w:p>
    <w:p w:rsidR="0047234A" w:rsidRPr="00F74FB1" w:rsidRDefault="0047234A" w:rsidP="00A314F9">
      <w:pPr>
        <w:pStyle w:val="Paragrafi"/>
        <w:rPr>
          <w:szCs w:val="22"/>
        </w:rPr>
      </w:pPr>
    </w:p>
    <w:p w:rsidR="0047234A" w:rsidRPr="00F74FB1" w:rsidRDefault="0047234A" w:rsidP="00A314F9">
      <w:pPr>
        <w:pStyle w:val="Akti"/>
        <w:keepNext w:val="0"/>
      </w:pPr>
      <w:r w:rsidRPr="00F74FB1">
        <w:t>Vendim</w:t>
      </w:r>
    </w:p>
    <w:p w:rsidR="0047234A" w:rsidRPr="00F74FB1" w:rsidRDefault="0047234A" w:rsidP="00A314F9">
      <w:pPr>
        <w:pStyle w:val="NumriData"/>
        <w:keepNext w:val="0"/>
        <w:rPr>
          <w:szCs w:val="22"/>
        </w:rPr>
      </w:pPr>
      <w:r w:rsidRPr="00F74FB1">
        <w:rPr>
          <w:szCs w:val="22"/>
        </w:rPr>
        <w:t>Nr.287, datë 17.5.2006</w:t>
      </w:r>
    </w:p>
    <w:p w:rsidR="0047234A" w:rsidRPr="00F74FB1" w:rsidRDefault="0047234A" w:rsidP="00A314F9">
      <w:pPr>
        <w:pStyle w:val="Paragrafi"/>
        <w:rPr>
          <w:szCs w:val="22"/>
        </w:rPr>
      </w:pPr>
    </w:p>
    <w:p w:rsidR="0047234A" w:rsidRPr="00F74FB1" w:rsidRDefault="0047234A" w:rsidP="00A314F9">
      <w:pPr>
        <w:pStyle w:val="Titulli"/>
        <w:keepNext w:val="0"/>
      </w:pPr>
      <w:r w:rsidRPr="00F74FB1">
        <w:t>Për përfitimet e studentëve nga përdorimi i kartës së studentit, me tar</w:t>
      </w:r>
      <w:r w:rsidR="007F0EE7">
        <w:t>ifa të reduktuara për shërbimet</w:t>
      </w:r>
      <w:r w:rsidRPr="00F74FB1">
        <w:t xml:space="preserve"> që ofrojnë entet publike</w:t>
      </w:r>
    </w:p>
    <w:p w:rsidR="0047234A" w:rsidRPr="00F74FB1" w:rsidRDefault="0047234A" w:rsidP="00A314F9">
      <w:pPr>
        <w:pStyle w:val="Paragrafi"/>
        <w:rPr>
          <w:szCs w:val="22"/>
        </w:rPr>
      </w:pPr>
    </w:p>
    <w:p w:rsidR="0047234A" w:rsidRPr="00F74FB1" w:rsidRDefault="007F0EE7" w:rsidP="00A314F9">
      <w:pPr>
        <w:pStyle w:val="BazLigjPropozues"/>
        <w:keepNext w:val="0"/>
      </w:pPr>
      <w:r>
        <w:t>Në mbështetje të nenit 100</w:t>
      </w:r>
      <w:r w:rsidR="0047234A" w:rsidRPr="00F74FB1">
        <w:t xml:space="preserve"> të Kushtetutës, dhe të </w:t>
      </w:r>
      <w:r>
        <w:t>shkronjës “a” të pikës 2 të nenit 32</w:t>
      </w:r>
      <w:r w:rsidR="0047234A" w:rsidRPr="00F74FB1">
        <w:t xml:space="preserve"> të</w:t>
      </w:r>
      <w:r w:rsidR="00D51FE0">
        <w:t xml:space="preserve"> ligjit nr</w:t>
      </w:r>
      <w:r>
        <w:t>.8461, datë 25.2.1999</w:t>
      </w:r>
      <w:r w:rsidR="0047234A" w:rsidRPr="00F74FB1">
        <w:t xml:space="preserve"> “Për arsimin e lartë në Republikën e Shqipërisë”, të ndryshuar, me propozimin e Ministrit të Turizmit, Kulturës, Rinisë dhe Sporteve, Këshilli i Ministrave</w:t>
      </w:r>
    </w:p>
    <w:p w:rsidR="0047234A" w:rsidRPr="00F74FB1" w:rsidRDefault="0047234A" w:rsidP="00A314F9">
      <w:pPr>
        <w:pStyle w:val="Paragrafi"/>
        <w:rPr>
          <w:szCs w:val="22"/>
        </w:rPr>
      </w:pPr>
    </w:p>
    <w:p w:rsidR="0047234A" w:rsidRPr="00F74FB1" w:rsidRDefault="0047234A" w:rsidP="00A314F9">
      <w:pPr>
        <w:pStyle w:val="VENDOSI"/>
        <w:keepNext w:val="0"/>
      </w:pPr>
      <w:r w:rsidRPr="00F74FB1">
        <w:t>Vendosi:</w:t>
      </w:r>
    </w:p>
    <w:p w:rsidR="0047234A" w:rsidRPr="00F74FB1" w:rsidRDefault="0047234A" w:rsidP="00A314F9">
      <w:pPr>
        <w:pStyle w:val="Paragrafi"/>
        <w:rPr>
          <w:szCs w:val="22"/>
        </w:rPr>
      </w:pPr>
    </w:p>
    <w:p w:rsidR="0047234A" w:rsidRPr="00F74FB1" w:rsidRDefault="0047234A" w:rsidP="00A314F9">
      <w:pPr>
        <w:pStyle w:val="Paragrafi"/>
        <w:rPr>
          <w:szCs w:val="22"/>
        </w:rPr>
      </w:pPr>
      <w:r w:rsidRPr="00F74FB1">
        <w:rPr>
          <w:szCs w:val="22"/>
        </w:rPr>
        <w:t>1. Studentët e pajisur me Kartën e Studentit nga Ministria e Turizmit, Kulturës, Rinisë dhe Sporteve, për shërbimet e ofruara nga entet publike, institucione kulturore, përfitojnë shërbime me tarifa të r</w:t>
      </w:r>
      <w:r w:rsidR="007F0EE7">
        <w:rPr>
          <w:szCs w:val="22"/>
        </w:rPr>
        <w:t>eduktuara, në masën 50 për qind</w:t>
      </w:r>
      <w:r w:rsidRPr="00F74FB1">
        <w:rPr>
          <w:szCs w:val="22"/>
        </w:rPr>
        <w:t xml:space="preserve"> të çmimit të miratuar të biletave për këto institucione.</w:t>
      </w:r>
    </w:p>
    <w:p w:rsidR="0047234A" w:rsidRPr="00F74FB1" w:rsidRDefault="0047234A" w:rsidP="00A314F9">
      <w:pPr>
        <w:pStyle w:val="Paragrafi"/>
        <w:rPr>
          <w:szCs w:val="22"/>
        </w:rPr>
      </w:pPr>
      <w:r w:rsidRPr="00F74FB1">
        <w:rPr>
          <w:szCs w:val="22"/>
        </w:rPr>
        <w:t>2. Ngarkohen institucionet e përcaktuara në pikën 1 për zbatimin e këtij vendimi.</w:t>
      </w:r>
    </w:p>
    <w:p w:rsidR="0047234A" w:rsidRPr="00F74FB1" w:rsidRDefault="0047234A" w:rsidP="00A314F9">
      <w:pPr>
        <w:pStyle w:val="Paragrafi"/>
        <w:rPr>
          <w:szCs w:val="22"/>
        </w:rPr>
      </w:pPr>
      <w:r w:rsidRPr="00F74FB1">
        <w:rPr>
          <w:szCs w:val="22"/>
        </w:rPr>
        <w:t>3. Efektet financiare, që rrjedhin nga zbatimi i këtij vendimi, të përballohen nga vetë institucionet.</w:t>
      </w:r>
    </w:p>
    <w:p w:rsidR="0047234A" w:rsidRPr="00F74FB1" w:rsidRDefault="0047234A" w:rsidP="00A314F9">
      <w:pPr>
        <w:pStyle w:val="Paragrafi"/>
        <w:rPr>
          <w:szCs w:val="22"/>
        </w:rPr>
      </w:pPr>
      <w:r w:rsidRPr="00F74FB1">
        <w:rPr>
          <w:szCs w:val="22"/>
        </w:rPr>
        <w:t>Ky vendim hyn në fuqi pas botimit në Fletoren Zyrtare.</w:t>
      </w:r>
    </w:p>
    <w:p w:rsidR="0047234A" w:rsidRPr="00F74FB1" w:rsidRDefault="0047234A" w:rsidP="00A314F9">
      <w:pPr>
        <w:pStyle w:val="Paragrafi"/>
        <w:rPr>
          <w:szCs w:val="22"/>
        </w:rPr>
      </w:pPr>
    </w:p>
    <w:p w:rsidR="0047234A" w:rsidRPr="00F74FB1" w:rsidRDefault="0047234A" w:rsidP="00A314F9">
      <w:pPr>
        <w:pStyle w:val="Autoriteti"/>
        <w:keepNext w:val="0"/>
      </w:pPr>
      <w:r w:rsidRPr="00F74FB1">
        <w:t>Kryeministri</w:t>
      </w:r>
    </w:p>
    <w:p w:rsidR="0047234A" w:rsidRPr="00F74FB1" w:rsidRDefault="0047234A" w:rsidP="00A314F9">
      <w:pPr>
        <w:pStyle w:val="AutoritetiEmer"/>
      </w:pPr>
      <w:r w:rsidRPr="00F74FB1">
        <w:t>Sali Berisha</w:t>
      </w:r>
    </w:p>
    <w:p w:rsidR="00C92027" w:rsidRDefault="00C92027" w:rsidP="00A314F9">
      <w:pPr>
        <w:pStyle w:val="Akti"/>
        <w:keepNext w:val="0"/>
      </w:pPr>
    </w:p>
    <w:p w:rsidR="00C92027" w:rsidRDefault="00C92027" w:rsidP="00A314F9">
      <w:pPr>
        <w:pStyle w:val="Akti"/>
        <w:keepNext w:val="0"/>
      </w:pPr>
    </w:p>
    <w:p w:rsidR="00C92027" w:rsidRDefault="00C92027" w:rsidP="00A314F9">
      <w:pPr>
        <w:pStyle w:val="Akti"/>
        <w:keepNext w:val="0"/>
      </w:pPr>
    </w:p>
    <w:p w:rsidR="00C92027" w:rsidRDefault="00C92027" w:rsidP="00A314F9">
      <w:pPr>
        <w:pStyle w:val="Akti"/>
        <w:keepNext w:val="0"/>
      </w:pPr>
    </w:p>
    <w:p w:rsidR="00C92027" w:rsidRDefault="00C92027" w:rsidP="00A314F9">
      <w:pPr>
        <w:pStyle w:val="Akti"/>
        <w:keepNext w:val="0"/>
      </w:pPr>
    </w:p>
    <w:p w:rsidR="00C92027" w:rsidRDefault="00C92027" w:rsidP="00A314F9">
      <w:pPr>
        <w:pStyle w:val="Akti"/>
        <w:keepNext w:val="0"/>
      </w:pPr>
    </w:p>
    <w:p w:rsidR="0047234A" w:rsidRPr="00F74FB1" w:rsidRDefault="0047234A" w:rsidP="00A314F9">
      <w:pPr>
        <w:pStyle w:val="Akti"/>
        <w:keepNext w:val="0"/>
      </w:pPr>
      <w:r w:rsidRPr="00F74FB1">
        <w:t>Vendim</w:t>
      </w:r>
    </w:p>
    <w:p w:rsidR="0047234A" w:rsidRPr="00F74FB1" w:rsidRDefault="0047234A" w:rsidP="00A314F9">
      <w:pPr>
        <w:pStyle w:val="NumriData"/>
        <w:keepNext w:val="0"/>
        <w:rPr>
          <w:szCs w:val="22"/>
        </w:rPr>
      </w:pPr>
      <w:r w:rsidRPr="00F74FB1">
        <w:rPr>
          <w:szCs w:val="22"/>
        </w:rPr>
        <w:t>Nr.289, datë 17.5.2006</w:t>
      </w:r>
    </w:p>
    <w:p w:rsidR="0047234A" w:rsidRPr="00F74FB1" w:rsidRDefault="0047234A" w:rsidP="00A314F9">
      <w:pPr>
        <w:pStyle w:val="Paragrafi"/>
        <w:rPr>
          <w:szCs w:val="22"/>
        </w:rPr>
      </w:pPr>
    </w:p>
    <w:p w:rsidR="0047234A" w:rsidRPr="00F74FB1" w:rsidRDefault="0047234A" w:rsidP="00A314F9">
      <w:pPr>
        <w:pStyle w:val="Titulli"/>
        <w:keepNext w:val="0"/>
      </w:pPr>
      <w:r w:rsidRPr="00F74FB1">
        <w:t>Për organizimin dhe fu</w:t>
      </w:r>
      <w:r w:rsidR="008A1A6D" w:rsidRPr="00F74FB1">
        <w:t>nksioni</w:t>
      </w:r>
      <w:r w:rsidR="007F0EE7">
        <w:t>MI</w:t>
      </w:r>
      <w:r w:rsidRPr="00F74FB1">
        <w:t xml:space="preserve">n e agjencisë së legalizimit, </w:t>
      </w:r>
      <w:r w:rsidRPr="00F74FB1">
        <w:lastRenderedPageBreak/>
        <w:t>urbanizimit dhe integrimit të zonave/ndërtimeve informale (Aluizni)</w:t>
      </w:r>
    </w:p>
    <w:p w:rsidR="0047234A" w:rsidRPr="00F74FB1" w:rsidRDefault="0047234A" w:rsidP="00A314F9">
      <w:pPr>
        <w:pStyle w:val="Paragrafi"/>
        <w:rPr>
          <w:szCs w:val="22"/>
        </w:rPr>
      </w:pPr>
    </w:p>
    <w:p w:rsidR="0047234A" w:rsidRPr="00F74FB1" w:rsidRDefault="0047234A" w:rsidP="00A314F9">
      <w:pPr>
        <w:pStyle w:val="Paragrafi"/>
        <w:rPr>
          <w:szCs w:val="22"/>
        </w:rPr>
      </w:pPr>
      <w:r w:rsidRPr="00F74FB1">
        <w:rPr>
          <w:szCs w:val="22"/>
        </w:rPr>
        <w:t>Në mbështetje të nenit 100 të K</w:t>
      </w:r>
      <w:r w:rsidR="004912AD">
        <w:rPr>
          <w:szCs w:val="22"/>
        </w:rPr>
        <w:t>ushtetutës dhe të neneve 4 e 46</w:t>
      </w:r>
      <w:r w:rsidRPr="00F74FB1">
        <w:rPr>
          <w:szCs w:val="22"/>
        </w:rPr>
        <w:t xml:space="preserve"> të</w:t>
      </w:r>
      <w:r w:rsidR="004912AD">
        <w:rPr>
          <w:szCs w:val="22"/>
        </w:rPr>
        <w:t xml:space="preserve"> ligjit nr.9482, datë 16.2.2006</w:t>
      </w:r>
      <w:r w:rsidRPr="00F74FB1">
        <w:rPr>
          <w:szCs w:val="22"/>
        </w:rPr>
        <w:t xml:space="preserve"> “Për legalizimin, urbanizimin dhe integrimin e ndërtimeve pa leje”, me propozimin e Ministrit të Punëve Publike, Transportit dhe Telekomunikacionit, Këshilli i Ministrave</w:t>
      </w:r>
    </w:p>
    <w:p w:rsidR="0047234A" w:rsidRPr="00F74FB1" w:rsidRDefault="0047234A" w:rsidP="00A314F9">
      <w:pPr>
        <w:pStyle w:val="Paragrafi"/>
        <w:rPr>
          <w:szCs w:val="22"/>
        </w:rPr>
      </w:pPr>
    </w:p>
    <w:p w:rsidR="0047234A" w:rsidRPr="00F74FB1" w:rsidRDefault="0047234A" w:rsidP="00A314F9">
      <w:pPr>
        <w:pStyle w:val="VENDOSI"/>
        <w:keepNext w:val="0"/>
      </w:pPr>
      <w:r w:rsidRPr="00F74FB1">
        <w:t>Vendosi:</w:t>
      </w:r>
    </w:p>
    <w:p w:rsidR="0047234A" w:rsidRPr="00F74FB1" w:rsidRDefault="0047234A" w:rsidP="00A314F9">
      <w:pPr>
        <w:pStyle w:val="Paragrafi"/>
        <w:rPr>
          <w:szCs w:val="22"/>
        </w:rPr>
      </w:pPr>
    </w:p>
    <w:p w:rsidR="0047234A" w:rsidRPr="00F74FB1" w:rsidRDefault="0047234A" w:rsidP="00A314F9">
      <w:pPr>
        <w:pStyle w:val="Paragrafi"/>
        <w:rPr>
          <w:szCs w:val="22"/>
        </w:rPr>
      </w:pPr>
      <w:r w:rsidRPr="00F74FB1">
        <w:rPr>
          <w:szCs w:val="22"/>
        </w:rPr>
        <w:t xml:space="preserve">1. Agjencia e Legalizimit, Urbanizimit dhe Integrimit të Zonave/Ndërtimeve Informale në Republikën e Shqipërisë, me poshtë e quajtur ALUIZNI, është institucion qendror, person juridik, </w:t>
      </w:r>
      <w:r w:rsidR="004912AD">
        <w:rPr>
          <w:szCs w:val="22"/>
        </w:rPr>
        <w:t xml:space="preserve">publik, </w:t>
      </w:r>
      <w:r w:rsidRPr="00F74FB1">
        <w:rPr>
          <w:szCs w:val="22"/>
        </w:rPr>
        <w:t>në varësi të Ministrit të Punëve Publike, Transportit dhe Telekomunikacionit.</w:t>
      </w:r>
    </w:p>
    <w:p w:rsidR="0047234A" w:rsidRPr="00F74FB1" w:rsidRDefault="004912AD" w:rsidP="00A314F9">
      <w:pPr>
        <w:pStyle w:val="Paragrafi"/>
        <w:rPr>
          <w:szCs w:val="22"/>
        </w:rPr>
      </w:pPr>
      <w:r>
        <w:rPr>
          <w:szCs w:val="22"/>
        </w:rPr>
        <w:t>2. ALUIZNI ka zyrën qendrore</w:t>
      </w:r>
      <w:r w:rsidR="0047234A" w:rsidRPr="00F74FB1">
        <w:rPr>
          <w:szCs w:val="22"/>
        </w:rPr>
        <w:t xml:space="preserve"> në Tiranë, zyra në nivel qarku dhe zyra në njësi të veçanta të qeverisjes  vendore. Zyrat në njësitë e veçanta të qeverisjes vendore përcaktohen me vendim të veçantë të Këshillit të Ministrave, me propozimin e Ministrit të Punëve Publike, Transportit dhe Telekomunikacionit, sipas nevojave dhe përparësive.</w:t>
      </w:r>
    </w:p>
    <w:p w:rsidR="0047234A" w:rsidRPr="00F74FB1" w:rsidRDefault="0047234A" w:rsidP="00A314F9">
      <w:pPr>
        <w:pStyle w:val="Paragrafi"/>
        <w:rPr>
          <w:szCs w:val="22"/>
        </w:rPr>
      </w:pPr>
      <w:r w:rsidRPr="00F74FB1">
        <w:rPr>
          <w:szCs w:val="22"/>
        </w:rPr>
        <w:t>3. ALUIZNI përmbush objektivat, kryen detyrat dhe ushtron përgjegjësitë e përcaktuara n</w:t>
      </w:r>
      <w:r w:rsidR="004912AD">
        <w:rPr>
          <w:szCs w:val="22"/>
        </w:rPr>
        <w:t>ë ligjin nr.9482, datë 3.4.2006</w:t>
      </w:r>
      <w:r w:rsidRPr="00F74FB1">
        <w:rPr>
          <w:szCs w:val="22"/>
        </w:rPr>
        <w:t xml:space="preserve"> “Për legalizimin, urbanizimin dhe integrimin e ndërtimeve pa leje”.</w:t>
      </w:r>
    </w:p>
    <w:p w:rsidR="0047234A" w:rsidRPr="00F74FB1" w:rsidRDefault="0047234A" w:rsidP="00A314F9">
      <w:pPr>
        <w:pStyle w:val="Paragrafi"/>
        <w:rPr>
          <w:szCs w:val="22"/>
        </w:rPr>
      </w:pPr>
      <w:r w:rsidRPr="00F74FB1">
        <w:rPr>
          <w:szCs w:val="22"/>
        </w:rPr>
        <w:t>4. Org</w:t>
      </w:r>
      <w:r w:rsidR="004912AD">
        <w:rPr>
          <w:szCs w:val="22"/>
        </w:rPr>
        <w:t>anika dhe struktura e ALUIZNI</w:t>
      </w:r>
      <w:r w:rsidR="009D0F82">
        <w:rPr>
          <w:szCs w:val="22"/>
        </w:rPr>
        <w:t>-t</w:t>
      </w:r>
      <w:r w:rsidRPr="00F74FB1">
        <w:rPr>
          <w:szCs w:val="22"/>
        </w:rPr>
        <w:t>, në qendër, në qark dhe në njësitë e veçanta të qeverisjes vendore përcaktohen me urdhër të Kryeministrit, me propozimin e Ministrit të Punëve Publike, Transportit dhe Telekomunikacionit.</w:t>
      </w:r>
    </w:p>
    <w:p w:rsidR="0047234A" w:rsidRPr="00F74FB1" w:rsidRDefault="0047234A" w:rsidP="00A314F9">
      <w:pPr>
        <w:pStyle w:val="Paragrafi"/>
        <w:rPr>
          <w:szCs w:val="22"/>
        </w:rPr>
      </w:pPr>
      <w:r w:rsidRPr="00F74FB1">
        <w:rPr>
          <w:szCs w:val="22"/>
        </w:rPr>
        <w:t>5. AL</w:t>
      </w:r>
      <w:r w:rsidR="009F628A">
        <w:rPr>
          <w:szCs w:val="22"/>
        </w:rPr>
        <w:t>UIZNI drejtohet nga drejtori i p</w:t>
      </w:r>
      <w:r w:rsidRPr="00F74FB1">
        <w:rPr>
          <w:szCs w:val="22"/>
        </w:rPr>
        <w:t>ërgjithshëm dhe 3 (tre) zëvendësdrejtorë. Tre zëvendësdrejtorët dre</w:t>
      </w:r>
      <w:r w:rsidR="009F628A">
        <w:rPr>
          <w:szCs w:val="22"/>
        </w:rPr>
        <w:t>jtojnë përkatësisht edhe struktu</w:t>
      </w:r>
      <w:r w:rsidRPr="00F74FB1">
        <w:rPr>
          <w:szCs w:val="22"/>
        </w:rPr>
        <w:t>rat e mëposhtme:</w:t>
      </w:r>
    </w:p>
    <w:p w:rsidR="0047234A" w:rsidRPr="00F74FB1" w:rsidRDefault="0047234A" w:rsidP="00A314F9">
      <w:pPr>
        <w:pStyle w:val="Paragrafi"/>
        <w:rPr>
          <w:szCs w:val="22"/>
        </w:rPr>
      </w:pPr>
      <w:r w:rsidRPr="00F74FB1">
        <w:rPr>
          <w:szCs w:val="22"/>
        </w:rPr>
        <w:t>a) Drejtorinë e legalizimit dh</w:t>
      </w:r>
      <w:r w:rsidR="009D0F82">
        <w:rPr>
          <w:szCs w:val="22"/>
        </w:rPr>
        <w:t>e të kompensimit, përgjegjëse p</w:t>
      </w:r>
      <w:r w:rsidRPr="00F74FB1">
        <w:rPr>
          <w:szCs w:val="22"/>
        </w:rPr>
        <w:t>ë</w:t>
      </w:r>
      <w:r w:rsidR="009D0F82">
        <w:rPr>
          <w:szCs w:val="22"/>
        </w:rPr>
        <w:t>r</w:t>
      </w:r>
      <w:r w:rsidRPr="00F74FB1">
        <w:rPr>
          <w:szCs w:val="22"/>
        </w:rPr>
        <w:t xml:space="preserve"> zbatimin teknik të procesit të legalizimit, përfshi procesin e kompensimit të pronave private, që preken nga ky ligj;</w:t>
      </w:r>
    </w:p>
    <w:p w:rsidR="0047234A" w:rsidRPr="00F74FB1" w:rsidRDefault="0047234A" w:rsidP="00A314F9">
      <w:pPr>
        <w:pStyle w:val="Paragrafi"/>
        <w:rPr>
          <w:szCs w:val="22"/>
        </w:rPr>
      </w:pPr>
      <w:r w:rsidRPr="00F74FB1">
        <w:rPr>
          <w:szCs w:val="22"/>
        </w:rPr>
        <w:t xml:space="preserve">b) </w:t>
      </w:r>
      <w:r w:rsidR="00C37266" w:rsidRPr="00F74FB1">
        <w:rPr>
          <w:szCs w:val="22"/>
        </w:rPr>
        <w:t>Drejtori</w:t>
      </w:r>
      <w:r w:rsidRPr="00F74FB1">
        <w:rPr>
          <w:szCs w:val="22"/>
        </w:rPr>
        <w:t>në e regjistrimit fillestar të ndërtimeve pa leje, përgjegjëse për evidentimin dhe përgatitjen e dokumentacionit për regjistrimin e truallit dhe të ndërtimit pa leje.</w:t>
      </w:r>
    </w:p>
    <w:p w:rsidR="0047234A" w:rsidRPr="00F74FB1" w:rsidRDefault="0047234A" w:rsidP="00A314F9">
      <w:pPr>
        <w:pStyle w:val="Paragrafi"/>
        <w:rPr>
          <w:szCs w:val="22"/>
        </w:rPr>
      </w:pPr>
      <w:r w:rsidRPr="00F74FB1">
        <w:rPr>
          <w:szCs w:val="22"/>
        </w:rPr>
        <w:t>c) Drejtorinë e mbikëqyrjes, ankimimit dhe kontrollit të zbatimit të ligjshmërisë, përfshi çështje të administratës dhe infrastrukturës ndihmëse, në funksion të mirëfunksionimit të ALUIZNI-it.</w:t>
      </w:r>
    </w:p>
    <w:p w:rsidR="0047234A" w:rsidRPr="00F74FB1" w:rsidRDefault="009D0F82" w:rsidP="00A314F9">
      <w:pPr>
        <w:pStyle w:val="Paragrafi"/>
        <w:rPr>
          <w:szCs w:val="22"/>
        </w:rPr>
      </w:pPr>
      <w:r>
        <w:rPr>
          <w:szCs w:val="22"/>
        </w:rPr>
        <w:t>6. Drejtori i përgjithshëm i ALUIZNI-</w:t>
      </w:r>
      <w:r w:rsidR="0047234A" w:rsidRPr="00F74FB1">
        <w:rPr>
          <w:szCs w:val="22"/>
        </w:rPr>
        <w:t>t emërohet, lirohet ose shkarkohet me vendim të Këshillit të Ministrave, ndërsa zëvendësdrejtorët emërohen, lirohen dhe shkarkohen nga Kryeministri, me propozimin e Ministrit të Punëve Publike, Transportit dhe Telekomunikacionit.</w:t>
      </w:r>
    </w:p>
    <w:p w:rsidR="0047234A" w:rsidRPr="00F74FB1" w:rsidRDefault="0006491E" w:rsidP="00A314F9">
      <w:pPr>
        <w:pStyle w:val="Paragrafi"/>
        <w:rPr>
          <w:szCs w:val="22"/>
        </w:rPr>
      </w:pPr>
      <w:r>
        <w:rPr>
          <w:szCs w:val="22"/>
        </w:rPr>
        <w:t>7. Personeli i ALUIZNI-</w:t>
      </w:r>
      <w:r w:rsidR="0047234A" w:rsidRPr="00F74FB1">
        <w:rPr>
          <w:szCs w:val="22"/>
        </w:rPr>
        <w:t>t duhet të plotësojë kërkesat e përgjithshme, të përcaktuara  në legjislacionin e shërbimit civil, dhe kërkesat e veçanta,</w:t>
      </w:r>
      <w:r>
        <w:rPr>
          <w:szCs w:val="22"/>
        </w:rPr>
        <w:t xml:space="preserve"> që përcaktohen nga drejtori i p</w:t>
      </w:r>
      <w:r w:rsidR="006C1160">
        <w:rPr>
          <w:szCs w:val="22"/>
        </w:rPr>
        <w:t>ërgjithshëm</w:t>
      </w:r>
      <w:r w:rsidR="0047234A" w:rsidRPr="00F74FB1">
        <w:rPr>
          <w:szCs w:val="22"/>
        </w:rPr>
        <w:t xml:space="preserve">. ALUIZNI rekruton personel, specialistë, </w:t>
      </w:r>
      <w:r w:rsidR="006C1160">
        <w:rPr>
          <w:szCs w:val="22"/>
        </w:rPr>
        <w:t xml:space="preserve">të </w:t>
      </w:r>
      <w:r w:rsidR="0047234A" w:rsidRPr="00F74FB1">
        <w:rPr>
          <w:szCs w:val="22"/>
        </w:rPr>
        <w:t>diplomuar në degët drejtësi, urbanistikë, arkitekturë, inxhinieri, specialistë për vlerësim pasurish të paluajtshme dhe topografë. Marrëdhëniet e punës rregullohen me</w:t>
      </w:r>
      <w:r w:rsidR="006C1160">
        <w:rPr>
          <w:szCs w:val="22"/>
        </w:rPr>
        <w:t xml:space="preserve"> ligjin nr.7961, datë 12.7.1995</w:t>
      </w:r>
      <w:r w:rsidR="0047234A" w:rsidRPr="00F74FB1">
        <w:rPr>
          <w:szCs w:val="22"/>
        </w:rPr>
        <w:t xml:space="preserve"> “Për Kodin e Punës së Republikës së Shqipërisë”, të ndryshuar.</w:t>
      </w:r>
    </w:p>
    <w:p w:rsidR="0047234A" w:rsidRPr="00F74FB1" w:rsidRDefault="005B4327" w:rsidP="00A314F9">
      <w:pPr>
        <w:pStyle w:val="Paragrafi"/>
        <w:rPr>
          <w:szCs w:val="22"/>
        </w:rPr>
      </w:pPr>
      <w:r>
        <w:rPr>
          <w:szCs w:val="22"/>
        </w:rPr>
        <w:t>8. ALUIZNI financohet nga Buxheti i S</w:t>
      </w:r>
      <w:r w:rsidR="0047234A" w:rsidRPr="00F74FB1">
        <w:rPr>
          <w:szCs w:val="22"/>
        </w:rPr>
        <w:t>htetit dhe nga donacione të huaja.</w:t>
      </w:r>
    </w:p>
    <w:p w:rsidR="0047234A" w:rsidRPr="00F74FB1" w:rsidRDefault="0047234A" w:rsidP="00A314F9">
      <w:pPr>
        <w:pStyle w:val="Paragrafi"/>
        <w:rPr>
          <w:szCs w:val="22"/>
        </w:rPr>
      </w:pPr>
      <w:r w:rsidRPr="00F74FB1">
        <w:rPr>
          <w:szCs w:val="22"/>
        </w:rPr>
        <w:t>9. Ministri i Punëve Publike, Transportit dhe Telekomunikacionit miraton rregulloren e brendshme të funksionimit të ALUIZNI-it.</w:t>
      </w:r>
    </w:p>
    <w:p w:rsidR="0047234A" w:rsidRDefault="0047234A" w:rsidP="00A314F9">
      <w:pPr>
        <w:pStyle w:val="Paragrafi"/>
        <w:rPr>
          <w:szCs w:val="22"/>
        </w:rPr>
      </w:pPr>
      <w:r w:rsidRPr="00F74FB1">
        <w:rPr>
          <w:szCs w:val="22"/>
        </w:rPr>
        <w:t>10.</w:t>
      </w:r>
      <w:r w:rsidR="005B4327">
        <w:rPr>
          <w:szCs w:val="22"/>
        </w:rPr>
        <w:t xml:space="preserve"> Zyrat e ALUIZNI-</w:t>
      </w:r>
      <w:r w:rsidR="00F1380D">
        <w:rPr>
          <w:szCs w:val="22"/>
        </w:rPr>
        <w:t>t, në nivel qarku</w:t>
      </w:r>
      <w:r w:rsidRPr="00F74FB1">
        <w:rPr>
          <w:szCs w:val="22"/>
        </w:rPr>
        <w:t xml:space="preserve"> funk</w:t>
      </w:r>
      <w:r w:rsidR="00F1380D">
        <w:rPr>
          <w:szCs w:val="22"/>
        </w:rPr>
        <w:t>sionojnë në çdo qark, me vendnd</w:t>
      </w:r>
      <w:r w:rsidRPr="00F74FB1">
        <w:rPr>
          <w:szCs w:val="22"/>
        </w:rPr>
        <w:t>odhje në administratën e prefektit. Prefekti jo më vonë se 10 ditë nga hyrja në fuqi e këtij vendimi siguron mjediset e përshtatshme për funksionimin e zyrave dhe merr masa për mbarëvajtjen e veprimtarisë së tyre.</w:t>
      </w:r>
    </w:p>
    <w:p w:rsidR="00C92027" w:rsidRDefault="00C92027" w:rsidP="00A314F9">
      <w:pPr>
        <w:pStyle w:val="Paragrafi"/>
        <w:rPr>
          <w:szCs w:val="22"/>
        </w:rPr>
      </w:pPr>
    </w:p>
    <w:p w:rsidR="00C92027" w:rsidRDefault="00C92027" w:rsidP="00A314F9">
      <w:pPr>
        <w:pStyle w:val="Paragrafi"/>
        <w:rPr>
          <w:szCs w:val="22"/>
        </w:rPr>
      </w:pPr>
    </w:p>
    <w:p w:rsidR="00C92027" w:rsidRPr="00F74FB1" w:rsidRDefault="00C92027" w:rsidP="00A314F9">
      <w:pPr>
        <w:pStyle w:val="Paragrafi"/>
        <w:rPr>
          <w:szCs w:val="22"/>
        </w:rPr>
      </w:pPr>
    </w:p>
    <w:p w:rsidR="0047234A" w:rsidRPr="00F74FB1" w:rsidRDefault="0047234A" w:rsidP="00A314F9">
      <w:pPr>
        <w:pStyle w:val="Paragrafi"/>
        <w:rPr>
          <w:szCs w:val="22"/>
        </w:rPr>
      </w:pPr>
      <w:r w:rsidRPr="00F74FB1">
        <w:rPr>
          <w:szCs w:val="22"/>
        </w:rPr>
        <w:t>11. Prefekti, në bashkëpunim me njësitë e qeverisjes vendore, brenda 10 ditëve nga hyrja në fuqi e këtij vendimi, identifikon dhe i propozon Ministrit të Punëve Publike, Transportit dhe Telekomunikacionit njësitë përkatëse të qeverisjes vendore, ku do të ngrihen zyrat e njësisë vendore të ALUIZNI-it, si dhe përcakton mjediset e përshtatshme të punës për këto zyra.</w:t>
      </w:r>
    </w:p>
    <w:p w:rsidR="0047234A" w:rsidRPr="00F74FB1" w:rsidRDefault="0047234A" w:rsidP="00A314F9">
      <w:pPr>
        <w:pStyle w:val="Paragrafi"/>
        <w:rPr>
          <w:szCs w:val="22"/>
        </w:rPr>
      </w:pPr>
      <w:r w:rsidRPr="00F74FB1">
        <w:rPr>
          <w:szCs w:val="22"/>
        </w:rPr>
        <w:t>12. Zyrat në nivel qarku dhe në njësitë e veçanta të qeverisjes ve</w:t>
      </w:r>
      <w:r w:rsidR="0037339E">
        <w:rPr>
          <w:szCs w:val="22"/>
        </w:rPr>
        <w:t>ndore raportojnë te drejtori i p</w:t>
      </w:r>
      <w:r w:rsidRPr="00F74FB1">
        <w:rPr>
          <w:szCs w:val="22"/>
        </w:rPr>
        <w:t>ërgjithshëm.</w:t>
      </w:r>
    </w:p>
    <w:p w:rsidR="0047234A" w:rsidRPr="00F74FB1" w:rsidRDefault="0047234A" w:rsidP="00A314F9">
      <w:pPr>
        <w:pStyle w:val="Paragrafi"/>
        <w:rPr>
          <w:szCs w:val="22"/>
        </w:rPr>
      </w:pPr>
      <w:r w:rsidRPr="00F74FB1">
        <w:rPr>
          <w:szCs w:val="22"/>
        </w:rPr>
        <w:t>13. Arkiva, mjetet e punës dhe logjistika e Agjencisë së Legalizimit dhe Urbanizimit të Zonave Informale (ALUIZNI), e krijuar sipas v</w:t>
      </w:r>
      <w:r w:rsidR="0037339E">
        <w:rPr>
          <w:szCs w:val="22"/>
        </w:rPr>
        <w:t>endimeve nr.440, datë 26.6.2003</w:t>
      </w:r>
      <w:r w:rsidR="00FA181B">
        <w:rPr>
          <w:szCs w:val="22"/>
        </w:rPr>
        <w:t>,</w:t>
      </w:r>
      <w:r w:rsidR="0037339E">
        <w:rPr>
          <w:szCs w:val="22"/>
        </w:rPr>
        <w:t xml:space="preserve"> dhe nr.241, datë </w:t>
      </w:r>
      <w:r w:rsidR="0037339E">
        <w:rPr>
          <w:szCs w:val="22"/>
        </w:rPr>
        <w:lastRenderedPageBreak/>
        <w:t>21.4.2005</w:t>
      </w:r>
      <w:r w:rsidRPr="00F74FB1">
        <w:rPr>
          <w:szCs w:val="22"/>
        </w:rPr>
        <w:t xml:space="preserve"> të Këshillit të Ministrave, të transferohen në administrim të ALUIZNI-t.</w:t>
      </w:r>
    </w:p>
    <w:p w:rsidR="0047234A" w:rsidRPr="00F74FB1" w:rsidRDefault="0047234A" w:rsidP="00A314F9">
      <w:pPr>
        <w:pStyle w:val="Paragrafi"/>
        <w:rPr>
          <w:szCs w:val="22"/>
        </w:rPr>
      </w:pPr>
      <w:r w:rsidRPr="00F74FB1">
        <w:rPr>
          <w:szCs w:val="22"/>
        </w:rPr>
        <w:t>14. Fondet buxhetore, të planifikuara për Agjencinë e Legalizimit dhe Urbanizimit të Zonave Informale (ALUIZNI), pas hyrjes në fuqi të këtij vendimi, të tran</w:t>
      </w:r>
      <w:r w:rsidR="0037339E">
        <w:rPr>
          <w:szCs w:val="22"/>
        </w:rPr>
        <w:t>sferohen në llogari të ALUIZNI-</w:t>
      </w:r>
      <w:r w:rsidRPr="00F74FB1">
        <w:rPr>
          <w:szCs w:val="22"/>
        </w:rPr>
        <w:t>t.</w:t>
      </w:r>
    </w:p>
    <w:p w:rsidR="0047234A" w:rsidRPr="00F74FB1" w:rsidRDefault="0047234A" w:rsidP="00A314F9">
      <w:pPr>
        <w:pStyle w:val="Paragrafi"/>
        <w:rPr>
          <w:szCs w:val="22"/>
        </w:rPr>
      </w:pPr>
      <w:r w:rsidRPr="00F74FB1">
        <w:rPr>
          <w:szCs w:val="22"/>
        </w:rPr>
        <w:t>15. Ngarkohen Ministri i Punëve Publike, Transportit dhe Telekomunikacionit dhe prefektët për zbatimin e këtij vendimi.</w:t>
      </w:r>
    </w:p>
    <w:p w:rsidR="0047234A" w:rsidRPr="00F74FB1" w:rsidRDefault="0047234A" w:rsidP="00A314F9">
      <w:pPr>
        <w:pStyle w:val="Paragrafi"/>
        <w:rPr>
          <w:szCs w:val="22"/>
        </w:rPr>
      </w:pPr>
      <w:r w:rsidRPr="00F74FB1">
        <w:rPr>
          <w:szCs w:val="22"/>
        </w:rPr>
        <w:t>Ky vendim hyn në fuqi menjëherë dhe botohet në Fletoren Zyrtare.</w:t>
      </w:r>
    </w:p>
    <w:p w:rsidR="0047234A" w:rsidRPr="00F74FB1" w:rsidRDefault="0047234A" w:rsidP="00A314F9">
      <w:pPr>
        <w:pStyle w:val="Paragrafi"/>
        <w:rPr>
          <w:szCs w:val="22"/>
        </w:rPr>
      </w:pPr>
    </w:p>
    <w:p w:rsidR="0047234A" w:rsidRPr="00F74FB1" w:rsidRDefault="0047234A" w:rsidP="00A314F9">
      <w:pPr>
        <w:pStyle w:val="Autoriteti"/>
        <w:keepNext w:val="0"/>
      </w:pPr>
      <w:r w:rsidRPr="00F74FB1">
        <w:t>Kryeministri</w:t>
      </w:r>
    </w:p>
    <w:p w:rsidR="0047234A" w:rsidRPr="00F74FB1" w:rsidRDefault="0047234A" w:rsidP="00A314F9">
      <w:pPr>
        <w:pStyle w:val="AutoritetiEmer"/>
      </w:pPr>
      <w:r w:rsidRPr="00F74FB1">
        <w:t>Sali Berisha</w:t>
      </w:r>
    </w:p>
    <w:p w:rsidR="0020336E" w:rsidRDefault="0020336E" w:rsidP="00332783">
      <w:pPr>
        <w:pStyle w:val="Paragrafi"/>
      </w:pPr>
    </w:p>
    <w:p w:rsidR="0059096C" w:rsidRDefault="0059096C" w:rsidP="00332783">
      <w:pPr>
        <w:pStyle w:val="Paragrafi"/>
      </w:pPr>
    </w:p>
    <w:p w:rsidR="004F2EF2" w:rsidRPr="00163E67" w:rsidRDefault="004F2EF2" w:rsidP="00332783">
      <w:pPr>
        <w:pStyle w:val="Paragrafi"/>
      </w:pPr>
      <w:r w:rsidRPr="00163E67">
        <w:t> </w:t>
      </w:r>
    </w:p>
    <w:p w:rsidR="004F2EF2" w:rsidRPr="00163E67" w:rsidRDefault="004F2EF2" w:rsidP="00332783">
      <w:pPr>
        <w:pStyle w:val="Paragrafi"/>
      </w:pPr>
      <w:r w:rsidRPr="00163E67">
        <w:t> </w:t>
      </w:r>
    </w:p>
    <w:p w:rsidR="006E74CB" w:rsidRDefault="00CD67DB" w:rsidP="00A314F9">
      <w:pPr>
        <w:pStyle w:val="Akti"/>
        <w:keepNext w:val="0"/>
      </w:pPr>
      <w:r w:rsidRPr="00290AC6">
        <w:t> </w:t>
      </w:r>
      <w:r w:rsidR="006E74CB" w:rsidRPr="00290AC6">
        <w:t>V E N D I M</w:t>
      </w:r>
    </w:p>
    <w:p w:rsidR="00A314F9" w:rsidRPr="00A314F9" w:rsidRDefault="00A314F9" w:rsidP="00A314F9">
      <w:pPr>
        <w:pStyle w:val="NumriData"/>
      </w:pPr>
      <w:r>
        <w:t>Nr.14, datë 22.</w:t>
      </w:r>
      <w:r w:rsidRPr="00A314F9">
        <w:t>5.2006</w:t>
      </w:r>
    </w:p>
    <w:p w:rsidR="00065F6D" w:rsidRPr="00290AC6" w:rsidRDefault="00065F6D" w:rsidP="00A314F9">
      <w:pPr>
        <w:pStyle w:val="Akti"/>
        <w:keepNext w:val="0"/>
      </w:pPr>
    </w:p>
    <w:p w:rsidR="006E74CB" w:rsidRPr="00ED1DFB" w:rsidRDefault="006E74CB" w:rsidP="00ED1DFB">
      <w:pPr>
        <w:pStyle w:val="Titulli"/>
        <w:rPr>
          <w:b w:val="0"/>
        </w:rPr>
      </w:pPr>
      <w:r w:rsidRPr="00ED1DFB">
        <w:rPr>
          <w:b w:val="0"/>
        </w:rPr>
        <w:t>NË EMËR TË REPUBLIKËS SË SHQIPËRISË</w:t>
      </w:r>
    </w:p>
    <w:p w:rsidR="006E74CB" w:rsidRPr="00290AC6" w:rsidRDefault="006E74CB" w:rsidP="00332783">
      <w:pPr>
        <w:pStyle w:val="Paragrafi"/>
        <w:rPr>
          <w:lang w:val="sq-AL"/>
        </w:rPr>
      </w:pPr>
    </w:p>
    <w:p w:rsidR="006E74CB" w:rsidRDefault="006E74CB" w:rsidP="00332783">
      <w:pPr>
        <w:pStyle w:val="Paragrafi"/>
        <w:rPr>
          <w:lang w:val="sq-AL"/>
        </w:rPr>
      </w:pPr>
      <w:r w:rsidRPr="00290AC6">
        <w:rPr>
          <w:lang w:val="sq-AL"/>
        </w:rPr>
        <w:t>Gjykata Kushtetuese e Republikës së Shqipërisë, e përbërë nga:</w:t>
      </w:r>
    </w:p>
    <w:p w:rsidR="00290AC6" w:rsidRPr="00290AC6" w:rsidRDefault="00290AC6" w:rsidP="00332783">
      <w:pPr>
        <w:pStyle w:val="Paragrafi"/>
        <w:rPr>
          <w:lang w:val="sq-AL"/>
        </w:rPr>
      </w:pPr>
    </w:p>
    <w:p w:rsidR="006E74CB" w:rsidRPr="00290AC6" w:rsidRDefault="00290AC6" w:rsidP="00332783">
      <w:pPr>
        <w:pStyle w:val="Paragrafi"/>
        <w:rPr>
          <w:lang w:val="sq-AL"/>
        </w:rPr>
      </w:pPr>
      <w:r>
        <w:rPr>
          <w:lang w:val="sq-AL"/>
        </w:rPr>
        <w:t>Gjergj Sauli</w:t>
      </w:r>
      <w:r w:rsidR="006E74CB" w:rsidRPr="00290AC6">
        <w:rPr>
          <w:lang w:val="sq-AL"/>
        </w:rPr>
        <w:tab/>
      </w:r>
      <w:r w:rsidR="006E74CB" w:rsidRPr="00290AC6">
        <w:rPr>
          <w:lang w:val="sq-AL"/>
        </w:rPr>
        <w:tab/>
      </w:r>
      <w:r w:rsidR="006E74CB" w:rsidRPr="00290AC6">
        <w:rPr>
          <w:lang w:val="sq-AL"/>
        </w:rPr>
        <w:tab/>
        <w:t>Kryetar  i Gjykatës Kushtetuese</w:t>
      </w:r>
    </w:p>
    <w:p w:rsidR="006E74CB" w:rsidRPr="00290AC6" w:rsidRDefault="00290AC6" w:rsidP="00332783">
      <w:pPr>
        <w:pStyle w:val="Paragrafi"/>
        <w:rPr>
          <w:lang w:val="sq-AL"/>
        </w:rPr>
      </w:pPr>
      <w:r>
        <w:rPr>
          <w:lang w:val="sq-AL"/>
        </w:rPr>
        <w:t>Fehmi Abdiu</w:t>
      </w:r>
      <w:r w:rsidR="006E74CB" w:rsidRPr="00290AC6">
        <w:rPr>
          <w:lang w:val="sq-AL"/>
        </w:rPr>
        <w:tab/>
      </w:r>
      <w:r w:rsidR="006E74CB" w:rsidRPr="00290AC6">
        <w:rPr>
          <w:lang w:val="sq-AL"/>
        </w:rPr>
        <w:tab/>
      </w:r>
      <w:r w:rsidR="006E74CB" w:rsidRPr="00290AC6">
        <w:rPr>
          <w:lang w:val="sq-AL"/>
        </w:rPr>
        <w:tab/>
        <w:t>Anëtar   i</w:t>
      </w:r>
      <w:r w:rsidR="006E74CB" w:rsidRPr="00290AC6">
        <w:rPr>
          <w:lang w:val="sq-AL"/>
        </w:rPr>
        <w:tab/>
        <w:t>“</w:t>
      </w:r>
      <w:r w:rsidR="006E74CB" w:rsidRPr="00290AC6">
        <w:rPr>
          <w:lang w:val="sq-AL"/>
        </w:rPr>
        <w:tab/>
        <w:t>“</w:t>
      </w:r>
    </w:p>
    <w:p w:rsidR="006E74CB" w:rsidRPr="00290AC6" w:rsidRDefault="00290AC6" w:rsidP="00332783">
      <w:pPr>
        <w:pStyle w:val="Paragrafi"/>
        <w:rPr>
          <w:lang w:val="sq-AL"/>
        </w:rPr>
      </w:pPr>
      <w:r>
        <w:rPr>
          <w:lang w:val="sq-AL"/>
        </w:rPr>
        <w:t>Kristofor Peçi</w:t>
      </w:r>
      <w:r w:rsidR="006E74CB" w:rsidRPr="00290AC6">
        <w:rPr>
          <w:lang w:val="sq-AL"/>
        </w:rPr>
        <w:tab/>
      </w:r>
      <w:r w:rsidR="006E74CB" w:rsidRPr="00290AC6">
        <w:rPr>
          <w:lang w:val="sq-AL"/>
        </w:rPr>
        <w:tab/>
      </w:r>
      <w:r w:rsidR="006E74CB" w:rsidRPr="00290AC6">
        <w:rPr>
          <w:lang w:val="sq-AL"/>
        </w:rPr>
        <w:tab/>
        <w:t>Anëtar   i</w:t>
      </w:r>
      <w:r w:rsidR="006E74CB" w:rsidRPr="00290AC6">
        <w:rPr>
          <w:lang w:val="sq-AL"/>
        </w:rPr>
        <w:tab/>
        <w:t>“</w:t>
      </w:r>
      <w:r w:rsidR="006E74CB" w:rsidRPr="00290AC6">
        <w:rPr>
          <w:lang w:val="sq-AL"/>
        </w:rPr>
        <w:tab/>
        <w:t>“</w:t>
      </w:r>
    </w:p>
    <w:p w:rsidR="006E74CB" w:rsidRPr="00290AC6" w:rsidRDefault="00290AC6" w:rsidP="00332783">
      <w:pPr>
        <w:pStyle w:val="Paragrafi"/>
        <w:rPr>
          <w:lang w:val="sq-AL"/>
        </w:rPr>
      </w:pPr>
      <w:r>
        <w:rPr>
          <w:lang w:val="sq-AL"/>
        </w:rPr>
        <w:t>Vjollca Meçaj</w:t>
      </w:r>
      <w:r w:rsidR="006E74CB" w:rsidRPr="00290AC6">
        <w:rPr>
          <w:lang w:val="sq-AL"/>
        </w:rPr>
        <w:tab/>
      </w:r>
      <w:r w:rsidR="006E74CB" w:rsidRPr="00290AC6">
        <w:rPr>
          <w:lang w:val="sq-AL"/>
        </w:rPr>
        <w:tab/>
      </w:r>
      <w:r w:rsidR="006E74CB" w:rsidRPr="00290AC6">
        <w:rPr>
          <w:lang w:val="sq-AL"/>
        </w:rPr>
        <w:tab/>
        <w:t>Anëtare e</w:t>
      </w:r>
      <w:r w:rsidR="006E74CB" w:rsidRPr="00290AC6">
        <w:rPr>
          <w:lang w:val="sq-AL"/>
        </w:rPr>
        <w:tab/>
        <w:t>“</w:t>
      </w:r>
      <w:r w:rsidR="006E74CB" w:rsidRPr="00290AC6">
        <w:rPr>
          <w:lang w:val="sq-AL"/>
        </w:rPr>
        <w:tab/>
        <w:t>“</w:t>
      </w:r>
    </w:p>
    <w:p w:rsidR="006E74CB" w:rsidRPr="00290AC6" w:rsidRDefault="006E74CB" w:rsidP="00332783">
      <w:pPr>
        <w:pStyle w:val="Paragrafi"/>
        <w:rPr>
          <w:lang w:val="sq-AL"/>
        </w:rPr>
      </w:pPr>
      <w:r w:rsidRPr="00290AC6">
        <w:rPr>
          <w:lang w:val="sq-AL"/>
        </w:rPr>
        <w:tab/>
        <w:t>Xhezair Zaga</w:t>
      </w:r>
      <w:r w:rsidR="00290AC6">
        <w:rPr>
          <w:lang w:val="sq-AL"/>
        </w:rPr>
        <w:t>njori</w:t>
      </w:r>
      <w:r w:rsidRPr="00290AC6">
        <w:rPr>
          <w:lang w:val="sq-AL"/>
        </w:rPr>
        <w:t xml:space="preserve">  </w:t>
      </w:r>
      <w:r w:rsidRPr="00290AC6">
        <w:rPr>
          <w:lang w:val="sq-AL"/>
        </w:rPr>
        <w:tab/>
      </w:r>
      <w:r w:rsidRPr="00290AC6">
        <w:rPr>
          <w:lang w:val="sq-AL"/>
        </w:rPr>
        <w:tab/>
        <w:t xml:space="preserve">Anëtar   i </w:t>
      </w:r>
      <w:r w:rsidRPr="00290AC6">
        <w:rPr>
          <w:lang w:val="sq-AL"/>
        </w:rPr>
        <w:tab/>
        <w:t>“</w:t>
      </w:r>
      <w:r w:rsidRPr="00290AC6">
        <w:rPr>
          <w:lang w:val="sq-AL"/>
        </w:rPr>
        <w:tab/>
        <w:t xml:space="preserve">“ </w:t>
      </w:r>
    </w:p>
    <w:p w:rsidR="006E74CB" w:rsidRPr="00290AC6" w:rsidRDefault="00290AC6" w:rsidP="00332783">
      <w:pPr>
        <w:pStyle w:val="Paragrafi"/>
        <w:rPr>
          <w:lang w:val="sq-AL"/>
        </w:rPr>
      </w:pPr>
      <w:r>
        <w:rPr>
          <w:lang w:val="sq-AL"/>
        </w:rPr>
        <w:tab/>
        <w:t>Petrit Plloçi</w:t>
      </w:r>
      <w:r w:rsidR="006E74CB" w:rsidRPr="00290AC6">
        <w:rPr>
          <w:lang w:val="sq-AL"/>
        </w:rPr>
        <w:tab/>
      </w:r>
      <w:r w:rsidR="006E74CB" w:rsidRPr="00290AC6">
        <w:rPr>
          <w:lang w:val="sq-AL"/>
        </w:rPr>
        <w:tab/>
      </w:r>
      <w:r w:rsidR="006E74CB" w:rsidRPr="00290AC6">
        <w:rPr>
          <w:lang w:val="sq-AL"/>
        </w:rPr>
        <w:tab/>
        <w:t xml:space="preserve">Anëtar   i </w:t>
      </w:r>
      <w:r w:rsidR="006E74CB" w:rsidRPr="00290AC6">
        <w:rPr>
          <w:lang w:val="sq-AL"/>
        </w:rPr>
        <w:tab/>
        <w:t>“</w:t>
      </w:r>
      <w:r w:rsidR="006E74CB" w:rsidRPr="00290AC6">
        <w:rPr>
          <w:lang w:val="sq-AL"/>
        </w:rPr>
        <w:tab/>
        <w:t xml:space="preserve">“ </w:t>
      </w:r>
    </w:p>
    <w:p w:rsidR="006E74CB" w:rsidRPr="00290AC6" w:rsidRDefault="00290AC6" w:rsidP="00332783">
      <w:pPr>
        <w:pStyle w:val="Paragrafi"/>
        <w:rPr>
          <w:lang w:val="sq-AL"/>
        </w:rPr>
      </w:pPr>
      <w:r>
        <w:rPr>
          <w:lang w:val="sq-AL"/>
        </w:rPr>
        <w:t>Sokol Sadushi</w:t>
      </w:r>
      <w:r w:rsidR="006E74CB" w:rsidRPr="00290AC6">
        <w:rPr>
          <w:lang w:val="sq-AL"/>
        </w:rPr>
        <w:tab/>
      </w:r>
      <w:r w:rsidR="006E74CB" w:rsidRPr="00290AC6">
        <w:rPr>
          <w:lang w:val="sq-AL"/>
        </w:rPr>
        <w:tab/>
      </w:r>
      <w:r>
        <w:rPr>
          <w:lang w:val="sq-AL"/>
        </w:rPr>
        <w:tab/>
      </w:r>
      <w:r w:rsidR="006E74CB" w:rsidRPr="00290AC6">
        <w:rPr>
          <w:lang w:val="sq-AL"/>
        </w:rPr>
        <w:t>Anëtar   i</w:t>
      </w:r>
      <w:r w:rsidR="006E74CB" w:rsidRPr="00290AC6">
        <w:rPr>
          <w:lang w:val="sq-AL"/>
        </w:rPr>
        <w:tab/>
        <w:t>“</w:t>
      </w:r>
      <w:r w:rsidR="006E74CB" w:rsidRPr="00290AC6">
        <w:rPr>
          <w:lang w:val="sq-AL"/>
        </w:rPr>
        <w:tab/>
        <w:t>“</w:t>
      </w:r>
    </w:p>
    <w:p w:rsidR="006E74CB" w:rsidRPr="00290AC6" w:rsidRDefault="00290AC6" w:rsidP="00332783">
      <w:pPr>
        <w:pStyle w:val="Paragrafi"/>
        <w:rPr>
          <w:lang w:val="sq-AL"/>
        </w:rPr>
      </w:pPr>
      <w:r>
        <w:rPr>
          <w:lang w:val="sq-AL"/>
        </w:rPr>
        <w:t>Alfred Karamuço</w:t>
      </w:r>
      <w:r w:rsidR="006E74CB" w:rsidRPr="00290AC6">
        <w:rPr>
          <w:lang w:val="sq-AL"/>
        </w:rPr>
        <w:tab/>
      </w:r>
      <w:r w:rsidR="006E74CB" w:rsidRPr="00290AC6">
        <w:rPr>
          <w:lang w:val="sq-AL"/>
        </w:rPr>
        <w:tab/>
        <w:t xml:space="preserve">Anëtar   i </w:t>
      </w:r>
      <w:r w:rsidR="006E74CB" w:rsidRPr="00290AC6">
        <w:rPr>
          <w:lang w:val="sq-AL"/>
        </w:rPr>
        <w:tab/>
        <w:t>“</w:t>
      </w:r>
      <w:r w:rsidR="006E74CB" w:rsidRPr="00290AC6">
        <w:rPr>
          <w:lang w:val="sq-AL"/>
        </w:rPr>
        <w:tab/>
        <w:t>“</w:t>
      </w:r>
    </w:p>
    <w:p w:rsidR="006E74CB" w:rsidRPr="00290AC6" w:rsidRDefault="006E74CB" w:rsidP="00332783">
      <w:pPr>
        <w:pStyle w:val="Paragrafi"/>
        <w:rPr>
          <w:lang w:val="sq-AL"/>
        </w:rPr>
      </w:pPr>
      <w:r w:rsidRPr="00290AC6">
        <w:rPr>
          <w:lang w:val="sq-AL"/>
        </w:rPr>
        <w:t>Kujtim Puto,</w:t>
      </w:r>
      <w:r w:rsidRPr="00290AC6">
        <w:rPr>
          <w:lang w:val="sq-AL"/>
        </w:rPr>
        <w:tab/>
      </w:r>
      <w:r w:rsidRPr="00290AC6">
        <w:rPr>
          <w:lang w:val="sq-AL"/>
        </w:rPr>
        <w:tab/>
      </w:r>
      <w:r w:rsidRPr="00290AC6">
        <w:rPr>
          <w:lang w:val="sq-AL"/>
        </w:rPr>
        <w:tab/>
        <w:t xml:space="preserve">Anëtar   i </w:t>
      </w:r>
      <w:r w:rsidRPr="00290AC6">
        <w:rPr>
          <w:lang w:val="sq-AL"/>
        </w:rPr>
        <w:tab/>
        <w:t>“</w:t>
      </w:r>
      <w:r w:rsidRPr="00290AC6">
        <w:rPr>
          <w:lang w:val="sq-AL"/>
        </w:rPr>
        <w:tab/>
        <w:t>“</w:t>
      </w:r>
    </w:p>
    <w:p w:rsidR="006E74CB" w:rsidRDefault="006E74CB" w:rsidP="00332783">
      <w:pPr>
        <w:pStyle w:val="Paragrafi"/>
        <w:rPr>
          <w:lang w:val="sq-AL"/>
        </w:rPr>
      </w:pPr>
      <w:r w:rsidRPr="00290AC6">
        <w:rPr>
          <w:lang w:val="sq-AL"/>
        </w:rPr>
        <w:t xml:space="preserve">me sekretare Arbenka Lalica, në datë 30.01.2006, mori në shqyrtim në seancë gjyqësore me dyer të hapura çështjen me nr.11 Akti që i përket: </w:t>
      </w:r>
    </w:p>
    <w:p w:rsidR="00A314F9" w:rsidRPr="00290AC6" w:rsidRDefault="00A314F9" w:rsidP="00332783">
      <w:pPr>
        <w:pStyle w:val="Paragrafi"/>
        <w:rPr>
          <w:lang w:val="sq-AL"/>
        </w:rPr>
      </w:pPr>
    </w:p>
    <w:p w:rsidR="006E74CB" w:rsidRPr="00A314F9" w:rsidRDefault="00A314F9" w:rsidP="00332783">
      <w:pPr>
        <w:pStyle w:val="Paragrafi"/>
        <w:rPr>
          <w:rFonts w:eastAsia="MS Mincho"/>
          <w:lang w:val="sq-AL"/>
        </w:rPr>
      </w:pPr>
      <w:r w:rsidRPr="00A314F9">
        <w:rPr>
          <w:lang w:val="sq-AL"/>
        </w:rPr>
        <w:t>K</w:t>
      </w:r>
      <w:r>
        <w:rPr>
          <w:lang w:val="sq-AL"/>
        </w:rPr>
        <w:t>Ë</w:t>
      </w:r>
      <w:r w:rsidRPr="00A314F9">
        <w:rPr>
          <w:lang w:val="sq-AL"/>
        </w:rPr>
        <w:t>RKUE</w:t>
      </w:r>
      <w:r w:rsidR="006E74CB" w:rsidRPr="00A314F9">
        <w:rPr>
          <w:lang w:val="sq-AL"/>
        </w:rPr>
        <w:t>S:</w:t>
      </w:r>
      <w:r w:rsidRPr="00A314F9">
        <w:rPr>
          <w:lang w:val="sq-AL"/>
        </w:rPr>
        <w:t xml:space="preserve"> </w:t>
      </w:r>
      <w:r>
        <w:rPr>
          <w:lang w:val="sq-AL"/>
        </w:rPr>
        <w:t>GRUP DEPUTETËSH TË KUVENDIT TË REPUBLIKËS SË SHQIPËRISË</w:t>
      </w:r>
      <w:r w:rsidR="006E74CB" w:rsidRPr="00A314F9">
        <w:rPr>
          <w:bCs/>
          <w:lang w:val="sq-AL"/>
        </w:rPr>
        <w:t>,</w:t>
      </w:r>
      <w:r w:rsidR="006E74CB" w:rsidRPr="00A314F9">
        <w:rPr>
          <w:lang w:val="sq-AL"/>
        </w:rPr>
        <w:t xml:space="preserve"> përfaqësuar nga Petro Koçi e Ylli Manjani, me autorizim.</w:t>
      </w:r>
    </w:p>
    <w:p w:rsidR="00A314F9" w:rsidRPr="00A314F9" w:rsidRDefault="006E74CB" w:rsidP="00332783">
      <w:pPr>
        <w:pStyle w:val="Paragrafi"/>
        <w:rPr>
          <w:lang w:val="sq-AL"/>
        </w:rPr>
      </w:pPr>
      <w:r w:rsidRPr="00A314F9">
        <w:rPr>
          <w:lang w:val="sq-AL"/>
        </w:rPr>
        <w:t>SUBJEKTE TE INTERESUARA:</w:t>
      </w:r>
      <w:r w:rsidRPr="00A314F9">
        <w:rPr>
          <w:lang w:val="sq-AL"/>
        </w:rPr>
        <w:tab/>
      </w:r>
    </w:p>
    <w:p w:rsidR="006E74CB" w:rsidRPr="00A314F9" w:rsidRDefault="00A314F9" w:rsidP="00332783">
      <w:pPr>
        <w:pStyle w:val="Paragrafi"/>
        <w:rPr>
          <w:lang w:val="sq-AL"/>
        </w:rPr>
      </w:pPr>
      <w:r>
        <w:rPr>
          <w:lang w:val="sq-AL"/>
        </w:rPr>
        <w:t>1.KUVENDI I REPUBLIKËS SË SHQIPËRISË</w:t>
      </w:r>
      <w:r w:rsidR="006E74CB" w:rsidRPr="00A314F9">
        <w:rPr>
          <w:lang w:val="sq-AL"/>
        </w:rPr>
        <w:t>, përfaqësuar nga Id</w:t>
      </w:r>
      <w:r>
        <w:rPr>
          <w:lang w:val="sq-AL"/>
        </w:rPr>
        <w:t xml:space="preserve">ar Bisri e Dritan Devole, me </w:t>
      </w:r>
      <w:r w:rsidR="006E74CB" w:rsidRPr="00A314F9">
        <w:rPr>
          <w:lang w:val="sq-AL"/>
        </w:rPr>
        <w:t>autorizim.</w:t>
      </w:r>
    </w:p>
    <w:p w:rsidR="006E74CB" w:rsidRPr="00A314F9" w:rsidRDefault="00A314F9" w:rsidP="00332783">
      <w:pPr>
        <w:pStyle w:val="Paragrafi"/>
        <w:rPr>
          <w:lang w:val="sq-AL"/>
        </w:rPr>
      </w:pPr>
      <w:r>
        <w:rPr>
          <w:bCs/>
          <w:lang w:val="sq-AL"/>
        </w:rPr>
        <w:t>2. KË</w:t>
      </w:r>
      <w:r w:rsidR="006E74CB" w:rsidRPr="00A314F9">
        <w:rPr>
          <w:bCs/>
          <w:lang w:val="sq-AL"/>
        </w:rPr>
        <w:t>SHILLI I MINISTRAVE</w:t>
      </w:r>
      <w:r w:rsidR="006E74CB" w:rsidRPr="00A314F9">
        <w:rPr>
          <w:lang w:val="sq-AL"/>
        </w:rPr>
        <w:t>, përfaqësuar nga Hasan Metuku, me autorizim.</w:t>
      </w:r>
    </w:p>
    <w:p w:rsidR="006E74CB" w:rsidRPr="00A314F9" w:rsidRDefault="006E74CB" w:rsidP="00332783">
      <w:pPr>
        <w:pStyle w:val="Paragrafi"/>
        <w:rPr>
          <w:lang w:val="sq-AL"/>
        </w:rPr>
      </w:pPr>
      <w:r w:rsidRPr="00A314F9">
        <w:rPr>
          <w:rFonts w:eastAsia="MS Mincho"/>
          <w:bCs/>
          <w:lang w:val="sq-AL"/>
        </w:rPr>
        <w:t xml:space="preserve">3. </w:t>
      </w:r>
      <w:r w:rsidR="00A314F9">
        <w:rPr>
          <w:rFonts w:eastAsia="MS Mincho"/>
          <w:bCs/>
          <w:lang w:val="sq-AL"/>
        </w:rPr>
        <w:t>KË</w:t>
      </w:r>
      <w:r w:rsidRPr="00A314F9">
        <w:rPr>
          <w:rFonts w:eastAsia="MS Mincho"/>
          <w:bCs/>
          <w:lang w:val="sq-AL"/>
        </w:rPr>
        <w:t>SHILLI I LARTE I DREJTESISE</w:t>
      </w:r>
      <w:r w:rsidRPr="00A314F9">
        <w:rPr>
          <w:rFonts w:eastAsia="MS Mincho"/>
          <w:lang w:val="sq-AL"/>
        </w:rPr>
        <w:t xml:space="preserve">, </w:t>
      </w:r>
      <w:r w:rsidRPr="00A314F9">
        <w:rPr>
          <w:lang w:val="sq-AL"/>
        </w:rPr>
        <w:t>përfaqësuar nga zëvëndëskryetari, Ilir Panda, me autorizim.</w:t>
      </w:r>
    </w:p>
    <w:p w:rsidR="006E74CB" w:rsidRDefault="00065F6D" w:rsidP="00332783">
      <w:pPr>
        <w:pStyle w:val="Paragrafi"/>
        <w:rPr>
          <w:lang w:val="sq-AL"/>
        </w:rPr>
      </w:pPr>
      <w:r w:rsidRPr="00A314F9">
        <w:rPr>
          <w:bCs/>
          <w:lang w:val="sq-AL"/>
        </w:rPr>
        <w:t>OBJEKT</w:t>
      </w:r>
      <w:r w:rsidR="00A314F9" w:rsidRPr="00A314F9">
        <w:rPr>
          <w:bCs/>
          <w:lang w:val="sq-AL"/>
        </w:rPr>
        <w:t>I:</w:t>
      </w:r>
      <w:r w:rsidR="00A314F9">
        <w:rPr>
          <w:bCs/>
          <w:lang w:val="sq-AL"/>
        </w:rPr>
        <w:t xml:space="preserve"> </w:t>
      </w:r>
      <w:r w:rsidR="006E74CB" w:rsidRPr="00A314F9">
        <w:rPr>
          <w:lang w:val="sq-AL"/>
        </w:rPr>
        <w:t>Shfuqizimi si i papajtueshëm me Kushtetutën i ligjit nr.9448, datë 05.12.2005 “Për disa ndryshime dhe shtesa në ligjin nr.8811, datë 17.05.2001 “Për organizimin dhe funksionimin e Këshillit të Lartë të Drejtësisë””.</w:t>
      </w:r>
    </w:p>
    <w:p w:rsidR="0035432B" w:rsidRDefault="0035432B" w:rsidP="00332783">
      <w:pPr>
        <w:pStyle w:val="Paragrafi"/>
        <w:rPr>
          <w:lang w:val="sq-AL"/>
        </w:rPr>
      </w:pPr>
    </w:p>
    <w:p w:rsidR="0035432B" w:rsidRPr="00A314F9" w:rsidRDefault="0035432B" w:rsidP="00332783">
      <w:pPr>
        <w:pStyle w:val="Paragrafi"/>
        <w:rPr>
          <w:lang w:val="sq-AL"/>
        </w:rPr>
      </w:pPr>
    </w:p>
    <w:p w:rsidR="006E74CB" w:rsidRPr="00332783" w:rsidRDefault="006E74CB" w:rsidP="00332783">
      <w:pPr>
        <w:pStyle w:val="Paragrafi"/>
        <w:rPr>
          <w:rFonts w:eastAsia="MS Mincho"/>
        </w:rPr>
      </w:pPr>
      <w:r w:rsidRPr="00332783">
        <w:t>BAZA LIGJORE:</w:t>
      </w:r>
      <w:r w:rsidR="00A314F9" w:rsidRPr="00332783">
        <w:t xml:space="preserve"> </w:t>
      </w:r>
      <w:r w:rsidRPr="00332783">
        <w:t>Nenet 124/1, 131/a e 134/c të Kushtetutës</w:t>
      </w:r>
      <w:r w:rsidR="0010153D" w:rsidRPr="00332783">
        <w:t>,</w:t>
      </w:r>
      <w:r w:rsidRPr="00332783">
        <w:t xml:space="preserve"> si dhe neni 49 e vijues të ligjit nr.8577, datë 10.02.2000 “Për organizimin dhe funksionimin e Gjykatës Kushtetuese të Republikës së Shqipërisë”. </w:t>
      </w:r>
    </w:p>
    <w:p w:rsidR="006E74CB" w:rsidRPr="00332783" w:rsidRDefault="006E74CB" w:rsidP="00332783">
      <w:pPr>
        <w:pStyle w:val="Paragrafi"/>
      </w:pPr>
      <w:r w:rsidRPr="00332783">
        <w:t>Kërkuesit, kanë parashtruar këto shkaqe për shfuqizimin si të papajtueshëm me kushtetutën të ligjit objekt shqyrtimi:</w:t>
      </w:r>
    </w:p>
    <w:p w:rsidR="006E74CB" w:rsidRPr="00290AC6" w:rsidRDefault="006E74CB" w:rsidP="00332783">
      <w:pPr>
        <w:pStyle w:val="Paragrafi"/>
        <w:rPr>
          <w:lang w:val="sq-AL"/>
        </w:rPr>
      </w:pPr>
      <w:r w:rsidRPr="00290AC6">
        <w:rPr>
          <w:lang w:val="sq-AL"/>
        </w:rPr>
        <w:t>- Sipas Kushtetutës, institucioni i Këshillit të Lartë të Drejtësisë organizohet e funksionon me natyrë permanente, por jo me anëtarësi me kohë të plotë pune;</w:t>
      </w:r>
    </w:p>
    <w:p w:rsidR="006E74CB" w:rsidRPr="00290AC6" w:rsidRDefault="006E74CB" w:rsidP="00332783">
      <w:pPr>
        <w:pStyle w:val="Paragrafi"/>
        <w:rPr>
          <w:rFonts w:eastAsia="MS Mincho"/>
          <w:lang w:val="sq-AL"/>
        </w:rPr>
      </w:pPr>
      <w:r w:rsidRPr="00290AC6">
        <w:rPr>
          <w:rFonts w:eastAsia="MS Mincho"/>
          <w:lang w:val="sq-AL"/>
        </w:rPr>
        <w:t>- Papajtueshmëria e mandatit të anëtarit të Këshillit të Lartë të Drejtësisë me çdo veprimtari tjetër politike, publike ose private (përveç mësimdhënies) vjen në kundërshtim me përcaktimin kushtetues të anëtarësisë në Këshillin e Lartë të Drejtësisë, për shkak të detyrës si gjyqtar;</w:t>
      </w:r>
    </w:p>
    <w:p w:rsidR="006E74CB" w:rsidRPr="00290AC6" w:rsidRDefault="006E74CB" w:rsidP="00332783">
      <w:pPr>
        <w:pStyle w:val="Paragrafi"/>
        <w:rPr>
          <w:rFonts w:eastAsia="MS Mincho"/>
          <w:lang w:val="sq-AL"/>
        </w:rPr>
      </w:pPr>
      <w:r w:rsidRPr="00290AC6">
        <w:rPr>
          <w:rFonts w:eastAsia="MS Mincho"/>
          <w:lang w:val="sq-AL"/>
        </w:rPr>
        <w:lastRenderedPageBreak/>
        <w:t>- Ligji i ri ndërpret si mandatin e anëtarit të Këshillit të Lartë të Drejtësisë ashtu edhe ushtrimin e funksionit të gjyqtarit në kundërshtim me Kushtetutën;</w:t>
      </w:r>
    </w:p>
    <w:p w:rsidR="006E74CB" w:rsidRPr="00290AC6" w:rsidRDefault="006E74CB" w:rsidP="00332783">
      <w:pPr>
        <w:pStyle w:val="Paragrafi"/>
        <w:rPr>
          <w:rFonts w:eastAsia="MS Mincho"/>
          <w:lang w:val="sq-AL"/>
        </w:rPr>
      </w:pPr>
      <w:r w:rsidRPr="00290AC6">
        <w:rPr>
          <w:rFonts w:eastAsia="MS Mincho"/>
          <w:lang w:val="sq-AL"/>
        </w:rPr>
        <w:t>- Konflikti i interesave, që ligji në shqyrtim synon të shmangë, është i zgjidhshëm nga legjislacioni në fuqi;</w:t>
      </w:r>
    </w:p>
    <w:p w:rsidR="006E74CB" w:rsidRPr="00290AC6" w:rsidRDefault="006E74CB" w:rsidP="00332783">
      <w:pPr>
        <w:pStyle w:val="Paragrafi"/>
        <w:rPr>
          <w:rFonts w:eastAsia="MS Mincho"/>
          <w:lang w:val="sq-AL"/>
        </w:rPr>
      </w:pPr>
      <w:r w:rsidRPr="00290AC6">
        <w:rPr>
          <w:rFonts w:eastAsia="MS Mincho"/>
          <w:lang w:val="sq-AL"/>
        </w:rPr>
        <w:t>- Ligji i ri del jashtë logjikës kushtetuese të përfaqësimit të gjyqësorit në Këshillin e Lartë të Drejtësisë dhe cenon parimin e vetëqeverisjes së tij;</w:t>
      </w:r>
    </w:p>
    <w:p w:rsidR="006E74CB" w:rsidRPr="00290AC6" w:rsidRDefault="006E74CB" w:rsidP="00332783">
      <w:pPr>
        <w:pStyle w:val="Paragrafi"/>
        <w:rPr>
          <w:rFonts w:eastAsia="MS Mincho"/>
          <w:lang w:val="sq-AL"/>
        </w:rPr>
      </w:pPr>
      <w:r w:rsidRPr="00290AC6">
        <w:rPr>
          <w:rFonts w:eastAsia="MS Mincho"/>
          <w:lang w:val="sq-AL"/>
        </w:rPr>
        <w:t>- Ligji është miratuar në kundërshtim me kërkesat e nenit 82 të Kushtetutës, që përcakton detyrimin e Këshillit të Ministrave për t’u shprehur për faturën financiare të ligjit;</w:t>
      </w:r>
    </w:p>
    <w:p w:rsidR="006E74CB" w:rsidRPr="00290AC6" w:rsidRDefault="006E74CB" w:rsidP="00332783">
      <w:pPr>
        <w:pStyle w:val="Paragrafi"/>
        <w:rPr>
          <w:rFonts w:eastAsia="MS Mincho"/>
          <w:lang w:val="sq-AL"/>
        </w:rPr>
      </w:pPr>
      <w:r w:rsidRPr="00290AC6">
        <w:rPr>
          <w:rFonts w:eastAsia="MS Mincho"/>
          <w:lang w:val="sq-AL"/>
        </w:rPr>
        <w:tab/>
        <w:t>- Neni 3 pika 4 i ligjit i jep anëtarit të Këshillit të Lartë të Drejtësisë, imunitet nga ndjekja penale, cilësi kjo që nuk është parashikuar në Kushtetutë;</w:t>
      </w:r>
    </w:p>
    <w:p w:rsidR="006E74CB" w:rsidRPr="00290AC6" w:rsidRDefault="006E74CB" w:rsidP="00332783">
      <w:pPr>
        <w:pStyle w:val="Paragrafi"/>
        <w:rPr>
          <w:rFonts w:eastAsia="MS Mincho"/>
          <w:lang w:val="sq-AL"/>
        </w:rPr>
      </w:pPr>
      <w:r w:rsidRPr="00290AC6">
        <w:rPr>
          <w:rFonts w:eastAsia="MS Mincho"/>
          <w:lang w:val="sq-AL"/>
        </w:rPr>
        <w:tab/>
        <w:t>- Neni 2 i ligjit objekt shqyrtimi, ashtu siç është formuluar, ndalon Presidentin e Republikës, Kryetarin e Gjykatës së Lartë dhe Ministrin e Drejtësisë të kryejnë detyrat e tjera publike veç asaj të anëtarësimit në Këshillin e Lartë të Drejtësisë.</w:t>
      </w:r>
    </w:p>
    <w:p w:rsidR="006E74CB" w:rsidRPr="00290AC6" w:rsidRDefault="006E74CB" w:rsidP="00332783">
      <w:pPr>
        <w:pStyle w:val="Paragrafi"/>
        <w:rPr>
          <w:rFonts w:eastAsia="MS Mincho"/>
          <w:lang w:val="sq-AL"/>
        </w:rPr>
      </w:pPr>
      <w:r w:rsidRPr="00332783">
        <w:rPr>
          <w:rStyle w:val="ParagrafiChar"/>
          <w:rFonts w:eastAsia="MS Mincho"/>
        </w:rPr>
        <w:tab/>
      </w:r>
      <w:r w:rsidRPr="00290AC6">
        <w:rPr>
          <w:rFonts w:eastAsia="MS Mincho"/>
          <w:lang w:val="sq-AL"/>
        </w:rPr>
        <w:t>Përfaqësuesi i Kuvendit të Republikës së Shqipërisë ka parashtruar:</w:t>
      </w:r>
    </w:p>
    <w:p w:rsidR="006E74CB" w:rsidRPr="00290AC6" w:rsidRDefault="006E74CB" w:rsidP="00332783">
      <w:pPr>
        <w:pStyle w:val="Paragrafi"/>
        <w:rPr>
          <w:rFonts w:eastAsia="MS Mincho"/>
          <w:lang w:val="sq-AL"/>
        </w:rPr>
      </w:pPr>
      <w:r w:rsidRPr="00290AC6">
        <w:rPr>
          <w:rFonts w:eastAsia="MS Mincho"/>
        </w:rPr>
        <w:tab/>
        <w:t>- Ligji i ri synon të çlirojë Këshillin e Lartë të Drejtësisë nga konflikti i interesit në funksion të dhënies së drejtësisë;</w:t>
      </w:r>
    </w:p>
    <w:p w:rsidR="006E74CB" w:rsidRPr="00290AC6" w:rsidRDefault="006E74CB" w:rsidP="00332783">
      <w:pPr>
        <w:pStyle w:val="Paragrafi"/>
        <w:rPr>
          <w:rFonts w:eastAsia="MS Mincho"/>
        </w:rPr>
      </w:pPr>
      <w:r w:rsidRPr="00290AC6">
        <w:rPr>
          <w:rFonts w:eastAsia="MS Mincho"/>
        </w:rPr>
        <w:tab/>
        <w:t>- Neni 5 i ligjit, objekt shqyrtimi, pra papajtueshmëria me disa veprimtari, ka të bëjë me anëtarët e Këshillit të Lartë të Drejtësisë, por jo me Presidentin, Kryetarin e Gjykatës së Lartë dhe Ministrin e Drejtësisë;</w:t>
      </w:r>
    </w:p>
    <w:p w:rsidR="006E74CB" w:rsidRPr="00290AC6" w:rsidRDefault="006E74CB" w:rsidP="00332783">
      <w:pPr>
        <w:pStyle w:val="Paragrafi"/>
        <w:rPr>
          <w:rFonts w:eastAsia="MS Mincho"/>
        </w:rPr>
      </w:pPr>
      <w:r w:rsidRPr="00290AC6">
        <w:rPr>
          <w:rFonts w:eastAsia="MS Mincho"/>
        </w:rPr>
        <w:tab/>
        <w:t>- Termi “gjyqtarë” në përbërje të Këshillit të Lartë të Drejtësisë, i përcaktuar në nenin 147/1 të Kushtetutës, nuk ka të bëjë me veprimtarinë me kohë të plotë si gjyqtarë, por me zgjedhjen e tyre nga radhët e gjyqtarëve;</w:t>
      </w:r>
    </w:p>
    <w:p w:rsidR="006E74CB" w:rsidRPr="00290AC6" w:rsidRDefault="006E74CB" w:rsidP="00332783">
      <w:pPr>
        <w:pStyle w:val="Paragrafi"/>
        <w:rPr>
          <w:rFonts w:eastAsia="MS Mincho"/>
        </w:rPr>
      </w:pPr>
      <w:r w:rsidRPr="00290AC6">
        <w:rPr>
          <w:rFonts w:eastAsia="MS Mincho"/>
        </w:rPr>
        <w:tab/>
        <w:t>- Veprimtaria e gjyqtarëve me kohë të plotë si anëtarë të Këshillit të Lartë të Drejtësisë nuk do të thotë që ata nuk do të kenë më lidhje me gjyqësorin, por do të mbeten pjesë e tij edhe pas përfundimit të mandatit të anëtarit;</w:t>
      </w:r>
    </w:p>
    <w:p w:rsidR="006E74CB" w:rsidRPr="00290AC6" w:rsidRDefault="006E74CB" w:rsidP="00332783">
      <w:pPr>
        <w:pStyle w:val="Paragrafi"/>
        <w:rPr>
          <w:rFonts w:eastAsia="MS Mincho"/>
        </w:rPr>
      </w:pPr>
      <w:r w:rsidRPr="00290AC6">
        <w:rPr>
          <w:rFonts w:eastAsia="MS Mincho"/>
        </w:rPr>
        <w:tab/>
        <w:t>- Kundërshtia e paqartësia e dispozitave ligjore nuk mund të jetë objekt gjykimi kushtetues;</w:t>
      </w:r>
    </w:p>
    <w:p w:rsidR="006E74CB" w:rsidRPr="00290AC6" w:rsidRDefault="006E74CB" w:rsidP="00332783">
      <w:pPr>
        <w:pStyle w:val="Paragrafi"/>
        <w:rPr>
          <w:rFonts w:eastAsia="MS Mincho"/>
        </w:rPr>
      </w:pPr>
      <w:r w:rsidRPr="00290AC6">
        <w:rPr>
          <w:rFonts w:eastAsia="MS Mincho"/>
        </w:rPr>
        <w:tab/>
        <w:t>- Kuvendi ka respektuar detyrimet kushtetuese për shqyrtimin e faturës financiare të ligjit.</w:t>
      </w:r>
    </w:p>
    <w:p w:rsidR="006E74CB" w:rsidRPr="00290AC6" w:rsidRDefault="006E74CB" w:rsidP="00332783">
      <w:pPr>
        <w:pStyle w:val="Paragrafi"/>
        <w:rPr>
          <w:rFonts w:eastAsia="MS Mincho"/>
        </w:rPr>
      </w:pPr>
      <w:r w:rsidRPr="00290AC6">
        <w:rPr>
          <w:rFonts w:eastAsia="MS Mincho"/>
        </w:rPr>
        <w:tab/>
        <w:t>Përfaqësuesi i Këshillit të Lartë të Drejtësisë ka parashtruar:</w:t>
      </w:r>
    </w:p>
    <w:p w:rsidR="006E74CB" w:rsidRPr="00290AC6" w:rsidRDefault="006E74CB" w:rsidP="00332783">
      <w:pPr>
        <w:pStyle w:val="Paragrafi"/>
        <w:rPr>
          <w:rFonts w:eastAsia="MS Mincho"/>
        </w:rPr>
      </w:pPr>
      <w:r w:rsidRPr="00290AC6">
        <w:rPr>
          <w:rFonts w:eastAsia="MS Mincho"/>
        </w:rPr>
        <w:tab/>
        <w:t>- Anëtarët e Këshillit të Lartë të Drejtësisë të zgjedhur nga gjyqësori nuk mund të mos konsiderohen gjyqtarë dhe si të tillë e kanë imunitetin;</w:t>
      </w:r>
    </w:p>
    <w:p w:rsidR="006E74CB" w:rsidRPr="00290AC6" w:rsidRDefault="006E74CB" w:rsidP="00332783">
      <w:pPr>
        <w:pStyle w:val="Paragrafi"/>
        <w:rPr>
          <w:rFonts w:eastAsia="MS Mincho"/>
        </w:rPr>
      </w:pPr>
      <w:r w:rsidRPr="00290AC6">
        <w:rPr>
          <w:rFonts w:eastAsia="MS Mincho"/>
        </w:rPr>
        <w:tab/>
        <w:t>- Anëtarët e Këshillit të Lartë të Drejtësisë nuk kanë dhënë dorëheqjen nga detyra e gjyqtarit, por këtë detyrë e ushtrojnë në një formë tjetër;</w:t>
      </w:r>
    </w:p>
    <w:p w:rsidR="006E74CB" w:rsidRDefault="006E74CB" w:rsidP="00332783">
      <w:pPr>
        <w:pStyle w:val="Paragrafi"/>
        <w:rPr>
          <w:rFonts w:eastAsia="MS Mincho"/>
        </w:rPr>
      </w:pPr>
      <w:r w:rsidRPr="00290AC6">
        <w:rPr>
          <w:rFonts w:eastAsia="MS Mincho"/>
        </w:rPr>
        <w:tab/>
        <w:t>- Sipas nenit 5 të ligjit objekt shqyrtimi, Presidentit të Republikës, Kryetarit të Gjykatës së Lartë dhe Ministrit të Drejtësisë nuk duhet t’u mohohen kompetencat në ushtrimin e detyrës së anëtarit të Këshillit të Lartë të Drejtësisë.</w:t>
      </w:r>
    </w:p>
    <w:p w:rsidR="00A314F9" w:rsidRPr="00290AC6" w:rsidRDefault="00A314F9" w:rsidP="00332783">
      <w:pPr>
        <w:pStyle w:val="Paragrafi"/>
        <w:rPr>
          <w:rFonts w:eastAsia="MS Mincho"/>
        </w:rPr>
      </w:pPr>
    </w:p>
    <w:p w:rsidR="006E74CB" w:rsidRPr="00A314F9" w:rsidRDefault="006E74CB" w:rsidP="00A314F9">
      <w:pPr>
        <w:pStyle w:val="Institucioni"/>
        <w:keepNext w:val="0"/>
      </w:pPr>
      <w:r w:rsidRPr="00A314F9">
        <w:t>GJYKATA KUSHTETUESE,</w:t>
      </w:r>
    </w:p>
    <w:p w:rsidR="00A314F9" w:rsidRPr="00290AC6" w:rsidRDefault="00A314F9" w:rsidP="00332783">
      <w:pPr>
        <w:pStyle w:val="Paragrafi"/>
        <w:rPr>
          <w:lang w:val="sq-AL"/>
        </w:rPr>
      </w:pPr>
    </w:p>
    <w:p w:rsidR="006E74CB" w:rsidRDefault="0028440C" w:rsidP="00332783">
      <w:pPr>
        <w:pStyle w:val="Paragrafi"/>
        <w:rPr>
          <w:lang w:val="sq-AL"/>
        </w:rPr>
      </w:pPr>
      <w:r>
        <w:rPr>
          <w:lang w:val="sq-AL"/>
        </w:rPr>
        <w:t>pasi dëgjoi relatorë</w:t>
      </w:r>
      <w:r w:rsidR="006E74CB" w:rsidRPr="00290AC6">
        <w:rPr>
          <w:lang w:val="sq-AL"/>
        </w:rPr>
        <w:t>t e çështjes Alfred Karamuço e Kujtim Puto, përfaqësuesit e kërkuesve që kërkuan pranimin e kërkesës, përfaqësuesit e Kuvendit që kërkuan rrëzimin e kërkesës, përfaqësuesin e Këshillit të Ministrave e të Këshillit të Lartë të Drejtësisë që u shprehën se ia lenë në çmim Gjykatës Kushtetuese, dhe pasi bisedoi çështjen në tërësi;</w:t>
      </w:r>
    </w:p>
    <w:p w:rsidR="00A314F9" w:rsidRDefault="00A314F9" w:rsidP="00332783">
      <w:pPr>
        <w:pStyle w:val="Paragrafi"/>
        <w:rPr>
          <w:rFonts w:eastAsia="MS Mincho"/>
          <w:lang w:val="sq-AL"/>
        </w:rPr>
      </w:pPr>
    </w:p>
    <w:p w:rsidR="006E74CB" w:rsidRDefault="00A314F9" w:rsidP="00A314F9">
      <w:pPr>
        <w:pStyle w:val="VENDOSI"/>
        <w:keepNext w:val="0"/>
        <w:rPr>
          <w:lang w:val="sq-AL"/>
        </w:rPr>
      </w:pPr>
      <w:r>
        <w:t>VËRE</w:t>
      </w:r>
      <w:r w:rsidR="006E74CB" w:rsidRPr="00A314F9">
        <w:rPr>
          <w:lang w:val="sq-AL"/>
        </w:rPr>
        <w:t>N:</w:t>
      </w:r>
    </w:p>
    <w:p w:rsidR="00A314F9" w:rsidRPr="00A314F9" w:rsidRDefault="00A314F9" w:rsidP="00332783">
      <w:pPr>
        <w:pStyle w:val="Paragrafi"/>
        <w:rPr>
          <w:lang w:val="sq-AL"/>
        </w:rPr>
      </w:pPr>
    </w:p>
    <w:p w:rsidR="006E74CB" w:rsidRPr="00290AC6" w:rsidRDefault="006E74CB" w:rsidP="00332783">
      <w:pPr>
        <w:pStyle w:val="Paragrafi"/>
        <w:rPr>
          <w:lang w:val="sq-AL"/>
        </w:rPr>
      </w:pPr>
      <w:r w:rsidRPr="00290AC6">
        <w:rPr>
          <w:lang w:val="sq-AL"/>
        </w:rPr>
        <w:t xml:space="preserve">Kuvendi i Republikës së Shqipërisë, me ligjin nr.9448, datë 05.12.2005, ka bërë disa ndryshime e shtesa në </w:t>
      </w:r>
      <w:r w:rsidR="0010153D">
        <w:rPr>
          <w:lang w:val="sq-AL"/>
        </w:rPr>
        <w:t>ligjin nr.8811, datë 17.05.2001</w:t>
      </w:r>
      <w:r w:rsidRPr="00290AC6">
        <w:rPr>
          <w:lang w:val="sq-AL"/>
        </w:rPr>
        <w:t xml:space="preserve"> “Për organizimin dhe funksionimin e Këshillit të Lartë të Drejtësisë”. Me këto ndryshime e shtesa, anëtarët e Këshillit të Lartë të Drejtësisë duhet të zgjedhin një nga funksionet, ose të ushtrojnë efektivisht detyrën e gjyqtarit ose vetëm detyrën me kohë të plotë të anëtarit të Këshillit të Lartë të Drejtësisë. Si anëtarë të Këshillit të Lartë të Drejtësisë, ata do të gëzojnë imunitet nga ndjekja penale. Me përjashtim të gjyqtarëve të Gjykatës së Lartë, gjyqtarët e tjerë do të kenë të drejtë të kthehen përsëri si gjyqtarë efektivë pas mbarimit të mandatit të tyre si anëtarë të Këshillit të Lartë të Drejtësisë. Gjithashtu, sipas këtyre ndryshimeve</w:t>
      </w:r>
      <w:r w:rsidR="0010153D">
        <w:rPr>
          <w:lang w:val="sq-AL"/>
        </w:rPr>
        <w:t>,</w:t>
      </w:r>
      <w:r w:rsidRPr="00290AC6">
        <w:rPr>
          <w:lang w:val="sq-AL"/>
        </w:rPr>
        <w:t xml:space="preserve"> anëtarët e Këshillit të </w:t>
      </w:r>
      <w:r w:rsidRPr="00290AC6">
        <w:rPr>
          <w:lang w:val="sq-AL"/>
        </w:rPr>
        <w:lastRenderedPageBreak/>
        <w:t>Lartë të Drejtësisë që zgjidhen nga Kuvendi nuk duhet të jenë gjyqtarë.</w:t>
      </w:r>
    </w:p>
    <w:p w:rsidR="006E74CB" w:rsidRPr="00290AC6" w:rsidRDefault="006E74CB" w:rsidP="00332783">
      <w:pPr>
        <w:pStyle w:val="Paragrafi"/>
        <w:rPr>
          <w:lang w:val="sq-AL"/>
        </w:rPr>
      </w:pPr>
      <w:r w:rsidRPr="00290AC6">
        <w:rPr>
          <w:lang w:val="sq-AL"/>
        </w:rPr>
        <w:t>Gjykata Kushtetuese çmon se zgjidhja e problemeve të parashtruara nga  kërkuesi dhe nga subjektet e interesuara është e kushtëzuar nga interpretimi i parimeve e normave kushtetuese për ndarjen e balancimin ndërmjet pushteteve legjislativ, ekzekutiv e gjyqësor, me rregullimet kushtetuese për natyrën e funksionimin e Këshillit të Lartë të Drejtësisë, dhe me statusin e veprimtarinë e funksionarëve të tyre, etj..</w:t>
      </w:r>
    </w:p>
    <w:p w:rsidR="006E74CB" w:rsidRPr="00290AC6" w:rsidRDefault="006E74CB" w:rsidP="00332783">
      <w:pPr>
        <w:pStyle w:val="Paragrafi"/>
        <w:rPr>
          <w:lang w:val="sq-AL"/>
        </w:rPr>
      </w:pPr>
      <w:r w:rsidRPr="00290AC6">
        <w:rPr>
          <w:lang w:val="sq-AL"/>
        </w:rPr>
        <w:t>Parimi i ndarjes dhe i balancimit të pushteteve si një nga bazat kryesore të shumë kushtetutave moderne, i parashikuar edhe në nenin 7 të Kushtetutës, u jep mundësi të tri</w:t>
      </w:r>
      <w:r w:rsidR="0010153D">
        <w:rPr>
          <w:lang w:val="sq-AL"/>
        </w:rPr>
        <w:t>ja</w:t>
      </w:r>
      <w:r w:rsidRPr="00290AC6">
        <w:rPr>
          <w:lang w:val="sq-AL"/>
        </w:rPr>
        <w:t xml:space="preserve"> degëve të qeverisjes (legjislativit, ekzekutivit e gjyqësorit) jo vetëm të respektojnë njëri tjetrin në ushtrimin e funksioneve të tyre, por edhe të kontrollohen e ndihmohen në mënyrë të ndërsjelltë me qëllim të funksionimit sa më mirë të sistemit të qeverisjes. Ky parim, duke mos qenë qëllim në vetvete, ndihmon që pushteti të shpërndahet në disa mbajtës me funksione e detyra të ndryshme, për të siguruar reciprokisht një drejtësi më të madhe në ushtrimin e tij. Nga ana tjetër, ky parim ndihmon gjithashtu edhe në bashkëveprimin e mbajtësve të pushteteve duke siguruar shkallë garancie dhe siguri më të lartë në marrjen e vendimeve të drejta dhe të peshuara. Prandaj, parimi i ndarjes e balancimit të pushteteve, pavarësisht nga alternimi i forcave politike në pushtet, duhet të mbetet mbizotërues.</w:t>
      </w:r>
    </w:p>
    <w:p w:rsidR="006E74CB" w:rsidRPr="00290AC6" w:rsidRDefault="006E74CB" w:rsidP="00332783">
      <w:pPr>
        <w:pStyle w:val="Paragrafi"/>
        <w:rPr>
          <w:lang w:val="sq-AL"/>
        </w:rPr>
      </w:pPr>
      <w:r w:rsidRPr="00290AC6">
        <w:rPr>
          <w:lang w:val="sq-AL"/>
        </w:rPr>
        <w:t>Autonomia dhe pavarësia e gjyqtarëve përbëjnë garanci efektive për të drejtat e qytetarëve. Këto garanci gjejnë shprehjen e tyre në nenin 147 të Kushtetutës, nga përmbajtja e së cilës “qeverisja” e gjyqësorit i është lënë në kompetencë Këshillit të Lartë të Drejtësisë. Sipas kësaj dispozite, ky organ kushtetues, i pavarur nga legjislativi dhe ekzekutivi, vendos ndër të tjera për transferimin e gjyqtarëve të shkallës së parë dhe të apelit, për përgjegjësinë disiplinore të tyre</w:t>
      </w:r>
      <w:r w:rsidR="0010153D">
        <w:rPr>
          <w:lang w:val="sq-AL"/>
        </w:rPr>
        <w:t>,</w:t>
      </w:r>
      <w:r w:rsidRPr="00290AC6">
        <w:rPr>
          <w:lang w:val="sq-AL"/>
        </w:rPr>
        <w:t xml:space="preserve"> si dhe i propozon Presidentit të Republikës për emërim, kandidaturat për gjyqtarë. Këshilli i Lartë i Drejtësisë është organi kushtetues i pozicionuar në majën e piramidës organizative të pushtetit gjyqësor. Për të realizuar vetëqeverisjen e gjyqësorit, Këshilli i Lartë i Drejtësisë përbëhet në shumicën e tij nga gjyqtarë, të cilët, duke ushtruar funksionet e tyre si të tillë, realizojnë lidhjen e këtij Këshilli me korpusin gjyqësor. Frymën e korporatës (vetëqeverisjes) në Këshillin e Lartë të Drejtësisë, kushtetutbërësi e ka futur me qëllim të caktuar për ta bërë gjykatën të pavarur nga ndërhyrjet e legjislativit dhe të ekzekutivit. </w:t>
      </w:r>
    </w:p>
    <w:p w:rsidR="006E74CB" w:rsidRPr="00290AC6" w:rsidRDefault="006E74CB" w:rsidP="00332783">
      <w:pPr>
        <w:pStyle w:val="Paragrafi"/>
        <w:rPr>
          <w:lang w:val="sq-AL"/>
        </w:rPr>
      </w:pPr>
      <w:r w:rsidRPr="00290AC6">
        <w:rPr>
          <w:lang w:val="sq-AL"/>
        </w:rPr>
        <w:t>Koncepti i vetëqeverisjes së gjyqësorit gjen shprehjen e vet jo vetëm në kuadrin e ndarjes së pushteteve, por edhe në bashkëveprimin e tyre. Prandaj, vështirë se mund të pranohet se ka cenim të parimit të ndarjes dhe balancimit të pushteteve kur një pushtet krijon organe të pushtetit tjetër ose siguron të ardhurat për buxhetin e një pushteti tjetër. Duke u nisur nga nevoja e bashkëveprimit midis pushteteve, vetëqeverisja e gjyqësorit nuk mund të realizohet siç kërkohet pa respektuar parimin e demokracisë, pra pa dëgjuar e vlerësuar edhe vullnetin e sovranit që shfaqet jo vetëm kur ai miraton ligjet e organizimit e të funksionimit të organeve të gjyqësorit, por edhe kur miraton emërimin e anëtarëve të Gjykatës së Lartë dhe të Kryetarit të saj</w:t>
      </w:r>
      <w:r w:rsidR="0010153D">
        <w:rPr>
          <w:lang w:val="sq-AL"/>
        </w:rPr>
        <w:t>,</w:t>
      </w:r>
      <w:r w:rsidRPr="00290AC6">
        <w:rPr>
          <w:lang w:val="sq-AL"/>
        </w:rPr>
        <w:t xml:space="preserve"> si edhe kur zgjedh drejtpërdrejt tre anëtarë të Këshillit të Lartë të Drejtësisë.</w:t>
      </w:r>
    </w:p>
    <w:p w:rsidR="006E74CB" w:rsidRPr="00290AC6" w:rsidRDefault="006E74CB" w:rsidP="00332783">
      <w:pPr>
        <w:pStyle w:val="Paragrafi"/>
        <w:rPr>
          <w:lang w:val="sq-AL"/>
        </w:rPr>
      </w:pPr>
      <w:r w:rsidRPr="00290AC6">
        <w:rPr>
          <w:lang w:val="sq-AL"/>
        </w:rPr>
        <w:t>Bashkëveprimi i K</w:t>
      </w:r>
      <w:r w:rsidR="0010153D">
        <w:rPr>
          <w:lang w:val="sq-AL"/>
        </w:rPr>
        <w:t>ëshillit të Lartë të Drejtësisë</w:t>
      </w:r>
      <w:r w:rsidRPr="00290AC6">
        <w:rPr>
          <w:lang w:val="sq-AL"/>
        </w:rPr>
        <w:t xml:space="preserve"> me pushtetin ekzekutiv shfaqet sidomos në procedurat e masave disiplinore ndaj gjyqtarëve. Këto nuk mund të kryhen pa pjesëmarrjen aktive të Ministrit të Drejtësisë, kurse emërimi i tyre nuk mund të bëhet pa miratimin e Kryetarit të këtij Këshilli, që për shkak të funksionit, është Presidenti i Republikës. Kushtetuta i ka dhënë Presidentit të Republikës kryesinë e Këshillit të Lartë të Drejtësisë, për faktin se Kryetari i Shtetit mund të ushtrojë më mirë se kushdo tjetër misionin e moderatorit në veprimtarinë e Këshillit të Lartë të Drejtësisë, me qenë se funksioni i tij është i veshur</w:t>
      </w:r>
      <w:r w:rsidR="0010153D">
        <w:rPr>
          <w:lang w:val="sq-AL"/>
        </w:rPr>
        <w:t xml:space="preserve"> me prestigj dhe se pozita që zë</w:t>
      </w:r>
      <w:r w:rsidRPr="00290AC6">
        <w:rPr>
          <w:lang w:val="sq-AL"/>
        </w:rPr>
        <w:t xml:space="preserve"> organi i tij e vendos mbi të gjitha palët. </w:t>
      </w:r>
    </w:p>
    <w:p w:rsidR="006E74CB" w:rsidRPr="00290AC6" w:rsidRDefault="006E74CB" w:rsidP="00332783">
      <w:pPr>
        <w:pStyle w:val="Paragrafi"/>
        <w:rPr>
          <w:lang w:val="sq-AL"/>
        </w:rPr>
      </w:pPr>
      <w:r w:rsidRPr="00290AC6">
        <w:rPr>
          <w:lang w:val="sq-AL"/>
        </w:rPr>
        <w:t>Këto janë elemente thelbësore të bashkëveprimit midis pushteteve, pa të cilët nuk mund të kuptohet një sistem qeverisje</w:t>
      </w:r>
      <w:r w:rsidR="0010153D">
        <w:rPr>
          <w:lang w:val="sq-AL"/>
        </w:rPr>
        <w:t>je</w:t>
      </w:r>
      <w:r w:rsidRPr="00290AC6">
        <w:rPr>
          <w:lang w:val="sq-AL"/>
        </w:rPr>
        <w:t>.</w:t>
      </w:r>
    </w:p>
    <w:p w:rsidR="006E74CB" w:rsidRPr="00290AC6" w:rsidRDefault="006E74CB" w:rsidP="00332783">
      <w:pPr>
        <w:pStyle w:val="Paragrafi"/>
        <w:rPr>
          <w:lang w:val="sq-AL"/>
        </w:rPr>
      </w:pPr>
      <w:r w:rsidRPr="00290AC6">
        <w:rPr>
          <w:lang w:val="sq-AL"/>
        </w:rPr>
        <w:t>Veçimi i gjyqtarëve nga kategoria e zyrtarëve të pushteteve të tjera konsiderohet si një ndër aspektet m</w:t>
      </w:r>
      <w:r w:rsidR="0010153D">
        <w:rPr>
          <w:lang w:val="sq-AL"/>
        </w:rPr>
        <w:t>ë të rëndësishme</w:t>
      </w:r>
      <w:r w:rsidRPr="00290AC6">
        <w:rPr>
          <w:lang w:val="sq-AL"/>
        </w:rPr>
        <w:t xml:space="preserve"> të pavarësisë së gjyqësorit. Ekzekutivi përbën ndoshta shqetësimin më serioz ndaj kësaj pavarësie, për arsye se potencialisht ai ka interes të drejtpërdrejtë në lidhje me mënyrën se si do të zgjidhen një numër i madh çështjesh dhe se ai ka mundësinë të ushtrojë praktikisht ndikim më të madh ndaj gjyqtarëve. Pavarës</w:t>
      </w:r>
      <w:r w:rsidR="00A208AD">
        <w:rPr>
          <w:lang w:val="sq-AL"/>
        </w:rPr>
        <w:t>ia e gjyqësorit ka dy komponentë realë</w:t>
      </w:r>
      <w:r w:rsidRPr="00290AC6">
        <w:rPr>
          <w:lang w:val="sq-AL"/>
        </w:rPr>
        <w:t xml:space="preserve"> të saj</w:t>
      </w:r>
      <w:r w:rsidR="00A208AD">
        <w:rPr>
          <w:lang w:val="sq-AL"/>
        </w:rPr>
        <w:t>,</w:t>
      </w:r>
      <w:r w:rsidRPr="00290AC6">
        <w:rPr>
          <w:lang w:val="sq-AL"/>
        </w:rPr>
        <w:t xml:space="preserve"> që janë: paanshmëria dhe pavarësia e gjyqtarit (me dallimet përkatëse mes tyre). Paanshmëria i referohet një qëndrimi subjektiv të gjyqtarit në lidhje me çështjen dhe me palët pjesëmarrëse në të, ndërsa pavarësia nënkupton jo vetëm një qëndrim të caktuar ndaj ushtrimit të funksionit gjyqësor, por një pozitë ose marrëdhënie në raport me të tjerët, veçanërisht me pushtetin ekzekutiv, që bazohet në ekzistencën e kushteve dhe garancive objektive. Njohja e rëndësisë së këtyre parimeve të ndërvarura nga njëri-tjetri</w:t>
      </w:r>
      <w:r w:rsidR="00A208AD">
        <w:rPr>
          <w:lang w:val="sq-AL"/>
        </w:rPr>
        <w:t>,</w:t>
      </w:r>
      <w:r w:rsidRPr="00290AC6">
        <w:rPr>
          <w:lang w:val="sq-AL"/>
        </w:rPr>
        <w:t xml:space="preserve"> si dhe marrja e masave për respektimin e tyre kanë ndikim të drejtpërdrejtë në zgjidhjen e drejtë të çështjeve në gjykim, prandaj vetë Kushtetuta, në dispozitat e saj, ka përcaktuar si përbërjen e Këshillit të Lartë të Drejtësisë</w:t>
      </w:r>
      <w:r w:rsidR="00A208AD">
        <w:rPr>
          <w:lang w:val="sq-AL"/>
        </w:rPr>
        <w:t>,</w:t>
      </w:r>
      <w:r w:rsidRPr="00290AC6">
        <w:rPr>
          <w:lang w:val="sq-AL"/>
        </w:rPr>
        <w:t xml:space="preserve"> ashtu edhe natyrën e veprimtarisë së organit në tërësi dhe të anëtarëve në veçanti.</w:t>
      </w:r>
    </w:p>
    <w:p w:rsidR="006E74CB" w:rsidRPr="00290AC6" w:rsidRDefault="006E74CB" w:rsidP="00332783">
      <w:pPr>
        <w:pStyle w:val="Paragrafi"/>
        <w:rPr>
          <w:lang w:val="sq-AL"/>
        </w:rPr>
      </w:pPr>
      <w:r w:rsidRPr="00290AC6">
        <w:rPr>
          <w:lang w:val="sq-AL"/>
        </w:rPr>
        <w:t xml:space="preserve">Shtesat dhe ndryshimet që i bëhen </w:t>
      </w:r>
      <w:r w:rsidR="00A208AD">
        <w:rPr>
          <w:lang w:val="sq-AL"/>
        </w:rPr>
        <w:t>ligjit nr.8811, datë 17.05.2001</w:t>
      </w:r>
      <w:r w:rsidRPr="00290AC6">
        <w:rPr>
          <w:lang w:val="sq-AL"/>
        </w:rPr>
        <w:t xml:space="preserve"> “Për organizimin dhe funksionimin e Këshillit të Lartë të Drejtësisë” argumentohen me nevojën e shmangies së konfliktit të interesave të anëtarëve të këtij Këshilli, sidomos gjatë vendimarrjes, ku ky ndikim pretendohet se ka qenë konkret</w:t>
      </w:r>
      <w:r w:rsidR="00A208AD">
        <w:rPr>
          <w:lang w:val="sq-AL"/>
        </w:rPr>
        <w:t>,</w:t>
      </w:r>
      <w:r w:rsidRPr="00290AC6">
        <w:rPr>
          <w:lang w:val="sq-AL"/>
        </w:rPr>
        <w:t xml:space="preserve"> ashtu edhe gjatë ushtrimit të kontrollit të veprimtarisë të disa gjykatave, ku anëtarët e tij drejtonin personalisht. Prandaj, me shtesat dhe ndryshimet që i bëhen </w:t>
      </w:r>
      <w:r w:rsidR="00A208AD">
        <w:rPr>
          <w:lang w:val="sq-AL"/>
        </w:rPr>
        <w:t>ligjit nr.8811, datë 17.05.2001</w:t>
      </w:r>
      <w:r w:rsidRPr="00290AC6">
        <w:rPr>
          <w:lang w:val="sq-AL"/>
        </w:rPr>
        <w:t xml:space="preserve"> “Për organizimin dhe funksionimin e Këshillit të Lartë të Drejtësisë”, anëtarët e këtij organi, do të duhet të punojnë me kohë të plotë në Këshill dhe nuk do të ushtrojnë më efektivisht detyrën e gjykimit të çështjeve, pra edhe atë të drejtuesit të gjykatave.</w:t>
      </w:r>
    </w:p>
    <w:p w:rsidR="006E74CB" w:rsidRPr="00290AC6" w:rsidRDefault="006E74CB" w:rsidP="00332783">
      <w:pPr>
        <w:pStyle w:val="Paragrafi"/>
        <w:rPr>
          <w:lang w:val="sq-AL"/>
        </w:rPr>
      </w:pPr>
      <w:r w:rsidRPr="00290AC6">
        <w:rPr>
          <w:lang w:val="sq-AL"/>
        </w:rPr>
        <w:t xml:space="preserve">Gjykata Kushtetuese arrin në përfundimin se shtesat dhe ndryshimet e ligjit jo vetëm dobësojnë vetëqeverisjen e gjyqësorit, por vijnë në kundërshtim edhe me vetë rregullimin që Kushtetuta u ka bërë përbërjes dhe funksionimit të Këshillit të Lartë të Drejtësisë. </w:t>
      </w:r>
    </w:p>
    <w:p w:rsidR="006E74CB" w:rsidRPr="00290AC6" w:rsidRDefault="006E74CB" w:rsidP="00332783">
      <w:pPr>
        <w:pStyle w:val="Paragrafi"/>
        <w:rPr>
          <w:lang w:val="sq-AL"/>
        </w:rPr>
      </w:pPr>
      <w:r w:rsidRPr="00290AC6">
        <w:rPr>
          <w:lang w:val="sq-AL"/>
        </w:rPr>
        <w:t>Neni 1 (i pandryshuar) i ligjit nr.8811, datë 17.05.2001 “Për organizimin dhe funksionimin e Këshillit të Lartë të Drejtësisë”, duke zbërthyer parimin kushtetues të vetëqeverisjes së gjyq</w:t>
      </w:r>
      <w:r w:rsidR="00A208AD">
        <w:rPr>
          <w:lang w:val="sq-AL"/>
        </w:rPr>
        <w:t>ë</w:t>
      </w:r>
      <w:r w:rsidRPr="00290AC6">
        <w:rPr>
          <w:lang w:val="sq-AL"/>
        </w:rPr>
        <w:t>sorit</w:t>
      </w:r>
      <w:r w:rsidR="00A208AD">
        <w:rPr>
          <w:lang w:val="sq-AL"/>
        </w:rPr>
        <w:t>,</w:t>
      </w:r>
      <w:r w:rsidRPr="00290AC6">
        <w:rPr>
          <w:lang w:val="sq-AL"/>
        </w:rPr>
        <w:t xml:space="preserve"> e ka përcaktuar Këshillin e Lartë të Drejtësisë si “autoritetin shtetëror përgjegjës” edhe për emërimin e gjyqtarëve për disiplinimin si dhe për kontrollin e veprimtarisë së tyre. Përmbushja e qëllimeve të Kushtetutës dhe të ligjit kërkon, sa të jetë e mundur më shumë, edhe shmangien e interesave në vendimarrjen e këtij organi</w:t>
      </w:r>
      <w:r w:rsidR="00A208AD">
        <w:rPr>
          <w:lang w:val="sq-AL"/>
        </w:rPr>
        <w:t>,</w:t>
      </w:r>
      <w:r w:rsidRPr="00290AC6">
        <w:rPr>
          <w:lang w:val="sq-AL"/>
        </w:rPr>
        <w:t xml:space="preserve"> si dhe forcimin e kontrollit mbi veprimtarinë e gjyqtarëve. Megjithatë, zgjidhjet që ka dhënë ligji objekt shqyrtimi, edhe sikur të pranohet dobia e tyre, nuk janë në harmoni me rregullimet kushtetuese dhe me raportet e organeve të përcaktuara prej saj. Në rregullimet që Kushtetuta i ka bërë raportit midis pavarësisë e garancisë të gjyqtarit (vetëqeverisje të gjyqësorit) nga njëra anë, dhe konfliktit të interesave të anëtarëve në vendimmarrjen e Këshillit të Lartë të Drejtësisë nga ana tjetër, është synuar t’i jepet përparësi pavarësisë së pushtetit gjyqësor dhe jo konfliktit të interesit siç është bërë me anë të ligjit objekt shqyrtimi.</w:t>
      </w:r>
    </w:p>
    <w:p w:rsidR="006E74CB" w:rsidRPr="00290AC6" w:rsidRDefault="006E74CB" w:rsidP="00332783">
      <w:pPr>
        <w:pStyle w:val="Paragrafi"/>
        <w:rPr>
          <w:lang w:val="sq-AL"/>
        </w:rPr>
      </w:pPr>
      <w:r w:rsidRPr="00290AC6">
        <w:rPr>
          <w:lang w:val="sq-AL"/>
        </w:rPr>
        <w:t>Interesi i përbashkët i mbrojtjes është themeli i çdo motivi racional pavarësie e garancie dhe, në funksion të mbrojtjes së gjyqësorit, Kushtetuta nuk i ka shkëputur anëtarët e Këshillit të Lartë të Drejtësisë nga gjykimi dhe, si rrjedhojë, as nga interesat e trupës gjyqësore. Prandaj, problemet që mund të dalin në vendimmarrjen e Këshillit të Lartë të Drejtësisë nga konflikti i interesave të anëtarëve të tij mund dhe duhet të zgjidhen ose në kuadër të legjislacionit ekzistues</w:t>
      </w:r>
      <w:r w:rsidR="00A208AD">
        <w:rPr>
          <w:lang w:val="sq-AL"/>
        </w:rPr>
        <w:t>,</w:t>
      </w:r>
      <w:r w:rsidRPr="00290AC6">
        <w:rPr>
          <w:lang w:val="sq-AL"/>
        </w:rPr>
        <w:t xml:space="preserve"> ose duke bërë shtesa e ndryshime në ligje, por pa cenuar rregullimet kushtetuese për natyrën e funksionimit dhe për përbërjen e Këshillit të Lartë të Drejtësisë.</w:t>
      </w:r>
    </w:p>
    <w:p w:rsidR="006E74CB" w:rsidRPr="00332783" w:rsidRDefault="006E74CB" w:rsidP="00332783">
      <w:pPr>
        <w:pStyle w:val="Paragrafi"/>
      </w:pPr>
      <w:r w:rsidRPr="00332783">
        <w:t>Ligji objekt shqyrtimi konfondon institucionin e Këshillit të Lartë të Drejtësisë, që sipas Kushtetutës është permanent në funksionin e tij, me anëtarësinë që nuk vepron në mënyrë të vazhdueshme dhe me kohë të plotë. Neni 147/1 i Kushtetutës, duke rregulluar funksionimin dhe përbërjen e Këshillit të Lartë të Drejtësisë, përcakton qartë se ky Këshill përbëhet (në shumicën e tij) nga gjyqtarë</w:t>
      </w:r>
      <w:r w:rsidR="00A208AD" w:rsidRPr="00332783">
        <w:t>,</w:t>
      </w:r>
      <w:r w:rsidRPr="00332783">
        <w:t xml:space="preserve"> që zgjidhen nga Konferenca Gjyqësore Kombëtare. Për këta të fundit, ajo saktëson jo vetëm numrin, por edhe cilësinë e tyre si gjyqtarë ashtu siç vepron edhe kur përcakton pjesëmarrjen për shkak të funksionit (</w:t>
      </w:r>
      <w:r w:rsidRPr="00332783">
        <w:rPr>
          <w:i/>
        </w:rPr>
        <w:t>“ex officio”)</w:t>
      </w:r>
      <w:r w:rsidRPr="00332783">
        <w:t xml:space="preserve"> të Presidentit të Republikës, të Kryetarit të Gjykatës së Lartë dhe të Ministrit të Drejtësisë, të cilët nuk janë dhe nuk mund të jenë permanentë. Në rastin kur shumica e anëtarëve të Këshillit të Lartë të Drejtësisë mund të mos ishin gjyqtarë, Kushtetuta do t’i emërtonte thjesht anëtarë si në rastin e anëtarëve të zgjedhur nga Kuvendi. Në të njëjtën mënyrë është vepruar edhe në nenin 15 të ligjit të mëparshëm nr.7561, datë 29.04.1992 “Për disa ndryshime e plotësime në ligjin nr.7491, datë 29.04.1991 “Për dispozitat kryesore kushtetuese”, ku parashikohej se Këshilli i Lartë i Drejtësisë përbëhet, ndërmjet të tjerëve, nga nëntë juristë, pra pa i përcaktur si gjyqtarë ose si prokurorë. Përderisa Kushtetuta në fuqi e ka bërë vetë specifikimin, duke i quajtur gjyqtarë, nuk mund të vendosen emërtime të tjera të cilat mund të shtojnë ose të pakësojnë cilësi të tjera dhe që çojnë në përbërje të ndryshme nga përbërja që ajo përcakton.</w:t>
      </w:r>
    </w:p>
    <w:p w:rsidR="006E74CB" w:rsidRPr="00290AC6" w:rsidRDefault="006E74CB" w:rsidP="00332783">
      <w:pPr>
        <w:pStyle w:val="Paragrafi"/>
        <w:rPr>
          <w:lang w:val="sq-AL"/>
        </w:rPr>
      </w:pPr>
      <w:r w:rsidRPr="00290AC6">
        <w:rPr>
          <w:lang w:val="sq-AL"/>
        </w:rPr>
        <w:t>Ligji objekt shqyrtimi ka sanksionuar se nëntë anëtarë të Këshillit të Lartë të Drejtësisë zgjidhen nga Konferenca Gjyqësore Kombëtare (neni 1) dhe, pas zgjedhjes, e ushtrojnë detyrën si të tillë me kohë të plotë (neni 3/1). Ky rregullim ligjor vjen në kundërshtim me përmbajtjen e nenit 147 të Kushtetutës dhe me frymën e saj, sipas të cilës nëntë anëtarët e Këshillit të Lartë të Drejtësisë të zgjedhur nga Konferenca Gjyqësore Kombëtare janë, jo vetëm formalisht, por edhe realisht, gjyqtarë në detyrë (veprim). Në këtë drejtim praktika shqiptare, mbështetur edhe nga përmbajtja e disa normave të tjera kushtetuese, gjyqtarët i ka konsideruar si funksionarë shtetërorë të ngarkuar me detyrën e dhënies së drejtësisë.</w:t>
      </w:r>
    </w:p>
    <w:p w:rsidR="006E74CB" w:rsidRPr="00290AC6" w:rsidRDefault="006E74CB" w:rsidP="00332783">
      <w:pPr>
        <w:pStyle w:val="Paragrafi"/>
        <w:rPr>
          <w:lang w:val="sq-AL"/>
        </w:rPr>
      </w:pPr>
      <w:r w:rsidRPr="00290AC6">
        <w:rPr>
          <w:lang w:val="sq-AL"/>
        </w:rPr>
        <w:t>Sipas nenit 143 të Kushtetutës “Qenia gjyqtar nuk pajtohet me asnjë veprimtari tjetër shtetërore, politike ose private”. Nga përmbajtja e kësaj norme del që detyra e parë dhe kryesore është qenia gjyqtarë në kuptimin që gjyqtarët japin vendime e bëjnë drejtësi në mënyrë të vazhdueshme. Lidhur me këtë detyrë, Kushtetuta ka bërë përjashtim përsa i përket veprimtarisë jo permanente të tyre në Këshillin e Lartë të Drejtësisë, në të cilin ata përfaqësojnë trupën e gjyqtarëve që i ka zgjedhur në këtë organ kushtetues.</w:t>
      </w:r>
    </w:p>
    <w:p w:rsidR="006E74CB" w:rsidRPr="00290AC6" w:rsidRDefault="006E74CB" w:rsidP="00332783">
      <w:pPr>
        <w:pStyle w:val="Paragrafi"/>
        <w:rPr>
          <w:lang w:val="sq-AL"/>
        </w:rPr>
      </w:pPr>
      <w:r w:rsidRPr="00290AC6">
        <w:rPr>
          <w:lang w:val="sq-AL"/>
        </w:rPr>
        <w:t>Përjashtimet nga rregullimi kushtetue</w:t>
      </w:r>
      <w:r w:rsidR="009A308C">
        <w:rPr>
          <w:lang w:val="sq-AL"/>
        </w:rPr>
        <w:t>s nuk mund të vendosen me ligj.</w:t>
      </w:r>
      <w:r w:rsidRPr="00290AC6">
        <w:rPr>
          <w:lang w:val="sq-AL"/>
        </w:rPr>
        <w:t>Ve</w:t>
      </w:r>
      <w:r w:rsidR="00A208AD">
        <w:rPr>
          <w:lang w:val="sq-AL"/>
        </w:rPr>
        <w:t>të kushtetut</w:t>
      </w:r>
      <w:r w:rsidRPr="00290AC6">
        <w:rPr>
          <w:lang w:val="sq-AL"/>
        </w:rPr>
        <w:t>bërësi, kur e ka gjykuar të arsyeshme, ka bërë përjashtime në mënyrë posaçme. Kështu, ai ka lejuar shprehimisht edhe anëtarësinë e Presidentit të Republikës ose të Ministrit të Drejtësisë në Këshillin e Lartë të Drejtësisë, megjithëse nenet 89 e 103/2 të Kushtetutës kanë përcaktuar përkatësisht se ai (Presidenti i Republikës) “nuk mund të mba</w:t>
      </w:r>
      <w:r w:rsidR="00A208AD">
        <w:rPr>
          <w:lang w:val="sq-AL"/>
        </w:rPr>
        <w:t>jë asnjë detyrë tjetër publike”</w:t>
      </w:r>
      <w:r w:rsidRPr="00290AC6">
        <w:rPr>
          <w:lang w:val="sq-AL"/>
        </w:rPr>
        <w:t xml:space="preserve"> ose “Ministri i Drejtësisë nuk mund të ushtrojë asnjë veprimtari tjetër shtetërore”. </w:t>
      </w:r>
    </w:p>
    <w:p w:rsidR="006E74CB" w:rsidRPr="00290AC6" w:rsidRDefault="006E74CB" w:rsidP="00332783">
      <w:pPr>
        <w:pStyle w:val="Paragrafi"/>
        <w:rPr>
          <w:lang w:val="sq-AL"/>
        </w:rPr>
      </w:pPr>
      <w:r w:rsidRPr="00290AC6">
        <w:rPr>
          <w:lang w:val="sq-AL"/>
        </w:rPr>
        <w:t>Sipas Kushtetutës dhe normave të shfuqizuara të ligjit nr.8811, datë 17.05.2001, “Për organizimin dhe funksionimin e Këshillit të Lartë të Drejtësisë”, nëntë anëtarët gjyqtarë zgjidhen nga Konferenca Gjyqësore Kombëtare për shkak të cilësisë</w:t>
      </w:r>
      <w:r w:rsidR="00A208AD">
        <w:rPr>
          <w:lang w:val="sq-AL"/>
        </w:rPr>
        <w:t xml:space="preserve"> së tyre si gjyqtarë. Kushtetut</w:t>
      </w:r>
      <w:r w:rsidRPr="00290AC6">
        <w:rPr>
          <w:lang w:val="sq-AL"/>
        </w:rPr>
        <w:t>bërësi, duke i konceptuar ata si gjyqtarë në detyrë , nuk e ka parë me vend të veshë me ndonjë lloj mbrojtje</w:t>
      </w:r>
      <w:r w:rsidR="00A208AD">
        <w:rPr>
          <w:lang w:val="sq-AL"/>
        </w:rPr>
        <w:t>je</w:t>
      </w:r>
      <w:r w:rsidRPr="00290AC6">
        <w:rPr>
          <w:lang w:val="sq-AL"/>
        </w:rPr>
        <w:t xml:space="preserve"> të veçantë anëtarët e Këshillit të Lartë të Drejtësisë dhe as u ka vënë kufizime atyre përsa i përket papajtueshmërive të funksionit. Vetë ligjvënësi, në ligjin objekt shqyrtimi që ndryshon të mëparshmin, ka pranuar se anëtarët e Këshillit të Lartë të Drejtësisë, duhet të gëzojnë imunitet dhe se mandati i tyre është i papajtueshëm me çdo veprimtari tjetër politike, publike ose private, përveç mësimdhënies. Nuk është e rastësishme ose rrjedhojë e “harresës” mospërmendja në Kushtetutë e “privilegjeve” ose “kufizimeve” si më sipër për anëtarët e Këshillit të Lartë të Drejtësisë, që zgjidheshin nga gjyqësori dhe përfaqësonin “zërin” e tij në një kohë që pranohet se ato përbëjnë garanci të domosdoshme për pavarësinë e autonominë e gjyqësorit. Mosdhënia e këtyre garancive argumentohet me vetë konceptimin e kushtetutbërësit që nëntë anëtarët e zgjedhur nga gjyqësori, duke qenë në përbërje të Këshillit të Lartë të Drejtësisë, vazhdojnë të punojnë efektivisht si gjyqtarë dhe si të tillë ata gëzojnë, sipas nenit 137 të Kushtetutës, imunitetin si të gjithë gjyqtarët e tjerë.</w:t>
      </w:r>
    </w:p>
    <w:p w:rsidR="006E74CB" w:rsidRPr="00290AC6" w:rsidRDefault="00A208AD" w:rsidP="00332783">
      <w:pPr>
        <w:pStyle w:val="Paragrafi"/>
        <w:rPr>
          <w:lang w:val="sq-AL"/>
        </w:rPr>
      </w:pPr>
      <w:r>
        <w:rPr>
          <w:lang w:val="sq-AL"/>
        </w:rPr>
        <w:t>Ë</w:t>
      </w:r>
      <w:r w:rsidR="006E74CB" w:rsidRPr="00290AC6">
        <w:rPr>
          <w:lang w:val="sq-AL"/>
        </w:rPr>
        <w:t>shtë i pabazë pretendimi që ngrihet nga subjektet e interesuara se anëtarët e Këshillit të Lartë të Drejtësisë që zgjidhen nga gjyqësori mund të konsiderohen gjyqtarë edhe pse nuk punojnë efektivisht si të tillë, ashtu siç është vepruar edhe për ata gjyqtarë që punojnë në funksione të ndryshme drejtuese në Ministrinë e Drejtësisë. Ligji nr.8678, datë 02.11.2000 “Për organizimin dhe funksionimin e Ministrisë së Drejtësisë”, në nenin 4 të tij, u jep mundësinë të shërbejnë në disa struktura të Ministrisë së Drejtësisë gjyqtarëve e prokurorëve dhe kjo periudhë u njihet atyre vetëm si vjetërsi pune si gjyqtar ose prokuror për efekt të kërkesave të karrierës profesionale. Mirëpo, pa analizuar kushtetutshmërinë e kësaj norme, pasi është jashtë objektit të shqyrtimit të çështjes, pranimi i një pretendimi të tillë do të vinte në kundërshtim me interpretimin dhe zbatimin e nenit 143 të Kushtetutës, sipas të cilit, qenia gjyqtar nuk pajtohet me asnjë veprimtari tjetër shtetërore.</w:t>
      </w:r>
    </w:p>
    <w:p w:rsidR="006E74CB" w:rsidRPr="00290AC6" w:rsidRDefault="006E74CB" w:rsidP="00332783">
      <w:pPr>
        <w:pStyle w:val="Paragrafi"/>
        <w:rPr>
          <w:lang w:val="sq-AL"/>
        </w:rPr>
      </w:pPr>
      <w:r w:rsidRPr="00290AC6">
        <w:rPr>
          <w:lang w:val="sq-AL"/>
        </w:rPr>
        <w:t>Ndonëse rregullimet për papajtueshmërinë e mandatit të funksionarëve të organeve kushtetuese</w:t>
      </w:r>
      <w:r w:rsidR="00A208AD">
        <w:rPr>
          <w:lang w:val="sq-AL"/>
        </w:rPr>
        <w:t>,</w:t>
      </w:r>
      <w:r w:rsidRPr="00290AC6">
        <w:rPr>
          <w:lang w:val="sq-AL"/>
        </w:rPr>
        <w:t xml:space="preserve"> si dhe për imunitetin e këtyre të fundit Kushtetuta i trajton në mënyrë shteruese, ligji objekt shqyrtimi u ka bërë atyre një rregullim që vetë Kushtetuta nuk e ka parashikuar. Këtu nuk është fjala vetëm se është ometuar për të përjashtuar papajtueshmërinë e mandatit të anëtarit të Këshillit të Lartë të Drejtësisë me mandatin e anëtarëve që e kanë këtë detyrë për shkak të funksionit (Presidenti i Republikës, Kryetari i Gjykatës së Lartë dhe Ministri i Drejtësisë), por edhe për faktin që ligji i ri e konsideron të papajtueshëm këtë mandat me çdo veprimtari tjetër publike, (pra edhe me veprimtarinë si gjyqtar) kur neni 147/1 i Kushtetutës jo vetëm nuk e ndalon, por përkundrazi e thekson se anëtarët e zgjedhur nga Konferenca Gjyqësore Kombëtare, janë gjyqtarë. Për më tepër, ligji objekt shqyrtimi ka dalë tej rregullimit të nenit 5 të ligjit të shfuqizuar. Ky i fundit, duke e pranuar papajtueshmërinë e funksionit të anëtarit të Këshillit të Lartë të Drejtësisë vetëm me atë të prokurorit, të anëtarit të organeve drejtuese dhe ekzekutive të partive politike, ose të avokatit në gjykatat e shkallës së parë e të dytë, e kishte pranuar papajtueshmërinë për aq sa ajo nuk cenonte jo vetëm parimin e ndarjes së pushteteve, por edhe parimin e balancimit të tyre</w:t>
      </w:r>
      <w:r w:rsidR="00A208AD">
        <w:rPr>
          <w:lang w:val="sq-AL"/>
        </w:rPr>
        <w:t>,</w:t>
      </w:r>
      <w:r w:rsidRPr="00290AC6">
        <w:rPr>
          <w:lang w:val="sq-AL"/>
        </w:rPr>
        <w:t xml:space="preserve"> si dhe atë të vetëqeverisjes së pushtetit gjyqësor.</w:t>
      </w:r>
    </w:p>
    <w:p w:rsidR="006E74CB" w:rsidRPr="00290AC6" w:rsidRDefault="006E74CB" w:rsidP="00332783">
      <w:pPr>
        <w:pStyle w:val="Paragrafi"/>
        <w:rPr>
          <w:lang w:val="sq-AL"/>
        </w:rPr>
      </w:pPr>
      <w:r w:rsidRPr="00290AC6">
        <w:rPr>
          <w:lang w:val="sq-AL"/>
        </w:rPr>
        <w:t>Me nenin 6/4 të ligjit objekt shqyrtimi u është dhënë anëtarëve të Këshillit të Lartë të Drejtësisë e drejta të gëzojnë imunitet, duke përcaktuar edhe procedurën</w:t>
      </w:r>
      <w:r w:rsidR="00A208AD">
        <w:rPr>
          <w:lang w:val="sq-AL"/>
        </w:rPr>
        <w:t>,</w:t>
      </w:r>
      <w:r w:rsidRPr="00290AC6">
        <w:rPr>
          <w:lang w:val="sq-AL"/>
        </w:rPr>
        <w:t xml:space="preserve"> si dhe organin përkatës të ngarkuar me heqjen e këtij imuniteti (Këshilli i Lartë i Drejtësisë).</w:t>
      </w:r>
    </w:p>
    <w:p w:rsidR="006E74CB" w:rsidRPr="00332783" w:rsidRDefault="006E74CB" w:rsidP="00332783">
      <w:pPr>
        <w:pStyle w:val="Paragrafi"/>
      </w:pPr>
      <w:r w:rsidRPr="00332783">
        <w:t xml:space="preserve">Imuniteti ka të bëjë me mbrojtjen e një kategorie të caktuar zyrtarësh (pra, imuniteti </w:t>
      </w:r>
      <w:r w:rsidRPr="00332783">
        <w:rPr>
          <w:i/>
        </w:rPr>
        <w:t>ratione personae</w:t>
      </w:r>
      <w:r w:rsidRPr="00332783">
        <w:t>) nga juridiksioni i gjykatave penale dhe ka si elemente përbërëse papërgjegjshmërinë për veprat penale</w:t>
      </w:r>
      <w:r w:rsidR="00A208AD" w:rsidRPr="00332783">
        <w:t>,</w:t>
      </w:r>
      <w:r w:rsidRPr="00332783">
        <w:t xml:space="preserve"> si edhe paprekshmërinë nga ndjekja penale. Kushtetuta ka parashikuar shprehimisht funksionet, bartësit e të cilëve duhet të gëzojnë imunitet. Nuk është parashikuar në asnjë dispozitë të Kushtetutës që anëtarët e Këshillit të Lartë të Drejtësisë të kenë imunitet, sepse ajo ka veshur me imunitet gjyqtarët për shkak të rëndësisë së veçantë të detyrës që ata kryejnë dhe jo gjyqtarët si anëtarë të Këshillit të Lartë të Drejtë</w:t>
      </w:r>
      <w:r w:rsidR="00A208AD" w:rsidRPr="00332783">
        <w:t>sisë. Ashtu siç thuhet edhe në vendimin nr.</w:t>
      </w:r>
      <w:r w:rsidRPr="00332783">
        <w:t>212, datë 29.10.2002 të Gjykatës Kushtetuese, përderisa Kushtetuta ka trajtuar organizimin dhe funksionimin e këtyre institucioneve dhe statusin e anëtarëve të tyre, ajo ka përcaktuar njëkohësisht edhe kufijtë e të drejtave të tyre.</w:t>
      </w:r>
      <w:r w:rsidRPr="00290AC6">
        <w:rPr>
          <w:rStyle w:val="FootnoteReference"/>
          <w:szCs w:val="22"/>
          <w:lang w:val="sq-AL"/>
        </w:rPr>
        <w:footnoteReference w:id="1"/>
      </w:r>
      <w:r w:rsidRPr="00332783">
        <w:t xml:space="preserve"> Në këtë linjë arsyetimi është parashikuar edhe për gjyqtarët si edhe për disa funksionarë të tjerë të organeve kushtetuese.</w:t>
      </w:r>
    </w:p>
    <w:p w:rsidR="006E74CB" w:rsidRPr="00290AC6" w:rsidRDefault="006E74CB" w:rsidP="00332783">
      <w:pPr>
        <w:pStyle w:val="Paragrafi"/>
        <w:rPr>
          <w:lang w:val="sq-AL"/>
        </w:rPr>
      </w:pPr>
      <w:r w:rsidRPr="00290AC6">
        <w:rPr>
          <w:lang w:val="sq-AL"/>
        </w:rPr>
        <w:t>Kushtetuta nuk e ka vlerësuar si detyrë më pak të rëndësishme anëtarësimin në Këshillin e Lartë të Drejtësisë, duke e çmuar atë si funksion që nuk mund të ketë të njëjtin risk</w:t>
      </w:r>
      <w:r w:rsidR="00987428">
        <w:rPr>
          <w:lang w:val="sq-AL"/>
        </w:rPr>
        <w:t>,</w:t>
      </w:r>
      <w:r w:rsidRPr="00290AC6">
        <w:rPr>
          <w:lang w:val="sq-AL"/>
        </w:rPr>
        <w:t xml:space="preserve"> ligjor ose politik, siç ka anëtari që punon efektivisht gjyqtar. Prandaj, nuk mund të pranohet se është në pajtim me frymën e përmbajtjen e Kushtetutës dhënia e imunitetit anëtarëve të Këshillit të Lartë të Drejtësisë. Ky qëndrim përbën një argument më shumë që </w:t>
      </w:r>
      <w:r w:rsidR="00987428">
        <w:rPr>
          <w:lang w:val="sq-AL"/>
        </w:rPr>
        <w:t>mbështet tezën se kur kushtetut</w:t>
      </w:r>
      <w:r w:rsidRPr="00290AC6">
        <w:rPr>
          <w:lang w:val="sq-AL"/>
        </w:rPr>
        <w:t>bërësi krijoi Këshillin e Lartë të Drejtësisë, ai nuk ka pasur qëllim t’a ngarkojë atë të ushtrojë funksionet me kohë të p</w:t>
      </w:r>
      <w:r w:rsidR="00987428">
        <w:rPr>
          <w:lang w:val="sq-AL"/>
        </w:rPr>
        <w:t>lotë, por vetëm me kohë të pjes</w:t>
      </w:r>
      <w:r w:rsidRPr="00290AC6">
        <w:rPr>
          <w:lang w:val="sq-AL"/>
        </w:rPr>
        <w:t xml:space="preserve">shme, ashtu siç është organizuar dhe ka funksionuar në fakt që nga koha e krijimit të tij si organ. </w:t>
      </w:r>
    </w:p>
    <w:p w:rsidR="006E74CB" w:rsidRPr="00290AC6" w:rsidRDefault="006E74CB" w:rsidP="00332783">
      <w:pPr>
        <w:pStyle w:val="Paragrafi"/>
        <w:rPr>
          <w:lang w:val="sq-AL"/>
        </w:rPr>
      </w:pPr>
      <w:r w:rsidRPr="00290AC6">
        <w:rPr>
          <w:lang w:val="sq-AL"/>
        </w:rPr>
        <w:t>Neni 6 i ligjit objekt shqyrtimi duke ndryshuar ligjin e mëparshëm, detyron anëtarët e Këshillit të Lartë të Drejtësisë të konfirmojnë zgjedhjen e ushtrimit të njërës nga detyrat, pra ose atë të gjyqtarit në detyrë ose atë të anëtarit të Këshillit të Lartë të Drejtësisë. Ndërprerja e menjëhershme para afatit dhe e detyruar e mandatit të anëtarit ose e funksionit të gjyqtarit vjen në kundërshtim me Kushtetutën, e cila në nenin 147/1 në të saj  ka përcaktuar se anëtarët e Këshillit të Lartë të Drejtësisë qëndrojnë në detyrë për pesë vjet. Sipas këtij amendimi të bërë me ligjin objekt shqyrtimi, anëtarët e Këshillit të Lartë të Drejtësisë, me t’u zgjedhur si të tillë, nuk mund të ushtrojnë më funksionin e gjyqtarit. Si rrjedhojë, ndaj tyre nuk do zbatohen dispozitat ligjore e kushtetuese për procedimin disiplinor të gjyqtarëve si garanci e pavarësisë dhe e paanësisë së tyre. Jo vetëm kaq, por dispozita e re e ligjit ndërpret funksionin kushtetues të gjyqtarit, sepse duke e vënë atë para detyrimit të zgjedhë njërën nga dy</w:t>
      </w:r>
      <w:r w:rsidR="00224951">
        <w:rPr>
          <w:lang w:val="sq-AL"/>
        </w:rPr>
        <w:t>ja</w:t>
      </w:r>
      <w:r w:rsidRPr="00290AC6">
        <w:rPr>
          <w:lang w:val="sq-AL"/>
        </w:rPr>
        <w:t xml:space="preserve"> alternativat – anëtar i Këshillit të Lartë të Drejtësisë ose gjyqtar efektiv – i kufizon atij kohën e qëndrimit në detyrë, gjë që bie ndesh me Kushtetutën, e cila parashikon se koha e qëndrimit në detyrë të gjyqtarit nuk mund të kufizohet.</w:t>
      </w:r>
    </w:p>
    <w:p w:rsidR="006E74CB" w:rsidRPr="00290AC6" w:rsidRDefault="006E74CB" w:rsidP="00332783">
      <w:pPr>
        <w:pStyle w:val="Paragrafi"/>
        <w:rPr>
          <w:lang w:val="sq-AL"/>
        </w:rPr>
      </w:pPr>
      <w:r w:rsidRPr="00290AC6">
        <w:rPr>
          <w:lang w:val="sq-AL"/>
        </w:rPr>
        <w:t>Dispozitat e mësipërme u kanë dhënë të drejtën anëtarëve të zgjedhur nga Konferenca Gjyqësore Kombëtare që në mbarim të mandatit si anëtarë të Këshillit të Lartë të Drejtësisë të kthehen pranë gjykatës ku kryenin më parë detyrën e gjyqtarit (ose me pëlqimin e tij në një gjykatë tjetër të të njëjtit nivel). Nga ky rregull është përjashtuar anëtari i Këshillit të Lartë të Drejtësisë që në detyrën e mëparshme gëzonte mandatin e anëtarit të Gjykatës së Lartë. Ky i fundit, nuk mund të kthehet më në detyrën e mëparshme, por ai do të përfitojë “të njëjtin trajtim si çdo anëtar i Gjykatës së Lartë, të cilit i përfundon afati kohor i qëndrimit në detyrë”.</w:t>
      </w:r>
    </w:p>
    <w:p w:rsidR="006E74CB" w:rsidRPr="00290AC6" w:rsidRDefault="006E74CB" w:rsidP="00332783">
      <w:pPr>
        <w:pStyle w:val="Paragrafi"/>
        <w:rPr>
          <w:lang w:val="sq-AL"/>
        </w:rPr>
      </w:pPr>
      <w:r w:rsidRPr="00290AC6">
        <w:rPr>
          <w:lang w:val="sq-AL"/>
        </w:rPr>
        <w:t>Detyrimi i anëtarit të Gjykatës së Lartë për të zgjedhur një nga detyrat, pra ose gjyqtar në detyrë ose anëtar me kohë të plotë në Këshillin e Lartë të Drejtësisë, si edhe përjashtimi i tyre nga e drejta për t’u kthyer si anëtar i Gjykatës së Lartë, vjen në kundërshtim me përmbajtjen e disa dispozitave kushtetuese.</w:t>
      </w:r>
    </w:p>
    <w:p w:rsidR="006E74CB" w:rsidRPr="00290AC6" w:rsidRDefault="006E74CB" w:rsidP="00332783">
      <w:pPr>
        <w:pStyle w:val="Paragrafi"/>
        <w:rPr>
          <w:lang w:val="sq-AL"/>
        </w:rPr>
      </w:pPr>
      <w:r w:rsidRPr="00290AC6">
        <w:rPr>
          <w:lang w:val="sq-AL"/>
        </w:rPr>
        <w:t>Në radhë të parë, Presidenti i Republikës që emëron anëtarët e Gjykatës së Lartë dhe Kuvendi që jep pëlqi</w:t>
      </w:r>
      <w:r w:rsidR="00224951">
        <w:rPr>
          <w:lang w:val="sq-AL"/>
        </w:rPr>
        <w:t>min për këtë emërim, duke pas</w:t>
      </w:r>
      <w:r w:rsidRPr="00290AC6">
        <w:rPr>
          <w:lang w:val="sq-AL"/>
        </w:rPr>
        <w:t>ur parasysh cilësitë moralo-profesionale të gjyqtarit, e ngarkojnë këtë të gjykojë çështje, duke i dhënë atij një mandat nëntëvjeçar. Jo vetëm duke e shkëputur nga gjykimi, por edhe duke mos e garantuar atë të rikthehet si gjyqtar pas mbarimit të mandatit në Këshillin e Lartë të Drejtësisë, ligji objekt shqyrtimi u jep këtyre çështjeve zgjidhje në kundërshtim me këtë vullnet kushtetues. Në rastin konkret, konkur</w:t>
      </w:r>
      <w:r w:rsidR="00224951">
        <w:rPr>
          <w:lang w:val="sq-AL"/>
        </w:rPr>
        <w:t>r</w:t>
      </w:r>
      <w:r w:rsidRPr="00290AC6">
        <w:rPr>
          <w:lang w:val="sq-AL"/>
        </w:rPr>
        <w:t>ojnë dy mandate kushtetuese me njëri-tjetrin: ai i gjyqtarit të Gjykatës së Lartë dhe ai i anëtarit të Këshillit të Lartë të Drejtësisë. Çështja se cili nga këto mandate duhet të prevalojë, duhet të gjejë zgjidhje duke u nisur edhe nga organet nga të cilët e kanë marrë mandatin këta funksionarë. Përzgjedhja e këtij mandati nuk mund të bëhet nga vetë gjyqtari, përderisa ai ka marrë mandatin si anëtar i Gjykatës së Lartë jo nga Konferenca Gjyqësore Kombëtare, siç e marrin anëtarët e Këshillit të Lartë të Drejtësisë, por nga Presidenti i Republikës</w:t>
      </w:r>
      <w:r w:rsidR="00224951">
        <w:rPr>
          <w:lang w:val="sq-AL"/>
        </w:rPr>
        <w:t>,</w:t>
      </w:r>
      <w:r w:rsidRPr="00290AC6">
        <w:rPr>
          <w:lang w:val="sq-AL"/>
        </w:rPr>
        <w:t xml:space="preserve"> si dhe nga Kuvendi, pra nga organi i zgjedhur në mënyrë të drejtpërdrejtë nga populli. Nuk mund të pranohet që Kushtetuta të tolerojë qëndrime të tilla që, pasi organi përfaqësues i popullit të japë mandatin për të kryer detyrën e gjyqtarit, Konferenca Gjyqësore Kombëtare t’i japë mandat tjetër që e shkëput atë nga kjo detyrë për të kryer atë të anëtarit të Këshillit të Lartë të Drejtësisë me kohë të plotë ose që e largon përfundimisht nga gjykimi në Gjykatën e Lartë. Jo vetëm kaq, por moslejimi i anëtarit të Gjykatës së Lartë të kthehet në këtë të fundit, pas mbarimit të mandatit në Këshillin e Lartë të Drejtësisë, në kushte kur atij nuk i ka mbaruar mandati si gjyqtar, vjen në kundërshtim me nenin 138 të Kushtetutës, i cili përcakton shprehimisht se koha e qëndrimit të gjyqtarëve në detyrë nuk mund të kufizohet. Qëllimi i kësaj dispozite është në radhë të parë të mos lejohet Kuvendi ose Qeveria të caktojë me ligj afate të qëndrimit të gjyqtarëve në detyrë, sepse një </w:t>
      </w:r>
      <w:r w:rsidR="00224951">
        <w:rPr>
          <w:lang w:val="sq-AL"/>
        </w:rPr>
        <w:t>kufizim i tillë përmban elemente</w:t>
      </w:r>
      <w:r w:rsidRPr="00290AC6">
        <w:rPr>
          <w:lang w:val="sq-AL"/>
        </w:rPr>
        <w:t xml:space="preserve"> të cenimit të pavarësisë së sistemit gjyqësor.</w:t>
      </w:r>
    </w:p>
    <w:p w:rsidR="006E74CB" w:rsidRPr="00290AC6" w:rsidRDefault="006E74CB" w:rsidP="00332783">
      <w:pPr>
        <w:pStyle w:val="Paragrafi"/>
        <w:rPr>
          <w:lang w:val="sq-AL"/>
        </w:rPr>
      </w:pPr>
      <w:r w:rsidRPr="00290AC6">
        <w:rPr>
          <w:lang w:val="sq-AL"/>
        </w:rPr>
        <w:t>Dalin probleme të tjera në raport me nenin 134 të Kushtetutës përsa i përket largimit nga detyra të anëtarit të Gjykatës së Lartë, i cili ka parashikuar në mënyrë shterruese rastet e mbarimit të këtij mandati. Ligji objekt shqyrtimi ka shtuar rastin e mbarimit të mandatit kur gjyqtari i Gjykatës së Lartë zgjidhet anëtar i Këshillit të Lartë të Drejtësisë (ose kur largohet si anëtar i Këshillit të Lartë të Drejtësisë), gjë që vjen në kundërshtim edhe me interpretimet përfundimtare analoge të bëra nga Gjykata Kushtetuese</w:t>
      </w:r>
      <w:r w:rsidRPr="00290AC6">
        <w:rPr>
          <w:rStyle w:val="FootnoteReference"/>
          <w:szCs w:val="22"/>
          <w:lang w:val="sq-AL"/>
        </w:rPr>
        <w:footnoteReference w:id="2"/>
      </w:r>
      <w:r w:rsidRPr="00290AC6">
        <w:rPr>
          <w:lang w:val="sq-AL"/>
        </w:rPr>
        <w:t>, sipas të cilave nuk mundet që me ligj të bëhen shtesa për çështje të cilat Kushtetuta i trajton në mënyrë shterruese.</w:t>
      </w:r>
    </w:p>
    <w:p w:rsidR="006E74CB" w:rsidRPr="00290AC6" w:rsidRDefault="006E74CB" w:rsidP="00332783">
      <w:pPr>
        <w:pStyle w:val="Paragrafi"/>
        <w:rPr>
          <w:lang w:val="sq-AL"/>
        </w:rPr>
      </w:pPr>
      <w:r w:rsidRPr="00290AC6">
        <w:rPr>
          <w:lang w:val="sq-AL"/>
        </w:rPr>
        <w:t>Ligji objekt shqyrtimi ka krijuar kushtet për të prekur formulën kushtetuese të përbërjes së Këshillit të Lartë të Drejtësisë me gjyqtarë të të gjitha niveleve. Ai cakton pagën e anëtarit të Këshillit të Lartë të Drejtësisë në kuotën prej 10 % më të ulët se ajo e zëvendëskryetarit të atij organi, në një kohë që paga e anëtarit të Gjykatës së Lartë është e barabartë me pagën e këtij të fundit. Duke u nisur nga ky cenim dhe nga kufizimet e mandatit të gjyqtarit të Gjykatës së Lartë nga nëntë vjet në pesë vjet të anëtarit të Këshillit të Lartë të Drejtësisë, si edhe nga garancitë që ka vendi i punës së anëtarit të Këshillit të Lartë të Drejtësisë në krahasim me detyrën si gjyqtar, del se ligji objekt shqyrtimi pengon indirekt pjesëmarrjen në Këshillit të Lartë të Drejtësisë të gjyqtarëve të Gjykatës së Lartë, në kushte</w:t>
      </w:r>
      <w:r w:rsidR="00911E69">
        <w:rPr>
          <w:lang w:val="sq-AL"/>
        </w:rPr>
        <w:t>t kur kjo pjesëmarrje nga të trija</w:t>
      </w:r>
      <w:r w:rsidRPr="00290AC6">
        <w:rPr>
          <w:lang w:val="sq-AL"/>
        </w:rPr>
        <w:t xml:space="preserve"> nivelet është e domosdoshme</w:t>
      </w:r>
      <w:r w:rsidR="00911E69">
        <w:rPr>
          <w:lang w:val="sq-AL"/>
        </w:rPr>
        <w:t>,</w:t>
      </w:r>
      <w:r w:rsidRPr="00290AC6">
        <w:rPr>
          <w:lang w:val="sq-AL"/>
        </w:rPr>
        <w:t xml:space="preserve"> ashtu siç është e tillë edhe përbërja, me shumicë gjyqtarë, e Këshillit të Lartë të Drejtësisë.</w:t>
      </w:r>
    </w:p>
    <w:p w:rsidR="006E74CB" w:rsidRPr="00290AC6" w:rsidRDefault="006E74CB" w:rsidP="00332783">
      <w:pPr>
        <w:pStyle w:val="Paragrafi"/>
        <w:rPr>
          <w:lang w:val="sq-AL"/>
        </w:rPr>
      </w:pPr>
      <w:r w:rsidRPr="00290AC6">
        <w:rPr>
          <w:lang w:val="sq-AL"/>
        </w:rPr>
        <w:t>Mungesa e harmonizimit të dispozitave të një ligji me ato të ligjeve të tjera mund të mos krijojë në vetvete antikushtetutshmëri, por kur paqartësia krijon probleme të tilla që çojnë në zbatim të gabuar të dispozitave ligjore dhe në cenim të parimit të shtetit të së drejtës e të sigurisë juridike, atëherë nuk mund të pranohet se këto norma nuk janë të papajtueshme edhe me frymën e Kushtetutës. Në çështjen në shqyrtim, ndryshimet e bëra vijnë në kundërshtim edhe me dispo</w:t>
      </w:r>
      <w:r w:rsidR="00911E69">
        <w:rPr>
          <w:lang w:val="sq-AL"/>
        </w:rPr>
        <w:t>zitat e pandryshuara të nenit 7 pika 1/c, sipas s</w:t>
      </w:r>
      <w:r w:rsidRPr="00290AC6">
        <w:rPr>
          <w:lang w:val="sq-AL"/>
        </w:rPr>
        <w:t xml:space="preserve">ë cilës mandati i anëtarit të Këshillit të Lartë të Drejtësisë mbaron kur nuk është më gjyqtar ose kur është marrë masë disiplinore ndaj tij, si dhe të nenit 7, pika 3 të </w:t>
      </w:r>
      <w:r w:rsidR="00911E69">
        <w:rPr>
          <w:lang w:val="sq-AL"/>
        </w:rPr>
        <w:t>ligjit nr.8811, datë 17.05.2001</w:t>
      </w:r>
      <w:r w:rsidRPr="00290AC6">
        <w:rPr>
          <w:lang w:val="sq-AL"/>
        </w:rPr>
        <w:t xml:space="preserve"> “Për organizimin dhe funksionimin e Këshillit të Lartë të Drejtësisë”, sipas të cilës mbarimi para afatit i mandatit në Këshillin e Lartë të Drejtësisë deklarohet me vendim të Këshillit të Lartë të Drejtësisë dhe nuk bëhet me deklarim të detyruar të vetë anëtarit.</w:t>
      </w:r>
    </w:p>
    <w:p w:rsidR="006E74CB" w:rsidRPr="00290AC6" w:rsidRDefault="006E74CB" w:rsidP="00332783">
      <w:pPr>
        <w:pStyle w:val="Paragrafi"/>
        <w:rPr>
          <w:lang w:val="sq-AL"/>
        </w:rPr>
      </w:pPr>
      <w:r w:rsidRPr="00290AC6">
        <w:rPr>
          <w:lang w:val="sq-AL"/>
        </w:rPr>
        <w:t>Në kundërshtim me pretendimet e kërkuesit, Gjyka</w:t>
      </w:r>
      <w:r w:rsidR="00911E69">
        <w:rPr>
          <w:lang w:val="sq-AL"/>
        </w:rPr>
        <w:t>ta Kushtetuese nuk gjen elemente të papajtueshme</w:t>
      </w:r>
      <w:r w:rsidRPr="00290AC6">
        <w:rPr>
          <w:lang w:val="sq-AL"/>
        </w:rPr>
        <w:t xml:space="preserve"> me Kushtetutën në përmbajtjen e nenit 1 të ligjit objekt shqyrtimi, i cili ka bërë shtesa në pikën 2 të nenit 4 të ligjit të mëparshëm dhe ka përcaktuar se anëtarët e Këshillit të Lartë të Drejtësisë që zgjidhen nga Kuvendi nuk duhet të jenë gjyqtarë. Një përcaktim i tillë është në pajtim, nga njëra anë, me parimin e balancimit të pushteteve që kërkon kontrollin dhe bashkëveprimin midis tyre ashtu edhe me formulën e nenit 147 të Kushtetutës, nga ana tjetër, sipas të cilit në Këshillin e Lartë të Drejtësisë do të përfaqësohet jo vetëm gjyqësori me dhjetë anëtarë, por edhe pushteti legjislativ me tre anëtarë. Këta të fundit çojnë në Këshillin e Lartë të Drejtësisë frymën e organit ligjvënës dhe, si të tillë, nuk duhet të zëvëndësohen me gjyqtarë.</w:t>
      </w:r>
    </w:p>
    <w:p w:rsidR="006E74CB" w:rsidRPr="00290AC6" w:rsidRDefault="006E74CB" w:rsidP="00332783">
      <w:pPr>
        <w:pStyle w:val="Paragrafi"/>
        <w:rPr>
          <w:lang w:val="sq-AL"/>
        </w:rPr>
      </w:pPr>
      <w:r w:rsidRPr="00290AC6">
        <w:rPr>
          <w:lang w:val="sq-AL"/>
        </w:rPr>
        <w:t>Kërkuesit pretenduan gjithashtu se ligji objekt shqyrtimi është miratuar në kundërshtim me kërkesat e dispozitave të nenit 82/3 të Kushtetutës, sepse Këshilli i Ministrave nuk është shprehur për faturën financiare të ligjit.</w:t>
      </w:r>
    </w:p>
    <w:p w:rsidR="006E74CB" w:rsidRPr="00290AC6" w:rsidRDefault="006E74CB" w:rsidP="00332783">
      <w:pPr>
        <w:pStyle w:val="Paragrafi"/>
        <w:rPr>
          <w:lang w:val="sq-AL"/>
        </w:rPr>
      </w:pPr>
      <w:r w:rsidRPr="00290AC6">
        <w:rPr>
          <w:lang w:val="sq-AL"/>
        </w:rPr>
        <w:t>Nga materialet e çështjes rezulton se, në përgjigje të kërkesës së Kuvendit, Këshilli i Ministrave</w:t>
      </w:r>
      <w:r w:rsidR="00911E69">
        <w:rPr>
          <w:lang w:val="sq-AL"/>
        </w:rPr>
        <w:t>,</w:t>
      </w:r>
      <w:r w:rsidRPr="00290AC6">
        <w:rPr>
          <w:lang w:val="sq-AL"/>
        </w:rPr>
        <w:t xml:space="preserve"> me shkresën nr.2838, datë 15.11.2005, e njofton këtë se projektligji nuk ka ndikim të drejtpërdrejtë në pakësimin e të ardhurave nga Buxheti i Shtetit për vitin 2005 dhe se ai është dakord për shqyrtimin e tij në Kuvend sipas procedurës ligjore përkatëse.</w:t>
      </w:r>
    </w:p>
    <w:p w:rsidR="006E74CB" w:rsidRPr="00290AC6" w:rsidRDefault="006E74CB" w:rsidP="00332783">
      <w:pPr>
        <w:pStyle w:val="Paragrafi"/>
        <w:rPr>
          <w:lang w:val="sq-AL"/>
        </w:rPr>
      </w:pPr>
      <w:r w:rsidRPr="00290AC6">
        <w:rPr>
          <w:lang w:val="sq-AL"/>
        </w:rPr>
        <w:t>Pavarësisht nga forma juridike e shprehjes së mendimit nga Këshilli i Ministrave (opinion apo vendim i Këshillit të Ministrave), dispozita e nenit 82/3 të Kushtetutës i hap rrugën miratimit të projektligjit jo qeveritar edhe kur Këshilli i Ministrave nuk ka dhënë mendimin e vet brenda afatit 30 ditor. Prandaj, nuk mund të pranohet pretendimi se ligji është antikushtetues</w:t>
      </w:r>
      <w:r w:rsidR="00911E69">
        <w:rPr>
          <w:lang w:val="sq-AL"/>
        </w:rPr>
        <w:t>e</w:t>
      </w:r>
      <w:r w:rsidRPr="00290AC6">
        <w:rPr>
          <w:lang w:val="sq-AL"/>
        </w:rPr>
        <w:t xml:space="preserve"> meqë për projektligjin përkatës nuk ka pasur mendim të shprehur të Qeverisë për mbështetjen financiare. </w:t>
      </w:r>
    </w:p>
    <w:p w:rsidR="006E74CB" w:rsidRPr="00290AC6" w:rsidRDefault="006E74CB" w:rsidP="00332783">
      <w:pPr>
        <w:pStyle w:val="Paragrafi"/>
        <w:rPr>
          <w:lang w:val="sq-AL"/>
        </w:rPr>
      </w:pPr>
    </w:p>
    <w:p w:rsidR="006E74CB" w:rsidRPr="00A314F9" w:rsidRDefault="006E74CB" w:rsidP="00A314F9">
      <w:pPr>
        <w:pStyle w:val="VENDOSI"/>
      </w:pPr>
      <w:r w:rsidRPr="00A314F9">
        <w:t>PËR KËTO ARSYE</w:t>
      </w:r>
      <w:r w:rsidR="00A314F9">
        <w:t>,</w:t>
      </w:r>
    </w:p>
    <w:p w:rsidR="00A314F9" w:rsidRPr="00290AC6" w:rsidRDefault="00A314F9" w:rsidP="00332783">
      <w:pPr>
        <w:pStyle w:val="Paragrafi"/>
        <w:rPr>
          <w:lang w:val="sq-AL"/>
        </w:rPr>
      </w:pPr>
    </w:p>
    <w:p w:rsidR="006E74CB" w:rsidRDefault="006E74CB" w:rsidP="00332783">
      <w:pPr>
        <w:pStyle w:val="Paragrafi"/>
        <w:rPr>
          <w:lang w:val="sq-AL"/>
        </w:rPr>
      </w:pPr>
      <w:r w:rsidRPr="00290AC6">
        <w:rPr>
          <w:lang w:val="sq-AL"/>
        </w:rPr>
        <w:tab/>
        <w:t>Gjykata Kushtetuese e Republikës së Shqipërisë, në mbështetje të neneve 49 e vijues dhe 72 të ligjit nr.8577, datë 10.02.2000 “Për organizimin dhe funksionimin e Gjykatës Kushtetuese të Republikës së Shqipërisë”,  me shumicë votash,</w:t>
      </w:r>
    </w:p>
    <w:p w:rsidR="00A314F9" w:rsidRPr="00290AC6" w:rsidRDefault="00A314F9" w:rsidP="00332783">
      <w:pPr>
        <w:pStyle w:val="Paragrafi"/>
        <w:rPr>
          <w:rFonts w:eastAsia="MS Mincho"/>
          <w:lang w:val="sq-AL"/>
        </w:rPr>
      </w:pPr>
    </w:p>
    <w:p w:rsidR="006E74CB" w:rsidRPr="00A314F9" w:rsidRDefault="00A314F9" w:rsidP="00A314F9">
      <w:pPr>
        <w:pStyle w:val="VENDOSI"/>
      </w:pPr>
      <w:r>
        <w:t>VENDOS</w:t>
      </w:r>
      <w:r w:rsidR="006E74CB" w:rsidRPr="00A314F9">
        <w:t>I:</w:t>
      </w:r>
    </w:p>
    <w:p w:rsidR="00A314F9" w:rsidRPr="00290AC6" w:rsidRDefault="00A314F9" w:rsidP="00332783">
      <w:pPr>
        <w:pStyle w:val="Paragrafi"/>
        <w:rPr>
          <w:lang w:val="sq-AL"/>
        </w:rPr>
      </w:pPr>
    </w:p>
    <w:p w:rsidR="006E74CB" w:rsidRPr="00290AC6" w:rsidRDefault="006E74CB" w:rsidP="00332783">
      <w:pPr>
        <w:pStyle w:val="Paragrafi"/>
        <w:rPr>
          <w:lang w:val="sq-AL"/>
        </w:rPr>
      </w:pPr>
      <w:r w:rsidRPr="00290AC6">
        <w:rPr>
          <w:lang w:val="sq-AL"/>
        </w:rPr>
        <w:t>- Shfuqizimin si të papajtueshëm me Kushtetutën e Republikës së Shqipërisë, të neneve 2, 3, 4, 5 e 6 të ligjit nr.9448, datë 05.12.2005 “Për disa ndryshime dhe shtesa në ligjin nr.8811, datë 17.05.2001 “Për organizimin dhe funksionimin e Këshillit të Lartë të Drejtësisë””.</w:t>
      </w:r>
    </w:p>
    <w:p w:rsidR="006E74CB" w:rsidRPr="00290AC6" w:rsidRDefault="006E74CB" w:rsidP="00332783">
      <w:pPr>
        <w:pStyle w:val="Paragrafi"/>
        <w:rPr>
          <w:lang w:val="sq-AL"/>
        </w:rPr>
      </w:pPr>
      <w:r w:rsidRPr="00290AC6">
        <w:rPr>
          <w:lang w:val="sq-AL"/>
        </w:rPr>
        <w:t>- Rrëzimin e kërkesës për shfuqizimin e nenit 1 të këtij ligji.</w:t>
      </w:r>
    </w:p>
    <w:p w:rsidR="006E74CB" w:rsidRDefault="006E74CB" w:rsidP="00332783">
      <w:pPr>
        <w:pStyle w:val="Paragrafi"/>
        <w:rPr>
          <w:lang w:val="sq-AL"/>
        </w:rPr>
      </w:pPr>
      <w:r w:rsidRPr="00290AC6">
        <w:rPr>
          <w:lang w:val="sq-AL"/>
        </w:rPr>
        <w:t>- Ky vendim është përfundimtar, i formës së prerë dhe i detyrueshëm për zbatim.</w:t>
      </w:r>
    </w:p>
    <w:p w:rsidR="00A314F9" w:rsidRPr="00290AC6" w:rsidRDefault="00A314F9" w:rsidP="00332783">
      <w:pPr>
        <w:pStyle w:val="Paragrafi"/>
        <w:rPr>
          <w:lang w:val="sq-AL"/>
        </w:rPr>
      </w:pPr>
    </w:p>
    <w:p w:rsidR="006E74CB" w:rsidRDefault="006E74CB" w:rsidP="00332783">
      <w:pPr>
        <w:pStyle w:val="Paragrafi"/>
      </w:pPr>
    </w:p>
    <w:p w:rsidR="009A308C" w:rsidRDefault="009A308C" w:rsidP="00332783">
      <w:pPr>
        <w:pStyle w:val="Paragrafi"/>
        <w:rPr>
          <w:lang w:val="sq-AL"/>
        </w:rPr>
      </w:pPr>
    </w:p>
    <w:p w:rsidR="009A308C" w:rsidRDefault="009A308C" w:rsidP="00332783">
      <w:pPr>
        <w:pStyle w:val="Paragrafi"/>
        <w:rPr>
          <w:lang w:val="sq-AL"/>
        </w:rPr>
      </w:pPr>
    </w:p>
    <w:p w:rsidR="009A308C" w:rsidRDefault="009A308C" w:rsidP="00332783">
      <w:pPr>
        <w:pStyle w:val="Paragrafi"/>
        <w:rPr>
          <w:lang w:val="sq-AL"/>
        </w:rPr>
      </w:pPr>
    </w:p>
    <w:p w:rsidR="006E74CB" w:rsidRDefault="009A308C" w:rsidP="009A308C">
      <w:pPr>
        <w:pStyle w:val="TitulliTitull"/>
      </w:pPr>
      <w:r>
        <w:t>MENDIMI I PAKICË</w:t>
      </w:r>
      <w:r w:rsidR="006E74CB" w:rsidRPr="009A308C">
        <w:t>S</w:t>
      </w:r>
    </w:p>
    <w:p w:rsidR="009A308C" w:rsidRPr="009A308C" w:rsidRDefault="009A308C" w:rsidP="00332783">
      <w:pPr>
        <w:pStyle w:val="Paragrafi"/>
        <w:rPr>
          <w:lang w:val="sq-AL"/>
        </w:rPr>
      </w:pPr>
    </w:p>
    <w:p w:rsidR="006E74CB" w:rsidRPr="00290AC6" w:rsidRDefault="006E74CB" w:rsidP="00332783">
      <w:pPr>
        <w:pStyle w:val="Paragrafi"/>
        <w:rPr>
          <w:lang w:val="sq-AL"/>
        </w:rPr>
      </w:pPr>
      <w:r w:rsidRPr="00290AC6">
        <w:tab/>
        <w:t>Nuk jam dakord me vendimin e shumicës.</w:t>
      </w:r>
      <w:r w:rsidR="00DE15CB">
        <w:t xml:space="preserve"> Ligji nr.9448, datë 05.12.2005</w:t>
      </w:r>
      <w:r w:rsidRPr="00290AC6">
        <w:t xml:space="preserve"> “Për disa ndryshime e shtesa në ligjin nr.8811, datë 17.05.2001 “Për organizimin dhe funksionimin e Këshillit të Lartë të Drejtësisë”, edhe pse mund të mos jetë praktikisht si zgjidhja më e mirë për funksionimin e Këshillit të Lartë të Drejtësisë, nuk vjen ndesh me frymën dhe përmbajtjen e Kushtetutës.</w:t>
      </w:r>
    </w:p>
    <w:p w:rsidR="006E74CB" w:rsidRPr="00290AC6" w:rsidRDefault="006E74CB" w:rsidP="00332783">
      <w:pPr>
        <w:pStyle w:val="Paragrafi"/>
        <w:rPr>
          <w:lang w:val="sq-AL"/>
        </w:rPr>
      </w:pPr>
      <w:r w:rsidRPr="00290AC6">
        <w:rPr>
          <w:lang w:val="sq-AL"/>
        </w:rPr>
        <w:tab/>
        <w:t>Argumentet në mbështetje të këtij mendimi do t’i ndaj në dy grupe:</w:t>
      </w:r>
    </w:p>
    <w:p w:rsidR="006E74CB" w:rsidRPr="00290AC6" w:rsidRDefault="006E74CB" w:rsidP="00332783">
      <w:pPr>
        <w:pStyle w:val="Paragrafi"/>
        <w:rPr>
          <w:lang w:val="sq-AL"/>
        </w:rPr>
      </w:pPr>
      <w:r w:rsidRPr="00332783">
        <w:tab/>
      </w:r>
      <w:r w:rsidRPr="00290AC6">
        <w:rPr>
          <w:i/>
          <w:iCs/>
          <w:lang w:val="sq-AL"/>
        </w:rPr>
        <w:t>Së pari</w:t>
      </w:r>
      <w:r w:rsidRPr="00290AC6">
        <w:rPr>
          <w:lang w:val="sq-AL"/>
        </w:rPr>
        <w:t>, ligji nuk cenon parimet kushtetuese mbi të cilat është ndërtuar d</w:t>
      </w:r>
      <w:r w:rsidR="00DE15CB">
        <w:rPr>
          <w:lang w:val="sq-AL"/>
        </w:rPr>
        <w:t>he funksionon pushteti gjyqësor.</w:t>
      </w:r>
    </w:p>
    <w:p w:rsidR="006E74CB" w:rsidRPr="00332783" w:rsidRDefault="006E74CB" w:rsidP="00332783">
      <w:pPr>
        <w:pStyle w:val="Paragrafi"/>
        <w:rPr>
          <w:rStyle w:val="ParagrafiChar"/>
        </w:rPr>
      </w:pPr>
      <w:r w:rsidRPr="00290AC6">
        <w:rPr>
          <w:lang w:val="sq-AL"/>
        </w:rPr>
        <w:tab/>
      </w:r>
      <w:r w:rsidRPr="00290AC6">
        <w:rPr>
          <w:i/>
          <w:iCs/>
          <w:lang w:val="sq-AL"/>
        </w:rPr>
        <w:t>Së dyti</w:t>
      </w:r>
      <w:r w:rsidRPr="00332783">
        <w:rPr>
          <w:rStyle w:val="ParagrafiChar"/>
        </w:rPr>
        <w:t>, ligji përgjithësisht nuk cenon as rregullimet e përcaktuara në Kushtetutë.</w:t>
      </w:r>
    </w:p>
    <w:p w:rsidR="006E74CB" w:rsidRPr="00290AC6" w:rsidRDefault="006E74CB" w:rsidP="00332783">
      <w:pPr>
        <w:pStyle w:val="Paragrafi"/>
        <w:rPr>
          <w:lang w:val="sq-AL"/>
        </w:rPr>
      </w:pPr>
      <w:r w:rsidRPr="00290AC6">
        <w:rPr>
          <w:lang w:val="sq-AL"/>
        </w:rPr>
        <w:tab/>
        <w:t>1. Duke iu referuar kërkesës</w:t>
      </w:r>
      <w:r w:rsidR="00DE15CB">
        <w:rPr>
          <w:lang w:val="sq-AL"/>
        </w:rPr>
        <w:t>,</w:t>
      </w:r>
      <w:r w:rsidRPr="00290AC6">
        <w:rPr>
          <w:lang w:val="sq-AL"/>
        </w:rPr>
        <w:t xml:space="preserve"> si dhe vendimit të shumicës rezulton se ndryshimet që sjell ligji i lartpërmendur çmohen si një shkelje e drejtpërdrejtë e pavarësisë së pushtetit gjyqësor dhe e patundshmërisë së gjyqtarëve. Rregullimi i ri ligjor, sipas të cilit anëtarët e Këshillit të Lartë të Drejtësisë kalojnë me kohë të plotë pune në këtë organ, konsiderohet si cenim të formulës kushtetuese për funksionimin e këtij organi sepse, sipas kërkuesve në Këshillin e Lartë të Drejtësisë, nuk do të marrin pjesë tashmë gjyqtarë, por “ish-gjyqtarë”, e për pasojë cenohet “vetëqeverisja”. </w:t>
      </w:r>
    </w:p>
    <w:p w:rsidR="006E74CB" w:rsidRPr="00290AC6" w:rsidRDefault="006E74CB" w:rsidP="00332783">
      <w:pPr>
        <w:pStyle w:val="Paragrafi"/>
        <w:rPr>
          <w:lang w:val="sq-AL"/>
        </w:rPr>
      </w:pPr>
      <w:r w:rsidRPr="00290AC6">
        <w:t>Nga ana tjetër, vënien e gjyqtarëve para alternativës për të punuar ose si të tillë ose si anëtarë të Këshillit të Lartë të Drejtësisë me kohë të plotë, shumica e konsideron si cenim të parimit të patundshmërisë së gjyqtarit sepse sipas saj kjo lëvizje bëhet e imponuar.</w:t>
      </w:r>
    </w:p>
    <w:p w:rsidR="006E74CB" w:rsidRPr="00290AC6" w:rsidRDefault="006E74CB" w:rsidP="00332783">
      <w:pPr>
        <w:pStyle w:val="Paragrafi"/>
        <w:rPr>
          <w:lang w:val="sq-AL"/>
        </w:rPr>
      </w:pPr>
      <w:r w:rsidRPr="00290AC6">
        <w:rPr>
          <w:lang w:val="sq-AL"/>
        </w:rPr>
        <w:tab/>
        <w:t>Pakica ka mendim kategorik se ky ligj nuk cenon parimet kushtetuese që garantojnë organizimin dhe veprimtarinë e pushtetit gjyqësor, të tillë si parimin e pavarësisë dhe atë të patundshmërisë. Po t’i referohemi teorisë dhe praktikës së mirëfilltë kushtetuese del se koncepti i pavarësisë së gjyqësorit mund të individualizohet në dy rafshe: “Pavarësia e ashtuquajtur e jashtme, që ka të bëjë me garancitë që synojnë ta ruajnë magjistraturën nga ndërhyrjet që mund të vijnë nga mjedisi politik dhe shoqëror, pushtetet e tjera publike, palët në gjykim, grupet e interesave, por edhe nga mjetet e komunikimit. Ndërsa pavarësia e quajtur e brendshme, ka të bëjë me ndërveprimet që zhvillohen brenda trupës gjyqësore dhe përbëhet prej garancish që synojnë të mbrojnë gjyqtarin nga presionet endo-organizative”.</w:t>
      </w:r>
      <w:r w:rsidRPr="00290AC6">
        <w:rPr>
          <w:rStyle w:val="FootnoteReference"/>
          <w:szCs w:val="22"/>
          <w:lang w:val="sq-AL"/>
        </w:rPr>
        <w:footnoteReference w:id="3"/>
      </w:r>
      <w:r w:rsidRPr="00290AC6">
        <w:rPr>
          <w:lang w:val="sq-AL"/>
        </w:rPr>
        <w:t xml:space="preserve"> </w:t>
      </w:r>
    </w:p>
    <w:p w:rsidR="006E74CB" w:rsidRPr="00290AC6" w:rsidRDefault="006E74CB" w:rsidP="00332783">
      <w:pPr>
        <w:pStyle w:val="Paragrafi"/>
        <w:rPr>
          <w:lang w:val="sq-AL"/>
        </w:rPr>
      </w:pPr>
      <w:r w:rsidRPr="00290AC6">
        <w:rPr>
          <w:b/>
          <w:bCs/>
          <w:lang w:val="sq-AL"/>
        </w:rPr>
        <w:tab/>
      </w:r>
      <w:r w:rsidRPr="00290AC6">
        <w:rPr>
          <w:lang w:val="sq-AL"/>
        </w:rPr>
        <w:t>Një ndër mjetet me anën e të cilit realizohet pavarësia e pushtetit gjyqësor, sipas Kushtetutës tonë, është Këshilli i Lartë i Drejtësisë, i cili si institucion i pavarur, me përbërjen dhe kompetencat që ka, “vetëqeveris” gjyqësorin.</w:t>
      </w:r>
    </w:p>
    <w:p w:rsidR="006E74CB" w:rsidRPr="00290AC6" w:rsidRDefault="006E74CB" w:rsidP="00332783">
      <w:pPr>
        <w:pStyle w:val="Paragrafi"/>
        <w:rPr>
          <w:lang w:val="sq-AL"/>
        </w:rPr>
      </w:pPr>
      <w:r w:rsidRPr="00290AC6">
        <w:t xml:space="preserve">Ndryshimet në ligj, në radhë të parë, nuk prekin </w:t>
      </w:r>
      <w:r w:rsidR="00DE15CB">
        <w:t>formulën kushtetuese me anën e s</w:t>
      </w:r>
      <w:r w:rsidRPr="00290AC6">
        <w:t>ë cilës garantohet “vetëqeverisja”. Duke iu referuar pikëpamjes së kërkuesve dhe të shumicës, lind vetvetiu pyetja: cilit pushtet i përket grupi prej nëntë gjyqtarësh që kalojnë me kohë të plotë pune? Përgjigja e pakicës është kategorike: ata kanë qenë dhe mbeten përfaqësues të pushtetit gjyqësor. Me ndryshimet në ligj, ata kanë një pozicion “</w:t>
      </w:r>
      <w:r w:rsidRPr="00290AC6">
        <w:rPr>
          <w:i/>
          <w:iCs/>
        </w:rPr>
        <w:t>sui generis</w:t>
      </w:r>
      <w:r w:rsidRPr="00290AC6">
        <w:t>”, funksionet e tyre si gjyqtarë “ngrijnë”, por kurrësesi nuk mund të pranohet se ata largohen. Kjo është aq evidente, sa në referim të ligjit, rikthimi i tyre në funksionin e gjyqtarit pas mbarimit të mandatit në Këshillin e Lartë të Drejtësisë nuk lidhet me asnjë kusht që parashikohet nga dispozitat ligjore për rekrutimin ex-novo të gjyqtarëve. Kështu, anëtarët e Këshillit të Lartë të Drejtësisë me mbarimin e mandatit, rikthehen në punën efektive si gjyqtarë dhe se koha e punës në Këshillin e Lartë të Drejtësisë, njihet si vjetërsi për efekt karriere në gjyqësor. Për më tepër, ashtu siç u theksua edhe nga zëvëndëskryetari i Këshillit të Lartë të Drejtësisë: anëtarët gjyqtarë të Këshillit të Lartë të Drejtësisë, edhe gjatë kohës që punojnë me kohë të plotë në këtë organ, duhet të vazhdojnë të mbeten anëtarë të Konferencës Gjyqësore Kombëtare.</w:t>
      </w:r>
    </w:p>
    <w:p w:rsidR="006E74CB" w:rsidRPr="00290AC6" w:rsidRDefault="006E74CB" w:rsidP="00332783">
      <w:pPr>
        <w:pStyle w:val="Paragrafi"/>
      </w:pPr>
      <w:r w:rsidRPr="00290AC6">
        <w:t>Ndryshimet në ligj, duke synuar të mënjanojnë “konfliktin e interesave”, i shërbejnë plotësisht ruajtjes së “pavarësisë së brendshme të gjyqësorit”, ashtu siç u përmend më lart, nga presionet endoorganizative. Sipas mendimit të pakicës, është më i mbrojtur në pavarësinë e brendshme një gjyqësor, i cili edhe pse ka hierarki të brendshme nuk ka varësi dhe interesa të qenësishme. Kështu, raportet midis kryetarit të gjykatës dhe gjyqtarëve përbëjnë problem që më shumë ka karakter administrativ e procedural, të cilat kthehen në varësi thelbësore kur mbi këto raporte “mbishtresëzohet” edhe qenia e kryetarit të gjykatës si anëtar i Këshillit të Lartë të Drejtësisë. Raportet ndryshojnë në dëm të pavarësisë së brendshme edhe midis vetë gjyqtarëve kur ndonjëri prej tyre është njëkohësisht dhe anëtar i Këshillit të Lartë të Drejtësisë. Në këto raste, duke iu referuar ligjit të amenduar, presionet endoorganizative mënjanoheshin ndjeshëm. Me shfuqizimin e amendamentit nga shumica, konflikti i interesave dhe presionet “endoorganizative” mbeten përsëri efektive në Këshillin e Lartë të Drejtësisë dhe në gjyqësorin në përgjithësi.</w:t>
      </w:r>
    </w:p>
    <w:p w:rsidR="006E74CB" w:rsidRPr="00290AC6" w:rsidRDefault="006E74CB" w:rsidP="00332783">
      <w:pPr>
        <w:pStyle w:val="Paragrafi"/>
      </w:pPr>
      <w:r w:rsidRPr="00290AC6">
        <w:t>Pikërisht, këto rreziqe potenciale (të vërtetuara shpesh në praktikë) i mënjanonte në mënyrë të dukshme ligji i ndryshuar. Në këtë drejtim, si shembull mund të merrej me shumë dobi organizimi e funksionimi i Këshillit të Lartë të Magjistraturës Italiane, ku anëtarët punojnë me kohë të plotë. Krahasimi që bëhet me Këshillin e Lartë të Magjistraturës bazohet në faktin se Kushtetuta e vendit tonë ngjason me Kushtetutën Italiane.</w:t>
      </w:r>
    </w:p>
    <w:p w:rsidR="006E74CB" w:rsidRPr="00290AC6" w:rsidRDefault="006E74CB" w:rsidP="00332783">
      <w:pPr>
        <w:pStyle w:val="Paragrafi"/>
      </w:pPr>
      <w:r w:rsidRPr="00290AC6">
        <w:t>Shumica dhe kërkuesit i konsiderojnë si mungesë konsekuence ndryshimet në raport me ligjin ekzistues përsa i përket nenit 7, shkronja “c”, për mbarimin e mandatit të anëtarit të Këshillit të Lartë të Drejtësisë. Sipas kësaj dispozite, qenia anëtar i Këshillit të Lartë të Drejtësisë (për anëtarët e zgjedhur nga Konferenca Gjyqësore Kombëtare) lidhet me qenien gjyqtar, gjë që do të thotë se mandati mbaron kur personi nuk është më gjyqtar.</w:t>
      </w:r>
    </w:p>
    <w:p w:rsidR="006E74CB" w:rsidRPr="00290AC6" w:rsidRDefault="006E74CB" w:rsidP="00332783">
      <w:pPr>
        <w:pStyle w:val="Paragrafi"/>
      </w:pPr>
      <w:r w:rsidRPr="00290AC6">
        <w:t xml:space="preserve">Nga krahasimi i dispozitave nuk </w:t>
      </w:r>
      <w:smartTag w:uri="urn:schemas-microsoft-com:office:smarttags" w:element="State">
        <w:smartTag w:uri="urn:schemas-microsoft-com:office:smarttags" w:element="place">
          <w:r w:rsidRPr="00290AC6">
            <w:t>del</w:t>
          </w:r>
        </w:smartTag>
      </w:smartTag>
      <w:r w:rsidRPr="00290AC6">
        <w:t xml:space="preserve"> se ka përplasje apo “konfuzion” siç mundohen ta kualifikojnë kërkuesit. Përkundrazi, dispozitat janë në harmoni dhe, me një interpretim të thjeshtë të ligjit, arrihet në konkluzion se me ndryshimet në ligj, mandati i anëtarit të Këshillit të Lartë të Drejtësisë nuk mbaron, sepse ai vazhdon të jetë gjyqtar në një pozicion të përkohshëm “</w:t>
      </w:r>
      <w:r w:rsidRPr="00DE15CB">
        <w:rPr>
          <w:i/>
        </w:rPr>
        <w:t>sui generis</w:t>
      </w:r>
      <w:r w:rsidRPr="00290AC6">
        <w:t>”.</w:t>
      </w:r>
    </w:p>
    <w:p w:rsidR="006E74CB" w:rsidRPr="00290AC6" w:rsidRDefault="006E74CB" w:rsidP="00332783">
      <w:pPr>
        <w:pStyle w:val="Paragrafi"/>
        <w:rPr>
          <w:lang w:val="sq-AL"/>
        </w:rPr>
      </w:pPr>
      <w:r w:rsidRPr="00290AC6">
        <w:rPr>
          <w:lang w:val="sq-AL"/>
        </w:rPr>
        <w:t>2. A ka dispozita që vijnë ndesh me Kushtetutën?</w:t>
      </w:r>
    </w:p>
    <w:p w:rsidR="006E74CB" w:rsidRPr="00290AC6" w:rsidRDefault="006E74CB" w:rsidP="00332783">
      <w:pPr>
        <w:pStyle w:val="Paragrafi"/>
        <w:rPr>
          <w:lang w:val="sq-AL"/>
        </w:rPr>
      </w:pPr>
      <w:r w:rsidRPr="00290AC6">
        <w:t>a) Në nenin 4 të ligjit ka një saktësim për anëtarët e Këshillit të Lartë të Drejtësisë që zgjidhen nga Kuvendi i Republikës së Shqipërisë. Duk</w:t>
      </w:r>
      <w:r w:rsidR="00DE15CB">
        <w:t>e u bazuar në Kushtetutë, ligji</w:t>
      </w:r>
      <w:r w:rsidRPr="00290AC6">
        <w:t xml:space="preserve"> ka pasur si kriter para saktësimit të tij, qenien e tyre si juristë dhe me përvojë jo më pak se 15 vjet në profesion. Për mendimin tim, legjislatori ka vepruar drejt që në plotësim ka specifikuar që këta juristë të mos jenë gjyqtarë. Shtesa, që kërkuesit e paraqesin si cenim të Kushtetutës, është shprehje e interpretimit të frymës së Kushtetutës për të mos lejuar cenimin eventual të formulës kushtetuese, e cila ka pranuar që në Këshillin e Lartë të Drejtësisë të jenë nëntë gjyqtarë dhe jo dymbëdhjetë, siç mund të ndodhte para ndryshimit në ligj, kur Kuvendi mund t’i zgjidhte tre anëtarët përsëri nga radhët e gjyqtarëve;</w:t>
      </w:r>
    </w:p>
    <w:p w:rsidR="006E74CB" w:rsidRPr="00290AC6" w:rsidRDefault="006E74CB" w:rsidP="00332783">
      <w:pPr>
        <w:pStyle w:val="Paragrafi"/>
        <w:rPr>
          <w:lang w:val="sq-AL"/>
        </w:rPr>
      </w:pPr>
      <w:r w:rsidRPr="00290AC6">
        <w:rPr>
          <w:lang w:val="sq-AL"/>
        </w:rPr>
        <w:t>b) Në ligj, para ndryshimit, papajtueshmëria lidhej me funksionet e anëtarit të Këshillit të Lartë të Drejtësisë. Në ndryshime</w:t>
      </w:r>
      <w:r w:rsidR="00DE15CB">
        <w:rPr>
          <w:lang w:val="sq-AL"/>
        </w:rPr>
        <w:t>t në ligj, termi “funksion” u zë</w:t>
      </w:r>
      <w:r w:rsidRPr="00290AC6">
        <w:rPr>
          <w:lang w:val="sq-AL"/>
        </w:rPr>
        <w:t>vendësua me termin “mandat”.</w:t>
      </w:r>
    </w:p>
    <w:p w:rsidR="006E74CB" w:rsidRPr="00290AC6" w:rsidRDefault="006E74CB" w:rsidP="00332783">
      <w:pPr>
        <w:pStyle w:val="Paragrafi"/>
        <w:rPr>
          <w:lang w:val="sq-AL"/>
        </w:rPr>
      </w:pPr>
      <w:r w:rsidRPr="00290AC6">
        <w:t>Këtë ndryshim kërkuesit e paraqesin si absurd dhe antikushtetues, sepse me ndryshimet në ligj konsiderohet sipas tyre e papajtueshme kryerja e funksionit të Presidentit të Republikës, Ministrit të Drejtësisë dhe Kryetarit të Gjykatës së Lartë, me funksionin e anëtarit të Këshillit të Lartë të Drejtësisë.</w:t>
      </w:r>
    </w:p>
    <w:p w:rsidR="006E74CB" w:rsidRPr="00332783" w:rsidRDefault="006E74CB" w:rsidP="00332783">
      <w:pPr>
        <w:pStyle w:val="Paragrafi"/>
      </w:pPr>
      <w:r w:rsidRPr="00332783">
        <w:t xml:space="preserve">Arsyetimi lidhur me kushtetutshmërinë e këtij ndryshimi është tërësisht pa bazë për faktin se tre subjektet e mësipërme janë </w:t>
      </w:r>
      <w:r w:rsidRPr="00332783">
        <w:rPr>
          <w:i/>
        </w:rPr>
        <w:t>ex officio</w:t>
      </w:r>
      <w:r w:rsidRPr="00332783">
        <w:t xml:space="preserve"> anëtarë të Këshillit të Lartë të Drejt</w:t>
      </w:r>
      <w:r w:rsidR="00AC0CEC" w:rsidRPr="00332783">
        <w:t>ësisë. Ata nuk marrin ose nuk lë</w:t>
      </w:r>
      <w:r w:rsidRPr="00332783">
        <w:t>në mandat dhe se funksioni i tyre nuk kufizohet në kohë me atë të anëtarëve të Këshillit të Lartë të Drejtësisë. Për rrjedhojë, në kundërshtim me Kushtetutën ka qenë formulimi para ndryshimit që e lidhte papajtueshmërinë me funksionin dhe, për pasojë, cenonte direkt pozitën kushtetuese e ligjore të subjekteve të mësipërm</w:t>
      </w:r>
      <w:r w:rsidR="005E2054" w:rsidRPr="00332783">
        <w:t>e</w:t>
      </w:r>
      <w:r w:rsidRPr="00332783">
        <w:t>. Ndryshimi i bërë nga “funksion” në “mandat” mënjanon këtë antikushtetutshmëri, sepse normalisht mund të bëhet dallimi i qartë se cilët anëtarë të Këshillit të Lartë të Drejtësisë fitojnë ose marrin mandat, e cilët e kanë në funksion të tyre anëtarësinë në këtë organ.</w:t>
      </w:r>
    </w:p>
    <w:p w:rsidR="006E74CB" w:rsidRPr="00290AC6" w:rsidRDefault="006E74CB" w:rsidP="00332783">
      <w:pPr>
        <w:pStyle w:val="Paragrafi"/>
        <w:rPr>
          <w:b/>
          <w:bCs/>
          <w:lang w:val="sq-AL"/>
        </w:rPr>
      </w:pPr>
      <w:r w:rsidRPr="00290AC6">
        <w:t>Pakica ka mendimin se problemi i imunitetit mund të diskutohej vetëm për tre anëtarët e zgjedhur nga Kuvendi. Gjithashtu, problem mbetet edhe statusi i anëtarit të Këshillit të Lartë të Drejtësisë që vjen nga Gjykata e Lartë. Megjithatë, këto të meta, të cilat normalisht mund të riparoheshin nga legjislatori, nuk kishte përse të shërbenin si një ndër shkaqet e antikushtetutshmërisë e të shfuqizimit të ligjit në tërësi.</w:t>
      </w:r>
      <w:r w:rsidRPr="00290AC6">
        <w:rPr>
          <w:b/>
          <w:bCs/>
        </w:rPr>
        <w:tab/>
      </w:r>
    </w:p>
    <w:p w:rsidR="006E74CB" w:rsidRPr="00290AC6" w:rsidRDefault="0072041E" w:rsidP="0072041E">
      <w:pPr>
        <w:pStyle w:val="Autoriteti"/>
      </w:pPr>
      <w:r>
        <w:t>ANËTA</w:t>
      </w:r>
      <w:r w:rsidR="006E74CB" w:rsidRPr="00290AC6">
        <w:t>R</w:t>
      </w:r>
    </w:p>
    <w:p w:rsidR="006E74CB" w:rsidRPr="00290AC6" w:rsidRDefault="0072041E" w:rsidP="0072041E">
      <w:pPr>
        <w:pStyle w:val="AutoritetiEmer"/>
      </w:pPr>
      <w:r>
        <w:t>A. Karamuço</w:t>
      </w:r>
    </w:p>
    <w:p w:rsidR="006E74CB" w:rsidRPr="0072041E" w:rsidRDefault="00003890" w:rsidP="0072041E">
      <w:pPr>
        <w:pStyle w:val="TitulliTitull"/>
      </w:pPr>
      <w:r>
        <w:t>MENDIMI I PAKICË</w:t>
      </w:r>
      <w:r w:rsidR="006E74CB" w:rsidRPr="0072041E">
        <w:t>S</w:t>
      </w:r>
    </w:p>
    <w:p w:rsidR="00325659" w:rsidRPr="00290AC6" w:rsidRDefault="00325659" w:rsidP="00332783">
      <w:pPr>
        <w:pStyle w:val="Paragrafi"/>
        <w:rPr>
          <w:lang w:val="sq-AL"/>
        </w:rPr>
      </w:pPr>
    </w:p>
    <w:p w:rsidR="006E74CB" w:rsidRPr="00290AC6" w:rsidRDefault="006E74CB" w:rsidP="00332783">
      <w:pPr>
        <w:pStyle w:val="Paragrafi"/>
        <w:rPr>
          <w:lang w:val="sq-AL"/>
        </w:rPr>
      </w:pPr>
      <w:r w:rsidRPr="00290AC6">
        <w:tab/>
        <w:t>Jam kundër zgjidhjes së çështjes nga shumica përsa i përket ndryshimeve në ligjin për Këshillin e Lartë të Drejtësisë.</w:t>
      </w:r>
    </w:p>
    <w:p w:rsidR="006E74CB" w:rsidRPr="00290AC6" w:rsidRDefault="006E74CB" w:rsidP="00332783">
      <w:pPr>
        <w:pStyle w:val="Paragrafi"/>
        <w:rPr>
          <w:lang w:val="sq-AL"/>
        </w:rPr>
      </w:pPr>
      <w:r w:rsidRPr="00290AC6">
        <w:rPr>
          <w:lang w:val="sq-AL"/>
        </w:rPr>
        <w:tab/>
        <w:t>1. Tashmë është një praktikë e konsoliduar e demokracive evropiane, që kanë futur në rendin e tyre juridik (në disa raste edhe me Kushtetutë), një organ si Këshilli i Lartë i Drejtësisë, i cili përbën një garant efektiv për respektimin e parimeve demokratike, duke përfshirë autonominë dhe pavarësinë e gjyqësorit dhe mbrojtjen e lirive e të drejtave themelore. Një organ i tillë ka për detyrë kryesore të ushtrojë atribute të administrimit të pushtetit gjyqësor, të cilat më përpara kanë qenë në kompetencë të ekzekutivit.</w:t>
      </w:r>
    </w:p>
    <w:p w:rsidR="006E74CB" w:rsidRPr="00290AC6" w:rsidRDefault="006E74CB" w:rsidP="00332783">
      <w:pPr>
        <w:pStyle w:val="Paragrafi"/>
        <w:rPr>
          <w:lang w:val="sq-AL"/>
        </w:rPr>
      </w:pPr>
      <w:r w:rsidRPr="00332783">
        <w:tab/>
        <w:t>Sipas nenit 147 të Kushtetutës, Këshilli i Lartë i Drejtësisë është një organ kushtetues me përbërje të përcaktuar numerike</w:t>
      </w:r>
      <w:r w:rsidR="00ED259E" w:rsidRPr="00332783">
        <w:t>,</w:t>
      </w:r>
      <w:r w:rsidRPr="00332783">
        <w:t xml:space="preserve"> si dhe mënyrën e zgjedhjes së anëtarëve të tij. Kështu, 3 anëtarë janë </w:t>
      </w:r>
      <w:r w:rsidRPr="00290AC6">
        <w:rPr>
          <w:i/>
          <w:iCs/>
          <w:lang w:val="sq-AL"/>
        </w:rPr>
        <w:t>ex officio,</w:t>
      </w:r>
      <w:r w:rsidRPr="00290AC6">
        <w:rPr>
          <w:lang w:val="sq-AL"/>
        </w:rPr>
        <w:t xml:space="preserve"> 9 zgjidhen nga Konferenca Gjyqësore Kombëtare dhe 3 nga Kuvendi. Kjo përbërje e sanksionuar në ligjin e mëparshëm, ruhet edhe me ligjin nr.9448, datë 05.12.2005, që është kundërshtuar në Gjykatën Kushtetuese.</w:t>
      </w:r>
    </w:p>
    <w:p w:rsidR="006E74CB" w:rsidRPr="00332783" w:rsidRDefault="006E74CB" w:rsidP="00332783">
      <w:pPr>
        <w:pStyle w:val="Paragrafi"/>
        <w:rPr>
          <w:rStyle w:val="ParagrafiChar"/>
        </w:rPr>
      </w:pPr>
      <w:r w:rsidRPr="00290AC6">
        <w:rPr>
          <w:lang w:val="sq-AL"/>
        </w:rPr>
        <w:tab/>
        <w:t>Një zgjidhje të tillë e kanë adoptuar shumë shtete për të balancuar ushtrimin e pushteteve sipas parimit “</w:t>
      </w:r>
      <w:r w:rsidRPr="00ED259E">
        <w:rPr>
          <w:i/>
          <w:lang w:val="sq-AL"/>
        </w:rPr>
        <w:t>chech and balance</w:t>
      </w:r>
      <w:r w:rsidRPr="00332783">
        <w:rPr>
          <w:rStyle w:val="ParagrafiChar"/>
        </w:rPr>
        <w:t>”, por duke i dhënë përparësi numerike anëtarëve të ardhur nga gjyqësori.</w:t>
      </w:r>
    </w:p>
    <w:p w:rsidR="006E74CB" w:rsidRPr="00290AC6" w:rsidRDefault="006E74CB" w:rsidP="00332783">
      <w:pPr>
        <w:pStyle w:val="Paragrafi"/>
        <w:rPr>
          <w:lang w:val="sq-AL"/>
        </w:rPr>
      </w:pPr>
      <w:r w:rsidRPr="00290AC6">
        <w:rPr>
          <w:lang w:val="sq-AL"/>
        </w:rPr>
        <w:tab/>
        <w:t>Me ligjin e ri, për shkak të mënjanimit të konfliktit të interesave, është përcaktuar se anëtarët e K</w:t>
      </w:r>
      <w:r w:rsidR="00ED259E">
        <w:rPr>
          <w:lang w:val="sq-AL"/>
        </w:rPr>
        <w:t>ëshillit të Lartë të Drejtësisë</w:t>
      </w:r>
      <w:r w:rsidRPr="00290AC6">
        <w:rPr>
          <w:lang w:val="sq-AL"/>
        </w:rPr>
        <w:t xml:space="preserve"> punojnë me kohë të plotë, ndërsa përbërja mbetet e njëjtë në raportet që ka përcaktuar Kushtetuta. Caktimi me kohë të plotë është diskrecion i ligjvënësit, është një vlerësim që bëhet në një situatë të caktuar dhe për një qëllim që shteti synon të arrijë. Kjo zgjidhje njihet edhe në shtete të tjera dhe në këtë rregullimi nuk ka asgjë në kundërshtim me Kushtetutën.</w:t>
      </w:r>
    </w:p>
    <w:p w:rsidR="006E74CB" w:rsidRPr="00290AC6" w:rsidRDefault="006E74CB" w:rsidP="00332783">
      <w:pPr>
        <w:pStyle w:val="Paragrafi"/>
        <w:rPr>
          <w:lang w:val="sq-AL"/>
        </w:rPr>
      </w:pPr>
      <w:r w:rsidRPr="00290AC6">
        <w:rPr>
          <w:lang w:val="sq-AL"/>
        </w:rPr>
        <w:tab/>
        <w:t>2. Problemi tjetër është nëse anëtarët e zgjedhur nga radhët e gjyqtarëve do të mbeten të tillë dhe në rast se jo a vjen ndesh ky rregullim me nenin 147 të Kushtetutës? Natyrisht, që sipas ligjit, gjyqtarët që zgjidhen në Këshillin e Lartë të Drejtësisë, nuk e ushtrojnë më funksionin e tyre si gjyqtarë efektivë përsa kohë janë anëtarë të Këshillit të Lartë të Drejtësisë. Këtë nuk e lejon ligji, i cili për këtë shkak ka mënjanuar konfliktin e interesave. Kjo zgjidhje që ka bërë ligji nuk vjen në kundërshtim me Kushtetutën, përderisa është ruajtur mënyra e zgjedhjes dhe numri i përcaktuar nga ajo. Kushtetuta ka vënë si kriter zgjedhjen e anëtarëve nga gjyqtarët e të gjitha niveleve, prandaj, përmend termin “gjyqtarë”. Por kjo nuk do të thotë se ata do të mbeten të tillë sa kohë ushtrojnë detyrën e anëtarit të Këshillit të Lartë të Drejtësisë. Të pranosh të kundërtën, është një nonsens dhe praktikisht e pamundur për t’u realizuar, sepse ata nuk mund të punojnë njëkohësisht me kohë të plotë në dy vende pune. Kuptimi i normës kushtetuese është që 2/3 e anëtarëve të vinë nga gjyqësori por jo të mbeten gjyqtarë, ashtu siç nuk mund të mbeten në postet e tyre anëtarët e zgjedhur nga Kuvendi.</w:t>
      </w:r>
    </w:p>
    <w:p w:rsidR="006E74CB" w:rsidRPr="00290AC6" w:rsidRDefault="006E74CB" w:rsidP="00332783">
      <w:pPr>
        <w:pStyle w:val="Paragrafi"/>
        <w:rPr>
          <w:lang w:val="sq-AL"/>
        </w:rPr>
      </w:pPr>
      <w:r w:rsidRPr="00290AC6">
        <w:rPr>
          <w:lang w:val="sq-AL"/>
        </w:rPr>
        <w:tab/>
        <w:t>Termi “gjyqtarë” që përdor Kushtetuta, nuk ka kuptimin se ata do të vazhdojnë të jenë gjyqtarë efektivë edhe pasi zgjidhen anëtarë të Këshillit të Lartë të Drejtësisë. Qëllimi i normës kushtetuese është që zgjedhja e 9 anëtarëve të Këshillit të Lartë të Drejtësisë të bëhet nga rrethi i gjyqtarëve të të gjitha niveleve, pra jo vetëm t’i përkasin gjyqësorit në përgjithësi por të jenë nga ata që marrin pjesë drejtpërsëdrejti në dhënien e drejtësisë. Pjesëmarrja e tyre në Këshillin e Lartë të Drejtësisë si anëtarë me kohë të plotë dhe duke mos e ushtruar efektivisht detyrën e gjyqtarit, përsa kohë janë anëtarë të Këshillit të Lartë të Drejtësisë, nuk e cenon parimin kushtetues të zgjedhjes nga gjyqësori, sepse ata janë zgjedhur pikërisht nga ky pushtet dhe atë përfaqësojnë. Për më tepër, në bazë të ligjit, me mbarimin e mandatit si anëtarë të Këshillit të Lartë të Drejtësisë, ose në rast dorëheqje nga ky post, ata kthehen përsëri për të ushtruar funksionin e gjyqtarit.</w:t>
      </w:r>
    </w:p>
    <w:p w:rsidR="006E74CB" w:rsidRPr="00290AC6" w:rsidRDefault="0010391D" w:rsidP="00332783">
      <w:pPr>
        <w:pStyle w:val="Paragrafi"/>
        <w:rPr>
          <w:lang w:val="sq-AL"/>
        </w:rPr>
      </w:pPr>
      <w:r>
        <w:rPr>
          <w:lang w:val="sq-AL"/>
        </w:rPr>
        <w:t>Gjith</w:t>
      </w:r>
      <w:r w:rsidR="006E74CB" w:rsidRPr="00290AC6">
        <w:rPr>
          <w:lang w:val="sq-AL"/>
        </w:rPr>
        <w:t>sesi zgjedhja e njërit ose tjetrit post është në dëshirën e gjyqtarit. Ai është i lirë të qëndrojë gjyq</w:t>
      </w:r>
      <w:r w:rsidR="003D166C">
        <w:rPr>
          <w:lang w:val="sq-AL"/>
        </w:rPr>
        <w:t>tar ose kur vlerëson si më të pë</w:t>
      </w:r>
      <w:r w:rsidR="006E74CB" w:rsidRPr="00290AC6">
        <w:rPr>
          <w:lang w:val="sq-AL"/>
        </w:rPr>
        <w:t>rshtatshme qënien anëtar të Këshillit të Lartë të Drejtësisë, mund të zgjedhë këtë të fundit.</w:t>
      </w:r>
    </w:p>
    <w:p w:rsidR="006E74CB" w:rsidRPr="00290AC6" w:rsidRDefault="006E74CB" w:rsidP="00332783">
      <w:pPr>
        <w:pStyle w:val="Paragrafi"/>
        <w:rPr>
          <w:lang w:val="sq-AL"/>
        </w:rPr>
      </w:pPr>
      <w:r w:rsidRPr="00290AC6">
        <w:rPr>
          <w:lang w:val="sq-AL"/>
        </w:rPr>
        <w:t>Përsa i përket anëtarëve të Gjykatës së Lartë, për të cilët ligji nuk shprehet se kthehen në detyrë me mbarimin e mandatit si anëtar të Këshillit të Lartë të Drejtësisë, ky i fundit nuk e bën ligjin antikushtetues. Edhe në këtë rast zgjedhja do të bëhet nga vetë gjyqtari i Gjykatës së Lartë. Shembulli krahasues me kohëzgjatjen e mandatit të anëtarit të Gjykatës së Lartë prej 9 vjet dhe të anëtarit të Këshillit të Lartë të drejtësisë që r</w:t>
      </w:r>
      <w:r w:rsidR="003D166C">
        <w:rPr>
          <w:lang w:val="sq-AL"/>
        </w:rPr>
        <w:t>r</w:t>
      </w:r>
      <w:r w:rsidRPr="00290AC6">
        <w:rPr>
          <w:lang w:val="sq-AL"/>
        </w:rPr>
        <w:t>i 5 vjet, është abuziv, sepse në fakt nuk pengon zgjedhjen e anëtarëve të Këshillit të Lartë të Drejtësisë edhe nga kjo instancë e gjyqësorit. Mund të pranohet se nuk heq dorë nga detyra për t’u bërë anëtar i Këshillit të Lartë të Drejtësisë një gjyqtar i Gjykatës së Lartë që është në fillim të mandatit të tij, por kjo gjë nuk mund të thuhet për një tjetër që është në mbari</w:t>
      </w:r>
      <w:r w:rsidR="003D166C">
        <w:rPr>
          <w:lang w:val="sq-AL"/>
        </w:rPr>
        <w:t>m të mandatit si gjyqtar. Gjith</w:t>
      </w:r>
      <w:r w:rsidRPr="00290AC6">
        <w:rPr>
          <w:lang w:val="sq-AL"/>
        </w:rPr>
        <w:t>sesi zgjedhja është në vullnetin e gjyqtarit, prandaj ky rregullim ligjor nuk është i papajtueshëm me Kushtetutën.</w:t>
      </w:r>
    </w:p>
    <w:p w:rsidR="006E74CB" w:rsidRPr="00332783" w:rsidRDefault="006E74CB" w:rsidP="00332783">
      <w:pPr>
        <w:pStyle w:val="Paragrafi"/>
      </w:pPr>
      <w:r w:rsidRPr="00332783">
        <w:t xml:space="preserve">3. Përsa i përket imunitetit të anëtarëve të Këshillit të Lartë të Drejtësisë, kam mendimin se njohja e një të drejte të tillë, nuk vjen në kundërshtim me Kushtetutën. Përkundrazi, në rast se ligji nuk do ta njihte këtë të drejtë, të cilën anëtarët e zgjedhur nga gjyqësori e përfitonin nga posti i tyre dhe po ashtu edhe anëtarët </w:t>
      </w:r>
      <w:r w:rsidRPr="00332783">
        <w:rPr>
          <w:i/>
        </w:rPr>
        <w:t xml:space="preserve">ex officio, </w:t>
      </w:r>
      <w:r w:rsidRPr="00332783">
        <w:t>kjo do të konsiderohej një mbrojtje e papërshtatshme e anëtarëve dhe një cenim i autoritetit të Këshillit të Lartë të Drejtësisë si organ kushtetues.</w:t>
      </w:r>
    </w:p>
    <w:p w:rsidR="006E74CB" w:rsidRPr="00290AC6" w:rsidRDefault="006E74CB" w:rsidP="00A314F9">
      <w:pPr>
        <w:pStyle w:val="FootnoteText"/>
        <w:ind w:firstLine="720"/>
        <w:jc w:val="both"/>
        <w:rPr>
          <w:sz w:val="22"/>
          <w:szCs w:val="22"/>
        </w:rPr>
      </w:pPr>
      <w:r w:rsidRPr="00290AC6">
        <w:rPr>
          <w:sz w:val="22"/>
          <w:szCs w:val="22"/>
        </w:rPr>
        <w:t>Lidhur me këtë, nënkomisioni për reformën kushtetuese i Komisionit të Ve</w:t>
      </w:r>
      <w:r w:rsidR="00BB04B2">
        <w:rPr>
          <w:sz w:val="22"/>
          <w:szCs w:val="22"/>
        </w:rPr>
        <w:t>necias ka rekomanduar: “Duke pas</w:t>
      </w:r>
      <w:r w:rsidRPr="00290AC6">
        <w:rPr>
          <w:sz w:val="22"/>
          <w:szCs w:val="22"/>
        </w:rPr>
        <w:t>ur parasysh situatën tipike të Shqipërisë, do të ishte me vend që ligji t’u akordojë anëtarëve të Këshillit të Lartë të Drejtësisë imunitetin nga ndjekja penale, për shkak të akteve të kryera gjatë ushtrimit të funksioneve të tyre”.</w:t>
      </w:r>
      <w:r w:rsidRPr="00290AC6">
        <w:rPr>
          <w:rStyle w:val="FootnoteReference"/>
          <w:sz w:val="22"/>
          <w:szCs w:val="22"/>
        </w:rPr>
        <w:footnoteReference w:id="4"/>
      </w:r>
      <w:r w:rsidRPr="00290AC6">
        <w:rPr>
          <w:sz w:val="22"/>
          <w:szCs w:val="22"/>
        </w:rPr>
        <w:t xml:space="preserve"> </w:t>
      </w:r>
    </w:p>
    <w:p w:rsidR="006E74CB" w:rsidRPr="00290AC6" w:rsidRDefault="006E74CB" w:rsidP="00A314F9">
      <w:pPr>
        <w:pStyle w:val="FootnoteText"/>
        <w:ind w:firstLine="720"/>
        <w:jc w:val="both"/>
        <w:rPr>
          <w:sz w:val="22"/>
          <w:szCs w:val="22"/>
        </w:rPr>
      </w:pPr>
      <w:r w:rsidRPr="00290AC6">
        <w:rPr>
          <w:sz w:val="22"/>
          <w:szCs w:val="22"/>
        </w:rPr>
        <w:t xml:space="preserve">4. Jam i mendimit se do të ishte qëndrim i papërshtatshëm të konsiderohej si i papajtueshëm me Kushtetutën, një ligj që trajton organizimin e Këshillit të Lartë të Drejtësisë njëlloj si në Itali, Francë, Gjermani, Spanjë, Portugali, etj., me përbërjen strikt sipas Kushtetutës </w:t>
      </w:r>
      <w:r w:rsidRPr="00290AC6">
        <w:rPr>
          <w:i/>
          <w:iCs/>
          <w:sz w:val="22"/>
          <w:szCs w:val="22"/>
        </w:rPr>
        <w:t>ex officio,</w:t>
      </w:r>
      <w:r w:rsidRPr="00290AC6">
        <w:rPr>
          <w:sz w:val="22"/>
          <w:szCs w:val="22"/>
        </w:rPr>
        <w:t xml:space="preserve"> 2/3 nga gjyqësori dhe 1/3 nga Kuvendi. Rregullimi me kohë të plotë i punës në Këshillin e Lartë të Drejtësisë nuk cenon asnjë nga parimet kushtetuese, përkundrazi në frymën e Kushtetutës shmang konfliktin e interesave.</w:t>
      </w:r>
    </w:p>
    <w:p w:rsidR="006E74CB" w:rsidRPr="00290AC6" w:rsidRDefault="006E74CB" w:rsidP="00A314F9">
      <w:pPr>
        <w:pStyle w:val="FootnoteText"/>
        <w:ind w:firstLine="720"/>
        <w:jc w:val="both"/>
        <w:rPr>
          <w:sz w:val="22"/>
          <w:szCs w:val="22"/>
        </w:rPr>
      </w:pPr>
      <w:r w:rsidRPr="00290AC6">
        <w:rPr>
          <w:sz w:val="22"/>
          <w:szCs w:val="22"/>
        </w:rPr>
        <w:t xml:space="preserve">Duke iu referuar legjislacionit dhe praktikës italiane rezulton se anëtarët e zgjedhur nga magjistratura hiqen nga funksionet e tyre, ndërsa anëtarët </w:t>
      </w:r>
      <w:r w:rsidRPr="00290AC6">
        <w:rPr>
          <w:i/>
          <w:iCs/>
          <w:sz w:val="22"/>
          <w:szCs w:val="22"/>
        </w:rPr>
        <w:t xml:space="preserve">ex officio </w:t>
      </w:r>
      <w:r w:rsidRPr="00290AC6">
        <w:rPr>
          <w:sz w:val="22"/>
          <w:szCs w:val="22"/>
        </w:rPr>
        <w:t xml:space="preserve">qëndrojnë në detyrë. </w:t>
      </w:r>
    </w:p>
    <w:p w:rsidR="006E74CB" w:rsidRPr="00290AC6" w:rsidRDefault="006E74CB" w:rsidP="00A314F9">
      <w:pPr>
        <w:pStyle w:val="FootnoteText"/>
        <w:ind w:firstLine="720"/>
        <w:jc w:val="both"/>
        <w:rPr>
          <w:sz w:val="22"/>
          <w:szCs w:val="22"/>
        </w:rPr>
      </w:pPr>
      <w:r w:rsidRPr="00290AC6">
        <w:rPr>
          <w:sz w:val="22"/>
          <w:szCs w:val="22"/>
        </w:rPr>
        <w:t>Edhe ligji nr.9448, datë 05.12.2005 “Për disa ndryshime në ligjin për Këshillin e Lartë të Drejtësisë” ka adoptuar të njëjtat kritere. Nga ballafaqimi i këtyre qëndrimeve</w:t>
      </w:r>
      <w:r w:rsidR="00880759">
        <w:rPr>
          <w:sz w:val="22"/>
          <w:szCs w:val="22"/>
        </w:rPr>
        <w:t>,</w:t>
      </w:r>
      <w:r w:rsidRPr="00290AC6">
        <w:rPr>
          <w:sz w:val="22"/>
          <w:szCs w:val="22"/>
        </w:rPr>
        <w:t xml:space="preserve"> duke mbajtur parasysh edhe zgjidhjen e dhënë nga shumica, do të ishte pa vend të mendohej se shteti italian ka lënë për një kohë të gjatë (dhe vazhdon ta mbajë) një gjendje të tillë pakushtetutshmërie.</w:t>
      </w:r>
    </w:p>
    <w:p w:rsidR="006E74CB" w:rsidRPr="00290AC6" w:rsidRDefault="0072041E" w:rsidP="0072041E">
      <w:pPr>
        <w:pStyle w:val="Autoriteti"/>
        <w:rPr>
          <w:lang w:val="sq-AL"/>
        </w:rPr>
      </w:pPr>
      <w:r>
        <w:t>ANËTA</w:t>
      </w:r>
      <w:r w:rsidR="006E74CB" w:rsidRPr="00290AC6">
        <w:rPr>
          <w:lang w:val="sq-AL"/>
        </w:rPr>
        <w:t>R</w:t>
      </w:r>
    </w:p>
    <w:p w:rsidR="006E74CB" w:rsidRPr="00290AC6" w:rsidRDefault="0072041E" w:rsidP="0072041E">
      <w:pPr>
        <w:pStyle w:val="AutoritetiEmer"/>
        <w:rPr>
          <w:lang w:val="sq-AL"/>
        </w:rPr>
      </w:pPr>
      <w:r>
        <w:t>K. Peçi</w:t>
      </w:r>
    </w:p>
    <w:p w:rsidR="006E74CB" w:rsidRPr="00290AC6" w:rsidRDefault="006E74CB" w:rsidP="00332783">
      <w:pPr>
        <w:pStyle w:val="Paragrafi"/>
        <w:rPr>
          <w:lang w:val="sq-AL"/>
        </w:rPr>
      </w:pPr>
    </w:p>
    <w:p w:rsidR="00586F40" w:rsidRDefault="00586F40" w:rsidP="00A168C5">
      <w:pPr>
        <w:pStyle w:val="TitulliTitull"/>
      </w:pPr>
    </w:p>
    <w:p w:rsidR="006E74CB" w:rsidRPr="00290AC6" w:rsidRDefault="00A168C5" w:rsidP="00A168C5">
      <w:pPr>
        <w:pStyle w:val="TitulliTitull"/>
        <w:rPr>
          <w:lang w:val="sq-AL"/>
        </w:rPr>
      </w:pPr>
      <w:r>
        <w:t>MENDIMI I PAKICË</w:t>
      </w:r>
      <w:r w:rsidR="006E74CB" w:rsidRPr="00290AC6">
        <w:t>S</w:t>
      </w:r>
    </w:p>
    <w:p w:rsidR="006E74CB" w:rsidRPr="00290AC6" w:rsidRDefault="006E74CB" w:rsidP="00332783">
      <w:pPr>
        <w:pStyle w:val="Paragrafi"/>
        <w:rPr>
          <w:lang w:val="sq-AL"/>
        </w:rPr>
      </w:pPr>
    </w:p>
    <w:p w:rsidR="006E74CB" w:rsidRPr="00290AC6" w:rsidRDefault="006E74CB" w:rsidP="00332783">
      <w:pPr>
        <w:pStyle w:val="Paragrafi"/>
        <w:rPr>
          <w:lang w:val="sq-AL"/>
        </w:rPr>
      </w:pPr>
      <w:r w:rsidRPr="00290AC6">
        <w:rPr>
          <w:lang w:val="sq-AL"/>
        </w:rPr>
        <w:t>Nuk mund të jem aspak dakord me shumicën. Mendoj se jo vetëm neni 1, por të gjitha dispozitat e ligji nr.9448, datë 05.12.2005 “Për disa ndryshime dhe shtesa në ligjin nr.8811, datë 17.05.2001 “Për organizimin dhe funksionimin e Këshillit të Lartë të Drejtësisë”, në tërësinë e tyre nuk janë në kundërshtim me Kushtetutën, prandaj kërkesa drejtuar Gjykatës Kushtetuese nga një grup deputetësh duhej rrëzuar si e pabazuar.</w:t>
      </w:r>
    </w:p>
    <w:p w:rsidR="006E74CB" w:rsidRPr="00290AC6" w:rsidRDefault="006E74CB" w:rsidP="00332783">
      <w:pPr>
        <w:pStyle w:val="Paragrafi"/>
        <w:rPr>
          <w:lang w:val="sq-AL"/>
        </w:rPr>
      </w:pPr>
      <w:r w:rsidRPr="00290AC6">
        <w:rPr>
          <w:lang w:val="sq-AL"/>
        </w:rPr>
        <w:t>Në shtetin demokratik si formë e qeverisjes, Kushtetuta është një rend “dirigjues” dhe jo një rend që kontrollon çdo ligj në detaje. Kushtetuta përcakton parimet e përgjithshme të ndërtimit, organizimit dhe funksionimit të shtetit demokratik. Ajo nuk është një mekanizëm rregullues për gjithçka. Përgjithësisht deklarimet e saj janë fragmentare, në mënyrë që të krijojnë hapësirën e duhur interpretuese dhe zbatuese në praktikë. Vetëm një Kushtetutë e tillë mund të ketë jetë të gjatë. Në ushtrimin e funksioneve të tij, ligjvënësi ka hapësirë të gjerë vlerësimi, por gjithnjë duke respektuar me rigorozitet parimet themelore të deklaruara në Kushtetutë.</w:t>
      </w:r>
    </w:p>
    <w:p w:rsidR="006E74CB" w:rsidRPr="00290AC6" w:rsidRDefault="006E74CB" w:rsidP="00332783">
      <w:pPr>
        <w:pStyle w:val="Paragrafi"/>
        <w:rPr>
          <w:lang w:val="sq-AL"/>
        </w:rPr>
      </w:pPr>
      <w:r w:rsidRPr="00290AC6">
        <w:rPr>
          <w:lang w:val="sq-AL"/>
        </w:rPr>
        <w:t>Zbatimi me sukses i parimeve themelore kushtetuese, veçanërisht i atyre që kanë të bëjnë me qeverisjen e mirë, shtetin e së drejtës dhe respektimin e të drejtave dhe lirive themelore të njeriut, kërkon një angazhim serioz, të koordinu</w:t>
      </w:r>
      <w:r w:rsidR="00D376CF">
        <w:rPr>
          <w:lang w:val="sq-AL"/>
        </w:rPr>
        <w:t>ar dhe në mirëbesim të të gjitha</w:t>
      </w:r>
      <w:r w:rsidRPr="00290AC6">
        <w:rPr>
          <w:lang w:val="sq-AL"/>
        </w:rPr>
        <w:t xml:space="preserve"> mekanizmave shtetërore, veçanërisht të atyre mekanizmave që lidhen në mënyrë të drejtpërdrejtë me të tre pushtetet kryesore. Në këtë kuptim, çdo mekanizëm apo institucion kushtetues duhet të jetë i përmbajtur në ushtrimin e kompetencave të tij brenda hapësirës kushtetuese, pa cenuar kompetencat legjitime dhe funksionet kushtetuese të institucioneve të tjera, e aq më tepër të parlamentit si organi ligjvënës dhe bartës i sovranitetit të popullit. Ndarja e pushteteve dhe sovraniteti parlamentar janë elemente qendrore në regjimin parlamentar të qeverisjes.</w:t>
      </w:r>
    </w:p>
    <w:p w:rsidR="006E74CB" w:rsidRPr="00290AC6" w:rsidRDefault="006E74CB" w:rsidP="00332783">
      <w:pPr>
        <w:pStyle w:val="Paragrafi"/>
        <w:rPr>
          <w:lang w:val="sq-AL"/>
        </w:rPr>
      </w:pPr>
      <w:r w:rsidRPr="00290AC6">
        <w:rPr>
          <w:lang w:val="sq-AL"/>
        </w:rPr>
        <w:t>Në këtë kuadër duhet të shihen e vlerësohen edhe raportet që Kushtetuta krijon ndërmjet procesit legjislativ dhe drejtësisë kushtetuese, e me këtë rast edhe ndërmjet vetë Kuvendit dhe Gjykatës Kushtetu</w:t>
      </w:r>
      <w:r w:rsidR="00D376CF">
        <w:rPr>
          <w:lang w:val="sq-AL"/>
        </w:rPr>
        <w:t>e</w:t>
      </w:r>
      <w:r w:rsidRPr="00290AC6">
        <w:rPr>
          <w:lang w:val="sq-AL"/>
        </w:rPr>
        <w:t>se si institucionet qendrore që ushtrojnë kompetencat e mësipërme. Sigurisht që vendi që zenë në shtetin demokratik, organizimi dhe kompetencat  e secilit prej tyre janë krejt të ndryshme, por nga ana tjetër është mëse e nevojshme që ato të koordinojnë e plotësojnë njëri</w:t>
      </w:r>
      <w:r w:rsidR="00D376CF">
        <w:rPr>
          <w:lang w:val="sq-AL"/>
        </w:rPr>
        <w:t>-</w:t>
      </w:r>
      <w:r w:rsidRPr="00290AC6">
        <w:rPr>
          <w:lang w:val="sq-AL"/>
        </w:rPr>
        <w:t>tjetrin në funksion të respektimit sa më mirë të parimeve themelore kushtetuese. E megjithatë, në këtë bashkëpunim, Kuvendi është partneri kryesor. Në ushtrimin e funksionit të tij kryesor si ligjvënës, si rregull ai është në të njëjtën kohë edhe interpretuesi i parë i normës kushtetuese. Hapësira e ndërhyrjes apo e këtij interpretimi në funksion të miratimit të legjislacionit të ri, varet para se gjithash nga natyra e normës kushtetuese që interpretohet, nga karakteri dhe hapësira që krijon vetë deklarimi kushtetues në kuptimin material. Nëse ajo ka karakter të përgjithshëm dhe fragmentar, ekziston mundësia e një interpretimi mjaft të zgjeruar të saj, por duke respektuar gjithnjë vlerat qendrore të deklarimit kushtetues dhe harmonizimin e tij me konceptet e tjera kushtetuse. Brenda kësaj hapësire, veçanërisht shumica në Kuvend është e lirë të orientohet edhe nga politika, që më konkretisht do të thotë në prioritetet dhe programin e saj  politik, mbi bazën e të cilit edhe është votuar në zgjedhjet më të fundit parlamentare. Eshtë detyrim i saj i dorës së parë që këtë program politik në tërësinë e tij ta zbatojë efektivisht gjatë gjithë mandatit. Ky interpretim apo kjo ndërhyrje duhet kuptuar si përpjekje legjitime për arritjen e objektivave të caktuara politike, të cilat normalisht nuk jepen në mënyrë të drejtpërdrejtë në normat kushtetuese. Nga ana tjetër, po brenda kësaj hapësire, Ligjvënësi e ka për detyrë t’i interpretojë e zbatojë në vazhdimësi këto norma kushtetuese në përputhje me prioritetet, interesat apo problemet që imponon koha. Pra, Ligjvënësi përmes veprimtarisë së tij edhe mund të zhvillojë më tej përmbajtjen e dispozitave të veçanta kushtetuese, por pa prekur thelbin e tyre apo parimet e tjera themelore. Kështu, Kuvendi nuk paraqitet vetëm si organ kushtetues, por edhe si bashkëformues i të drejtës kushtetuese, si garant kryesor për respektimin e konceptit të shtetit kushtetues.</w:t>
      </w:r>
    </w:p>
    <w:p w:rsidR="006E74CB" w:rsidRPr="00290AC6" w:rsidRDefault="006E74CB" w:rsidP="00332783">
      <w:pPr>
        <w:pStyle w:val="Paragrafi"/>
        <w:rPr>
          <w:lang w:val="sq-AL"/>
        </w:rPr>
      </w:pPr>
      <w:r w:rsidRPr="00290AC6">
        <w:rPr>
          <w:lang w:val="sq-AL"/>
        </w:rPr>
        <w:t>Në ndryshim nga sa më sipër, në këtë drejtim Gjykata Kushtetuese e ka më të kufizuar si materien</w:t>
      </w:r>
      <w:r w:rsidR="00B97E40">
        <w:rPr>
          <w:lang w:val="sq-AL"/>
        </w:rPr>
        <w:t>,</w:t>
      </w:r>
      <w:r w:rsidRPr="00290AC6">
        <w:rPr>
          <w:lang w:val="sq-AL"/>
        </w:rPr>
        <w:t xml:space="preserve"> ashtu edhe kompetencën. Ajo garanton respektimin e Kushetutës dhe bën interpretimin përfundimtar të saj, duke patur si objektiv qendror kontrollin e përputhshmërisë së ligjeve të miratuara nga Ligjvënësi me parimet dhe normat kushtetuese. Në këtë kuadër, në procesin kompleks të legjitimimit të sistemeve politike bashkëkohore, Gjykata Kushtetuese luan rol tepër të rëndësishëm në kontrollin e respektimit të të drejtave dhe lirive themelore të njeriut të deklaruara në Kushtetutë si dhe të vlerave apo parimeve të tjera kushtetuese, si ndarja e pushteteve, pavarësia e pushtetit gjyqësor, siguria juridike, etj. Në këtë kuptim ajo kryen një detyrë tepër të rëndësishme, atë të kontrollit edhe të vetë procesit ligjvënës, e me këtë rast edhe të një prej funksioneve qendrore të parlamentit. Filozofi i shquar amerikan Cahn theksonte se “…çdo komb demokratik ka detyrimin solemn që t’u japë mundësi gjyqtarëve të mbajnë nën kontroll pushtetin e parlamentit”.</w:t>
      </w:r>
      <w:r w:rsidRPr="00290AC6">
        <w:rPr>
          <w:rStyle w:val="FootnoteReference"/>
          <w:szCs w:val="22"/>
          <w:lang w:val="sq-AL"/>
        </w:rPr>
        <w:footnoteReference w:id="5"/>
      </w:r>
      <w:r w:rsidRPr="00290AC6">
        <w:rPr>
          <w:lang w:val="sq-AL"/>
        </w:rPr>
        <w:t xml:space="preserve"> Por ky proces i ndërlikuar e delikat duhet të sigurojë në maksimum racionalitet, transparencë dhe mirëkuptim. Nuk duhet harruar se Gjykata Kushtetuese është ligjvënës negativ. Ajo nuk mund të zëvendësojë</w:t>
      </w:r>
      <w:r w:rsidR="00154807">
        <w:rPr>
          <w:lang w:val="sq-AL"/>
        </w:rPr>
        <w:t xml:space="preserve"> Kuvendin. Shqyrtimi i saj përqe</w:t>
      </w:r>
      <w:r w:rsidRPr="00290AC6">
        <w:rPr>
          <w:lang w:val="sq-AL"/>
        </w:rPr>
        <w:t>ndrohet vetëm në vlerësimin e kushtetueshmërisë së ligjit. Për këtë qëllim ajo tenton të zbulojë edhe brendinë e tij, por pa pretenduar të bëjë saktësimin apo korrektimin e detajuar të këtij ligji. Ndërhyrja e Gjykatës Kushtetuese bëhet në përputhje me kompetencat që i njeh Kushtetuta. Ajo nuk mund të qëndrojë si organ autoritar para Ligjvënësit, duke bërë interpretim ezaurues apo hipotetik dhe duke mos lënë alternativa të tjera interpretuese e zbatuese, në një kohë që një gjë e tillë nuk konstatohet nga vetë dispozita që interpretohet. Gjykata Kushtetuese bën interpretimin përfundimtar të Kushtetutës, por pa bërë ndryshime kushtetuese. Aleksandër Hamilton theksonte s</w:t>
      </w:r>
      <w:r w:rsidR="00154807">
        <w:rPr>
          <w:lang w:val="sq-AL"/>
        </w:rPr>
        <w:t>e e drejta e kontrollit nuk e vë</w:t>
      </w:r>
      <w:r w:rsidRPr="00290AC6">
        <w:rPr>
          <w:lang w:val="sq-AL"/>
        </w:rPr>
        <w:t xml:space="preserve"> gjyqësorin mbi Legjislativin, përkundrazi, të dyve u ve për detyrë t’i nënshtrohen autoritetit  kushtetues. </w:t>
      </w:r>
    </w:p>
    <w:p w:rsidR="006E74CB" w:rsidRPr="00290AC6" w:rsidRDefault="006E74CB" w:rsidP="00332783">
      <w:pPr>
        <w:pStyle w:val="Paragrafi"/>
        <w:rPr>
          <w:lang w:val="sq-AL"/>
        </w:rPr>
      </w:pPr>
      <w:r w:rsidRPr="00290AC6">
        <w:rPr>
          <w:lang w:val="sq-AL"/>
        </w:rPr>
        <w:t>Këto standarde kushtetuese nuk merren parasysh në vendimin e shumicës. Ligji në fjalë mund të ketë pasaktësi apo probleme. Ai mund të mos jetë zgjidhja më e mirë për rastin konkret. Kjo varet shumë edhe nga kënvështrimi që mund t’i bëjë secili këtij ligji. Por megjithatë, ajo që është më e rëndësishme të theksohet është se të gjitha dispozitat e tij jo vetëm që nuk bien në kundërshtim me parimet themelore kushtetuese, përkundrazi janë në funksion të afirmimit dhe zbatimit real të tyre në realitetin shqiptar. Nga ana tjetër, shumica në vendimin e saj mendoj se shpesh futet në detaje të parëndësishme, dhe argumentet që përdor nuk i ka në funksion të parimeve themelore kushtetuese. Ajo nuk arrin të zbërthejë dhe të vendosë në raport të drejtë thelbin e ligjit apo qëllimin e tij kryesor me mjetet që përdor ligjvënësi për arritjen e këtij qëllimi.</w:t>
      </w:r>
    </w:p>
    <w:p w:rsidR="006E74CB" w:rsidRPr="00290AC6" w:rsidRDefault="006E74CB" w:rsidP="00332783">
      <w:pPr>
        <w:pStyle w:val="Paragrafi"/>
        <w:rPr>
          <w:lang w:val="sq-AL"/>
        </w:rPr>
      </w:pPr>
      <w:r w:rsidRPr="00290AC6">
        <w:rPr>
          <w:lang w:val="sq-AL"/>
        </w:rPr>
        <w:t xml:space="preserve">Argumenti qendror i shumicës është se ligji në fjalë bie në kundërshtim me nenin 147/1 të Kushtetutës, interpretimi i të cilit, sipas shumicës, të shpie në konkluzionin se </w:t>
      </w:r>
      <w:r w:rsidR="00E351C4">
        <w:rPr>
          <w:lang w:val="sq-AL"/>
        </w:rPr>
        <w:t>hartuesit e Kushtetutës kanë pas</w:t>
      </w:r>
      <w:r w:rsidRPr="00290AC6">
        <w:rPr>
          <w:lang w:val="sq-AL"/>
        </w:rPr>
        <w:t>ur parasysh të krijojnë Këshillin e Lartë të Drejtësisë si organ permanent, p</w:t>
      </w:r>
      <w:r w:rsidR="00A43CC9">
        <w:rPr>
          <w:lang w:val="sq-AL"/>
        </w:rPr>
        <w:t>or me anëtarësi me kohë të pjes</w:t>
      </w:r>
      <w:r w:rsidRPr="00290AC6">
        <w:rPr>
          <w:lang w:val="sq-AL"/>
        </w:rPr>
        <w:t>shme. Sipas saj, ky konkluzion mbështetet edhe nga neni 143 i Kushtetutës, në të cilin theksohet se “Qenia gjyqtar nuk pajtohet me asnjë veprimtari tjetër shtetërore, politike ose private”. Mbi këtë bazë, në vendimin e shumicës arrihet në konkluzionin se zgjidhja që bën ligji i ri është në kundërshtim me rregullimet kushtetuese dhe cenon rëndë pavarësinë e pushtetit gjyqësor.</w:t>
      </w:r>
    </w:p>
    <w:p w:rsidR="006E74CB" w:rsidRPr="00332783" w:rsidRDefault="006E74CB" w:rsidP="00332783">
      <w:pPr>
        <w:pStyle w:val="Paragrafi"/>
      </w:pPr>
      <w:r w:rsidRPr="00332783">
        <w:t xml:space="preserve">Në fakt, shumica e vendeve demokratike operojnë sot me mekanizma të ngjashëm me Këshillin e Lartë të Drejtësisë për të cilin bën fjalë edhe neni 147 i Kushtetutës sonë. Në përgjithësi, në përbërjen e tij vemendje e veçantë i kushtohet përfaqësimit sa më mirë të pushtetit gjyqësor (si rregull më shumë se gjysma janë gjyqtarë), në funksion të idesë qendrore për nevojën e vetëqeverisjes së këtij pushteti, por pa mohuar përfaqësimin në këtë institucion kushtetues edhe të përfaqësuesve të dy pushteteve të tjerë, pasi me të drejtë theksohet se problemet e drejtësisë nuk janë vetëm probleme të pushtetit gjyqësor. Ato i interesojnë të gjithë shtetit dhe shoqërisë demokratike në tërësi. Megjithatë, kujdes i veçantë i kushtohet ruajtjes nga presioni apo ndërhyrjet e këtyre dy pushteteve gjatë vendimmarrjes në këtë organ kushtetues. Në fund të fundit ky mekanizëm duhet të garantojë pavarësinë reale të pushtetit gjyqësor në të gjithë komponentët e saj, që do të thotë pavarësinë individuale të gjyqtarëve, pavarësinë kolektive të tyre si dhe pavarësinë vendimore të gjykatave. Megjithatë, kryesore është që në vendimmarrjen e tij për çështjen konkrete gjyqtari duhet të jetë gjithnjë i lirë t’i nënshtrohet dhe të vendosë vetëm në bazë të Kushtetutës dhe ligjeve. Nga ana tjetër, në shumicën e rasteve ky mekanizëm jo vetëm që është permanent në ushtrimin e funksioneve të tij, por edhe anëtarësinë e ka të tillë. Pra anëtarët e këtij organi (natyrisht jo ata që janë këtu për shkak të funksionit, pra </w:t>
      </w:r>
      <w:r w:rsidRPr="00332783">
        <w:rPr>
          <w:i/>
        </w:rPr>
        <w:t>ex-officio</w:t>
      </w:r>
      <w:r w:rsidRPr="00332783">
        <w:t>), përfshirë edhe gjyqtarët apo thënë ndryshe përfaqësuesit e pushtetit gjyqësor, gjatë mandatit të tyre e ushtrojnë këtë detyrë me kohë të plotë. Në rastin e anëtarëve gjyqtarë, kjo do të thotë se ka pezullim apo ngrirje të pë</w:t>
      </w:r>
      <w:r w:rsidR="00A43CC9" w:rsidRPr="00332783">
        <w:t>rkohshme të funksionit të tyre</w:t>
      </w:r>
      <w:r w:rsidRPr="00332783">
        <w:t xml:space="preserve"> në kuptimin që gjatë kësaj periudhe ata nuk mund të gjykojnë çështje konkrete, por ushtrojnë rregullisht vetëm detyrat që Kushtetuta u ngarkon në cilësinë e anëtarit të këtij mekanizmi. </w:t>
      </w:r>
    </w:p>
    <w:p w:rsidR="006E74CB" w:rsidRPr="00290AC6" w:rsidRDefault="006E74CB" w:rsidP="00332783">
      <w:pPr>
        <w:pStyle w:val="Paragrafi"/>
        <w:rPr>
          <w:lang w:val="sq-AL"/>
        </w:rPr>
      </w:pPr>
      <w:r w:rsidRPr="00290AC6">
        <w:rPr>
          <w:lang w:val="sq-AL"/>
        </w:rPr>
        <w:t>Në ndryshim të dukshëm nga shumica, unë mendoj se Kushtetuta jonë përcakton  vetëm përbërjen e Këshillit të Lartë të Drejtësisë: Presidenti i Republikës, Kryetari i Gjykatës së Lartë, Ministri i Drejtësisë, tre anëtarë të zgjedhur nga Kuvendi dhe nëntë gjyqtarë të të gjitha niveleve, që zgjidhen nga Konferenca Gjyqësore Kombëtare. Natyrisht që tre të parët bëhen menjëherë anëtarë të Këshillit të Lartë të Drejtësisë, sapo  zgjidhen apo emërohen në funksionet e mësipërme. Të gjithë anëtarët e tjerë e ushtrojnë këtë detyrë për pesë vjet. Kushtet</w:t>
      </w:r>
      <w:r w:rsidR="00A43CC9">
        <w:rPr>
          <w:lang w:val="sq-AL"/>
        </w:rPr>
        <w:t>uta nuk thotë më shumë. Ajo e lë</w:t>
      </w:r>
      <w:r w:rsidRPr="00290AC6">
        <w:rPr>
          <w:lang w:val="sq-AL"/>
        </w:rPr>
        <w:t xml:space="preserve"> krejt të hapur mundësinë që këta të fundit të jenë me kohë të pjesëshme, që do të thotë të marrin pjesë vetëm në takimet që herëpashere zhvillon ky organ, apo në mënyrë permanente. Për mendimin tim, në këto kushte, zgjedhja e njërës apo tjetrës alternativë është krejtësisht në dorë të ligjvënësit. Ai do të gjykojë se cila nga zgjidhjet e mësipërme, në një moment të caktuar, është më efektive dhe</w:t>
      </w:r>
      <w:r w:rsidR="00A43CC9">
        <w:rPr>
          <w:lang w:val="sq-AL"/>
        </w:rPr>
        <w:t xml:space="preserve"> më e përshtatshme, por duke pas</w:t>
      </w:r>
      <w:r w:rsidRPr="00290AC6">
        <w:rPr>
          <w:lang w:val="sq-AL"/>
        </w:rPr>
        <w:t>ur parasysh respektimin e parimeve themelore kushtetuese dhe garantimin sa më efektiv të pavarësisë së pushtetit gjyqësor në tërësi.</w:t>
      </w:r>
    </w:p>
    <w:p w:rsidR="006E74CB" w:rsidRPr="00290AC6" w:rsidRDefault="006E74CB" w:rsidP="00332783">
      <w:pPr>
        <w:pStyle w:val="Paragrafi"/>
        <w:rPr>
          <w:lang w:val="sq-AL"/>
        </w:rPr>
      </w:pPr>
      <w:r w:rsidRPr="00290AC6">
        <w:rPr>
          <w:lang w:val="sq-AL"/>
        </w:rPr>
        <w:t>Për disa vite me radhë u zgjodh alternativa e parë. Kuvendi vlerësoi më pas se kjo nuk ishte zgjidhja më e mirë. Ai konstatoi se ky organ nuk mblidhej rregullisht; anëtarët e zgjedhur nuk i ushtronin me efektivitet detyrat e tyre në këtë mekanizëm të rëndësishëm kushtetues; vëzhgimet dhe hetimet në kuptim të ushtrimit të funksioneve të Këshillit të Lartë të Drejtësisë, bëheshin praktikisht vetëm nga inspektorët; kishte vonesa dhe pengesa në trajtimin e çështjeve dhe në vendimmarrje, etj. Nga ana tjetër, sipas Kuvendit, funksionimi normal i këtij organi pengohej edhe për shkak të konfliktit të interesave brenda tij. Shpesh anëtarët e Këshillit të Lartë të Drejtësisë e kanë shfrytëzuar këtë organ për të promovuar njëri</w:t>
      </w:r>
      <w:r w:rsidR="00A43CC9">
        <w:rPr>
          <w:lang w:val="sq-AL"/>
        </w:rPr>
        <w:t>-</w:t>
      </w:r>
      <w:r w:rsidRPr="00290AC6">
        <w:rPr>
          <w:lang w:val="sq-AL"/>
        </w:rPr>
        <w:t>tjetrin në karrierë; vendimmarrja vështirësohej edhe për shkak të të qenit njëkohësisht gjyqtar në një gjykatë të caktuar, madje jo rrallë edhe drejtues i këtij institucioni; qenia njëkohësisht edhe gjyqtar vështirësonte, në mos e bënte të pamundur vëzhgimin dhe vlerësimin e punës si gjyqtar të shumicës së anëtarëve të Këshillit të Lartë të Drejtësisë, etj. Po sipas Kuvendit, absurditeti i kësaj zgjidhje shkonte gjer aty sa parimisht duhej pranuar që inspektorët e zgjedhur nga anëtarët e Këshillit të Lartë të Drejtësisë, duhej njëkohësisht të vëzhgonin dhe vlerësonin edhe punën si gjyqtarë të vetë këtyre anëtarëve që i kishin zgjedhur.</w:t>
      </w:r>
    </w:p>
    <w:p w:rsidR="006E74CB" w:rsidRPr="00290AC6" w:rsidRDefault="006E74CB" w:rsidP="00332783">
      <w:pPr>
        <w:pStyle w:val="Paragrafi"/>
        <w:rPr>
          <w:lang w:val="sq-AL"/>
        </w:rPr>
      </w:pPr>
      <w:r w:rsidRPr="00290AC6">
        <w:rPr>
          <w:lang w:val="sq-AL"/>
        </w:rPr>
        <w:t>Pikërisht mbi këtë bazë, për eliminimin apo zvogëlimin sa më shumë të këtyre problemeve, Kuvendi përmes ligjit të ri vlerësoi ndër të tjera si të domosdoshme që anëtarësia në Këshillin e Lartë të</w:t>
      </w:r>
      <w:r w:rsidR="007C6CA7">
        <w:rPr>
          <w:lang w:val="sq-AL"/>
        </w:rPr>
        <w:t xml:space="preserve"> Drejtësisë gjatë mandatit pesë</w:t>
      </w:r>
      <w:r w:rsidRPr="00290AC6">
        <w:rPr>
          <w:lang w:val="sq-AL"/>
        </w:rPr>
        <w:t>vjeçar, të jetë permanenete. Sipas shumicës në Kuvend, një zgjidhje e tillë është në funksion dhe në përputhje të plotë edhe me prioritetet e saj politike të shpallur që gjatë fushatës së fundit elektorale, mes të cilave është edhe forcimi i institucioneve të shtetit të së drejtës, konsolidimi i pavarësisë së pushtetit gjyqësor, forcimi i besimit ndaj këtij pushteti të rëndësishëm, lufta efikase kundër korrupsionit dhe krimit të organizuar. Këto janë njëkohësisht edhe disa nga kërkesat që bashkësia ndërkombëtare i ka vënë aktualisht vendit tonë në kuadër të integrimit të Shqipërisë në Bashkimin Evropian dhe në strukturat e tjera euroatlantike.</w:t>
      </w:r>
    </w:p>
    <w:p w:rsidR="006E74CB" w:rsidRPr="00290AC6" w:rsidRDefault="006E74CB" w:rsidP="00332783">
      <w:pPr>
        <w:pStyle w:val="Paragrafi"/>
        <w:rPr>
          <w:lang w:val="sq-AL"/>
        </w:rPr>
      </w:pPr>
      <w:r w:rsidRPr="00290AC6">
        <w:rPr>
          <w:lang w:val="sq-AL"/>
        </w:rPr>
        <w:t>Duket qartë se ky është synimi apo qëllimi kryesor i ligjit që kundërshtohet nga një grup deputetësh. Dhe unë mendoj se ai nuk cenon aspak asnjë dispozitë apo parim kushtetues. Neni 147/1 flet për përbërjen e Këshillit të Lartë të Drejtësisë, i cili praktikisht nuk ndryshon as në ligjin e ri. Por me ligjin e ri anëtarësia bëhet permanente, gjë që siç kam theksuar edhe më sipër, lejohet plotësisht nga kjo dispozitë kushtetuese. Edhe në kuptimin formal, fjala anëtarë që theksohet në fjalinë e fundit të nenit 147/1, duket qartë që përfshin në vetvete jo vetëm tre anëtarët e zgjedhur nga Kuvendi, por edhe nëntë gjyqtarët që zgjedh Konferenca Gjyqësore Kombëtare. Ç’është më e rëndësishmja, në ndryshim nga shumi</w:t>
      </w:r>
      <w:r w:rsidR="00493915">
        <w:rPr>
          <w:lang w:val="sq-AL"/>
        </w:rPr>
        <w:t>ca, unë mendoj se nëntë gjyqtarë</w:t>
      </w:r>
      <w:r w:rsidRPr="00290AC6">
        <w:rPr>
          <w:lang w:val="sq-AL"/>
        </w:rPr>
        <w:t xml:space="preserve">t e zgjedhur nga Konferenca Gjyqësore Kombëtare si anëtarë me kohë të plotë në Këshillin e Lartë të Drejtësisë, e ruajnë këtë cilësi gjatë gjithë mandatit pesëvjeçar. Të pranosh të kundërtën do të thotë se gjatë kësaj periudhe ata i përkasin një pushteti tjetër dhe jo atij gjyqësor, gjë që nuk është aspak e vërtetë. Ata nuk largohen nga detyra e gjyqtarit dhe nuk japin dorëheqje nga ky funksion. </w:t>
      </w:r>
    </w:p>
    <w:p w:rsidR="006E74CB" w:rsidRPr="00290AC6" w:rsidRDefault="006E74CB" w:rsidP="00332783">
      <w:pPr>
        <w:pStyle w:val="Paragrafi"/>
        <w:rPr>
          <w:lang w:val="sq-AL"/>
        </w:rPr>
      </w:pPr>
      <w:r w:rsidRPr="00290AC6">
        <w:rPr>
          <w:lang w:val="sq-AL"/>
        </w:rPr>
        <w:t>Kandidimi i gjyqtarëve në Konferencën Gjyqësore Kombëtare për të qenë anëtarë të Këshillit të Lartë të Drejtësisë, nuk është i detyrueshëm, por është një zgjedhje e lirë personale. Në fund të fundit zgjedhja e tyre është privilegj që iu bëhet kandidatëve që plotësojnë më mirë kushtet etike dhe profesionale për të përfaqësuar realisht pushtetin gjyqësor në këtë organ kushtetues. Pra në Këshillin e Lartë të Drejtësisë ata anëtarësohen me cilësinë e gjyqtarit, cilësi që e ruajnë gjatë gjithë mandatit pesëvjeçar. Ushtrimi me kohë të plotë i detyrës së anëtarit të Këshillit të Lartë të Drejtësisë me qëllim dhe synim kryesor forcimin e këtij organi dhe shmangjen e konfliktit të interesave në të, nuk mund të jetë automatikisht edhe humbje e funksionit të gjyqtarit apo kufizim i detyrës së tij. Në fakt ka një lloj pezullimi apo ngrirje të funksionit të gjyqtarit aktiv, por pa e humbur aspak këtë funksion.</w:t>
      </w:r>
    </w:p>
    <w:p w:rsidR="006E74CB" w:rsidRPr="00290AC6" w:rsidRDefault="006E74CB" w:rsidP="00332783">
      <w:pPr>
        <w:pStyle w:val="Paragrafi"/>
        <w:rPr>
          <w:lang w:val="sq-AL"/>
        </w:rPr>
      </w:pPr>
      <w:r w:rsidRPr="00290AC6">
        <w:rPr>
          <w:lang w:val="sq-AL"/>
        </w:rPr>
        <w:t>Sipas ligjit të ri, gjyqtarët që zgjidhen anëtarë të Këshillit të Lartë të Drejtësisë nuk mund të gjykojnë vetë gjatë kësaj periudhe, por vëzhgojnë dhe vlerësojnë punën e gjyqtarëve të tjerë për shkak të mandatimit nga Konferenca Gjyqësore Kombëtare, në të cilën vazhdojnë të ruajnë anëtarësinë. Për më tepër, me mbarimin e mandatit pesëvjeçar, neni 3 i ligjit i ri që ndryshon nenin 6 të ligjit të mëparshëm, u garanton  plotësisht anëtarëve të Këshillit të Lartë të Drejtësisë kthimin pranë gjykatës ku kryenin detyrën si gjyqtarë në kohën e zgjedhjes, ose me pëlqimin e tyre, në një gjykatë tjetër të të njëjtit nivel. Natyrisht që ligji i ri nuk mund të garantojë automatikisht pas pesë vjetësh rikthimin e anëtarit të Këshillit të Lartë të Drejtësisë në detyrën e kryetarit apo nënkryetarit në një gjykatë të caktuar. Ashtu si anëtarëve të tjerë, edhe në këtë rast garantohet kthimi në të njëjtën gjykatë vetëm në funksionin e gjyqtarit. Sipas ligjit të ri, përjashtim bëhet vetëm për anëtarët e Gjykatës së Lartë që mund të zgjidhen nga Konferenca Gjyqësore Kombëtare si anëtarë të Këshillit të Lartë të Drejtësisë, pasi mandati i tyre është qartësisht i përcaktuar në nenin 136/3 të Kushtetutës. Ai është nëntë vjet dhe pa të drejtë riemërimi në këtë detyrë. Në këtë kuptim, vendi i tyre në Gjykatën e Lartë nuk mund të lihet vakant për pesë vjet, gjë që do ta dëmtonte rëndë edhe punën e këtij organi, i cili ndodhet njëkohësisht edhe në majën e piramidës së pushtetit gjyqësor në Shqipëri. Megjithatë, ligji i ri u garanton edhe këtyre anëtarëve të Këshillit të Lartë të Drejtësisë të drejtën për të përfituar të njëjtin trajtim si çdo anëtar i Gjykatës së Lartë, të cilit i përfundon afati kohor i qëndrimit në detyrë. Unë mendoj se kaq është mëse e mjaftueshme dhe aq më tepër aspak antikushtetuese. Oportuniteti, hamendësitë apo interesat e ngushta nuk mund të jenë në fokusin e ligjvënësit. Atij i intereson organizimi dhe funksionimi kushtetues i institucionit. Nga ana tjetër, vlerësimi për të kandiduar ose jo në Konferencën Gjyqësore Kombëtare për të qenë anëtar i Këshillit të Lartë të Drejtësisë është e drejtë e çdo gjyqtari, përfshirë këtu edhe anëtarin e Gjykatës së Lartë.</w:t>
      </w:r>
    </w:p>
    <w:p w:rsidR="006E74CB" w:rsidRPr="00290AC6" w:rsidRDefault="006E74CB" w:rsidP="00332783">
      <w:pPr>
        <w:pStyle w:val="Paragrafi"/>
        <w:rPr>
          <w:lang w:val="sq-AL"/>
        </w:rPr>
      </w:pPr>
      <w:r w:rsidRPr="00290AC6">
        <w:rPr>
          <w:lang w:val="sq-AL"/>
        </w:rPr>
        <w:t>Përsa më sipër, marrë në tërësi</w:t>
      </w:r>
      <w:r w:rsidR="00BB398B">
        <w:rPr>
          <w:lang w:val="sq-AL"/>
        </w:rPr>
        <w:t>,</w:t>
      </w:r>
      <w:r w:rsidRPr="00290AC6">
        <w:rPr>
          <w:lang w:val="sq-AL"/>
        </w:rPr>
        <w:t xml:space="preserve"> zgjidhja e re jo vetëm që nuk është në kundërshtim edhe me nenin 143 të Kushtetutës, përkundrazi ajo është në funksion dhe në përputhje të plotë me të.</w:t>
      </w:r>
    </w:p>
    <w:p w:rsidR="006E74CB" w:rsidRPr="00290AC6" w:rsidRDefault="006E74CB" w:rsidP="00332783">
      <w:pPr>
        <w:pStyle w:val="Paragrafi"/>
        <w:rPr>
          <w:lang w:val="sq-AL"/>
        </w:rPr>
      </w:pPr>
      <w:r w:rsidRPr="00290AC6">
        <w:rPr>
          <w:lang w:val="sq-AL"/>
        </w:rPr>
        <w:t>Në këtë linjë mendoj se duhej trajtuar nga Gjykata Kushtetuese edhe çështja e imunitetit të anëtarëve të Këshillit të Lartë të Drejtësisë që garanton pika 4 e nenit 6, të ndryshuar nga neni 3 i ligjit të ri. Problemi është shumë i thjeshtë. Në radhë të parë duhet saktësuar se kush përfiton nga kjo dispozitë dhe pastaj duhet vlerësuar qëllimi e nevoja e një parashikimi të tillë nga ligjvënësi</w:t>
      </w:r>
      <w:r w:rsidR="00BB398B">
        <w:rPr>
          <w:lang w:val="sq-AL"/>
        </w:rPr>
        <w:t>,</w:t>
      </w:r>
      <w:r w:rsidRPr="00290AC6">
        <w:rPr>
          <w:lang w:val="sq-AL"/>
        </w:rPr>
        <w:t xml:space="preserve"> si dhe kushtetutshmëria e tij me dispozitat e veçanta apo në tërësi me frymën e Kushtetutës.</w:t>
      </w:r>
    </w:p>
    <w:p w:rsidR="006E74CB" w:rsidRPr="00290AC6" w:rsidRDefault="006E74CB" w:rsidP="00332783">
      <w:pPr>
        <w:pStyle w:val="Paragrafi"/>
        <w:rPr>
          <w:lang w:val="sq-AL"/>
        </w:rPr>
      </w:pPr>
      <w:r w:rsidRPr="00290AC6">
        <w:rPr>
          <w:lang w:val="sq-AL"/>
        </w:rPr>
        <w:t>Përsa i përket problemit të parë, bazuar edhe në argumentet e mësipërme, mendoj se nga kjo dispozitë praktikisht përfitojnë vetëm tre anëtarët jo gjyqtarë të Këshillit të Lartë të Drejtësisë që zgjidhen nga Kuvendi. Presidentit të Republikës dhe Ministrit të Drejtësisë si anëtar i Këshillit të Ministrave, kjo u garantohet për shkak të funksionit respektivisht në nenet 90/1 dhe 103/3 të Kushtetutës, ndërsa Kryetarit të Gjykatës së Lartë, ashtu si edhe çdo anëtari tjetër të kësaj gjykate, nga neni 137 pikat 1 dhe 2 të Kushtetutës. Anëtarëve gjyqtarë të Këshillit të Lartë të Drejtësisë, meqënëse zgjidhen si të tillë nga Konferenca Gjyqësore Kombëtare dhe nga pikëpamja juridiko-formale vazhdojnë të ruajnë cilësinë e gjyqtarit edhe gjatë anëtarësisë me kohë të plotë në Këshillin e Lartë të Drejtësisë, imuniteti në ushtrimin e funksionit u garantohet nga pikat 3 dhe 4 të nenit 137 të Kushtetutës. Për këtë arsye, kam bindjen se lig</w:t>
      </w:r>
      <w:r w:rsidR="00BB398B">
        <w:rPr>
          <w:lang w:val="sq-AL"/>
        </w:rPr>
        <w:t>jvënësi me këtë ndërhyrje ka pas</w:t>
      </w:r>
      <w:r w:rsidRPr="00290AC6">
        <w:rPr>
          <w:lang w:val="sq-AL"/>
        </w:rPr>
        <w:t>ur për qëllim të eliminojë një farë pabarazie që mund të krijohej në trajtimin e anëtarëve të Këshillit të Lartë të Drejtësisë, por njëkohësisht duke synuar me këtë edhe forcimin e pavarësisë së këtij institucioni kushtetues. Ndoshta kjo ndërhyrje mund të mos ishte e domosdoshme. Megjithatë, ligjvënësi e ka bërë një vlerësim të tillë, dhe për më tepër ajo nuk është në kundërshtim me Kushtetutën. Praktikisht kemi të bëjmë me një tejkalim pozitiv të të drejtave të garantuara shprehimisht në Kushtetutë, por gjithnjë në funksion të forcimit të Këshillit të Lartë të Drejtësisë dhe pushtetit gjyqësor në tërësi, pa cenuar asnjë dispozitë kushtetuese dhe në përputhje të plotë me frymën e saj në tërësi. Aq më tepër që ky organ, në raste të caktuara, duhet të bëjë vetë vlerësimin për heqjen ose jo të imunitetit të gjyqtarit të shkallës së parë dhe të apelit. Sipas pikave 3 dhe 4 nenit 137 të Kushtetutës, është vetë ky organ i vetmi që miraton ndjekjen ose jo penalisht të gjyqtarëve të shkallës së parë dhe të apelit. Madje dhënia e pëlqimit të tij brenda 24 orëve, është kusht i domosdoshëm për vlefshmërinë e ndalimit ose arrestimit të një gjyqtari që mund të kapet në kryerje e sipër të një krimi ose menjëherë pas kryerjes së tij.</w:t>
      </w:r>
    </w:p>
    <w:p w:rsidR="006E74CB" w:rsidRPr="00290AC6" w:rsidRDefault="006E74CB" w:rsidP="00332783">
      <w:pPr>
        <w:pStyle w:val="Paragrafi"/>
        <w:rPr>
          <w:lang w:val="sq-AL"/>
        </w:rPr>
      </w:pPr>
      <w:r w:rsidRPr="00290AC6">
        <w:rPr>
          <w:lang w:val="sq-AL"/>
        </w:rPr>
        <w:t>Gjithnjë për këtë problem, theksoj së fundi se garantimi i imunitetit të anëtarëve të Këshillit të Lartë të Drejtësisë ka qenë shqetësim edhe i Komisionit të Venecias. Në mendimin që ky komision ka dhënë me kërkesën e Komisionit të Ligjeve dhe të Drejtave të Njeriut të Asamblesë</w:t>
      </w:r>
      <w:r w:rsidR="00BB398B">
        <w:rPr>
          <w:lang w:val="sq-AL"/>
        </w:rPr>
        <w:t xml:space="preserve"> Parlamentare të Këshillit të Eu</w:t>
      </w:r>
      <w:r w:rsidRPr="00290AC6">
        <w:rPr>
          <w:lang w:val="sq-AL"/>
        </w:rPr>
        <w:t>ropës në muajin maj të vitit 1998 lidhur me amendamentet e ligjit “Për dispozitat kryesore kushtetuese të Republikës së Shqipërisë”, theksohet shprehi</w:t>
      </w:r>
      <w:r w:rsidR="00BB398B">
        <w:rPr>
          <w:lang w:val="sq-AL"/>
        </w:rPr>
        <w:t>misht ndër të tjera se “Duke pas</w:t>
      </w:r>
      <w:r w:rsidRPr="00290AC6">
        <w:rPr>
          <w:lang w:val="sq-AL"/>
        </w:rPr>
        <w:t xml:space="preserve">ur parasysh situatën tipike në Shqipëri, do të ishte me vend që ligji t’u akordojë anëtarëve të Këshillit të Lartë të Drejtësisë imunitetin nga ndjekja penale …..” </w:t>
      </w:r>
      <w:r w:rsidRPr="00290AC6">
        <w:rPr>
          <w:rStyle w:val="FootnoteReference"/>
          <w:szCs w:val="22"/>
          <w:lang w:val="sq-AL"/>
        </w:rPr>
        <w:footnoteReference w:id="6"/>
      </w:r>
      <w:r w:rsidRPr="00290AC6">
        <w:rPr>
          <w:lang w:val="sq-AL"/>
        </w:rPr>
        <w:t>.</w:t>
      </w:r>
    </w:p>
    <w:p w:rsidR="006E74CB" w:rsidRDefault="006E74CB" w:rsidP="00332783">
      <w:pPr>
        <w:pStyle w:val="Paragrafi"/>
        <w:rPr>
          <w:lang w:val="sq-AL"/>
        </w:rPr>
      </w:pPr>
      <w:r w:rsidRPr="00290AC6">
        <w:rPr>
          <w:lang w:val="sq-AL"/>
        </w:rPr>
        <w:t>Si përfundim theksoj edhe një herë se</w:t>
      </w:r>
      <w:r w:rsidR="00BB398B">
        <w:rPr>
          <w:lang w:val="sq-AL"/>
        </w:rPr>
        <w:t>,</w:t>
      </w:r>
      <w:r w:rsidRPr="00290AC6">
        <w:rPr>
          <w:lang w:val="sq-AL"/>
        </w:rPr>
        <w:t xml:space="preserve"> marrë në tërësi të gjitha dispozitat e </w:t>
      </w:r>
      <w:r w:rsidR="00BB398B">
        <w:rPr>
          <w:lang w:val="sq-AL"/>
        </w:rPr>
        <w:t>ligjit nr.9448, datë 05.12.2005</w:t>
      </w:r>
      <w:r w:rsidRPr="00290AC6">
        <w:rPr>
          <w:lang w:val="sq-AL"/>
        </w:rPr>
        <w:t xml:space="preserve"> kanë për qëllim kryesor shmangjen e konfliktit të interesave dhe organizimin e funksionimin sa më efektiv e racional të Këshillit të Lartë të Drejtësisë, me synimin që ai të jetë në gjendje të plotësojë detyrimet e tij tepër të rëndësishme kushtetuese, si organi kryesor që ka për funksion emërimin, transferimin dhe përcaktimin e përgjegjësisë disiplnore të gjyqtarëve të shkallës së parë dhe të apelit. Ai forcon neutralitetin e këtij organi nga politika dhe e bën atë më të aftë në realizimin e objektivave të tij. Mjetet që përdoren, pra ndërhyrja që bëhet mendoj se është gjithnjë në funksion të këtij synimi, duke respektuar normat dhe parimet kushtetuese. Për këto arsye, në tërsinë e tij ky ligj jo vetëm që nuk cenon autonominë dhe pavarësinë e pushtetit gjyqësor në kuptimin e tij të gjerë, por synon t’i forcojë ato edhe më shumë, duke kontribuar kështu edhe në respektimin sa më mirë të një prej elementeve kryesore të parimit të shtetit të së drejtës dhe të vetë të drejtave e lirive themelore të shtetasve. Ky konkluzion buron natyrshëm po të interpretohet e analizohet me kujdes çdo dispozitë e tij.</w:t>
      </w:r>
    </w:p>
    <w:p w:rsidR="00586F40" w:rsidRPr="00290AC6" w:rsidRDefault="00586F40" w:rsidP="00332783">
      <w:pPr>
        <w:pStyle w:val="Paragrafi"/>
        <w:rPr>
          <w:lang w:val="sq-AL"/>
        </w:rPr>
      </w:pPr>
    </w:p>
    <w:p w:rsidR="006E74CB" w:rsidRPr="00290AC6" w:rsidRDefault="00A168C5" w:rsidP="00A168C5">
      <w:pPr>
        <w:pStyle w:val="Autoriteti"/>
      </w:pPr>
      <w:r>
        <w:t>ANËTA</w:t>
      </w:r>
      <w:r w:rsidR="006E74CB" w:rsidRPr="00290AC6">
        <w:t>R</w:t>
      </w:r>
    </w:p>
    <w:p w:rsidR="006E74CB" w:rsidRPr="00290AC6" w:rsidRDefault="00A168C5" w:rsidP="00A168C5">
      <w:pPr>
        <w:pStyle w:val="AutoritetiEmer"/>
      </w:pPr>
      <w:r>
        <w:t>Xh. Zaganjori</w:t>
      </w:r>
    </w:p>
    <w:p w:rsidR="006E74CB" w:rsidRDefault="006E74CB" w:rsidP="00332783">
      <w:pPr>
        <w:pStyle w:val="Paragrafi"/>
      </w:pPr>
    </w:p>
    <w:p w:rsidR="006E74CB" w:rsidRDefault="006E74CB" w:rsidP="00332783">
      <w:pPr>
        <w:pStyle w:val="Paragrafi"/>
        <w:rPr>
          <w:rFonts w:eastAsia="MS Mincho"/>
          <w:lang w:val="sq-AL"/>
        </w:rPr>
      </w:pPr>
    </w:p>
    <w:p w:rsidR="006E74CB" w:rsidRDefault="006E74CB" w:rsidP="00332783">
      <w:pPr>
        <w:pStyle w:val="Paragrafi"/>
        <w:rPr>
          <w:lang w:val="sq-AL"/>
        </w:rPr>
      </w:pPr>
    </w:p>
    <w:p w:rsidR="006E74CB" w:rsidRDefault="006E74CB" w:rsidP="00332783">
      <w:pPr>
        <w:pStyle w:val="Paragrafi"/>
        <w:rPr>
          <w:lang w:val="sq-AL"/>
        </w:rPr>
      </w:pPr>
    </w:p>
    <w:p w:rsidR="006E74CB" w:rsidRDefault="006E74CB" w:rsidP="00332783">
      <w:pPr>
        <w:pStyle w:val="Paragrafi"/>
        <w:rPr>
          <w:lang w:val="sq-AL"/>
        </w:rPr>
      </w:pPr>
    </w:p>
    <w:p w:rsidR="006E74CB" w:rsidRDefault="006E74CB" w:rsidP="00332783">
      <w:pPr>
        <w:pStyle w:val="Paragrafi"/>
      </w:pPr>
    </w:p>
    <w:p w:rsidR="00CD67DB" w:rsidRPr="00163E67" w:rsidRDefault="00CD67DB" w:rsidP="00A314F9">
      <w:pPr>
        <w:pStyle w:val="Paragrafi"/>
      </w:pPr>
    </w:p>
    <w:p w:rsidR="00CD67DB" w:rsidRPr="00163E67" w:rsidRDefault="00CD67DB" w:rsidP="00332783">
      <w:pPr>
        <w:pStyle w:val="Paragrafi"/>
      </w:pPr>
      <w:r w:rsidRPr="00163E67">
        <w:t> </w:t>
      </w:r>
    </w:p>
    <w:p w:rsidR="00CD67DB" w:rsidRPr="00163E67" w:rsidRDefault="00CD67DB" w:rsidP="00332783">
      <w:pPr>
        <w:pStyle w:val="Paragrafi"/>
      </w:pPr>
      <w:r w:rsidRPr="00163E67">
        <w:t> </w:t>
      </w:r>
    </w:p>
    <w:p w:rsidR="004F2EF2" w:rsidRPr="00163E67" w:rsidRDefault="004F2EF2" w:rsidP="00332783">
      <w:pPr>
        <w:pStyle w:val="Paragrafi"/>
      </w:pPr>
    </w:p>
    <w:p w:rsidR="004F2EF2" w:rsidRPr="00163E67" w:rsidRDefault="004F2EF2" w:rsidP="00332783">
      <w:pPr>
        <w:pStyle w:val="Paragrafi"/>
      </w:pPr>
      <w:r w:rsidRPr="00163E67">
        <w:t> </w:t>
      </w:r>
    </w:p>
    <w:p w:rsidR="004F2EF2" w:rsidRPr="00163E67" w:rsidRDefault="004F2EF2" w:rsidP="00332783">
      <w:pPr>
        <w:pStyle w:val="Paragrafi"/>
      </w:pPr>
      <w:r w:rsidRPr="00163E67">
        <w:t> </w:t>
      </w:r>
    </w:p>
    <w:p w:rsidR="004F2EF2" w:rsidRPr="00163E67" w:rsidRDefault="004F2EF2" w:rsidP="00332783">
      <w:pPr>
        <w:pStyle w:val="Paragrafi"/>
      </w:pPr>
      <w:r w:rsidRPr="00163E67">
        <w:t> </w:t>
      </w:r>
    </w:p>
    <w:p w:rsidR="004F2EF2" w:rsidRPr="00163E67" w:rsidRDefault="004F2EF2" w:rsidP="00332783">
      <w:pPr>
        <w:pStyle w:val="Paragrafi"/>
      </w:pPr>
      <w:r w:rsidRPr="00163E67">
        <w:t> </w:t>
      </w:r>
    </w:p>
    <w:p w:rsidR="004F2EF2" w:rsidRPr="00163E67" w:rsidRDefault="004F2EF2" w:rsidP="00332783">
      <w:pPr>
        <w:pStyle w:val="Paragrafi"/>
      </w:pPr>
    </w:p>
    <w:p w:rsidR="004F2EF2" w:rsidRPr="00F74FB1" w:rsidRDefault="004F2EF2" w:rsidP="00332783">
      <w:pPr>
        <w:pStyle w:val="Paragrafi"/>
      </w:pPr>
    </w:p>
    <w:p w:rsidR="0059096C" w:rsidRPr="00163E67" w:rsidRDefault="0059096C" w:rsidP="00332783">
      <w:pPr>
        <w:pStyle w:val="Paragrafi"/>
      </w:pPr>
      <w:r w:rsidRPr="00163E67">
        <w:br/>
        <w:t> </w:t>
      </w:r>
    </w:p>
    <w:p w:rsidR="0059096C" w:rsidRPr="00163E67" w:rsidRDefault="0059096C" w:rsidP="00332783">
      <w:pPr>
        <w:pStyle w:val="Paragrafi"/>
      </w:pPr>
    </w:p>
    <w:p w:rsidR="0059096C" w:rsidRPr="00F74FB1" w:rsidRDefault="0059096C" w:rsidP="00A314F9">
      <w:pPr>
        <w:widowControl w:val="0"/>
        <w:rPr>
          <w:sz w:val="22"/>
          <w:szCs w:val="22"/>
        </w:rPr>
      </w:pPr>
    </w:p>
    <w:sectPr w:rsidR="0059096C" w:rsidRPr="00F74FB1" w:rsidSect="001E71C2">
      <w:footerReference w:type="even" r:id="rId7"/>
      <w:footerReference w:type="default" r:id="rId8"/>
      <w:pgSz w:w="11906" w:h="16838" w:code="9"/>
      <w:pgMar w:top="1418" w:right="1418" w:bottom="1418" w:left="1418" w:header="1304" w:footer="1134" w:gutter="0"/>
      <w:pgNumType w:start="1527"/>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E2D14" w:rsidRDefault="001E2D14">
      <w:r>
        <w:separator/>
      </w:r>
    </w:p>
  </w:endnote>
  <w:endnote w:type="continuationSeparator" w:id="0">
    <w:p w:rsidR="001E2D14" w:rsidRDefault="001E2D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1DFB" w:rsidRDefault="00ED1DFB" w:rsidP="009C042C">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ED1DFB" w:rsidRDefault="00ED1DFB" w:rsidP="009C042C">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1DFB" w:rsidRDefault="00ED1DFB" w:rsidP="009C042C">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451717">
      <w:rPr>
        <w:rStyle w:val="PageNumber"/>
        <w:noProof/>
      </w:rPr>
      <w:t>1531</w:t>
    </w:r>
    <w:r>
      <w:rPr>
        <w:rStyle w:val="PageNumber"/>
      </w:rPr>
      <w:fldChar w:fldCharType="end"/>
    </w:r>
  </w:p>
  <w:p w:rsidR="00ED1DFB" w:rsidRDefault="00ED1DFB" w:rsidP="009C042C">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E2D14" w:rsidRDefault="001E2D14">
      <w:r>
        <w:separator/>
      </w:r>
    </w:p>
  </w:footnote>
  <w:footnote w:type="continuationSeparator" w:id="0">
    <w:p w:rsidR="001E2D14" w:rsidRDefault="001E2D14">
      <w:r>
        <w:continuationSeparator/>
      </w:r>
    </w:p>
  </w:footnote>
  <w:footnote w:id="1">
    <w:p w:rsidR="00ED1DFB" w:rsidRDefault="00ED1DFB" w:rsidP="006E74CB">
      <w:pPr>
        <w:pStyle w:val="FootnoteText"/>
      </w:pPr>
      <w:r>
        <w:rPr>
          <w:rStyle w:val="FootnoteReference"/>
        </w:rPr>
        <w:footnoteRef/>
      </w:r>
      <w:r>
        <w:t xml:space="preserve"> Vendime të Gjykatës Kushtetuese 2002, f. 211-212.</w:t>
      </w:r>
    </w:p>
  </w:footnote>
  <w:footnote w:id="2">
    <w:p w:rsidR="00ED1DFB" w:rsidRDefault="00ED1DFB" w:rsidP="006E74CB">
      <w:pPr>
        <w:pStyle w:val="FootnoteText"/>
      </w:pPr>
      <w:r>
        <w:rPr>
          <w:rStyle w:val="FootnoteReference"/>
        </w:rPr>
        <w:footnoteRef/>
      </w:r>
      <w:r>
        <w:t xml:space="preserve"> Vendim nr. 212 datë 29.10.2002, Vendime të Gjykatës Kushtetuese 2002, f.206.</w:t>
      </w:r>
    </w:p>
  </w:footnote>
  <w:footnote w:id="3">
    <w:p w:rsidR="00ED1DFB" w:rsidRDefault="00ED1DFB" w:rsidP="006E74CB">
      <w:pPr>
        <w:pStyle w:val="FootnoteText"/>
      </w:pPr>
      <w:r>
        <w:rPr>
          <w:rStyle w:val="FootnoteReference"/>
        </w:rPr>
        <w:footnoteRef/>
      </w:r>
      <w:r>
        <w:t xml:space="preserve"> Cituar sipas C.Guarnieri, P.Pederzoli, Magjistratura në demokracitë bashkëkohore (përkthim shqip)</w:t>
      </w:r>
    </w:p>
  </w:footnote>
  <w:footnote w:id="4">
    <w:p w:rsidR="00ED1DFB" w:rsidRDefault="00ED1DFB" w:rsidP="006E74CB">
      <w:pPr>
        <w:pStyle w:val="FootnoteText"/>
        <w:spacing w:line="360" w:lineRule="auto"/>
        <w:jc w:val="both"/>
      </w:pPr>
      <w:r>
        <w:rPr>
          <w:rStyle w:val="FootnoteReference"/>
        </w:rPr>
        <w:footnoteRef/>
      </w:r>
      <w:r>
        <w:t xml:space="preserve"> Dokumenti CDL – INF (1998) 009 F, pika 24, Strasburg, 15 maj 1998</w:t>
      </w:r>
    </w:p>
    <w:p w:rsidR="00ED1DFB" w:rsidRDefault="00ED1DFB" w:rsidP="006E74CB">
      <w:pPr>
        <w:pStyle w:val="FootnoteText"/>
        <w:rPr>
          <w:lang w:val="en-US"/>
        </w:rPr>
      </w:pPr>
    </w:p>
  </w:footnote>
  <w:footnote w:id="5">
    <w:p w:rsidR="00ED1DFB" w:rsidRDefault="00ED1DFB" w:rsidP="006E74CB">
      <w:pPr>
        <w:pStyle w:val="FootnoteText"/>
      </w:pPr>
      <w:r>
        <w:rPr>
          <w:rStyle w:val="FootnoteReference"/>
        </w:rPr>
        <w:footnoteRef/>
      </w:r>
      <w:r>
        <w:t xml:space="preserve"> . Shih Cahn.Ll në “Confronting injustice”, 1982, f.104</w:t>
      </w:r>
    </w:p>
  </w:footnote>
  <w:footnote w:id="6">
    <w:p w:rsidR="00ED1DFB" w:rsidRDefault="00ED1DFB" w:rsidP="006E74CB">
      <w:pPr>
        <w:pStyle w:val="FootnoteText"/>
        <w:rPr>
          <w:lang w:val="fr-FR"/>
        </w:rPr>
      </w:pPr>
      <w:r>
        <w:rPr>
          <w:rStyle w:val="FootnoteReference"/>
        </w:rPr>
        <w:footnoteRef/>
      </w:r>
      <w:r>
        <w:rPr>
          <w:lang w:val="fr-FR"/>
        </w:rPr>
        <w:t xml:space="preserve"> . Shih. CE. Dokumenti CDL-INF(1998)009F</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B202037"/>
    <w:multiLevelType w:val="hybridMultilevel"/>
    <w:tmpl w:val="F72E206A"/>
    <w:lvl w:ilvl="0" w:tplc="B9B85660">
      <w:start w:val="1"/>
      <w:numFmt w:val="upp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C767F9"/>
    <w:rsid w:val="00003890"/>
    <w:rsid w:val="00033877"/>
    <w:rsid w:val="000507DF"/>
    <w:rsid w:val="00060F32"/>
    <w:rsid w:val="0006491E"/>
    <w:rsid w:val="00065F6D"/>
    <w:rsid w:val="000B3FCB"/>
    <w:rsid w:val="000D1819"/>
    <w:rsid w:val="000D24D9"/>
    <w:rsid w:val="000E05B7"/>
    <w:rsid w:val="000E26A0"/>
    <w:rsid w:val="0010153D"/>
    <w:rsid w:val="0010391D"/>
    <w:rsid w:val="00110417"/>
    <w:rsid w:val="00154807"/>
    <w:rsid w:val="00164981"/>
    <w:rsid w:val="00195444"/>
    <w:rsid w:val="001A7FCB"/>
    <w:rsid w:val="001B1E1B"/>
    <w:rsid w:val="001D4626"/>
    <w:rsid w:val="001E2D14"/>
    <w:rsid w:val="001E71C2"/>
    <w:rsid w:val="001E7BA6"/>
    <w:rsid w:val="001F3729"/>
    <w:rsid w:val="001F7D79"/>
    <w:rsid w:val="0020336E"/>
    <w:rsid w:val="00221FFF"/>
    <w:rsid w:val="00224951"/>
    <w:rsid w:val="002744FB"/>
    <w:rsid w:val="0028440C"/>
    <w:rsid w:val="00290AC6"/>
    <w:rsid w:val="00325659"/>
    <w:rsid w:val="00332783"/>
    <w:rsid w:val="00332E24"/>
    <w:rsid w:val="0035432B"/>
    <w:rsid w:val="003616E6"/>
    <w:rsid w:val="0037339E"/>
    <w:rsid w:val="003D166C"/>
    <w:rsid w:val="00451717"/>
    <w:rsid w:val="0047234A"/>
    <w:rsid w:val="004912AD"/>
    <w:rsid w:val="00493915"/>
    <w:rsid w:val="004F2EF2"/>
    <w:rsid w:val="004F49DD"/>
    <w:rsid w:val="00556D29"/>
    <w:rsid w:val="00557B6C"/>
    <w:rsid w:val="00586F40"/>
    <w:rsid w:val="0059096C"/>
    <w:rsid w:val="005B2C34"/>
    <w:rsid w:val="005B423D"/>
    <w:rsid w:val="005B4327"/>
    <w:rsid w:val="005C4F22"/>
    <w:rsid w:val="005E2054"/>
    <w:rsid w:val="005F0A5E"/>
    <w:rsid w:val="005F5DF1"/>
    <w:rsid w:val="00601214"/>
    <w:rsid w:val="00612087"/>
    <w:rsid w:val="00646DE7"/>
    <w:rsid w:val="006646F9"/>
    <w:rsid w:val="00687BE0"/>
    <w:rsid w:val="00697493"/>
    <w:rsid w:val="006A560C"/>
    <w:rsid w:val="006B3023"/>
    <w:rsid w:val="006C1160"/>
    <w:rsid w:val="006C57F7"/>
    <w:rsid w:val="006E74CB"/>
    <w:rsid w:val="0072041E"/>
    <w:rsid w:val="007239AD"/>
    <w:rsid w:val="00723A3B"/>
    <w:rsid w:val="00742CE9"/>
    <w:rsid w:val="007A4CCA"/>
    <w:rsid w:val="007C6CA7"/>
    <w:rsid w:val="007E05D4"/>
    <w:rsid w:val="007E7DB0"/>
    <w:rsid w:val="007F0EE7"/>
    <w:rsid w:val="007F7A1A"/>
    <w:rsid w:val="00880759"/>
    <w:rsid w:val="008A1A6D"/>
    <w:rsid w:val="008A64F9"/>
    <w:rsid w:val="0091122C"/>
    <w:rsid w:val="00911E69"/>
    <w:rsid w:val="00912532"/>
    <w:rsid w:val="0093236D"/>
    <w:rsid w:val="00933239"/>
    <w:rsid w:val="00943625"/>
    <w:rsid w:val="0098117B"/>
    <w:rsid w:val="00982258"/>
    <w:rsid w:val="00987428"/>
    <w:rsid w:val="009A308C"/>
    <w:rsid w:val="009C042C"/>
    <w:rsid w:val="009D0F82"/>
    <w:rsid w:val="009F4B48"/>
    <w:rsid w:val="009F628A"/>
    <w:rsid w:val="00A168C5"/>
    <w:rsid w:val="00A208AD"/>
    <w:rsid w:val="00A241F7"/>
    <w:rsid w:val="00A314F9"/>
    <w:rsid w:val="00A35775"/>
    <w:rsid w:val="00A43CC9"/>
    <w:rsid w:val="00A6478F"/>
    <w:rsid w:val="00A76072"/>
    <w:rsid w:val="00A96396"/>
    <w:rsid w:val="00AC0CEC"/>
    <w:rsid w:val="00AD408B"/>
    <w:rsid w:val="00AE0F93"/>
    <w:rsid w:val="00B86591"/>
    <w:rsid w:val="00B97E40"/>
    <w:rsid w:val="00BA18AE"/>
    <w:rsid w:val="00BA582B"/>
    <w:rsid w:val="00BB04B2"/>
    <w:rsid w:val="00BB398B"/>
    <w:rsid w:val="00BB5035"/>
    <w:rsid w:val="00BE4307"/>
    <w:rsid w:val="00C1737F"/>
    <w:rsid w:val="00C260EC"/>
    <w:rsid w:val="00C3529B"/>
    <w:rsid w:val="00C37266"/>
    <w:rsid w:val="00C40AF2"/>
    <w:rsid w:val="00C43F2F"/>
    <w:rsid w:val="00C767F9"/>
    <w:rsid w:val="00C92027"/>
    <w:rsid w:val="00CB180C"/>
    <w:rsid w:val="00CB308B"/>
    <w:rsid w:val="00CB599F"/>
    <w:rsid w:val="00CD67DB"/>
    <w:rsid w:val="00CF0609"/>
    <w:rsid w:val="00D00E2E"/>
    <w:rsid w:val="00D029E2"/>
    <w:rsid w:val="00D376CF"/>
    <w:rsid w:val="00D51FE0"/>
    <w:rsid w:val="00D830E4"/>
    <w:rsid w:val="00D90524"/>
    <w:rsid w:val="00DA6DDC"/>
    <w:rsid w:val="00DB6A64"/>
    <w:rsid w:val="00DC0465"/>
    <w:rsid w:val="00DD02CE"/>
    <w:rsid w:val="00DE15CB"/>
    <w:rsid w:val="00E04B03"/>
    <w:rsid w:val="00E05C8B"/>
    <w:rsid w:val="00E351C4"/>
    <w:rsid w:val="00ED1DFB"/>
    <w:rsid w:val="00ED259E"/>
    <w:rsid w:val="00F1380D"/>
    <w:rsid w:val="00F74FB1"/>
    <w:rsid w:val="00F91910"/>
    <w:rsid w:val="00FA181B"/>
    <w:rsid w:val="00FE13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5:chartTrackingRefBased/>
  <w15:docId w15:val="{A72015E5-F51E-4326-9E4C-3FE45590B1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4B48"/>
    <w:rPr>
      <w:lang w:val="en-US" w:eastAsia="en-US"/>
    </w:rPr>
  </w:style>
  <w:style w:type="paragraph" w:styleId="Heading1">
    <w:name w:val="heading 1"/>
    <w:basedOn w:val="Normal"/>
    <w:next w:val="Normal"/>
    <w:qFormat/>
    <w:rsid w:val="005F0A5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6E74CB"/>
    <w:pPr>
      <w:keepNext/>
      <w:jc w:val="center"/>
      <w:outlineLvl w:val="1"/>
    </w:pPr>
    <w:rPr>
      <w:rFonts w:eastAsia="MS Mincho"/>
      <w:b/>
      <w:bCs/>
      <w:sz w:val="24"/>
      <w:szCs w:val="24"/>
      <w:u w:val="single"/>
      <w:lang w:val="sq-AL"/>
    </w:rPr>
  </w:style>
  <w:style w:type="paragraph" w:styleId="Heading3">
    <w:name w:val="heading 3"/>
    <w:basedOn w:val="Normal"/>
    <w:next w:val="Normal"/>
    <w:qFormat/>
    <w:rsid w:val="006E74CB"/>
    <w:pPr>
      <w:keepNext/>
      <w:spacing w:line="360" w:lineRule="auto"/>
      <w:jc w:val="both"/>
      <w:outlineLvl w:val="2"/>
    </w:pPr>
    <w:rPr>
      <w:b/>
      <w:bCs/>
      <w:sz w:val="24"/>
      <w:szCs w:val="24"/>
      <w:lang w:val="sq-AL"/>
    </w:rPr>
  </w:style>
  <w:style w:type="paragraph" w:styleId="Heading4">
    <w:name w:val="heading 4"/>
    <w:basedOn w:val="Normal"/>
    <w:next w:val="Normal"/>
    <w:qFormat/>
    <w:rsid w:val="006E74CB"/>
    <w:pPr>
      <w:keepNext/>
      <w:jc w:val="center"/>
      <w:outlineLvl w:val="3"/>
    </w:pPr>
    <w:rPr>
      <w:b/>
      <w:bCs/>
      <w:sz w:val="24"/>
      <w:szCs w:val="24"/>
      <w:lang w:val="sq-AL"/>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5F0A5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5F0A5E"/>
    <w:rPr>
      <w:rFonts w:ascii="CG Times" w:hAnsi="CG Times"/>
      <w:sz w:val="22"/>
      <w:lang w:eastAsia="en-US"/>
    </w:rPr>
  </w:style>
  <w:style w:type="paragraph" w:customStyle="1" w:styleId="AneksiNr">
    <w:name w:val="Aneksi_Nr"/>
    <w:next w:val="Normal"/>
    <w:rsid w:val="005F0A5E"/>
    <w:pPr>
      <w:keepNext/>
      <w:widowControl w:val="0"/>
      <w:jc w:val="center"/>
    </w:pPr>
    <w:rPr>
      <w:rFonts w:ascii="CG Times" w:hAnsi="CG Times"/>
      <w:caps/>
      <w:sz w:val="22"/>
      <w:szCs w:val="22"/>
      <w:lang w:eastAsia="en-US"/>
    </w:rPr>
  </w:style>
  <w:style w:type="paragraph" w:customStyle="1" w:styleId="AneksiTitull">
    <w:name w:val="Aneksi_Titull"/>
    <w:next w:val="Normal"/>
    <w:rsid w:val="005F0A5E"/>
    <w:pPr>
      <w:jc w:val="center"/>
    </w:pPr>
    <w:rPr>
      <w:rFonts w:ascii="CG Times" w:hAnsi="CG Times"/>
      <w:sz w:val="24"/>
      <w:szCs w:val="24"/>
      <w:lang w:eastAsia="en-US"/>
    </w:rPr>
  </w:style>
  <w:style w:type="paragraph" w:customStyle="1" w:styleId="Autoriteti">
    <w:name w:val="Autoriteti"/>
    <w:next w:val="AutoritetiEmer"/>
    <w:rsid w:val="005F0A5E"/>
    <w:pPr>
      <w:keepNext/>
      <w:widowControl w:val="0"/>
      <w:jc w:val="right"/>
    </w:pPr>
    <w:rPr>
      <w:rFonts w:ascii="CG Times" w:hAnsi="CG Times"/>
      <w:caps/>
      <w:sz w:val="22"/>
      <w:szCs w:val="22"/>
      <w:lang w:eastAsia="en-US"/>
    </w:rPr>
  </w:style>
  <w:style w:type="paragraph" w:customStyle="1" w:styleId="AutoritetiEmer">
    <w:name w:val="Autoriteti_Emer"/>
    <w:next w:val="Normal"/>
    <w:rsid w:val="005F0A5E"/>
    <w:pPr>
      <w:widowControl w:val="0"/>
      <w:jc w:val="right"/>
    </w:pPr>
    <w:rPr>
      <w:rFonts w:ascii="CG Times" w:hAnsi="CG Times"/>
      <w:b/>
      <w:sz w:val="22"/>
      <w:szCs w:val="22"/>
      <w:lang w:eastAsia="en-US"/>
    </w:rPr>
  </w:style>
  <w:style w:type="paragraph" w:customStyle="1" w:styleId="BazLigjPropozues">
    <w:name w:val="Baz_Ligj_Propozues"/>
    <w:rsid w:val="005F0A5E"/>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5F0A5E"/>
    <w:pPr>
      <w:jc w:val="center"/>
    </w:pPr>
    <w:rPr>
      <w:rFonts w:ascii="CG Times" w:hAnsi="CG Times"/>
      <w:caps/>
      <w:sz w:val="22"/>
      <w:szCs w:val="22"/>
      <w:lang w:eastAsia="en-US"/>
    </w:rPr>
  </w:style>
  <w:style w:type="paragraph" w:customStyle="1" w:styleId="Figure">
    <w:name w:val="Figure"/>
    <w:next w:val="Normal"/>
    <w:rsid w:val="005F0A5E"/>
    <w:pPr>
      <w:widowControl w:val="0"/>
      <w:outlineLvl w:val="2"/>
    </w:pPr>
    <w:rPr>
      <w:rFonts w:ascii="CG Times" w:hAnsi="CG Times"/>
      <w:sz w:val="22"/>
      <w:lang w:val="en-US" w:eastAsia="en-US"/>
    </w:rPr>
  </w:style>
  <w:style w:type="paragraph" w:customStyle="1" w:styleId="Institucioni">
    <w:name w:val="Institucioni"/>
    <w:next w:val="Normal"/>
    <w:rsid w:val="005F0A5E"/>
    <w:pPr>
      <w:keepNext/>
      <w:widowControl w:val="0"/>
      <w:jc w:val="center"/>
    </w:pPr>
    <w:rPr>
      <w:rFonts w:ascii="CG Times" w:hAnsi="CG Times"/>
      <w:caps/>
      <w:sz w:val="22"/>
      <w:szCs w:val="22"/>
      <w:lang w:eastAsia="en-US"/>
    </w:rPr>
  </w:style>
  <w:style w:type="paragraph" w:customStyle="1" w:styleId="Kapakufund">
    <w:name w:val="Kapaku_fund"/>
    <w:next w:val="Normal"/>
    <w:rsid w:val="005F0A5E"/>
    <w:pPr>
      <w:pageBreakBefore/>
    </w:pPr>
    <w:rPr>
      <w:rFonts w:ascii="CG Times" w:hAnsi="CG Times"/>
      <w:b/>
      <w:sz w:val="22"/>
      <w:szCs w:val="22"/>
      <w:lang w:val="en-US" w:eastAsia="en-US"/>
    </w:rPr>
  </w:style>
  <w:style w:type="paragraph" w:customStyle="1" w:styleId="KapitulliNr">
    <w:name w:val="Kapitulli_Nr"/>
    <w:rsid w:val="005F0A5E"/>
    <w:pPr>
      <w:keepNext/>
      <w:widowControl w:val="0"/>
      <w:jc w:val="center"/>
    </w:pPr>
    <w:rPr>
      <w:rFonts w:ascii="CG Times" w:hAnsi="CG Times"/>
      <w:caps/>
      <w:sz w:val="22"/>
      <w:szCs w:val="22"/>
      <w:lang w:eastAsia="en-US"/>
    </w:rPr>
  </w:style>
  <w:style w:type="paragraph" w:customStyle="1" w:styleId="KapitulliTitull">
    <w:name w:val="Kapitulli_Titull"/>
    <w:rsid w:val="005F0A5E"/>
    <w:pPr>
      <w:keepNext/>
      <w:widowControl w:val="0"/>
      <w:jc w:val="center"/>
    </w:pPr>
    <w:rPr>
      <w:rFonts w:ascii="CG Times" w:hAnsi="CG Times"/>
      <w:caps/>
      <w:sz w:val="22"/>
      <w:szCs w:val="22"/>
      <w:lang w:eastAsia="en-US"/>
    </w:rPr>
  </w:style>
  <w:style w:type="paragraph" w:customStyle="1" w:styleId="KreuNr">
    <w:name w:val="Kreu_Nr"/>
    <w:rsid w:val="005F0A5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5F0A5E"/>
    <w:pPr>
      <w:keepNext/>
      <w:widowControl w:val="0"/>
      <w:jc w:val="center"/>
    </w:pPr>
    <w:rPr>
      <w:rFonts w:ascii="CG Times" w:hAnsi="CG Times"/>
      <w:caps/>
      <w:sz w:val="22"/>
      <w:szCs w:val="22"/>
      <w:lang w:val="en-US" w:eastAsia="en-US"/>
    </w:rPr>
  </w:style>
  <w:style w:type="paragraph" w:customStyle="1" w:styleId="Ndryshimet">
    <w:name w:val="Ndryshimet"/>
    <w:next w:val="Paragrafi"/>
    <w:rsid w:val="005F0A5E"/>
    <w:pPr>
      <w:keepNext/>
      <w:widowControl w:val="0"/>
      <w:jc w:val="center"/>
    </w:pPr>
    <w:rPr>
      <w:rFonts w:ascii="CG Times" w:hAnsi="CG Times"/>
      <w:i/>
      <w:sz w:val="22"/>
      <w:lang w:val="en-US" w:eastAsia="en-US"/>
    </w:rPr>
  </w:style>
  <w:style w:type="paragraph" w:customStyle="1" w:styleId="NeniNr">
    <w:name w:val="Neni_Nr"/>
    <w:next w:val="Normal"/>
    <w:rsid w:val="005F0A5E"/>
    <w:pPr>
      <w:keepNext/>
      <w:widowControl w:val="0"/>
      <w:jc w:val="center"/>
    </w:pPr>
    <w:rPr>
      <w:rFonts w:ascii="CG Times" w:hAnsi="CG Times"/>
      <w:sz w:val="22"/>
      <w:lang w:eastAsia="en-US"/>
    </w:rPr>
  </w:style>
  <w:style w:type="paragraph" w:customStyle="1" w:styleId="NeniTitull">
    <w:name w:val="Neni_Titull"/>
    <w:next w:val="Normal"/>
    <w:rsid w:val="005F0A5E"/>
    <w:pPr>
      <w:keepNext/>
      <w:widowControl w:val="0"/>
      <w:jc w:val="center"/>
      <w:outlineLvl w:val="2"/>
    </w:pPr>
    <w:rPr>
      <w:rFonts w:ascii="CG Times" w:hAnsi="CG Times"/>
      <w:b/>
      <w:sz w:val="22"/>
      <w:lang w:eastAsia="en-US"/>
    </w:rPr>
  </w:style>
  <w:style w:type="paragraph" w:customStyle="1" w:styleId="NenkreuNr">
    <w:name w:val="Nenkreu_Nr"/>
    <w:rsid w:val="005F0A5E"/>
    <w:pPr>
      <w:keepNext/>
      <w:widowControl w:val="0"/>
      <w:jc w:val="center"/>
    </w:pPr>
    <w:rPr>
      <w:rFonts w:ascii="CG Times" w:hAnsi="CG Times"/>
      <w:caps/>
      <w:sz w:val="22"/>
      <w:szCs w:val="22"/>
      <w:lang w:eastAsia="en-US"/>
    </w:rPr>
  </w:style>
  <w:style w:type="paragraph" w:customStyle="1" w:styleId="NenkreuTitull">
    <w:name w:val="Nenkreu_Titull"/>
    <w:rsid w:val="005F0A5E"/>
    <w:pPr>
      <w:jc w:val="center"/>
    </w:pPr>
    <w:rPr>
      <w:rFonts w:ascii="CG Times" w:hAnsi="CG Times"/>
      <w:caps/>
      <w:sz w:val="22"/>
      <w:szCs w:val="22"/>
      <w:lang w:eastAsia="en-US"/>
    </w:rPr>
  </w:style>
  <w:style w:type="paragraph" w:customStyle="1" w:styleId="Nenpika">
    <w:name w:val="Nenpika"/>
    <w:next w:val="Normal"/>
    <w:autoRedefine/>
    <w:rsid w:val="005F0A5E"/>
    <w:pPr>
      <w:ind w:firstLine="720"/>
    </w:pPr>
    <w:rPr>
      <w:rFonts w:ascii="CG Times" w:hAnsi="CG Times"/>
      <w:sz w:val="22"/>
      <w:lang w:val="en-US" w:eastAsia="en-US"/>
    </w:rPr>
  </w:style>
  <w:style w:type="paragraph" w:customStyle="1" w:styleId="NumriData">
    <w:name w:val="Numri_Data"/>
    <w:next w:val="Normal"/>
    <w:rsid w:val="005F0A5E"/>
    <w:pPr>
      <w:keepNext/>
      <w:widowControl w:val="0"/>
      <w:jc w:val="center"/>
      <w:outlineLvl w:val="0"/>
    </w:pPr>
    <w:rPr>
      <w:rFonts w:ascii="CG Times" w:hAnsi="CG Times"/>
      <w:b/>
      <w:sz w:val="22"/>
      <w:lang w:eastAsia="en-US"/>
    </w:rPr>
  </w:style>
  <w:style w:type="paragraph" w:customStyle="1" w:styleId="Paragrafi">
    <w:name w:val="Paragrafi"/>
    <w:link w:val="ParagrafiChar"/>
    <w:rsid w:val="005F0A5E"/>
    <w:pPr>
      <w:widowControl w:val="0"/>
      <w:ind w:firstLine="720"/>
      <w:jc w:val="both"/>
    </w:pPr>
    <w:rPr>
      <w:rFonts w:ascii="CG Times" w:hAnsi="CG Times"/>
      <w:sz w:val="22"/>
      <w:lang w:val="en-US" w:eastAsia="en-US"/>
    </w:rPr>
  </w:style>
  <w:style w:type="paragraph" w:customStyle="1" w:styleId="Pika">
    <w:name w:val="Pika"/>
    <w:next w:val="Normal"/>
    <w:autoRedefine/>
    <w:rsid w:val="005F0A5E"/>
    <w:pPr>
      <w:ind w:firstLine="720"/>
    </w:pPr>
    <w:rPr>
      <w:rFonts w:ascii="CG Times" w:hAnsi="CG Times"/>
      <w:sz w:val="22"/>
      <w:lang w:val="en-US" w:eastAsia="en-US"/>
    </w:rPr>
  </w:style>
  <w:style w:type="paragraph" w:customStyle="1" w:styleId="PikeKreu">
    <w:name w:val="Pike_Kreu"/>
    <w:basedOn w:val="Heading1"/>
    <w:rsid w:val="005F0A5E"/>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5F0A5E"/>
    <w:pPr>
      <w:keepNext/>
      <w:widowControl w:val="0"/>
      <w:jc w:val="center"/>
    </w:pPr>
    <w:rPr>
      <w:rFonts w:ascii="CG Times" w:hAnsi="CG Times"/>
      <w:caps/>
      <w:sz w:val="22"/>
      <w:szCs w:val="22"/>
      <w:lang w:eastAsia="en-US"/>
    </w:rPr>
  </w:style>
  <w:style w:type="paragraph" w:customStyle="1" w:styleId="PjesaTitull">
    <w:name w:val="Pjesa_Titull"/>
    <w:rsid w:val="005F0A5E"/>
    <w:pPr>
      <w:keepNext/>
      <w:widowControl w:val="0"/>
      <w:jc w:val="center"/>
    </w:pPr>
    <w:rPr>
      <w:rFonts w:ascii="CG Times" w:hAnsi="CG Times"/>
      <w:caps/>
      <w:sz w:val="22"/>
      <w:szCs w:val="22"/>
      <w:lang w:eastAsia="en-US"/>
    </w:rPr>
  </w:style>
  <w:style w:type="paragraph" w:customStyle="1" w:styleId="Shpallja">
    <w:name w:val="Shpallja"/>
    <w:rsid w:val="005F0A5E"/>
    <w:pPr>
      <w:widowControl w:val="0"/>
      <w:jc w:val="both"/>
    </w:pPr>
    <w:rPr>
      <w:rFonts w:ascii="CG Times" w:hAnsi="CG Times"/>
      <w:b/>
      <w:color w:val="000000"/>
      <w:sz w:val="22"/>
      <w:szCs w:val="22"/>
      <w:lang w:val="sq-AL" w:eastAsia="en-US"/>
    </w:rPr>
  </w:style>
  <w:style w:type="paragraph" w:customStyle="1" w:styleId="Tabele">
    <w:name w:val="Tabele"/>
    <w:rsid w:val="005F0A5E"/>
    <w:rPr>
      <w:rFonts w:ascii="CG Times" w:hAnsi="CG Times"/>
      <w:sz w:val="22"/>
      <w:lang w:eastAsia="en-US"/>
    </w:rPr>
  </w:style>
  <w:style w:type="paragraph" w:customStyle="1" w:styleId="Titulli">
    <w:name w:val="Titulli"/>
    <w:next w:val="Normal"/>
    <w:rsid w:val="005F0A5E"/>
    <w:pPr>
      <w:keepNext/>
      <w:widowControl w:val="0"/>
      <w:jc w:val="center"/>
      <w:outlineLvl w:val="1"/>
    </w:pPr>
    <w:rPr>
      <w:rFonts w:ascii="CG Times" w:hAnsi="CG Times"/>
      <w:b/>
      <w:caps/>
      <w:sz w:val="22"/>
      <w:szCs w:val="22"/>
      <w:lang w:eastAsia="en-US"/>
    </w:rPr>
  </w:style>
  <w:style w:type="paragraph" w:customStyle="1" w:styleId="TitulliNr">
    <w:name w:val="Titulli_Nr"/>
    <w:rsid w:val="005F0A5E"/>
    <w:pPr>
      <w:keepNext/>
      <w:widowControl w:val="0"/>
      <w:jc w:val="center"/>
    </w:pPr>
    <w:rPr>
      <w:rFonts w:ascii="CG Times" w:hAnsi="CG Times"/>
      <w:caps/>
      <w:sz w:val="22"/>
      <w:szCs w:val="22"/>
      <w:lang w:eastAsia="en-US"/>
    </w:rPr>
  </w:style>
  <w:style w:type="paragraph" w:customStyle="1" w:styleId="TitulliTitull">
    <w:name w:val="Titulli_Titull"/>
    <w:link w:val="TitulliTitullChar"/>
    <w:rsid w:val="005F0A5E"/>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5F0A5E"/>
    <w:pPr>
      <w:keepNext/>
      <w:widowControl w:val="0"/>
      <w:jc w:val="center"/>
    </w:pPr>
    <w:rPr>
      <w:rFonts w:ascii="CG Times" w:hAnsi="CG Times"/>
      <w:caps/>
      <w:sz w:val="22"/>
      <w:szCs w:val="22"/>
      <w:lang w:eastAsia="en-US"/>
    </w:rPr>
  </w:style>
  <w:style w:type="character" w:styleId="FootnoteReference">
    <w:name w:val="footnote reference"/>
    <w:basedOn w:val="DefaultParagraphFont"/>
    <w:semiHidden/>
    <w:rsid w:val="009F4B48"/>
    <w:rPr>
      <w:vertAlign w:val="superscript"/>
    </w:rPr>
  </w:style>
  <w:style w:type="paragraph" w:styleId="FootnoteText">
    <w:name w:val="footnote text"/>
    <w:basedOn w:val="Normal"/>
    <w:semiHidden/>
    <w:rsid w:val="009F4B48"/>
    <w:pPr>
      <w:widowControl w:val="0"/>
    </w:pPr>
    <w:rPr>
      <w:rFonts w:ascii="CG Times" w:hAnsi="CG Times"/>
      <w:lang w:val="sq-AL"/>
    </w:rPr>
  </w:style>
  <w:style w:type="character" w:customStyle="1" w:styleId="TitulliTitullChar">
    <w:name w:val="Titulli_Titull Char"/>
    <w:basedOn w:val="DefaultParagraphFont"/>
    <w:link w:val="TitulliTitull"/>
    <w:rsid w:val="009F4B48"/>
    <w:rPr>
      <w:rFonts w:ascii="CG Times" w:hAnsi="CG Times"/>
      <w:caps/>
      <w:sz w:val="22"/>
      <w:szCs w:val="22"/>
      <w:lang w:val="en-GB" w:eastAsia="en-US" w:bidi="ar-SA"/>
    </w:rPr>
  </w:style>
  <w:style w:type="character" w:customStyle="1" w:styleId="ParagrafiChar">
    <w:name w:val="Paragrafi Char"/>
    <w:basedOn w:val="DefaultParagraphFont"/>
    <w:link w:val="Paragrafi"/>
    <w:rsid w:val="009F4B48"/>
    <w:rPr>
      <w:rFonts w:ascii="CG Times" w:hAnsi="CG Times"/>
      <w:sz w:val="22"/>
      <w:lang w:val="en-US" w:eastAsia="en-US" w:bidi="ar-SA"/>
    </w:rPr>
  </w:style>
  <w:style w:type="character" w:customStyle="1" w:styleId="VENDOSIChar">
    <w:name w:val="VENDOSI Char"/>
    <w:basedOn w:val="DefaultParagraphFont"/>
    <w:link w:val="VENDOSI"/>
    <w:rsid w:val="00B86591"/>
    <w:rPr>
      <w:rFonts w:ascii="CG Times" w:hAnsi="CG Times"/>
      <w:caps/>
      <w:sz w:val="22"/>
      <w:szCs w:val="22"/>
      <w:lang w:val="en-GB" w:eastAsia="en-US" w:bidi="ar-SA"/>
    </w:rPr>
  </w:style>
  <w:style w:type="paragraph" w:styleId="Footer">
    <w:name w:val="footer"/>
    <w:basedOn w:val="Normal"/>
    <w:rsid w:val="009C042C"/>
    <w:pPr>
      <w:tabs>
        <w:tab w:val="center" w:pos="4320"/>
        <w:tab w:val="right" w:pos="8640"/>
      </w:tabs>
    </w:pPr>
  </w:style>
  <w:style w:type="character" w:styleId="PageNumber">
    <w:name w:val="page number"/>
    <w:basedOn w:val="DefaultParagraphFont"/>
    <w:rsid w:val="009C042C"/>
  </w:style>
  <w:style w:type="paragraph" w:styleId="BodyText">
    <w:name w:val="Body Text"/>
    <w:basedOn w:val="Normal"/>
    <w:rsid w:val="000E05B7"/>
    <w:pPr>
      <w:spacing w:after="144"/>
      <w:jc w:val="both"/>
    </w:pPr>
    <w:rPr>
      <w:spacing w:val="2"/>
      <w:sz w:val="24"/>
      <w:szCs w:val="24"/>
      <w:lang w:val="sq-AL"/>
    </w:rPr>
  </w:style>
  <w:style w:type="paragraph" w:styleId="Title">
    <w:name w:val="Title"/>
    <w:basedOn w:val="Normal"/>
    <w:qFormat/>
    <w:rsid w:val="000E05B7"/>
    <w:pPr>
      <w:jc w:val="center"/>
    </w:pPr>
    <w:rPr>
      <w:b/>
      <w:sz w:val="24"/>
    </w:rPr>
  </w:style>
  <w:style w:type="paragraph" w:styleId="BodyTextIndent">
    <w:name w:val="Body Text Indent"/>
    <w:basedOn w:val="Normal"/>
    <w:rsid w:val="000E05B7"/>
    <w:pPr>
      <w:ind w:firstLine="720"/>
    </w:pPr>
    <w:rPr>
      <w:spacing w:val="4"/>
      <w:sz w:val="28"/>
      <w:szCs w:val="24"/>
      <w:lang w:val="sq-AL"/>
    </w:rPr>
  </w:style>
  <w:style w:type="paragraph" w:styleId="BodyTextIndent2">
    <w:name w:val="Body Text Indent 2"/>
    <w:basedOn w:val="Normal"/>
    <w:rsid w:val="000E05B7"/>
    <w:pPr>
      <w:ind w:firstLine="720"/>
      <w:jc w:val="both"/>
    </w:pPr>
    <w:rPr>
      <w:spacing w:val="4"/>
      <w:sz w:val="28"/>
      <w:szCs w:val="24"/>
      <w:lang w:val="sq-AL"/>
    </w:rPr>
  </w:style>
  <w:style w:type="paragraph" w:styleId="BodyTextIndent3">
    <w:name w:val="Body Text Indent 3"/>
    <w:basedOn w:val="Normal"/>
    <w:rsid w:val="000E05B7"/>
    <w:pPr>
      <w:ind w:firstLine="600"/>
      <w:jc w:val="both"/>
    </w:pPr>
    <w:rPr>
      <w:sz w:val="24"/>
      <w:szCs w:val="30"/>
      <w:lang w:val="sq-AL"/>
    </w:rPr>
  </w:style>
  <w:style w:type="character" w:styleId="Hyperlink">
    <w:name w:val="Hyperlink"/>
    <w:basedOn w:val="DefaultParagraphFont"/>
    <w:rsid w:val="0059096C"/>
    <w:rPr>
      <w:color w:val="0000FF"/>
      <w:u w:val="single"/>
    </w:rPr>
  </w:style>
  <w:style w:type="paragraph" w:styleId="BodyText2">
    <w:name w:val="Body Text 2"/>
    <w:basedOn w:val="Normal"/>
    <w:rsid w:val="006E74CB"/>
    <w:pPr>
      <w:spacing w:after="120" w:line="480" w:lineRule="auto"/>
    </w:pPr>
  </w:style>
  <w:style w:type="paragraph" w:styleId="Header">
    <w:name w:val="header"/>
    <w:basedOn w:val="Normal"/>
    <w:rsid w:val="006E74CB"/>
    <w:pPr>
      <w:tabs>
        <w:tab w:val="center" w:pos="4320"/>
        <w:tab w:val="right" w:pos="8640"/>
      </w:tabs>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1877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12003</Words>
  <Characters>68420</Characters>
  <Application>Microsoft Office Word</Application>
  <DocSecurity>0</DocSecurity>
  <Lines>570</Lines>
  <Paragraphs>160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80263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Inida Noga</cp:lastModifiedBy>
  <cp:revision>2</cp:revision>
  <cp:lastPrinted>2006-05-24T13:42:00Z</cp:lastPrinted>
  <dcterms:created xsi:type="dcterms:W3CDTF">2019-02-15T12:26:00Z</dcterms:created>
  <dcterms:modified xsi:type="dcterms:W3CDTF">2019-02-15T12:26:00Z</dcterms:modified>
</cp:coreProperties>
</file>